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987" w:rsidRDefault="00F90C57">
      <w:pPr>
        <w:spacing w:after="200"/>
        <w:ind w:firstLine="720"/>
        <w:jc w:val="center"/>
        <w:rPr>
          <w:rFonts w:ascii="Times New Roman" w:eastAsia="Times New Roman" w:hAnsi="Times New Roman" w:cs="Times New Roman"/>
          <w:b/>
        </w:rPr>
      </w:pPr>
      <w:r>
        <w:rPr>
          <w:rFonts w:ascii="Times New Roman" w:eastAsia="Times New Roman" w:hAnsi="Times New Roman" w:cs="Times New Roman"/>
          <w:b/>
          <w:highlight w:val="white"/>
        </w:rPr>
        <w:t>Johann Georg Hamann</w:t>
      </w:r>
      <w:r>
        <w:rPr>
          <w:rFonts w:ascii="Times New Roman" w:eastAsia="Times New Roman" w:hAnsi="Times New Roman" w:cs="Times New Roman"/>
          <w:b/>
        </w:rPr>
        <w:t xml:space="preserve"> e </w:t>
      </w:r>
      <w:proofErr w:type="spellStart"/>
      <w:r>
        <w:rPr>
          <w:rFonts w:ascii="Times New Roman" w:eastAsia="Times New Roman" w:hAnsi="Times New Roman" w:cs="Times New Roman"/>
          <w:b/>
          <w:highlight w:val="white"/>
        </w:rPr>
        <w:t>Søren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Aabye</w:t>
      </w:r>
      <w:proofErr w:type="spellEnd"/>
      <w:r>
        <w:rPr>
          <w:rFonts w:ascii="Times New Roman" w:eastAsia="Times New Roman" w:hAnsi="Times New Roman" w:cs="Times New Roman"/>
          <w:b/>
          <w:highlight w:val="white"/>
        </w:rPr>
        <w:t xml:space="preserve"> Kierkegaard</w:t>
      </w:r>
      <w:r>
        <w:rPr>
          <w:rFonts w:ascii="Times New Roman" w:eastAsia="Times New Roman" w:hAnsi="Times New Roman" w:cs="Times New Roman"/>
          <w:b/>
        </w:rPr>
        <w:t>:</w:t>
      </w:r>
    </w:p>
    <w:p w:rsidR="00416987" w:rsidRDefault="00F90C57">
      <w:pPr>
        <w:spacing w:after="200"/>
        <w:ind w:firstLine="720"/>
        <w:jc w:val="center"/>
        <w:rPr>
          <w:rFonts w:ascii="Times New Roman" w:eastAsia="Times New Roman" w:hAnsi="Times New Roman" w:cs="Times New Roman"/>
          <w:b/>
        </w:rPr>
      </w:pPr>
      <w:r>
        <w:rPr>
          <w:rFonts w:ascii="Times New Roman" w:eastAsia="Times New Roman" w:hAnsi="Times New Roman" w:cs="Times New Roman"/>
          <w:b/>
        </w:rPr>
        <w:t>Discurso e Reconciliação</w:t>
      </w:r>
    </w:p>
    <w:p w:rsidR="00416987" w:rsidRDefault="00416987">
      <w:pPr>
        <w:spacing w:after="200"/>
        <w:ind w:firstLine="720"/>
        <w:jc w:val="right"/>
        <w:rPr>
          <w:rFonts w:ascii="Times New Roman" w:eastAsia="Times New Roman" w:hAnsi="Times New Roman" w:cs="Times New Roman"/>
          <w:sz w:val="20"/>
          <w:szCs w:val="20"/>
        </w:rPr>
      </w:pPr>
    </w:p>
    <w:p w:rsidR="00416987" w:rsidRDefault="00416987">
      <w:pPr>
        <w:spacing w:after="200"/>
        <w:ind w:firstLine="720"/>
        <w:jc w:val="right"/>
        <w:rPr>
          <w:rFonts w:ascii="Times New Roman" w:eastAsia="Times New Roman" w:hAnsi="Times New Roman" w:cs="Times New Roman"/>
          <w:sz w:val="20"/>
          <w:szCs w:val="20"/>
        </w:rPr>
      </w:pP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Para Hamann, é impossível separar razão e linguagem. A linguagem é uma realidade histórica. Kierkegaard usa essa ideia de linguagem em seu trabalho para questionar a validade do dualismo entre apropriação e inadequação. Kierkegaard se interessa pelo cultivo de uma forma escrita (</w:t>
      </w:r>
      <w:proofErr w:type="spellStart"/>
      <w:r w:rsidR="00323D94">
        <w:rPr>
          <w:rFonts w:ascii="Times New Roman" w:eastAsia="Times New Roman" w:hAnsi="Times New Roman" w:cs="Times New Roman"/>
          <w:i/>
          <w:sz w:val="20"/>
          <w:szCs w:val="20"/>
        </w:rPr>
        <w:t>skriftlig</w:t>
      </w:r>
      <w:proofErr w:type="spellEnd"/>
      <w:r w:rsidR="00323D94">
        <w:rPr>
          <w:rFonts w:ascii="Times New Roman" w:eastAsia="Times New Roman" w:hAnsi="Times New Roman" w:cs="Times New Roman"/>
          <w:i/>
          <w:sz w:val="20"/>
          <w:szCs w:val="20"/>
        </w:rPr>
        <w:t xml:space="preserve"> </w:t>
      </w:r>
      <w:proofErr w:type="spellStart"/>
      <w:r w:rsidR="00323D94">
        <w:rPr>
          <w:rFonts w:ascii="Times New Roman" w:eastAsia="Times New Roman" w:hAnsi="Times New Roman" w:cs="Times New Roman"/>
          <w:i/>
          <w:sz w:val="20"/>
          <w:szCs w:val="20"/>
        </w:rPr>
        <w:t>F</w:t>
      </w:r>
      <w:r>
        <w:rPr>
          <w:rFonts w:ascii="Times New Roman" w:eastAsia="Times New Roman" w:hAnsi="Times New Roman" w:cs="Times New Roman"/>
          <w:i/>
          <w:sz w:val="20"/>
          <w:szCs w:val="20"/>
        </w:rPr>
        <w:t>orm</w:t>
      </w:r>
      <w:proofErr w:type="spellEnd"/>
      <w:r>
        <w:rPr>
          <w:rFonts w:ascii="Times New Roman" w:eastAsia="Times New Roman" w:hAnsi="Times New Roman" w:cs="Times New Roman"/>
          <w:sz w:val="20"/>
          <w:szCs w:val="20"/>
        </w:rPr>
        <w:t>) que excede o formalismo da filosofia alemã e de um discurso (</w:t>
      </w:r>
      <w:r w:rsidR="00323D94">
        <w:rPr>
          <w:rFonts w:ascii="Times New Roman" w:eastAsia="Times New Roman" w:hAnsi="Times New Roman" w:cs="Times New Roman"/>
          <w:i/>
          <w:sz w:val="20"/>
          <w:szCs w:val="20"/>
        </w:rPr>
        <w:t>T</w:t>
      </w:r>
      <w:r>
        <w:rPr>
          <w:rFonts w:ascii="Times New Roman" w:eastAsia="Times New Roman" w:hAnsi="Times New Roman" w:cs="Times New Roman"/>
          <w:i/>
          <w:sz w:val="20"/>
          <w:szCs w:val="20"/>
        </w:rPr>
        <w:t>ale</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construído através da metacrítica de Hamann. Portanto, o presente trabalho analisa a relação entre Hamann e Kierkegaard sob a noção da formação do discurso.</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Palavras-Chave: </w:t>
      </w:r>
      <w:r>
        <w:rPr>
          <w:rFonts w:ascii="Times New Roman" w:eastAsia="Times New Roman" w:hAnsi="Times New Roman" w:cs="Times New Roman"/>
          <w:sz w:val="20"/>
          <w:szCs w:val="20"/>
        </w:rPr>
        <w:t xml:space="preserve">Discurso; Linguagem; Kierkegaard; Hamann; Palavra. </w:t>
      </w:r>
    </w:p>
    <w:p w:rsidR="00416987" w:rsidRDefault="00416987">
      <w:pPr>
        <w:spacing w:after="200"/>
        <w:ind w:firstLine="720"/>
        <w:jc w:val="both"/>
        <w:rPr>
          <w:rFonts w:ascii="Times New Roman" w:eastAsia="Times New Roman" w:hAnsi="Times New Roman" w:cs="Times New Roman"/>
          <w:sz w:val="20"/>
          <w:szCs w:val="20"/>
        </w:rPr>
      </w:pPr>
    </w:p>
    <w:p w:rsidR="00416987" w:rsidRDefault="00F90C57">
      <w:pPr>
        <w:spacing w:after="200"/>
        <w:ind w:firstLine="720"/>
        <w:jc w:val="center"/>
        <w:rPr>
          <w:rFonts w:ascii="Times New Roman" w:eastAsia="Times New Roman" w:hAnsi="Times New Roman" w:cs="Times New Roman"/>
          <w:b/>
        </w:rPr>
      </w:pPr>
      <w:r>
        <w:rPr>
          <w:rFonts w:ascii="Times New Roman" w:eastAsia="Times New Roman" w:hAnsi="Times New Roman" w:cs="Times New Roman"/>
          <w:b/>
          <w:highlight w:val="white"/>
        </w:rPr>
        <w:t>Johann Georg Hamann</w:t>
      </w:r>
      <w:r w:rsidR="00FF59E6">
        <w:rPr>
          <w:rFonts w:ascii="Times New Roman" w:eastAsia="Times New Roman" w:hAnsi="Times New Roman" w:cs="Times New Roman"/>
          <w:b/>
        </w:rPr>
        <w:t xml:space="preserve"> </w:t>
      </w:r>
      <w:proofErr w:type="spellStart"/>
      <w:r w:rsidR="00FF59E6">
        <w:rPr>
          <w:rFonts w:ascii="Times New Roman" w:eastAsia="Times New Roman" w:hAnsi="Times New Roman" w:cs="Times New Roman"/>
          <w:b/>
        </w:rPr>
        <w:t>and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highlight w:val="white"/>
        </w:rPr>
        <w:t>Søren</w:t>
      </w:r>
      <w:proofErr w:type="spellEnd"/>
      <w:r>
        <w:rPr>
          <w:rFonts w:ascii="Times New Roman" w:eastAsia="Times New Roman" w:hAnsi="Times New Roman" w:cs="Times New Roman"/>
          <w:b/>
          <w:highlight w:val="white"/>
        </w:rPr>
        <w:t xml:space="preserve"> </w:t>
      </w:r>
      <w:proofErr w:type="spellStart"/>
      <w:r>
        <w:rPr>
          <w:rFonts w:ascii="Times New Roman" w:eastAsia="Times New Roman" w:hAnsi="Times New Roman" w:cs="Times New Roman"/>
          <w:b/>
          <w:highlight w:val="white"/>
        </w:rPr>
        <w:t>Aabye</w:t>
      </w:r>
      <w:proofErr w:type="spellEnd"/>
      <w:r>
        <w:rPr>
          <w:rFonts w:ascii="Times New Roman" w:eastAsia="Times New Roman" w:hAnsi="Times New Roman" w:cs="Times New Roman"/>
          <w:b/>
          <w:highlight w:val="white"/>
        </w:rPr>
        <w:t xml:space="preserve"> Kierkegaard</w:t>
      </w:r>
      <w:r>
        <w:rPr>
          <w:rFonts w:ascii="Times New Roman" w:eastAsia="Times New Roman" w:hAnsi="Times New Roman" w:cs="Times New Roman"/>
          <w:b/>
        </w:rPr>
        <w:t>:</w:t>
      </w:r>
    </w:p>
    <w:p w:rsidR="00416987" w:rsidRDefault="00F90C57">
      <w:pPr>
        <w:spacing w:after="200"/>
        <w:ind w:firstLine="720"/>
        <w:jc w:val="center"/>
        <w:rPr>
          <w:rFonts w:ascii="Times New Roman" w:eastAsia="Times New Roman" w:hAnsi="Times New Roman" w:cs="Times New Roman"/>
          <w:b/>
        </w:rPr>
      </w:pPr>
      <w:proofErr w:type="spellStart"/>
      <w:r>
        <w:rPr>
          <w:rFonts w:ascii="Times New Roman" w:eastAsia="Times New Roman" w:hAnsi="Times New Roman" w:cs="Times New Roman"/>
          <w:b/>
        </w:rPr>
        <w:t>Discourse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and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Reconciliation</w:t>
      </w:r>
      <w:proofErr w:type="spellEnd"/>
    </w:p>
    <w:p w:rsidR="00416987" w:rsidRPr="00CE7DA9" w:rsidRDefault="00416987">
      <w:pPr>
        <w:spacing w:after="200"/>
        <w:jc w:val="both"/>
        <w:rPr>
          <w:rFonts w:ascii="Times New Roman" w:eastAsia="Times New Roman" w:hAnsi="Times New Roman" w:cs="Times New Roman"/>
          <w:sz w:val="20"/>
          <w:szCs w:val="20"/>
          <w:lang w:val="en-US"/>
        </w:rPr>
      </w:pPr>
    </w:p>
    <w:p w:rsidR="00416987" w:rsidRDefault="00F90C57">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Hamann, it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impossible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separate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reason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historical</w:t>
      </w:r>
      <w:proofErr w:type="spellEnd"/>
      <w:r>
        <w:rPr>
          <w:rFonts w:ascii="Times New Roman" w:eastAsia="Times New Roman" w:hAnsi="Times New Roman" w:cs="Times New Roman"/>
          <w:sz w:val="20"/>
          <w:szCs w:val="20"/>
        </w:rPr>
        <w:t xml:space="preserve"> reality. Kierkegaard </w:t>
      </w:r>
      <w:proofErr w:type="spellStart"/>
      <w:r>
        <w:rPr>
          <w:rFonts w:ascii="Times New Roman" w:eastAsia="Times New Roman" w:hAnsi="Times New Roman" w:cs="Times New Roman"/>
          <w:sz w:val="20"/>
          <w:szCs w:val="20"/>
        </w:rPr>
        <w:t>borrows</w:t>
      </w:r>
      <w:proofErr w:type="spellEnd"/>
      <w:r>
        <w:rPr>
          <w:rFonts w:ascii="Times New Roman" w:eastAsia="Times New Roman" w:hAnsi="Times New Roman" w:cs="Times New Roman"/>
          <w:sz w:val="20"/>
          <w:szCs w:val="20"/>
        </w:rPr>
        <w:t xml:space="preserve"> Hamann's </w:t>
      </w:r>
      <w:proofErr w:type="spellStart"/>
      <w:r>
        <w:rPr>
          <w:rFonts w:ascii="Times New Roman" w:eastAsia="Times New Roman" w:hAnsi="Times New Roman" w:cs="Times New Roman"/>
          <w:sz w:val="20"/>
          <w:szCs w:val="20"/>
        </w:rPr>
        <w:t>idea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historical</w:t>
      </w:r>
      <w:proofErr w:type="spellEnd"/>
      <w:r>
        <w:rPr>
          <w:rFonts w:ascii="Times New Roman" w:eastAsia="Times New Roman" w:hAnsi="Times New Roman" w:cs="Times New Roman"/>
          <w:sz w:val="20"/>
          <w:szCs w:val="20"/>
        </w:rPr>
        <w:t xml:space="preserve"> reality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inquiring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validity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duality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appropriation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inadequacy</w:t>
      </w:r>
      <w:proofErr w:type="spellEnd"/>
      <w:r>
        <w:rPr>
          <w:rFonts w:ascii="Times New Roman" w:eastAsia="Times New Roman" w:hAnsi="Times New Roman" w:cs="Times New Roman"/>
          <w:sz w:val="20"/>
          <w:szCs w:val="20"/>
        </w:rPr>
        <w:t xml:space="preserve">. Kierkegaard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interested</w:t>
      </w:r>
      <w:proofErr w:type="spellEnd"/>
      <w:r>
        <w:rPr>
          <w:rFonts w:ascii="Times New Roman" w:eastAsia="Times New Roman" w:hAnsi="Times New Roman" w:cs="Times New Roman"/>
          <w:sz w:val="20"/>
          <w:szCs w:val="20"/>
        </w:rPr>
        <w:t xml:space="preserve"> in a </w:t>
      </w:r>
      <w:proofErr w:type="spellStart"/>
      <w:r>
        <w:rPr>
          <w:rFonts w:ascii="Times New Roman" w:eastAsia="Times New Roman" w:hAnsi="Times New Roman" w:cs="Times New Roman"/>
          <w:sz w:val="20"/>
          <w:szCs w:val="20"/>
        </w:rPr>
        <w:t>form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writing</w:t>
      </w:r>
      <w:proofErr w:type="spellEnd"/>
      <w:r>
        <w:rPr>
          <w:rFonts w:ascii="Times New Roman" w:eastAsia="Times New Roman" w:hAnsi="Times New Roman" w:cs="Times New Roman"/>
          <w:sz w:val="20"/>
          <w:szCs w:val="20"/>
        </w:rPr>
        <w:t xml:space="preserve"> (</w:t>
      </w:r>
      <w:proofErr w:type="spellStart"/>
      <w:r w:rsidR="00F9105D">
        <w:rPr>
          <w:rFonts w:ascii="Times New Roman" w:eastAsia="Times New Roman" w:hAnsi="Times New Roman" w:cs="Times New Roman"/>
          <w:i/>
          <w:sz w:val="20"/>
          <w:szCs w:val="20"/>
        </w:rPr>
        <w:t>skriftlig</w:t>
      </w:r>
      <w:proofErr w:type="spellEnd"/>
      <w:r w:rsidR="00F9105D">
        <w:rPr>
          <w:rFonts w:ascii="Times New Roman" w:eastAsia="Times New Roman" w:hAnsi="Times New Roman" w:cs="Times New Roman"/>
          <w:i/>
          <w:sz w:val="20"/>
          <w:szCs w:val="20"/>
        </w:rPr>
        <w:t xml:space="preserve"> </w:t>
      </w:r>
      <w:proofErr w:type="spellStart"/>
      <w:r w:rsidR="00F9105D">
        <w:rPr>
          <w:rFonts w:ascii="Times New Roman" w:eastAsia="Times New Roman" w:hAnsi="Times New Roman" w:cs="Times New Roman"/>
          <w:i/>
          <w:sz w:val="20"/>
          <w:szCs w:val="20"/>
        </w:rPr>
        <w:t>F</w:t>
      </w:r>
      <w:r>
        <w:rPr>
          <w:rFonts w:ascii="Times New Roman" w:eastAsia="Times New Roman" w:hAnsi="Times New Roman" w:cs="Times New Roman"/>
          <w:i/>
          <w:sz w:val="20"/>
          <w:szCs w:val="20"/>
        </w:rPr>
        <w:t>orm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exceeds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formalism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German</w:t>
      </w:r>
      <w:proofErr w:type="spellEnd"/>
      <w:r>
        <w:rPr>
          <w:rFonts w:ascii="Times New Roman" w:eastAsia="Times New Roman" w:hAnsi="Times New Roman" w:cs="Times New Roman"/>
          <w:sz w:val="20"/>
          <w:szCs w:val="20"/>
        </w:rPr>
        <w:t xml:space="preserve"> </w:t>
      </w:r>
      <w:proofErr w:type="spellStart"/>
      <w:r w:rsidR="002148AE">
        <w:rPr>
          <w:rFonts w:ascii="Times New Roman" w:eastAsia="Times New Roman" w:hAnsi="Times New Roman" w:cs="Times New Roman"/>
          <w:sz w:val="20"/>
          <w:szCs w:val="20"/>
        </w:rPr>
        <w:t>philos</w:t>
      </w:r>
      <w:r w:rsidR="00A97591">
        <w:rPr>
          <w:rFonts w:ascii="Times New Roman" w:eastAsia="Times New Roman" w:hAnsi="Times New Roman" w:cs="Times New Roman"/>
          <w:sz w:val="20"/>
          <w:szCs w:val="20"/>
        </w:rPr>
        <w:t>o</w:t>
      </w:r>
      <w:r w:rsidR="002148AE">
        <w:rPr>
          <w:rFonts w:ascii="Times New Roman" w:eastAsia="Times New Roman" w:hAnsi="Times New Roman" w:cs="Times New Roman"/>
          <w:sz w:val="20"/>
          <w:szCs w:val="20"/>
        </w:rPr>
        <w:t>phy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in a </w:t>
      </w:r>
      <w:proofErr w:type="spellStart"/>
      <w:r>
        <w:rPr>
          <w:rFonts w:ascii="Times New Roman" w:eastAsia="Times New Roman" w:hAnsi="Times New Roman" w:cs="Times New Roman"/>
          <w:sz w:val="20"/>
          <w:szCs w:val="20"/>
        </w:rPr>
        <w:t>type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discourse</w:t>
      </w:r>
      <w:proofErr w:type="spellEnd"/>
      <w:r>
        <w:rPr>
          <w:rFonts w:ascii="Times New Roman" w:eastAsia="Times New Roman" w:hAnsi="Times New Roman" w:cs="Times New Roman"/>
          <w:sz w:val="20"/>
          <w:szCs w:val="20"/>
        </w:rPr>
        <w:t xml:space="preserve"> (</w:t>
      </w:r>
      <w:r w:rsidR="00F9105D">
        <w:rPr>
          <w:rFonts w:ascii="Times New Roman" w:eastAsia="Times New Roman" w:hAnsi="Times New Roman" w:cs="Times New Roman"/>
          <w:i/>
          <w:sz w:val="20"/>
          <w:szCs w:val="20"/>
        </w:rPr>
        <w:t>T</w:t>
      </w:r>
      <w:r>
        <w:rPr>
          <w:rFonts w:ascii="Times New Roman" w:eastAsia="Times New Roman" w:hAnsi="Times New Roman" w:cs="Times New Roman"/>
          <w:i/>
          <w:sz w:val="20"/>
          <w:szCs w:val="20"/>
        </w:rPr>
        <w:t>ale</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built</w:t>
      </w:r>
      <w:proofErr w:type="spellEnd"/>
      <w:r>
        <w:rPr>
          <w:rFonts w:ascii="Times New Roman" w:eastAsia="Times New Roman" w:hAnsi="Times New Roman" w:cs="Times New Roman"/>
          <w:sz w:val="20"/>
          <w:szCs w:val="20"/>
        </w:rPr>
        <w:t xml:space="preserve"> </w:t>
      </w:r>
      <w:proofErr w:type="spellStart"/>
      <w:r w:rsidR="00602358">
        <w:rPr>
          <w:rFonts w:ascii="Times New Roman" w:eastAsia="Times New Roman" w:hAnsi="Times New Roman" w:cs="Times New Roman"/>
          <w:sz w:val="20"/>
          <w:szCs w:val="20"/>
        </w:rPr>
        <w:t>around</w:t>
      </w:r>
      <w:proofErr w:type="spellEnd"/>
      <w:r w:rsidR="0060235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Hamann's </w:t>
      </w:r>
      <w:proofErr w:type="spellStart"/>
      <w:r>
        <w:rPr>
          <w:rFonts w:ascii="Times New Roman" w:eastAsia="Times New Roman" w:hAnsi="Times New Roman" w:cs="Times New Roman"/>
          <w:sz w:val="20"/>
          <w:szCs w:val="20"/>
        </w:rPr>
        <w:t>metacritique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Consequently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presented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Hamann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Kierkegaard </w:t>
      </w:r>
      <w:proofErr w:type="spellStart"/>
      <w:r>
        <w:rPr>
          <w:rFonts w:ascii="Times New Roman" w:eastAsia="Times New Roman" w:hAnsi="Times New Roman" w:cs="Times New Roman"/>
          <w:sz w:val="20"/>
          <w:szCs w:val="20"/>
        </w:rPr>
        <w:t>under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discourse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formation</w:t>
      </w:r>
      <w:proofErr w:type="spellEnd"/>
      <w:r>
        <w:rPr>
          <w:rFonts w:ascii="Times New Roman" w:eastAsia="Times New Roman" w:hAnsi="Times New Roman" w:cs="Times New Roman"/>
          <w:sz w:val="20"/>
          <w:szCs w:val="20"/>
        </w:rPr>
        <w:t xml:space="preserve">. </w:t>
      </w:r>
    </w:p>
    <w:p w:rsidR="00416987" w:rsidRDefault="00F90C57">
      <w:pPr>
        <w:spacing w:after="20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Keywords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sz w:val="20"/>
          <w:szCs w:val="20"/>
        </w:rPr>
        <w:t>Discourse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Kierkegaard; Hamann; Word.</w:t>
      </w:r>
    </w:p>
    <w:p w:rsidR="00416987" w:rsidRDefault="00F90C57">
      <w:pPr>
        <w:spacing w:after="200"/>
        <w:jc w:val="both"/>
        <w:rPr>
          <w:rFonts w:ascii="Times New Roman" w:eastAsia="Times New Roman" w:hAnsi="Times New Roman" w:cs="Times New Roman"/>
          <w:sz w:val="20"/>
          <w:szCs w:val="20"/>
        </w:rPr>
      </w:pPr>
      <w:r>
        <w:br w:type="page"/>
      </w:r>
    </w:p>
    <w:p w:rsidR="00416987" w:rsidRDefault="00F90C57">
      <w:pPr>
        <w:spacing w:after="20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Introdução</w:t>
      </w:r>
    </w:p>
    <w:p w:rsidR="00416987" w:rsidRDefault="00416987">
      <w:pPr>
        <w:spacing w:after="200"/>
        <w:rPr>
          <w:rFonts w:ascii="Times New Roman" w:eastAsia="Times New Roman" w:hAnsi="Times New Roman" w:cs="Times New Roman"/>
          <w:b/>
          <w:sz w:val="20"/>
          <w:szCs w:val="20"/>
        </w:rPr>
      </w:pPr>
    </w:p>
    <w:p w:rsidR="00416987" w:rsidRDefault="00FF59E6">
      <w:pPr>
        <w:spacing w:after="200"/>
        <w:ind w:left="425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Falar é traduzir – de uma linguagem</w:t>
      </w:r>
      <w:r w:rsidR="00F90C57">
        <w:rPr>
          <w:rFonts w:ascii="Times New Roman" w:eastAsia="Times New Roman" w:hAnsi="Times New Roman" w:cs="Times New Roman"/>
          <w:sz w:val="16"/>
          <w:szCs w:val="16"/>
        </w:rPr>
        <w:t xml:space="preserve"> angelical para uma linguagem humana, é isso, traduzir pensamentos em palavras, - coisas em nomes – imagens em sin</w:t>
      </w:r>
      <w:r>
        <w:rPr>
          <w:rFonts w:ascii="Times New Roman" w:eastAsia="Times New Roman" w:hAnsi="Times New Roman" w:cs="Times New Roman"/>
          <w:sz w:val="16"/>
          <w:szCs w:val="16"/>
        </w:rPr>
        <w:t>ais, o que pode ser poético ou curiológico</w:t>
      </w:r>
      <w:r w:rsidR="00F90C57">
        <w:rPr>
          <w:rFonts w:ascii="Times New Roman" w:eastAsia="Times New Roman" w:hAnsi="Times New Roman" w:cs="Times New Roman"/>
          <w:sz w:val="16"/>
          <w:szCs w:val="16"/>
        </w:rPr>
        <w:t xml:space="preserve">, histórico, simbólico ou hieroglífico – filosófico ou característico (HAMANN, 2007c, p. 66, </w:t>
      </w:r>
      <w:r w:rsidR="00F90C57">
        <w:rPr>
          <w:rFonts w:ascii="Times New Roman" w:eastAsia="Times New Roman" w:hAnsi="Times New Roman" w:cs="Times New Roman"/>
          <w:color w:val="111111"/>
          <w:sz w:val="16"/>
          <w:szCs w:val="16"/>
          <w:highlight w:val="white"/>
        </w:rPr>
        <w:t>tradução nossa</w:t>
      </w:r>
      <w:r w:rsidR="00F90C57">
        <w:rPr>
          <w:rFonts w:ascii="Times New Roman" w:eastAsia="Times New Roman" w:hAnsi="Times New Roman" w:cs="Times New Roman"/>
          <w:color w:val="111111"/>
          <w:sz w:val="16"/>
          <w:szCs w:val="16"/>
          <w:highlight w:val="white"/>
          <w:vertAlign w:val="superscript"/>
        </w:rPr>
        <w:footnoteReference w:id="2"/>
      </w:r>
      <w:r w:rsidR="00F90C57">
        <w:rPr>
          <w:rFonts w:ascii="Times New Roman" w:eastAsia="Times New Roman" w:hAnsi="Times New Roman" w:cs="Times New Roman"/>
          <w:sz w:val="16"/>
          <w:szCs w:val="16"/>
        </w:rPr>
        <w:t xml:space="preserve">). </w:t>
      </w:r>
    </w:p>
    <w:p w:rsidR="00416987" w:rsidRDefault="00416987">
      <w:pPr>
        <w:spacing w:after="200"/>
        <w:ind w:left="2267"/>
        <w:jc w:val="both"/>
        <w:rPr>
          <w:rFonts w:ascii="Times New Roman" w:eastAsia="Times New Roman" w:hAnsi="Times New Roman" w:cs="Times New Roman"/>
          <w:sz w:val="16"/>
          <w:szCs w:val="16"/>
        </w:rPr>
      </w:pP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Johann Georg Hamann (1730–88), mais conhecido por ter sido amigo e crítico de Kant, foi um filósofo alemão do século XVIII. Seu trabalho foi lido por grandes mestres da filosofi</w:t>
      </w:r>
      <w:r w:rsidR="00FF59E6">
        <w:rPr>
          <w:rFonts w:ascii="Times New Roman" w:eastAsia="Times New Roman" w:hAnsi="Times New Roman" w:cs="Times New Roman"/>
          <w:sz w:val="20"/>
          <w:szCs w:val="20"/>
        </w:rPr>
        <w:t>a e da literatura moderna como parte central do movimento Contra Iluminismo</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Counter-Enlightenment</w:t>
      </w:r>
      <w:proofErr w:type="spellEnd"/>
      <w:r>
        <w:rPr>
          <w:rFonts w:ascii="Times New Roman" w:eastAsia="Times New Roman" w:hAnsi="Times New Roman" w:cs="Times New Roman"/>
          <w:sz w:val="20"/>
          <w:szCs w:val="20"/>
        </w:rPr>
        <w:t xml:space="preserve">), que se estabeleceu na Europa durante os séculos XVIII e XIX. Apesar disso, Hamann não é suficientemente conhecido entre nós. Esse anonimato pode ser explicado de duas maneiras. Primeiro, o escasso conhecimento sobre Hamann é atribuído à sua postura filosófica e literária, o que torna a tradução dos seus textos uma tarefa imensamente exaustiva. Segundo, na constelação do pensamento moderno, a importância de Hamann para filosofia da linguagem, principalmente para a filosofia da linguagem contemporânea, é obscurecida. Por causa dessa negligência à contribuição de Hamann para linguagem, é possível </w:t>
      </w:r>
      <w:r w:rsidR="00FF59E6">
        <w:rPr>
          <w:rFonts w:ascii="Times New Roman" w:eastAsia="Times New Roman" w:hAnsi="Times New Roman" w:cs="Times New Roman"/>
          <w:sz w:val="20"/>
          <w:szCs w:val="20"/>
        </w:rPr>
        <w:t xml:space="preserve">e necessário </w:t>
      </w:r>
      <w:r>
        <w:rPr>
          <w:rFonts w:ascii="Times New Roman" w:eastAsia="Times New Roman" w:hAnsi="Times New Roman" w:cs="Times New Roman"/>
          <w:sz w:val="20"/>
          <w:szCs w:val="20"/>
        </w:rPr>
        <w:t>estabelecer uma conjectura a respeito das filosofi</w:t>
      </w:r>
      <w:r w:rsidR="00A00C59">
        <w:rPr>
          <w:rFonts w:ascii="Times New Roman" w:eastAsia="Times New Roman" w:hAnsi="Times New Roman" w:cs="Times New Roman"/>
          <w:sz w:val="20"/>
          <w:szCs w:val="20"/>
        </w:rPr>
        <w:t>as de Hegel e Kierkegaard onde a</w:t>
      </w:r>
      <w:r>
        <w:rPr>
          <w:rFonts w:ascii="Times New Roman" w:eastAsia="Times New Roman" w:hAnsi="Times New Roman" w:cs="Times New Roman"/>
          <w:sz w:val="20"/>
          <w:szCs w:val="20"/>
        </w:rPr>
        <w:t xml:space="preserve">mbos </w:t>
      </w:r>
      <w:r w:rsidR="00FF59E6">
        <w:rPr>
          <w:rFonts w:ascii="Times New Roman" w:eastAsia="Times New Roman" w:hAnsi="Times New Roman" w:cs="Times New Roman"/>
          <w:sz w:val="20"/>
          <w:szCs w:val="20"/>
        </w:rPr>
        <w:t xml:space="preserve">os autores </w:t>
      </w:r>
      <w:r>
        <w:rPr>
          <w:rFonts w:ascii="Times New Roman" w:eastAsia="Times New Roman" w:hAnsi="Times New Roman" w:cs="Times New Roman"/>
          <w:sz w:val="20"/>
          <w:szCs w:val="20"/>
        </w:rPr>
        <w:t xml:space="preserve">lutam com e contra Hamann para criar um discurso filosófico. Desse modo, um entendimento da relação entre Hamann e linguagem - especialmente com vistas à influência que ele exerce sobre Kierkegaard - pode interessar ao leitor de Kierkegaard e ao leitor do idealismo alemão.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De imediato percebe-se que amante das paródias, Hamann ganhou o desprezo e um lugar sem destaque nas estantes de filosofia. Apesar disso e por sua singularidade, Hamann chamou a atenção de autores como </w:t>
      </w:r>
      <w:proofErr w:type="spellStart"/>
      <w:r>
        <w:rPr>
          <w:rFonts w:ascii="Times New Roman" w:eastAsia="Times New Roman" w:hAnsi="Times New Roman" w:cs="Times New Roman"/>
          <w:sz w:val="20"/>
          <w:szCs w:val="20"/>
          <w:highlight w:val="white"/>
        </w:rPr>
        <w:t>Gotthold</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Ephraim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Lessing</w:t>
      </w:r>
      <w:proofErr w:type="spellEnd"/>
      <w:r>
        <w:rPr>
          <w:rFonts w:ascii="Times New Roman" w:eastAsia="Times New Roman" w:hAnsi="Times New Roman" w:cs="Times New Roman"/>
          <w:sz w:val="20"/>
          <w:szCs w:val="20"/>
          <w:highlight w:val="white"/>
        </w:rPr>
        <w:t xml:space="preserve"> (1729-1781),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Johann </w:t>
      </w:r>
      <w:proofErr w:type="spellStart"/>
      <w:r>
        <w:rPr>
          <w:rFonts w:ascii="Times New Roman" w:eastAsia="Times New Roman" w:hAnsi="Times New Roman" w:cs="Times New Roman"/>
          <w:sz w:val="20"/>
          <w:szCs w:val="20"/>
          <w:highlight w:val="white"/>
        </w:rPr>
        <w:t>Gottfried</w:t>
      </w:r>
      <w:proofErr w:type="spellEnd"/>
      <w:r>
        <w:rPr>
          <w:rFonts w:ascii="Times New Roman" w:eastAsia="Times New Roman" w:hAnsi="Times New Roman" w:cs="Times New Roman"/>
          <w:sz w:val="20"/>
          <w:szCs w:val="20"/>
          <w:highlight w:val="white"/>
        </w:rPr>
        <w:t xml:space="preserve"> von </w:t>
      </w:r>
      <w:proofErr w:type="spellStart"/>
      <w:r>
        <w:rPr>
          <w:rFonts w:ascii="Times New Roman" w:eastAsia="Times New Roman" w:hAnsi="Times New Roman" w:cs="Times New Roman"/>
          <w:sz w:val="20"/>
          <w:szCs w:val="20"/>
          <w:highlight w:val="white"/>
        </w:rPr>
        <w:t>Herder</w:t>
      </w:r>
      <w:proofErr w:type="spellEnd"/>
      <w:r>
        <w:rPr>
          <w:rFonts w:ascii="Times New Roman" w:eastAsia="Times New Roman" w:hAnsi="Times New Roman" w:cs="Times New Roman"/>
          <w:sz w:val="20"/>
          <w:szCs w:val="20"/>
          <w:highlight w:val="white"/>
        </w:rPr>
        <w:t xml:space="preserve"> (1744-1803), Christian Jacob </w:t>
      </w:r>
      <w:proofErr w:type="spellStart"/>
      <w:r>
        <w:rPr>
          <w:rFonts w:ascii="Times New Roman" w:eastAsia="Times New Roman" w:hAnsi="Times New Roman" w:cs="Times New Roman"/>
          <w:sz w:val="20"/>
          <w:szCs w:val="20"/>
          <w:highlight w:val="white"/>
        </w:rPr>
        <w:t>Kraus</w:t>
      </w:r>
      <w:proofErr w:type="spellEnd"/>
      <w:r>
        <w:rPr>
          <w:rFonts w:ascii="Times New Roman" w:eastAsia="Times New Roman" w:hAnsi="Times New Roman" w:cs="Times New Roman"/>
          <w:sz w:val="20"/>
          <w:szCs w:val="20"/>
          <w:highlight w:val="white"/>
        </w:rPr>
        <w:t xml:space="preserve"> (1753-1807)</w:t>
      </w:r>
      <w:r>
        <w:rPr>
          <w:rFonts w:ascii="Times New Roman" w:eastAsia="Times New Roman" w:hAnsi="Times New Roman" w:cs="Times New Roman"/>
          <w:sz w:val="20"/>
          <w:szCs w:val="20"/>
        </w:rPr>
        <w:t xml:space="preserve"> e </w:t>
      </w:r>
      <w:r>
        <w:rPr>
          <w:rFonts w:ascii="Times New Roman" w:eastAsia="Times New Roman" w:hAnsi="Times New Roman" w:cs="Times New Roman"/>
          <w:sz w:val="20"/>
          <w:szCs w:val="20"/>
          <w:highlight w:val="white"/>
        </w:rPr>
        <w:t xml:space="preserve">Johann Wolfgang von Goethe </w:t>
      </w:r>
      <w:r>
        <w:rPr>
          <w:rFonts w:ascii="Times New Roman" w:eastAsia="Times New Roman" w:hAnsi="Times New Roman" w:cs="Times New Roman"/>
          <w:sz w:val="20"/>
          <w:szCs w:val="20"/>
        </w:rPr>
        <w:t xml:space="preserve">(1749-1832), para citar apenas alguns. E ainda que exista imensa riqueza de saberes contida nesses autores, neste trabalho, nós iremos </w:t>
      </w:r>
      <w:r w:rsidR="006324A7">
        <w:rPr>
          <w:rFonts w:ascii="Times New Roman" w:eastAsia="Times New Roman" w:hAnsi="Times New Roman" w:cs="Times New Roman"/>
          <w:sz w:val="20"/>
          <w:szCs w:val="20"/>
        </w:rPr>
        <w:t xml:space="preserve">analisar apenas </w:t>
      </w:r>
      <w:r>
        <w:rPr>
          <w:rFonts w:ascii="Times New Roman" w:eastAsia="Times New Roman" w:hAnsi="Times New Roman" w:cs="Times New Roman"/>
          <w:sz w:val="20"/>
          <w:szCs w:val="20"/>
        </w:rPr>
        <w:t xml:space="preserve">a leitura </w:t>
      </w:r>
      <w:r w:rsidR="003A3081">
        <w:rPr>
          <w:rFonts w:ascii="Times New Roman" w:eastAsia="Times New Roman" w:hAnsi="Times New Roman" w:cs="Times New Roman"/>
          <w:sz w:val="20"/>
          <w:szCs w:val="20"/>
        </w:rPr>
        <w:t xml:space="preserve">de Hamann </w:t>
      </w:r>
      <w:r>
        <w:rPr>
          <w:rFonts w:ascii="Times New Roman" w:eastAsia="Times New Roman" w:hAnsi="Times New Roman" w:cs="Times New Roman"/>
          <w:sz w:val="20"/>
          <w:szCs w:val="20"/>
        </w:rPr>
        <w:t>feita por Hegel e Kierkegaard, autores que constituem o diálogo entre palavra e discurso e são admiradores e acusadores do gênio de Ham</w:t>
      </w:r>
      <w:r w:rsidR="00FF59E6">
        <w:rPr>
          <w:rFonts w:ascii="Times New Roman" w:eastAsia="Times New Roman" w:hAnsi="Times New Roman" w:cs="Times New Roman"/>
          <w:sz w:val="20"/>
          <w:szCs w:val="20"/>
        </w:rPr>
        <w:t>ann no que tange ao discurso e ao</w:t>
      </w:r>
      <w:r>
        <w:rPr>
          <w:rFonts w:ascii="Times New Roman" w:eastAsia="Times New Roman" w:hAnsi="Times New Roman" w:cs="Times New Roman"/>
          <w:sz w:val="20"/>
          <w:szCs w:val="20"/>
        </w:rPr>
        <w:t xml:space="preserve"> papel do Eu no mundo.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principal crítica de Hegel a Hamann é que este último não tem uma produção acadêmica adequada. Hamann, de modo algum, representa os estereótipos dos filósofos contemporâneos de Kant destacados por seu método rigoroso e racion</w:t>
      </w:r>
      <w:r w:rsidR="004A315D">
        <w:rPr>
          <w:rFonts w:ascii="Times New Roman" w:eastAsia="Times New Roman" w:hAnsi="Times New Roman" w:cs="Times New Roman"/>
          <w:sz w:val="20"/>
          <w:szCs w:val="20"/>
        </w:rPr>
        <w:t xml:space="preserve">al. Assim como </w:t>
      </w:r>
      <w:proofErr w:type="spellStart"/>
      <w:r w:rsidR="004A315D">
        <w:rPr>
          <w:rFonts w:ascii="Times New Roman" w:eastAsia="Times New Roman" w:hAnsi="Times New Roman" w:cs="Times New Roman"/>
          <w:sz w:val="20"/>
          <w:szCs w:val="20"/>
        </w:rPr>
        <w:t>Haynes</w:t>
      </w:r>
      <w:proofErr w:type="spellEnd"/>
      <w:r w:rsidR="004A315D">
        <w:rPr>
          <w:rFonts w:ascii="Times New Roman" w:eastAsia="Times New Roman" w:hAnsi="Times New Roman" w:cs="Times New Roman"/>
          <w:sz w:val="20"/>
          <w:szCs w:val="20"/>
        </w:rPr>
        <w:t xml:space="preserve"> (2007, p. </w:t>
      </w:r>
      <w:proofErr w:type="spellStart"/>
      <w:r>
        <w:rPr>
          <w:rFonts w:ascii="Times New Roman" w:eastAsia="Times New Roman" w:hAnsi="Times New Roman" w:cs="Times New Roman"/>
          <w:sz w:val="20"/>
          <w:szCs w:val="20"/>
        </w:rPr>
        <w:t>vii</w:t>
      </w:r>
      <w:proofErr w:type="spellEnd"/>
      <w:r>
        <w:rPr>
          <w:rFonts w:ascii="Times New Roman" w:eastAsia="Times New Roman" w:hAnsi="Times New Roman" w:cs="Times New Roman"/>
          <w:sz w:val="20"/>
          <w:szCs w:val="20"/>
        </w:rPr>
        <w:t>) deixa claro, Hamann "é proeminente na história da literatura germânica, sendo conhecido, acima de tudo, por um estilo idiossincrático e, por vezes, bizarro que estava diretamente e intransigentemente oposto a estética de seu tempo, o que fascinava e, às vezes, influenciava escritores do século XIX". E</w:t>
      </w:r>
      <w:r w:rsidR="00755FC9">
        <w:rPr>
          <w:rFonts w:ascii="Times New Roman" w:eastAsia="Times New Roman" w:hAnsi="Times New Roman" w:cs="Times New Roman"/>
          <w:sz w:val="20"/>
          <w:szCs w:val="20"/>
        </w:rPr>
        <w:t xml:space="preserve">sse estilo, </w:t>
      </w:r>
      <w:r w:rsidR="00FF59E6">
        <w:rPr>
          <w:rFonts w:ascii="Times New Roman" w:eastAsia="Times New Roman" w:hAnsi="Times New Roman" w:cs="Times New Roman"/>
          <w:sz w:val="20"/>
          <w:szCs w:val="20"/>
        </w:rPr>
        <w:t>c</w:t>
      </w:r>
      <w:r w:rsidR="00755FC9">
        <w:rPr>
          <w:rFonts w:ascii="Times New Roman" w:eastAsia="Times New Roman" w:hAnsi="Times New Roman" w:cs="Times New Roman"/>
          <w:sz w:val="20"/>
          <w:szCs w:val="20"/>
        </w:rPr>
        <w:t>ontid</w:t>
      </w:r>
      <w:r w:rsidR="00FF59E6">
        <w:rPr>
          <w:rFonts w:ascii="Times New Roman" w:eastAsia="Times New Roman" w:hAnsi="Times New Roman" w:cs="Times New Roman"/>
          <w:sz w:val="20"/>
          <w:szCs w:val="20"/>
        </w:rPr>
        <w:t xml:space="preserve">o na </w:t>
      </w:r>
      <w:r>
        <w:rPr>
          <w:rFonts w:ascii="Times New Roman" w:eastAsia="Times New Roman" w:hAnsi="Times New Roman" w:cs="Times New Roman"/>
          <w:sz w:val="20"/>
          <w:szCs w:val="20"/>
        </w:rPr>
        <w:t>forma de escrever</w:t>
      </w:r>
      <w:r w:rsidR="00755FC9">
        <w:rPr>
          <w:rFonts w:ascii="Times New Roman" w:eastAsia="Times New Roman" w:hAnsi="Times New Roman" w:cs="Times New Roman"/>
          <w:sz w:val="20"/>
          <w:szCs w:val="20"/>
        </w:rPr>
        <w:t xml:space="preserve"> de Hamann, </w:t>
      </w:r>
      <w:r>
        <w:rPr>
          <w:rFonts w:ascii="Times New Roman" w:eastAsia="Times New Roman" w:hAnsi="Times New Roman" w:cs="Times New Roman"/>
          <w:sz w:val="20"/>
          <w:szCs w:val="20"/>
        </w:rPr>
        <w:t xml:space="preserve">agradou e desagradou o jovem Hegel. Hamann foi sem dúvidas um gênio, no entanto, ele foi um gênio inconsequente, e como todo gênio sem disciplina, ele não foi capaz nem de construir um sistema de pensamento, nem de contribuir para o desenvolvimento da história da filosofia segundo </w:t>
      </w:r>
      <w:r w:rsidR="00FF59E6">
        <w:rPr>
          <w:rFonts w:ascii="Times New Roman" w:eastAsia="Times New Roman" w:hAnsi="Times New Roman" w:cs="Times New Roman"/>
          <w:sz w:val="20"/>
          <w:szCs w:val="20"/>
        </w:rPr>
        <w:t xml:space="preserve">os </w:t>
      </w:r>
      <w:r>
        <w:rPr>
          <w:rFonts w:ascii="Times New Roman" w:eastAsia="Times New Roman" w:hAnsi="Times New Roman" w:cs="Times New Roman"/>
          <w:sz w:val="20"/>
          <w:szCs w:val="20"/>
        </w:rPr>
        <w:t xml:space="preserve">seus críticos.  Hegel escreve: </w:t>
      </w:r>
    </w:p>
    <w:p w:rsidR="00416987" w:rsidRDefault="00416987">
      <w:pPr>
        <w:spacing w:after="200"/>
        <w:ind w:firstLine="720"/>
        <w:jc w:val="both"/>
        <w:rPr>
          <w:rFonts w:ascii="Times New Roman" w:eastAsia="Times New Roman" w:hAnsi="Times New Roman" w:cs="Times New Roman"/>
          <w:sz w:val="20"/>
          <w:szCs w:val="20"/>
        </w:rPr>
      </w:pPr>
    </w:p>
    <w:p w:rsidR="00416987" w:rsidRDefault="00F90C57">
      <w:pPr>
        <w:spacing w:after="200"/>
        <w:ind w:left="22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Nesse aspecto ele [Hamann] é mais parecido com </w:t>
      </w:r>
      <w:proofErr w:type="spellStart"/>
      <w:r>
        <w:rPr>
          <w:rFonts w:ascii="Times New Roman" w:eastAsia="Times New Roman" w:hAnsi="Times New Roman" w:cs="Times New Roman"/>
          <w:i/>
          <w:sz w:val="16"/>
          <w:szCs w:val="16"/>
        </w:rPr>
        <w:t>Hippel</w:t>
      </w:r>
      <w:proofErr w:type="spellEnd"/>
      <w:r>
        <w:rPr>
          <w:rFonts w:ascii="Times New Roman" w:eastAsia="Times New Roman" w:hAnsi="Times New Roman" w:cs="Times New Roman"/>
          <w:i/>
          <w:sz w:val="16"/>
          <w:szCs w:val="16"/>
        </w:rPr>
        <w:t xml:space="preserve">, </w:t>
      </w:r>
      <w:r>
        <w:rPr>
          <w:rFonts w:ascii="Times New Roman" w:eastAsia="Times New Roman" w:hAnsi="Times New Roman" w:cs="Times New Roman"/>
          <w:sz w:val="16"/>
          <w:szCs w:val="16"/>
        </w:rPr>
        <w:t>que [não] pode estender sua acepção interior em direção nem do conhecimento nem da poesia, mas ele é apenas capaz de uma expressão bem-humorada, flamejante e incoerente. No entanto, esse humor não é rico, nem diverso em sentimento, esse humor é completamente destituído de todo impulso ou tentativa de formação; ele [Hamann] se mantém limitadamente subjetivo. Ele compartilha maiores similaridades com um amigo com quem a sua relação aparece em sua correspondência como a mais íntima e descuidada, com</w:t>
      </w:r>
      <w:r>
        <w:rPr>
          <w:rFonts w:ascii="Times New Roman" w:eastAsia="Times New Roman" w:hAnsi="Times New Roman" w:cs="Times New Roman"/>
          <w:i/>
          <w:sz w:val="16"/>
          <w:szCs w:val="16"/>
        </w:rPr>
        <w:t xml:space="preserve"> Jacob</w:t>
      </w:r>
      <w:r>
        <w:rPr>
          <w:rFonts w:ascii="Times New Roman" w:eastAsia="Times New Roman" w:hAnsi="Times New Roman" w:cs="Times New Roman"/>
          <w:sz w:val="16"/>
          <w:szCs w:val="16"/>
        </w:rPr>
        <w:t>, que era capaz apenas de escrever cartas, e como Hamann, nenhum livro. Por outro lado, as cartas de Jacob são claras enquanto tal; elas apontam para um pensamento que se aproxima de um certo desenvolvimento, execução, e um certo progresso e assim essas cartas se tornam uma sequência coerente e uma esp</w:t>
      </w:r>
      <w:r w:rsidR="004A315D">
        <w:rPr>
          <w:rFonts w:ascii="Times New Roman" w:eastAsia="Times New Roman" w:hAnsi="Times New Roman" w:cs="Times New Roman"/>
          <w:sz w:val="16"/>
          <w:szCs w:val="16"/>
        </w:rPr>
        <w:t xml:space="preserve">écie de livro. (HEGEL, 2008, p. </w:t>
      </w:r>
      <w:r>
        <w:rPr>
          <w:rFonts w:ascii="Times New Roman" w:eastAsia="Times New Roman" w:hAnsi="Times New Roman" w:cs="Times New Roman"/>
          <w:sz w:val="16"/>
          <w:szCs w:val="16"/>
        </w:rPr>
        <w:t>06, grifo do autor).</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Para Kierkegaard não é diferente, o gênio de Hamann é escandaloso e sublime. Por vezes pernicioso, Hamann trata de todos os problemas, ainda que sérios, com uma pitada de humor. Sua escrita afiada não é desrespeitosa, mas imprudentemente sagaz. Por isso mesmo, Kierkega</w:t>
      </w:r>
      <w:r w:rsidR="00FF59E6">
        <w:rPr>
          <w:rFonts w:ascii="Times New Roman" w:eastAsia="Times New Roman" w:hAnsi="Times New Roman" w:cs="Times New Roman"/>
          <w:sz w:val="20"/>
          <w:szCs w:val="20"/>
        </w:rPr>
        <w:t>ard interpreta Hamann, às vezes de forma apaixonada, outras</w:t>
      </w:r>
      <w:r>
        <w:rPr>
          <w:rFonts w:ascii="Times New Roman" w:eastAsia="Times New Roman" w:hAnsi="Times New Roman" w:cs="Times New Roman"/>
          <w:sz w:val="20"/>
          <w:szCs w:val="20"/>
        </w:rPr>
        <w:t xml:space="preserve"> tempestuosa como é o caso dessa passagem: "Humor </w:t>
      </w:r>
      <w:r w:rsidR="00FF59E6">
        <w:rPr>
          <w:rFonts w:ascii="Times New Roman" w:eastAsia="Times New Roman" w:hAnsi="Times New Roman" w:cs="Times New Roman"/>
          <w:sz w:val="20"/>
          <w:szCs w:val="20"/>
        </w:rPr>
        <w:t>pode, portanto,</w:t>
      </w:r>
      <w:r>
        <w:rPr>
          <w:rFonts w:ascii="Times New Roman" w:eastAsia="Times New Roman" w:hAnsi="Times New Roman" w:cs="Times New Roman"/>
          <w:sz w:val="20"/>
          <w:szCs w:val="20"/>
        </w:rPr>
        <w:t xml:space="preserve"> beirar a blasfêmia. Hamann preferia ouvir a sabedoria (</w:t>
      </w:r>
      <w:proofErr w:type="spellStart"/>
      <w:r>
        <w:rPr>
          <w:rFonts w:ascii="Times New Roman" w:eastAsia="Times New Roman" w:hAnsi="Times New Roman" w:cs="Times New Roman"/>
          <w:i/>
          <w:sz w:val="20"/>
          <w:szCs w:val="20"/>
          <w:highlight w:val="white"/>
        </w:rPr>
        <w:t>Viisdom</w:t>
      </w:r>
      <w:proofErr w:type="spellEnd"/>
      <w:r>
        <w:rPr>
          <w:rFonts w:ascii="Times New Roman" w:eastAsia="Times New Roman" w:hAnsi="Times New Roman" w:cs="Times New Roman"/>
          <w:sz w:val="20"/>
          <w:szCs w:val="20"/>
        </w:rPr>
        <w:t xml:space="preserve">) dos burros de </w:t>
      </w:r>
      <w:proofErr w:type="spellStart"/>
      <w:r>
        <w:rPr>
          <w:rFonts w:ascii="Times New Roman" w:eastAsia="Times New Roman" w:hAnsi="Times New Roman" w:cs="Times New Roman"/>
          <w:sz w:val="20"/>
          <w:szCs w:val="20"/>
        </w:rPr>
        <w:t>Balaão</w:t>
      </w:r>
      <w:proofErr w:type="spellEnd"/>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sz w:val="20"/>
          <w:szCs w:val="20"/>
        </w:rPr>
        <w:t xml:space="preserve">ou de um filósofo contra a vontade dele do que de um anjo ou um </w:t>
      </w:r>
      <w:r w:rsidR="004A315D">
        <w:rPr>
          <w:rFonts w:ascii="Times New Roman" w:eastAsia="Times New Roman" w:hAnsi="Times New Roman" w:cs="Times New Roman"/>
          <w:sz w:val="20"/>
          <w:szCs w:val="20"/>
        </w:rPr>
        <w:t xml:space="preserve">apóstolo"(KIERKEGAARD, 2007, p. </w:t>
      </w:r>
      <w:r>
        <w:rPr>
          <w:rFonts w:ascii="Times New Roman" w:eastAsia="Times New Roman" w:hAnsi="Times New Roman" w:cs="Times New Roman"/>
          <w:sz w:val="20"/>
          <w:szCs w:val="20"/>
        </w:rPr>
        <w:t xml:space="preserve">217, Jornal DD: 18). O interesse de Kierkegaard em </w:t>
      </w:r>
      <w:r>
        <w:rPr>
          <w:rFonts w:ascii="Times New Roman" w:eastAsia="Times New Roman" w:hAnsi="Times New Roman" w:cs="Times New Roman"/>
          <w:sz w:val="20"/>
          <w:szCs w:val="20"/>
        </w:rPr>
        <w:lastRenderedPageBreak/>
        <w:t>cultivar uma forma escrita metacrí</w:t>
      </w:r>
      <w:r w:rsidR="00FF59E6">
        <w:rPr>
          <w:rFonts w:ascii="Times New Roman" w:eastAsia="Times New Roman" w:hAnsi="Times New Roman" w:cs="Times New Roman"/>
          <w:sz w:val="20"/>
          <w:szCs w:val="20"/>
        </w:rPr>
        <w:t xml:space="preserve">tica - </w:t>
      </w:r>
      <w:r>
        <w:rPr>
          <w:rFonts w:ascii="Times New Roman" w:eastAsia="Times New Roman" w:hAnsi="Times New Roman" w:cs="Times New Roman"/>
          <w:sz w:val="20"/>
          <w:szCs w:val="20"/>
        </w:rPr>
        <w:t>seu uso de figuras de linguagem e o diálogo fr</w:t>
      </w:r>
      <w:r w:rsidR="00FF59E6">
        <w:rPr>
          <w:rFonts w:ascii="Times New Roman" w:eastAsia="Times New Roman" w:hAnsi="Times New Roman" w:cs="Times New Roman"/>
          <w:sz w:val="20"/>
          <w:szCs w:val="20"/>
        </w:rPr>
        <w:t xml:space="preserve">enético com seus contemporâneos - </w:t>
      </w:r>
      <w:r>
        <w:rPr>
          <w:rFonts w:ascii="Times New Roman" w:eastAsia="Times New Roman" w:hAnsi="Times New Roman" w:cs="Times New Roman"/>
          <w:sz w:val="20"/>
          <w:szCs w:val="20"/>
        </w:rPr>
        <w:t>representa uma similaridade com Hamann que vai além de um interesse merament</w:t>
      </w:r>
      <w:r w:rsidR="00FF59E6">
        <w:rPr>
          <w:rFonts w:ascii="Times New Roman" w:eastAsia="Times New Roman" w:hAnsi="Times New Roman" w:cs="Times New Roman"/>
          <w:sz w:val="20"/>
          <w:szCs w:val="20"/>
        </w:rPr>
        <w:t xml:space="preserve">e filosófico, este interesse é </w:t>
      </w:r>
      <w:r>
        <w:rPr>
          <w:rFonts w:ascii="Times New Roman" w:eastAsia="Times New Roman" w:hAnsi="Times New Roman" w:cs="Times New Roman"/>
          <w:sz w:val="20"/>
          <w:szCs w:val="20"/>
        </w:rPr>
        <w:t xml:space="preserve">constituído </w:t>
      </w:r>
      <w:r w:rsidR="00FF59E6">
        <w:rPr>
          <w:rFonts w:ascii="Times New Roman" w:eastAsia="Times New Roman" w:hAnsi="Times New Roman" w:cs="Times New Roman"/>
          <w:sz w:val="20"/>
          <w:szCs w:val="20"/>
        </w:rPr>
        <w:t xml:space="preserve">na verdade </w:t>
      </w:r>
      <w:r>
        <w:rPr>
          <w:rFonts w:ascii="Times New Roman" w:eastAsia="Times New Roman" w:hAnsi="Times New Roman" w:cs="Times New Roman"/>
          <w:sz w:val="20"/>
          <w:szCs w:val="20"/>
        </w:rPr>
        <w:t>por uma forma de admiração e repulsa. Até mesmo a natureza polêmica de Hamann é adotada por Kierkegaard de modo radical em seus últimos anos</w:t>
      </w:r>
      <w:r w:rsidR="00FF59E6">
        <w:rPr>
          <w:rFonts w:ascii="Times New Roman" w:eastAsia="Times New Roman" w:hAnsi="Times New Roman" w:cs="Times New Roman"/>
          <w:sz w:val="20"/>
          <w:szCs w:val="20"/>
        </w:rPr>
        <w:t xml:space="preserve"> de vida</w:t>
      </w:r>
      <w:r>
        <w:rPr>
          <w:rFonts w:ascii="Times New Roman" w:eastAsia="Times New Roman" w:hAnsi="Times New Roman" w:cs="Times New Roman"/>
          <w:sz w:val="20"/>
          <w:szCs w:val="20"/>
        </w:rPr>
        <w:t xml:space="preserve">. </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Apesar das muitas evidências da influência de Hamann sobre Kierkegaard em trabalhos centrais como nas obras </w:t>
      </w:r>
      <w:r>
        <w:rPr>
          <w:rFonts w:ascii="Times New Roman" w:eastAsia="Times New Roman" w:hAnsi="Times New Roman" w:cs="Times New Roman"/>
          <w:i/>
          <w:sz w:val="20"/>
          <w:szCs w:val="20"/>
        </w:rPr>
        <w:t xml:space="preserve">O Conceito de Ironia: Constantemente Referido a Sócrates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Om </w:t>
      </w:r>
      <w:proofErr w:type="spellStart"/>
      <w:r>
        <w:rPr>
          <w:rFonts w:ascii="Times New Roman" w:eastAsia="Times New Roman" w:hAnsi="Times New Roman" w:cs="Times New Roman"/>
          <w:i/>
          <w:sz w:val="20"/>
          <w:szCs w:val="20"/>
        </w:rPr>
        <w:t>Begrebet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Ironi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stadigt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Hensyn</w:t>
      </w:r>
      <w:proofErr w:type="spellEnd"/>
      <w:r>
        <w:rPr>
          <w:rFonts w:ascii="Times New Roman" w:eastAsia="Times New Roman" w:hAnsi="Times New Roman" w:cs="Times New Roman"/>
          <w:i/>
          <w:sz w:val="20"/>
          <w:szCs w:val="20"/>
        </w:rPr>
        <w:t xml:space="preserve"> til </w:t>
      </w:r>
      <w:proofErr w:type="spellStart"/>
      <w:r>
        <w:rPr>
          <w:rFonts w:ascii="Times New Roman" w:eastAsia="Times New Roman" w:hAnsi="Times New Roman" w:cs="Times New Roman"/>
          <w:i/>
          <w:sz w:val="20"/>
          <w:szCs w:val="20"/>
        </w:rPr>
        <w:t>Socrates</w:t>
      </w:r>
      <w:proofErr w:type="spellEnd"/>
      <w:r>
        <w:rPr>
          <w:rFonts w:ascii="Times New Roman" w:eastAsia="Times New Roman" w:hAnsi="Times New Roman" w:cs="Times New Roman"/>
          <w:sz w:val="20"/>
          <w:szCs w:val="20"/>
        </w:rPr>
        <w:t xml:space="preserve">, 1841), </w:t>
      </w:r>
      <w:r>
        <w:rPr>
          <w:rFonts w:ascii="Times New Roman" w:eastAsia="Times New Roman" w:hAnsi="Times New Roman" w:cs="Times New Roman"/>
          <w:i/>
          <w:sz w:val="20"/>
          <w:szCs w:val="20"/>
        </w:rPr>
        <w:t xml:space="preserve">Ou-Ou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Enten</w:t>
      </w:r>
      <w:proofErr w:type="spellEnd"/>
      <w:r>
        <w:rPr>
          <w:rFonts w:ascii="Times New Roman" w:eastAsia="Times New Roman" w:hAnsi="Times New Roman" w:cs="Times New Roman"/>
          <w:i/>
          <w:sz w:val="20"/>
          <w:szCs w:val="20"/>
        </w:rPr>
        <w:t>/Eller</w:t>
      </w:r>
      <w:r>
        <w:rPr>
          <w:rFonts w:ascii="Times New Roman" w:eastAsia="Times New Roman" w:hAnsi="Times New Roman" w:cs="Times New Roman"/>
          <w:sz w:val="20"/>
          <w:szCs w:val="20"/>
        </w:rPr>
        <w:t xml:space="preserve">, 1843),  </w:t>
      </w:r>
      <w:r>
        <w:rPr>
          <w:rFonts w:ascii="Times New Roman" w:eastAsia="Times New Roman" w:hAnsi="Times New Roman" w:cs="Times New Roman"/>
          <w:i/>
          <w:sz w:val="20"/>
          <w:szCs w:val="20"/>
        </w:rPr>
        <w:t xml:space="preserve">Repetição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Gjentagelsen</w:t>
      </w:r>
      <w:proofErr w:type="spellEnd"/>
      <w:r>
        <w:rPr>
          <w:rFonts w:ascii="Times New Roman" w:eastAsia="Times New Roman" w:hAnsi="Times New Roman" w:cs="Times New Roman"/>
          <w:sz w:val="20"/>
          <w:szCs w:val="20"/>
        </w:rPr>
        <w:t xml:space="preserve">, 1843), </w:t>
      </w:r>
      <w:r>
        <w:rPr>
          <w:rFonts w:ascii="Times New Roman" w:eastAsia="Times New Roman" w:hAnsi="Times New Roman" w:cs="Times New Roman"/>
          <w:i/>
          <w:sz w:val="20"/>
          <w:szCs w:val="20"/>
        </w:rPr>
        <w:t xml:space="preserve">Temor e Tremor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Frygt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Bæven</w:t>
      </w:r>
      <w:proofErr w:type="spellEnd"/>
      <w:r>
        <w:rPr>
          <w:rFonts w:ascii="Times New Roman" w:eastAsia="Times New Roman" w:hAnsi="Times New Roman" w:cs="Times New Roman"/>
          <w:sz w:val="20"/>
          <w:szCs w:val="20"/>
        </w:rPr>
        <w:t xml:space="preserve">, 1843), </w:t>
      </w:r>
      <w:r>
        <w:rPr>
          <w:rFonts w:ascii="Times New Roman" w:eastAsia="Times New Roman" w:hAnsi="Times New Roman" w:cs="Times New Roman"/>
          <w:i/>
          <w:sz w:val="20"/>
          <w:szCs w:val="20"/>
        </w:rPr>
        <w:t xml:space="preserve">Migalhas Filosóficas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Philosophiske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Smuler</w:t>
      </w:r>
      <w:proofErr w:type="spellEnd"/>
      <w:r>
        <w:rPr>
          <w:rFonts w:ascii="Times New Roman" w:eastAsia="Times New Roman" w:hAnsi="Times New Roman" w:cs="Times New Roman"/>
          <w:sz w:val="20"/>
          <w:szCs w:val="20"/>
        </w:rPr>
        <w:t xml:space="preserve">, 1844), </w:t>
      </w:r>
      <w:r>
        <w:rPr>
          <w:rFonts w:ascii="Times New Roman" w:eastAsia="Times New Roman" w:hAnsi="Times New Roman" w:cs="Times New Roman"/>
          <w:i/>
          <w:sz w:val="20"/>
          <w:szCs w:val="20"/>
        </w:rPr>
        <w:t xml:space="preserve">O Conceito de Angústia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Begrebet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Angest</w:t>
      </w:r>
      <w:proofErr w:type="spellEnd"/>
      <w:r>
        <w:rPr>
          <w:rFonts w:ascii="Times New Roman" w:eastAsia="Times New Roman" w:hAnsi="Times New Roman" w:cs="Times New Roman"/>
          <w:sz w:val="20"/>
          <w:szCs w:val="20"/>
        </w:rPr>
        <w:t>, 1844)</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222222"/>
          <w:sz w:val="20"/>
          <w:szCs w:val="20"/>
          <w:highlight w:val="white"/>
        </w:rPr>
        <w:t xml:space="preserve">Post </w:t>
      </w:r>
      <w:proofErr w:type="spellStart"/>
      <w:r>
        <w:rPr>
          <w:rFonts w:ascii="Times New Roman" w:eastAsia="Times New Roman" w:hAnsi="Times New Roman" w:cs="Times New Roman"/>
          <w:i/>
          <w:color w:val="222222"/>
          <w:sz w:val="20"/>
          <w:szCs w:val="20"/>
          <w:highlight w:val="white"/>
        </w:rPr>
        <w:t>Scriptum</w:t>
      </w:r>
      <w:proofErr w:type="spellEnd"/>
      <w:r>
        <w:rPr>
          <w:rFonts w:ascii="Times New Roman" w:eastAsia="Times New Roman" w:hAnsi="Times New Roman" w:cs="Times New Roman"/>
          <w:i/>
          <w:color w:val="222222"/>
          <w:sz w:val="20"/>
          <w:szCs w:val="20"/>
          <w:highlight w:val="white"/>
        </w:rPr>
        <w:t xml:space="preserve"> Final Não-científico às Migalhas Filosóficas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Afsluttende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uvidenskabelig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Efterskrift</w:t>
      </w:r>
      <w:proofErr w:type="spellEnd"/>
      <w:r>
        <w:rPr>
          <w:rFonts w:ascii="Times New Roman" w:eastAsia="Times New Roman" w:hAnsi="Times New Roman" w:cs="Times New Roman"/>
          <w:sz w:val="20"/>
          <w:szCs w:val="20"/>
        </w:rPr>
        <w:t xml:space="preserve">, 1846), </w:t>
      </w:r>
      <w:r>
        <w:rPr>
          <w:rFonts w:ascii="Times New Roman" w:eastAsia="Times New Roman" w:hAnsi="Times New Roman" w:cs="Times New Roman"/>
          <w:i/>
          <w:sz w:val="20"/>
          <w:szCs w:val="20"/>
        </w:rPr>
        <w:t xml:space="preserve">As Obras do Amor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Kjerlighedens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Gjerninger</w:t>
      </w:r>
      <w:proofErr w:type="spellEnd"/>
      <w:r>
        <w:rPr>
          <w:rFonts w:ascii="Times New Roman" w:eastAsia="Times New Roman" w:hAnsi="Times New Roman" w:cs="Times New Roman"/>
          <w:sz w:val="20"/>
          <w:szCs w:val="20"/>
        </w:rPr>
        <w:t xml:space="preserve">, 1847), dentre outras, a contribuição de Hamann para a filosofia de Kierkegaard ainda é um campo extremamente inexplorado. Por isso, é importante pensar a questão da relação Kierkegaard-Hamann tanto em sua urgência aparente, quanto na subestrutura de seus projetos filosóficos. Em primeiro lugar, é preciso esclarecer e justificar a ideia de que existem muitos benefícios na leitura dos autores no conjunto de saberes que formam a história da filosofia.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 </w:t>
      </w:r>
      <w:r w:rsidR="00FF59E6">
        <w:rPr>
          <w:rFonts w:ascii="Times New Roman" w:eastAsia="Times New Roman" w:hAnsi="Times New Roman" w:cs="Times New Roman"/>
          <w:sz w:val="20"/>
          <w:szCs w:val="20"/>
        </w:rPr>
        <w:t xml:space="preserve">dos nossos </w:t>
      </w:r>
      <w:r>
        <w:rPr>
          <w:rFonts w:ascii="Times New Roman" w:eastAsia="Times New Roman" w:hAnsi="Times New Roman" w:cs="Times New Roman"/>
          <w:sz w:val="20"/>
          <w:szCs w:val="20"/>
        </w:rPr>
        <w:t>interesse</w:t>
      </w:r>
      <w:r w:rsidR="00FF59E6">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na leitura da influência de Hamann sobre Kierkegaard, tanto nos anos formadores (1834-1838) quanto nos anos polêmicos (1854-1855), é ultrapassar a maior dificuldade da tarefa de jus</w:t>
      </w:r>
      <w:r w:rsidR="00FF59E6">
        <w:rPr>
          <w:rFonts w:ascii="Times New Roman" w:eastAsia="Times New Roman" w:hAnsi="Times New Roman" w:cs="Times New Roman"/>
          <w:sz w:val="20"/>
          <w:szCs w:val="20"/>
        </w:rPr>
        <w:t>tificativa dessa bibliografia na construção de um discurso, é também tentar esclarecer a</w:t>
      </w:r>
      <w:r>
        <w:rPr>
          <w:rFonts w:ascii="Times New Roman" w:eastAsia="Times New Roman" w:hAnsi="Times New Roman" w:cs="Times New Roman"/>
          <w:sz w:val="20"/>
          <w:szCs w:val="20"/>
        </w:rPr>
        <w:t xml:space="preserve"> confusão encontrada entre os estudiosos a respeito da obra de Hamann. É </w:t>
      </w:r>
      <w:r w:rsidR="00FF59E6">
        <w:rPr>
          <w:rFonts w:ascii="Times New Roman" w:eastAsia="Times New Roman" w:hAnsi="Times New Roman" w:cs="Times New Roman"/>
          <w:sz w:val="20"/>
          <w:szCs w:val="20"/>
        </w:rPr>
        <w:t xml:space="preserve">possível </w:t>
      </w:r>
      <w:r>
        <w:rPr>
          <w:rFonts w:ascii="Times New Roman" w:eastAsia="Times New Roman" w:hAnsi="Times New Roman" w:cs="Times New Roman"/>
          <w:sz w:val="20"/>
          <w:szCs w:val="20"/>
        </w:rPr>
        <w:t xml:space="preserve">reconhecer que Hamann contribui com uma forma de expressão de pensamento, com uma ideia de linguagem e com uma postura diante do significado da vida que vamos chamar de metacrítica, </w:t>
      </w:r>
      <w:r w:rsidR="00FF59E6">
        <w:rPr>
          <w:rFonts w:ascii="Times New Roman" w:eastAsia="Times New Roman" w:hAnsi="Times New Roman" w:cs="Times New Roman"/>
          <w:sz w:val="20"/>
          <w:szCs w:val="20"/>
        </w:rPr>
        <w:t>que pode ser analisada como</w:t>
      </w:r>
      <w:r>
        <w:rPr>
          <w:rFonts w:ascii="Times New Roman" w:eastAsia="Times New Roman" w:hAnsi="Times New Roman" w:cs="Times New Roman"/>
          <w:sz w:val="20"/>
          <w:szCs w:val="20"/>
        </w:rPr>
        <w:t xml:space="preserve"> uma estrutura coerente </w:t>
      </w:r>
      <w:r w:rsidR="00FF59E6">
        <w:rPr>
          <w:rFonts w:ascii="Times New Roman" w:eastAsia="Times New Roman" w:hAnsi="Times New Roman" w:cs="Times New Roman"/>
          <w:sz w:val="20"/>
          <w:szCs w:val="20"/>
        </w:rPr>
        <w:t xml:space="preserve">e </w:t>
      </w:r>
      <w:r w:rsidR="00682BAE">
        <w:rPr>
          <w:rFonts w:ascii="Times New Roman" w:eastAsia="Times New Roman" w:hAnsi="Times New Roman" w:cs="Times New Roman"/>
          <w:sz w:val="20"/>
          <w:szCs w:val="20"/>
        </w:rPr>
        <w:t xml:space="preserve">uma </w:t>
      </w:r>
      <w:r>
        <w:rPr>
          <w:rFonts w:ascii="Times New Roman" w:eastAsia="Times New Roman" w:hAnsi="Times New Roman" w:cs="Times New Roman"/>
          <w:sz w:val="20"/>
          <w:szCs w:val="20"/>
        </w:rPr>
        <w:t xml:space="preserve">ferramenta para </w:t>
      </w:r>
      <w:r w:rsidR="00FF59E6">
        <w:rPr>
          <w:rFonts w:ascii="Times New Roman" w:eastAsia="Times New Roman" w:hAnsi="Times New Roman" w:cs="Times New Roman"/>
          <w:sz w:val="20"/>
          <w:szCs w:val="20"/>
        </w:rPr>
        <w:t>entender</w:t>
      </w:r>
      <w:r>
        <w:rPr>
          <w:rFonts w:ascii="Times New Roman" w:eastAsia="Times New Roman" w:hAnsi="Times New Roman" w:cs="Times New Roman"/>
          <w:sz w:val="20"/>
          <w:szCs w:val="20"/>
        </w:rPr>
        <w:t xml:space="preserve"> a influência de Hamann sobre Kierkegaard também nos anos entre 1838 e 1854.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Kierkegaard é um autor aparentemente sem paralelo, e nós reconhecemos sua maneira própria, sua escrita inédita, não há mal em reconhecer suas similaridades com Hamann, seus atos revolucionários têm semelhanças b</w:t>
      </w:r>
      <w:r w:rsidR="00FF59E6">
        <w:rPr>
          <w:rFonts w:ascii="Times New Roman" w:eastAsia="Times New Roman" w:hAnsi="Times New Roman" w:cs="Times New Roman"/>
          <w:sz w:val="20"/>
          <w:szCs w:val="20"/>
        </w:rPr>
        <w:t xml:space="preserve">iográficas, </w:t>
      </w:r>
      <w:r>
        <w:rPr>
          <w:rFonts w:ascii="Times New Roman" w:eastAsia="Times New Roman" w:hAnsi="Times New Roman" w:cs="Times New Roman"/>
          <w:sz w:val="20"/>
          <w:szCs w:val="20"/>
        </w:rPr>
        <w:t>suas pândegas seguem um certo ritmo excepcional, espontâne</w:t>
      </w:r>
      <w:r w:rsidR="00FF59E6">
        <w:rPr>
          <w:rFonts w:ascii="Times New Roman" w:eastAsia="Times New Roman" w:hAnsi="Times New Roman" w:cs="Times New Roman"/>
          <w:sz w:val="20"/>
          <w:szCs w:val="20"/>
        </w:rPr>
        <w:t xml:space="preserve">o. Mas como em todo improviso, a escrita de Kierkegaard é longamente ponderada. </w:t>
      </w:r>
      <w:r>
        <w:rPr>
          <w:rFonts w:ascii="Times New Roman" w:eastAsia="Times New Roman" w:hAnsi="Times New Roman" w:cs="Times New Roman"/>
          <w:sz w:val="20"/>
          <w:szCs w:val="20"/>
        </w:rPr>
        <w:t xml:space="preserve">Da mesma maneira em que Kierkegaard influencia Kafka, como dizem os americanos </w:t>
      </w:r>
      <w:proofErr w:type="spellStart"/>
      <w:r>
        <w:rPr>
          <w:rFonts w:ascii="Times New Roman" w:eastAsia="Times New Roman" w:hAnsi="Times New Roman" w:cs="Times New Roman"/>
          <w:i/>
          <w:sz w:val="20"/>
          <w:szCs w:val="20"/>
        </w:rPr>
        <w:t>to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the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bone</w:t>
      </w:r>
      <w:proofErr w:type="spellEnd"/>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rPr>
        <w:t xml:space="preserve">, Hamann influencia Kierkegaard em seu projeto filosófico, que é um projeto acima de tudo pessoal. Afinal, </w:t>
      </w:r>
      <w:r w:rsidR="00FF59E6">
        <w:rPr>
          <w:rFonts w:ascii="Times New Roman" w:eastAsia="Times New Roman" w:hAnsi="Times New Roman" w:cs="Times New Roman"/>
          <w:sz w:val="20"/>
          <w:szCs w:val="20"/>
        </w:rPr>
        <w:t xml:space="preserve">em </w:t>
      </w:r>
      <w:r w:rsidR="00CE7DA9">
        <w:rPr>
          <w:rFonts w:ascii="Times New Roman" w:eastAsia="Times New Roman" w:hAnsi="Times New Roman" w:cs="Times New Roman"/>
          <w:sz w:val="20"/>
          <w:szCs w:val="20"/>
        </w:rPr>
        <w:t xml:space="preserve">sua </w:t>
      </w:r>
      <w:r w:rsidR="00FF59E6">
        <w:rPr>
          <w:rFonts w:ascii="Times New Roman" w:eastAsia="Times New Roman" w:hAnsi="Times New Roman" w:cs="Times New Roman"/>
          <w:sz w:val="20"/>
          <w:szCs w:val="20"/>
        </w:rPr>
        <w:t xml:space="preserve">busca pela verdade, </w:t>
      </w:r>
      <w:r>
        <w:rPr>
          <w:rFonts w:ascii="Times New Roman" w:eastAsia="Times New Roman" w:hAnsi="Times New Roman" w:cs="Times New Roman"/>
          <w:sz w:val="20"/>
          <w:szCs w:val="20"/>
        </w:rPr>
        <w:t>como Kierkegaard</w:t>
      </w:r>
      <w:r w:rsidR="00FF59E6">
        <w:rPr>
          <w:rFonts w:ascii="Times New Roman" w:eastAsia="Times New Roman" w:hAnsi="Times New Roman" w:cs="Times New Roman"/>
          <w:sz w:val="20"/>
          <w:szCs w:val="20"/>
        </w:rPr>
        <w:t xml:space="preserve"> afirma: </w:t>
      </w:r>
      <w:r>
        <w:rPr>
          <w:rFonts w:ascii="Times New Roman" w:eastAsia="Times New Roman" w:hAnsi="Times New Roman" w:cs="Times New Roman"/>
          <w:sz w:val="20"/>
          <w:szCs w:val="20"/>
        </w:rPr>
        <w:t xml:space="preserve">"Essa é uma questão de entender meu próprio destino, de perceber o que a Divindade realmente quer que </w:t>
      </w:r>
      <w:r>
        <w:rPr>
          <w:rFonts w:ascii="Times New Roman" w:eastAsia="Times New Roman" w:hAnsi="Times New Roman" w:cs="Times New Roman"/>
          <w:i/>
          <w:sz w:val="20"/>
          <w:szCs w:val="20"/>
        </w:rPr>
        <w:t>eu</w:t>
      </w:r>
      <w:r>
        <w:rPr>
          <w:rFonts w:ascii="Times New Roman" w:eastAsia="Times New Roman" w:hAnsi="Times New Roman" w:cs="Times New Roman"/>
          <w:sz w:val="20"/>
          <w:szCs w:val="20"/>
        </w:rPr>
        <w:t xml:space="preserve"> faça; a questão é encontrar uma verdade que seja verdade </w:t>
      </w:r>
      <w:r>
        <w:rPr>
          <w:rFonts w:ascii="Times New Roman" w:eastAsia="Times New Roman" w:hAnsi="Times New Roman" w:cs="Times New Roman"/>
          <w:i/>
          <w:sz w:val="20"/>
          <w:szCs w:val="20"/>
        </w:rPr>
        <w:t>para mim</w:t>
      </w:r>
      <w:r>
        <w:rPr>
          <w:rFonts w:ascii="Times New Roman" w:eastAsia="Times New Roman" w:hAnsi="Times New Roman" w:cs="Times New Roman"/>
          <w:sz w:val="20"/>
          <w:szCs w:val="20"/>
        </w:rPr>
        <w:t xml:space="preserve">, encontrar </w:t>
      </w:r>
      <w:r>
        <w:rPr>
          <w:rFonts w:ascii="Times New Roman" w:eastAsia="Times New Roman" w:hAnsi="Times New Roman" w:cs="Times New Roman"/>
          <w:i/>
          <w:sz w:val="20"/>
          <w:szCs w:val="20"/>
        </w:rPr>
        <w:t>a ideia para qual eu esteja disposto a viver e morrer</w:t>
      </w:r>
      <w:r w:rsidR="004A315D">
        <w:rPr>
          <w:rFonts w:ascii="Times New Roman" w:eastAsia="Times New Roman" w:hAnsi="Times New Roman" w:cs="Times New Roman"/>
          <w:sz w:val="20"/>
          <w:szCs w:val="20"/>
        </w:rPr>
        <w:t xml:space="preserve">" (KIERKEGAARD, 2007, p. </w:t>
      </w:r>
      <w:r>
        <w:rPr>
          <w:rFonts w:ascii="Times New Roman" w:eastAsia="Times New Roman" w:hAnsi="Times New Roman" w:cs="Times New Roman"/>
          <w:sz w:val="20"/>
          <w:szCs w:val="20"/>
        </w:rPr>
        <w:t xml:space="preserve">19, Jornal AA : 12, grifo do autor). </w:t>
      </w:r>
    </w:p>
    <w:p w:rsidR="00416987" w:rsidRDefault="00416987">
      <w:pPr>
        <w:spacing w:after="200"/>
        <w:ind w:firstLine="720"/>
        <w:jc w:val="both"/>
        <w:rPr>
          <w:rFonts w:ascii="Times New Roman" w:eastAsia="Times New Roman" w:hAnsi="Times New Roman" w:cs="Times New Roman"/>
          <w:sz w:val="20"/>
          <w:szCs w:val="20"/>
        </w:rPr>
      </w:pPr>
    </w:p>
    <w:p w:rsidR="00416987" w:rsidRDefault="00F90C57">
      <w:pPr>
        <w:spacing w:after="20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Linguagem e Revolução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Hoje, mais do que nunca, fica claro que a importância da linguagem permeia a existência humana, desde a necessidade do uso de pronomes corretos para se referir às pessoas e reconhecer a validade de suas existências enquanto tal, quanto para moldar opiniões sobre os discursos que chegam até nós fora de seu contexto verdadeiro, como é o caso da guerra do Iraque e o contínuo ma</w:t>
      </w:r>
      <w:r w:rsidR="00D63177">
        <w:rPr>
          <w:rFonts w:ascii="Times New Roman" w:eastAsia="Times New Roman" w:hAnsi="Times New Roman" w:cs="Times New Roman"/>
          <w:sz w:val="20"/>
          <w:szCs w:val="20"/>
        </w:rPr>
        <w:t xml:space="preserve">ssacre da população palestina. </w:t>
      </w:r>
      <w:r>
        <w:rPr>
          <w:rFonts w:ascii="Times New Roman" w:eastAsia="Times New Roman" w:hAnsi="Times New Roman" w:cs="Times New Roman"/>
          <w:sz w:val="20"/>
          <w:szCs w:val="20"/>
        </w:rPr>
        <w:t xml:space="preserve">É evidente que o discurso está presente e interfere no nosso estar-aí-no-mundo, para usar o vocabulário de Heidegger, o </w:t>
      </w:r>
      <w:r>
        <w:rPr>
          <w:rFonts w:ascii="Times New Roman" w:eastAsia="Times New Roman" w:hAnsi="Times New Roman" w:cs="Times New Roman"/>
          <w:i/>
          <w:sz w:val="20"/>
          <w:szCs w:val="20"/>
        </w:rPr>
        <w:t>Dasein</w:t>
      </w:r>
      <w:r>
        <w:rPr>
          <w:rFonts w:ascii="Times New Roman" w:eastAsia="Times New Roman" w:hAnsi="Times New Roman" w:cs="Times New Roman"/>
          <w:sz w:val="20"/>
          <w:szCs w:val="20"/>
        </w:rPr>
        <w:t xml:space="preserve"> (ser imediato), destacado do mundo se encontra em um estar-aí-no-mundo que é determinado pela linguagem. A forma mais hostil e poderosa de linguagem para o ser, como propomos aqui, é o discurso.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importância de entender os vários discursos transpostos por narrativas diversas, e que, por vezes, são desconsideradas, requer um método muito mais amplo que aquele da </w:t>
      </w:r>
      <w:r>
        <w:rPr>
          <w:rFonts w:ascii="Times New Roman" w:eastAsia="Times New Roman" w:hAnsi="Times New Roman" w:cs="Times New Roman"/>
          <w:i/>
          <w:sz w:val="20"/>
          <w:szCs w:val="20"/>
        </w:rPr>
        <w:t xml:space="preserve">Crítica da Razão Pura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Kritik</w:t>
      </w:r>
      <w:proofErr w:type="spellEnd"/>
      <w:r>
        <w:rPr>
          <w:rFonts w:ascii="Times New Roman" w:eastAsia="Times New Roman" w:hAnsi="Times New Roman" w:cs="Times New Roman"/>
          <w:i/>
          <w:sz w:val="20"/>
          <w:szCs w:val="20"/>
        </w:rPr>
        <w:t xml:space="preserve"> der </w:t>
      </w:r>
      <w:proofErr w:type="spellStart"/>
      <w:r>
        <w:rPr>
          <w:rFonts w:ascii="Times New Roman" w:eastAsia="Times New Roman" w:hAnsi="Times New Roman" w:cs="Times New Roman"/>
          <w:i/>
          <w:sz w:val="20"/>
          <w:szCs w:val="20"/>
        </w:rPr>
        <w:t>reinen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Vernunft</w:t>
      </w:r>
      <w:proofErr w:type="spellEnd"/>
      <w:r>
        <w:rPr>
          <w:rFonts w:ascii="Times New Roman" w:eastAsia="Times New Roman" w:hAnsi="Times New Roman" w:cs="Times New Roman"/>
          <w:sz w:val="20"/>
          <w:szCs w:val="20"/>
        </w:rPr>
        <w:t xml:space="preserve">, A 1781; B 1787). Num contexto menos explosivo, mas certamente revolucionário, Hamann escreve a </w:t>
      </w:r>
      <w:r>
        <w:rPr>
          <w:rFonts w:ascii="Times New Roman" w:eastAsia="Times New Roman" w:hAnsi="Times New Roman" w:cs="Times New Roman"/>
          <w:i/>
          <w:sz w:val="20"/>
          <w:szCs w:val="20"/>
        </w:rPr>
        <w:t xml:space="preserve">Metacrítica Sobre o Purismo da Razão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Metakritik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über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Purismum</w:t>
      </w:r>
      <w:proofErr w:type="spellEnd"/>
      <w:r>
        <w:rPr>
          <w:rFonts w:ascii="Times New Roman" w:eastAsia="Times New Roman" w:hAnsi="Times New Roman" w:cs="Times New Roman"/>
          <w:i/>
          <w:sz w:val="20"/>
          <w:szCs w:val="20"/>
        </w:rPr>
        <w:t xml:space="preserve"> der </w:t>
      </w:r>
      <w:proofErr w:type="spellStart"/>
      <w:r>
        <w:rPr>
          <w:rFonts w:ascii="Times New Roman" w:eastAsia="Times New Roman" w:hAnsi="Times New Roman" w:cs="Times New Roman"/>
          <w:i/>
          <w:sz w:val="20"/>
          <w:szCs w:val="20"/>
        </w:rPr>
        <w:t>Vernunft</w:t>
      </w:r>
      <w:proofErr w:type="spellEnd"/>
      <w:r>
        <w:rPr>
          <w:rFonts w:ascii="Times New Roman" w:eastAsia="Times New Roman" w:hAnsi="Times New Roman" w:cs="Times New Roman"/>
          <w:sz w:val="20"/>
          <w:szCs w:val="20"/>
        </w:rPr>
        <w:t xml:space="preserve">, </w:t>
      </w:r>
      <w:r w:rsidRPr="00FF59E6">
        <w:rPr>
          <w:rFonts w:ascii="Times New Roman" w:eastAsia="Times New Roman" w:hAnsi="Times New Roman" w:cs="Times New Roman"/>
          <w:sz w:val="20"/>
          <w:szCs w:val="20"/>
        </w:rPr>
        <w:t>178</w:t>
      </w:r>
      <w:r w:rsidR="00FF59E6">
        <w:rPr>
          <w:rFonts w:ascii="Times New Roman" w:eastAsia="Times New Roman" w:hAnsi="Times New Roman" w:cs="Times New Roman"/>
          <w:sz w:val="20"/>
          <w:szCs w:val="20"/>
        </w:rPr>
        <w:t>4)</w:t>
      </w:r>
      <w:r w:rsidRPr="00FF59E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FF59E6">
        <w:rPr>
          <w:rFonts w:ascii="Times New Roman" w:eastAsia="Times New Roman" w:hAnsi="Times New Roman" w:cs="Times New Roman"/>
          <w:sz w:val="20"/>
          <w:szCs w:val="20"/>
        </w:rPr>
        <w:t xml:space="preserve">obra onde </w:t>
      </w:r>
      <w:r>
        <w:rPr>
          <w:rFonts w:ascii="Times New Roman" w:eastAsia="Times New Roman" w:hAnsi="Times New Roman" w:cs="Times New Roman"/>
          <w:sz w:val="20"/>
          <w:szCs w:val="20"/>
        </w:rPr>
        <w:t>demonstra que todo conhecimento construído sob o signo da linguagem é dependente de seu uso e, assim, não há instância em que um conhecimento seja apresentado sem que haja uma dualidade entre conhecimento e discurso. Mesmo que uma purificação dos conceitos apresentados por Kant</w:t>
      </w:r>
      <w:r w:rsidR="00FF59E6">
        <w:rPr>
          <w:rFonts w:ascii="Times New Roman" w:eastAsia="Times New Roman" w:hAnsi="Times New Roman" w:cs="Times New Roman"/>
          <w:sz w:val="20"/>
          <w:szCs w:val="20"/>
        </w:rPr>
        <w:t xml:space="preserve"> se faça possível, Hamann (2007f</w:t>
      </w:r>
      <w:r>
        <w:rPr>
          <w:rFonts w:ascii="Times New Roman" w:eastAsia="Times New Roman" w:hAnsi="Times New Roman" w:cs="Times New Roman"/>
          <w:sz w:val="20"/>
          <w:szCs w:val="20"/>
        </w:rPr>
        <w:t>, p.</w:t>
      </w:r>
      <w:r w:rsidR="004A31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211) adota um vocabulário diferente. Ele afirma que </w:t>
      </w:r>
      <w:r w:rsidR="00FF59E6">
        <w:rPr>
          <w:rFonts w:ascii="Times New Roman" w:eastAsia="Times New Roman" w:hAnsi="Times New Roman" w:cs="Times New Roman"/>
          <w:sz w:val="20"/>
          <w:szCs w:val="20"/>
        </w:rPr>
        <w:t>nenhuma dedução</w:t>
      </w:r>
      <w:r>
        <w:rPr>
          <w:rFonts w:ascii="Times New Roman" w:eastAsia="Times New Roman" w:hAnsi="Times New Roman" w:cs="Times New Roman"/>
          <w:sz w:val="20"/>
          <w:szCs w:val="20"/>
        </w:rPr>
        <w:t xml:space="preserve"> é necessária para demonstrar a pr</w:t>
      </w:r>
      <w:r w:rsidR="00FF59E6">
        <w:rPr>
          <w:rFonts w:ascii="Times New Roman" w:eastAsia="Times New Roman" w:hAnsi="Times New Roman" w:cs="Times New Roman"/>
          <w:sz w:val="20"/>
          <w:szCs w:val="20"/>
        </w:rPr>
        <w:t>imazia genealógica da linguagem</w:t>
      </w:r>
      <w:r>
        <w:rPr>
          <w:rFonts w:ascii="Times New Roman" w:eastAsia="Times New Roman" w:hAnsi="Times New Roman" w:cs="Times New Roman"/>
          <w:sz w:val="20"/>
          <w:szCs w:val="20"/>
        </w:rPr>
        <w:t xml:space="preserve">.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Hamann, o conceito de razão de Kant desconsidera a natureza. A vontade totalmente constituída pelo pensamento frio e racional da primeira </w:t>
      </w:r>
      <w:r>
        <w:rPr>
          <w:rFonts w:ascii="Times New Roman" w:eastAsia="Times New Roman" w:hAnsi="Times New Roman" w:cs="Times New Roman"/>
          <w:i/>
          <w:sz w:val="20"/>
          <w:szCs w:val="20"/>
        </w:rPr>
        <w:t>Crítica</w:t>
      </w:r>
      <w:r>
        <w:rPr>
          <w:rFonts w:ascii="Times New Roman" w:eastAsia="Times New Roman" w:hAnsi="Times New Roman" w:cs="Times New Roman"/>
          <w:sz w:val="20"/>
          <w:szCs w:val="20"/>
        </w:rPr>
        <w:t xml:space="preserve"> não </w:t>
      </w:r>
      <w:r w:rsidR="00042CC5">
        <w:rPr>
          <w:rFonts w:ascii="Times New Roman" w:eastAsia="Times New Roman" w:hAnsi="Times New Roman" w:cs="Times New Roman"/>
          <w:sz w:val="20"/>
          <w:szCs w:val="20"/>
        </w:rPr>
        <w:t>reflete sobre</w:t>
      </w:r>
      <w:r>
        <w:rPr>
          <w:rFonts w:ascii="Times New Roman" w:eastAsia="Times New Roman" w:hAnsi="Times New Roman" w:cs="Times New Roman"/>
          <w:sz w:val="20"/>
          <w:szCs w:val="20"/>
        </w:rPr>
        <w:t xml:space="preserve"> o discurso que a própria </w:t>
      </w:r>
      <w:r>
        <w:rPr>
          <w:rFonts w:ascii="Times New Roman" w:eastAsia="Times New Roman" w:hAnsi="Times New Roman" w:cs="Times New Roman"/>
          <w:i/>
          <w:sz w:val="20"/>
          <w:szCs w:val="20"/>
        </w:rPr>
        <w:t>Crítica</w:t>
      </w:r>
      <w:r>
        <w:rPr>
          <w:rFonts w:ascii="Times New Roman" w:eastAsia="Times New Roman" w:hAnsi="Times New Roman" w:cs="Times New Roman"/>
          <w:sz w:val="20"/>
          <w:szCs w:val="20"/>
        </w:rPr>
        <w:t xml:space="preserve"> ajuda a moldar. É evidente que assim como o discurso determina o </w:t>
      </w:r>
      <w:proofErr w:type="spellStart"/>
      <w:r>
        <w:rPr>
          <w:rFonts w:ascii="Times New Roman" w:eastAsia="Times New Roman" w:hAnsi="Times New Roman" w:cs="Times New Roman"/>
          <w:sz w:val="20"/>
          <w:szCs w:val="20"/>
        </w:rPr>
        <w:t>ser-aí</w:t>
      </w:r>
      <w:proofErr w:type="spellEnd"/>
      <w:r>
        <w:rPr>
          <w:rFonts w:ascii="Times New Roman" w:eastAsia="Times New Roman" w:hAnsi="Times New Roman" w:cs="Times New Roman"/>
          <w:sz w:val="20"/>
          <w:szCs w:val="20"/>
        </w:rPr>
        <w:t xml:space="preserve">, toda existência como determinação da natureza, </w:t>
      </w:r>
      <w:r>
        <w:rPr>
          <w:rFonts w:ascii="Times New Roman" w:eastAsia="Times New Roman" w:hAnsi="Times New Roman" w:cs="Times New Roman"/>
          <w:sz w:val="20"/>
          <w:szCs w:val="20"/>
        </w:rPr>
        <w:lastRenderedPageBreak/>
        <w:t>nossas inclinações e prazeres que nos são úteis se tornam descartáveis. O discurso ao determinar o contexto histórico excluindo as narrativas, o Eu e os outros no mundo</w:t>
      </w:r>
      <w:r w:rsidR="0065397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aniquila a si mesmo e, o que é mais preocupante, aniquila as individualidades. E assim como Kant, Hegel impõe uma sanção a dualidade entre conhecimento e discurso e reduz essa dualidade ao vocabulário de conhecimento e palavra. Na tentativa de incorporar conceitos ao a priori, Hegel parece deixar a realidade escapulir. "A natureza, portanto, é um mundo em contraste a lógica, mas para Hegel a natureza não é natureza a priori, visto que a [natureza] deve ter um lugar na lógica, mas um lugar empírico, o que deve ser exp</w:t>
      </w:r>
      <w:r w:rsidR="004A315D">
        <w:rPr>
          <w:rFonts w:ascii="Times New Roman" w:eastAsia="Times New Roman" w:hAnsi="Times New Roman" w:cs="Times New Roman"/>
          <w:sz w:val="20"/>
          <w:szCs w:val="20"/>
        </w:rPr>
        <w:t xml:space="preserve">licado" (KIERKEGAARD, 1989b, p. </w:t>
      </w:r>
      <w:r>
        <w:rPr>
          <w:rFonts w:ascii="Times New Roman" w:eastAsia="Times New Roman" w:hAnsi="Times New Roman" w:cs="Times New Roman"/>
          <w:sz w:val="20"/>
          <w:szCs w:val="20"/>
        </w:rPr>
        <w:t xml:space="preserve">349).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indeterminação da natureza reforça a necessidade de ponderar sobre a capacidade e a estrutura do discurso. No entanto, o lugar empírico da natureza na </w:t>
      </w:r>
      <w:r>
        <w:rPr>
          <w:rFonts w:ascii="Times New Roman" w:eastAsia="Times New Roman" w:hAnsi="Times New Roman" w:cs="Times New Roman"/>
          <w:i/>
          <w:sz w:val="20"/>
          <w:szCs w:val="20"/>
        </w:rPr>
        <w:t xml:space="preserve">Ciência da Lógica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color w:val="252525"/>
          <w:sz w:val="20"/>
          <w:szCs w:val="20"/>
          <w:highlight w:val="white"/>
        </w:rPr>
        <w:t>Wissenschaft</w:t>
      </w:r>
      <w:proofErr w:type="spellEnd"/>
      <w:r>
        <w:rPr>
          <w:rFonts w:ascii="Times New Roman" w:eastAsia="Times New Roman" w:hAnsi="Times New Roman" w:cs="Times New Roman"/>
          <w:i/>
          <w:color w:val="252525"/>
          <w:sz w:val="20"/>
          <w:szCs w:val="20"/>
          <w:highlight w:val="white"/>
        </w:rPr>
        <w:t xml:space="preserve"> der </w:t>
      </w:r>
      <w:proofErr w:type="spellStart"/>
      <w:r>
        <w:rPr>
          <w:rFonts w:ascii="Times New Roman" w:eastAsia="Times New Roman" w:hAnsi="Times New Roman" w:cs="Times New Roman"/>
          <w:i/>
          <w:color w:val="252525"/>
          <w:sz w:val="20"/>
          <w:szCs w:val="20"/>
          <w:highlight w:val="white"/>
        </w:rPr>
        <w:t>Logik</w:t>
      </w:r>
      <w:proofErr w:type="spellEnd"/>
      <w:r>
        <w:rPr>
          <w:rFonts w:ascii="Times New Roman" w:eastAsia="Times New Roman" w:hAnsi="Times New Roman" w:cs="Times New Roman"/>
          <w:color w:val="252525"/>
          <w:sz w:val="20"/>
          <w:szCs w:val="20"/>
          <w:highlight w:val="white"/>
        </w:rPr>
        <w:t>, 1812 e 1816</w:t>
      </w:r>
      <w:r>
        <w:rPr>
          <w:rFonts w:ascii="Times New Roman" w:eastAsia="Times New Roman" w:hAnsi="Times New Roman" w:cs="Times New Roman"/>
          <w:sz w:val="20"/>
          <w:szCs w:val="20"/>
        </w:rPr>
        <w:t>) que é absolutamente indeterminado (BURNS,</w:t>
      </w:r>
      <w:r w:rsidR="0065397E">
        <w:rPr>
          <w:rFonts w:ascii="Times New Roman" w:eastAsia="Times New Roman" w:hAnsi="Times New Roman" w:cs="Times New Roman"/>
          <w:sz w:val="20"/>
          <w:szCs w:val="20"/>
        </w:rPr>
        <w:t xml:space="preserve"> 2017,</w:t>
      </w:r>
      <w:r w:rsidR="004A315D">
        <w:rPr>
          <w:rFonts w:ascii="Times New Roman" w:eastAsia="Times New Roman" w:hAnsi="Times New Roman" w:cs="Times New Roman"/>
          <w:sz w:val="20"/>
          <w:szCs w:val="20"/>
        </w:rPr>
        <w:t xml:space="preserve"> p. </w:t>
      </w:r>
      <w:r>
        <w:rPr>
          <w:rFonts w:ascii="Times New Roman" w:eastAsia="Times New Roman" w:hAnsi="Times New Roman" w:cs="Times New Roman"/>
          <w:sz w:val="20"/>
          <w:szCs w:val="20"/>
        </w:rPr>
        <w:t xml:space="preserve">140) se traduz de forma diferente. O texto de Hegel é um texto permeado pelo esforço absoluto de corrigir a destruição da palavra com a aniquilação do discurso. Essa tentativa vai muito além de uma correção e confluência entre os textos de Kant, </w:t>
      </w:r>
      <w:proofErr w:type="spellStart"/>
      <w:r>
        <w:rPr>
          <w:rFonts w:ascii="Times New Roman" w:eastAsia="Times New Roman" w:hAnsi="Times New Roman" w:cs="Times New Roman"/>
          <w:sz w:val="20"/>
          <w:szCs w:val="20"/>
        </w:rPr>
        <w:t>Fichte</w:t>
      </w:r>
      <w:proofErr w:type="spellEnd"/>
      <w:r>
        <w:rPr>
          <w:rFonts w:ascii="Times New Roman" w:eastAsia="Times New Roman" w:hAnsi="Times New Roman" w:cs="Times New Roman"/>
          <w:sz w:val="20"/>
          <w:szCs w:val="20"/>
        </w:rPr>
        <w:t xml:space="preserve"> e Schelling.  Como fica evidente para Kierkegaard, o lugar da natureza como uma indeterminação é, em certa medida, um erro. Para Kierkegaard, "o erro na lógica de Hegel é que a [lógica] não vai além disso, que a [lógica] omite a filosofia da natureza e a filosofia do esp</w:t>
      </w:r>
      <w:r w:rsidR="004A315D">
        <w:rPr>
          <w:rFonts w:ascii="Times New Roman" w:eastAsia="Times New Roman" w:hAnsi="Times New Roman" w:cs="Times New Roman"/>
          <w:sz w:val="20"/>
          <w:szCs w:val="20"/>
        </w:rPr>
        <w:t xml:space="preserve">írito" (KIERKEGAARD, 1989b, p. </w:t>
      </w:r>
      <w:r>
        <w:rPr>
          <w:rFonts w:ascii="Times New Roman" w:eastAsia="Times New Roman" w:hAnsi="Times New Roman" w:cs="Times New Roman"/>
          <w:sz w:val="20"/>
          <w:szCs w:val="20"/>
        </w:rPr>
        <w:t xml:space="preserve">349).  Em contraste com a </w:t>
      </w:r>
      <w:r>
        <w:rPr>
          <w:rFonts w:ascii="Times New Roman" w:eastAsia="Times New Roman" w:hAnsi="Times New Roman" w:cs="Times New Roman"/>
          <w:i/>
          <w:sz w:val="20"/>
          <w:szCs w:val="20"/>
        </w:rPr>
        <w:t>Ciência da Lógica</w:t>
      </w:r>
      <w:r>
        <w:rPr>
          <w:rFonts w:ascii="Times New Roman" w:eastAsia="Times New Roman" w:hAnsi="Times New Roman" w:cs="Times New Roman"/>
          <w:sz w:val="20"/>
          <w:szCs w:val="20"/>
        </w:rPr>
        <w:t xml:space="preserve">, Kierkegaard utiliza em </w:t>
      </w:r>
      <w:r>
        <w:rPr>
          <w:rFonts w:ascii="Times New Roman" w:eastAsia="Times New Roman" w:hAnsi="Times New Roman" w:cs="Times New Roman"/>
          <w:i/>
          <w:sz w:val="20"/>
          <w:szCs w:val="20"/>
        </w:rPr>
        <w:t>Ou-Ou</w:t>
      </w:r>
      <w:r>
        <w:rPr>
          <w:rFonts w:ascii="Times New Roman" w:eastAsia="Times New Roman" w:hAnsi="Times New Roman" w:cs="Times New Roman"/>
          <w:i/>
          <w:sz w:val="20"/>
          <w:szCs w:val="20"/>
          <w:vertAlign w:val="superscript"/>
        </w:rPr>
        <w:t xml:space="preserve"> </w:t>
      </w:r>
      <w:r>
        <w:rPr>
          <w:rFonts w:ascii="Times New Roman" w:eastAsia="Times New Roman" w:hAnsi="Times New Roman" w:cs="Times New Roman"/>
          <w:sz w:val="20"/>
          <w:szCs w:val="20"/>
        </w:rPr>
        <w:t>um discurso que pressupõe uma apropriação do inadequado. No texto, a existência dos personagens é interposta por exemplos de multiplicidade, possibilidade e feno</w:t>
      </w:r>
      <w:r w:rsidR="004A315D">
        <w:rPr>
          <w:rFonts w:ascii="Times New Roman" w:eastAsia="Times New Roman" w:hAnsi="Times New Roman" w:cs="Times New Roman"/>
          <w:sz w:val="20"/>
          <w:szCs w:val="20"/>
        </w:rPr>
        <w:t xml:space="preserve">menologia. Para Burns (2017, p. </w:t>
      </w:r>
      <w:r>
        <w:rPr>
          <w:rFonts w:ascii="Times New Roman" w:eastAsia="Times New Roman" w:hAnsi="Times New Roman" w:cs="Times New Roman"/>
          <w:sz w:val="20"/>
          <w:szCs w:val="20"/>
        </w:rPr>
        <w:t>143), "nós podemos pensar aqui na diferença entre existência imediata e o espaço criado quando</w:t>
      </w:r>
      <w:r w:rsidR="008047C0">
        <w:rPr>
          <w:rFonts w:ascii="Times New Roman" w:eastAsia="Times New Roman" w:hAnsi="Times New Roman" w:cs="Times New Roman"/>
          <w:sz w:val="20"/>
          <w:szCs w:val="20"/>
        </w:rPr>
        <w:t xml:space="preserve"> essa natureza imediata é concep</w:t>
      </w:r>
      <w:r>
        <w:rPr>
          <w:rFonts w:ascii="Times New Roman" w:eastAsia="Times New Roman" w:hAnsi="Times New Roman" w:cs="Times New Roman"/>
          <w:sz w:val="20"/>
          <w:szCs w:val="20"/>
        </w:rPr>
        <w:t xml:space="preserve">tualizada através da linguagem, visto que a linguagem cria uma diferença entre a coisa e sua </w:t>
      </w:r>
      <w:r w:rsidR="0081379F">
        <w:rPr>
          <w:rFonts w:ascii="Times New Roman" w:eastAsia="Times New Roman" w:hAnsi="Times New Roman" w:cs="Times New Roman"/>
          <w:sz w:val="20"/>
          <w:szCs w:val="20"/>
        </w:rPr>
        <w:t>conceptualização</w:t>
      </w:r>
      <w:r>
        <w:rPr>
          <w:rFonts w:ascii="Times New Roman" w:eastAsia="Times New Roman" w:hAnsi="Times New Roman" w:cs="Times New Roman"/>
          <w:sz w:val="20"/>
          <w:szCs w:val="20"/>
        </w:rPr>
        <w:t xml:space="preserve">".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Essa diferença criada entre a coisa e o conceito nos obriga a investigar os paralelos entre Hamann e Kierkegaard. Isso porque os autores distinguem entre coisa, conceito e coisa-conceito. Esse terceiro termo: coisa- conceito</w:t>
      </w:r>
      <w:r w:rsidR="00FF59E6">
        <w:rPr>
          <w:rFonts w:ascii="Times New Roman" w:eastAsia="Times New Roman" w:hAnsi="Times New Roman" w:cs="Times New Roman"/>
          <w:sz w:val="20"/>
          <w:szCs w:val="20"/>
        </w:rPr>
        <w:t xml:space="preserve"> é a representação da </w:t>
      </w:r>
      <w:r>
        <w:rPr>
          <w:rFonts w:ascii="Times New Roman" w:eastAsia="Times New Roman" w:hAnsi="Times New Roman" w:cs="Times New Roman"/>
          <w:sz w:val="20"/>
          <w:szCs w:val="20"/>
        </w:rPr>
        <w:t xml:space="preserve">determinação do Eu diante da possibilidade de sua determinação, de tornar coisa e conceito em coisa-conceito ou a transformação da coisa (palavra) e do conceito (discurso) em palavra-discurso. Para tanto, o método empregado deve ir além da palavra e do discurso. É </w:t>
      </w:r>
      <w:r w:rsidR="00FF59E6">
        <w:rPr>
          <w:rFonts w:ascii="Times New Roman" w:eastAsia="Times New Roman" w:hAnsi="Times New Roman" w:cs="Times New Roman"/>
          <w:sz w:val="20"/>
          <w:szCs w:val="20"/>
        </w:rPr>
        <w:t>necessária uma palavra-discurso</w:t>
      </w:r>
      <w:r>
        <w:rPr>
          <w:rFonts w:ascii="Times New Roman" w:eastAsia="Times New Roman" w:hAnsi="Times New Roman" w:cs="Times New Roman"/>
          <w:sz w:val="20"/>
          <w:szCs w:val="20"/>
        </w:rPr>
        <w:t xml:space="preserve">, ou uma metacrítica. A metacrítica existe como ocasião para uma reconciliação entre apropriação e inadequação. Nesse sentido, a existência pode se transformar em razão e ter </w:t>
      </w:r>
      <w:r w:rsidR="00120B32">
        <w:rPr>
          <w:rFonts w:ascii="Times New Roman" w:eastAsia="Times New Roman" w:hAnsi="Times New Roman" w:cs="Times New Roman"/>
          <w:sz w:val="20"/>
          <w:szCs w:val="20"/>
        </w:rPr>
        <w:t xml:space="preserve">um </w:t>
      </w:r>
      <w:r>
        <w:rPr>
          <w:rFonts w:ascii="Times New Roman" w:eastAsia="Times New Roman" w:hAnsi="Times New Roman" w:cs="Times New Roman"/>
          <w:sz w:val="20"/>
          <w:szCs w:val="20"/>
        </w:rPr>
        <w:t xml:space="preserve">valor intrínseco.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conceito de razão nos autores apreende a dimensão do discurso, já o texto dos autores passa a figurar muito mais na reconstrução do Eu dentro do discurso social do que em sua aniquilação na lógica de destruição de uma dialética puramente abstrata. Muitos são os argumentos contra o discurso metacrítico, uma das mais influentes acusações à metacrítica condena justamente esse tipo de discurso sob a pena da desorganização e da falta de desenvolvimento causados ao invés de</w:t>
      </w:r>
      <w:r w:rsidR="004A315D">
        <w:rPr>
          <w:rFonts w:ascii="Times New Roman" w:eastAsia="Times New Roman" w:hAnsi="Times New Roman" w:cs="Times New Roman"/>
          <w:sz w:val="20"/>
          <w:szCs w:val="20"/>
        </w:rPr>
        <w:t xml:space="preserve"> seu progresso (HEGEL, 2008, p. </w:t>
      </w:r>
      <w:r>
        <w:rPr>
          <w:rFonts w:ascii="Times New Roman" w:eastAsia="Times New Roman" w:hAnsi="Times New Roman" w:cs="Times New Roman"/>
          <w:sz w:val="20"/>
          <w:szCs w:val="20"/>
        </w:rPr>
        <w:t>38</w:t>
      </w:r>
      <w:r w:rsidR="00120B32">
        <w:rPr>
          <w:rFonts w:ascii="Times New Roman" w:eastAsia="Times New Roman" w:hAnsi="Times New Roman" w:cs="Times New Roman"/>
          <w:sz w:val="20"/>
          <w:szCs w:val="20"/>
        </w:rPr>
        <w:t xml:space="preserve">). </w:t>
      </w:r>
      <w:r w:rsidR="00F46EFB">
        <w:rPr>
          <w:rFonts w:ascii="Times New Roman" w:eastAsia="Times New Roman" w:hAnsi="Times New Roman" w:cs="Times New Roman"/>
          <w:sz w:val="20"/>
          <w:szCs w:val="20"/>
        </w:rPr>
        <w:t>Contrário à</w:t>
      </w:r>
      <w:r>
        <w:rPr>
          <w:rFonts w:ascii="Times New Roman" w:eastAsia="Times New Roman" w:hAnsi="Times New Roman" w:cs="Times New Roman"/>
          <w:sz w:val="20"/>
          <w:szCs w:val="20"/>
        </w:rPr>
        <w:t xml:space="preserve"> crítica de Hegel, Hamann entende seu trabalho como aquele do historiador de filosofia que reconhece sua falibilidade (HAMANN, 2007b, p.</w:t>
      </w:r>
      <w:r w:rsidR="004A31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46). Hegel parece esquecer que, para Hamann, o leitor será quase sempre capaz de distinguir entre uma figura histórica (por exemplo Tarquínio, o Soberbo) e um delírio poético (HAMANN, 2007d, p.</w:t>
      </w:r>
      <w:r w:rsidR="004A31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122).</w:t>
      </w:r>
      <w:r w:rsidR="00120B32">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 xml:space="preserve">esses termos, </w:t>
      </w:r>
      <w:r w:rsidR="00120B32">
        <w:rPr>
          <w:rFonts w:ascii="Times New Roman" w:eastAsia="Times New Roman" w:hAnsi="Times New Roman" w:cs="Times New Roman"/>
          <w:sz w:val="20"/>
          <w:szCs w:val="20"/>
        </w:rPr>
        <w:t xml:space="preserve">o criticismo a Hamann </w:t>
      </w:r>
      <w:r>
        <w:rPr>
          <w:rFonts w:ascii="Times New Roman" w:eastAsia="Times New Roman" w:hAnsi="Times New Roman" w:cs="Times New Roman"/>
          <w:sz w:val="20"/>
          <w:szCs w:val="20"/>
        </w:rPr>
        <w:t>nada mais é que a incapacidade dos críticos de basea</w:t>
      </w:r>
      <w:r w:rsidR="00120B32">
        <w:rPr>
          <w:rFonts w:ascii="Times New Roman" w:eastAsia="Times New Roman" w:hAnsi="Times New Roman" w:cs="Times New Roman"/>
          <w:sz w:val="20"/>
          <w:szCs w:val="20"/>
        </w:rPr>
        <w:t>rem-se nos fatos históricos d</w:t>
      </w:r>
      <w:r>
        <w:rPr>
          <w:rFonts w:ascii="Times New Roman" w:eastAsia="Times New Roman" w:hAnsi="Times New Roman" w:cs="Times New Roman"/>
          <w:sz w:val="20"/>
          <w:szCs w:val="20"/>
        </w:rPr>
        <w:t>os quais as metáforas de Hamann são r</w:t>
      </w:r>
      <w:r w:rsidR="00120B32">
        <w:rPr>
          <w:rFonts w:ascii="Times New Roman" w:eastAsia="Times New Roman" w:hAnsi="Times New Roman" w:cs="Times New Roman"/>
          <w:sz w:val="20"/>
          <w:szCs w:val="20"/>
        </w:rPr>
        <w:t>etiradas (HAMANN, 2007e, p.</w:t>
      </w:r>
      <w:r w:rsidR="004A315D">
        <w:rPr>
          <w:rFonts w:ascii="Times New Roman" w:eastAsia="Times New Roman" w:hAnsi="Times New Roman" w:cs="Times New Roman"/>
          <w:sz w:val="20"/>
          <w:szCs w:val="20"/>
        </w:rPr>
        <w:t xml:space="preserve"> </w:t>
      </w:r>
      <w:r w:rsidR="00120B32">
        <w:rPr>
          <w:rFonts w:ascii="Times New Roman" w:eastAsia="Times New Roman" w:hAnsi="Times New Roman" w:cs="Times New Roman"/>
          <w:sz w:val="20"/>
          <w:szCs w:val="20"/>
        </w:rPr>
        <w:t>155). No entanto, devemos concordar com Hegel em uma coisa, que</w:t>
      </w:r>
      <w:r>
        <w:rPr>
          <w:rFonts w:ascii="Times New Roman" w:eastAsia="Times New Roman" w:hAnsi="Times New Roman" w:cs="Times New Roman"/>
          <w:sz w:val="20"/>
          <w:szCs w:val="20"/>
        </w:rPr>
        <w:t xml:space="preserve"> Hamann não apresenta seus argumentos de maneira sistemática o</w:t>
      </w:r>
      <w:r w:rsidR="00855225">
        <w:rPr>
          <w:rFonts w:ascii="Times New Roman" w:eastAsia="Times New Roman" w:hAnsi="Times New Roman" w:cs="Times New Roman"/>
          <w:sz w:val="20"/>
          <w:szCs w:val="20"/>
        </w:rPr>
        <w:t xml:space="preserve"> suficiente</w:t>
      </w:r>
      <w:r>
        <w:rPr>
          <w:rFonts w:ascii="Times New Roman" w:eastAsia="Times New Roman" w:hAnsi="Times New Roman" w:cs="Times New Roman"/>
          <w:sz w:val="20"/>
          <w:szCs w:val="20"/>
        </w:rPr>
        <w:t xml:space="preserve">. </w:t>
      </w:r>
    </w:p>
    <w:p w:rsidR="00416987" w:rsidRDefault="00120B32">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acusações de Hegel têm sua deficiência</w:t>
      </w:r>
      <w:r w:rsidR="00F90C57">
        <w:rPr>
          <w:rFonts w:ascii="Times New Roman" w:eastAsia="Times New Roman" w:hAnsi="Times New Roman" w:cs="Times New Roman"/>
          <w:sz w:val="20"/>
          <w:szCs w:val="20"/>
        </w:rPr>
        <w:t xml:space="preserve"> no tocante </w:t>
      </w:r>
      <w:r w:rsidR="00DD21C9">
        <w:rPr>
          <w:rFonts w:ascii="Times New Roman" w:eastAsia="Times New Roman" w:hAnsi="Times New Roman" w:cs="Times New Roman"/>
          <w:sz w:val="20"/>
          <w:szCs w:val="20"/>
        </w:rPr>
        <w:t>d</w:t>
      </w:r>
      <w:r w:rsidR="00F90C57">
        <w:rPr>
          <w:rFonts w:ascii="Times New Roman" w:eastAsia="Times New Roman" w:hAnsi="Times New Roman" w:cs="Times New Roman"/>
          <w:sz w:val="20"/>
          <w:szCs w:val="20"/>
        </w:rPr>
        <w:t>a razã</w:t>
      </w:r>
      <w:r>
        <w:rPr>
          <w:rFonts w:ascii="Times New Roman" w:eastAsia="Times New Roman" w:hAnsi="Times New Roman" w:cs="Times New Roman"/>
          <w:sz w:val="20"/>
          <w:szCs w:val="20"/>
        </w:rPr>
        <w:t xml:space="preserve">o, que dependente da linguagem e </w:t>
      </w:r>
      <w:r w:rsidR="00F90C57">
        <w:rPr>
          <w:rFonts w:ascii="Times New Roman" w:eastAsia="Times New Roman" w:hAnsi="Times New Roman" w:cs="Times New Roman"/>
          <w:sz w:val="20"/>
          <w:szCs w:val="20"/>
        </w:rPr>
        <w:t>introduz um novo sentido ao discurso. Esse sentido exige a necessidade de discutir uma palavra-discurso e não mais</w:t>
      </w:r>
      <w:r>
        <w:rPr>
          <w:rFonts w:ascii="Times New Roman" w:eastAsia="Times New Roman" w:hAnsi="Times New Roman" w:cs="Times New Roman"/>
          <w:sz w:val="20"/>
          <w:szCs w:val="20"/>
        </w:rPr>
        <w:t xml:space="preserve"> uma palavra oposta ao discurso, menos ainda </w:t>
      </w:r>
      <w:r w:rsidR="00F90C57">
        <w:rPr>
          <w:rFonts w:ascii="Times New Roman" w:eastAsia="Times New Roman" w:hAnsi="Times New Roman" w:cs="Times New Roman"/>
          <w:sz w:val="20"/>
          <w:szCs w:val="20"/>
        </w:rPr>
        <w:t xml:space="preserve">um discurso oposto a palavra. Torna-se também aparente que </w:t>
      </w:r>
      <w:r>
        <w:rPr>
          <w:rFonts w:ascii="Times New Roman" w:eastAsia="Times New Roman" w:hAnsi="Times New Roman" w:cs="Times New Roman"/>
          <w:sz w:val="20"/>
          <w:szCs w:val="20"/>
        </w:rPr>
        <w:t>o modo como Hamann critica</w:t>
      </w:r>
      <w:r w:rsidR="00C96FAE">
        <w:rPr>
          <w:rFonts w:ascii="Times New Roman" w:eastAsia="Times New Roman" w:hAnsi="Times New Roman" w:cs="Times New Roman"/>
          <w:sz w:val="20"/>
          <w:szCs w:val="20"/>
        </w:rPr>
        <w:t xml:space="preserve"> o idealismo alemão marca</w:t>
      </w:r>
      <w:r w:rsidR="00F90C57">
        <w:rPr>
          <w:rFonts w:ascii="Times New Roman" w:eastAsia="Times New Roman" w:hAnsi="Times New Roman" w:cs="Times New Roman"/>
          <w:sz w:val="20"/>
          <w:szCs w:val="20"/>
        </w:rPr>
        <w:t xml:space="preserve"> Kierkegaard consideravelmente. Kierkegaard apreende essa palavra-discurso em seu projeto literário-filosófico, mas, acima de tudo, Kierkegaard adota essa noção de linguagem para o seu projeto de vida. "O que eu realmente preciso fazer é ser claro sobre o </w:t>
      </w:r>
      <w:r w:rsidR="00F90C57">
        <w:rPr>
          <w:rFonts w:ascii="Times New Roman" w:eastAsia="Times New Roman" w:hAnsi="Times New Roman" w:cs="Times New Roman"/>
          <w:i/>
          <w:sz w:val="20"/>
          <w:szCs w:val="20"/>
        </w:rPr>
        <w:t>que eu tenho que fazer</w:t>
      </w:r>
      <w:r w:rsidR="00F90C57">
        <w:rPr>
          <w:rFonts w:ascii="Times New Roman" w:eastAsia="Times New Roman" w:hAnsi="Times New Roman" w:cs="Times New Roman"/>
          <w:sz w:val="20"/>
          <w:szCs w:val="20"/>
        </w:rPr>
        <w:t>, não o que eu devo saber, exceto no sentido em que o conhecimento deve preceder toda ação"(KIER</w:t>
      </w:r>
      <w:r w:rsidR="004A315D">
        <w:rPr>
          <w:rFonts w:ascii="Times New Roman" w:eastAsia="Times New Roman" w:hAnsi="Times New Roman" w:cs="Times New Roman"/>
          <w:sz w:val="20"/>
          <w:szCs w:val="20"/>
        </w:rPr>
        <w:t xml:space="preserve">KEGAARD, 2007, p. </w:t>
      </w:r>
      <w:r w:rsidR="00FF59E6">
        <w:rPr>
          <w:rFonts w:ascii="Times New Roman" w:eastAsia="Times New Roman" w:hAnsi="Times New Roman" w:cs="Times New Roman"/>
          <w:sz w:val="20"/>
          <w:szCs w:val="20"/>
        </w:rPr>
        <w:t>19, Jornal AA</w:t>
      </w:r>
      <w:r w:rsidR="00F90C57">
        <w:rPr>
          <w:rFonts w:ascii="Times New Roman" w:eastAsia="Times New Roman" w:hAnsi="Times New Roman" w:cs="Times New Roman"/>
          <w:sz w:val="20"/>
          <w:szCs w:val="20"/>
        </w:rPr>
        <w:t>: 12, grifo do a</w:t>
      </w:r>
      <w:r w:rsidR="00DD21C9">
        <w:rPr>
          <w:rFonts w:ascii="Times New Roman" w:eastAsia="Times New Roman" w:hAnsi="Times New Roman" w:cs="Times New Roman"/>
          <w:sz w:val="20"/>
          <w:szCs w:val="20"/>
        </w:rPr>
        <w:t>utor). O conhecimento anterior à</w:t>
      </w:r>
      <w:r w:rsidR="00F90C57">
        <w:rPr>
          <w:rFonts w:ascii="Times New Roman" w:eastAsia="Times New Roman" w:hAnsi="Times New Roman" w:cs="Times New Roman"/>
          <w:sz w:val="20"/>
          <w:szCs w:val="20"/>
        </w:rPr>
        <w:t xml:space="preserve"> ação não é indepe</w:t>
      </w:r>
      <w:r w:rsidR="00A56365">
        <w:rPr>
          <w:rFonts w:ascii="Times New Roman" w:eastAsia="Times New Roman" w:hAnsi="Times New Roman" w:cs="Times New Roman"/>
          <w:sz w:val="20"/>
          <w:szCs w:val="20"/>
        </w:rPr>
        <w:t>ndente do mundo, da experiência. E</w:t>
      </w:r>
      <w:r w:rsidR="00DD21C9">
        <w:rPr>
          <w:rFonts w:ascii="Times New Roman" w:eastAsia="Times New Roman" w:hAnsi="Times New Roman" w:cs="Times New Roman"/>
          <w:sz w:val="20"/>
          <w:szCs w:val="20"/>
        </w:rPr>
        <w:t xml:space="preserve">sse conhecimento é, </w:t>
      </w:r>
      <w:r w:rsidR="00F90C57">
        <w:rPr>
          <w:rFonts w:ascii="Times New Roman" w:eastAsia="Times New Roman" w:hAnsi="Times New Roman" w:cs="Times New Roman"/>
          <w:sz w:val="20"/>
          <w:szCs w:val="20"/>
        </w:rPr>
        <w:t>na verdade</w:t>
      </w:r>
      <w:r w:rsidR="00DD21C9">
        <w:rPr>
          <w:rFonts w:ascii="Times New Roman" w:eastAsia="Times New Roman" w:hAnsi="Times New Roman" w:cs="Times New Roman"/>
          <w:sz w:val="20"/>
          <w:szCs w:val="20"/>
        </w:rPr>
        <w:t>,</w:t>
      </w:r>
      <w:r w:rsidR="00F90C57">
        <w:rPr>
          <w:rFonts w:ascii="Times New Roman" w:eastAsia="Times New Roman" w:hAnsi="Times New Roman" w:cs="Times New Roman"/>
          <w:sz w:val="20"/>
          <w:szCs w:val="20"/>
        </w:rPr>
        <w:t xml:space="preserve"> parte de sua própria determinação.  </w:t>
      </w:r>
    </w:p>
    <w:p w:rsidR="00416987" w:rsidRDefault="00F90C57">
      <w:pPr>
        <w:spacing w:after="200"/>
        <w:ind w:firstLine="720"/>
        <w:jc w:val="both"/>
        <w:rPr>
          <w:rFonts w:ascii="Times New Roman" w:eastAsia="Times New Roman" w:hAnsi="Times New Roman" w:cs="Times New Roman"/>
          <w:color w:val="0000FF"/>
          <w:sz w:val="20"/>
          <w:szCs w:val="20"/>
        </w:rPr>
      </w:pPr>
      <w:r>
        <w:rPr>
          <w:rFonts w:ascii="Times New Roman" w:eastAsia="Times New Roman" w:hAnsi="Times New Roman" w:cs="Times New Roman"/>
          <w:sz w:val="20"/>
          <w:szCs w:val="20"/>
        </w:rPr>
        <w:t>Consequentemente, Hamann e Kierkegaard refutam a independência da razão da realidade, o que é central para entender como um discurso se forma. Se falar é traduzir, como Hamann nos faz perceber, escrever é uma tarefa do discurso. Assim, nenhuma razão pura e independente da realidade pode ao mesmo tempo se sustentar no discurso e aniq</w:t>
      </w:r>
      <w:r w:rsidR="00DD21C9">
        <w:rPr>
          <w:rFonts w:ascii="Times New Roman" w:eastAsia="Times New Roman" w:hAnsi="Times New Roman" w:cs="Times New Roman"/>
          <w:sz w:val="20"/>
          <w:szCs w:val="20"/>
        </w:rPr>
        <w:t xml:space="preserve">uilá-lo. Na reconciliação </w:t>
      </w:r>
      <w:proofErr w:type="gramStart"/>
      <w:r w:rsidR="00DD21C9">
        <w:rPr>
          <w:rFonts w:ascii="Times New Roman" w:eastAsia="Times New Roman" w:hAnsi="Times New Roman" w:cs="Times New Roman"/>
          <w:sz w:val="20"/>
          <w:szCs w:val="20"/>
        </w:rPr>
        <w:t xml:space="preserve">entre </w:t>
      </w:r>
      <w:r>
        <w:rPr>
          <w:rFonts w:ascii="Times New Roman" w:eastAsia="Times New Roman" w:hAnsi="Times New Roman" w:cs="Times New Roman"/>
          <w:sz w:val="20"/>
          <w:szCs w:val="20"/>
        </w:rPr>
        <w:t>Eu</w:t>
      </w:r>
      <w:proofErr w:type="gramEnd"/>
      <w:r>
        <w:rPr>
          <w:rFonts w:ascii="Times New Roman" w:eastAsia="Times New Roman" w:hAnsi="Times New Roman" w:cs="Times New Roman"/>
          <w:sz w:val="20"/>
          <w:szCs w:val="20"/>
        </w:rPr>
        <w:t xml:space="preserve"> e outro, entre sujeito e Estado, o discurso abrange todas as for</w:t>
      </w:r>
      <w:r w:rsidR="0047483D">
        <w:rPr>
          <w:rFonts w:ascii="Times New Roman" w:eastAsia="Times New Roman" w:hAnsi="Times New Roman" w:cs="Times New Roman"/>
          <w:sz w:val="20"/>
          <w:szCs w:val="20"/>
        </w:rPr>
        <w:t xml:space="preserve">mas de comunicação. Entre essas </w:t>
      </w:r>
      <w:r>
        <w:rPr>
          <w:rFonts w:ascii="Times New Roman" w:eastAsia="Times New Roman" w:hAnsi="Times New Roman" w:cs="Times New Roman"/>
          <w:sz w:val="20"/>
          <w:szCs w:val="20"/>
        </w:rPr>
        <w:t>diversas formas de comunicação, nós temos a comunicação indireta, fruto do conhecimento de si, que tem seu lugar na subjetividade e se dá na experiência (</w:t>
      </w:r>
      <w:proofErr w:type="spellStart"/>
      <w:r>
        <w:rPr>
          <w:rFonts w:ascii="Times New Roman" w:eastAsia="Times New Roman" w:hAnsi="Times New Roman" w:cs="Times New Roman"/>
          <w:i/>
          <w:sz w:val="20"/>
          <w:szCs w:val="20"/>
        </w:rPr>
        <w:t>Erfaring</w:t>
      </w:r>
      <w:proofErr w:type="spellEnd"/>
      <w:r w:rsidR="001B0348">
        <w:rPr>
          <w:rFonts w:ascii="Times New Roman" w:eastAsia="Times New Roman" w:hAnsi="Times New Roman" w:cs="Times New Roman"/>
          <w:sz w:val="20"/>
          <w:szCs w:val="20"/>
        </w:rPr>
        <w:t xml:space="preserve">) do Eu </w:t>
      </w:r>
      <w:r w:rsidR="00A56365">
        <w:rPr>
          <w:rFonts w:ascii="Times New Roman" w:eastAsia="Times New Roman" w:hAnsi="Times New Roman" w:cs="Times New Roman"/>
          <w:sz w:val="20"/>
          <w:szCs w:val="20"/>
        </w:rPr>
        <w:t xml:space="preserve">com </w:t>
      </w:r>
      <w:r>
        <w:rPr>
          <w:rFonts w:ascii="Times New Roman" w:eastAsia="Times New Roman" w:hAnsi="Times New Roman" w:cs="Times New Roman"/>
          <w:sz w:val="20"/>
          <w:szCs w:val="20"/>
        </w:rPr>
        <w:t>o mundo. Uma filosofia da reconciliação entre Eu e outro, entre narrativa e discurso, pode ser encontrada em Hamann e Kierkegaard, que reconstituem o lugar das individua</w:t>
      </w:r>
      <w:r w:rsidR="00A56365">
        <w:rPr>
          <w:rFonts w:ascii="Times New Roman" w:eastAsia="Times New Roman" w:hAnsi="Times New Roman" w:cs="Times New Roman"/>
          <w:sz w:val="20"/>
          <w:szCs w:val="20"/>
        </w:rPr>
        <w:t xml:space="preserve">lidades no discurso filosófico, </w:t>
      </w:r>
      <w:r>
        <w:rPr>
          <w:rFonts w:ascii="Times New Roman" w:eastAsia="Times New Roman" w:hAnsi="Times New Roman" w:cs="Times New Roman"/>
          <w:sz w:val="20"/>
          <w:szCs w:val="20"/>
        </w:rPr>
        <w:t xml:space="preserve">o lugar da experiência de Hume (KIERKEGAARD, 2007, p. 331, Jornal AA : 13–14) e do existencialismo que ganha corpo com Sartre e </w:t>
      </w:r>
      <w:r>
        <w:rPr>
          <w:rFonts w:ascii="Times New Roman" w:eastAsia="Times New Roman" w:hAnsi="Times New Roman" w:cs="Times New Roman"/>
          <w:sz w:val="20"/>
          <w:szCs w:val="20"/>
        </w:rPr>
        <w:lastRenderedPageBreak/>
        <w:t>especialmente com Simone de Beauvoir (AGOSTINHO, 2017). Como se ambos, Hamann e Kierkegaard, fossem ao mesmo tempo escritores de uma linguagem mais próxima as narrativas e discursos humanos e, por outro lado, escritores de uma linguagem independente dos entraves do conhecimento abstrato, do cemitério constituído pela filosofia sem pressupostos.</w:t>
      </w:r>
    </w:p>
    <w:p w:rsidR="00416987" w:rsidRDefault="00416987">
      <w:pPr>
        <w:spacing w:after="200"/>
        <w:jc w:val="center"/>
        <w:rPr>
          <w:rFonts w:ascii="Times New Roman" w:eastAsia="Times New Roman" w:hAnsi="Times New Roman" w:cs="Times New Roman"/>
          <w:b/>
          <w:sz w:val="20"/>
          <w:szCs w:val="20"/>
        </w:rPr>
      </w:pPr>
    </w:p>
    <w:p w:rsidR="00416987" w:rsidRDefault="00F90C57">
      <w:pPr>
        <w:spacing w:after="200"/>
        <w:ind w:firstLine="720"/>
        <w:rPr>
          <w:rFonts w:ascii="Times New Roman" w:eastAsia="Times New Roman" w:hAnsi="Times New Roman" w:cs="Times New Roman"/>
          <w:sz w:val="20"/>
          <w:szCs w:val="20"/>
        </w:rPr>
      </w:pPr>
      <w:r>
        <w:rPr>
          <w:rFonts w:ascii="Times New Roman" w:eastAsia="Times New Roman" w:hAnsi="Times New Roman" w:cs="Times New Roman"/>
          <w:b/>
          <w:sz w:val="20"/>
          <w:szCs w:val="20"/>
        </w:rPr>
        <w:t>É Preciso Duvidar de Tudo</w:t>
      </w:r>
    </w:p>
    <w:p w:rsidR="00416987" w:rsidRDefault="00F90C57">
      <w:pPr>
        <w:spacing w:after="200"/>
        <w:ind w:firstLine="72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Na Universidade de Copenhague, Kierkegaard, aluno excêntrico e estudioso sistemático da filosofia de Hegel, surpreende </w:t>
      </w:r>
      <w:r w:rsidR="00FF59E6">
        <w:rPr>
          <w:rFonts w:ascii="Times New Roman" w:eastAsia="Times New Roman" w:hAnsi="Times New Roman" w:cs="Times New Roman"/>
          <w:sz w:val="20"/>
          <w:szCs w:val="20"/>
        </w:rPr>
        <w:t>seus colegas</w:t>
      </w:r>
      <w:r>
        <w:rPr>
          <w:rFonts w:ascii="Times New Roman" w:eastAsia="Times New Roman" w:hAnsi="Times New Roman" w:cs="Times New Roman"/>
          <w:sz w:val="20"/>
          <w:szCs w:val="20"/>
        </w:rPr>
        <w:t xml:space="preserve"> estando com Hegel, mas não com os hegelianos</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rPr>
        <w:t xml:space="preserve">. Não </w:t>
      </w:r>
      <w:r w:rsidR="00BC5DCE">
        <w:rPr>
          <w:rFonts w:ascii="Times New Roman" w:eastAsia="Times New Roman" w:hAnsi="Times New Roman" w:cs="Times New Roman"/>
          <w:sz w:val="20"/>
          <w:szCs w:val="20"/>
        </w:rPr>
        <w:t>foi</w:t>
      </w:r>
      <w:r>
        <w:rPr>
          <w:rFonts w:ascii="Times New Roman" w:eastAsia="Times New Roman" w:hAnsi="Times New Roman" w:cs="Times New Roman"/>
          <w:sz w:val="20"/>
          <w:szCs w:val="20"/>
        </w:rPr>
        <w:t xml:space="preserve"> grande </w:t>
      </w:r>
      <w:r w:rsidR="00DC601A">
        <w:rPr>
          <w:rFonts w:ascii="Times New Roman" w:eastAsia="Times New Roman" w:hAnsi="Times New Roman" w:cs="Times New Roman"/>
          <w:sz w:val="20"/>
          <w:szCs w:val="20"/>
        </w:rPr>
        <w:t>imprevisto</w:t>
      </w:r>
      <w:r w:rsidR="00BC5DCE">
        <w:rPr>
          <w:rFonts w:ascii="Times New Roman" w:eastAsia="Times New Roman" w:hAnsi="Times New Roman" w:cs="Times New Roman"/>
          <w:sz w:val="20"/>
          <w:szCs w:val="20"/>
        </w:rPr>
        <w:t xml:space="preserve"> para a banca avaliadora d</w:t>
      </w:r>
      <w:r>
        <w:rPr>
          <w:rFonts w:ascii="Times New Roman" w:eastAsia="Times New Roman" w:hAnsi="Times New Roman" w:cs="Times New Roman"/>
          <w:sz w:val="20"/>
          <w:szCs w:val="20"/>
        </w:rPr>
        <w:t>a dissertação de Kierkegaard</w:t>
      </w:r>
      <w:r w:rsidR="00725BFC">
        <w:rPr>
          <w:rFonts w:ascii="Times New Roman" w:eastAsia="Times New Roman" w:hAnsi="Times New Roman" w:cs="Times New Roman"/>
          <w:sz w:val="20"/>
          <w:szCs w:val="20"/>
        </w:rPr>
        <w:t xml:space="preserve"> </w:t>
      </w:r>
      <w:r w:rsidR="00BC5DCE">
        <w:rPr>
          <w:rFonts w:ascii="Times New Roman" w:eastAsia="Times New Roman" w:hAnsi="Times New Roman" w:cs="Times New Roman"/>
          <w:sz w:val="20"/>
          <w:szCs w:val="20"/>
        </w:rPr>
        <w:t>que ele tenha</w:t>
      </w:r>
      <w:r>
        <w:rPr>
          <w:rFonts w:ascii="Times New Roman" w:eastAsia="Times New Roman" w:hAnsi="Times New Roman" w:cs="Times New Roman"/>
          <w:sz w:val="20"/>
          <w:szCs w:val="20"/>
        </w:rPr>
        <w:t xml:space="preserve"> </w:t>
      </w:r>
      <w:r w:rsidR="00BC5DCE">
        <w:rPr>
          <w:rFonts w:ascii="Times New Roman" w:eastAsia="Times New Roman" w:hAnsi="Times New Roman" w:cs="Times New Roman"/>
          <w:sz w:val="20"/>
          <w:szCs w:val="20"/>
        </w:rPr>
        <w:t xml:space="preserve">apresentado </w:t>
      </w:r>
      <w:r>
        <w:rPr>
          <w:rFonts w:ascii="Times New Roman" w:eastAsia="Times New Roman" w:hAnsi="Times New Roman" w:cs="Times New Roman"/>
          <w:sz w:val="20"/>
          <w:szCs w:val="20"/>
        </w:rPr>
        <w:t>um trabalho polêmic</w:t>
      </w:r>
      <w:r w:rsidR="00FF59E6">
        <w:rPr>
          <w:rFonts w:ascii="Times New Roman" w:eastAsia="Times New Roman" w:hAnsi="Times New Roman" w:cs="Times New Roman"/>
          <w:sz w:val="20"/>
          <w:szCs w:val="20"/>
        </w:rPr>
        <w:t>o e desafiador</w:t>
      </w:r>
      <w:r w:rsidR="00BC5D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tanto para o formalismo acadêmico como cultural da Dinamarca. Em sua dissertação </w:t>
      </w:r>
      <w:r>
        <w:rPr>
          <w:rFonts w:ascii="Times New Roman" w:eastAsia="Times New Roman" w:hAnsi="Times New Roman" w:cs="Times New Roman"/>
          <w:i/>
          <w:sz w:val="20"/>
          <w:szCs w:val="20"/>
        </w:rPr>
        <w:t xml:space="preserve">O Conceito de Ironia: Constantemente Referido a Sócrates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Om </w:t>
      </w:r>
      <w:proofErr w:type="spellStart"/>
      <w:r>
        <w:rPr>
          <w:rFonts w:ascii="Times New Roman" w:eastAsia="Times New Roman" w:hAnsi="Times New Roman" w:cs="Times New Roman"/>
          <w:i/>
          <w:sz w:val="20"/>
          <w:szCs w:val="20"/>
        </w:rPr>
        <w:t>Begrebet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Ironi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stadigt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Hensyn</w:t>
      </w:r>
      <w:proofErr w:type="spellEnd"/>
      <w:r>
        <w:rPr>
          <w:rFonts w:ascii="Times New Roman" w:eastAsia="Times New Roman" w:hAnsi="Times New Roman" w:cs="Times New Roman"/>
          <w:i/>
          <w:sz w:val="20"/>
          <w:szCs w:val="20"/>
        </w:rPr>
        <w:t xml:space="preserve"> til </w:t>
      </w:r>
      <w:proofErr w:type="spellStart"/>
      <w:r>
        <w:rPr>
          <w:rFonts w:ascii="Times New Roman" w:eastAsia="Times New Roman" w:hAnsi="Times New Roman" w:cs="Times New Roman"/>
          <w:i/>
          <w:sz w:val="20"/>
          <w:szCs w:val="20"/>
        </w:rPr>
        <w:t>Socrates</w:t>
      </w:r>
      <w:proofErr w:type="spellEnd"/>
      <w:r w:rsidR="00CF7760">
        <w:rPr>
          <w:rFonts w:ascii="Times New Roman" w:eastAsia="Times New Roman" w:hAnsi="Times New Roman" w:cs="Times New Roman"/>
          <w:sz w:val="20"/>
          <w:szCs w:val="20"/>
        </w:rPr>
        <w:t>), Kierkegaard</w:t>
      </w:r>
      <w:r>
        <w:rPr>
          <w:rFonts w:ascii="Times New Roman" w:eastAsia="Times New Roman" w:hAnsi="Times New Roman" w:cs="Times New Roman"/>
          <w:sz w:val="20"/>
          <w:szCs w:val="20"/>
        </w:rPr>
        <w:t xml:space="preserve"> uti</w:t>
      </w:r>
      <w:r w:rsidR="00CF7760">
        <w:rPr>
          <w:rFonts w:ascii="Times New Roman" w:eastAsia="Times New Roman" w:hAnsi="Times New Roman" w:cs="Times New Roman"/>
          <w:sz w:val="20"/>
          <w:szCs w:val="20"/>
        </w:rPr>
        <w:t>liza a relação entre Cristo e seus</w:t>
      </w:r>
      <w:r>
        <w:rPr>
          <w:rFonts w:ascii="Times New Roman" w:eastAsia="Times New Roman" w:hAnsi="Times New Roman" w:cs="Times New Roman"/>
          <w:sz w:val="20"/>
          <w:szCs w:val="20"/>
        </w:rPr>
        <w:t xml:space="preserve"> discípulos para explicar de forma didática a relação dos relatos sobre Sócrates (Platão,  Xenofonte e Aristófanes) e da verdade histórica que poderia ser obtida sobre Sócrates, também tratando do julgamento de Sócrates nesse sentido, moldando a diferença entre legalidade e moralidade, Eu e Estado, como será desenvolvido na subsecção </w:t>
      </w:r>
      <w:r>
        <w:rPr>
          <w:rFonts w:ascii="Times New Roman" w:eastAsia="Times New Roman" w:hAnsi="Times New Roman" w:cs="Times New Roman"/>
          <w:i/>
          <w:sz w:val="20"/>
          <w:szCs w:val="20"/>
        </w:rPr>
        <w:t xml:space="preserve">Com Sócrates, sem Sócrates. </w:t>
      </w:r>
    </w:p>
    <w:p w:rsidR="00416987" w:rsidRDefault="00F90C57">
      <w:pPr>
        <w:spacing w:after="200"/>
        <w:ind w:firstLine="72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Na construção de um discurso para o Eu e o outro, na reconciliação entre interioridade e exterioridade, humanidade e natureza, </w:t>
      </w:r>
      <w:r w:rsidR="00725BFC">
        <w:rPr>
          <w:rFonts w:ascii="Times New Roman" w:eastAsia="Times New Roman" w:hAnsi="Times New Roman" w:cs="Times New Roman"/>
          <w:sz w:val="20"/>
          <w:szCs w:val="20"/>
        </w:rPr>
        <w:t xml:space="preserve">a posição do jovem Kierkegaard, assim como a do jovem Hamann, </w:t>
      </w:r>
      <w:r>
        <w:rPr>
          <w:rFonts w:ascii="Times New Roman" w:eastAsia="Times New Roman" w:hAnsi="Times New Roman" w:cs="Times New Roman"/>
          <w:sz w:val="20"/>
          <w:szCs w:val="20"/>
        </w:rPr>
        <w:t xml:space="preserve">é interpretativa e em certa medida também sistemática. Ambos, apropriando o vocabulário do idealismo, remetem a construção do discurso. O uso desse método de apropriação se torna evidente. E embora o esforço dos jovens autores para apropriar o discurso faça parte de uma desconstrução do </w:t>
      </w:r>
      <w:r>
        <w:rPr>
          <w:rFonts w:ascii="Times New Roman" w:eastAsia="Times New Roman" w:hAnsi="Times New Roman" w:cs="Times New Roman"/>
          <w:i/>
          <w:sz w:val="20"/>
          <w:szCs w:val="20"/>
        </w:rPr>
        <w:t>status quo</w:t>
      </w:r>
      <w:r>
        <w:rPr>
          <w:rFonts w:ascii="Times New Roman" w:eastAsia="Times New Roman" w:hAnsi="Times New Roman" w:cs="Times New Roman"/>
          <w:sz w:val="20"/>
          <w:szCs w:val="20"/>
        </w:rPr>
        <w:t xml:space="preserve"> filosófico, em última análise, os autores não destroem a filosofia contemporânea a eles. Ao contrário, com a inserção de um discurso livre para representar a equivalência do discurso com a existência e, ao mesmo tempo, a não-equivalência do discurso na tensão </w:t>
      </w:r>
      <w:proofErr w:type="gramStart"/>
      <w:r>
        <w:rPr>
          <w:rFonts w:ascii="Times New Roman" w:eastAsia="Times New Roman" w:hAnsi="Times New Roman" w:cs="Times New Roman"/>
          <w:sz w:val="20"/>
          <w:szCs w:val="20"/>
        </w:rPr>
        <w:t>entre Eu</w:t>
      </w:r>
      <w:proofErr w:type="gramEnd"/>
      <w:r>
        <w:rPr>
          <w:rFonts w:ascii="Times New Roman" w:eastAsia="Times New Roman" w:hAnsi="Times New Roman" w:cs="Times New Roman"/>
          <w:sz w:val="20"/>
          <w:szCs w:val="20"/>
        </w:rPr>
        <w:t xml:space="preserve"> e outro, Hamann e Kierkegaard se tornam a vanguarda no que concerne o discurso filosófico. O foco na subjetividade é, até então, objetivamente apropri</w:t>
      </w:r>
      <w:r w:rsidR="00FF59E6">
        <w:rPr>
          <w:rFonts w:ascii="Times New Roman" w:eastAsia="Times New Roman" w:hAnsi="Times New Roman" w:cs="Times New Roman"/>
          <w:sz w:val="20"/>
          <w:szCs w:val="20"/>
        </w:rPr>
        <w:t xml:space="preserve">ado a tarefa filosófica já que </w:t>
      </w:r>
      <w:r>
        <w:rPr>
          <w:rFonts w:ascii="Times New Roman" w:eastAsia="Times New Roman" w:hAnsi="Times New Roman" w:cs="Times New Roman"/>
          <w:sz w:val="20"/>
          <w:szCs w:val="20"/>
        </w:rPr>
        <w:t>"o começo subjetivo é consciência (reflexão)" (BURNS, 2017, p.</w:t>
      </w:r>
      <w:r w:rsidR="004A31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140).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construção do discurso da obra </w:t>
      </w:r>
      <w:r>
        <w:rPr>
          <w:rFonts w:ascii="Times New Roman" w:eastAsia="Times New Roman" w:hAnsi="Times New Roman" w:cs="Times New Roman"/>
          <w:i/>
          <w:sz w:val="20"/>
          <w:szCs w:val="20"/>
        </w:rPr>
        <w:t>Temor e Tremor</w:t>
      </w:r>
      <w:r>
        <w:rPr>
          <w:rFonts w:ascii="Times New Roman" w:eastAsia="Times New Roman" w:hAnsi="Times New Roman" w:cs="Times New Roman"/>
          <w:sz w:val="20"/>
          <w:szCs w:val="20"/>
        </w:rPr>
        <w:t xml:space="preserve">, o leitor pode ficar absorto na tentativa de fazer sentido das </w:t>
      </w:r>
      <w:r w:rsidR="004A315D">
        <w:rPr>
          <w:rFonts w:ascii="Times New Roman" w:eastAsia="Times New Roman" w:hAnsi="Times New Roman" w:cs="Times New Roman"/>
          <w:sz w:val="20"/>
          <w:szCs w:val="20"/>
        </w:rPr>
        <w:t>recriações</w:t>
      </w:r>
      <w:r>
        <w:rPr>
          <w:rFonts w:ascii="Times New Roman" w:eastAsia="Times New Roman" w:hAnsi="Times New Roman" w:cs="Times New Roman"/>
          <w:sz w:val="20"/>
          <w:szCs w:val="20"/>
        </w:rPr>
        <w:t xml:space="preserve"> </w:t>
      </w:r>
      <w:r w:rsidR="004A315D">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a manhã em que Abraão </w:t>
      </w:r>
      <w:r w:rsidR="004A315D">
        <w:rPr>
          <w:rFonts w:ascii="Times New Roman" w:eastAsia="Times New Roman" w:hAnsi="Times New Roman" w:cs="Times New Roman"/>
          <w:sz w:val="20"/>
          <w:szCs w:val="20"/>
        </w:rPr>
        <w:t>leva</w:t>
      </w:r>
      <w:r>
        <w:rPr>
          <w:rFonts w:ascii="Times New Roman" w:eastAsia="Times New Roman" w:hAnsi="Times New Roman" w:cs="Times New Roman"/>
          <w:sz w:val="20"/>
          <w:szCs w:val="20"/>
        </w:rPr>
        <w:t xml:space="preserve"> Isaac para ser sacrificado. Essa seção do texto é chamada atmosfera </w:t>
      </w:r>
      <w:r w:rsidR="006133FE">
        <w:rPr>
          <w:rFonts w:ascii="Times New Roman" w:eastAsia="Times New Roman" w:hAnsi="Times New Roman" w:cs="Times New Roman"/>
          <w:sz w:val="20"/>
          <w:szCs w:val="20"/>
        </w:rPr>
        <w:t>(</w:t>
      </w:r>
      <w:proofErr w:type="spellStart"/>
      <w:r w:rsidR="00F9105D">
        <w:rPr>
          <w:rFonts w:ascii="Times New Roman" w:eastAsia="Times New Roman" w:hAnsi="Times New Roman" w:cs="Times New Roman"/>
          <w:i/>
          <w:sz w:val="20"/>
          <w:szCs w:val="20"/>
        </w:rPr>
        <w:t>S</w:t>
      </w:r>
      <w:r>
        <w:rPr>
          <w:rFonts w:ascii="Times New Roman" w:eastAsia="Times New Roman" w:hAnsi="Times New Roman" w:cs="Times New Roman"/>
          <w:i/>
          <w:sz w:val="20"/>
          <w:szCs w:val="20"/>
        </w:rPr>
        <w:t>temning</w:t>
      </w:r>
      <w:proofErr w:type="spellEnd"/>
      <w:r w:rsidR="006133F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(KIERKEGAARD, 1983a, p.</w:t>
      </w:r>
      <w:r w:rsidR="004A315D">
        <w:rPr>
          <w:rFonts w:ascii="Times New Roman" w:eastAsia="Times New Roman" w:hAnsi="Times New Roman" w:cs="Times New Roman"/>
          <w:sz w:val="20"/>
          <w:szCs w:val="20"/>
        </w:rPr>
        <w:t xml:space="preserve"> 9-14), </w:t>
      </w:r>
      <w:r>
        <w:rPr>
          <w:rFonts w:ascii="Times New Roman" w:eastAsia="Times New Roman" w:hAnsi="Times New Roman" w:cs="Times New Roman"/>
          <w:sz w:val="20"/>
          <w:szCs w:val="20"/>
        </w:rPr>
        <w:t>que sozinha constitui, talvez, a parte mais famosa e pobremente interpretada do texto</w:t>
      </w:r>
      <w:r>
        <w:rPr>
          <w:rFonts w:ascii="Times New Roman" w:eastAsia="Times New Roman" w:hAnsi="Times New Roman" w:cs="Times New Roman"/>
          <w:i/>
          <w:sz w:val="20"/>
          <w:szCs w:val="20"/>
        </w:rPr>
        <w:t>.</w:t>
      </w:r>
      <w:r w:rsidR="004A315D">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 humor usado ne</w:t>
      </w:r>
      <w:r w:rsidR="004A315D">
        <w:rPr>
          <w:rFonts w:ascii="Times New Roman" w:eastAsia="Times New Roman" w:hAnsi="Times New Roman" w:cs="Times New Roman"/>
          <w:sz w:val="20"/>
          <w:szCs w:val="20"/>
        </w:rPr>
        <w:t>sse caso beira ao drama e ao mau</w:t>
      </w:r>
      <w:r>
        <w:rPr>
          <w:rFonts w:ascii="Times New Roman" w:eastAsia="Times New Roman" w:hAnsi="Times New Roman" w:cs="Times New Roman"/>
          <w:sz w:val="20"/>
          <w:szCs w:val="20"/>
        </w:rPr>
        <w:t xml:space="preserve"> gosto. O leitor não sabe se está lendo uma história </w:t>
      </w:r>
      <w:r w:rsidR="00BA6613">
        <w:rPr>
          <w:rFonts w:ascii="Times New Roman" w:eastAsia="Times New Roman" w:hAnsi="Times New Roman" w:cs="Times New Roman"/>
          <w:sz w:val="20"/>
          <w:szCs w:val="20"/>
        </w:rPr>
        <w:t>absurda</w:t>
      </w:r>
      <w:r>
        <w:rPr>
          <w:rFonts w:ascii="Times New Roman" w:eastAsia="Times New Roman" w:hAnsi="Times New Roman" w:cs="Times New Roman"/>
          <w:sz w:val="20"/>
          <w:szCs w:val="20"/>
        </w:rPr>
        <w:t xml:space="preserve"> ou a construção de uma engrenagem na qual o efeito visual da palavra-discurso é suficientemente sublime e dramático</w:t>
      </w:r>
      <w:r w:rsidR="004A315D">
        <w:rPr>
          <w:rFonts w:ascii="Times New Roman" w:eastAsia="Times New Roman" w:hAnsi="Times New Roman" w:cs="Times New Roman"/>
          <w:sz w:val="20"/>
          <w:szCs w:val="20"/>
        </w:rPr>
        <w:t xml:space="preserve"> para dissipar seus disparates</w:t>
      </w:r>
      <w:r>
        <w:rPr>
          <w:rFonts w:ascii="Times New Roman" w:eastAsia="Times New Roman" w:hAnsi="Times New Roman" w:cs="Times New Roman"/>
          <w:sz w:val="20"/>
          <w:szCs w:val="20"/>
        </w:rPr>
        <w:t>. Sabendo o que ago</w:t>
      </w:r>
      <w:r w:rsidR="004A315D">
        <w:rPr>
          <w:rFonts w:ascii="Times New Roman" w:eastAsia="Times New Roman" w:hAnsi="Times New Roman" w:cs="Times New Roman"/>
          <w:sz w:val="20"/>
          <w:szCs w:val="20"/>
        </w:rPr>
        <w:t>ra sabemos sobre Hamann, podemos</w:t>
      </w:r>
      <w:r>
        <w:rPr>
          <w:rFonts w:ascii="Times New Roman" w:eastAsia="Times New Roman" w:hAnsi="Times New Roman" w:cs="Times New Roman"/>
          <w:sz w:val="20"/>
          <w:szCs w:val="20"/>
        </w:rPr>
        <w:t xml:space="preserve"> reler a passagem com melhores ferramentas para sua interpretação. A passagem esclarece o conteúdo do livro e suas intenções em um cortejo com a história da filosofia e com o lugar do Eu em meio ao desastre.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Essa representação do Eu no texto se agarra à existência. Hamann brinca com a necessidade de se ater a realidade quando "para aplaudir nossas  mentes germânicas, os escritores chanceleres da razão humana e religião tem permanecido leais até os dias de hoje ao uso estilístico de escrever a pequena letra </w:t>
      </w:r>
      <w:r>
        <w:rPr>
          <w:rFonts w:ascii="Times New Roman" w:eastAsia="Times New Roman" w:hAnsi="Times New Roman" w:cs="Times New Roman"/>
          <w:i/>
          <w:sz w:val="20"/>
          <w:szCs w:val="20"/>
        </w:rPr>
        <w:t xml:space="preserve">h </w:t>
      </w:r>
      <w:r>
        <w:rPr>
          <w:rFonts w:ascii="Times New Roman" w:eastAsia="Times New Roman" w:hAnsi="Times New Roman" w:cs="Times New Roman"/>
          <w:sz w:val="20"/>
          <w:szCs w:val="20"/>
        </w:rPr>
        <w:t>e estão mais envergonhados da liberdade ortográfica do que de todas as outr</w:t>
      </w:r>
      <w:r w:rsidR="004A315D">
        <w:rPr>
          <w:rFonts w:ascii="Times New Roman" w:eastAsia="Times New Roman" w:hAnsi="Times New Roman" w:cs="Times New Roman"/>
          <w:sz w:val="20"/>
          <w:szCs w:val="20"/>
        </w:rPr>
        <w:t>as opiniões do imbecil Master Ma</w:t>
      </w:r>
      <w:r>
        <w:rPr>
          <w:rFonts w:ascii="Times New Roman" w:eastAsia="Times New Roman" w:hAnsi="Times New Roman" w:cs="Times New Roman"/>
          <w:sz w:val="20"/>
          <w:szCs w:val="20"/>
        </w:rPr>
        <w:t>rtin" (HAMANN, 2007e, p.</w:t>
      </w:r>
      <w:r w:rsidR="004A31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155, grifo do autor). Hamann refuta o u</w:t>
      </w:r>
      <w:r w:rsidR="004A315D">
        <w:rPr>
          <w:rFonts w:ascii="Times New Roman" w:eastAsia="Times New Roman" w:hAnsi="Times New Roman" w:cs="Times New Roman"/>
          <w:sz w:val="20"/>
          <w:szCs w:val="20"/>
        </w:rPr>
        <w:t>so artificial da linguagem, já que</w:t>
      </w:r>
      <w:r>
        <w:rPr>
          <w:rFonts w:ascii="Times New Roman" w:eastAsia="Times New Roman" w:hAnsi="Times New Roman" w:cs="Times New Roman"/>
          <w:sz w:val="20"/>
          <w:szCs w:val="20"/>
        </w:rPr>
        <w:t xml:space="preserve"> tal linguagem nem mantém relação com a realidade, nem se sustenta. A metacrítica é, por fim, uma metalinguagem dos costumes e universalidades adquiridas não por noçõe</w:t>
      </w:r>
      <w:r w:rsidR="004A315D">
        <w:rPr>
          <w:rFonts w:ascii="Times New Roman" w:eastAsia="Times New Roman" w:hAnsi="Times New Roman" w:cs="Times New Roman"/>
          <w:sz w:val="20"/>
          <w:szCs w:val="20"/>
        </w:rPr>
        <w:t>s a priori, mas através da</w:t>
      </w:r>
      <w:r>
        <w:rPr>
          <w:rFonts w:ascii="Times New Roman" w:eastAsia="Times New Roman" w:hAnsi="Times New Roman" w:cs="Times New Roman"/>
          <w:sz w:val="20"/>
          <w:szCs w:val="20"/>
        </w:rPr>
        <w:t xml:space="preserve"> experiência. Com isso, a metacrítica é parte da construção do lugar do Eu no panorama do discurso universal. Se o discurso da filosofia deve ter algum valor universal, esse valor só se d</w:t>
      </w:r>
      <w:r w:rsidR="008F6DD0">
        <w:rPr>
          <w:rFonts w:ascii="Times New Roman" w:eastAsia="Times New Roman" w:hAnsi="Times New Roman" w:cs="Times New Roman"/>
          <w:sz w:val="20"/>
          <w:szCs w:val="20"/>
        </w:rPr>
        <w:t>ar</w:t>
      </w:r>
      <w:r>
        <w:rPr>
          <w:rFonts w:ascii="Times New Roman" w:eastAsia="Times New Roman" w:hAnsi="Times New Roman" w:cs="Times New Roman"/>
          <w:sz w:val="20"/>
          <w:szCs w:val="20"/>
        </w:rPr>
        <w:t>á no processo crítico de pensamento do Eu em relação ao outro. Deste modo alegórico, Kierkegaard e Hamann constroem uma representação do discurso filosó</w:t>
      </w:r>
      <w:r w:rsidR="004A315D">
        <w:rPr>
          <w:rFonts w:ascii="Times New Roman" w:eastAsia="Times New Roman" w:hAnsi="Times New Roman" w:cs="Times New Roman"/>
          <w:sz w:val="20"/>
          <w:szCs w:val="20"/>
        </w:rPr>
        <w:t xml:space="preserve">fico por um lado deliciosa, por outro </w:t>
      </w:r>
      <w:r>
        <w:rPr>
          <w:rFonts w:ascii="Times New Roman" w:eastAsia="Times New Roman" w:hAnsi="Times New Roman" w:cs="Times New Roman"/>
          <w:sz w:val="20"/>
          <w:szCs w:val="20"/>
        </w:rPr>
        <w:t>perigosa.</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causa da inadequação das premissas do discurso filosófico e em relação a metacrítica, Kierkegaard pensa a possibilidade de uma dúvida honesta, de um “é preciso duvidar de tudo” (</w:t>
      </w:r>
      <w:r>
        <w:rPr>
          <w:rFonts w:ascii="Times New Roman" w:eastAsia="Times New Roman" w:hAnsi="Times New Roman" w:cs="Times New Roman"/>
          <w:i/>
          <w:sz w:val="20"/>
          <w:szCs w:val="20"/>
        </w:rPr>
        <w:t xml:space="preserve">De </w:t>
      </w:r>
      <w:proofErr w:type="spellStart"/>
      <w:r>
        <w:rPr>
          <w:rFonts w:ascii="Times New Roman" w:eastAsia="Times New Roman" w:hAnsi="Times New Roman" w:cs="Times New Roman"/>
          <w:i/>
          <w:sz w:val="20"/>
          <w:szCs w:val="20"/>
        </w:rPr>
        <w:t>omnibus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dubitandum</w:t>
      </w:r>
      <w:proofErr w:type="spellEnd"/>
      <w:r>
        <w:rPr>
          <w:rFonts w:ascii="Times New Roman" w:eastAsia="Times New Roman" w:hAnsi="Times New Roman" w:cs="Times New Roman"/>
          <w:i/>
          <w:sz w:val="20"/>
          <w:szCs w:val="20"/>
        </w:rPr>
        <w:t xml:space="preserve"> est</w:t>
      </w:r>
      <w:r>
        <w:rPr>
          <w:rFonts w:ascii="Times New Roman" w:eastAsia="Times New Roman" w:hAnsi="Times New Roman" w:cs="Times New Roman"/>
          <w:sz w:val="20"/>
          <w:szCs w:val="20"/>
        </w:rPr>
        <w:t xml:space="preserve">), para que premissas falsas sejam abandonadas e para que o discurso possa progredir. A respeito de uma aula de Schelling, Kierkegaard comenta: "A dúvida não deve ser entendida em um sentido subjetivo como algo que intervém, mas ela está no sistema - ela é movimento" (KIERKEGAARD, 1989b, p. 343). Kierkegaard descobre que duvidar de tudo </w:t>
      </w:r>
      <w:r w:rsidR="004A315D">
        <w:rPr>
          <w:rFonts w:ascii="Times New Roman" w:eastAsia="Times New Roman" w:hAnsi="Times New Roman" w:cs="Times New Roman"/>
          <w:sz w:val="20"/>
          <w:szCs w:val="20"/>
        </w:rPr>
        <w:t xml:space="preserve">é duvidar também da aplicação da dúvida </w:t>
      </w:r>
      <w:r>
        <w:rPr>
          <w:rFonts w:ascii="Times New Roman" w:eastAsia="Times New Roman" w:hAnsi="Times New Roman" w:cs="Times New Roman"/>
          <w:sz w:val="20"/>
          <w:szCs w:val="20"/>
        </w:rPr>
        <w:t>a tudo</w:t>
      </w:r>
      <w:r w:rsidR="004A315D">
        <w:rPr>
          <w:rFonts w:ascii="Times New Roman" w:eastAsia="Times New Roman" w:hAnsi="Times New Roman" w:cs="Times New Roman"/>
          <w:sz w:val="20"/>
          <w:szCs w:val="20"/>
        </w:rPr>
        <w:t xml:space="preserve"> que existe</w:t>
      </w:r>
      <w:r>
        <w:rPr>
          <w:rFonts w:ascii="Times New Roman" w:eastAsia="Times New Roman" w:hAnsi="Times New Roman" w:cs="Times New Roman"/>
          <w:sz w:val="20"/>
          <w:szCs w:val="20"/>
        </w:rPr>
        <w:t xml:space="preserve">. </w:t>
      </w:r>
      <w:r w:rsidRPr="00BD5F27">
        <w:rPr>
          <w:rFonts w:ascii="Times New Roman" w:eastAsia="Times New Roman" w:hAnsi="Times New Roman" w:cs="Times New Roman"/>
          <w:sz w:val="20"/>
          <w:szCs w:val="20"/>
        </w:rPr>
        <w:t>"A dialética desse mundo não quer que nada perm</w:t>
      </w:r>
      <w:r w:rsidR="007B54B3">
        <w:rPr>
          <w:rFonts w:ascii="Times New Roman" w:eastAsia="Times New Roman" w:hAnsi="Times New Roman" w:cs="Times New Roman"/>
          <w:sz w:val="20"/>
          <w:szCs w:val="20"/>
        </w:rPr>
        <w:t xml:space="preserve">aneça duvidoso em parte alguma" </w:t>
      </w:r>
      <w:r w:rsidRPr="00BD5F27">
        <w:rPr>
          <w:rFonts w:ascii="Times New Roman" w:eastAsia="Times New Roman" w:hAnsi="Times New Roman" w:cs="Times New Roman"/>
          <w:sz w:val="20"/>
          <w:szCs w:val="20"/>
        </w:rPr>
        <w:t>(KIERKEGAARD, 1989b, p. 378), mas</w:t>
      </w:r>
      <w:r>
        <w:rPr>
          <w:rFonts w:ascii="Times New Roman" w:eastAsia="Times New Roman" w:hAnsi="Times New Roman" w:cs="Times New Roman"/>
          <w:sz w:val="20"/>
          <w:szCs w:val="20"/>
        </w:rPr>
        <w:t xml:space="preserve"> algumas coisas vão </w:t>
      </w:r>
      <w:r>
        <w:rPr>
          <w:rFonts w:ascii="Times New Roman" w:eastAsia="Times New Roman" w:hAnsi="Times New Roman" w:cs="Times New Roman"/>
          <w:sz w:val="20"/>
          <w:szCs w:val="20"/>
        </w:rPr>
        <w:lastRenderedPageBreak/>
        <w:t>permanecer duvidosas diante do método sistemático, já que certos objetos não são adequados</w:t>
      </w:r>
      <w:r w:rsidR="001D4BEB">
        <w:rPr>
          <w:rFonts w:ascii="Times New Roman" w:eastAsia="Times New Roman" w:hAnsi="Times New Roman" w:cs="Times New Roman"/>
          <w:sz w:val="20"/>
          <w:szCs w:val="20"/>
        </w:rPr>
        <w:t xml:space="preserve"> a esse m</w:t>
      </w:r>
      <w:r w:rsidR="00B319DD">
        <w:rPr>
          <w:rFonts w:ascii="Times New Roman" w:eastAsia="Times New Roman" w:hAnsi="Times New Roman" w:cs="Times New Roman"/>
          <w:sz w:val="20"/>
          <w:szCs w:val="20"/>
        </w:rPr>
        <w:t>étodo</w:t>
      </w:r>
      <w:r>
        <w:rPr>
          <w:rFonts w:ascii="Times New Roman" w:eastAsia="Times New Roman" w:hAnsi="Times New Roman" w:cs="Times New Roman"/>
          <w:sz w:val="20"/>
          <w:szCs w:val="20"/>
        </w:rPr>
        <w:t xml:space="preserve">. Por exemplo, o argumento pela existência de Deus é até certo ponto inadequado </w:t>
      </w:r>
      <w:r w:rsidR="00341FC6">
        <w:rPr>
          <w:rFonts w:ascii="Times New Roman" w:eastAsia="Times New Roman" w:hAnsi="Times New Roman" w:cs="Times New Roman"/>
          <w:sz w:val="20"/>
          <w:szCs w:val="20"/>
        </w:rPr>
        <w:t>n</w:t>
      </w:r>
      <w:r>
        <w:rPr>
          <w:rFonts w:ascii="Times New Roman" w:eastAsia="Times New Roman" w:hAnsi="Times New Roman" w:cs="Times New Roman"/>
          <w:sz w:val="20"/>
          <w:szCs w:val="20"/>
        </w:rPr>
        <w:t>a filosofia de</w:t>
      </w:r>
      <w:r w:rsidR="00BD5F27">
        <w:rPr>
          <w:rFonts w:ascii="Times New Roman" w:eastAsia="Times New Roman" w:hAnsi="Times New Roman" w:cs="Times New Roman"/>
          <w:sz w:val="20"/>
          <w:szCs w:val="20"/>
        </w:rPr>
        <w:t xml:space="preserve"> Hegel</w:t>
      </w:r>
      <w:r w:rsidR="00341FC6">
        <w:rPr>
          <w:rFonts w:ascii="Times New Roman" w:eastAsia="Times New Roman" w:hAnsi="Times New Roman" w:cs="Times New Roman"/>
          <w:sz w:val="20"/>
          <w:szCs w:val="20"/>
        </w:rPr>
        <w:t>, que</w:t>
      </w:r>
      <w:r w:rsidR="00BD5F27">
        <w:rPr>
          <w:rFonts w:ascii="Times New Roman" w:eastAsia="Times New Roman" w:hAnsi="Times New Roman" w:cs="Times New Roman"/>
          <w:sz w:val="20"/>
          <w:szCs w:val="20"/>
        </w:rPr>
        <w:t xml:space="preserve"> é negativa e não trata daquilo que é, mas daquilo que virá a</w:t>
      </w:r>
      <w:r>
        <w:rPr>
          <w:rFonts w:ascii="Times New Roman" w:eastAsia="Times New Roman" w:hAnsi="Times New Roman" w:cs="Times New Roman"/>
          <w:sz w:val="20"/>
          <w:szCs w:val="20"/>
        </w:rPr>
        <w:t xml:space="preserve"> ser (KIERKEGAARD, 1989b, p. 368). Por outro lado, o exercício na filosofia positiva "não é meramente de uma vez por todas, mas [é] para sempre" (KIERKEGAARD, 1989b, p.</w:t>
      </w:r>
      <w:r w:rsidR="00156E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378, grifo nosso). Dessa forma, para que a dúvida seja </w:t>
      </w:r>
      <w:r w:rsidR="00156EFF">
        <w:rPr>
          <w:rFonts w:ascii="Times New Roman" w:eastAsia="Times New Roman" w:hAnsi="Times New Roman" w:cs="Times New Roman"/>
          <w:sz w:val="20"/>
          <w:szCs w:val="20"/>
        </w:rPr>
        <w:t>eficiente</w:t>
      </w:r>
      <w:r>
        <w:rPr>
          <w:rFonts w:ascii="Times New Roman" w:eastAsia="Times New Roman" w:hAnsi="Times New Roman" w:cs="Times New Roman"/>
          <w:sz w:val="20"/>
          <w:szCs w:val="20"/>
        </w:rPr>
        <w:t xml:space="preserve"> na extensão de sua natureza, é preciso </w:t>
      </w:r>
      <w:r w:rsidR="00156EFF">
        <w:rPr>
          <w:rFonts w:ascii="Times New Roman" w:eastAsia="Times New Roman" w:hAnsi="Times New Roman" w:cs="Times New Roman"/>
          <w:sz w:val="20"/>
          <w:szCs w:val="20"/>
        </w:rPr>
        <w:t>pressupor um duvidar</w:t>
      </w:r>
      <w:r>
        <w:rPr>
          <w:rFonts w:ascii="Times New Roman" w:eastAsia="Times New Roman" w:hAnsi="Times New Roman" w:cs="Times New Roman"/>
          <w:sz w:val="20"/>
          <w:szCs w:val="20"/>
        </w:rPr>
        <w:t xml:space="preserve"> da dúvida</w:t>
      </w:r>
      <w:r w:rsidR="006B25BD">
        <w:rPr>
          <w:rFonts w:ascii="Times New Roman" w:eastAsia="Times New Roman" w:hAnsi="Times New Roman" w:cs="Times New Roman"/>
          <w:sz w:val="20"/>
          <w:szCs w:val="20"/>
        </w:rPr>
        <w:t xml:space="preserve"> como possibilidade. </w:t>
      </w:r>
      <w:r>
        <w:rPr>
          <w:rFonts w:ascii="Times New Roman" w:eastAsia="Times New Roman" w:hAnsi="Times New Roman" w:cs="Times New Roman"/>
          <w:sz w:val="20"/>
          <w:szCs w:val="20"/>
        </w:rPr>
        <w:t xml:space="preserve">Assim, de certa maneira, quando Kierkegaard usa exemplos de sujeitos concretos ou das possibilidades do que os sujeitos poderiam ser, a linguagem usada é restrita e não é universalmente aplicável a todos os outros objetos pertencentes à linguagem, mas apenas ao conteúdo metacrítico apresentado. Uma vez apresentado, esse conteúdo pode ser traduzido em termos do que ele é e do que ele pode ser. Com a formação histórica do discurso, essa ideia </w:t>
      </w:r>
      <w:r w:rsidR="00FC0A23">
        <w:rPr>
          <w:rFonts w:ascii="Times New Roman" w:eastAsia="Times New Roman" w:hAnsi="Times New Roman" w:cs="Times New Roman"/>
          <w:sz w:val="20"/>
          <w:szCs w:val="20"/>
        </w:rPr>
        <w:t xml:space="preserve">de possibilidade </w:t>
      </w:r>
      <w:r>
        <w:rPr>
          <w:rFonts w:ascii="Times New Roman" w:eastAsia="Times New Roman" w:hAnsi="Times New Roman" w:cs="Times New Roman"/>
          <w:sz w:val="20"/>
          <w:szCs w:val="20"/>
        </w:rPr>
        <w:t xml:space="preserve">se torna aplicável aos universais.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conseguinte, Kierkegaard, assim como Hamann, utiliza uma metacrítica para a definição da linguagem e do vocabulário imposto p</w:t>
      </w:r>
      <w:r w:rsidR="00337ACF">
        <w:rPr>
          <w:rFonts w:ascii="Times New Roman" w:eastAsia="Times New Roman" w:hAnsi="Times New Roman" w:cs="Times New Roman"/>
          <w:sz w:val="20"/>
          <w:szCs w:val="20"/>
        </w:rPr>
        <w:t>or discursos particulares que tê</w:t>
      </w:r>
      <w:r>
        <w:rPr>
          <w:rFonts w:ascii="Times New Roman" w:eastAsia="Times New Roman" w:hAnsi="Times New Roman" w:cs="Times New Roman"/>
          <w:sz w:val="20"/>
          <w:szCs w:val="20"/>
        </w:rPr>
        <w:t xml:space="preserve">m </w:t>
      </w:r>
      <w:r w:rsidR="00156EFF">
        <w:rPr>
          <w:rFonts w:ascii="Times New Roman" w:eastAsia="Times New Roman" w:hAnsi="Times New Roman" w:cs="Times New Roman"/>
          <w:sz w:val="20"/>
          <w:szCs w:val="20"/>
        </w:rPr>
        <w:t>como objetivo se tornarem universais</w:t>
      </w:r>
      <w:r>
        <w:rPr>
          <w:rFonts w:ascii="Times New Roman" w:eastAsia="Times New Roman" w:hAnsi="Times New Roman" w:cs="Times New Roman"/>
          <w:sz w:val="20"/>
          <w:szCs w:val="20"/>
        </w:rPr>
        <w:t xml:space="preserve">. Tal preocupação é capturada através do </w:t>
      </w:r>
      <w:r>
        <w:rPr>
          <w:rFonts w:ascii="Times New Roman" w:eastAsia="Times New Roman" w:hAnsi="Times New Roman" w:cs="Times New Roman"/>
          <w:i/>
          <w:sz w:val="20"/>
          <w:szCs w:val="20"/>
        </w:rPr>
        <w:t xml:space="preserve">Post </w:t>
      </w:r>
      <w:proofErr w:type="spellStart"/>
      <w:r>
        <w:rPr>
          <w:rFonts w:ascii="Times New Roman" w:eastAsia="Times New Roman" w:hAnsi="Times New Roman" w:cs="Times New Roman"/>
          <w:i/>
          <w:sz w:val="20"/>
          <w:szCs w:val="20"/>
        </w:rPr>
        <w:t>Scriptum</w:t>
      </w:r>
      <w:proofErr w:type="spellEnd"/>
      <w:r>
        <w:rPr>
          <w:rFonts w:ascii="Times New Roman" w:eastAsia="Times New Roman" w:hAnsi="Times New Roman" w:cs="Times New Roman"/>
          <w:sz w:val="20"/>
          <w:szCs w:val="20"/>
        </w:rPr>
        <w:t xml:space="preserve">, das refutações das premissas da </w:t>
      </w:r>
      <w:r>
        <w:rPr>
          <w:rFonts w:ascii="Times New Roman" w:eastAsia="Times New Roman" w:hAnsi="Times New Roman" w:cs="Times New Roman"/>
          <w:i/>
          <w:sz w:val="20"/>
          <w:szCs w:val="20"/>
        </w:rPr>
        <w:t>Ciência da Lógica</w:t>
      </w:r>
      <w:r>
        <w:rPr>
          <w:rFonts w:ascii="Times New Roman" w:eastAsia="Times New Roman" w:hAnsi="Times New Roman" w:cs="Times New Roman"/>
          <w:sz w:val="20"/>
          <w:szCs w:val="20"/>
        </w:rPr>
        <w:t>, como a reformulação da demonstração da universalização do conceito de nada. Uma vez que a preocupação de Kierkegaard não se direciona apenas ao formalismo da linguagem, mas ao conteúdo da linguagem, o conceito de nada só faz sentido enquanto jogo de palavras. A intenção de Hegel é rejeitada como inadequada na esfera da existência enquanto tal, onde a linguagem se encontra presente. A estratégia empregada por Kierkegaard para lidar com o conceito de nada, que aparece como um conhecimento a priori, é de rejeitar a aniquilação da comunicação enquanto palavra-conceito e de seus pressupostos básicos de uso, significado e formação do discurso. Ao mesmo tempo, Kierkegaard propõe uma crítica à filosofia de Hegel estabelecida através de uma linha de argumentação considerada inadequada.  O maior interesse de Kierkegaard, nesta perspectiva, parece ser a construção de uma relação entre o que é dito e o que é entendido. O uso do que é inadequado nada mais é que uma proposta simples que revela a importância do uso para o contexto da linguagem. Seguindo os passos de Hamann uma vez mais, Kierkegaard procura tratar de forma séria o que se apresenta como um discurso ineficaz. Por fim, em defesa do uso</w:t>
      </w:r>
      <w:r w:rsidR="00156E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 do discurso na esfera concreta da existência, Hamann sugere que "desde que o conceito do que se entende por 'linguagem' é constituído por significado tão diverso, seria melhor determiná-lo de acordo com sua finalidade como um meio para comunicar nossos pensamentos e para entender o pensamento dos outros" (HAMANN, 2007a, p.</w:t>
      </w:r>
      <w:r w:rsidR="00156E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17). </w:t>
      </w:r>
    </w:p>
    <w:p w:rsidR="00416987" w:rsidRDefault="00416987">
      <w:pPr>
        <w:spacing w:after="200"/>
        <w:ind w:firstLine="720"/>
        <w:jc w:val="both"/>
        <w:rPr>
          <w:rFonts w:ascii="Times New Roman" w:eastAsia="Times New Roman" w:hAnsi="Times New Roman" w:cs="Times New Roman"/>
          <w:sz w:val="20"/>
          <w:szCs w:val="20"/>
        </w:rPr>
      </w:pPr>
    </w:p>
    <w:p w:rsidR="00416987" w:rsidRDefault="00F90C57">
      <w:pPr>
        <w:tabs>
          <w:tab w:val="left" w:pos="3707"/>
        </w:tabs>
        <w:spacing w:after="20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Apropriação e Inadequação</w:t>
      </w:r>
    </w:p>
    <w:p w:rsidR="00416987" w:rsidRDefault="00F90C57">
      <w:pPr>
        <w:tabs>
          <w:tab w:val="left" w:pos="3707"/>
        </w:tabs>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teorias apresentadas até aqui consideram apropriação e inadequação para decidir se, ao final do processo analítico, é possível chegar a resposta mais clara e</w:t>
      </w:r>
      <w:r w:rsidR="00FF59E6">
        <w:rPr>
          <w:rFonts w:ascii="Times New Roman" w:eastAsia="Times New Roman" w:hAnsi="Times New Roman" w:cs="Times New Roman"/>
          <w:sz w:val="20"/>
          <w:szCs w:val="20"/>
        </w:rPr>
        <w:t xml:space="preserve"> mais concisa</w:t>
      </w:r>
      <w:r>
        <w:rPr>
          <w:rFonts w:ascii="Times New Roman" w:eastAsia="Times New Roman" w:hAnsi="Times New Roman" w:cs="Times New Roman"/>
          <w:sz w:val="20"/>
          <w:szCs w:val="20"/>
        </w:rPr>
        <w:t xml:space="preserve"> possível sobre o discurso. O problema é que como a verdade depende da linguagem e da subjetividade, a ideia baseada na correlação entre a </w:t>
      </w:r>
      <w:r>
        <w:rPr>
          <w:rFonts w:ascii="Times New Roman" w:eastAsia="Times New Roman" w:hAnsi="Times New Roman" w:cs="Times New Roman"/>
          <w:i/>
          <w:sz w:val="20"/>
          <w:szCs w:val="20"/>
        </w:rPr>
        <w:t>Crítica da Razão Pura</w:t>
      </w:r>
      <w:r>
        <w:rPr>
          <w:rFonts w:ascii="Times New Roman" w:eastAsia="Times New Roman" w:hAnsi="Times New Roman" w:cs="Times New Roman"/>
          <w:sz w:val="20"/>
          <w:szCs w:val="20"/>
        </w:rPr>
        <w:t xml:space="preserve"> de Kant e </w:t>
      </w:r>
      <w:r w:rsidR="00AF7999">
        <w:rPr>
          <w:rFonts w:ascii="Times New Roman" w:eastAsia="Times New Roman" w:hAnsi="Times New Roman" w:cs="Times New Roman"/>
          <w:sz w:val="20"/>
          <w:szCs w:val="20"/>
        </w:rPr>
        <w:t>das obras d</w:t>
      </w:r>
      <w:r>
        <w:rPr>
          <w:rFonts w:ascii="Times New Roman" w:eastAsia="Times New Roman" w:hAnsi="Times New Roman" w:cs="Times New Roman"/>
          <w:sz w:val="20"/>
          <w:szCs w:val="20"/>
        </w:rPr>
        <w:t xml:space="preserve">os empiristas Hume e Berkeley cria entraves que não podem ser respondidos de maneira contida. Os muitos exemplos </w:t>
      </w:r>
      <w:r w:rsidR="00AF7999">
        <w:rPr>
          <w:rFonts w:ascii="Times New Roman" w:eastAsia="Times New Roman" w:hAnsi="Times New Roman" w:cs="Times New Roman"/>
          <w:sz w:val="20"/>
          <w:szCs w:val="20"/>
        </w:rPr>
        <w:t xml:space="preserve">encontrados </w:t>
      </w:r>
      <w:r>
        <w:rPr>
          <w:rFonts w:ascii="Times New Roman" w:eastAsia="Times New Roman" w:hAnsi="Times New Roman" w:cs="Times New Roman"/>
          <w:sz w:val="20"/>
          <w:szCs w:val="20"/>
        </w:rPr>
        <w:t>nos textos de Kierkegaard são um arquétipo disso. Desse modo, há um intercâmbio entre noções do que seria o a priori e o a posteriori. Embora a consideração do indiví</w:t>
      </w:r>
      <w:r w:rsidR="00AF7999">
        <w:rPr>
          <w:rFonts w:ascii="Times New Roman" w:eastAsia="Times New Roman" w:hAnsi="Times New Roman" w:cs="Times New Roman"/>
          <w:sz w:val="20"/>
          <w:szCs w:val="20"/>
        </w:rPr>
        <w:t>duo através de sua experiência seja</w:t>
      </w:r>
      <w:r>
        <w:rPr>
          <w:rFonts w:ascii="Times New Roman" w:eastAsia="Times New Roman" w:hAnsi="Times New Roman" w:cs="Times New Roman"/>
          <w:sz w:val="20"/>
          <w:szCs w:val="20"/>
        </w:rPr>
        <w:t xml:space="preserve"> objeto da </w:t>
      </w:r>
      <w:r>
        <w:rPr>
          <w:rFonts w:ascii="Times New Roman" w:eastAsia="Times New Roman" w:hAnsi="Times New Roman" w:cs="Times New Roman"/>
          <w:i/>
          <w:sz w:val="20"/>
          <w:szCs w:val="20"/>
        </w:rPr>
        <w:t>Crítica da Razão Prática</w:t>
      </w:r>
      <w:r>
        <w:rPr>
          <w:rFonts w:ascii="Times New Roman" w:eastAsia="Times New Roman" w:hAnsi="Times New Roman" w:cs="Times New Roman"/>
          <w:sz w:val="20"/>
          <w:szCs w:val="20"/>
        </w:rPr>
        <w:t xml:space="preserve">, para não contradizer a primeira </w:t>
      </w:r>
      <w:r>
        <w:rPr>
          <w:rFonts w:ascii="Times New Roman" w:eastAsia="Times New Roman" w:hAnsi="Times New Roman" w:cs="Times New Roman"/>
          <w:i/>
          <w:sz w:val="20"/>
          <w:szCs w:val="20"/>
        </w:rPr>
        <w:t>Crítica</w:t>
      </w:r>
      <w:r>
        <w:rPr>
          <w:rFonts w:ascii="Times New Roman" w:eastAsia="Times New Roman" w:hAnsi="Times New Roman" w:cs="Times New Roman"/>
          <w:sz w:val="20"/>
          <w:szCs w:val="20"/>
        </w:rPr>
        <w:t>, a noção de uso no discurso perde-se totalmente.</w:t>
      </w:r>
    </w:p>
    <w:p w:rsidR="00416987" w:rsidRDefault="00F90C57">
      <w:pPr>
        <w:tabs>
          <w:tab w:val="left" w:pos="3707"/>
        </w:tabs>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Nós vimos até aqui que para Hamann e Kierkegaard, a linguagem encontra seu lugar no uso. Na </w:t>
      </w:r>
      <w:r>
        <w:rPr>
          <w:rFonts w:ascii="Times New Roman" w:eastAsia="Times New Roman" w:hAnsi="Times New Roman" w:cs="Times New Roman"/>
          <w:i/>
          <w:sz w:val="20"/>
          <w:szCs w:val="20"/>
        </w:rPr>
        <w:t>Crítica da Razão Pura</w:t>
      </w:r>
      <w:r>
        <w:rPr>
          <w:rFonts w:ascii="Times New Roman" w:eastAsia="Times New Roman" w:hAnsi="Times New Roman" w:cs="Times New Roman"/>
          <w:sz w:val="20"/>
          <w:szCs w:val="20"/>
        </w:rPr>
        <w:t xml:space="preserve">, no entanto, Kant não assume todas as consequências de usar o discurso filosófico para descrever seu vocabulário a priori, pois isso seria impossível. Para Hamann, o uso da linguagem é correspondente ao emprego de sua função. </w:t>
      </w:r>
      <w:r>
        <w:rPr>
          <w:rFonts w:ascii="Times New Roman" w:eastAsia="Times New Roman" w:hAnsi="Times New Roman" w:cs="Times New Roman"/>
          <w:i/>
          <w:sz w:val="20"/>
          <w:szCs w:val="20"/>
        </w:rPr>
        <w:t>A Crítica da Razão Pura</w:t>
      </w:r>
      <w:r>
        <w:rPr>
          <w:rFonts w:ascii="Times New Roman" w:eastAsia="Times New Roman" w:hAnsi="Times New Roman" w:cs="Times New Roman"/>
          <w:sz w:val="20"/>
          <w:szCs w:val="20"/>
        </w:rPr>
        <w:t xml:space="preserve">, por sua vez, não torna a realidade mais clara ou o discurso filosófico mais simples, pelo contrário, a </w:t>
      </w:r>
      <w:r>
        <w:rPr>
          <w:rFonts w:ascii="Times New Roman" w:eastAsia="Times New Roman" w:hAnsi="Times New Roman" w:cs="Times New Roman"/>
          <w:i/>
          <w:sz w:val="20"/>
          <w:szCs w:val="20"/>
        </w:rPr>
        <w:t xml:space="preserve">Crítica </w:t>
      </w:r>
      <w:r>
        <w:rPr>
          <w:rFonts w:ascii="Times New Roman" w:eastAsia="Times New Roman" w:hAnsi="Times New Roman" w:cs="Times New Roman"/>
          <w:sz w:val="20"/>
          <w:szCs w:val="20"/>
        </w:rPr>
        <w:t xml:space="preserve">de Kant torna obscuro o meio </w:t>
      </w:r>
      <w:r w:rsidR="00AF7999">
        <w:rPr>
          <w:rFonts w:ascii="Times New Roman" w:eastAsia="Times New Roman" w:hAnsi="Times New Roman" w:cs="Times New Roman"/>
          <w:sz w:val="20"/>
          <w:szCs w:val="20"/>
        </w:rPr>
        <w:t>através do</w:t>
      </w:r>
      <w:r>
        <w:rPr>
          <w:rFonts w:ascii="Times New Roman" w:eastAsia="Times New Roman" w:hAnsi="Times New Roman" w:cs="Times New Roman"/>
          <w:sz w:val="20"/>
          <w:szCs w:val="20"/>
        </w:rPr>
        <w:t xml:space="preserve"> qual a própria </w:t>
      </w:r>
      <w:r>
        <w:rPr>
          <w:rFonts w:ascii="Times New Roman" w:eastAsia="Times New Roman" w:hAnsi="Times New Roman" w:cs="Times New Roman"/>
          <w:i/>
          <w:sz w:val="20"/>
          <w:szCs w:val="20"/>
        </w:rPr>
        <w:t>Crítica</w:t>
      </w:r>
      <w:r w:rsidR="00406484">
        <w:rPr>
          <w:rFonts w:ascii="Times New Roman" w:eastAsia="Times New Roman" w:hAnsi="Times New Roman" w:cs="Times New Roman"/>
          <w:sz w:val="20"/>
          <w:szCs w:val="20"/>
        </w:rPr>
        <w:t xml:space="preserve"> se dá. </w:t>
      </w:r>
      <w:r>
        <w:rPr>
          <w:rFonts w:ascii="Times New Roman" w:eastAsia="Times New Roman" w:hAnsi="Times New Roman" w:cs="Times New Roman"/>
          <w:sz w:val="20"/>
          <w:szCs w:val="20"/>
        </w:rPr>
        <w:t xml:space="preserve">Hamann (2007f, p. 207, grifo nosso) indica que "[Kant] sem Berkeley e Hume teria dificilmente se tornado o grande filósofo que a </w:t>
      </w:r>
      <w:r>
        <w:rPr>
          <w:rFonts w:ascii="Times New Roman" w:eastAsia="Times New Roman" w:hAnsi="Times New Roman" w:cs="Times New Roman"/>
          <w:i/>
          <w:sz w:val="20"/>
          <w:szCs w:val="20"/>
        </w:rPr>
        <w:t>Crítica</w:t>
      </w:r>
      <w:r>
        <w:rPr>
          <w:rFonts w:ascii="Times New Roman" w:eastAsia="Times New Roman" w:hAnsi="Times New Roman" w:cs="Times New Roman"/>
          <w:sz w:val="20"/>
          <w:szCs w:val="20"/>
        </w:rPr>
        <w:t xml:space="preserve">, com uma similar dívida, o declara”. </w:t>
      </w:r>
    </w:p>
    <w:p w:rsidR="00416987" w:rsidRDefault="00F90C57">
      <w:pPr>
        <w:widowControl w:val="0"/>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Dando importância à soma dos discursos de Berkeley e Hume</w:t>
      </w:r>
      <w:r w:rsidR="009E5F42">
        <w:rPr>
          <w:rFonts w:ascii="Times New Roman" w:eastAsia="Times New Roman" w:hAnsi="Times New Roman" w:cs="Times New Roman"/>
          <w:sz w:val="20"/>
          <w:szCs w:val="20"/>
        </w:rPr>
        <w:t xml:space="preserve"> e</w:t>
      </w:r>
      <w:r>
        <w:rPr>
          <w:rFonts w:ascii="Times New Roman" w:eastAsia="Times New Roman" w:hAnsi="Times New Roman" w:cs="Times New Roman"/>
          <w:sz w:val="20"/>
          <w:szCs w:val="20"/>
        </w:rPr>
        <w:t xml:space="preserve"> considerando o discurso de Kant como um trabalho </w:t>
      </w:r>
      <w:r w:rsidR="00FF59E6">
        <w:rPr>
          <w:rFonts w:ascii="Times New Roman" w:eastAsia="Times New Roman" w:hAnsi="Times New Roman" w:cs="Times New Roman"/>
          <w:sz w:val="20"/>
          <w:szCs w:val="20"/>
        </w:rPr>
        <w:t>bem-intencionado</w:t>
      </w:r>
      <w:r>
        <w:rPr>
          <w:rFonts w:ascii="Times New Roman" w:eastAsia="Times New Roman" w:hAnsi="Times New Roman" w:cs="Times New Roman"/>
          <w:sz w:val="20"/>
          <w:szCs w:val="20"/>
        </w:rPr>
        <w:t xml:space="preserve">, Hamann reinterpreta o sentido da linguagem dando importância ao indivíduo no exercício do discurso: “Fale, para que eu possa vê-lo” (HAMANN, 2007b. p. 65, grifo do autor).  Aqui, os sentidos e os afetos em grande parte constituem o discurso. Esse "fale, para que eu possa vê-lo" adequa a </w:t>
      </w:r>
      <w:r w:rsidR="00477B3A">
        <w:rPr>
          <w:rFonts w:ascii="Times New Roman" w:eastAsia="Times New Roman" w:hAnsi="Times New Roman" w:cs="Times New Roman"/>
          <w:sz w:val="20"/>
          <w:szCs w:val="20"/>
        </w:rPr>
        <w:t>realidade subjetiva do Eu a</w:t>
      </w:r>
      <w:r>
        <w:rPr>
          <w:rFonts w:ascii="Times New Roman" w:eastAsia="Times New Roman" w:hAnsi="Times New Roman" w:cs="Times New Roman"/>
          <w:sz w:val="20"/>
          <w:szCs w:val="20"/>
        </w:rPr>
        <w:t>o cosmos social e integ</w:t>
      </w:r>
      <w:r w:rsidR="00477B3A">
        <w:rPr>
          <w:rFonts w:ascii="Times New Roman" w:eastAsia="Times New Roman" w:hAnsi="Times New Roman" w:cs="Times New Roman"/>
          <w:sz w:val="20"/>
          <w:szCs w:val="20"/>
        </w:rPr>
        <w:t>ra o significado da vida do Eu a</w:t>
      </w:r>
      <w:r>
        <w:rPr>
          <w:rFonts w:ascii="Times New Roman" w:eastAsia="Times New Roman" w:hAnsi="Times New Roman" w:cs="Times New Roman"/>
          <w:sz w:val="20"/>
          <w:szCs w:val="20"/>
        </w:rPr>
        <w:t>o todo. Hamann reconstrói um Eu concreto com o exercício da experiência da fala. A fala realiza as faculdades do entendimento no reconhecimento da existência. Aquele que fala, existe. A visão contemporânea de dar voz às minorias sociais, está estampada nas palavras de Hamann, porque neste exemplo, a fala constitui o discurso enquanto tal. Kierkegaard, nesse sentido, retoma a questão dos problemas da linguagem e do entendimento em Hamann tanto como uso alegórico - o que é recon</w:t>
      </w:r>
      <w:r w:rsidR="00FF59E6">
        <w:rPr>
          <w:rFonts w:ascii="Times New Roman" w:eastAsia="Times New Roman" w:hAnsi="Times New Roman" w:cs="Times New Roman"/>
          <w:sz w:val="20"/>
          <w:szCs w:val="20"/>
        </w:rPr>
        <w:t xml:space="preserve">hecido pelos estudiosos </w:t>
      </w:r>
      <w:r w:rsidR="009E5F42">
        <w:rPr>
          <w:rFonts w:ascii="Times New Roman" w:eastAsia="Times New Roman" w:hAnsi="Times New Roman" w:cs="Times New Roman"/>
          <w:sz w:val="20"/>
          <w:szCs w:val="20"/>
        </w:rPr>
        <w:t>–</w:t>
      </w:r>
      <w:r w:rsidR="00FF59E6">
        <w:rPr>
          <w:rFonts w:ascii="Times New Roman" w:eastAsia="Times New Roman" w:hAnsi="Times New Roman" w:cs="Times New Roman"/>
          <w:sz w:val="20"/>
          <w:szCs w:val="20"/>
        </w:rPr>
        <w:t xml:space="preserve"> </w:t>
      </w:r>
      <w:r w:rsidR="009E5F42">
        <w:rPr>
          <w:rFonts w:ascii="Times New Roman" w:eastAsia="Times New Roman" w:hAnsi="Times New Roman" w:cs="Times New Roman"/>
          <w:sz w:val="20"/>
          <w:szCs w:val="20"/>
        </w:rPr>
        <w:t xml:space="preserve">quanto como </w:t>
      </w:r>
      <w:r>
        <w:rPr>
          <w:rFonts w:ascii="Times New Roman" w:eastAsia="Times New Roman" w:hAnsi="Times New Roman" w:cs="Times New Roman"/>
          <w:sz w:val="20"/>
          <w:szCs w:val="20"/>
        </w:rPr>
        <w:t xml:space="preserve">tratamento do problema da linguagem de maneira central, sendo este </w:t>
      </w:r>
      <w:r>
        <w:rPr>
          <w:rFonts w:ascii="Times New Roman" w:eastAsia="Times New Roman" w:hAnsi="Times New Roman" w:cs="Times New Roman"/>
          <w:sz w:val="20"/>
          <w:szCs w:val="20"/>
        </w:rPr>
        <w:lastRenderedPageBreak/>
        <w:t>um problema com importância para a verdade objetiva e filosófica. Com foco no problema da possibilidade de apropriação do discurso, Kierkegaard assume u</w:t>
      </w:r>
      <w:r w:rsidR="009E5F42">
        <w:rPr>
          <w:rFonts w:ascii="Times New Roman" w:eastAsia="Times New Roman" w:hAnsi="Times New Roman" w:cs="Times New Roman"/>
          <w:sz w:val="20"/>
          <w:szCs w:val="20"/>
        </w:rPr>
        <w:t>ma postura experimentalista, ainda que</w:t>
      </w:r>
      <w:r>
        <w:rPr>
          <w:rFonts w:ascii="Times New Roman" w:eastAsia="Times New Roman" w:hAnsi="Times New Roman" w:cs="Times New Roman"/>
          <w:sz w:val="20"/>
          <w:szCs w:val="20"/>
        </w:rPr>
        <w:t xml:space="preserve"> cuidadosa. Apesar da multidão de personagens em seus livros, um tema prevalece: a construção do discurso e do Eu no mundo.</w:t>
      </w:r>
    </w:p>
    <w:p w:rsidR="00416987" w:rsidRDefault="00F90C57">
      <w:pPr>
        <w:widowControl w:val="0"/>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obra </w:t>
      </w:r>
      <w:r>
        <w:rPr>
          <w:rFonts w:ascii="Times New Roman" w:eastAsia="Times New Roman" w:hAnsi="Times New Roman" w:cs="Times New Roman"/>
          <w:i/>
          <w:sz w:val="20"/>
          <w:szCs w:val="20"/>
        </w:rPr>
        <w:t>A Repetição</w:t>
      </w:r>
      <w:r>
        <w:rPr>
          <w:rFonts w:ascii="Times New Roman" w:eastAsia="Times New Roman" w:hAnsi="Times New Roman" w:cs="Times New Roman"/>
          <w:i/>
          <w:sz w:val="20"/>
          <w:szCs w:val="20"/>
          <w:vertAlign w:val="superscript"/>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i/>
          <w:sz w:val="20"/>
          <w:szCs w:val="20"/>
        </w:rPr>
        <w:t>Gjentagelsen</w:t>
      </w:r>
      <w:proofErr w:type="spellEnd"/>
      <w:r>
        <w:rPr>
          <w:rFonts w:ascii="Times New Roman" w:eastAsia="Times New Roman" w:hAnsi="Times New Roman" w:cs="Times New Roman"/>
          <w:sz w:val="20"/>
          <w:szCs w:val="20"/>
        </w:rPr>
        <w:t>), Kierkegaard analisa a condição de possibilidade do conceito de repetição em duas esferas aparentemente distintas: existência e linguagem. Depois de tentar ex</w:t>
      </w:r>
      <w:r w:rsidR="009E5F42">
        <w:rPr>
          <w:rFonts w:ascii="Times New Roman" w:eastAsia="Times New Roman" w:hAnsi="Times New Roman" w:cs="Times New Roman"/>
          <w:sz w:val="20"/>
          <w:szCs w:val="20"/>
        </w:rPr>
        <w:t xml:space="preserve">plicar o problema da linguagem e </w:t>
      </w:r>
      <w:r>
        <w:rPr>
          <w:rFonts w:ascii="Times New Roman" w:eastAsia="Times New Roman" w:hAnsi="Times New Roman" w:cs="Times New Roman"/>
          <w:sz w:val="20"/>
          <w:szCs w:val="20"/>
        </w:rPr>
        <w:t>expor as premissas para validade ou invalidade da possibilidade do conceito de repeti</w:t>
      </w:r>
      <w:r w:rsidR="00FF59E6">
        <w:rPr>
          <w:rFonts w:ascii="Times New Roman" w:eastAsia="Times New Roman" w:hAnsi="Times New Roman" w:cs="Times New Roman"/>
          <w:sz w:val="20"/>
          <w:szCs w:val="20"/>
        </w:rPr>
        <w:t>ção, Kierkegaard (1983b, p. 212</w:t>
      </w:r>
      <w:r>
        <w:rPr>
          <w:rFonts w:ascii="Times New Roman" w:eastAsia="Times New Roman" w:hAnsi="Times New Roman" w:cs="Times New Roman"/>
          <w:sz w:val="20"/>
          <w:szCs w:val="20"/>
        </w:rPr>
        <w:t xml:space="preserve">) chega à conclusão </w:t>
      </w:r>
      <w:r w:rsidR="009E5F42">
        <w:rPr>
          <w:rFonts w:ascii="Times New Roman" w:eastAsia="Times New Roman" w:hAnsi="Times New Roman" w:cs="Times New Roman"/>
          <w:sz w:val="20"/>
          <w:szCs w:val="20"/>
        </w:rPr>
        <w:t xml:space="preserve">de </w:t>
      </w:r>
      <w:r>
        <w:rPr>
          <w:rFonts w:ascii="Times New Roman" w:eastAsia="Times New Roman" w:hAnsi="Times New Roman" w:cs="Times New Roman"/>
          <w:sz w:val="20"/>
          <w:szCs w:val="20"/>
        </w:rPr>
        <w:t xml:space="preserve">que "existe repetição afinal de contas, mas quando? Bem, é difícil dizê-lo em qualquer língua humana". A impossibilidade da repetição está ligada a impossibilidade de comunicação. Não é possível comunicar em que momento a repetição se dá, </w:t>
      </w:r>
      <w:r w:rsidR="00FF59E6">
        <w:rPr>
          <w:rFonts w:ascii="Times New Roman" w:eastAsia="Times New Roman" w:hAnsi="Times New Roman" w:cs="Times New Roman"/>
          <w:sz w:val="20"/>
          <w:szCs w:val="20"/>
        </w:rPr>
        <w:t>pois,</w:t>
      </w:r>
      <w:r>
        <w:rPr>
          <w:rFonts w:ascii="Times New Roman" w:eastAsia="Times New Roman" w:hAnsi="Times New Roman" w:cs="Times New Roman"/>
          <w:sz w:val="20"/>
          <w:szCs w:val="20"/>
        </w:rPr>
        <w:t xml:space="preserve"> a repetição seria a ação de comunicar</w:t>
      </w:r>
      <w:r w:rsidR="009E5F42">
        <w:rPr>
          <w:rFonts w:ascii="Times New Roman" w:eastAsia="Times New Roman" w:hAnsi="Times New Roman" w:cs="Times New Roman"/>
          <w:sz w:val="20"/>
          <w:szCs w:val="20"/>
        </w:rPr>
        <w:t xml:space="preserve"> um processo reflexivo</w:t>
      </w:r>
      <w:r>
        <w:rPr>
          <w:rFonts w:ascii="Times New Roman" w:eastAsia="Times New Roman" w:hAnsi="Times New Roman" w:cs="Times New Roman"/>
          <w:sz w:val="20"/>
          <w:szCs w:val="20"/>
        </w:rPr>
        <w:t xml:space="preserve">. Essa ação não pode em sua espontaneidade ser re-determinada. A possibilidade e impossibilidade da repetição é linguística, mas felizmente, para Kierkegaard, é possível integrar existência e linguagem em uma única esfera. Na esfera exterior, da realidade factual e histórica, uma linguagem direta, simples e razoável pode esclarecer os discursos factuais, históricos e razoáveis, mesmo que não haja uma fórmula para </w:t>
      </w:r>
      <w:r w:rsidR="007B0C37">
        <w:rPr>
          <w:rFonts w:ascii="Times New Roman" w:eastAsia="Times New Roman" w:hAnsi="Times New Roman" w:cs="Times New Roman"/>
          <w:sz w:val="20"/>
          <w:szCs w:val="20"/>
        </w:rPr>
        <w:t>um</w:t>
      </w:r>
      <w:r w:rsidR="00AD5263">
        <w:rPr>
          <w:rFonts w:ascii="Times New Roman" w:eastAsia="Times New Roman" w:hAnsi="Times New Roman" w:cs="Times New Roman"/>
          <w:sz w:val="20"/>
          <w:szCs w:val="20"/>
        </w:rPr>
        <w:t>a re-</w:t>
      </w:r>
      <w:r w:rsidR="007B0C37">
        <w:rPr>
          <w:rFonts w:ascii="Times New Roman" w:eastAsia="Times New Roman" w:hAnsi="Times New Roman" w:cs="Times New Roman"/>
          <w:sz w:val="20"/>
          <w:szCs w:val="20"/>
        </w:rPr>
        <w:t>determinação</w:t>
      </w:r>
      <w:r>
        <w:rPr>
          <w:rFonts w:ascii="Times New Roman" w:eastAsia="Times New Roman" w:hAnsi="Times New Roman" w:cs="Times New Roman"/>
          <w:sz w:val="20"/>
          <w:szCs w:val="20"/>
        </w:rPr>
        <w:t xml:space="preserve"> </w:t>
      </w:r>
      <w:r w:rsidR="007B0C37">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a natureza. </w:t>
      </w:r>
    </w:p>
    <w:p w:rsidR="00416987" w:rsidRDefault="00F90C57">
      <w:pPr>
        <w:widowControl w:val="0"/>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Ainda em </w:t>
      </w:r>
      <w:r>
        <w:rPr>
          <w:rFonts w:ascii="Times New Roman" w:eastAsia="Times New Roman" w:hAnsi="Times New Roman" w:cs="Times New Roman"/>
          <w:i/>
          <w:sz w:val="20"/>
          <w:szCs w:val="20"/>
        </w:rPr>
        <w:t xml:space="preserve">Repetição, </w:t>
      </w:r>
      <w:r>
        <w:rPr>
          <w:rFonts w:ascii="Times New Roman" w:eastAsia="Times New Roman" w:hAnsi="Times New Roman" w:cs="Times New Roman"/>
          <w:sz w:val="20"/>
          <w:szCs w:val="20"/>
        </w:rPr>
        <w:t xml:space="preserve">Kierkegaard discute os eventos trágicos que ocorrem na vida de Jó e os compara aos eventos trágicos do jovem </w:t>
      </w:r>
      <w:r>
        <w:rPr>
          <w:rFonts w:ascii="Times New Roman" w:eastAsia="Times New Roman" w:hAnsi="Times New Roman" w:cs="Times New Roman"/>
          <w:i/>
          <w:sz w:val="20"/>
          <w:szCs w:val="20"/>
        </w:rPr>
        <w:t>herói</w:t>
      </w:r>
      <w:r>
        <w:rPr>
          <w:rFonts w:ascii="Times New Roman" w:eastAsia="Times New Roman" w:hAnsi="Times New Roman" w:cs="Times New Roman"/>
          <w:sz w:val="20"/>
          <w:szCs w:val="20"/>
        </w:rPr>
        <w:t xml:space="preserve"> </w:t>
      </w:r>
      <w:r w:rsidR="009E5F42">
        <w:rPr>
          <w:rFonts w:ascii="Times New Roman" w:eastAsia="Times New Roman" w:hAnsi="Times New Roman" w:cs="Times New Roman"/>
          <w:sz w:val="20"/>
          <w:szCs w:val="20"/>
        </w:rPr>
        <w:t xml:space="preserve">de </w:t>
      </w:r>
      <w:r>
        <w:rPr>
          <w:rFonts w:ascii="Times New Roman" w:eastAsia="Times New Roman" w:hAnsi="Times New Roman" w:cs="Times New Roman"/>
          <w:sz w:val="20"/>
          <w:szCs w:val="20"/>
        </w:rPr>
        <w:t>seu livro. "Para mim", Kierkegaard (1983b, p.</w:t>
      </w:r>
      <w:r w:rsidR="009E5F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213) anuncia, "essa história é um conforto inefável". A existência é objetiva até certo ponto, pois assim como na </w:t>
      </w:r>
      <w:r>
        <w:rPr>
          <w:rFonts w:ascii="Times New Roman" w:eastAsia="Times New Roman" w:hAnsi="Times New Roman" w:cs="Times New Roman"/>
          <w:i/>
          <w:sz w:val="20"/>
          <w:szCs w:val="20"/>
        </w:rPr>
        <w:t>Ciência da Lógica</w:t>
      </w:r>
      <w:r>
        <w:rPr>
          <w:rFonts w:ascii="Times New Roman" w:eastAsia="Times New Roman" w:hAnsi="Times New Roman" w:cs="Times New Roman"/>
          <w:sz w:val="20"/>
          <w:szCs w:val="20"/>
        </w:rPr>
        <w:t>, a natureza é indeterminada. Também são indeterminadas as condições de existir como indivíduo</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Mas como se deve, então, lidar com a existência? A resposta é ambígua. Ora repetição enquanto tal é impossível como saber, como determinação, ora repetição é possível como fenômeno. Se a repetição é possível como fenômeno da realidade, para expressar-se, a repetição precisa de um discurso novo. O discurso objetivo não faz distinção entre discurso e palavra. Efetivamente, o discurso objetivo é composto </w:t>
      </w:r>
      <w:r w:rsidR="00D852DE">
        <w:rPr>
          <w:rFonts w:ascii="Times New Roman" w:eastAsia="Times New Roman" w:hAnsi="Times New Roman" w:cs="Times New Roman"/>
          <w:sz w:val="20"/>
          <w:szCs w:val="20"/>
        </w:rPr>
        <w:t>em maior grau</w:t>
      </w:r>
      <w:r>
        <w:rPr>
          <w:rFonts w:ascii="Times New Roman" w:eastAsia="Times New Roman" w:hAnsi="Times New Roman" w:cs="Times New Roman"/>
          <w:sz w:val="20"/>
          <w:szCs w:val="20"/>
        </w:rPr>
        <w:t xml:space="preserve"> pela exclusão dos mal-entendidos causados pelo choque entre palavra e discurso do que </w:t>
      </w:r>
      <w:r w:rsidR="00D852DE">
        <w:rPr>
          <w:rFonts w:ascii="Times New Roman" w:eastAsia="Times New Roman" w:hAnsi="Times New Roman" w:cs="Times New Roman"/>
          <w:sz w:val="20"/>
          <w:szCs w:val="20"/>
        </w:rPr>
        <w:t xml:space="preserve">pela </w:t>
      </w:r>
      <w:r>
        <w:rPr>
          <w:rFonts w:ascii="Times New Roman" w:eastAsia="Times New Roman" w:hAnsi="Times New Roman" w:cs="Times New Roman"/>
          <w:sz w:val="20"/>
          <w:szCs w:val="20"/>
        </w:rPr>
        <w:t xml:space="preserve">apresentação de uma necessidade imutável que </w:t>
      </w:r>
      <w:r w:rsidR="00625A95">
        <w:rPr>
          <w:rFonts w:ascii="Times New Roman" w:eastAsia="Times New Roman" w:hAnsi="Times New Roman" w:cs="Times New Roman"/>
          <w:sz w:val="20"/>
          <w:szCs w:val="20"/>
        </w:rPr>
        <w:t>se repete.</w:t>
      </w:r>
    </w:p>
    <w:p w:rsidR="00416987" w:rsidRDefault="00F90C57">
      <w:pPr>
        <w:widowControl w:val="0"/>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Kierkegaard representa de forma clara a diferença entre mal-entendido linguístico e inadequação à realidade em sua crítica a Hegel apresentada no </w:t>
      </w:r>
      <w:r>
        <w:rPr>
          <w:rFonts w:ascii="Times New Roman" w:eastAsia="Times New Roman" w:hAnsi="Times New Roman" w:cs="Times New Roman"/>
          <w:i/>
          <w:sz w:val="20"/>
          <w:szCs w:val="20"/>
        </w:rPr>
        <w:t xml:space="preserve">Post </w:t>
      </w:r>
      <w:proofErr w:type="spellStart"/>
      <w:r>
        <w:rPr>
          <w:rFonts w:ascii="Times New Roman" w:eastAsia="Times New Roman" w:hAnsi="Times New Roman" w:cs="Times New Roman"/>
          <w:i/>
          <w:sz w:val="20"/>
          <w:szCs w:val="20"/>
        </w:rPr>
        <w:t>Scriptum</w:t>
      </w:r>
      <w:proofErr w:type="spellEnd"/>
      <w:r>
        <w:rPr>
          <w:rFonts w:ascii="Times New Roman" w:eastAsia="Times New Roman" w:hAnsi="Times New Roman" w:cs="Times New Roman"/>
          <w:sz w:val="20"/>
          <w:szCs w:val="20"/>
        </w:rPr>
        <w:t>, o</w:t>
      </w:r>
      <w:r w:rsidR="009E5F42">
        <w:rPr>
          <w:rFonts w:ascii="Times New Roman" w:eastAsia="Times New Roman" w:hAnsi="Times New Roman" w:cs="Times New Roman"/>
          <w:sz w:val="20"/>
          <w:szCs w:val="20"/>
        </w:rPr>
        <w:t>nde o</w:t>
      </w:r>
      <w:r>
        <w:rPr>
          <w:rFonts w:ascii="Times New Roman" w:eastAsia="Times New Roman" w:hAnsi="Times New Roman" w:cs="Times New Roman"/>
          <w:sz w:val="20"/>
          <w:szCs w:val="20"/>
        </w:rPr>
        <w:t xml:space="preserve"> uso da linguagem exemplifica a importância da restauração do discurso para salvar a palavra. O </w:t>
      </w:r>
      <w:proofErr w:type="spellStart"/>
      <w:r>
        <w:rPr>
          <w:rFonts w:ascii="Times New Roman" w:eastAsia="Times New Roman" w:hAnsi="Times New Roman" w:cs="Times New Roman"/>
          <w:i/>
          <w:sz w:val="20"/>
          <w:szCs w:val="20"/>
        </w:rPr>
        <w:t>telos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da filosofia de Hegel reside no objeto histórico, na constituição do mundo e na avaliação dos diversos interesses e fases históricas, mas essa filosofia não consegue tratar com propriedade e sem contradição os objetos extraídos de um conjunto de pensamento anterior ou posterior à história. Esta versão do discurso que se apropria da linguagem histórica querendo, assim como Kant, desvencilhar-se dos pressupostos é claramente a versão mais radical da crítica de Kierkegaard ao pensamento hegeliano. O discurso objetivo que depende da palavra encontra</w:t>
      </w:r>
      <w:r w:rsidR="00625A95">
        <w:rPr>
          <w:rFonts w:ascii="Times New Roman" w:eastAsia="Times New Roman" w:hAnsi="Times New Roman" w:cs="Times New Roman"/>
          <w:sz w:val="20"/>
          <w:szCs w:val="20"/>
        </w:rPr>
        <w:t xml:space="preserve"> aí </w:t>
      </w:r>
      <w:r>
        <w:rPr>
          <w:rFonts w:ascii="Times New Roman" w:eastAsia="Times New Roman" w:hAnsi="Times New Roman" w:cs="Times New Roman"/>
          <w:sz w:val="20"/>
          <w:szCs w:val="20"/>
        </w:rPr>
        <w:t xml:space="preserve">seu triunfo e sua derrota. A clareza e o </w:t>
      </w:r>
      <w:r w:rsidR="00FF59E6">
        <w:rPr>
          <w:rFonts w:ascii="Times New Roman" w:eastAsia="Times New Roman" w:hAnsi="Times New Roman" w:cs="Times New Roman"/>
          <w:sz w:val="20"/>
          <w:szCs w:val="20"/>
        </w:rPr>
        <w:t>mal-entendido</w:t>
      </w:r>
      <w:r>
        <w:rPr>
          <w:rFonts w:ascii="Times New Roman" w:eastAsia="Times New Roman" w:hAnsi="Times New Roman" w:cs="Times New Roman"/>
          <w:sz w:val="20"/>
          <w:szCs w:val="20"/>
        </w:rPr>
        <w:t xml:space="preserve"> a ele inerentes</w:t>
      </w:r>
      <w:r w:rsidR="009E5F42">
        <w:rPr>
          <w:rFonts w:ascii="Times New Roman" w:eastAsia="Times New Roman" w:hAnsi="Times New Roman" w:cs="Times New Roman"/>
          <w:sz w:val="20"/>
          <w:szCs w:val="20"/>
        </w:rPr>
        <w:t xml:space="preserve"> está no uso da linguagem que é em si mesma um conjunto de pressupostos</w:t>
      </w:r>
      <w:r>
        <w:rPr>
          <w:rFonts w:ascii="Times New Roman" w:eastAsia="Times New Roman" w:hAnsi="Times New Roman" w:cs="Times New Roman"/>
          <w:sz w:val="20"/>
          <w:szCs w:val="20"/>
        </w:rPr>
        <w:t xml:space="preserve"> (HAMANN, 2007f, p. 211).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Kierkegaard reflete sobre a aniquilação do discurso. Tal aniquilação significaria a aniquilação da própria existência. "Meu ser inteiro grita em </w:t>
      </w:r>
      <w:r w:rsidR="00DE6C34">
        <w:rPr>
          <w:rFonts w:ascii="Times New Roman" w:eastAsia="Times New Roman" w:hAnsi="Times New Roman" w:cs="Times New Roman"/>
          <w:sz w:val="20"/>
          <w:szCs w:val="20"/>
        </w:rPr>
        <w:t>autocontradição</w:t>
      </w:r>
      <w:r>
        <w:rPr>
          <w:rFonts w:ascii="Times New Roman" w:eastAsia="Times New Roman" w:hAnsi="Times New Roman" w:cs="Times New Roman"/>
          <w:sz w:val="20"/>
          <w:szCs w:val="20"/>
        </w:rPr>
        <w:t xml:space="preserve">. Como eu me tornei culpado? Ou eu não sou culpado? Por que, então, eu sou chamado culpado em todas as línguas? Que tipo de invenção miserável é esta língua humana, que diz uma coisa e significa outra?" (KIERKEGAARD, 1983b, p. 200). A interseção entre discurso e existência produz a expressão de uma contradição. Hegel, como vimos, cerceia a palavra e a separa do discurso. Kierkegaard apresenta seu descontentamento com a forma como os próprios hegelianos utilizam Hegel para filosofar. Na obra </w:t>
      </w:r>
      <w:r>
        <w:rPr>
          <w:rFonts w:ascii="Times New Roman" w:eastAsia="Times New Roman" w:hAnsi="Times New Roman" w:cs="Times New Roman"/>
          <w:i/>
          <w:sz w:val="20"/>
          <w:szCs w:val="20"/>
        </w:rPr>
        <w:t>Temor e Tremor</w:t>
      </w:r>
      <w:r>
        <w:rPr>
          <w:rFonts w:ascii="Times New Roman" w:eastAsia="Times New Roman" w:hAnsi="Times New Roman" w:cs="Times New Roman"/>
          <w:sz w:val="20"/>
          <w:szCs w:val="20"/>
        </w:rPr>
        <w:t xml:space="preserve">, a ideia de que Abraão é pai da fé é destruída pelo idealismo de Hegel, porque, segundo Kierkegaard, não é possível incorporar a figura de Abraão a uma simples ideia de universalidade. Aqui, Kierkegaard está falando não de Hegel propriamente, mas dos hegelianos, em especial, aqueles que fazem teologia e escrevem sermões. "Na filosofia hegeliana, </w:t>
      </w:r>
      <w:r>
        <w:rPr>
          <w:rFonts w:ascii="Times New Roman" w:eastAsia="Times New Roman" w:hAnsi="Times New Roman" w:cs="Times New Roman"/>
          <w:i/>
          <w:sz w:val="20"/>
          <w:szCs w:val="20"/>
        </w:rPr>
        <w:t xml:space="preserve">das </w:t>
      </w:r>
      <w:proofErr w:type="spellStart"/>
      <w:r>
        <w:rPr>
          <w:rFonts w:ascii="Times New Roman" w:eastAsia="Times New Roman" w:hAnsi="Times New Roman" w:cs="Times New Roman"/>
          <w:i/>
          <w:sz w:val="20"/>
          <w:szCs w:val="20"/>
        </w:rPr>
        <w:t>Äussere</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die </w:t>
      </w:r>
      <w:proofErr w:type="spellStart"/>
      <w:r>
        <w:rPr>
          <w:rFonts w:ascii="Times New Roman" w:eastAsia="Times New Roman" w:hAnsi="Times New Roman" w:cs="Times New Roman"/>
          <w:i/>
          <w:sz w:val="20"/>
          <w:szCs w:val="20"/>
        </w:rPr>
        <w:t>Entäusserung</w:t>
      </w:r>
      <w:proofErr w:type="spellEnd"/>
      <w:r>
        <w:rPr>
          <w:rFonts w:ascii="Times New Roman" w:eastAsia="Times New Roman" w:hAnsi="Times New Roman" w:cs="Times New Roman"/>
          <w:sz w:val="20"/>
          <w:szCs w:val="20"/>
        </w:rPr>
        <w:t xml:space="preserve">) [o exterior (a </w:t>
      </w:r>
      <w:proofErr w:type="spellStart"/>
      <w:r>
        <w:rPr>
          <w:rFonts w:ascii="Times New Roman" w:eastAsia="Times New Roman" w:hAnsi="Times New Roman" w:cs="Times New Roman"/>
          <w:sz w:val="20"/>
          <w:szCs w:val="20"/>
        </w:rPr>
        <w:t>externalização</w:t>
      </w:r>
      <w:proofErr w:type="spellEnd"/>
      <w:r>
        <w:rPr>
          <w:rFonts w:ascii="Times New Roman" w:eastAsia="Times New Roman" w:hAnsi="Times New Roman" w:cs="Times New Roman"/>
          <w:sz w:val="20"/>
          <w:szCs w:val="20"/>
        </w:rPr>
        <w:t xml:space="preserve">)] é mais alta que </w:t>
      </w:r>
      <w:r>
        <w:rPr>
          <w:rFonts w:ascii="Times New Roman" w:eastAsia="Times New Roman" w:hAnsi="Times New Roman" w:cs="Times New Roman"/>
          <w:i/>
          <w:sz w:val="20"/>
          <w:szCs w:val="20"/>
        </w:rPr>
        <w:t xml:space="preserve">das </w:t>
      </w:r>
      <w:proofErr w:type="spellStart"/>
      <w:r>
        <w:rPr>
          <w:rFonts w:ascii="Times New Roman" w:eastAsia="Times New Roman" w:hAnsi="Times New Roman" w:cs="Times New Roman"/>
          <w:i/>
          <w:sz w:val="20"/>
          <w:szCs w:val="20"/>
        </w:rPr>
        <w:t>Innere</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 interior]" (KIERKEGAARD, 1983a, p.</w:t>
      </w:r>
      <w:r w:rsidR="009E5F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69, grifo do autor). O problema ainda é o mesmo: como determinar a natureza indeterminada objetivamente, se parece que a natureza é indeterminada por sua</w:t>
      </w:r>
      <w:r w:rsidR="009E5F42">
        <w:rPr>
          <w:rFonts w:ascii="Times New Roman" w:eastAsia="Times New Roman" w:hAnsi="Times New Roman" w:cs="Times New Roman"/>
          <w:sz w:val="20"/>
          <w:szCs w:val="20"/>
        </w:rPr>
        <w:t xml:space="preserve"> própria</w:t>
      </w:r>
      <w:r>
        <w:rPr>
          <w:rFonts w:ascii="Times New Roman" w:eastAsia="Times New Roman" w:hAnsi="Times New Roman" w:cs="Times New Roman"/>
          <w:sz w:val="20"/>
          <w:szCs w:val="20"/>
        </w:rPr>
        <w:t xml:space="preserve"> objetividade? O lugar inadequado da natureza na lógica cria um problema para Kierkegaard. </w:t>
      </w:r>
      <w:r w:rsidR="009E5F42">
        <w:rPr>
          <w:rFonts w:ascii="Times New Roman" w:eastAsia="Times New Roman" w:hAnsi="Times New Roman" w:cs="Times New Roman"/>
          <w:sz w:val="20"/>
          <w:szCs w:val="20"/>
        </w:rPr>
        <w:t xml:space="preserve">Para ele, </w:t>
      </w:r>
      <w:r>
        <w:rPr>
          <w:rFonts w:ascii="Times New Roman" w:eastAsia="Times New Roman" w:hAnsi="Times New Roman" w:cs="Times New Roman"/>
          <w:sz w:val="20"/>
          <w:szCs w:val="20"/>
        </w:rPr>
        <w:t>“Hegel está errado quando fala de fé; ele está errado em não protestar clara e pungentemente contra a honra e a glória que Abraão tem aproveitado como pai da fé quando, na verdade, ele deveria ser mandado de volta para um tribunal de primeira instância", pois na determinação objetiva da existência, Abraão teria que "comparecer como um assassino" (KIERKEGAARD, 1983a, p.</w:t>
      </w:r>
      <w:r w:rsidR="009E5F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55). O discurso da </w:t>
      </w:r>
      <w:r>
        <w:rPr>
          <w:rFonts w:ascii="Times New Roman" w:eastAsia="Times New Roman" w:hAnsi="Times New Roman" w:cs="Times New Roman"/>
          <w:i/>
          <w:sz w:val="20"/>
          <w:szCs w:val="20"/>
        </w:rPr>
        <w:t>Crítica da Razão Pura</w:t>
      </w:r>
      <w:r>
        <w:rPr>
          <w:rFonts w:ascii="Times New Roman" w:eastAsia="Times New Roman" w:hAnsi="Times New Roman" w:cs="Times New Roman"/>
          <w:sz w:val="20"/>
          <w:szCs w:val="20"/>
        </w:rPr>
        <w:t xml:space="preserve"> é ineficaz assim como o discurso da </w:t>
      </w:r>
      <w:r>
        <w:rPr>
          <w:rFonts w:ascii="Times New Roman" w:eastAsia="Times New Roman" w:hAnsi="Times New Roman" w:cs="Times New Roman"/>
          <w:i/>
          <w:sz w:val="20"/>
          <w:szCs w:val="20"/>
        </w:rPr>
        <w:t>Enciclopédia das Ciências Filosóficas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highlight w:val="white"/>
        </w:rPr>
        <w:t>Enzyklopädie</w:t>
      </w:r>
      <w:proofErr w:type="spellEnd"/>
      <w:r>
        <w:rPr>
          <w:rFonts w:ascii="Times New Roman" w:eastAsia="Times New Roman" w:hAnsi="Times New Roman" w:cs="Times New Roman"/>
          <w:i/>
          <w:sz w:val="20"/>
          <w:szCs w:val="20"/>
          <w:highlight w:val="white"/>
        </w:rPr>
        <w:t xml:space="preserve"> der </w:t>
      </w:r>
      <w:proofErr w:type="spellStart"/>
      <w:r>
        <w:rPr>
          <w:rFonts w:ascii="Times New Roman" w:eastAsia="Times New Roman" w:hAnsi="Times New Roman" w:cs="Times New Roman"/>
          <w:i/>
          <w:sz w:val="20"/>
          <w:szCs w:val="20"/>
          <w:highlight w:val="white"/>
        </w:rPr>
        <w:t>philosophischen</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Wissenschaften</w:t>
      </w:r>
      <w:proofErr w:type="spellEnd"/>
      <w:r>
        <w:rPr>
          <w:rFonts w:ascii="Times New Roman" w:eastAsia="Times New Roman" w:hAnsi="Times New Roman" w:cs="Times New Roman"/>
          <w:sz w:val="20"/>
          <w:szCs w:val="20"/>
          <w:highlight w:val="white"/>
        </w:rPr>
        <w:t>, 1817)</w:t>
      </w:r>
      <w:r>
        <w:rPr>
          <w:rFonts w:ascii="Times New Roman" w:eastAsia="Times New Roman" w:hAnsi="Times New Roman" w:cs="Times New Roman"/>
          <w:sz w:val="20"/>
          <w:szCs w:val="20"/>
        </w:rPr>
        <w:t xml:space="preserve"> é </w:t>
      </w:r>
      <w:r>
        <w:rPr>
          <w:rFonts w:ascii="Times New Roman" w:eastAsia="Times New Roman" w:hAnsi="Times New Roman" w:cs="Times New Roman"/>
          <w:color w:val="222222"/>
          <w:sz w:val="20"/>
          <w:szCs w:val="20"/>
          <w:highlight w:val="white"/>
        </w:rPr>
        <w:t>inadequado</w:t>
      </w:r>
      <w:r>
        <w:rPr>
          <w:rFonts w:ascii="Times New Roman" w:eastAsia="Times New Roman" w:hAnsi="Times New Roman" w:cs="Times New Roman"/>
          <w:sz w:val="20"/>
          <w:szCs w:val="20"/>
        </w:rPr>
        <w:t>. A solução aí é apropriar a palavra e o discurso em uma palavra-discurso. De qualquer outra maneira, se aniquila o discurso junto com a palavra.</w:t>
      </w:r>
    </w:p>
    <w:p w:rsidR="00713963" w:rsidRDefault="00713963">
      <w:pPr>
        <w:spacing w:after="200"/>
        <w:ind w:firstLine="720"/>
        <w:jc w:val="both"/>
        <w:rPr>
          <w:rFonts w:ascii="Times New Roman" w:eastAsia="Times New Roman" w:hAnsi="Times New Roman" w:cs="Times New Roman"/>
          <w:sz w:val="20"/>
          <w:szCs w:val="20"/>
        </w:rPr>
      </w:pPr>
      <w:bookmarkStart w:id="0" w:name="_GoBack"/>
      <w:bookmarkEnd w:id="0"/>
    </w:p>
    <w:p w:rsidR="00416987" w:rsidRDefault="00416987">
      <w:pPr>
        <w:spacing w:after="200"/>
        <w:ind w:firstLine="720"/>
        <w:jc w:val="both"/>
        <w:rPr>
          <w:rFonts w:ascii="Times New Roman" w:eastAsia="Times New Roman" w:hAnsi="Times New Roman" w:cs="Times New Roman"/>
          <w:sz w:val="20"/>
          <w:szCs w:val="20"/>
        </w:rPr>
      </w:pPr>
    </w:p>
    <w:p w:rsidR="00416987" w:rsidRDefault="00F90C57">
      <w:pPr>
        <w:spacing w:after="20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Com Sócrates, sem Sócrates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Kierkegaard, Sócrates e Hamann são os maiores ironistas e humoristas da história da filosofia respectivamente (KIERKEGAARD, 2007, p. 206, Jornal DD: 3; KIERKEGAARD, 2007, p. 226, Jornal DD: 38). A existência de Sócrates, a mais interessante na história da humanidade (KIERKEGAARD, 1983a, p. 83), é capaz de expor a ruptura entre a</w:t>
      </w:r>
      <w:r w:rsidR="009E5F42">
        <w:rPr>
          <w:rFonts w:ascii="Times New Roman" w:eastAsia="Times New Roman" w:hAnsi="Times New Roman" w:cs="Times New Roman"/>
          <w:sz w:val="20"/>
          <w:szCs w:val="20"/>
        </w:rPr>
        <w:t>s esferas social e individual. Essa</w:t>
      </w:r>
      <w:r>
        <w:rPr>
          <w:rFonts w:ascii="Times New Roman" w:eastAsia="Times New Roman" w:hAnsi="Times New Roman" w:cs="Times New Roman"/>
          <w:sz w:val="20"/>
          <w:szCs w:val="20"/>
        </w:rPr>
        <w:t xml:space="preserve"> ruptura acontece na realidade pela falta de apropriação entre os discursos social e individual. Quando Hamann propõe a apropriação do problema da confusão da linguagem na filosofia, ele enfrenta a difícil tarefa de reconhecer a ligaç</w:t>
      </w:r>
      <w:r w:rsidR="009E5F42">
        <w:rPr>
          <w:rFonts w:ascii="Times New Roman" w:eastAsia="Times New Roman" w:hAnsi="Times New Roman" w:cs="Times New Roman"/>
          <w:sz w:val="20"/>
          <w:szCs w:val="20"/>
        </w:rPr>
        <w:t xml:space="preserve">ão entre existência e discurso. </w:t>
      </w:r>
      <w:r>
        <w:rPr>
          <w:rFonts w:ascii="Times New Roman" w:eastAsia="Times New Roman" w:hAnsi="Times New Roman" w:cs="Times New Roman"/>
          <w:sz w:val="20"/>
          <w:szCs w:val="20"/>
        </w:rPr>
        <w:t>Assim como Hamann faz com Kant, Kierkegaard pode assumir o sistema dos hegelianos dinamarqueses como inadequado. Se uma universalidade não é possível por causa da ruptura que existe entre sociedade e indivíduo, agarrar-se a uma premissa que prescinde de todo o conteúdo histórico é contradizer todo o discurso filosófico do idealismo alemão. A única reconciliação possível acontece no discurso que o idealismo alemão aniquila. Uma metacrítica, então, se faz necessária.</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Analisando o Sócrates de Hegel, fica impossível encontrar uma forma concreta da linguagem, um discurso abrangente, pois o conteúdo do texto não </w:t>
      </w:r>
      <w:r w:rsidR="00D11275">
        <w:rPr>
          <w:rFonts w:ascii="Times New Roman" w:eastAsia="Times New Roman" w:hAnsi="Times New Roman" w:cs="Times New Roman"/>
          <w:sz w:val="20"/>
          <w:szCs w:val="20"/>
        </w:rPr>
        <w:t xml:space="preserve">apresenta </w:t>
      </w:r>
      <w:r>
        <w:rPr>
          <w:rFonts w:ascii="Times New Roman" w:eastAsia="Times New Roman" w:hAnsi="Times New Roman" w:cs="Times New Roman"/>
          <w:sz w:val="20"/>
          <w:szCs w:val="20"/>
        </w:rPr>
        <w:t xml:space="preserve">condições para torná-lo mais ou menos verdadeiro; a vida de Sócrates é aniquilada junto com seu discurso individual - não se trata aqui do discurso que continua através dos diálogos de Platão, nos poemas de Aristófanes, mas do discurso da existência de Sócrates naquele dado momento histórico - onde todo conteúdo histórico se perde não em universalidade, mas em particularidade. Em forma de poema, a existência de Sócrates não é menos verdadeira que nos diálogos de Platão. O que Hegel faz com </w:t>
      </w:r>
      <w:r w:rsidR="00144B74">
        <w:rPr>
          <w:rFonts w:ascii="Times New Roman" w:eastAsia="Times New Roman" w:hAnsi="Times New Roman" w:cs="Times New Roman"/>
          <w:sz w:val="20"/>
          <w:szCs w:val="20"/>
        </w:rPr>
        <w:t xml:space="preserve">a ideia de </w:t>
      </w:r>
      <w:r>
        <w:rPr>
          <w:rFonts w:ascii="Times New Roman" w:eastAsia="Times New Roman" w:hAnsi="Times New Roman" w:cs="Times New Roman"/>
          <w:sz w:val="20"/>
          <w:szCs w:val="20"/>
        </w:rPr>
        <w:t xml:space="preserve">Sócrates é retirar </w:t>
      </w:r>
      <w:r w:rsidR="00144B74">
        <w:rPr>
          <w:rFonts w:ascii="Times New Roman" w:eastAsia="Times New Roman" w:hAnsi="Times New Roman" w:cs="Times New Roman"/>
          <w:sz w:val="20"/>
          <w:szCs w:val="20"/>
        </w:rPr>
        <w:t xml:space="preserve">dela o </w:t>
      </w:r>
      <w:r>
        <w:rPr>
          <w:rFonts w:ascii="Times New Roman" w:eastAsia="Times New Roman" w:hAnsi="Times New Roman" w:cs="Times New Roman"/>
          <w:sz w:val="20"/>
          <w:szCs w:val="20"/>
        </w:rPr>
        <w:t xml:space="preserve">indivíduo </w:t>
      </w:r>
      <w:r w:rsidR="00144B74">
        <w:rPr>
          <w:rFonts w:ascii="Times New Roman" w:eastAsia="Times New Roman" w:hAnsi="Times New Roman" w:cs="Times New Roman"/>
          <w:sz w:val="20"/>
          <w:szCs w:val="20"/>
        </w:rPr>
        <w:t>mantendo</w:t>
      </w:r>
      <w:r>
        <w:rPr>
          <w:rFonts w:ascii="Times New Roman" w:eastAsia="Times New Roman" w:hAnsi="Times New Roman" w:cs="Times New Roman"/>
          <w:sz w:val="20"/>
          <w:szCs w:val="20"/>
        </w:rPr>
        <w:t xml:space="preserve"> apenas o socrático, se agarrando a ruptura entre forma e conteúdo, entre palavra e discurso. O discurso de Sócrates é</w:t>
      </w:r>
      <w:r w:rsidR="00144B74">
        <w:rPr>
          <w:rFonts w:ascii="Times New Roman" w:eastAsia="Times New Roman" w:hAnsi="Times New Roman" w:cs="Times New Roman"/>
          <w:sz w:val="20"/>
          <w:szCs w:val="20"/>
        </w:rPr>
        <w:t xml:space="preserve"> importante na medida em que, "s</w:t>
      </w:r>
      <w:r>
        <w:rPr>
          <w:rFonts w:ascii="Times New Roman" w:eastAsia="Times New Roman" w:hAnsi="Times New Roman" w:cs="Times New Roman"/>
          <w:sz w:val="20"/>
          <w:szCs w:val="20"/>
        </w:rPr>
        <w:t xml:space="preserve">e Sócrates tivesse se mantido em silêncio no momento difícil da morte, ele teria diminuído o efeito de sua vida e levantado suspeitas de que a elasticidade da ironia nele não era um poder no mundo, mas um jogo, a reflexibilidade que teria sido usada em uma escala invertida para mantê-lo em </w:t>
      </w:r>
      <w:proofErr w:type="spellStart"/>
      <w:r>
        <w:rPr>
          <w:rFonts w:ascii="Times New Roman" w:eastAsia="Times New Roman" w:hAnsi="Times New Roman" w:cs="Times New Roman"/>
          <w:i/>
          <w:sz w:val="20"/>
          <w:szCs w:val="20"/>
        </w:rPr>
        <w:t>pathos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no momento crucial"(KIERKEGAARD, 1983a,  p. 117, grifo nosso).</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Hamann, a individualidade de Sócrates nos ajuda a perceber essa ruptura entre existência e aniquilação. Não se pode impor uma nova linguagem na qual Sócrates é un</w:t>
      </w:r>
      <w:r w:rsidR="0055455D">
        <w:rPr>
          <w:rFonts w:ascii="Times New Roman" w:eastAsia="Times New Roman" w:hAnsi="Times New Roman" w:cs="Times New Roman"/>
          <w:sz w:val="20"/>
          <w:szCs w:val="20"/>
        </w:rPr>
        <w:t xml:space="preserve">iversal sem Sócrates, em que exista </w:t>
      </w:r>
      <w:r>
        <w:rPr>
          <w:rFonts w:ascii="Times New Roman" w:eastAsia="Times New Roman" w:hAnsi="Times New Roman" w:cs="Times New Roman"/>
          <w:sz w:val="20"/>
          <w:szCs w:val="20"/>
        </w:rPr>
        <w:t>um socrático sem Sócrates, a única possibilidade é a de um discurso sobre Sócrates que mantém ambos o socrático e Sócrates na consideração social e individu</w:t>
      </w:r>
      <w:r w:rsidR="00FF59E6">
        <w:rPr>
          <w:rFonts w:ascii="Times New Roman" w:eastAsia="Times New Roman" w:hAnsi="Times New Roman" w:cs="Times New Roman"/>
          <w:sz w:val="20"/>
          <w:szCs w:val="20"/>
        </w:rPr>
        <w:t xml:space="preserve">al como ele aparece em Platão, </w:t>
      </w:r>
      <w:r>
        <w:rPr>
          <w:rFonts w:ascii="Times New Roman" w:eastAsia="Times New Roman" w:hAnsi="Times New Roman" w:cs="Times New Roman"/>
          <w:sz w:val="20"/>
          <w:szCs w:val="20"/>
        </w:rPr>
        <w:t>Xenofonte e Aristófanes</w:t>
      </w:r>
      <w:r w:rsidR="00144B74">
        <w:rPr>
          <w:rFonts w:ascii="Times New Roman" w:eastAsia="Times New Roman" w:hAnsi="Times New Roman" w:cs="Times New Roman"/>
          <w:sz w:val="20"/>
          <w:szCs w:val="20"/>
        </w:rPr>
        <w:t xml:space="preserve"> se lidos ao mesmo tempo</w:t>
      </w:r>
      <w:r>
        <w:rPr>
          <w:rFonts w:ascii="Times New Roman" w:eastAsia="Times New Roman" w:hAnsi="Times New Roman" w:cs="Times New Roman"/>
          <w:sz w:val="20"/>
          <w:szCs w:val="20"/>
        </w:rPr>
        <w:t xml:space="preserve">. Nesse sentido, a tradição filosófica só se dá através do discurso. Tanto a </w:t>
      </w:r>
      <w:r>
        <w:rPr>
          <w:rFonts w:ascii="Times New Roman" w:eastAsia="Times New Roman" w:hAnsi="Times New Roman" w:cs="Times New Roman"/>
          <w:i/>
          <w:sz w:val="20"/>
          <w:szCs w:val="20"/>
        </w:rPr>
        <w:t>Crítica da Razão Pura</w:t>
      </w:r>
      <w:r>
        <w:rPr>
          <w:rFonts w:ascii="Times New Roman" w:eastAsia="Times New Roman" w:hAnsi="Times New Roman" w:cs="Times New Roman"/>
          <w:sz w:val="20"/>
          <w:szCs w:val="20"/>
        </w:rPr>
        <w:t xml:space="preserve"> quanto a </w:t>
      </w:r>
      <w:r>
        <w:rPr>
          <w:rFonts w:ascii="Times New Roman" w:eastAsia="Times New Roman" w:hAnsi="Times New Roman" w:cs="Times New Roman"/>
          <w:i/>
          <w:sz w:val="20"/>
          <w:szCs w:val="20"/>
        </w:rPr>
        <w:t>Ciência da Lógica</w:t>
      </w:r>
      <w:r>
        <w:rPr>
          <w:rFonts w:ascii="Times New Roman" w:eastAsia="Times New Roman" w:hAnsi="Times New Roman" w:cs="Times New Roman"/>
          <w:sz w:val="20"/>
          <w:szCs w:val="20"/>
        </w:rPr>
        <w:t xml:space="preserve"> justificam seus discursos em uma purificação da razão impossível. Segundo Hamann, "a p</w:t>
      </w:r>
      <w:r w:rsidR="00A41E55">
        <w:rPr>
          <w:rFonts w:ascii="Times New Roman" w:eastAsia="Times New Roman" w:hAnsi="Times New Roman" w:cs="Times New Roman"/>
          <w:sz w:val="20"/>
          <w:szCs w:val="20"/>
        </w:rPr>
        <w:t>rimeira purificação da razão</w:t>
      </w:r>
      <w:r w:rsidR="00AE490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consistiu e</w:t>
      </w:r>
      <w:r w:rsidR="00A41E55">
        <w:rPr>
          <w:rFonts w:ascii="Times New Roman" w:eastAsia="Times New Roman" w:hAnsi="Times New Roman" w:cs="Times New Roman"/>
          <w:sz w:val="20"/>
          <w:szCs w:val="20"/>
        </w:rPr>
        <w:t xml:space="preserve">m parte um mal-entendido, </w:t>
      </w:r>
      <w:r w:rsidR="006D69DA">
        <w:rPr>
          <w:rFonts w:ascii="Times New Roman" w:eastAsia="Times New Roman" w:hAnsi="Times New Roman" w:cs="Times New Roman"/>
          <w:sz w:val="20"/>
          <w:szCs w:val="20"/>
        </w:rPr>
        <w:t xml:space="preserve">em parte </w:t>
      </w:r>
      <w:r>
        <w:rPr>
          <w:rFonts w:ascii="Times New Roman" w:eastAsia="Times New Roman" w:hAnsi="Times New Roman" w:cs="Times New Roman"/>
          <w:sz w:val="20"/>
          <w:szCs w:val="20"/>
        </w:rPr>
        <w:t xml:space="preserve">uma tentativa fracassada de fazer a razão independente de toda a tradição e do costume e da crença neles. A segunda é ainda mais transcendente e vem para nada menos que </w:t>
      </w:r>
      <w:r w:rsidR="00736641">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independência da experiência e seu [pr</w:t>
      </w:r>
      <w:r w:rsidR="00D96922">
        <w:rPr>
          <w:rFonts w:ascii="Times New Roman" w:eastAsia="Times New Roman" w:hAnsi="Times New Roman" w:cs="Times New Roman"/>
          <w:sz w:val="20"/>
          <w:szCs w:val="20"/>
        </w:rPr>
        <w:t>ocesso] indutivo diário" (2007f,</w:t>
      </w:r>
      <w:r>
        <w:rPr>
          <w:rFonts w:ascii="Times New Roman" w:eastAsia="Times New Roman" w:hAnsi="Times New Roman" w:cs="Times New Roman"/>
          <w:sz w:val="20"/>
          <w:szCs w:val="20"/>
        </w:rPr>
        <w:t xml:space="preserve"> p. 206-207)</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Assim, não basta purificar a razão, para termos uma palavra-discurso, nos parece preciso ferir a palavra fria com o discurso cálido.</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Conclusão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experiência diária é constituída pelo discurso do indivíduo que está sempre em estado de tensão com o discurso social. Quando Kierkegaard retoma essa crítica da inadequação contra os hegelianos dinamarqueses, ele o faz usando o discurso da experiência. O olhar sobre o concreto histórico só se dá através da objetividade quando o discurso do Eu é eliminado. O Eu, por outro lado, comunica sua subjetividade de forma indireta. Para Kierkegaard e Hamann o discurso indireto, a comunicação indireta, não é o propósito da filosofia. Mas qualquer filosofia do discurso é diretamente dependente do significado apresentado pela ruptura </w:t>
      </w:r>
      <w:proofErr w:type="gramStart"/>
      <w:r>
        <w:rPr>
          <w:rFonts w:ascii="Times New Roman" w:eastAsia="Times New Roman" w:hAnsi="Times New Roman" w:cs="Times New Roman"/>
          <w:sz w:val="20"/>
          <w:szCs w:val="20"/>
        </w:rPr>
        <w:t>entre Eu</w:t>
      </w:r>
      <w:proofErr w:type="gramEnd"/>
      <w:r>
        <w:rPr>
          <w:rFonts w:ascii="Times New Roman" w:eastAsia="Times New Roman" w:hAnsi="Times New Roman" w:cs="Times New Roman"/>
          <w:sz w:val="20"/>
          <w:szCs w:val="20"/>
        </w:rPr>
        <w:t xml:space="preserve"> e outro. Assim, a metacrítica proporciona um olhar mais honesto</w:t>
      </w:r>
      <w:r w:rsidR="00736641">
        <w:rPr>
          <w:rFonts w:ascii="Times New Roman" w:eastAsia="Times New Roman" w:hAnsi="Times New Roman" w:cs="Times New Roman"/>
          <w:sz w:val="20"/>
          <w:szCs w:val="20"/>
        </w:rPr>
        <w:t xml:space="preserve"> e eficaz</w:t>
      </w:r>
      <w:r>
        <w:rPr>
          <w:rFonts w:ascii="Times New Roman" w:eastAsia="Times New Roman" w:hAnsi="Times New Roman" w:cs="Times New Roman"/>
          <w:sz w:val="20"/>
          <w:szCs w:val="20"/>
        </w:rPr>
        <w:t xml:space="preserve"> sobre </w:t>
      </w:r>
      <w:r w:rsidR="00736641">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tensão entre indivíduo e sociedade.  </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discurso histórico existe sob o signo do esforço exigido do indivíduo p</w:t>
      </w:r>
      <w:r w:rsidR="00FF59E6">
        <w:rPr>
          <w:rFonts w:ascii="Times New Roman" w:eastAsia="Times New Roman" w:hAnsi="Times New Roman" w:cs="Times New Roman"/>
          <w:sz w:val="20"/>
          <w:szCs w:val="20"/>
        </w:rPr>
        <w:t>ara tolerar a existência diante</w:t>
      </w:r>
      <w:r>
        <w:rPr>
          <w:rFonts w:ascii="Times New Roman" w:eastAsia="Times New Roman" w:hAnsi="Times New Roman" w:cs="Times New Roman"/>
          <w:sz w:val="20"/>
          <w:szCs w:val="20"/>
        </w:rPr>
        <w:t xml:space="preserve"> de sua própria condição histórica, o que se dá de maneiras variadas em uma sociedade baseada na mais-valia e </w:t>
      </w:r>
      <w:r w:rsidR="00736641">
        <w:rPr>
          <w:rFonts w:ascii="Times New Roman" w:eastAsia="Times New Roman" w:hAnsi="Times New Roman" w:cs="Times New Roman"/>
          <w:sz w:val="20"/>
          <w:szCs w:val="20"/>
        </w:rPr>
        <w:t xml:space="preserve">na </w:t>
      </w:r>
      <w:r>
        <w:rPr>
          <w:rFonts w:ascii="Times New Roman" w:eastAsia="Times New Roman" w:hAnsi="Times New Roman" w:cs="Times New Roman"/>
          <w:sz w:val="20"/>
          <w:szCs w:val="20"/>
        </w:rPr>
        <w:t xml:space="preserve">subordinação das determinações individuais. Por isso, existe a necessidade de </w:t>
      </w:r>
      <w:r w:rsidR="00736641">
        <w:rPr>
          <w:rFonts w:ascii="Times New Roman" w:eastAsia="Times New Roman" w:hAnsi="Times New Roman" w:cs="Times New Roman"/>
          <w:sz w:val="20"/>
          <w:szCs w:val="20"/>
        </w:rPr>
        <w:t xml:space="preserve">uma </w:t>
      </w:r>
      <w:r>
        <w:rPr>
          <w:rFonts w:ascii="Times New Roman" w:eastAsia="Times New Roman" w:hAnsi="Times New Roman" w:cs="Times New Roman"/>
          <w:sz w:val="20"/>
          <w:szCs w:val="20"/>
        </w:rPr>
        <w:t xml:space="preserve">comunicação </w:t>
      </w:r>
      <w:r w:rsidR="00736641">
        <w:rPr>
          <w:rFonts w:ascii="Times New Roman" w:eastAsia="Times New Roman" w:hAnsi="Times New Roman" w:cs="Times New Roman"/>
          <w:sz w:val="20"/>
          <w:szCs w:val="20"/>
        </w:rPr>
        <w:t xml:space="preserve">capaz de </w:t>
      </w:r>
      <w:r>
        <w:rPr>
          <w:rFonts w:ascii="Times New Roman" w:eastAsia="Times New Roman" w:hAnsi="Times New Roman" w:cs="Times New Roman"/>
          <w:sz w:val="20"/>
          <w:szCs w:val="20"/>
        </w:rPr>
        <w:t>preenche</w:t>
      </w:r>
      <w:r w:rsidR="00736641">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o abismo entre razão e existência, entre determinação e indeterminação, e, finalmente, entre purismo e uso. A necessidade do discurso é também desejo. “Esse desejo foi preenchido de criação, o que é um discurso para criaturas através de criaturas; aos dias os dias proferem discursos, e noites as noites mostram conhecimento.”</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(HAMANN, 2007c. p. 65). </w:t>
      </w:r>
      <w:r w:rsidR="006A76FA">
        <w:rPr>
          <w:rFonts w:ascii="Times New Roman" w:eastAsia="Times New Roman" w:hAnsi="Times New Roman" w:cs="Times New Roman"/>
          <w:sz w:val="20"/>
          <w:szCs w:val="20"/>
        </w:rPr>
        <w:t xml:space="preserve">Esse desejo </w:t>
      </w:r>
      <w:r w:rsidR="006A76FA">
        <w:rPr>
          <w:rFonts w:ascii="Times New Roman" w:eastAsia="Times New Roman" w:hAnsi="Times New Roman" w:cs="Times New Roman"/>
          <w:sz w:val="20"/>
          <w:szCs w:val="20"/>
          <w:lang w:val="da-DK"/>
        </w:rPr>
        <w:t xml:space="preserve">é </w:t>
      </w:r>
      <w:r w:rsidR="006A76FA">
        <w:rPr>
          <w:rFonts w:ascii="Times New Roman" w:eastAsia="Times New Roman" w:hAnsi="Times New Roman" w:cs="Times New Roman"/>
          <w:sz w:val="20"/>
          <w:szCs w:val="20"/>
        </w:rPr>
        <w:t>o desejo de existir e de expressar.</w:t>
      </w:r>
    </w:p>
    <w:p w:rsidR="00416987" w:rsidRDefault="00F90C57">
      <w:pPr>
        <w:spacing w:after="20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discurso, para ser constituído por aquilo que é determinado e indeterminado, é submetido a uma transição entre o histórico e aquilo que transcende a experiência objetiva, ou seja, a subjetividade. Afinal, o discurso só se dá na reconciliação entre apropriação e inadequação da palavra e do próprio discurso. Ponderando sobre as condições de indeterminação da natureza, do </w:t>
      </w:r>
      <w:r>
        <w:rPr>
          <w:rFonts w:ascii="Times New Roman" w:eastAsia="Times New Roman" w:hAnsi="Times New Roman" w:cs="Times New Roman"/>
          <w:i/>
          <w:sz w:val="20"/>
          <w:szCs w:val="20"/>
        </w:rPr>
        <w:t>Dasein</w:t>
      </w:r>
      <w:r>
        <w:rPr>
          <w:rFonts w:ascii="Times New Roman" w:eastAsia="Times New Roman" w:hAnsi="Times New Roman" w:cs="Times New Roman"/>
          <w:sz w:val="20"/>
          <w:szCs w:val="20"/>
        </w:rPr>
        <w:t xml:space="preserve"> e da existência (</w:t>
      </w:r>
      <w:proofErr w:type="spellStart"/>
      <w:r w:rsidR="00682831">
        <w:rPr>
          <w:rFonts w:ascii="Times New Roman" w:eastAsia="Times New Roman" w:hAnsi="Times New Roman" w:cs="Times New Roman"/>
          <w:i/>
          <w:color w:val="0C0C0C"/>
          <w:sz w:val="20"/>
          <w:szCs w:val="20"/>
        </w:rPr>
        <w:t>T</w:t>
      </w:r>
      <w:r>
        <w:rPr>
          <w:rFonts w:ascii="Times New Roman" w:eastAsia="Times New Roman" w:hAnsi="Times New Roman" w:cs="Times New Roman"/>
          <w:i/>
          <w:color w:val="0C0C0C"/>
          <w:sz w:val="20"/>
          <w:szCs w:val="20"/>
        </w:rPr>
        <w:t>ilværelse</w:t>
      </w:r>
      <w:proofErr w:type="spellEnd"/>
      <w:r>
        <w:rPr>
          <w:rFonts w:ascii="Times New Roman" w:eastAsia="Times New Roman" w:hAnsi="Times New Roman" w:cs="Times New Roman"/>
          <w:color w:val="0C0C0C"/>
          <w:sz w:val="20"/>
          <w:szCs w:val="20"/>
        </w:rPr>
        <w:t>)</w:t>
      </w:r>
      <w:r>
        <w:rPr>
          <w:rFonts w:ascii="Times New Roman" w:eastAsia="Times New Roman" w:hAnsi="Times New Roman" w:cs="Times New Roman"/>
          <w:sz w:val="20"/>
          <w:szCs w:val="20"/>
        </w:rPr>
        <w:t xml:space="preserve">, nós gostaríamos de </w:t>
      </w:r>
      <w:r>
        <w:rPr>
          <w:rFonts w:ascii="Times New Roman" w:eastAsia="Times New Roman" w:hAnsi="Times New Roman" w:cs="Times New Roman"/>
          <w:sz w:val="20"/>
          <w:szCs w:val="20"/>
        </w:rPr>
        <w:lastRenderedPageBreak/>
        <w:t xml:space="preserve">sugerir que a história da filosofia não começa com a palavra, mas com o discurso que determina a palavra e que por fim deve sofrer um processo de reconciliação para se tornar palavra-discurso. </w:t>
      </w:r>
    </w:p>
    <w:p w:rsidR="00416987" w:rsidRDefault="00416987">
      <w:pPr>
        <w:tabs>
          <w:tab w:val="center" w:pos="4532"/>
          <w:tab w:val="left" w:pos="7120"/>
        </w:tabs>
        <w:spacing w:after="200"/>
        <w:jc w:val="both"/>
        <w:rPr>
          <w:rFonts w:ascii="Times New Roman" w:eastAsia="Times New Roman" w:hAnsi="Times New Roman" w:cs="Times New Roman"/>
          <w:sz w:val="20"/>
          <w:szCs w:val="20"/>
        </w:rPr>
      </w:pPr>
    </w:p>
    <w:p w:rsidR="00416987" w:rsidRDefault="00F90C57">
      <w:pPr>
        <w:tabs>
          <w:tab w:val="center" w:pos="4532"/>
          <w:tab w:val="left" w:pos="7120"/>
        </w:tabs>
        <w:spacing w:after="2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Referência Bibliográfica</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AGOSTINHO, M. </w:t>
      </w:r>
      <w:proofErr w:type="spellStart"/>
      <w:r>
        <w:rPr>
          <w:rFonts w:ascii="Times New Roman" w:eastAsia="Times New Roman" w:hAnsi="Times New Roman" w:cs="Times New Roman"/>
          <w:sz w:val="20"/>
          <w:szCs w:val="20"/>
        </w:rPr>
        <w:t>Deiviane</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Neighbor</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Designation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Will in </w:t>
      </w:r>
      <w:r>
        <w:rPr>
          <w:rFonts w:ascii="Times New Roman" w:eastAsia="Times New Roman" w:hAnsi="Times New Roman" w:cs="Times New Roman"/>
          <w:i/>
          <w:sz w:val="20"/>
          <w:szCs w:val="20"/>
        </w:rPr>
        <w:t xml:space="preserve">Works </w:t>
      </w:r>
      <w:proofErr w:type="spellStart"/>
      <w:r>
        <w:rPr>
          <w:rFonts w:ascii="Times New Roman" w:eastAsia="Times New Roman" w:hAnsi="Times New Roman" w:cs="Times New Roman"/>
          <w:i/>
          <w:sz w:val="20"/>
          <w:szCs w:val="20"/>
        </w:rPr>
        <w:t>of</w:t>
      </w:r>
      <w:proofErr w:type="spellEnd"/>
      <w:r>
        <w:rPr>
          <w:rFonts w:ascii="Times New Roman" w:eastAsia="Times New Roman" w:hAnsi="Times New Roman" w:cs="Times New Roman"/>
          <w:i/>
          <w:sz w:val="20"/>
          <w:szCs w:val="20"/>
        </w:rPr>
        <w:t xml:space="preserve"> Love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Kierkegaard in </w:t>
      </w:r>
      <w:proofErr w:type="spellStart"/>
      <w:r>
        <w:rPr>
          <w:rFonts w:ascii="Times New Roman" w:eastAsia="Times New Roman" w:hAnsi="Times New Roman" w:cs="Times New Roman"/>
          <w:b/>
          <w:sz w:val="20"/>
          <w:szCs w:val="20"/>
        </w:rPr>
        <w:t>Process</w:t>
      </w:r>
      <w:proofErr w:type="spellEnd"/>
      <w:r>
        <w:rPr>
          <w:rFonts w:ascii="Times New Roman" w:eastAsia="Times New Roman" w:hAnsi="Times New Roman" w:cs="Times New Roman"/>
          <w:sz w:val="20"/>
          <w:szCs w:val="20"/>
        </w:rPr>
        <w:t xml:space="preserve">. v. 2, n.1, p. 75-84, </w:t>
      </w:r>
      <w:proofErr w:type="spellStart"/>
      <w:r>
        <w:rPr>
          <w:rFonts w:ascii="Times New Roman" w:eastAsia="Times New Roman" w:hAnsi="Times New Roman" w:cs="Times New Roman"/>
          <w:sz w:val="20"/>
          <w:szCs w:val="20"/>
        </w:rPr>
        <w:t>September</w:t>
      </w:r>
      <w:proofErr w:type="spellEnd"/>
      <w:r>
        <w:rPr>
          <w:rFonts w:ascii="Times New Roman" w:eastAsia="Times New Roman" w:hAnsi="Times New Roman" w:cs="Times New Roman"/>
          <w:sz w:val="20"/>
          <w:szCs w:val="20"/>
        </w:rPr>
        <w:t xml:space="preserve"> 2017. Disponível em &lt;</w:t>
      </w:r>
      <w:proofErr w:type="spellStart"/>
      <w:r>
        <w:rPr>
          <w:rFonts w:ascii="Times New Roman" w:eastAsia="Times New Roman" w:hAnsi="Times New Roman" w:cs="Times New Roman"/>
          <w:sz w:val="20"/>
          <w:szCs w:val="20"/>
        </w:rPr>
        <w:t>https</w:t>
      </w:r>
      <w:proofErr w:type="spellEnd"/>
      <w:r>
        <w:rPr>
          <w:rFonts w:ascii="Times New Roman" w:eastAsia="Times New Roman" w:hAnsi="Times New Roman" w:cs="Times New Roman"/>
          <w:sz w:val="20"/>
          <w:szCs w:val="20"/>
        </w:rPr>
        <w:t xml:space="preserve">://kierkegaardinprocess.com&gt;. Acesso em </w:t>
      </w:r>
      <w:proofErr w:type="spellStart"/>
      <w:r>
        <w:rPr>
          <w:rFonts w:ascii="Times New Roman" w:eastAsia="Times New Roman" w:hAnsi="Times New Roman" w:cs="Times New Roman"/>
          <w:sz w:val="20"/>
          <w:szCs w:val="20"/>
        </w:rPr>
        <w:t>em</w:t>
      </w:r>
      <w:proofErr w:type="spellEnd"/>
      <w:r>
        <w:rPr>
          <w:rFonts w:ascii="Times New Roman" w:eastAsia="Times New Roman" w:hAnsi="Times New Roman" w:cs="Times New Roman"/>
          <w:sz w:val="20"/>
          <w:szCs w:val="20"/>
        </w:rPr>
        <w:t xml:space="preserve"> 17 abr. 2018.</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BURNS, O’Neill Michael. Kierkegaard, </w:t>
      </w:r>
      <w:proofErr w:type="spellStart"/>
      <w:r>
        <w:rPr>
          <w:rFonts w:ascii="Times New Roman" w:eastAsia="Times New Roman" w:hAnsi="Times New Roman" w:cs="Times New Roman"/>
          <w:sz w:val="20"/>
          <w:szCs w:val="20"/>
        </w:rPr>
        <w:t>Fichte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Idealism</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RJPH</w:t>
      </w:r>
      <w:r w:rsidR="00FF59E6">
        <w:rPr>
          <w:rFonts w:ascii="Times New Roman" w:eastAsia="Times New Roman" w:hAnsi="Times New Roman" w:cs="Times New Roman"/>
          <w:sz w:val="20"/>
          <w:szCs w:val="20"/>
        </w:rPr>
        <w:t xml:space="preserve"> · v.1 · n.2</w:t>
      </w:r>
      <w:r>
        <w:rPr>
          <w:rFonts w:ascii="Times New Roman" w:eastAsia="Times New Roman" w:hAnsi="Times New Roman" w:cs="Times New Roman"/>
          <w:sz w:val="20"/>
          <w:szCs w:val="20"/>
        </w:rPr>
        <w:t>, p. 135-154, 2017.</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HAMANN, Johann Georg.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Essay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Academic</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Question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2007a. p. 09- 19. </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Cloverleaf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Hellenistic</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letters</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2007b. p. 33–59.</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Aesthetica</w:t>
      </w:r>
      <w:proofErr w:type="spellEnd"/>
      <w:r>
        <w:rPr>
          <w:rFonts w:ascii="Times New Roman" w:eastAsia="Times New Roman" w:hAnsi="Times New Roman" w:cs="Times New Roman"/>
          <w:b/>
          <w:sz w:val="20"/>
          <w:szCs w:val="20"/>
        </w:rPr>
        <w:t xml:space="preserve"> in </w:t>
      </w:r>
      <w:proofErr w:type="spellStart"/>
      <w:r>
        <w:rPr>
          <w:rFonts w:ascii="Times New Roman" w:eastAsia="Times New Roman" w:hAnsi="Times New Roman" w:cs="Times New Roman"/>
          <w:b/>
          <w:sz w:val="20"/>
          <w:szCs w:val="20"/>
        </w:rPr>
        <w:t>Nuce</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2007c. p. 60–95.</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Philological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Ideas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Doubts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about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Academic</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Prize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Essay</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2007d. p. 111-136. </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(New </w:t>
      </w:r>
      <w:proofErr w:type="spellStart"/>
      <w:r>
        <w:rPr>
          <w:rFonts w:ascii="Times New Roman" w:eastAsia="Times New Roman" w:hAnsi="Times New Roman" w:cs="Times New Roman"/>
          <w:b/>
          <w:sz w:val="20"/>
          <w:szCs w:val="20"/>
        </w:rPr>
        <w:t>Apology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Letter</w:t>
      </w:r>
      <w:proofErr w:type="spellEnd"/>
      <w:r>
        <w:rPr>
          <w:rFonts w:ascii="Times New Roman" w:eastAsia="Times New Roman" w:hAnsi="Times New Roman" w:cs="Times New Roman"/>
          <w:b/>
          <w:sz w:val="20"/>
          <w:szCs w:val="20"/>
        </w:rPr>
        <w:t xml:space="preserve"> h)</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2007e. p. 146-163.</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r>
        <w:rPr>
          <w:rFonts w:ascii="Times New Roman" w:eastAsia="Times New Roman" w:hAnsi="Times New Roman" w:cs="Times New Roman"/>
          <w:b/>
          <w:sz w:val="20"/>
          <w:szCs w:val="20"/>
        </w:rPr>
        <w:t xml:space="preserve">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Metacritique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Purism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Reason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2007f. p. 205 - 218.</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HAYNES, Kenneth</w:t>
      </w:r>
      <w:r>
        <w:rPr>
          <w:rFonts w:ascii="Times New Roman" w:eastAsia="Times New Roman" w:hAnsi="Times New Roman" w:cs="Times New Roman"/>
          <w:b/>
          <w:sz w:val="20"/>
          <w:szCs w:val="20"/>
        </w:rPr>
        <w:t xml:space="preserve">. In: Hamann: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Philosophy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Language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Introduction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Tradução e Introdução: Kenneth </w:t>
      </w:r>
      <w:proofErr w:type="spellStart"/>
      <w:r>
        <w:rPr>
          <w:rFonts w:ascii="Times New Roman" w:eastAsia="Times New Roman" w:hAnsi="Times New Roman" w:cs="Times New Roman"/>
          <w:sz w:val="20"/>
          <w:szCs w:val="20"/>
        </w:rPr>
        <w:t>Haynes</w:t>
      </w:r>
      <w:proofErr w:type="spellEnd"/>
      <w:r>
        <w:rPr>
          <w:rFonts w:ascii="Times New Roman" w:eastAsia="Times New Roman" w:hAnsi="Times New Roman" w:cs="Times New Roman"/>
          <w:sz w:val="20"/>
          <w:szCs w:val="20"/>
        </w:rPr>
        <w:t xml:space="preserve">. Cambridge, UK: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 p. </w:t>
      </w:r>
      <w:proofErr w:type="spellStart"/>
      <w:r>
        <w:rPr>
          <w:rFonts w:ascii="Times New Roman" w:eastAsia="Times New Roman" w:hAnsi="Times New Roman" w:cs="Times New Roman"/>
          <w:sz w:val="20"/>
          <w:szCs w:val="20"/>
        </w:rPr>
        <w:t>vii</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xxv</w:t>
      </w:r>
      <w:proofErr w:type="spellEnd"/>
      <w:r>
        <w:rPr>
          <w:rFonts w:ascii="Times New Roman" w:eastAsia="Times New Roman" w:hAnsi="Times New Roman" w:cs="Times New Roman"/>
          <w:sz w:val="20"/>
          <w:szCs w:val="20"/>
        </w:rPr>
        <w:t>.</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HEGEL, </w:t>
      </w:r>
      <w:r>
        <w:rPr>
          <w:rFonts w:ascii="Times New Roman" w:eastAsia="Times New Roman" w:hAnsi="Times New Roman" w:cs="Times New Roman"/>
          <w:color w:val="222222"/>
          <w:sz w:val="20"/>
          <w:szCs w:val="20"/>
          <w:highlight w:val="white"/>
        </w:rPr>
        <w:t xml:space="preserve">Georg Wilhelm Friedrich. </w:t>
      </w:r>
      <w:r>
        <w:rPr>
          <w:rFonts w:ascii="Times New Roman" w:eastAsia="Times New Roman" w:hAnsi="Times New Roman" w:cs="Times New Roman"/>
          <w:b/>
          <w:color w:val="222222"/>
          <w:sz w:val="20"/>
          <w:szCs w:val="20"/>
          <w:highlight w:val="white"/>
        </w:rPr>
        <w:t xml:space="preserve">Hegel </w:t>
      </w:r>
      <w:proofErr w:type="spellStart"/>
      <w:r>
        <w:rPr>
          <w:rFonts w:ascii="Times New Roman" w:eastAsia="Times New Roman" w:hAnsi="Times New Roman" w:cs="Times New Roman"/>
          <w:b/>
          <w:color w:val="222222"/>
          <w:sz w:val="20"/>
          <w:szCs w:val="20"/>
          <w:highlight w:val="white"/>
        </w:rPr>
        <w:t>on</w:t>
      </w:r>
      <w:proofErr w:type="spellEnd"/>
      <w:r>
        <w:rPr>
          <w:rFonts w:ascii="Times New Roman" w:eastAsia="Times New Roman" w:hAnsi="Times New Roman" w:cs="Times New Roman"/>
          <w:b/>
          <w:color w:val="222222"/>
          <w:sz w:val="20"/>
          <w:szCs w:val="20"/>
          <w:highlight w:val="white"/>
        </w:rPr>
        <w:t xml:space="preserve"> Hamann</w:t>
      </w:r>
      <w:r>
        <w:rPr>
          <w:rFonts w:ascii="Times New Roman" w:eastAsia="Times New Roman" w:hAnsi="Times New Roman" w:cs="Times New Roman"/>
          <w:sz w:val="20"/>
          <w:szCs w:val="20"/>
        </w:rPr>
        <w:t xml:space="preserve">. Tradução e Introdução: Lisa Marie Anderson. </w:t>
      </w:r>
      <w:proofErr w:type="spellStart"/>
      <w:r>
        <w:rPr>
          <w:rFonts w:ascii="Times New Roman" w:eastAsia="Times New Roman" w:hAnsi="Times New Roman" w:cs="Times New Roman"/>
          <w:sz w:val="20"/>
          <w:szCs w:val="20"/>
        </w:rPr>
        <w:t>Evanston</w:t>
      </w:r>
      <w:proofErr w:type="spellEnd"/>
      <w:r>
        <w:rPr>
          <w:rFonts w:ascii="Times New Roman" w:eastAsia="Times New Roman" w:hAnsi="Times New Roman" w:cs="Times New Roman"/>
          <w:sz w:val="20"/>
          <w:szCs w:val="20"/>
        </w:rPr>
        <w:t xml:space="preserve">, Illinois: </w:t>
      </w:r>
      <w:proofErr w:type="spellStart"/>
      <w:r>
        <w:rPr>
          <w:rFonts w:ascii="Times New Roman" w:eastAsia="Times New Roman" w:hAnsi="Times New Roman" w:cs="Times New Roman"/>
          <w:sz w:val="20"/>
          <w:szCs w:val="20"/>
        </w:rPr>
        <w:t>Northwestern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2008. </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KIERKEGAARD, </w:t>
      </w:r>
      <w:proofErr w:type="spellStart"/>
      <w:r>
        <w:rPr>
          <w:rFonts w:ascii="Times New Roman" w:eastAsia="Times New Roman" w:hAnsi="Times New Roman" w:cs="Times New Roman"/>
          <w:sz w:val="20"/>
          <w:szCs w:val="20"/>
        </w:rPr>
        <w:t>Søren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rPr>
        <w:t>Kierkegaard's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II: The </w:t>
      </w:r>
      <w:proofErr w:type="spellStart"/>
      <w:r>
        <w:rPr>
          <w:rFonts w:ascii="Times New Roman" w:eastAsia="Times New Roman" w:hAnsi="Times New Roman" w:cs="Times New Roman"/>
          <w:b/>
          <w:sz w:val="20"/>
          <w:szCs w:val="20"/>
        </w:rPr>
        <w:t>Concept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Irony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with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Continual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Reference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to</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Socrates</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Tradução e Edição: Howard V. Hong e Edna H. Hong, Princeton: Princeton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1989a, p. 1- 329. </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r w:rsidR="00FF59E6">
        <w:rPr>
          <w:rFonts w:ascii="Times New Roman" w:eastAsia="Times New Roman" w:hAnsi="Times New Roman" w:cs="Times New Roman"/>
          <w:sz w:val="20"/>
          <w:szCs w:val="20"/>
        </w:rPr>
        <w:t>_.</w:t>
      </w:r>
      <w:r w:rsidR="00FF59E6">
        <w:rPr>
          <w:rFonts w:ascii="Times New Roman" w:eastAsia="Times New Roman" w:hAnsi="Times New Roman" w:cs="Times New Roman"/>
          <w:b/>
          <w:sz w:val="20"/>
          <w:szCs w:val="20"/>
        </w:rPr>
        <w:t xml:space="preserve"> </w:t>
      </w:r>
      <w:proofErr w:type="spellStart"/>
      <w:r w:rsidR="00FF59E6">
        <w:rPr>
          <w:rFonts w:ascii="Times New Roman" w:eastAsia="Times New Roman" w:hAnsi="Times New Roman" w:cs="Times New Roman"/>
          <w:b/>
          <w:sz w:val="20"/>
          <w:szCs w:val="20"/>
        </w:rPr>
        <w:t>Kierkegaard’s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II: Notes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Schelling's</w:t>
      </w:r>
      <w:proofErr w:type="spellEnd"/>
      <w:r>
        <w:rPr>
          <w:rFonts w:ascii="Times New Roman" w:eastAsia="Times New Roman" w:hAnsi="Times New Roman" w:cs="Times New Roman"/>
          <w:b/>
          <w:sz w:val="20"/>
          <w:szCs w:val="20"/>
        </w:rPr>
        <w:t xml:space="preserve"> Berlin </w:t>
      </w:r>
      <w:proofErr w:type="spellStart"/>
      <w:r>
        <w:rPr>
          <w:rFonts w:ascii="Times New Roman" w:eastAsia="Times New Roman" w:hAnsi="Times New Roman" w:cs="Times New Roman"/>
          <w:b/>
          <w:sz w:val="20"/>
          <w:szCs w:val="20"/>
        </w:rPr>
        <w:t>Lectures</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Tra</w:t>
      </w:r>
      <w:r w:rsidR="00FF59E6">
        <w:rPr>
          <w:rFonts w:ascii="Times New Roman" w:eastAsia="Times New Roman" w:hAnsi="Times New Roman" w:cs="Times New Roman"/>
          <w:sz w:val="20"/>
          <w:szCs w:val="20"/>
        </w:rPr>
        <w:t xml:space="preserve">dução e Edição: Howard V. Hong </w:t>
      </w:r>
      <w:r>
        <w:rPr>
          <w:rFonts w:ascii="Times New Roman" w:eastAsia="Times New Roman" w:hAnsi="Times New Roman" w:cs="Times New Roman"/>
          <w:sz w:val="20"/>
          <w:szCs w:val="20"/>
        </w:rPr>
        <w:t xml:space="preserve">e Edna H. Hong, Princeton: Princeton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1989b, p. 331- 412.</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proofErr w:type="spellStart"/>
      <w:r>
        <w:rPr>
          <w:rFonts w:ascii="Times New Roman" w:eastAsia="Times New Roman" w:hAnsi="Times New Roman" w:cs="Times New Roman"/>
          <w:b/>
          <w:sz w:val="20"/>
          <w:szCs w:val="20"/>
        </w:rPr>
        <w:t>Kierkegaard's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VI: </w:t>
      </w:r>
      <w:proofErr w:type="spellStart"/>
      <w:r>
        <w:rPr>
          <w:rFonts w:ascii="Times New Roman" w:eastAsia="Times New Roman" w:hAnsi="Times New Roman" w:cs="Times New Roman"/>
          <w:b/>
          <w:sz w:val="20"/>
          <w:szCs w:val="20"/>
        </w:rPr>
        <w:t>Fear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Trembling</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Tra</w:t>
      </w:r>
      <w:r w:rsidR="00FF59E6">
        <w:rPr>
          <w:rFonts w:ascii="Times New Roman" w:eastAsia="Times New Roman" w:hAnsi="Times New Roman" w:cs="Times New Roman"/>
          <w:sz w:val="20"/>
          <w:szCs w:val="20"/>
        </w:rPr>
        <w:t xml:space="preserve">dução e Edição: Howard V. Hong </w:t>
      </w:r>
      <w:r>
        <w:rPr>
          <w:rFonts w:ascii="Times New Roman" w:eastAsia="Times New Roman" w:hAnsi="Times New Roman" w:cs="Times New Roman"/>
          <w:sz w:val="20"/>
          <w:szCs w:val="20"/>
        </w:rPr>
        <w:t xml:space="preserve">e Edna H. Hong, Princeton: Princeton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1983a, p. 1-123.</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proofErr w:type="spellStart"/>
      <w:r>
        <w:rPr>
          <w:rFonts w:ascii="Times New Roman" w:eastAsia="Times New Roman" w:hAnsi="Times New Roman" w:cs="Times New Roman"/>
          <w:b/>
          <w:sz w:val="20"/>
          <w:szCs w:val="20"/>
        </w:rPr>
        <w:t>Kierkegaard's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Writings</w:t>
      </w:r>
      <w:proofErr w:type="spellEnd"/>
      <w:r>
        <w:rPr>
          <w:rFonts w:ascii="Times New Roman" w:eastAsia="Times New Roman" w:hAnsi="Times New Roman" w:cs="Times New Roman"/>
          <w:b/>
          <w:sz w:val="20"/>
          <w:szCs w:val="20"/>
        </w:rPr>
        <w:t xml:space="preserve">, VI: </w:t>
      </w:r>
      <w:proofErr w:type="spellStart"/>
      <w:r>
        <w:rPr>
          <w:rFonts w:ascii="Times New Roman" w:eastAsia="Times New Roman" w:hAnsi="Times New Roman" w:cs="Times New Roman"/>
          <w:b/>
          <w:sz w:val="20"/>
          <w:szCs w:val="20"/>
        </w:rPr>
        <w:t>Repetition</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Tradução e Edição: Howard V. Hong e Edna H. Hong, Princeton: Princeton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1983b, p. 124-231.</w:t>
      </w:r>
    </w:p>
    <w:p w:rsidR="00416987" w:rsidRDefault="00F90C57">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proofErr w:type="spellStart"/>
      <w:r>
        <w:rPr>
          <w:rFonts w:ascii="Times New Roman" w:eastAsia="Times New Roman" w:hAnsi="Times New Roman" w:cs="Times New Roman"/>
          <w:b/>
          <w:sz w:val="20"/>
          <w:szCs w:val="20"/>
        </w:rPr>
        <w:t>Kierkegaard’s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Journals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Notebooks, Volume 1: </w:t>
      </w:r>
      <w:proofErr w:type="spellStart"/>
      <w:r>
        <w:rPr>
          <w:rFonts w:ascii="Times New Roman" w:eastAsia="Times New Roman" w:hAnsi="Times New Roman" w:cs="Times New Roman"/>
          <w:b/>
          <w:sz w:val="20"/>
          <w:szCs w:val="20"/>
        </w:rPr>
        <w:t>Journals</w:t>
      </w:r>
      <w:proofErr w:type="spellEnd"/>
      <w:r>
        <w:rPr>
          <w:rFonts w:ascii="Times New Roman" w:eastAsia="Times New Roman" w:hAnsi="Times New Roman" w:cs="Times New Roman"/>
          <w:b/>
          <w:sz w:val="20"/>
          <w:szCs w:val="20"/>
        </w:rPr>
        <w:t xml:space="preserve"> AA–DD</w:t>
      </w:r>
      <w:r>
        <w:rPr>
          <w:rFonts w:ascii="Times New Roman" w:eastAsia="Times New Roman" w:hAnsi="Times New Roman" w:cs="Times New Roman"/>
          <w:sz w:val="20"/>
          <w:szCs w:val="20"/>
        </w:rPr>
        <w:t xml:space="preserve">. Edição: </w:t>
      </w:r>
      <w:proofErr w:type="spellStart"/>
      <w:r>
        <w:rPr>
          <w:rFonts w:ascii="Times New Roman" w:eastAsia="Times New Roman" w:hAnsi="Times New Roman" w:cs="Times New Roman"/>
          <w:sz w:val="20"/>
          <w:szCs w:val="20"/>
        </w:rPr>
        <w:t>Kirmmse</w:t>
      </w:r>
      <w:proofErr w:type="spellEnd"/>
      <w:r>
        <w:rPr>
          <w:rFonts w:ascii="Times New Roman" w:eastAsia="Times New Roman" w:hAnsi="Times New Roman" w:cs="Times New Roman"/>
          <w:sz w:val="20"/>
          <w:szCs w:val="20"/>
        </w:rPr>
        <w:t xml:space="preserve">, B.H., </w:t>
      </w:r>
      <w:proofErr w:type="spellStart"/>
      <w:r>
        <w:rPr>
          <w:rFonts w:ascii="Times New Roman" w:eastAsia="Times New Roman" w:hAnsi="Times New Roman" w:cs="Times New Roman"/>
          <w:sz w:val="20"/>
          <w:szCs w:val="20"/>
        </w:rPr>
        <w:t>Cappelørn</w:t>
      </w:r>
      <w:proofErr w:type="spellEnd"/>
      <w:r>
        <w:rPr>
          <w:rFonts w:ascii="Times New Roman" w:eastAsia="Times New Roman" w:hAnsi="Times New Roman" w:cs="Times New Roman"/>
          <w:sz w:val="20"/>
          <w:szCs w:val="20"/>
        </w:rPr>
        <w:t xml:space="preserve">, N.J., </w:t>
      </w:r>
      <w:proofErr w:type="spellStart"/>
      <w:r>
        <w:rPr>
          <w:rFonts w:ascii="Times New Roman" w:eastAsia="Times New Roman" w:hAnsi="Times New Roman" w:cs="Times New Roman"/>
          <w:sz w:val="20"/>
          <w:szCs w:val="20"/>
        </w:rPr>
        <w:t>Hannay</w:t>
      </w:r>
      <w:proofErr w:type="spellEnd"/>
      <w:r>
        <w:rPr>
          <w:rFonts w:ascii="Times New Roman" w:eastAsia="Times New Roman" w:hAnsi="Times New Roman" w:cs="Times New Roman"/>
          <w:sz w:val="20"/>
          <w:szCs w:val="20"/>
        </w:rPr>
        <w:t>, A., et al.</w:t>
      </w:r>
      <w:r>
        <w:rPr>
          <w:rFonts w:ascii="Times New Roman" w:eastAsia="Times New Roman" w:hAnsi="Times New Roman" w:cs="Times New Roman"/>
          <w:color w:val="545454"/>
          <w:sz w:val="20"/>
          <w:szCs w:val="20"/>
        </w:rPr>
        <w:t xml:space="preserve"> </w:t>
      </w:r>
      <w:r>
        <w:rPr>
          <w:rFonts w:ascii="Times New Roman" w:eastAsia="Times New Roman" w:hAnsi="Times New Roman" w:cs="Times New Roman"/>
          <w:sz w:val="20"/>
          <w:szCs w:val="20"/>
        </w:rPr>
        <w:t xml:space="preserve">Princeton e Oxford: Princeton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Press, 2007.</w:t>
      </w:r>
    </w:p>
    <w:p w:rsidR="00416987" w:rsidRDefault="00416987">
      <w:pPr>
        <w:spacing w:after="200"/>
        <w:jc w:val="both"/>
        <w:rPr>
          <w:rFonts w:ascii="Times New Roman" w:eastAsia="Times New Roman" w:hAnsi="Times New Roman" w:cs="Times New Roman"/>
          <w:sz w:val="20"/>
          <w:szCs w:val="20"/>
          <w:highlight w:val="red"/>
        </w:rPr>
      </w:pPr>
    </w:p>
    <w:p w:rsidR="00416987" w:rsidRDefault="00416987">
      <w:pPr>
        <w:spacing w:after="200"/>
        <w:jc w:val="both"/>
        <w:rPr>
          <w:rFonts w:ascii="Times New Roman" w:eastAsia="Times New Roman" w:hAnsi="Times New Roman" w:cs="Times New Roman"/>
          <w:sz w:val="20"/>
          <w:szCs w:val="20"/>
        </w:rPr>
      </w:pPr>
    </w:p>
    <w:sectPr w:rsidR="00416987">
      <w:headerReference w:type="default" r:id="rId6"/>
      <w:footerReference w:type="even" r:id="rId7"/>
      <w:footerReference w:type="default" r:id="rId8"/>
      <w:pgSz w:w="11906" w:h="16838"/>
      <w:pgMar w:top="1701" w:right="1138" w:bottom="113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F5C" w:rsidRDefault="00E82F5C">
      <w:r>
        <w:separator/>
      </w:r>
    </w:p>
  </w:endnote>
  <w:endnote w:type="continuationSeparator" w:id="0">
    <w:p w:rsidR="00E82F5C" w:rsidRDefault="00E8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987" w:rsidRDefault="00F90C57">
    <w:pPr>
      <w:tabs>
        <w:tab w:val="center" w:pos="4320"/>
        <w:tab w:val="right" w:pos="8640"/>
      </w:tabs>
      <w:jc w:val="center"/>
    </w:pPr>
    <w:r>
      <w:fldChar w:fldCharType="begin"/>
    </w:r>
    <w:r>
      <w:instrText>PAGE</w:instrText>
    </w:r>
    <w:r>
      <w:fldChar w:fldCharType="end"/>
    </w:r>
  </w:p>
  <w:p w:rsidR="00416987" w:rsidRDefault="00416987">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987" w:rsidRDefault="00F90C57">
    <w:pPr>
      <w:tabs>
        <w:tab w:val="center" w:pos="4320"/>
        <w:tab w:val="right" w:pos="864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FF59E6">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F5C" w:rsidRDefault="00E82F5C">
      <w:r>
        <w:separator/>
      </w:r>
    </w:p>
  </w:footnote>
  <w:footnote w:type="continuationSeparator" w:id="0">
    <w:p w:rsidR="00E82F5C" w:rsidRDefault="00E82F5C">
      <w:r>
        <w:continuationSeparator/>
      </w:r>
    </w:p>
  </w:footnote>
  <w:footnote w:id="1">
    <w:p w:rsidR="00416987" w:rsidRDefault="00F90C57">
      <w:pPr>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O presente trabalho não discute as diferentes interpretações </w:t>
      </w:r>
      <w:proofErr w:type="gramStart"/>
      <w:r>
        <w:rPr>
          <w:rFonts w:ascii="Times New Roman" w:eastAsia="Times New Roman" w:hAnsi="Times New Roman" w:cs="Times New Roman"/>
          <w:sz w:val="16"/>
          <w:szCs w:val="16"/>
        </w:rPr>
        <w:t xml:space="preserve">de </w:t>
      </w:r>
      <w:r w:rsidR="00B43140">
        <w:rPr>
          <w:rFonts w:ascii="Times New Roman" w:eastAsia="Times New Roman" w:hAnsi="Times New Roman" w:cs="Times New Roman"/>
          <w:i/>
          <w:sz w:val="16"/>
          <w:szCs w:val="16"/>
        </w:rPr>
        <w:t>T</w:t>
      </w:r>
      <w:r>
        <w:rPr>
          <w:rFonts w:ascii="Times New Roman" w:eastAsia="Times New Roman" w:hAnsi="Times New Roman" w:cs="Times New Roman"/>
          <w:i/>
          <w:sz w:val="16"/>
          <w:szCs w:val="16"/>
        </w:rPr>
        <w:t>ale</w:t>
      </w:r>
      <w:proofErr w:type="gramEnd"/>
      <w:r>
        <w:rPr>
          <w:rFonts w:ascii="Times New Roman" w:eastAsia="Times New Roman" w:hAnsi="Times New Roman" w:cs="Times New Roman"/>
          <w:i/>
          <w:sz w:val="16"/>
          <w:szCs w:val="16"/>
        </w:rPr>
        <w:t xml:space="preserve"> </w:t>
      </w:r>
      <w:r>
        <w:rPr>
          <w:rFonts w:ascii="Times New Roman" w:eastAsia="Times New Roman" w:hAnsi="Times New Roman" w:cs="Times New Roman"/>
          <w:sz w:val="16"/>
          <w:szCs w:val="16"/>
        </w:rPr>
        <w:t xml:space="preserve">como discurso e narrativa. Mas é importante notar que nós </w:t>
      </w:r>
      <w:r w:rsidR="00FF59E6">
        <w:rPr>
          <w:rFonts w:ascii="Times New Roman" w:eastAsia="Times New Roman" w:hAnsi="Times New Roman" w:cs="Times New Roman"/>
          <w:sz w:val="16"/>
          <w:szCs w:val="16"/>
        </w:rPr>
        <w:t xml:space="preserve">fazemos essa distinção entre esses </w:t>
      </w:r>
      <w:r>
        <w:rPr>
          <w:rFonts w:ascii="Times New Roman" w:eastAsia="Times New Roman" w:hAnsi="Times New Roman" w:cs="Times New Roman"/>
          <w:sz w:val="16"/>
          <w:szCs w:val="16"/>
        </w:rPr>
        <w:t>termos na interpretação contemporânea da filosofia da linguagem.</w:t>
      </w:r>
    </w:p>
  </w:footnote>
  <w:footnote w:id="2">
    <w:p w:rsidR="00416987" w:rsidRDefault="00F90C57">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Excluindo aquelas que de outro modo sejam indicadas, todas as traduções para o português são nossas.</w:t>
      </w:r>
      <w:r>
        <w:rPr>
          <w:rFonts w:ascii="Times New Roman" w:eastAsia="Times New Roman" w:hAnsi="Times New Roman" w:cs="Times New Roman"/>
          <w:sz w:val="20"/>
          <w:szCs w:val="20"/>
        </w:rPr>
        <w:t xml:space="preserve">  </w:t>
      </w:r>
    </w:p>
  </w:footnote>
  <w:footnote w:id="3">
    <w:p w:rsidR="00416987" w:rsidRDefault="00F90C57">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Essencialmente.</w:t>
      </w:r>
      <w:r>
        <w:rPr>
          <w:rFonts w:ascii="Times New Roman" w:eastAsia="Times New Roman" w:hAnsi="Times New Roman" w:cs="Times New Roman"/>
          <w:sz w:val="20"/>
          <w:szCs w:val="20"/>
        </w:rPr>
        <w:t xml:space="preserve"> </w:t>
      </w:r>
    </w:p>
  </w:footnote>
  <w:footnote w:id="4">
    <w:p w:rsidR="00416987" w:rsidRDefault="00F90C57">
      <w:pPr>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Cf</w:t>
      </w:r>
      <w:r>
        <w:rPr>
          <w:rFonts w:ascii="Times New Roman" w:eastAsia="Times New Roman" w:hAnsi="Times New Roman" w:cs="Times New Roman"/>
          <w:i/>
          <w:sz w:val="16"/>
          <w:szCs w:val="16"/>
        </w:rPr>
        <w:t xml:space="preserve">. </w:t>
      </w:r>
      <w:r>
        <w:rPr>
          <w:rFonts w:ascii="Times New Roman" w:eastAsia="Times New Roman" w:hAnsi="Times New Roman" w:cs="Times New Roman"/>
          <w:color w:val="181817"/>
          <w:sz w:val="16"/>
          <w:szCs w:val="16"/>
        </w:rPr>
        <w:t xml:space="preserve">Stewart, Jon. </w:t>
      </w:r>
      <w:r>
        <w:rPr>
          <w:rFonts w:ascii="Times New Roman" w:eastAsia="Times New Roman" w:hAnsi="Times New Roman" w:cs="Times New Roman"/>
          <w:i/>
          <w:color w:val="181817"/>
          <w:sz w:val="16"/>
          <w:szCs w:val="16"/>
        </w:rPr>
        <w:t>Kierkegaard's Relations to Hegel Reconsidered</w:t>
      </w:r>
      <w:r>
        <w:rPr>
          <w:rFonts w:ascii="Times New Roman" w:eastAsia="Times New Roman" w:hAnsi="Times New Roman" w:cs="Times New Roman"/>
          <w:color w:val="181817"/>
          <w:sz w:val="16"/>
          <w:szCs w:val="16"/>
        </w:rPr>
        <w:t>. Modern European Philosophy. Cambridge: Cambridge University Press,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987" w:rsidRDefault="004169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87"/>
    <w:rsid w:val="00042CC5"/>
    <w:rsid w:val="000E3004"/>
    <w:rsid w:val="00120B32"/>
    <w:rsid w:val="00144B74"/>
    <w:rsid w:val="00156EFF"/>
    <w:rsid w:val="00176732"/>
    <w:rsid w:val="001A0F58"/>
    <w:rsid w:val="001A343B"/>
    <w:rsid w:val="001B0348"/>
    <w:rsid w:val="001B4CEE"/>
    <w:rsid w:val="001D4BEB"/>
    <w:rsid w:val="001F54AD"/>
    <w:rsid w:val="002148AE"/>
    <w:rsid w:val="00221D16"/>
    <w:rsid w:val="00280A76"/>
    <w:rsid w:val="00323D94"/>
    <w:rsid w:val="00327A25"/>
    <w:rsid w:val="00337476"/>
    <w:rsid w:val="00337ACF"/>
    <w:rsid w:val="00341FC6"/>
    <w:rsid w:val="003527AE"/>
    <w:rsid w:val="00384BA4"/>
    <w:rsid w:val="003A3081"/>
    <w:rsid w:val="003C2047"/>
    <w:rsid w:val="00406484"/>
    <w:rsid w:val="00416987"/>
    <w:rsid w:val="00431008"/>
    <w:rsid w:val="0047483D"/>
    <w:rsid w:val="00477B3A"/>
    <w:rsid w:val="004A315D"/>
    <w:rsid w:val="00533D8D"/>
    <w:rsid w:val="0055455D"/>
    <w:rsid w:val="00602358"/>
    <w:rsid w:val="006133FE"/>
    <w:rsid w:val="00625A95"/>
    <w:rsid w:val="006324A7"/>
    <w:rsid w:val="0065397E"/>
    <w:rsid w:val="00682831"/>
    <w:rsid w:val="00682BAE"/>
    <w:rsid w:val="006A57A2"/>
    <w:rsid w:val="006A76FA"/>
    <w:rsid w:val="006B25BD"/>
    <w:rsid w:val="006C4DE4"/>
    <w:rsid w:val="006D69DA"/>
    <w:rsid w:val="006F0F06"/>
    <w:rsid w:val="00713963"/>
    <w:rsid w:val="00725BFC"/>
    <w:rsid w:val="00736641"/>
    <w:rsid w:val="00755FC9"/>
    <w:rsid w:val="007B0C37"/>
    <w:rsid w:val="007B54B3"/>
    <w:rsid w:val="008047C0"/>
    <w:rsid w:val="0081379F"/>
    <w:rsid w:val="00845A8C"/>
    <w:rsid w:val="00852167"/>
    <w:rsid w:val="00855225"/>
    <w:rsid w:val="00887077"/>
    <w:rsid w:val="00890F7B"/>
    <w:rsid w:val="008F6DD0"/>
    <w:rsid w:val="00915B55"/>
    <w:rsid w:val="009E5F42"/>
    <w:rsid w:val="00A00C59"/>
    <w:rsid w:val="00A41E55"/>
    <w:rsid w:val="00A56365"/>
    <w:rsid w:val="00A97591"/>
    <w:rsid w:val="00AA0111"/>
    <w:rsid w:val="00AD5263"/>
    <w:rsid w:val="00AE490E"/>
    <w:rsid w:val="00AF7999"/>
    <w:rsid w:val="00B15DC5"/>
    <w:rsid w:val="00B319DD"/>
    <w:rsid w:val="00B43140"/>
    <w:rsid w:val="00BA6613"/>
    <w:rsid w:val="00BA7BA0"/>
    <w:rsid w:val="00BC5DCE"/>
    <w:rsid w:val="00BD5F27"/>
    <w:rsid w:val="00C4777A"/>
    <w:rsid w:val="00C64396"/>
    <w:rsid w:val="00C96FAE"/>
    <w:rsid w:val="00CA2F86"/>
    <w:rsid w:val="00CE7DA9"/>
    <w:rsid w:val="00CF7760"/>
    <w:rsid w:val="00D11275"/>
    <w:rsid w:val="00D4128A"/>
    <w:rsid w:val="00D63177"/>
    <w:rsid w:val="00D715DF"/>
    <w:rsid w:val="00D852DE"/>
    <w:rsid w:val="00D96922"/>
    <w:rsid w:val="00DC601A"/>
    <w:rsid w:val="00DD21C9"/>
    <w:rsid w:val="00DE6C34"/>
    <w:rsid w:val="00E82F5C"/>
    <w:rsid w:val="00E96704"/>
    <w:rsid w:val="00F46EFB"/>
    <w:rsid w:val="00F90C57"/>
    <w:rsid w:val="00F9105D"/>
    <w:rsid w:val="00FC0A23"/>
    <w:rsid w:val="00FF5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D0C6"/>
  <w15:docId w15:val="{34F43C50-E871-404F-996F-09AC2A2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6518</Words>
  <Characters>35070</Characters>
  <Application>Microsoft Office Word</Application>
  <DocSecurity>0</DocSecurity>
  <Lines>443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Junia Paula Goncalves Silva</cp:lastModifiedBy>
  <cp:revision>6</cp:revision>
  <dcterms:created xsi:type="dcterms:W3CDTF">2018-08-03T16:33:00Z</dcterms:created>
  <dcterms:modified xsi:type="dcterms:W3CDTF">2018-08-03T16:35:00Z</dcterms:modified>
</cp:coreProperties>
</file>