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or omisión"/>
        <w:keepNext w:val="1"/>
        <w:keepLines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Style w:val="Ninguno"/>
          <w:rFonts w:ascii="Trebuchet MS" w:cs="Trebuchet MS" w:hAnsi="Trebuchet MS" w:eastAsia="Trebuchet MS"/>
          <w:b w:val="0"/>
          <w:bCs w:val="0"/>
          <w:color w:val="4f81bd"/>
          <w:sz w:val="24"/>
          <w:szCs w:val="24"/>
          <w:u w:color="4f81bd"/>
          <w:rtl w:val="0"/>
          <w:lang w:val="es-ES_tradnl"/>
        </w:rPr>
      </w:pPr>
      <w:r>
        <w:rPr>
          <w:rStyle w:val="Ninguno"/>
          <w:rFonts w:ascii="Trebuchet MS" w:hAnsi="Trebuchet MS"/>
          <w:b w:val="0"/>
          <w:bCs w:val="0"/>
          <w:color w:val="4f81bd"/>
          <w:sz w:val="24"/>
          <w:szCs w:val="24"/>
          <w:u w:color="4f81bd"/>
          <w:rtl w:val="0"/>
          <w:lang w:val="es-ES_tradnl"/>
        </w:rPr>
        <w:t xml:space="preserve">Tabla </w:t>
      </w:r>
      <w:r>
        <w:rPr>
          <w:rStyle w:val="Ninguno"/>
          <w:rFonts w:ascii="Trebuchet MS" w:hAnsi="Trebuchet MS"/>
          <w:b w:val="0"/>
          <w:bCs w:val="0"/>
          <w:color w:val="4f81bd"/>
          <w:sz w:val="24"/>
          <w:szCs w:val="24"/>
          <w:u w:color="4f81bd"/>
          <w:rtl w:val="0"/>
          <w:lang w:val="es-ES_tradnl"/>
        </w:rPr>
        <w:t>2</w:t>
      </w:r>
      <w:r>
        <w:rPr>
          <w:rStyle w:val="Ninguno"/>
          <w:rFonts w:ascii="Trebuchet MS" w:hAnsi="Trebuchet MS"/>
          <w:b w:val="0"/>
          <w:bCs w:val="0"/>
          <w:color w:val="4f81bd"/>
          <w:sz w:val="24"/>
          <w:szCs w:val="24"/>
          <w:u w:color="4f81bd"/>
          <w:rtl w:val="0"/>
          <w:lang w:val="es-ES_tradnl"/>
        </w:rPr>
        <w:t xml:space="preserve"> Datos sobre criminalidad en CABA 2012-2015</w:t>
      </w:r>
    </w:p>
    <w:tbl>
      <w:tblPr>
        <w:tblW w:w="9057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98"/>
        <w:gridCol w:w="1620"/>
        <w:gridCol w:w="1449"/>
        <w:gridCol w:w="829"/>
        <w:gridCol w:w="830"/>
        <w:gridCol w:w="1500"/>
        <w:gridCol w:w="831"/>
      </w:tblGrid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99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Fuente de datos</w:t>
            </w:r>
          </w:p>
        </w:tc>
        <w:tc>
          <w:tcPr>
            <w:tcW w:type="dxa" w:w="162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Variable</w:t>
            </w:r>
          </w:p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Detalle</w:t>
            </w:r>
          </w:p>
        </w:tc>
        <w:tc>
          <w:tcPr>
            <w:tcW w:type="dxa" w:w="3990"/>
            <w:gridSpan w:val="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A</w:t>
            </w:r>
            <w:r>
              <w:rPr>
                <w:rStyle w:val="Ninguno"/>
                <w:rFonts w:ascii="Trebuchet MS" w:hAnsi="Trebuchet MS" w:hint="default"/>
                <w:sz w:val="20"/>
                <w:szCs w:val="20"/>
                <w:u w:color="000000"/>
                <w:rtl w:val="0"/>
                <w:lang w:val="es-ES_tradnl"/>
              </w:rPr>
              <w:t>ñ</w:t>
            </w: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o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99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62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2012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2013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2014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2015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998"/>
            <w:vMerge w:val="restart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Ministerio P</w:t>
            </w:r>
            <w:r>
              <w:rPr>
                <w:rStyle w:val="Ninguno"/>
                <w:rFonts w:ascii="Trebuchet MS" w:hAnsi="Trebuchet MS" w:hint="default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ú</w:t>
            </w: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blico Fiscal de la CABA</w:t>
            </w:r>
          </w:p>
        </w:tc>
        <w:tc>
          <w:tcPr>
            <w:tcW w:type="dxa" w:w="162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Delitos total</w:t>
            </w:r>
          </w:p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19.738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21.356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24.342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24.074</w:t>
            </w:r>
          </w:p>
        </w:tc>
      </w:tr>
      <w:tr>
        <w:tblPrEx>
          <w:shd w:val="clear" w:color="auto" w:fill="ced7e7"/>
        </w:tblPrEx>
        <w:trPr>
          <w:trHeight w:val="48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Contravenciones Total</w:t>
            </w:r>
          </w:p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29.856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31.099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30.137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32.394</w:t>
            </w:r>
          </w:p>
        </w:tc>
      </w:tr>
      <w:tr>
        <w:tblPrEx>
          <w:shd w:val="clear" w:color="auto" w:fill="ced7e7"/>
        </w:tblPrEx>
        <w:trPr>
          <w:trHeight w:val="1020" w:hRule="atLeast"/>
        </w:trPr>
        <w:tc>
          <w:tcPr>
            <w:tcW w:type="dxa" w:w="1998"/>
            <w:vMerge w:val="restart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Sistema Nacional de Informaci</w:t>
            </w:r>
            <w:r>
              <w:rPr>
                <w:rStyle w:val="Ninguno"/>
                <w:rFonts w:ascii="Trebuchet MS" w:hAnsi="Trebuchet MS" w:hint="default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 xml:space="preserve">n Criminal (SNIC) </w:t>
            </w:r>
          </w:p>
        </w:tc>
        <w:tc>
          <w:tcPr>
            <w:tcW w:type="dxa" w:w="1620"/>
            <w:vMerge w:val="restart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Lesiones, Violaciones, Amenazas y Robos</w:t>
            </w:r>
          </w:p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Lesiones Dolosas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SD*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21.175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20.313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Violaciones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291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299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Amenazas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n-US"/>
              </w:rPr>
              <w:t>12.441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10.761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Robo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n-US"/>
              </w:rPr>
              <w:t>80.914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67.577</w:t>
            </w:r>
          </w:p>
        </w:tc>
      </w:tr>
      <w:tr>
        <w:tblPrEx>
          <w:shd w:val="clear" w:color="auto" w:fill="ced7e7"/>
        </w:tblPrEx>
        <w:trPr>
          <w:trHeight w:val="48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 xml:space="preserve">Tentativas de robo 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n-US"/>
              </w:rPr>
              <w:t>5.036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4511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Hurtos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n-US"/>
              </w:rPr>
              <w:t>48.317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42.410</w:t>
            </w:r>
          </w:p>
        </w:tc>
      </w:tr>
      <w:tr>
        <w:tblPrEx>
          <w:shd w:val="clear" w:color="auto" w:fill="ced7e7"/>
        </w:tblPrEx>
        <w:trPr>
          <w:trHeight w:val="700" w:hRule="atLeast"/>
        </w:trPr>
        <w:tc>
          <w:tcPr>
            <w:tcW w:type="dxa" w:w="1998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620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</w:tcPr>
          <w:p/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Otros delitos contra la propiedad</w:t>
            </w:r>
          </w:p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SD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n-US"/>
              </w:rPr>
              <w:t>7.246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6.222</w:t>
            </w:r>
          </w:p>
        </w:tc>
      </w:tr>
      <w:tr>
        <w:tblPrEx>
          <w:shd w:val="clear" w:color="auto" w:fill="ced7e7"/>
        </w:tblPrEx>
        <w:trPr>
          <w:trHeight w:val="1360" w:hRule="atLeast"/>
        </w:trPr>
        <w:tc>
          <w:tcPr>
            <w:tcW w:type="dxa" w:w="199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Corte Suprema; Instituto de Investigaciones del Poder Judicial de la Naci</w:t>
            </w:r>
            <w:r>
              <w:rPr>
                <w:rStyle w:val="Ninguno"/>
                <w:rFonts w:ascii="Trebuchet MS" w:hAnsi="Trebuchet MS" w:hint="default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n; SNIC</w:t>
            </w:r>
          </w:p>
        </w:tc>
        <w:tc>
          <w:tcPr>
            <w:tcW w:type="dxa" w:w="162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Homicidios</w:t>
            </w:r>
          </w:p>
        </w:tc>
        <w:tc>
          <w:tcPr>
            <w:tcW w:type="dxa" w:w="144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2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158</w:t>
            </w:r>
          </w:p>
        </w:tc>
        <w:tc>
          <w:tcPr>
            <w:tcW w:type="dxa" w:w="83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176</w:t>
            </w:r>
          </w:p>
        </w:tc>
        <w:tc>
          <w:tcPr>
            <w:tcW w:type="dxa" w:w="1500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bidi w:val="0"/>
              <w:ind w:left="0" w:right="0" w:firstLine="0"/>
              <w:jc w:val="both"/>
              <w:rPr>
                <w:rStyle w:val="Ninguno"/>
                <w:rFonts w:ascii="Trebuchet MS" w:cs="Trebuchet MS" w:hAnsi="Trebuchet MS" w:eastAsia="Trebuchet MS"/>
                <w:sz w:val="20"/>
                <w:szCs w:val="20"/>
                <w:u w:color="000000"/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198/200</w:t>
            </w:r>
          </w:p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</w:tabs>
              <w:jc w:val="both"/>
            </w:pPr>
            <w:r>
              <w:rPr>
                <w:rStyle w:val="Ninguno"/>
                <w:rFonts w:ascii="Trebuchet MS" w:hAnsi="Trebuchet MS"/>
                <w:i w:val="1"/>
                <w:iCs w:val="1"/>
                <w:sz w:val="20"/>
                <w:szCs w:val="20"/>
                <w:u w:color="000000"/>
                <w:rtl w:val="0"/>
                <w:lang w:val="es-ES_tradnl"/>
              </w:rPr>
              <w:t>Informaci</w:t>
            </w:r>
            <w:r>
              <w:rPr>
                <w:rStyle w:val="Ninguno"/>
                <w:rFonts w:ascii="Trebuchet MS" w:hAnsi="Trebuchet MS" w:hint="default"/>
                <w:i w:val="1"/>
                <w:iCs w:val="1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Trebuchet MS" w:hAnsi="Trebuchet MS"/>
                <w:i w:val="1"/>
                <w:iCs w:val="1"/>
                <w:sz w:val="20"/>
                <w:szCs w:val="20"/>
                <w:u w:color="000000"/>
                <w:rtl w:val="0"/>
                <w:lang w:val="es-ES_tradnl"/>
              </w:rPr>
              <w:t>n duplicada</w:t>
            </w:r>
          </w:p>
        </w:tc>
        <w:tc>
          <w:tcPr>
            <w:tcW w:type="dxa" w:w="83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</w:tabs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165</w:t>
            </w:r>
          </w:p>
        </w:tc>
      </w:tr>
      <w:tr>
        <w:tblPrEx>
          <w:shd w:val="clear" w:color="auto" w:fill="ced7e7"/>
        </w:tblPrEx>
        <w:trPr>
          <w:trHeight w:val="744" w:hRule="atLeast"/>
        </w:trPr>
        <w:tc>
          <w:tcPr>
            <w:tcW w:type="dxa" w:w="9057"/>
            <w:gridSpan w:val="7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bidi w:val="0"/>
              <w:ind w:left="0" w:right="0" w:firstLine="0"/>
              <w:jc w:val="both"/>
              <w:rPr>
                <w:rStyle w:val="Ninguno"/>
                <w:rFonts w:ascii="Trebuchet MS" w:cs="Trebuchet MS" w:hAnsi="Trebuchet MS" w:eastAsia="Trebuchet MS"/>
                <w:sz w:val="20"/>
                <w:szCs w:val="20"/>
                <w:u w:color="000000"/>
                <w:rtl w:val="0"/>
              </w:rPr>
            </w:pP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Nota: *SD (sin datos) informaci</w:t>
            </w:r>
            <w:r>
              <w:rPr>
                <w:rStyle w:val="Ninguno"/>
                <w:rFonts w:ascii="Trebuchet MS" w:hAnsi="Trebuchet MS" w:hint="default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 xml:space="preserve">n no disponible. </w:t>
            </w:r>
          </w:p>
          <w:p>
            <w:pPr>
              <w:pStyle w:val="Por omisión"/>
              <w:keepNext w:val="1"/>
              <w:keepLines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jc w:val="both"/>
            </w:pPr>
            <w:r>
              <w:rPr>
                <w:rStyle w:val="Ninguno"/>
                <w:rFonts w:ascii="Trebuchet MS" w:hAnsi="Trebuchet MS"/>
                <w:b w:val="1"/>
                <w:bCs w:val="1"/>
                <w:sz w:val="20"/>
                <w:szCs w:val="20"/>
                <w:u w:color="000000"/>
                <w:rtl w:val="0"/>
                <w:lang w:val="es-ES_tradnl"/>
              </w:rPr>
              <w:t>Fuente</w:t>
            </w: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: Ministerio P</w:t>
            </w:r>
            <w:r>
              <w:rPr>
                <w:rStyle w:val="Ninguno"/>
                <w:rFonts w:ascii="Trebuchet MS" w:hAnsi="Trebuchet MS" w:hint="default"/>
                <w:sz w:val="20"/>
                <w:szCs w:val="20"/>
                <w:u w:color="000000"/>
                <w:rtl w:val="0"/>
                <w:lang w:val="es-ES_tradnl"/>
              </w:rPr>
              <w:t>ú</w:t>
            </w: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blico Fiscal CABA, Corte Suprema, Ministerio de Seguridad de la Naci</w:t>
            </w:r>
            <w:r>
              <w:rPr>
                <w:rStyle w:val="Ninguno"/>
                <w:rFonts w:ascii="Trebuchet MS" w:hAnsi="Trebuchet MS" w:hint="default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n (SNIC), Instituto de Investigaciones del Poder Judicial de la Naci</w:t>
            </w:r>
            <w:r>
              <w:rPr>
                <w:rStyle w:val="Ninguno"/>
                <w:rFonts w:ascii="Trebuchet MS" w:hAnsi="Trebuchet MS" w:hint="default"/>
                <w:sz w:val="20"/>
                <w:szCs w:val="20"/>
                <w:u w:color="000000"/>
                <w:rtl w:val="0"/>
                <w:lang w:val="es-ES_tradnl"/>
              </w:rPr>
              <w:t>ó</w:t>
            </w:r>
            <w:r>
              <w:rPr>
                <w:rStyle w:val="Ninguno"/>
                <w:rFonts w:ascii="Trebuchet MS" w:hAnsi="Trebuchet MS"/>
                <w:sz w:val="20"/>
                <w:szCs w:val="20"/>
                <w:u w:color="000000"/>
                <w:rtl w:val="0"/>
                <w:lang w:val="es-ES_tradnl"/>
              </w:rPr>
              <w:t>n.</w:t>
            </w:r>
          </w:p>
        </w:tc>
      </w:tr>
    </w:tbl>
    <w:p>
      <w:pPr>
        <w:pStyle w:val="Por omisión"/>
        <w:keepNext w:val="1"/>
        <w:keepLines w:val="1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108" w:right="0" w:hanging="108"/>
        <w:jc w:val="left"/>
        <w:rPr>
          <w:rStyle w:val="Ninguno"/>
          <w:rFonts w:ascii="Trebuchet MS" w:cs="Trebuchet MS" w:hAnsi="Trebuchet MS" w:eastAsia="Trebuchet MS"/>
          <w:b w:val="0"/>
          <w:bCs w:val="0"/>
          <w:color w:val="4f81bd"/>
          <w:sz w:val="24"/>
          <w:szCs w:val="24"/>
          <w:u w:color="4f81bd"/>
          <w:rtl w:val="0"/>
          <w:lang w:val="es-ES_tradnl"/>
        </w:rPr>
      </w:pPr>
    </w:p>
    <w:p>
      <w:pPr>
        <w:pStyle w:val="Por omisión"/>
        <w:keepNext w:val="1"/>
        <w:keepLines w:val="1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Style w:val="Ninguno"/>
          <w:rFonts w:ascii="Trebuchet MS" w:cs="Trebuchet MS" w:hAnsi="Trebuchet MS" w:eastAsia="Trebuchet MS"/>
          <w:color w:val="4f81bd"/>
          <w:sz w:val="24"/>
          <w:szCs w:val="24"/>
          <w:u w:color="4f81bd"/>
          <w:rtl w:val="0"/>
          <w:lang w:val="es-ES_tradnl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bidi w:val="0"/>
        <w:spacing w:before="0" w:after="0" w:line="240" w:lineRule="auto"/>
        <w:ind w:left="0" w:right="0" w:firstLine="0"/>
        <w:jc w:val="both"/>
        <w:outlineLvl w:val="9"/>
        <w:rPr>
          <w:rtl w:val="0"/>
        </w:rPr>
      </w:pPr>
      <w: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4"/>
          <w:szCs w:val="24"/>
          <w:u w:val="none" w:color="000000"/>
          <w:vertAlign w:val="baseline"/>
          <w:rtl w:val="0"/>
          <w:lang w:val="es-ES_tradnl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s-ES_tradnl"/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