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08BC" w14:textId="77777777" w:rsidR="003D0C27" w:rsidRPr="00425D58" w:rsidRDefault="003D0C27" w:rsidP="003D0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C7">
        <w:rPr>
          <w:rFonts w:ascii="Times New Roman" w:hAnsi="Times New Roman" w:cs="Times New Roman"/>
          <w:b/>
          <w:bCs/>
          <w:sz w:val="24"/>
          <w:szCs w:val="24"/>
        </w:rPr>
        <w:t>TÍTULO: DAVID GARLAND E A SEGURANÇA PÚBLICA BRASILEIRA</w:t>
      </w:r>
      <w:r w:rsidRPr="006B02C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D0B0750" w14:textId="77777777" w:rsidR="003D0C27" w:rsidRPr="00355D63" w:rsidRDefault="003D0C27" w:rsidP="003D0C27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5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RESUMO </w:t>
      </w:r>
    </w:p>
    <w:p w14:paraId="6B245AEE" w14:textId="77777777" w:rsidR="003D0C27" w:rsidRDefault="003D0C27" w:rsidP="003D0C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11753">
        <w:rPr>
          <w:rFonts w:ascii="Times New Roman" w:eastAsia="Calibri" w:hAnsi="Times New Roman" w:cs="Times New Roman"/>
          <w:sz w:val="24"/>
          <w:szCs w:val="24"/>
        </w:rPr>
        <w:t xml:space="preserve"> artigo propõe uma reflexão crítica </w:t>
      </w:r>
      <w:r>
        <w:rPr>
          <w:rFonts w:ascii="Times New Roman" w:eastAsia="Calibri" w:hAnsi="Times New Roman" w:cs="Times New Roman"/>
          <w:sz w:val="24"/>
          <w:szCs w:val="24"/>
        </w:rPr>
        <w:t>sobre a</w:t>
      </w:r>
      <w:r w:rsidRPr="00F11753">
        <w:rPr>
          <w:rFonts w:ascii="Times New Roman" w:eastAsia="Calibri" w:hAnsi="Times New Roman" w:cs="Times New Roman"/>
          <w:sz w:val="24"/>
          <w:szCs w:val="24"/>
        </w:rPr>
        <w:t xml:space="preserve"> contribuição de David Garland</w:t>
      </w:r>
      <w:r w:rsidRPr="00EE0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à compreensão do campo de controle do crime, indagando a respeito da aplicabilidade de suas premissas e conceitos em países como o</w:t>
      </w:r>
      <w:r w:rsidRPr="00F11753">
        <w:rPr>
          <w:rFonts w:ascii="Times New Roman" w:eastAsia="Calibri" w:hAnsi="Times New Roman" w:cs="Times New Roman"/>
          <w:sz w:val="24"/>
          <w:szCs w:val="24"/>
        </w:rPr>
        <w:t xml:space="preserve"> Brasil.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tanto, foram examinadas as principais obras e sintetizadas as ideias centrais do sociólogo britânico, além de serem demarcadas as críticas a ele dirigidas. Em seguimento, com base na análise de estudos brasileiros, da legislação e de políticas públicas federais, ao lado da compilação de dados secundários, percorreu-se a trajetória e as peculiaridades do subsistema de segurança pública brasileiro (SSPB), desde a década de 1990 até a atualidade.  </w:t>
      </w:r>
    </w:p>
    <w:p w14:paraId="6CC1589D" w14:textId="156AB793" w:rsidR="003D0C27" w:rsidRDefault="003D0C27" w:rsidP="003D0C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Entre os resultados, constatou-se que existem semelhanças e diferenças do contexto brasileiro em relação às tendências apontadas por Garland (2008), pois, conjuntamente com o aumento da repressão, do rigor punitivo, do aprisionamento, da sensação de insegurança e da politização da segurança pública, o Brasil caracteriza-se pelos orçamentos reduzidos, por certa resistência da população em desidratar as políticas sociais, pela existência de obstáculos legais à ampliação do encarceramento e pelo maior controle do acesso às armas de fogo (em comparação com os Estados Unidos), mesmo que o Estatuto do Desarmamento (BRASIL, 2003b) tenha sido flexibilizado durante o governo Bolsonaro. Percebeu-se, ainda, que no SSPB existe uma mescla entre ideias e práticas repressivas/punitivas e preventivas/garantistas, sejam elas antigas ou novas. </w:t>
      </w:r>
    </w:p>
    <w:p w14:paraId="50717E7D" w14:textId="77777777" w:rsidR="003D0C27" w:rsidRPr="00355D63" w:rsidRDefault="003D0C27" w:rsidP="003D0C2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5D63">
        <w:rPr>
          <w:rFonts w:ascii="Times New Roman" w:eastAsia="Calibri" w:hAnsi="Times New Roman" w:cs="Times New Roman"/>
          <w:b/>
          <w:bCs/>
          <w:sz w:val="24"/>
          <w:szCs w:val="24"/>
        </w:rPr>
        <w:t>Palavras-chave</w:t>
      </w:r>
      <w:r w:rsidRPr="00355D63">
        <w:rPr>
          <w:rFonts w:ascii="Times New Roman" w:eastAsia="Calibri" w:hAnsi="Times New Roman" w:cs="Times New Roman"/>
          <w:sz w:val="24"/>
          <w:szCs w:val="24"/>
        </w:rPr>
        <w:t xml:space="preserve">: Campo </w:t>
      </w:r>
      <w:r>
        <w:rPr>
          <w:rFonts w:ascii="Times New Roman" w:eastAsia="Calibri" w:hAnsi="Times New Roman" w:cs="Times New Roman"/>
          <w:sz w:val="24"/>
          <w:szCs w:val="24"/>
        </w:rPr>
        <w:t>de</w:t>
      </w:r>
      <w:r w:rsidRPr="00355D63">
        <w:rPr>
          <w:rFonts w:ascii="Times New Roman" w:eastAsia="Calibri" w:hAnsi="Times New Roman" w:cs="Times New Roman"/>
          <w:sz w:val="24"/>
          <w:szCs w:val="24"/>
        </w:rPr>
        <w:t xml:space="preserve"> controle do crime. Segurança pública. Garland. Brasil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E5A34" w14:textId="77777777" w:rsidR="003D0C27" w:rsidRPr="006538B3" w:rsidRDefault="003D0C27" w:rsidP="003D0C27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8B3">
        <w:rPr>
          <w:rFonts w:ascii="Times New Roman" w:hAnsi="Times New Roman" w:cs="Times New Roman"/>
          <w:b/>
          <w:bCs/>
          <w:sz w:val="24"/>
          <w:szCs w:val="24"/>
        </w:rPr>
        <w:t xml:space="preserve">TITLE: DAVID GARLAND AND </w:t>
      </w:r>
      <w:r>
        <w:rPr>
          <w:rFonts w:ascii="Times New Roman" w:hAnsi="Times New Roman" w:cs="Times New Roman"/>
          <w:b/>
          <w:bCs/>
          <w:sz w:val="24"/>
          <w:szCs w:val="24"/>
        </w:rPr>
        <w:t>THE BRAZILIAN</w:t>
      </w:r>
      <w:r w:rsidRPr="006538B3">
        <w:rPr>
          <w:rFonts w:ascii="Times New Roman" w:hAnsi="Times New Roman" w:cs="Times New Roman"/>
          <w:b/>
          <w:bCs/>
          <w:sz w:val="24"/>
          <w:szCs w:val="24"/>
        </w:rPr>
        <w:t xml:space="preserve"> PUBLIC SAFETY</w:t>
      </w:r>
    </w:p>
    <w:p w14:paraId="1AA739BC" w14:textId="77777777" w:rsidR="003D0C27" w:rsidRPr="001F1EB1" w:rsidRDefault="003D0C27" w:rsidP="003D0C27">
      <w:pPr>
        <w:pStyle w:val="Pr-formataoHTML"/>
        <w:shd w:val="clear" w:color="auto" w:fill="F8F9F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article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proposes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critical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reflection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David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Garland's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contribution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understanding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field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crime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asking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applicability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its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premises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concepts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in countries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as Brazil.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this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works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examined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central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ideas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British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sociologist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summarized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demarcated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criticisms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directed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him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5EA7A8" w14:textId="77777777" w:rsidR="003D0C27" w:rsidRPr="00DA5EDA" w:rsidRDefault="003D0C27" w:rsidP="003D0C27">
      <w:pPr>
        <w:pStyle w:val="Pr-formataoHTM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Following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based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analysis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Brazilian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legislation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federal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policies,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along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compilation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data,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trajectory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peculiarities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Brazilian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subsystem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(SSPB)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demarcated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since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1990s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52A102" w14:textId="446066FA" w:rsidR="003D0C27" w:rsidRPr="00DA5EDA" w:rsidRDefault="003D0C27" w:rsidP="003D0C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Among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it was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found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similarities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differences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Brazilian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context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relation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trends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pointed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out by Garland (2008),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because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together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increase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repression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punitive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rigor,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imprisonment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feeling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insecurity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politicization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Brazil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characterized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reduced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budgets, by a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certain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resistance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population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dehydrate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social policies, by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existence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obstacles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expansion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incarceration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greater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firearms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United States) 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even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though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Disarmament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Statute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(BRASIL, 2003b) was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relaxed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Bolsonaro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DA5EDA">
        <w:rPr>
          <w:rFonts w:ascii="Times New Roman" w:eastAsia="Calibri" w:hAnsi="Times New Roman" w:cs="Times New Roman"/>
          <w:sz w:val="24"/>
          <w:szCs w:val="24"/>
        </w:rPr>
        <w:t>overnment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. It was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noticed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that in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SSPB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a mix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repressive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punitive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preventive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guaranteeing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ideas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practices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whether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old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ED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DA5EDA">
        <w:rPr>
          <w:rFonts w:ascii="Times New Roman" w:eastAsia="Calibri" w:hAnsi="Times New Roman" w:cs="Times New Roman"/>
          <w:sz w:val="24"/>
          <w:szCs w:val="24"/>
        </w:rPr>
        <w:t xml:space="preserve"> new.</w:t>
      </w:r>
    </w:p>
    <w:p w14:paraId="5AF7C6C8" w14:textId="77777777" w:rsidR="003D0C27" w:rsidRPr="001F1EB1" w:rsidRDefault="003D0C27" w:rsidP="003D0C2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EB1">
        <w:rPr>
          <w:rFonts w:ascii="Times New Roman" w:eastAsia="Calibri" w:hAnsi="Times New Roman" w:cs="Times New Roman"/>
          <w:b/>
          <w:bCs/>
          <w:sz w:val="24"/>
          <w:szCs w:val="24"/>
        </w:rPr>
        <w:t>Keywords</w:t>
      </w:r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: Crime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field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EB1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Pr="001F1EB1">
        <w:rPr>
          <w:rFonts w:ascii="Times New Roman" w:eastAsia="Calibri" w:hAnsi="Times New Roman" w:cs="Times New Roman"/>
          <w:sz w:val="24"/>
          <w:szCs w:val="24"/>
        </w:rPr>
        <w:t>. Garland. Brazil.</w:t>
      </w:r>
    </w:p>
    <w:p w14:paraId="66BBE88D" w14:textId="77777777" w:rsidR="003D0C27" w:rsidRDefault="003D0C27" w:rsidP="009C215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3DAEAD" w14:textId="77777777" w:rsidR="003D0C27" w:rsidRDefault="003D0C27" w:rsidP="009C215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411CCC" w14:textId="77777777" w:rsidR="003D0C27" w:rsidRDefault="003D0C27" w:rsidP="009C215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C17F9" w14:textId="5962C58A" w:rsidR="008C730A" w:rsidRPr="00DF1E59" w:rsidRDefault="005229B8" w:rsidP="009C2159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 </w:t>
      </w:r>
      <w:r w:rsidR="005F3973" w:rsidRPr="00DF1E59">
        <w:rPr>
          <w:rFonts w:ascii="Times New Roman" w:eastAsia="Calibri" w:hAnsi="Times New Roman" w:cs="Times New Roman"/>
          <w:b/>
          <w:bCs/>
          <w:sz w:val="24"/>
          <w:szCs w:val="24"/>
        </w:rPr>
        <w:t>INTRODUÇÃO</w:t>
      </w:r>
    </w:p>
    <w:p w14:paraId="0C1311FF" w14:textId="0DC6BA80" w:rsidR="001C5966" w:rsidRPr="001C5966" w:rsidRDefault="0095062B" w:rsidP="001C5966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0" w:name="_Hlk105359281"/>
      <w:r w:rsidRPr="001C5966">
        <w:rPr>
          <w:rFonts w:ascii="Times New Roman" w:eastAsia="Times New Roman" w:hAnsi="Times New Roman" w:cs="Times New Roman"/>
          <w:sz w:val="24"/>
          <w:szCs w:val="24"/>
        </w:rPr>
        <w:t>David Garland (2008), n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>o livro “A cultura do controle</w:t>
      </w:r>
      <w:r w:rsidRPr="001C5966">
        <w:rPr>
          <w:rFonts w:ascii="Times New Roman" w:eastAsia="Times New Roman" w:hAnsi="Times New Roman" w:cs="Times New Roman"/>
          <w:sz w:val="24"/>
          <w:szCs w:val="24"/>
        </w:rPr>
        <w:t>: crime e ordem social na sociedade contemporânea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C59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5966" w:rsidRPr="001C5966">
        <w:rPr>
          <w:rFonts w:ascii="Times New Roman" w:eastAsia="Times New Roman" w:hAnsi="Times New Roman" w:cs="Times New Roman"/>
          <w:sz w:val="24"/>
          <w:szCs w:val="24"/>
        </w:rPr>
        <w:t xml:space="preserve">versão original de 2001 </w:t>
      </w:r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“The Culture </w:t>
      </w:r>
      <w:proofErr w:type="spellStart"/>
      <w:r w:rsidRPr="001C596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966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: Crime </w:t>
      </w:r>
      <w:proofErr w:type="spellStart"/>
      <w:r w:rsidRPr="001C596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1C5966"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C5966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 Society</w:t>
      </w:r>
      <w:r w:rsidR="00C5742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C596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 xml:space="preserve">analisa as mudanças no campo </w:t>
      </w:r>
      <w:r w:rsidR="00F616C7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 xml:space="preserve"> controle</w:t>
      </w:r>
      <w:r w:rsidR="001C5966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 xml:space="preserve"> do crime</w:t>
      </w:r>
      <w:r w:rsidR="003E7B46" w:rsidRP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AB5" w:rsidRPr="001C5966">
        <w:rPr>
          <w:rFonts w:ascii="Times New Roman" w:eastAsia="Times New Roman" w:hAnsi="Times New Roman" w:cs="Times New Roman"/>
          <w:sz w:val="24"/>
          <w:szCs w:val="24"/>
        </w:rPr>
        <w:t>instauradas</w:t>
      </w:r>
      <w:r w:rsidR="003E7B46" w:rsidRP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>nas décadas de 1970 e 1980 nos Estados Unidos</w:t>
      </w:r>
      <w:r w:rsidR="00FE492D" w:rsidRP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 w:rsidRPr="001C5966">
        <w:rPr>
          <w:rFonts w:ascii="Times New Roman" w:eastAsia="Times New Roman" w:hAnsi="Times New Roman" w:cs="Times New Roman"/>
          <w:sz w:val="24"/>
          <w:szCs w:val="24"/>
        </w:rPr>
        <w:t>e na Grã-Bretanha</w:t>
      </w:r>
      <w:r w:rsidR="001C59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 Ele </w:t>
      </w:r>
      <w:bookmarkStart w:id="1" w:name="_Hlk105359392"/>
      <w:bookmarkEnd w:id="0"/>
      <w:r w:rsidR="001C5966" w:rsidRPr="001C5966">
        <w:rPr>
          <w:rFonts w:ascii="Times New Roman" w:eastAsia="Times New Roman" w:hAnsi="Times New Roman" w:cs="Times New Roman"/>
          <w:sz w:val="24"/>
          <w:szCs w:val="24"/>
        </w:rPr>
        <w:t xml:space="preserve">propõe </w:t>
      </w:r>
      <w:r w:rsidR="001C5966">
        <w:rPr>
          <w:rFonts w:ascii="Times New Roman" w:eastAsia="Times New Roman" w:hAnsi="Times New Roman" w:cs="Times New Roman"/>
          <w:sz w:val="24"/>
          <w:szCs w:val="24"/>
        </w:rPr>
        <w:t>uma abordagem</w:t>
      </w:r>
      <w:r w:rsidR="001C5966" w:rsidRPr="001C5966">
        <w:rPr>
          <w:rFonts w:ascii="Times New Roman" w:eastAsia="Times New Roman" w:hAnsi="Times New Roman" w:cs="Times New Roman"/>
          <w:sz w:val="24"/>
          <w:szCs w:val="24"/>
        </w:rPr>
        <w:t xml:space="preserve"> ao mesmo tempo estrutural (as características gerais de um certo modo de organização social) e conjuntural (as escolhas e contingências que marcaram as respostas e adapta</w:t>
      </w:r>
      <w:r w:rsidR="001C5966">
        <w:rPr>
          <w:rFonts w:ascii="Times New Roman" w:eastAsia="Times New Roman" w:hAnsi="Times New Roman" w:cs="Times New Roman"/>
          <w:sz w:val="24"/>
          <w:szCs w:val="24"/>
        </w:rPr>
        <w:t>ções</w:t>
      </w:r>
      <w:r w:rsidR="001C5966" w:rsidRP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>de</w:t>
      </w:r>
      <w:r w:rsidR="001C5966" w:rsidRPr="001C5966">
        <w:rPr>
          <w:rFonts w:ascii="Times New Roman" w:eastAsia="Times New Roman" w:hAnsi="Times New Roman" w:cs="Times New Roman"/>
          <w:sz w:val="24"/>
          <w:szCs w:val="24"/>
        </w:rPr>
        <w:t xml:space="preserve"> grupos sociais particulares)</w:t>
      </w:r>
      <w:r w:rsidR="001C5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966" w:rsidRPr="001C59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(GARLAND, 2008, p. 425). </w:t>
      </w:r>
      <w:bookmarkStart w:id="2" w:name="_Hlk105359999"/>
    </w:p>
    <w:p w14:paraId="480B4D44" w14:textId="5E10CFC9" w:rsidR="008C730A" w:rsidRDefault="003E7B46" w:rsidP="001C59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autor, o estudo desse camp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normas, dinâmicas,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agências, atores</w:t>
      </w:r>
      <w:r w:rsidR="00F752BE">
        <w:rPr>
          <w:rFonts w:ascii="Times New Roman" w:eastAsia="Times New Roman" w:hAnsi="Times New Roman" w:cs="Times New Roman"/>
          <w:sz w:val="24"/>
          <w:szCs w:val="24"/>
        </w:rPr>
        <w:t>, discursos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e estratégias políticas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>esclarece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problemas mais gerais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>os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relacionados com a governabilidade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as sociedades</w:t>
      </w:r>
      <w:r w:rsidR="00DF0C05">
        <w:rPr>
          <w:rFonts w:ascii="Times New Roman" w:eastAsia="Times New Roman" w:hAnsi="Times New Roman" w:cs="Times New Roman"/>
          <w:sz w:val="24"/>
          <w:szCs w:val="24"/>
        </w:rPr>
        <w:t xml:space="preserve"> contemporâneas</w:t>
      </w:r>
      <w:bookmarkEnd w:id="2"/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635C">
        <w:rPr>
          <w:rFonts w:ascii="Times New Roman" w:eastAsia="Times New Roman" w:hAnsi="Times New Roman" w:cs="Times New Roman"/>
          <w:sz w:val="24"/>
          <w:szCs w:val="24"/>
        </w:rPr>
        <w:t>Para mais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>, a punição e a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políticas penais produzem 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efeitos econômicos, políticos, culturais e simbólicos que ultrapassam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a vigilância, 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o controle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AC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confinamento de </w:t>
      </w:r>
      <w:r w:rsidR="00993ACE">
        <w:rPr>
          <w:rFonts w:ascii="Times New Roman" w:eastAsia="Times New Roman" w:hAnsi="Times New Roman" w:cs="Times New Roman"/>
          <w:sz w:val="24"/>
          <w:szCs w:val="24"/>
        </w:rPr>
        <w:t>determinados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 indivíduos</w:t>
      </w:r>
      <w:r w:rsidR="00993ACE">
        <w:rPr>
          <w:rFonts w:ascii="Times New Roman" w:eastAsia="Times New Roman" w:hAnsi="Times New Roman" w:cs="Times New Roman"/>
          <w:sz w:val="24"/>
          <w:szCs w:val="24"/>
        </w:rPr>
        <w:t xml:space="preserve"> (CALDAS; KANASHIRO, 2008)</w:t>
      </w:r>
      <w:r w:rsidR="00523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"/>
    <w:p w14:paraId="749FFB72" w14:textId="5ADB7FFA" w:rsidR="008C730A" w:rsidRDefault="00C63C31" w:rsidP="008C73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as sociedades 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alta criminalidade o crime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>torn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-se banal, </w:t>
      </w:r>
      <w:r w:rsidR="008C730A" w:rsidRPr="00B06C66">
        <w:rPr>
          <w:rFonts w:ascii="Times New Roman" w:eastAsia="Times New Roman" w:hAnsi="Times New Roman" w:cs="Times New Roman"/>
          <w:sz w:val="24"/>
          <w:szCs w:val="24"/>
        </w:rPr>
        <w:t xml:space="preserve">a justiça criminal 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>mostr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FB23AD" w:rsidRPr="00B06C66">
        <w:rPr>
          <w:rFonts w:ascii="Times New Roman" w:eastAsia="Times New Roman" w:hAnsi="Times New Roman" w:cs="Times New Roman"/>
          <w:sz w:val="24"/>
          <w:szCs w:val="24"/>
        </w:rPr>
        <w:t>incapaz de prover</w:t>
      </w:r>
      <w:r w:rsidR="00DD2D47" w:rsidRPr="00B06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 w:rsidRPr="00B06C66">
        <w:rPr>
          <w:rFonts w:ascii="Times New Roman" w:eastAsia="Times New Roman" w:hAnsi="Times New Roman" w:cs="Times New Roman"/>
          <w:sz w:val="24"/>
          <w:szCs w:val="24"/>
        </w:rPr>
        <w:t>segurança (</w:t>
      </w:r>
      <w:r w:rsidR="009A4AC4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="00DD2D47" w:rsidRPr="00B06C66">
        <w:rPr>
          <w:rFonts w:ascii="Times New Roman" w:eastAsia="Times New Roman" w:hAnsi="Times New Roman" w:cs="Times New Roman"/>
          <w:sz w:val="24"/>
          <w:szCs w:val="24"/>
        </w:rPr>
        <w:t>persistem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>elevadas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taxas de 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 xml:space="preserve">crimes e de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reincidência,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instituições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ineficientes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D47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8C730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403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há um descrédito </w:t>
      </w:r>
      <w:r w:rsidR="0073403B">
        <w:rPr>
          <w:rFonts w:ascii="Times New Roman" w:eastAsia="Times New Roman" w:hAnsi="Times New Roman" w:cs="Times New Roman"/>
          <w:sz w:val="24"/>
          <w:szCs w:val="24"/>
        </w:rPr>
        <w:t>geral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em torno das soluções penais 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>anteriores</w:t>
      </w:r>
      <w:r w:rsidR="00734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23AD">
        <w:rPr>
          <w:rFonts w:ascii="Times New Roman" w:eastAsia="Times New Roman" w:hAnsi="Times New Roman" w:cs="Times New Roman"/>
          <w:sz w:val="24"/>
          <w:szCs w:val="24"/>
        </w:rPr>
        <w:t xml:space="preserve">no sentido de que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“nada funciona”)</w:t>
      </w:r>
      <w:r w:rsidR="00AD69D9">
        <w:rPr>
          <w:rFonts w:ascii="Times New Roman" w:eastAsia="Times New Roman" w:hAnsi="Times New Roman" w:cs="Times New Roman"/>
          <w:sz w:val="24"/>
          <w:szCs w:val="24"/>
        </w:rPr>
        <w:t>. As estratégias reunidas no paradigma do “</w:t>
      </w:r>
      <w:proofErr w:type="spellStart"/>
      <w:r w:rsidR="008C730A">
        <w:rPr>
          <w:rFonts w:ascii="Times New Roman" w:eastAsia="Times New Roman" w:hAnsi="Times New Roman" w:cs="Times New Roman"/>
          <w:sz w:val="24"/>
          <w:szCs w:val="24"/>
        </w:rPr>
        <w:t>previdenciarismo</w:t>
      </w:r>
      <w:proofErr w:type="spellEnd"/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penal” (</w:t>
      </w:r>
      <w:r w:rsidR="00AD69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69D9">
        <w:rPr>
          <w:rFonts w:ascii="Times New Roman" w:eastAsia="Times New Roman" w:hAnsi="Times New Roman" w:cs="Times New Roman"/>
          <w:sz w:val="24"/>
          <w:szCs w:val="24"/>
        </w:rPr>
        <w:t>mbém chamado por Garland de “</w:t>
      </w:r>
      <w:proofErr w:type="spellStart"/>
      <w:r w:rsidR="008C730A">
        <w:rPr>
          <w:rFonts w:ascii="Times New Roman" w:eastAsia="Times New Roman" w:hAnsi="Times New Roman" w:cs="Times New Roman"/>
          <w:sz w:val="24"/>
          <w:szCs w:val="24"/>
        </w:rPr>
        <w:t>welfarismo</w:t>
      </w:r>
      <w:proofErr w:type="spellEnd"/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  <w:r w:rsidR="00AD69D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AD69D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8C730A">
        <w:rPr>
          <w:rFonts w:ascii="Times New Roman" w:eastAsia="Times New Roman" w:hAnsi="Times New Roman" w:cs="Times New Roman"/>
          <w:sz w:val="24"/>
          <w:szCs w:val="24"/>
        </w:rPr>
        <w:t>correcionalismo</w:t>
      </w:r>
      <w:proofErr w:type="spellEnd"/>
      <w:r w:rsidR="00AD69D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06C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predomin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>aram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durante os três </w:t>
      </w:r>
      <w:r w:rsidR="00905D64">
        <w:rPr>
          <w:rFonts w:ascii="Times New Roman" w:eastAsia="Times New Roman" w:hAnsi="Times New Roman" w:cs="Times New Roman"/>
          <w:sz w:val="24"/>
          <w:szCs w:val="24"/>
        </w:rPr>
        <w:t xml:space="preserve">primeiros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quartos do século XX </w:t>
      </w:r>
      <w:bookmarkStart w:id="3" w:name="_Hlk105360180"/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e se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baseava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>premissa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de que o crime </w:t>
      </w:r>
      <w:r w:rsidR="00F70213">
        <w:rPr>
          <w:rFonts w:ascii="Times New Roman" w:eastAsia="Times New Roman" w:hAnsi="Times New Roman" w:cs="Times New Roman"/>
          <w:sz w:val="24"/>
          <w:szCs w:val="24"/>
        </w:rPr>
        <w:t xml:space="preserve">advém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de processos causais amplos, a partir dos quais é possível compreender o criminoso para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973">
        <w:rPr>
          <w:rFonts w:ascii="Times New Roman" w:eastAsia="Times New Roman" w:hAnsi="Times New Roman" w:cs="Times New Roman"/>
          <w:sz w:val="24"/>
          <w:szCs w:val="24"/>
        </w:rPr>
        <w:t>posteriormente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puni-lo, se </w:t>
      </w:r>
      <w:r w:rsidR="00CE0A9C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for o caso. Havia uma crença liberal na capacidade de reabilitação e</w:t>
      </w:r>
      <w:r w:rsidR="0043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A9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reinserção social do 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preso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, sob a chancela do Estado de Bem-</w:t>
      </w:r>
      <w:r w:rsidR="00DD2D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star Social. </w:t>
      </w:r>
      <w:bookmarkEnd w:id="3"/>
      <w:r w:rsidR="008C730A">
        <w:rPr>
          <w:rFonts w:ascii="Times New Roman" w:eastAsia="Times New Roman" w:hAnsi="Times New Roman" w:cs="Times New Roman"/>
          <w:sz w:val="24"/>
          <w:szCs w:val="24"/>
        </w:rPr>
        <w:t>Nas palavras de Garland (2008,</w:t>
      </w:r>
      <w:r w:rsidR="00D91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p. 421-422):</w:t>
      </w:r>
    </w:p>
    <w:p w14:paraId="387E4B23" w14:textId="0000A99C" w:rsidR="008C730A" w:rsidRDefault="008C730A" w:rsidP="001003EC">
      <w:pPr>
        <w:spacing w:before="240" w:after="240" w:line="240" w:lineRule="auto"/>
        <w:ind w:left="2268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Nas décadas intermediárias do século passado, o sistema penal fazia parte de um projeto solidarista mais amplo. Sua resposta programática ao crime era parte da resposta programática do Estado de bem-estar à pobreza e à privação. A justiça criminal era informada pelas políticas da socialdemocracia e seus ideais eram os ideais integradores da sociedade inclusiva do Estado de bem-estar. E se as práticas não alcançassem aquele desiderato, como normalmente não alcançavam mesmo, ao menos elas podiam ser criticadas com base naqueles ideais</w:t>
      </w:r>
      <w:r w:rsidR="00EC2F28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reformadas de maneira que suprissem a lacuna. Hoje em dia, as instituições do Estado de bem-estar ainda desempenham um papel assistencial na vida econômica e social, assim como as instituições penais-previdenciárias ainda sustentam a justiça criminal. Mas aquele projeto solidário não mais domina a retórica política ou a lógica do processo decisório. </w:t>
      </w:r>
      <w:r w:rsidR="00DD2D47">
        <w:rPr>
          <w:rFonts w:ascii="Times New Roman" w:eastAsia="Times New Roman" w:hAnsi="Times New Roman" w:cs="Times New Roman"/>
          <w:sz w:val="20"/>
          <w:szCs w:val="20"/>
        </w:rPr>
        <w:t xml:space="preserve">[...]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o bem-estar penal canalizava o otimismo e o idealismo do modernismo do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século XX, as políticas criminais atuais expressam uma mensagem mais sinistra e menos tolerante. </w:t>
      </w:r>
    </w:p>
    <w:p w14:paraId="0BE828DD" w14:textId="5F44BD5C" w:rsidR="00446ECA" w:rsidRDefault="00182723" w:rsidP="00446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53593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E549BD"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</w:t>
      </w:r>
      <w:r w:rsidR="001570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94727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>último</w:t>
      </w:r>
      <w:r w:rsidR="0094727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27A">
        <w:rPr>
          <w:rFonts w:ascii="Times New Roman" w:eastAsia="Times New Roman" w:hAnsi="Times New Roman" w:cs="Times New Roman"/>
          <w:color w:val="000000"/>
          <w:sz w:val="24"/>
          <w:szCs w:val="24"/>
        </w:rPr>
        <w:t>vinte e cinco anos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século passado</w:t>
      </w:r>
      <w:r w:rsidR="001570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início de </w:t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mudanças </w:t>
      </w:r>
      <w:r w:rsid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significativas 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campo 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controle do crime e da justiça criminal</w:t>
      </w:r>
      <w:r w:rsid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66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doravante </w:t>
      </w:r>
      <w:r w:rsid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>CCCJC)</w:t>
      </w:r>
      <w:r w:rsidR="00663B0F">
        <w:rPr>
          <w:rFonts w:ascii="Times New Roman" w:eastAsia="Times New Roman" w:hAnsi="Times New Roman" w:cs="Times New Roman"/>
          <w:color w:val="000000"/>
          <w:sz w:val="24"/>
          <w:szCs w:val="24"/>
        </w:rPr>
        <w:t>, tais como</w:t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>: desvalorização das ideias de reabilitação; surgimento de medidas abertamente retributivas</w:t>
      </w:r>
      <w:r w:rsidR="008C730A">
        <w:rPr>
          <w:rFonts w:ascii="Consolas" w:eastAsia="Consolas" w:hAnsi="Consolas" w:cs="Consolas"/>
          <w:color w:val="000000"/>
          <w:sz w:val="20"/>
          <w:szCs w:val="20"/>
          <w:vertAlign w:val="superscript"/>
        </w:rPr>
        <w:footnoteReference w:id="3"/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elevação do tom emocional nos discursos de política criminal; politização da política penal e novo populismo; maior </w:t>
      </w:r>
      <w:r w:rsidR="00A87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atenção e </w:t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>peso político às vítimas; urgência conferida à proteção da população e à gestão dos riscos; reinvenção da prisão como pena exemplar; criação de uma nova infraestrutura de prevenção do crime e de segurança comunitária</w:t>
      </w:r>
      <w:r w:rsidR="008C730A" w:rsidRP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6C66" w:rsidRP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de a</w:t>
      </w:r>
      <w:r w:rsidR="008C730A" w:rsidRP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ssociações público-privadas e </w:t>
      </w:r>
      <w:r w:rsidR="0084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06C66" w:rsidRP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>órgãos governamentais</w:t>
      </w:r>
      <w:r w:rsidR="008C730A" w:rsidRPr="008021C9">
        <w:rPr>
          <w:rFonts w:ascii="Times New Roman" w:eastAsia="Times New Roman" w:hAnsi="Times New Roman" w:cs="Times New Roman"/>
          <w:color w:val="000000"/>
          <w:sz w:val="24"/>
          <w:szCs w:val="24"/>
        </w:rPr>
        <w:t>; co</w:t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mercialização do controle do crime; transformação do pensamento criminológico, que teria se afastado das “criminologias socialdemocratas” (GARLAND,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0145BC">
        <w:rPr>
          <w:rFonts w:ascii="Times New Roman" w:eastAsia="Times New Roman" w:hAnsi="Times New Roman" w:cs="Times New Roman"/>
          <w:sz w:val="24"/>
          <w:szCs w:val="24"/>
        </w:rPr>
        <w:t>, p. 390</w:t>
      </w:r>
      <w:r w:rsidR="008C73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C730A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="00E9717D" w:rsidRPr="00E971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71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46ECA">
        <w:rPr>
          <w:rFonts w:ascii="Times New Roman" w:eastAsia="Times New Roman" w:hAnsi="Times New Roman" w:cs="Times New Roman"/>
          <w:sz w:val="24"/>
          <w:szCs w:val="24"/>
        </w:rPr>
        <w:t>Em paralelo, frente ao crescimento da criminalidade, ao descrédito das soluções penais liberais e à ineficácia estatal em prover segurança, Garland (2008) descreve o surgimento, no final do século XX, de dois conjuntos antagônicos de resposta:</w:t>
      </w:r>
    </w:p>
    <w:p w14:paraId="64746B11" w14:textId="77777777" w:rsidR="00446ECA" w:rsidRPr="00AB6437" w:rsidRDefault="00446ECA" w:rsidP="00446ECA">
      <w:pPr>
        <w:pStyle w:val="PargrafodaLista"/>
        <w:numPr>
          <w:ilvl w:val="0"/>
          <w:numId w:val="7"/>
        </w:num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adaptação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Medidas de parceria público-privada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visando o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controle situacional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delito (crimes, contravenções e incivilidades)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>aumento da segurança, por meio de organizações, comunidades, empresas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dos movimentos de vítimas 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>e cidadãos (grupos de vigilância nos bairros, policiamento comunitário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aquisição de dispositivos de segurança, surgimento nos anos 70 e 80 de uma indústria da segurança privada e crescente adoção de precauções por parte dos cidadãos e suas famílias</w:t>
      </w:r>
      <w:r w:rsidRPr="00AB64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13C61A3" w14:textId="77777777" w:rsidR="00446ECA" w:rsidRDefault="00446ECA" w:rsidP="00446ECA">
      <w:pPr>
        <w:pStyle w:val="PargrafodaLista"/>
        <w:numPr>
          <w:ilvl w:val="0"/>
          <w:numId w:val="7"/>
        </w:numPr>
        <w:tabs>
          <w:tab w:val="num" w:pos="1440"/>
        </w:tabs>
        <w:spacing w:after="0" w:line="360" w:lineRule="auto"/>
        <w:ind w:left="567" w:hanging="567"/>
        <w:jc w:val="both"/>
      </w:pP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não adaptação, negação e atuação simbólica do “Estado soberano” – Medidas estatais de repressão, segregação punitiva e neutralização prisional,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contam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apelo popular frente ao sentimento coletivo de real ou potencial vitimização.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ações vigorosas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>expressivas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>“mais vingativas do que racionais, mais simbólicas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materiais” (GARLAND,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 401). Exemplos: guerra contra as drogas,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tipificação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novos crimes, </w:t>
      </w:r>
      <w:proofErr w:type="spellStart"/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>hiperencarceramento</w:t>
      </w:r>
      <w:proofErr w:type="spellEnd"/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</w:rPr>
        <w:t>, penas mais severas.</w:t>
      </w:r>
    </w:p>
    <w:p w14:paraId="647A8AB8" w14:textId="77777777" w:rsidR="00446ECA" w:rsidRPr="0055362F" w:rsidRDefault="00446ECA" w:rsidP="00446ECA">
      <w:pPr>
        <w:pStyle w:val="PargrafodaLista"/>
        <w:tabs>
          <w:tab w:val="num" w:pos="144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62F">
        <w:rPr>
          <w:rFonts w:ascii="Times New Roman" w:eastAsia="Times New Roman" w:hAnsi="Times New Roman" w:cs="Times New Roman"/>
          <w:color w:val="000000"/>
          <w:sz w:val="24"/>
          <w:szCs w:val="24"/>
        </w:rPr>
        <w:t>Na esteira desse processo, percebe-se um compartilhamento de responsabilidades entre Estado e sociedade, pois: “No complexo e diversificado mundo da pós-modernidade, o governo efetivo e legítimo deve devolver poderes e compartilhar a tarefa de controle social com organizações locais e comunidades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(GARLAND, 2008, p. 430). </w:t>
      </w:r>
    </w:p>
    <w:p w14:paraId="4C28B33F" w14:textId="64A22C30" w:rsidR="00446ECA" w:rsidRDefault="00446ECA" w:rsidP="00446ECA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Outro elemento central desse enquadramento é a existência de 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 cultural – o “complexo do crime” -, que articula padrões de rotina </w:t>
      </w:r>
      <w:r w:rsidR="008373CA"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sensibilidades (GARLAND, 2008). Nessa nova conformação social, o apoio público e o respaldo midiático fornecem um suporte concreto às novas práticas – sobretudo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punitivistas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-, fazendo com que elas não sejam meras ficções ou manipulações orquestradas pelo Estado (YOUNG, 2020). As leis e as políticas penais devem, portanto, “traduzir o sentimento do público.” (GARLAND, 1999, p. 61).</w:t>
      </w:r>
    </w:p>
    <w:p w14:paraId="50716222" w14:textId="77777777" w:rsidR="00446ECA" w:rsidRDefault="00446ECA" w:rsidP="00446ECA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sociólogo destaca que, para além da mera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punitividade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novas leis e políticas penais seguiram direções contraditórias, ambivalentes e polarizadas. (GARLAND, 1999; 2008, 2020b). As respostas aos problemas do crime e da insegurança produziram “resultados que às vezes eram preventivos, às vezes punitivos, mas sempre mais extensos e mais intensos do que antes.” (GARLAND, 2020b, p. 397). </w:t>
      </w:r>
    </w:p>
    <w:p w14:paraId="28CEA1EC" w14:textId="77777777" w:rsidR="00446ECA" w:rsidRPr="00700A9C" w:rsidRDefault="00446ECA" w:rsidP="00446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536030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um </w:t>
      </w:r>
      <w:r w:rsidRPr="00F00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elementos novos e antigos passou a caracterizar o arranjo de estruturas e estratégias no âmbito do CCCJC, onde se percebe “o antigo contexto operacional revisado e redirecionado pelo novo, os novos elementos </w:t>
      </w:r>
      <w:r w:rsidRPr="0061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modificados pela influência contínua de práticas profissionais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A5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modos de pensamento próprios do período anterior.” (GARLAND, 2008, p. 72). Citam-se, à guisa de exemplo, </w:t>
      </w:r>
      <w:r w:rsidRPr="00A54EE9">
        <w:rPr>
          <w:rFonts w:ascii="Times New Roman" w:eastAsia="Times New Roman" w:hAnsi="Times New Roman" w:cs="Times New Roman"/>
          <w:sz w:val="24"/>
          <w:szCs w:val="24"/>
        </w:rPr>
        <w:t xml:space="preserve">as combinações entre estratégias estatais e não estatais (privadas ou comunitárias),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ações </w:t>
      </w:r>
      <w:r w:rsidRPr="00A54EE9">
        <w:rPr>
          <w:rFonts w:ascii="Times New Roman" w:eastAsia="Times New Roman" w:hAnsi="Times New Roman" w:cs="Times New Roman"/>
          <w:sz w:val="24"/>
          <w:szCs w:val="24"/>
        </w:rPr>
        <w:t xml:space="preserve">repressivas/punitivas e situacionais/preventivas;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conexão entre </w:t>
      </w:r>
      <w:r w:rsidRPr="00A54EE9">
        <w:rPr>
          <w:rFonts w:ascii="Times New Roman" w:eastAsia="Times New Roman" w:hAnsi="Times New Roman" w:cs="Times New Roman"/>
          <w:sz w:val="24"/>
          <w:szCs w:val="24"/>
        </w:rPr>
        <w:t xml:space="preserve">política criminal e política social, etc. </w:t>
      </w:r>
    </w:p>
    <w:bookmarkEnd w:id="5"/>
    <w:p w14:paraId="7BAA72D5" w14:textId="68A8FD60" w:rsidR="008D174E" w:rsidRPr="00F001B7" w:rsidRDefault="008373CA" w:rsidP="008D17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Tomando por base a proposta analítica de David Garland, introduzida acima, e aproveitando as</w:t>
      </w:r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recomendações de </w:t>
      </w:r>
      <w:proofErr w:type="spellStart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Sozzo</w:t>
      </w:r>
      <w:proofErr w:type="spellEnd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(2020a; c) e de </w:t>
      </w:r>
      <w:proofErr w:type="spellStart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Salla</w:t>
      </w:r>
      <w:proofErr w:type="spellEnd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Gauto</w:t>
      </w:r>
      <w:proofErr w:type="spellEnd"/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Alvarez (2006) </w:t>
      </w:r>
      <w:r w:rsidR="009071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as </w:t>
      </w:r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possibilidades de </w:t>
      </w:r>
      <w:r w:rsidR="009071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utilização</w:t>
      </w:r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obra do sociólogo britânico para elucidar as características </w:t>
      </w:r>
      <w:r w:rsidR="008D17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contemporâneas do campo de controle do crime no Sul Global e no Brasil, este artigo busca responder à </w:t>
      </w:r>
      <w:r w:rsidR="008D174E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questão: O conjunto de ideias e tendências </w:t>
      </w:r>
      <w:r w:rsidR="009071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apontadas</w:t>
      </w:r>
      <w:r w:rsidR="008D174E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Garland (2008) aplicar-se-ia ao Brasil? </w:t>
      </w:r>
    </w:p>
    <w:p w14:paraId="128F8042" w14:textId="36DC659A" w:rsidR="008373CA" w:rsidRPr="006E3A06" w:rsidRDefault="008D174E" w:rsidP="00907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="009C22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tanto</w:t>
      </w:r>
      <w:r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xaminaremos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mais adiante,</w:t>
      </w:r>
      <w:r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trajetória do subsistema de segurança pública brasileiro, destacando os principais marcos institucionais e mudanças, para depois, a partir da análise de estudos brasileiros, leis e políticas públicas, argumentarmos a favor da aplicabilidade do esquema analítico de Garland ao Brasil, embora com diferenças importantes e peculiaridades com relação aos casos britânico e estado-unidense. </w:t>
      </w:r>
      <w:r w:rsidR="006E3A06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disso</w:t>
      </w:r>
      <w:r w:rsidR="006E3A06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próxima seção aprofunda 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proposta de Garland, </w:t>
      </w:r>
      <w:r w:rsidR="006E3A06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destaque para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ideias subjacentes às novas políticas de controle do crime, </w:t>
      </w:r>
      <w:r w:rsidR="006E3A06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trazendo, também, 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principais </w:t>
      </w:r>
      <w:r w:rsidR="0090711C" w:rsidRPr="006E3A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críticas dirigidas ao autor, bem como alguns de seus contra-argumentos. </w:t>
      </w:r>
    </w:p>
    <w:p w14:paraId="507593FC" w14:textId="760CBA63" w:rsidR="008373CA" w:rsidRPr="0090711C" w:rsidRDefault="0090711C" w:rsidP="00CA4A8E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– AS IDEIAS SUBJACENTES ÀS NOVAS POLÍTICAS DE CONTROLE DO CRIME E AS CRÍTICAS DIRIGIDAS À </w:t>
      </w:r>
      <w:r w:rsidR="009C22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DAVID </w:t>
      </w:r>
      <w:r w:rsidRPr="006E3A06">
        <w:rPr>
          <w:rFonts w:ascii="Times New Roman" w:eastAsia="Calibri" w:hAnsi="Times New Roman" w:cs="Times New Roman"/>
          <w:b/>
          <w:bCs/>
          <w:sz w:val="24"/>
          <w:szCs w:val="24"/>
        </w:rPr>
        <w:t>GARLAND</w:t>
      </w:r>
    </w:p>
    <w:p w14:paraId="7C568B77" w14:textId="6CFD40D4" w:rsidR="00CA4A8E" w:rsidRDefault="001277D1" w:rsidP="001A3C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5360371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uais seriam as ideias</w:t>
      </w:r>
      <w:r w:rsidR="00BB67AE">
        <w:rPr>
          <w:rFonts w:ascii="Times New Roman" w:eastAsia="Times New Roman" w:hAnsi="Times New Roman" w:cs="Times New Roman"/>
          <w:sz w:val="24"/>
          <w:szCs w:val="24"/>
        </w:rPr>
        <w:t xml:space="preserve"> e crenças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AC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sustentam 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novas políticas penais e de controle do crime</w:t>
      </w:r>
      <w:r w:rsidR="00AD1D90">
        <w:rPr>
          <w:rFonts w:ascii="Times New Roman" w:eastAsia="Times New Roman" w:hAnsi="Times New Roman" w:cs="Times New Roman"/>
          <w:sz w:val="24"/>
          <w:szCs w:val="24"/>
        </w:rPr>
        <w:t>, contribuindo c</w:t>
      </w:r>
      <w:r w:rsidR="004661A4">
        <w:rPr>
          <w:rFonts w:ascii="Times New Roman" w:eastAsia="Times New Roman" w:hAnsi="Times New Roman" w:cs="Times New Roman"/>
          <w:sz w:val="24"/>
          <w:szCs w:val="24"/>
        </w:rPr>
        <w:t>om a reprodução de</w:t>
      </w:r>
      <w:r w:rsidR="00B61DE5">
        <w:rPr>
          <w:rFonts w:ascii="Times New Roman" w:eastAsia="Times New Roman" w:hAnsi="Times New Roman" w:cs="Times New Roman"/>
          <w:sz w:val="24"/>
          <w:szCs w:val="24"/>
        </w:rPr>
        <w:t xml:space="preserve"> novos hábitos, rotinas e percepções coletivas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? Garland (2008) </w:t>
      </w:r>
      <w:r w:rsidR="004661A4"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as “novas criminologias”</w:t>
      </w:r>
      <w:r w:rsidR="008F6A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agrupadas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em duas correntes argumentativas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>a da vida cotidiana e a da lei e da ordem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6"/>
      <w:r w:rsidR="008F3AD2">
        <w:rPr>
          <w:rFonts w:ascii="Times New Roman" w:eastAsia="Times New Roman" w:hAnsi="Times New Roman" w:cs="Times New Roman"/>
          <w:sz w:val="24"/>
          <w:szCs w:val="24"/>
        </w:rPr>
        <w:t>Ambas</w:t>
      </w:r>
      <w:r w:rsidR="001368E2">
        <w:rPr>
          <w:rFonts w:ascii="Times New Roman" w:eastAsia="Times New Roman" w:hAnsi="Times New Roman" w:cs="Times New Roman"/>
          <w:sz w:val="24"/>
          <w:szCs w:val="24"/>
        </w:rPr>
        <w:t xml:space="preserve"> as vertentes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criticam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a leniência das leis penais e a </w:t>
      </w:r>
      <w:r w:rsidR="00565AE9">
        <w:rPr>
          <w:rFonts w:ascii="Times New Roman" w:eastAsia="Times New Roman" w:hAnsi="Times New Roman" w:cs="Times New Roman"/>
          <w:sz w:val="24"/>
          <w:szCs w:val="24"/>
        </w:rPr>
        <w:t xml:space="preserve">suposta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ineficácia do </w:t>
      </w:r>
      <w:proofErr w:type="spellStart"/>
      <w:r w:rsidR="008C730A">
        <w:rPr>
          <w:rFonts w:ascii="Times New Roman" w:eastAsia="Times New Roman" w:hAnsi="Times New Roman" w:cs="Times New Roman"/>
          <w:sz w:val="24"/>
          <w:szCs w:val="24"/>
        </w:rPr>
        <w:t>previdenciarismo</w:t>
      </w:r>
      <w:proofErr w:type="spellEnd"/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5AE9">
        <w:rPr>
          <w:rFonts w:ascii="Times New Roman" w:eastAsia="Times New Roman" w:hAnsi="Times New Roman" w:cs="Times New Roman"/>
          <w:sz w:val="24"/>
          <w:szCs w:val="24"/>
        </w:rPr>
        <w:t>defendendo</w:t>
      </w:r>
      <w:r w:rsidR="001C141C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maior controle sobre </w:t>
      </w:r>
      <w:r w:rsidR="003826F3">
        <w:rPr>
          <w:rFonts w:ascii="Times New Roman" w:eastAsia="Times New Roman" w:hAnsi="Times New Roman" w:cs="Times New Roman"/>
          <w:sz w:val="24"/>
          <w:szCs w:val="24"/>
        </w:rPr>
        <w:t>os desvios à ordem social</w:t>
      </w:r>
      <w:r w:rsidR="008C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Ao mesmo tempo, 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 teorias</w:t>
      </w:r>
      <w:r w:rsidR="00070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C87">
        <w:rPr>
          <w:rFonts w:ascii="Times New Roman" w:eastAsia="Times New Roman" w:hAnsi="Times New Roman" w:cs="Times New Roman"/>
          <w:sz w:val="24"/>
          <w:szCs w:val="24"/>
        </w:rPr>
        <w:t>que integram as duas</w:t>
      </w:r>
      <w:r w:rsidR="001368E2">
        <w:rPr>
          <w:rFonts w:ascii="Times New Roman" w:eastAsia="Times New Roman" w:hAnsi="Times New Roman" w:cs="Times New Roman"/>
          <w:sz w:val="24"/>
          <w:szCs w:val="24"/>
        </w:rPr>
        <w:t xml:space="preserve"> correntes possuem especificidades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por exemplo, quanto às percepções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 sobre o crime</w:t>
      </w:r>
      <w:r w:rsidR="00AD1D9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91CE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criminoso e </w:t>
      </w:r>
      <w:r w:rsidR="00B048BA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 xml:space="preserve"> preferências </w:t>
      </w:r>
      <w:r w:rsidR="00AD1D90">
        <w:rPr>
          <w:rFonts w:ascii="Times New Roman" w:eastAsia="Times New Roman" w:hAnsi="Times New Roman" w:cs="Times New Roman"/>
          <w:sz w:val="24"/>
          <w:szCs w:val="24"/>
        </w:rPr>
        <w:t>em termos de</w:t>
      </w:r>
      <w:r w:rsidR="008F6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respostas penais. 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>Nes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>e sentido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 xml:space="preserve">enquanto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a criminologia da vida cotidiana propõe ações </w:t>
      </w:r>
      <w:r w:rsidR="00BB67AE">
        <w:rPr>
          <w:rFonts w:ascii="Times New Roman" w:eastAsia="Times New Roman" w:hAnsi="Times New Roman" w:cs="Times New Roman"/>
          <w:sz w:val="24"/>
          <w:szCs w:val="24"/>
        </w:rPr>
        <w:t>de controle situacional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 que extravasam o Estado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a criminologia da lei e da ordem </w:t>
      </w:r>
      <w:r w:rsidR="004E74C4">
        <w:rPr>
          <w:rFonts w:ascii="Times New Roman" w:eastAsia="Times New Roman" w:hAnsi="Times New Roman" w:cs="Times New Roman"/>
          <w:sz w:val="24"/>
          <w:szCs w:val="24"/>
        </w:rPr>
        <w:t>enfatiza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 o fortalecimento do poder </w:t>
      </w:r>
      <w:r w:rsidR="003826F3">
        <w:rPr>
          <w:rFonts w:ascii="Times New Roman" w:eastAsia="Times New Roman" w:hAnsi="Times New Roman" w:cs="Times New Roman"/>
          <w:sz w:val="24"/>
          <w:szCs w:val="24"/>
        </w:rPr>
        <w:t xml:space="preserve">repressivo </w:t>
      </w:r>
      <w:r w:rsidR="008F3AD2">
        <w:rPr>
          <w:rFonts w:ascii="Times New Roman" w:eastAsia="Times New Roman" w:hAnsi="Times New Roman" w:cs="Times New Roman"/>
          <w:sz w:val="24"/>
          <w:szCs w:val="24"/>
        </w:rPr>
        <w:t xml:space="preserve">estatal. 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>O Quadro 1 sintetiza os</w:t>
      </w:r>
      <w:r w:rsidR="001A3CD8">
        <w:rPr>
          <w:rFonts w:ascii="Times New Roman" w:eastAsia="Times New Roman" w:hAnsi="Times New Roman" w:cs="Times New Roman"/>
          <w:sz w:val="24"/>
          <w:szCs w:val="24"/>
        </w:rPr>
        <w:t xml:space="preserve"> fundamentos </w:t>
      </w:r>
      <w:r w:rsidR="00AD1D90">
        <w:rPr>
          <w:rFonts w:ascii="Times New Roman" w:eastAsia="Times New Roman" w:hAnsi="Times New Roman" w:cs="Times New Roman"/>
          <w:sz w:val="24"/>
          <w:szCs w:val="24"/>
        </w:rPr>
        <w:t>das duas abordagens</w:t>
      </w:r>
      <w:r w:rsidR="00D56D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026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AD1D90">
        <w:rPr>
          <w:rFonts w:ascii="Times New Roman" w:eastAsia="Times New Roman" w:hAnsi="Times New Roman" w:cs="Times New Roman"/>
          <w:sz w:val="24"/>
          <w:szCs w:val="24"/>
        </w:rPr>
        <w:t xml:space="preserve"> se afastam </w:t>
      </w:r>
      <w:r w:rsidR="000705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>o</w:t>
      </w:r>
      <w:r w:rsidR="001A3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3CD8">
        <w:rPr>
          <w:rFonts w:ascii="Times New Roman" w:eastAsia="Times New Roman" w:hAnsi="Times New Roman" w:cs="Times New Roman"/>
          <w:sz w:val="24"/>
          <w:szCs w:val="24"/>
        </w:rPr>
        <w:t>previdenciarismo</w:t>
      </w:r>
      <w:proofErr w:type="spellEnd"/>
      <w:r w:rsidR="001A3CD8"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  <w:r w:rsidR="003826F3">
        <w:rPr>
          <w:rFonts w:ascii="Times New Roman" w:eastAsia="Times New Roman" w:hAnsi="Times New Roman" w:cs="Times New Roman"/>
          <w:sz w:val="24"/>
          <w:szCs w:val="24"/>
        </w:rPr>
        <w:t xml:space="preserve"> anteriormente </w:t>
      </w:r>
      <w:r w:rsidR="002A5FB4">
        <w:rPr>
          <w:rFonts w:ascii="Times New Roman" w:eastAsia="Times New Roman" w:hAnsi="Times New Roman" w:cs="Times New Roman"/>
          <w:sz w:val="24"/>
          <w:szCs w:val="24"/>
        </w:rPr>
        <w:t>descrito</w:t>
      </w:r>
      <w:r w:rsidR="003F6B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87E5E4" w14:textId="77777777" w:rsidR="00CA4A8E" w:rsidRDefault="00CA4A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3840"/>
        <w:gridCol w:w="3841"/>
      </w:tblGrid>
      <w:tr w:rsidR="008C730A" w:rsidRPr="004A1097" w14:paraId="5EDA3CD8" w14:textId="77777777" w:rsidTr="00F001B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AE0C" w14:textId="148376F7" w:rsidR="008C730A" w:rsidRPr="004A1097" w:rsidRDefault="00B113BC" w:rsidP="00AA5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Elementos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9EEC8" w14:textId="77777777" w:rsidR="008C730A" w:rsidRPr="004A1097" w:rsidRDefault="008C730A" w:rsidP="00AA5E81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Criminologia do “Eu” ou da vida cotidiana</w:t>
            </w:r>
          </w:p>
          <w:p w14:paraId="2D8A4221" w14:textId="4A97245D" w:rsidR="008C730A" w:rsidRPr="004A1097" w:rsidRDefault="00CB0D28" w:rsidP="00AA5E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Enfoque p</w:t>
            </w:r>
            <w:r w:rsidR="008C730A"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ós-modern</w:t>
            </w: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ACCE" w14:textId="77777777" w:rsidR="008C730A" w:rsidRPr="004A1097" w:rsidRDefault="008C730A" w:rsidP="00AA5E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Criminologia da “lei e da ordem” ou “do outro”</w:t>
            </w:r>
          </w:p>
          <w:p w14:paraId="234D12E2" w14:textId="1423AAF6" w:rsidR="008C730A" w:rsidRPr="004A1097" w:rsidRDefault="00CB0D28" w:rsidP="00AA5E8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Enfoque p</w:t>
            </w:r>
            <w:r w:rsidR="008C730A"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ré-modern</w:t>
            </w: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o ou conservador</w:t>
            </w:r>
          </w:p>
        </w:tc>
      </w:tr>
      <w:tr w:rsidR="008C730A" w:rsidRPr="004A1097" w14:paraId="2BC2A15F" w14:textId="77777777" w:rsidTr="00F001B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1504" w14:textId="377831AF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1 - </w:t>
            </w:r>
            <w:r w:rsidR="00024FDE"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Teorias </w:t>
            </w: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principais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DC1B" w14:textId="77777777" w:rsidR="00063496" w:rsidRPr="00174F0B" w:rsidRDefault="008C730A" w:rsidP="00AA5E81">
            <w:pPr>
              <w:widowControl w:val="0"/>
              <w:tabs>
                <w:tab w:val="left" w:pos="189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63496" w:rsidRPr="00174F0B">
              <w:rPr>
                <w:rFonts w:ascii="Times New Roman" w:hAnsi="Times New Roman" w:cs="Times New Roman"/>
                <w:sz w:val="18"/>
                <w:szCs w:val="18"/>
              </w:rPr>
              <w:t>Escolha racional</w:t>
            </w:r>
          </w:p>
          <w:p w14:paraId="3B48F996" w14:textId="41F50FF1" w:rsidR="00063496" w:rsidRPr="00174F0B" w:rsidRDefault="00063496" w:rsidP="00AA5E81">
            <w:pPr>
              <w:widowControl w:val="0"/>
              <w:tabs>
                <w:tab w:val="left" w:pos="189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- A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tividades rotineiras</w:t>
            </w:r>
          </w:p>
          <w:p w14:paraId="0125057E" w14:textId="052722D9" w:rsidR="00063496" w:rsidRPr="00174F0B" w:rsidRDefault="00063496" w:rsidP="00AA5E81">
            <w:pPr>
              <w:widowControl w:val="0"/>
              <w:tabs>
                <w:tab w:val="left" w:pos="189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- O crime como oportunidade</w:t>
            </w:r>
          </w:p>
          <w:p w14:paraId="0EFC1F89" w14:textId="4A6834AF" w:rsidR="008C730A" w:rsidRPr="00174F0B" w:rsidRDefault="00063496" w:rsidP="00AA5E81">
            <w:pPr>
              <w:widowControl w:val="0"/>
              <w:tabs>
                <w:tab w:val="left" w:pos="189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- P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revenção situacional do </w:t>
            </w:r>
            <w:r w:rsidR="00A14FD6" w:rsidRPr="00174F0B">
              <w:rPr>
                <w:rFonts w:ascii="Times New Roman" w:hAnsi="Times New Roman" w:cs="Times New Roman"/>
                <w:sz w:val="18"/>
                <w:szCs w:val="18"/>
              </w:rPr>
              <w:t>delito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884F" w14:textId="28D45A6E" w:rsidR="00E2669E" w:rsidRPr="00174F0B" w:rsidRDefault="008C730A" w:rsidP="00E2669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63496" w:rsidRPr="00174F0B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anelas quebradas</w:t>
            </w:r>
          </w:p>
          <w:p w14:paraId="6CF5C63A" w14:textId="4BD32990" w:rsidR="008C730A" w:rsidRPr="00174F0B" w:rsidRDefault="00E2669E" w:rsidP="00E2669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Dissuasão via controle formal</w:t>
            </w:r>
            <w:r w:rsidRPr="00174F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8C730A" w:rsidRPr="004A1097" w14:paraId="09D98D9E" w14:textId="77777777" w:rsidTr="00F001B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8E8E" w14:textId="77777777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2 - Visão do crime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BDA5" w14:textId="3ECBBAB4" w:rsidR="008C730A" w:rsidRPr="00174F0B" w:rsidRDefault="008C730A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Desdramatização.</w:t>
            </w:r>
          </w:p>
          <w:p w14:paraId="16BA378A" w14:textId="32CB9F2E" w:rsidR="008C730A" w:rsidRPr="00174F0B" w:rsidRDefault="008C730A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O crime é visto como </w:t>
            </w:r>
            <w:r w:rsidR="00206A94" w:rsidRPr="00174F0B">
              <w:rPr>
                <w:rFonts w:ascii="Times New Roman" w:hAnsi="Times New Roman" w:cs="Times New Roman"/>
                <w:sz w:val="18"/>
                <w:szCs w:val="18"/>
              </w:rPr>
              <w:t>um evento</w:t>
            </w:r>
            <w:r w:rsidR="00CB5D9B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rotineiro,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6A94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banal, 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normal na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interação social cotidiana, </w:t>
            </w:r>
            <w:r w:rsidR="00E2669E" w:rsidRPr="00174F0B">
              <w:rPr>
                <w:rFonts w:ascii="Times New Roman" w:hAnsi="Times New Roman" w:cs="Times New Roman"/>
                <w:sz w:val="18"/>
                <w:szCs w:val="18"/>
              </w:rPr>
              <w:t>não requer</w:t>
            </w:r>
            <w:r w:rsidR="00070547" w:rsidRPr="00174F0B">
              <w:rPr>
                <w:rFonts w:ascii="Times New Roman" w:hAnsi="Times New Roman" w:cs="Times New Roman"/>
                <w:sz w:val="18"/>
                <w:szCs w:val="18"/>
              </w:rPr>
              <w:t>endo</w:t>
            </w:r>
            <w:r w:rsidR="00E2669E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uma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motivação </w:t>
            </w:r>
            <w:r w:rsidR="0038194A">
              <w:rPr>
                <w:rFonts w:ascii="Times New Roman" w:hAnsi="Times New Roman" w:cs="Times New Roman"/>
                <w:sz w:val="18"/>
                <w:szCs w:val="18"/>
              </w:rPr>
              <w:t>extra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por parte do agente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F15F63" w14:textId="3A4A6370" w:rsidR="008C730A" w:rsidRPr="00174F0B" w:rsidRDefault="007E20E4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Para sobreviverem, as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pessoas devem </w:t>
            </w:r>
            <w:r w:rsidR="003E0972" w:rsidRPr="00174F0B">
              <w:rPr>
                <w:rFonts w:ascii="Times New Roman" w:hAnsi="Times New Roman" w:cs="Times New Roman"/>
                <w:sz w:val="18"/>
                <w:szCs w:val="18"/>
              </w:rPr>
              <w:t>procurar</w:t>
            </w:r>
            <w:r w:rsidR="00CB0D28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se adaptar à realidade </w:t>
            </w:r>
            <w:proofErr w:type="spellStart"/>
            <w:r w:rsidR="00CB0D28" w:rsidRPr="00174F0B">
              <w:rPr>
                <w:rFonts w:ascii="Times New Roman" w:hAnsi="Times New Roman" w:cs="Times New Roman"/>
                <w:sz w:val="18"/>
                <w:szCs w:val="18"/>
              </w:rPr>
              <w:t>criminogênica</w:t>
            </w:r>
            <w:proofErr w:type="spellEnd"/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F31A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pois 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>a vida econômica e social</w:t>
            </w:r>
            <w:r w:rsidR="002764EC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cria inúmeras oportunidades para transições ilegítimas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F98F" w14:textId="7FE3A6AD" w:rsidR="008C730A" w:rsidRPr="00174F0B" w:rsidRDefault="008C730A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Redramatização</w:t>
            </w:r>
            <w:proofErr w:type="spellEnd"/>
            <w:r w:rsidR="00206A94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46BD50" w14:textId="77777777" w:rsidR="008C730A" w:rsidRPr="00174F0B" w:rsidRDefault="008C730A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A disseminação do crime é considerada uma catástrofe provocada por indivíduos que devem ser culpabilizados e punidos. </w:t>
            </w:r>
          </w:p>
        </w:tc>
      </w:tr>
      <w:tr w:rsidR="008C730A" w:rsidRPr="004A1097" w14:paraId="5CD49212" w14:textId="77777777" w:rsidTr="00F001B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9AEC" w14:textId="77777777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3 - Visão do criminoso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9902" w14:textId="1B037860" w:rsidR="00CB5D9B" w:rsidRPr="00174F0B" w:rsidRDefault="00CB5D9B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Ele é um de “nós”, um agente racional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>, um consumidor hedonista, oportunista e</w:t>
            </w:r>
            <w:r w:rsidR="0036658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absolutamente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comum. </w:t>
            </w:r>
          </w:p>
          <w:p w14:paraId="69B6363C" w14:textId="2BEAA7FF" w:rsidR="008C730A" w:rsidRPr="00174F0B" w:rsidRDefault="00CB0D28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Neutralidade valorativa, pois</w:t>
            </w:r>
            <w:r w:rsidR="003E0972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ocasião faz o ladrão”.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978C" w14:textId="108A4806" w:rsidR="00E0348B" w:rsidRPr="00174F0B" w:rsidRDefault="00865099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Culpabilização e d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emonização do criminoso</w:t>
            </w:r>
            <w:r w:rsidR="00742AD9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B852342" w14:textId="2BF1FE6E" w:rsidR="00CB5D9B" w:rsidRPr="00174F0B" w:rsidRDefault="00E0348B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Ele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é</w:t>
            </w:r>
            <w:r w:rsidR="00CB5D9B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o “outro”, o “estrangeiro”</w:t>
            </w:r>
            <w:r w:rsidR="00CB7314" w:rsidRPr="00174F0B">
              <w:rPr>
                <w:rFonts w:ascii="Times New Roman" w:hAnsi="Times New Roman" w:cs="Times New Roman"/>
                <w:sz w:val="18"/>
                <w:szCs w:val="18"/>
              </w:rPr>
              <w:t>, o diferente, o patológico, o perigoso</w:t>
            </w:r>
            <w:r w:rsidR="00C10F05" w:rsidRPr="00174F0B">
              <w:rPr>
                <w:rFonts w:ascii="Times New Roman" w:hAnsi="Times New Roman" w:cs="Times New Roman"/>
                <w:sz w:val="18"/>
                <w:szCs w:val="18"/>
              </w:rPr>
              <w:t>, o marginal</w:t>
            </w:r>
            <w:r w:rsidR="00CB7314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0F05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Viés lombrosiano.</w:t>
            </w:r>
          </w:p>
          <w:p w14:paraId="0CC0D5BE" w14:textId="7C03C07D" w:rsidR="008C730A" w:rsidRPr="00174F0B" w:rsidRDefault="00CB5D9B" w:rsidP="00CB5D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Um 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inimigo poderoso, superpredador, um monstro causador de todo o mal, devido à sua </w:t>
            </w:r>
            <w:r w:rsidR="00CB0D28" w:rsidRPr="00174F0B">
              <w:rPr>
                <w:rFonts w:ascii="Times New Roman" w:hAnsi="Times New Roman" w:cs="Times New Roman"/>
                <w:sz w:val="18"/>
                <w:szCs w:val="18"/>
              </w:rPr>
              <w:t>perversidade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4E32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>É alguém que está fora da comunidade civil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15026">
              <w:rPr>
                <w:rFonts w:ascii="Times New Roman" w:hAnsi="Times New Roman" w:cs="Times New Roman"/>
                <w:sz w:val="18"/>
                <w:szCs w:val="18"/>
              </w:rPr>
              <w:t xml:space="preserve">como aparece,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por exemplo, na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dicotomia entre “bandidos” x “cidadãos de bem”.</w:t>
            </w:r>
          </w:p>
        </w:tc>
      </w:tr>
      <w:tr w:rsidR="008C730A" w:rsidRPr="004A1097" w14:paraId="743C8A15" w14:textId="77777777" w:rsidTr="00F001B7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A846" w14:textId="23E984D2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4 - Política </w:t>
            </w:r>
            <w:r w:rsidR="003E0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criminal e </w:t>
            </w:r>
            <w:r w:rsidRPr="004A1097">
              <w:rPr>
                <w:rFonts w:ascii="Times New Roman" w:hAnsi="Times New Roman" w:cs="Times New Roman"/>
                <w:b/>
                <w:sz w:val="20"/>
                <w:szCs w:val="20"/>
              </w:rPr>
              <w:t>penal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7DFE" w14:textId="1D3D88AB" w:rsidR="008C730A" w:rsidRPr="00174F0B" w:rsidRDefault="008C730A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O crime </w:t>
            </w:r>
            <w:r w:rsidR="00CB5D9B" w:rsidRPr="00174F0B">
              <w:rPr>
                <w:rFonts w:ascii="Times New Roman" w:hAnsi="Times New Roman" w:cs="Times New Roman"/>
                <w:sz w:val="18"/>
                <w:szCs w:val="18"/>
              </w:rPr>
              <w:t>deve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ser calculado e evitado, de uma forma mais prospectiva do que retrospectiva. </w:t>
            </w:r>
            <w:r w:rsidR="00366583" w:rsidRPr="00174F0B">
              <w:rPr>
                <w:rFonts w:ascii="Times New Roman" w:hAnsi="Times New Roman" w:cs="Times New Roman"/>
                <w:sz w:val="18"/>
                <w:szCs w:val="18"/>
              </w:rPr>
              <w:t>Neste sentido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, é possível modificar as interações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B5D9B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os hábitos,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mas não as pessoas</w:t>
            </w:r>
            <w:r w:rsidR="00CB5D9B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desviantes.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36B7" w14:textId="329AF770" w:rsidR="008C730A" w:rsidRPr="00174F0B" w:rsidRDefault="001A3CD8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Foco na r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epressão, </w:t>
            </w:r>
            <w:r w:rsidR="00E2669E" w:rsidRPr="00174F0B">
              <w:rPr>
                <w:rFonts w:ascii="Times New Roman" w:hAnsi="Times New Roman" w:cs="Times New Roman"/>
                <w:sz w:val="18"/>
                <w:szCs w:val="18"/>
              </w:rPr>
              <w:t>na medida em que</w:t>
            </w:r>
            <w:r w:rsidR="008C730A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é preciso “condenar mais e entender menos”. </w:t>
            </w:r>
            <w:r w:rsidR="00CB7314" w:rsidRPr="00174F0B">
              <w:rPr>
                <w:rFonts w:ascii="Times New Roman" w:hAnsi="Times New Roman" w:cs="Times New Roman"/>
                <w:sz w:val="18"/>
                <w:szCs w:val="18"/>
              </w:rPr>
              <w:t>(GARLAND, 1999, p. 71)</w:t>
            </w:r>
            <w:r w:rsidR="00206A94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DDE239" w14:textId="42B694AB" w:rsidR="008C730A" w:rsidRPr="00174F0B" w:rsidRDefault="008C730A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previdenciarismo</w:t>
            </w:r>
            <w:proofErr w:type="spellEnd"/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penal teria sido “</w:t>
            </w:r>
            <w:r w:rsidRPr="00174F0B">
              <w:rPr>
                <w:rFonts w:ascii="Times New Roman" w:hAnsi="Times New Roman" w:cs="Times New Roman"/>
                <w:i/>
                <w:sz w:val="18"/>
                <w:szCs w:val="18"/>
              </w:rPr>
              <w:t>soft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” com o crime, pois não julgava ou condenava, </w:t>
            </w:r>
            <w:r w:rsidR="007E20E4" w:rsidRPr="00174F0B">
              <w:rPr>
                <w:rFonts w:ascii="Times New Roman" w:hAnsi="Times New Roman" w:cs="Times New Roman"/>
                <w:sz w:val="18"/>
                <w:szCs w:val="18"/>
              </w:rPr>
              <w:t>orientando-se por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0972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ações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contrári</w:t>
            </w:r>
            <w:r w:rsidR="003E0972" w:rsidRPr="00174F0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s ao </w:t>
            </w:r>
            <w:r w:rsidR="007E20E4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clamor punitivo da população. </w:t>
            </w:r>
          </w:p>
        </w:tc>
      </w:tr>
      <w:tr w:rsidR="008C730A" w:rsidRPr="004A1097" w14:paraId="02763BEB" w14:textId="77777777" w:rsidTr="00F001B7"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3EB0" w14:textId="77777777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D7E7" w14:textId="717244A0" w:rsidR="008C730A" w:rsidRPr="00174F0B" w:rsidRDefault="008C730A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Mitigação dos medos desproporcionais e ação preventiva</w:t>
            </w:r>
            <w:r w:rsidR="005D4876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situacional.</w:t>
            </w:r>
            <w:r w:rsidR="00063496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Uma espécie </w:t>
            </w:r>
            <w:r w:rsidR="00366583" w:rsidRPr="00174F0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63496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e “engenharia situacional” para tornar as coisas </w:t>
            </w:r>
            <w:r w:rsidR="00366583" w:rsidRPr="00174F0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063496" w:rsidRPr="00174F0B">
              <w:rPr>
                <w:rFonts w:ascii="Times New Roman" w:hAnsi="Times New Roman" w:cs="Times New Roman"/>
                <w:sz w:val="18"/>
                <w:szCs w:val="18"/>
              </w:rPr>
              <w:t>mais di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>fíceis para os delinquentes”</w:t>
            </w:r>
            <w:r w:rsidR="007E20E4" w:rsidRPr="00174F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(GARLAND, 1999, p.</w:t>
            </w:r>
            <w:r w:rsidR="0036658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60 e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64)</w:t>
            </w:r>
            <w:r w:rsidR="00464CB7" w:rsidRPr="00174F0B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9D53" w14:textId="13445662" w:rsidR="008C730A" w:rsidRPr="00174F0B" w:rsidRDefault="008C730A" w:rsidP="00AA5E8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Manutenção da ordem, afirmação dos padrões morais absolutos e </w:t>
            </w:r>
            <w:r w:rsidR="00024FDE" w:rsidRPr="00174F0B">
              <w:rPr>
                <w:rFonts w:ascii="Times New Roman" w:hAnsi="Times New Roman" w:cs="Times New Roman"/>
                <w:sz w:val="18"/>
                <w:szCs w:val="18"/>
              </w:rPr>
              <w:t>proximidade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das ações repressivas com o senso comum.</w:t>
            </w:r>
          </w:p>
        </w:tc>
      </w:tr>
      <w:tr w:rsidR="008C730A" w:rsidRPr="004A1097" w14:paraId="770140B2" w14:textId="77777777" w:rsidTr="00F001B7"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53C8" w14:textId="77777777" w:rsidR="008C730A" w:rsidRPr="004A1097" w:rsidRDefault="008C730A" w:rsidP="00AA5E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D5FB" w14:textId="6DFA33DC" w:rsidR="008C730A" w:rsidRPr="00174F0B" w:rsidRDefault="008C730A" w:rsidP="00AA5E81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 w:rsidR="00024FDE" w:rsidRPr="00174F0B">
              <w:rPr>
                <w:rFonts w:ascii="Times New Roman" w:hAnsi="Times New Roman" w:cs="Times New Roman"/>
                <w:sz w:val="18"/>
                <w:szCs w:val="18"/>
              </w:rPr>
              <w:t>alternativas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3963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iniciaram no setor privado e depois atingiram o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Estado, abarcando</w:t>
            </w:r>
            <w:r w:rsidR="00024FDE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, também, 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a sociedade civil, </w:t>
            </w:r>
            <w:r w:rsidR="003E0972" w:rsidRPr="00174F0B">
              <w:rPr>
                <w:rFonts w:ascii="Times New Roman" w:hAnsi="Times New Roman" w:cs="Times New Roman"/>
                <w:sz w:val="18"/>
                <w:szCs w:val="18"/>
              </w:rPr>
              <w:t>por meio de</w:t>
            </w: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redes de controle situacionais</w:t>
            </w:r>
            <w:r w:rsidR="00024FDE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e comunitárias.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Estratégia de responsabilização </w:t>
            </w:r>
            <w:r w:rsidR="00F15026">
              <w:rPr>
                <w:rFonts w:ascii="Times New Roman" w:hAnsi="Times New Roman" w:cs="Times New Roman"/>
                <w:sz w:val="18"/>
                <w:szCs w:val="18"/>
              </w:rPr>
              <w:t xml:space="preserve">que 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>delega a responsabilidade, antes estatal, para indivíduos e grupos</w:t>
            </w:r>
            <w:r w:rsidR="00F15026">
              <w:rPr>
                <w:rFonts w:ascii="Times New Roman" w:hAnsi="Times New Roman" w:cs="Times New Roman"/>
                <w:sz w:val="18"/>
                <w:szCs w:val="18"/>
              </w:rPr>
              <w:t xml:space="preserve"> sociais</w:t>
            </w:r>
            <w:r w:rsidR="007B13B8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E31B" w14:textId="43BC6BB0" w:rsidR="008C730A" w:rsidRPr="00174F0B" w:rsidRDefault="008C730A" w:rsidP="00AA5E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F0B">
              <w:rPr>
                <w:rFonts w:ascii="Times New Roman" w:hAnsi="Times New Roman" w:cs="Times New Roman"/>
                <w:sz w:val="18"/>
                <w:szCs w:val="18"/>
              </w:rPr>
              <w:t>Fortalecimento do poder punitivo estatal</w:t>
            </w:r>
            <w:r w:rsidR="00CB7314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, novos poderes à polícia e elevação do encarceramento. </w:t>
            </w:r>
            <w:r w:rsidR="00F15026">
              <w:rPr>
                <w:rFonts w:ascii="Times New Roman" w:hAnsi="Times New Roman" w:cs="Times New Roman"/>
                <w:sz w:val="18"/>
                <w:szCs w:val="18"/>
              </w:rPr>
              <w:t>Estratégia de c</w:t>
            </w:r>
            <w:r w:rsidR="00C10F05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olocar os “marginais” fora do jogo em prisões ou </w:t>
            </w:r>
            <w:r w:rsidR="00BB5D49" w:rsidRPr="00174F0B">
              <w:rPr>
                <w:rFonts w:ascii="Times New Roman" w:hAnsi="Times New Roman" w:cs="Times New Roman"/>
                <w:sz w:val="18"/>
                <w:szCs w:val="18"/>
              </w:rPr>
              <w:t>condená-los</w:t>
            </w:r>
            <w:r w:rsidR="00C10F05" w:rsidRPr="00174F0B">
              <w:rPr>
                <w:rFonts w:ascii="Times New Roman" w:hAnsi="Times New Roman" w:cs="Times New Roman"/>
                <w:sz w:val="18"/>
                <w:szCs w:val="18"/>
              </w:rPr>
              <w:t xml:space="preserve"> à morte.</w:t>
            </w:r>
          </w:p>
        </w:tc>
      </w:tr>
    </w:tbl>
    <w:p w14:paraId="061BEE38" w14:textId="085AF8C9" w:rsidR="008C730A" w:rsidRPr="00F001B7" w:rsidRDefault="008C730A" w:rsidP="008C730A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Quadro </w:t>
      </w:r>
      <w:r w:rsidR="004A1097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- Síntese das “</w:t>
      </w:r>
      <w:r w:rsidR="003826F3"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</w:rPr>
        <w:t xml:space="preserve">ovas </w:t>
      </w:r>
      <w:r w:rsidR="003826F3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riminologias” </w:t>
      </w:r>
      <w:r w:rsidR="003826F3">
        <w:rPr>
          <w:rFonts w:ascii="Times New Roman" w:eastAsia="Times New Roman" w:hAnsi="Times New Roman" w:cs="Times New Roman"/>
          <w:b/>
        </w:rPr>
        <w:t>analisadas</w:t>
      </w:r>
      <w:r>
        <w:rPr>
          <w:rFonts w:ascii="Times New Roman" w:eastAsia="Times New Roman" w:hAnsi="Times New Roman" w:cs="Times New Roman"/>
          <w:b/>
        </w:rPr>
        <w:t xml:space="preserve"> por David Garland</w:t>
      </w:r>
      <w:r w:rsidR="00C10F05">
        <w:rPr>
          <w:rFonts w:ascii="Times New Roman" w:eastAsia="Times New Roman" w:hAnsi="Times New Roman" w:cs="Times New Roman"/>
          <w:b/>
        </w:rPr>
        <w:t xml:space="preserve">, que se misturam </w:t>
      </w:r>
      <w:r w:rsidR="00B113BC">
        <w:rPr>
          <w:rFonts w:ascii="Times New Roman" w:eastAsia="Times New Roman" w:hAnsi="Times New Roman" w:cs="Times New Roman"/>
          <w:b/>
        </w:rPr>
        <w:t>dentro de</w:t>
      </w:r>
      <w:r w:rsidR="0094727A">
        <w:rPr>
          <w:rFonts w:ascii="Times New Roman" w:eastAsia="Times New Roman" w:hAnsi="Times New Roman" w:cs="Times New Roman"/>
          <w:b/>
        </w:rPr>
        <w:t xml:space="preserve"> uma</w:t>
      </w:r>
      <w:r w:rsidR="00C10F05">
        <w:rPr>
          <w:rFonts w:ascii="Times New Roman" w:eastAsia="Times New Roman" w:hAnsi="Times New Roman" w:cs="Times New Roman"/>
          <w:b/>
        </w:rPr>
        <w:t xml:space="preserve"> criminologia oficial “</w:t>
      </w:r>
      <w:r w:rsidR="00230226">
        <w:rPr>
          <w:rFonts w:ascii="Times New Roman" w:eastAsia="Times New Roman" w:hAnsi="Times New Roman" w:cs="Times New Roman"/>
          <w:b/>
        </w:rPr>
        <w:t>esquizoide</w:t>
      </w:r>
      <w:r w:rsidR="00C10F05">
        <w:rPr>
          <w:rFonts w:ascii="Times New Roman" w:eastAsia="Times New Roman" w:hAnsi="Times New Roman" w:cs="Times New Roman"/>
          <w:b/>
        </w:rPr>
        <w:t xml:space="preserve">” </w:t>
      </w:r>
      <w:r w:rsidR="00C10F05" w:rsidRPr="00F001B7">
        <w:rPr>
          <w:rFonts w:ascii="Times New Roman" w:eastAsia="Times New Roman" w:hAnsi="Times New Roman" w:cs="Times New Roman"/>
          <w:bCs/>
        </w:rPr>
        <w:t>(GARLAND, 1999</w:t>
      </w:r>
      <w:r w:rsidR="00366583">
        <w:rPr>
          <w:rFonts w:ascii="Times New Roman" w:eastAsia="Times New Roman" w:hAnsi="Times New Roman" w:cs="Times New Roman"/>
          <w:bCs/>
        </w:rPr>
        <w:t>, p. 74</w:t>
      </w:r>
      <w:r w:rsidR="00C10F05" w:rsidRPr="00F001B7">
        <w:rPr>
          <w:rFonts w:ascii="Times New Roman" w:eastAsia="Times New Roman" w:hAnsi="Times New Roman" w:cs="Times New Roman"/>
          <w:bCs/>
        </w:rPr>
        <w:t>).</w:t>
      </w:r>
    </w:p>
    <w:p w14:paraId="788E9010" w14:textId="401D9F88" w:rsidR="008C730A" w:rsidRDefault="008C73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Elaboração própria com base em Garland (</w:t>
      </w:r>
      <w:r w:rsidR="009878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1999,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2008). </w:t>
      </w:r>
    </w:p>
    <w:p w14:paraId="5E5D50CB" w14:textId="033F3FEB" w:rsidR="00E451DB" w:rsidRDefault="00441A08" w:rsidP="003665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criminólogo britânico</w:t>
      </w:r>
      <w:r w:rsidR="00F8691A">
        <w:rPr>
          <w:rFonts w:ascii="Times New Roman" w:eastAsia="Times New Roman" w:hAnsi="Times New Roman" w:cs="Times New Roman"/>
          <w:sz w:val="24"/>
          <w:szCs w:val="24"/>
        </w:rPr>
        <w:t xml:space="preserve">, especialmente </w:t>
      </w:r>
      <w:r w:rsidR="00B113B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8691A">
        <w:rPr>
          <w:rFonts w:ascii="Times New Roman" w:eastAsia="Times New Roman" w:hAnsi="Times New Roman" w:cs="Times New Roman"/>
          <w:sz w:val="24"/>
          <w:szCs w:val="24"/>
        </w:rPr>
        <w:t xml:space="preserve"> seu livro mais conhecido</w:t>
      </w:r>
      <w:r w:rsidR="00BB5D49" w:rsidRPr="009D3A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691A">
        <w:rPr>
          <w:rFonts w:ascii="Times New Roman" w:eastAsia="Times New Roman" w:hAnsi="Times New Roman" w:cs="Times New Roman"/>
          <w:sz w:val="24"/>
          <w:szCs w:val="24"/>
        </w:rPr>
        <w:t xml:space="preserve">GARLAND, </w:t>
      </w:r>
      <w:r w:rsidR="00BB5D49" w:rsidRPr="009D3A47">
        <w:rPr>
          <w:rFonts w:ascii="Times New Roman" w:eastAsia="Times New Roman" w:hAnsi="Times New Roman" w:cs="Times New Roman"/>
          <w:sz w:val="24"/>
          <w:szCs w:val="24"/>
        </w:rPr>
        <w:t>2008)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3A47">
        <w:rPr>
          <w:rFonts w:ascii="Times New Roman" w:eastAsia="Times New Roman" w:hAnsi="Times New Roman" w:cs="Times New Roman"/>
          <w:sz w:val="24"/>
          <w:szCs w:val="24"/>
        </w:rPr>
        <w:t>tem recebido</w:t>
      </w:r>
      <w:r w:rsidR="00BB5D49" w:rsidRPr="009D3A47">
        <w:rPr>
          <w:rFonts w:ascii="Times New Roman" w:eastAsia="Times New Roman" w:hAnsi="Times New Roman" w:cs="Times New Roman"/>
          <w:sz w:val="24"/>
          <w:szCs w:val="24"/>
        </w:rPr>
        <w:t xml:space="preserve"> várias críticas</w:t>
      </w:r>
      <w:r w:rsidR="004B6CA8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8"/>
      </w:r>
      <w:r w:rsidR="001E3FC5" w:rsidRPr="009D3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direcionadas a </w:t>
      </w:r>
      <w:r w:rsidR="001E3FC5" w:rsidRPr="009D3A47">
        <w:rPr>
          <w:rFonts w:ascii="Times New Roman" w:eastAsia="Times New Roman" w:hAnsi="Times New Roman" w:cs="Times New Roman"/>
          <w:sz w:val="24"/>
          <w:szCs w:val="24"/>
        </w:rPr>
        <w:t xml:space="preserve">aspectos centrais </w:t>
      </w:r>
      <w:r w:rsidR="009D3A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ED0CC6">
        <w:rPr>
          <w:rFonts w:ascii="Times New Roman" w:eastAsia="Times New Roman" w:hAnsi="Times New Roman" w:cs="Times New Roman"/>
          <w:sz w:val="24"/>
          <w:szCs w:val="24"/>
        </w:rPr>
        <w:t>e</w:t>
      </w:r>
      <w:r w:rsidR="009D3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73403B">
        <w:rPr>
          <w:rFonts w:ascii="Times New Roman" w:eastAsia="Times New Roman" w:hAnsi="Times New Roman" w:cs="Times New Roman"/>
          <w:sz w:val="24"/>
          <w:szCs w:val="24"/>
        </w:rPr>
        <w:t>obra</w:t>
      </w:r>
      <w:r w:rsidR="00BB5D49" w:rsidRPr="009D3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Ma</w:t>
      </w:r>
      <w:r w:rsidR="0004606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thews (2005), por exemplo, questiona se, de fato, </w:t>
      </w:r>
      <w:r w:rsidR="005A7690">
        <w:rPr>
          <w:rFonts w:ascii="Times New Roman" w:eastAsia="Times New Roman" w:hAnsi="Times New Roman" w:cs="Times New Roman"/>
          <w:sz w:val="24"/>
          <w:szCs w:val="24"/>
        </w:rPr>
        <w:t>a análise de Garland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 xml:space="preserve">teria </w:t>
      </w:r>
      <w:r w:rsidR="005A7690">
        <w:rPr>
          <w:rFonts w:ascii="Times New Roman" w:eastAsia="Times New Roman" w:hAnsi="Times New Roman" w:cs="Times New Roman"/>
          <w:sz w:val="24"/>
          <w:szCs w:val="24"/>
        </w:rPr>
        <w:t xml:space="preserve">trazido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alguma novidade, </w:t>
      </w:r>
      <w:r w:rsidR="005A7690">
        <w:rPr>
          <w:rFonts w:ascii="Times New Roman" w:eastAsia="Times New Roman" w:hAnsi="Times New Roman" w:cs="Times New Roman"/>
          <w:sz w:val="24"/>
          <w:szCs w:val="24"/>
        </w:rPr>
        <w:t>afirmando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que sempre houve uma combinação entre estratégias punitivas, emotivas e reabilitadoras </w:t>
      </w:r>
      <w:r w:rsidR="005A7690">
        <w:rPr>
          <w:rFonts w:ascii="Times New Roman" w:eastAsia="Times New Roman" w:hAnsi="Times New Roman" w:cs="Times New Roman"/>
          <w:sz w:val="24"/>
          <w:szCs w:val="24"/>
        </w:rPr>
        <w:t>na história do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controle do crime. Já </w:t>
      </w:r>
      <w:proofErr w:type="spellStart"/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Sozzo</w:t>
      </w:r>
      <w:proofErr w:type="spellEnd"/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(2020</w:t>
      </w:r>
      <w:r w:rsidR="004B6CA8">
        <w:rPr>
          <w:rFonts w:ascii="Times New Roman" w:eastAsia="Times New Roman" w:hAnsi="Times New Roman" w:cs="Times New Roman"/>
          <w:sz w:val="24"/>
          <w:szCs w:val="24"/>
        </w:rPr>
        <w:t>c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>ressalta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</w:rPr>
        <w:t>até mesm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welfarismo</w:t>
      </w:r>
      <w:proofErr w:type="spellEnd"/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penal 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>teria sido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permeado </w:t>
      </w:r>
      <w:r w:rsidR="006E2BF1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conflitos, problemas e tensões, a despeito 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>do viés</w:t>
      </w:r>
      <w:r w:rsidR="006E2BF1">
        <w:rPr>
          <w:rFonts w:ascii="Times New Roman" w:eastAsia="Times New Roman" w:hAnsi="Times New Roman" w:cs="Times New Roman"/>
          <w:sz w:val="24"/>
          <w:szCs w:val="24"/>
        </w:rPr>
        <w:t xml:space="preserve"> saudosista 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 xml:space="preserve">com que </w:t>
      </w:r>
      <w:r w:rsidR="006E2BF1">
        <w:rPr>
          <w:rFonts w:ascii="Times New Roman" w:eastAsia="Times New Roman" w:hAnsi="Times New Roman" w:cs="Times New Roman"/>
          <w:sz w:val="24"/>
          <w:szCs w:val="24"/>
        </w:rPr>
        <w:t xml:space="preserve">Garland 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 xml:space="preserve">se refere </w:t>
      </w:r>
      <w:r w:rsidR="006E2BF1">
        <w:rPr>
          <w:rFonts w:ascii="Times New Roman" w:eastAsia="Times New Roman" w:hAnsi="Times New Roman" w:cs="Times New Roman"/>
          <w:sz w:val="24"/>
          <w:szCs w:val="24"/>
        </w:rPr>
        <w:t>a ele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CC6">
        <w:rPr>
          <w:rFonts w:ascii="Times New Roman" w:eastAsia="Times New Roman" w:hAnsi="Times New Roman" w:cs="Times New Roman"/>
          <w:sz w:val="24"/>
          <w:szCs w:val="24"/>
        </w:rPr>
        <w:t>Outras discordâncias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ACD">
        <w:rPr>
          <w:rFonts w:ascii="Times New Roman" w:eastAsia="Times New Roman" w:hAnsi="Times New Roman" w:cs="Times New Roman"/>
          <w:sz w:val="24"/>
          <w:szCs w:val="24"/>
        </w:rPr>
        <w:t>incluem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: a) uma desconsideração pelos processos causa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>i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s mais amplos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61" w:rsidRPr="00F001B7">
        <w:rPr>
          <w:rFonts w:ascii="Times New Roman" w:eastAsia="Times New Roman" w:hAnsi="Times New Roman" w:cs="Times New Roman"/>
          <w:sz w:val="24"/>
          <w:szCs w:val="24"/>
        </w:rPr>
        <w:t>(dentre eles, as mudanças nas relações produtivas e os fatores demográficos)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 xml:space="preserve">, ainda que supostamente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embutidos no conceito movediço de “modernidade tardia”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66540">
        <w:rPr>
          <w:rFonts w:ascii="Times New Roman" w:eastAsia="Times New Roman" w:hAnsi="Times New Roman" w:cs="Times New Roman"/>
          <w:sz w:val="24"/>
          <w:szCs w:val="24"/>
        </w:rPr>
        <w:t>um</w:t>
      </w:r>
      <w:r w:rsidR="00651661">
        <w:rPr>
          <w:rFonts w:ascii="Times New Roman" w:eastAsia="Times New Roman" w:hAnsi="Times New Roman" w:cs="Times New Roman"/>
          <w:sz w:val="24"/>
          <w:szCs w:val="24"/>
        </w:rPr>
        <w:t xml:space="preserve"> desequilíbrio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entre elementos estruturais e conjunturais</w:t>
      </w:r>
      <w:r w:rsidR="006E2B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</w:rPr>
        <w:t>específicos (com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5A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certa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predileção pelos últimos)</w:t>
      </w:r>
      <w:r w:rsidR="006516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ou, ainda, </w:t>
      </w:r>
      <w:r w:rsidR="006516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desconexão entre as causas, </w:t>
      </w:r>
      <w:r w:rsidR="006516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desembocando </w:t>
      </w:r>
      <w:r w:rsidR="007665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linearidade exagerada</w:t>
      </w:r>
      <w:r w:rsidR="00475A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665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inevitabilidade</w:t>
      </w:r>
      <w:r w:rsidR="006E2B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7665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6E2B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pessimismo quanto à história do presente (</w:t>
      </w:r>
      <w:r w:rsidR="006E2B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sentido de que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crescimento dos delitos </w:t>
      </w:r>
      <w:r w:rsidR="00890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teria produzido</w:t>
      </w:r>
      <w:r w:rsidR="00475A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maior vitimização</w:t>
      </w:r>
      <w:r w:rsidR="00890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ampliação do medo e da sensação de insegurança, porém, </w:t>
      </w:r>
      <w:r w:rsidR="00890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esses</w:t>
      </w:r>
      <w:r w:rsidR="005D1D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451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fatos 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nem sempre</w:t>
      </w:r>
      <w:r w:rsidR="00E451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E2B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conectam</w:t>
      </w:r>
      <w:r w:rsidR="00E451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forma sequencial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(MA</w:t>
      </w:r>
      <w:r w:rsidR="00C81B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2002; 2005; 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b) o uso instrumental e funcionalista do conceito de poder foucaultiano, desconsiderando suas múltiplas dimensões (SALLA; GAUTO; ALVAREZ, 2006); c) problemas 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metodológicos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</w:t>
      </w:r>
      <w:r w:rsidR="00890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comparar as tendências verificadas nos Estados Unidos e no Reino Unido com as de outros países industrializados, Garland teria exagerado as similitudes e minimizado as diferenças, inclusive, as que existem entre os dois casos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exemplares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(YOUNG, 2020); d) 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 n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 traz evidências empíricas consistentes sobre o aumento do </w:t>
      </w:r>
      <w:proofErr w:type="spellStart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punitivismo</w:t>
      </w:r>
      <w:proofErr w:type="spellEnd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conceito, aliás, que Garland não esclarece (MA</w:t>
      </w:r>
      <w:r w:rsidR="00C079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2005); e) em seu “enfoque obsessivo com a mudança” (SOZZO,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p. 481), o autor teria 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considerado a inércia, as continuidades e as múltiplas trajetórias contemporâneas,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 quais persistem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elementos do </w:t>
      </w:r>
      <w:proofErr w:type="spellStart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welfarismo</w:t>
      </w:r>
      <w:proofErr w:type="spellEnd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penal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seja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 instituições e práticas de controle do crime,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seja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conhecimento criminológico (ZEDNER, 2020; 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f) As tendências </w:t>
      </w:r>
      <w:r w:rsidR="005607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apresentadas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são generalizáveis, 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pois se baseiam em um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específico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Estados Unidos</w:t>
      </w:r>
      <w:r w:rsidR="00976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cujas políticas penais não se assemelham nem mesmo às de países econômica, cultural e socialmente semelhantes. (MA</w:t>
      </w:r>
      <w:r w:rsidR="00C81B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2005; SOZZO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>, 2020</w:t>
      </w:r>
      <w:r w:rsidR="004B6CA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YOUNG, 2020)</w:t>
      </w:r>
      <w:r w:rsidR="00C96795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9"/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g) No que tange às políticas criminais e penais, Garland não teria </w:t>
      </w:r>
      <w:r w:rsidR="0056076F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problematizado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9D3A47" w:rsidRPr="00F001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trade-off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segurança e liberdade, tampouco </w:t>
      </w:r>
      <w:r w:rsidR="00560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abordou </w:t>
      </w:r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complexo correcional que mescla custódia, </w:t>
      </w:r>
      <w:proofErr w:type="spellStart"/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>semi-custódia</w:t>
      </w:r>
      <w:proofErr w:type="spellEnd"/>
      <w:r w:rsidR="009D3A47" w:rsidRPr="00F00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práticas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comunitárias, além de não ter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aprofundado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atuação “à distância”, que combina agências estatais, privadas e voluntárias, e, ainda, </w:t>
      </w:r>
      <w:r w:rsidR="00C967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teria contemplado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métodos menos punitivos de controle do crime, 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exemplo d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justiça restaurativa (MA</w:t>
      </w:r>
      <w:r w:rsidR="00C81B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2002; 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h) para alguns autores, a divisão dicotômica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as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criminologias é reducionista, </w:t>
      </w:r>
      <w:r w:rsidR="00C967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porque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ignora tanto a permanência das 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teorias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psicológicas e sociológicas vinculadas ao </w:t>
      </w:r>
      <w:proofErr w:type="spellStart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welfarismo</w:t>
      </w:r>
      <w:proofErr w:type="spellEnd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penal quanto a emergência de outras vertentes (como a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criminologias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crítica e feminista). (SOZZO,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i) 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sociólogo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incorpor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parcialmente a influência das classes sociais, pois enfoca exclusivamente as atitudes menos tolerantes das classes médias profissionais,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desconsiderando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comportamento de outros segmentos, como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pobre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mais vitimizad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pelas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mudanças estruturais (MA</w:t>
      </w:r>
      <w:r w:rsidR="00606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2002; 2005); j) não especificou as mudanças na opinião pública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relegou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“sentimento do público” (GARLAND, 1999, p. 61)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uma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expressão de retórica política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invés de um construto empiricamente embasado.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aspecto, alguns debatedores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citam </w:t>
      </w:r>
      <w:proofErr w:type="spellStart"/>
      <w:r w:rsidR="009D3A47" w:rsidRP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surveys</w:t>
      </w:r>
      <w:proofErr w:type="spellEnd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6D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 invés de sinalizarem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direção inequívoca ao </w:t>
      </w:r>
      <w:proofErr w:type="spellStart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punitivismo</w:t>
      </w:r>
      <w:proofErr w:type="spellEnd"/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418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indicam</w:t>
      </w:r>
      <w:r w:rsidR="00C967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múltiplas </w:t>
      </w:r>
      <w:r w:rsidR="00606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orientações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sentido de que: “Os cidadãos defendem uma abordagem mais equilibrada do crime, envolvendo uma mistura de punição, reabilitação e proteção pública.” (MA</w:t>
      </w:r>
      <w:r w:rsidR="00606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9D3A47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THEWS, 2005, p. 191); 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k) Não aprofundou temas como desigualdade, gênero e raça,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tampouco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3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incorporou o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novos movimentos sociais e as organizações de direitos humanos</w:t>
      </w:r>
      <w:r w:rsidR="00C967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sua análise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(MA</w:t>
      </w:r>
      <w:r w:rsidR="00606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THEWS, 2002; SOZZO, 2020</w:t>
      </w:r>
      <w:r w:rsidR="004B6C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6D156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</w:t>
      </w:r>
    </w:p>
    <w:p w14:paraId="10967E07" w14:textId="7C70F7A6" w:rsidR="00BB7AA4" w:rsidRPr="00F001B7" w:rsidRDefault="00BB7AA4" w:rsidP="00BB7A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7" w:name="_Hlk105362303"/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várias ocasiões Garland respondeu aos seus crítico</w:t>
      </w:r>
      <w:r w:rsidR="00630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630F3B" w:rsidRPr="00F001B7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10"/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B76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 como no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prefácio de seu livro (GARLAND, 2008, p. 32 e 33), </w:t>
      </w:r>
      <w:r w:rsidR="00B76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 assinala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675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675EF0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base nos casos dos Estados Unidos e Grã-Bretanha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75EF0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buscou identificar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“alguns dos princípios organizacionais”</w:t>
      </w:r>
      <w:r w:rsidR="00B76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“propriedades estruturais”. Sua opção não foi a de pôr em relevo as especificidades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embora reconheça a existência de importantes diferenças entre os países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mais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admite qu</w:t>
      </w:r>
      <w:r w:rsidR="00D912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</w:t>
      </w:r>
      <w:r w:rsidR="007340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escolha 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trouxe </w:t>
      </w:r>
      <w:r w:rsidR="00D912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limitações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dentre elas, uma</w:t>
      </w:r>
      <w:r w:rsidR="00D912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excessiva simplificação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omissão de certas variáveis. (GARLAND, 2008, p. 32). </w:t>
      </w:r>
    </w:p>
    <w:p w14:paraId="786D8F02" w14:textId="3D6D36F6" w:rsidR="00BB7AA4" w:rsidRPr="00F001B7" w:rsidRDefault="00BB7AA4" w:rsidP="00BB7A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Em outro texto</w:t>
      </w:r>
      <w:r w:rsidR="00CA6D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77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77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expressou o</w:t>
      </w:r>
      <w:r w:rsidR="00B76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 interesse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analisar a “dinâmica sociocultural” 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campo 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controle do crime, ou “os processos institucionais históricos que produzem resultados penais específicos” (GARLAND, 2020</w:t>
      </w:r>
      <w:r w:rsidR="00F8691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 377), ou</w:t>
      </w:r>
      <w:r w:rsidR="00B76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ainda,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“a estrutura social subjacente - ecologia social da modernidade tardia – que é, em si, uma configuração bastante complexa, criada por processos causais bastante independentes” (GARLAND, 2020</w:t>
      </w:r>
      <w:r w:rsidR="00F8691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 361</w:t>
      </w:r>
      <w:r w:rsidR="00DA2D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</w:t>
      </w:r>
    </w:p>
    <w:p w14:paraId="1E142FF9" w14:textId="76BA7D94" w:rsidR="00BB7AA4" w:rsidRPr="00F001B7" w:rsidRDefault="00BB7AA4" w:rsidP="00BB7A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Garland, as mudanças e padrões contemporâneos </w:t>
      </w:r>
      <w:r w:rsidR="00650F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encontrados em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países do primeiro mundo</w:t>
      </w:r>
      <w:r w:rsidR="001375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pertencentes à organização social da “modernidade tardia”, </w:t>
      </w:r>
      <w:r w:rsidR="00A71B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</w:t>
      </w:r>
      <w:r w:rsidR="000977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distam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modelo estado-unidense</w:t>
      </w:r>
      <w:r w:rsidR="001375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Dessa forma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“a análise do livro A Cultura do Controle sobre essas nações pode servir como um tipo de régua para pensarmos nas mudanças convergentes e divergentes em outros países</w:t>
      </w:r>
      <w:r w:rsidR="00F616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(GARLAND, 2020</w:t>
      </w:r>
      <w:r w:rsidR="00F8691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 385-386).</w:t>
      </w:r>
    </w:p>
    <w:p w14:paraId="07811AD5" w14:textId="1ECB8D19" w:rsidR="00BB7AA4" w:rsidRDefault="00650F8A" w:rsidP="00BB7A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Ampliando o escopo de análise, 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Garland (2020b, p. 397)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defende: 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“Minha expectativa é a de que a maioria das sociedades ocidentais tenha desenvolvido adaptações sociais, culturais e psicológicas similares às altas taxas de crime e às inseguranças da modernidade tardia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.”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Contudo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ressalta que a forma específica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dessas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adaptações permanece um tema inexplorado</w:t>
      </w:r>
      <w:r w:rsidR="00CA41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requer </w:t>
      </w:r>
      <w:r w:rsidR="00DA2D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mais 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pesquisas empíricas. Nes</w:t>
      </w:r>
      <w:r w:rsidR="00DA2D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mesma linha argumenta que estudos de casos subsequentes</w:t>
      </w:r>
      <w:r w:rsidR="007B1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países </w:t>
      </w:r>
      <w:r w:rsidR="000977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selecionados por relevância teórica e comparados por meio de procedimentos quanti e qualitativos</w:t>
      </w:r>
      <w:r w:rsidR="007B1B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poderiam confirmar, refutar ou refinar as “categorias propriamente teóricas mais amplamente aplicáveis” (GARLAND, 2020</w:t>
      </w:r>
      <w:r w:rsidR="00F8691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8691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BB7AA4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406), a fim de melhor compreender o CCCJC em “outros lugares do mundo desenvolvido no último terço do século XX” (GARLAND, 2008, p. 33). </w:t>
      </w:r>
    </w:p>
    <w:p w14:paraId="204D00F7" w14:textId="558F8DBC" w:rsidR="008373CA" w:rsidRPr="00F001B7" w:rsidRDefault="00FD66F3" w:rsidP="00837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Frente a esse debate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lguns autores sugerem utilizar, com parcimônia, o quadro analítico de Garland 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outros contextos. </w:t>
      </w:r>
      <w:proofErr w:type="spellStart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Sozzo</w:t>
      </w:r>
      <w:proofErr w:type="spellEnd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(2020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c, p. 476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por exemplo, ressalta qu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alguns de seus conceitos e argumentos são úteis, uma espécie de “caixa de ferramentas” que 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possibilita orientar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pesquisas em torno das similaridades e </w:t>
      </w:r>
      <w:r w:rsidR="008373CA" w:rsidRPr="00D167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diferenças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8373CA"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Nessa linha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citada obra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teria fornecido 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“insumos” ou “pistas” 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permitem refletir sobre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estratégias atuais de controle do crime, 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inclusive em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países do Sul Global (SOZZO, 2020a, p. 21; 2020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p. 503). 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Já </w:t>
      </w:r>
      <w:proofErr w:type="spellStart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Salla</w:t>
      </w:r>
      <w:proofErr w:type="spellEnd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Gauto</w:t>
      </w:r>
      <w:proofErr w:type="spellEnd"/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Alvarez (2006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acreditam 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a análise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sociólogo britânico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ajudar a esclarecer por que a sociedade brasileira avaliza práticas punitivas que ocorrem, muitas vezes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revelia da lei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8373CA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ancoradas na impunidade dos</w:t>
      </w:r>
      <w:r w:rsidR="008373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perpetradores, incluindo a polícia</w:t>
      </w:r>
      <w:r w:rsidR="008373CA"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assim, 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firmados</w:t>
      </w:r>
      <w:r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plausibilidade, ainda que parcial, da proposta de Garland a contextos por ele não pesquisados, trataremos, a seguir, das principais características do subsistema 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brasileiro </w:t>
      </w:r>
      <w:r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segurança públic</w:t>
      </w:r>
      <w:r w:rsid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81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31F0D8E5" w14:textId="77777777" w:rsidR="008373CA" w:rsidRPr="00F001B7" w:rsidRDefault="008373CA" w:rsidP="00BB7A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AD4953" w14:textId="34BA9055" w:rsidR="00BF59BD" w:rsidRDefault="00CA4A8E" w:rsidP="00DF1E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5362331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="00BF59BD" w:rsidRPr="00610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SUBSISTEMA </w:t>
      </w:r>
      <w:r w:rsidR="00E56614">
        <w:rPr>
          <w:rFonts w:ascii="Times New Roman" w:eastAsia="Times New Roman" w:hAnsi="Times New Roman" w:cs="Times New Roman"/>
          <w:b/>
          <w:bCs/>
          <w:sz w:val="24"/>
          <w:szCs w:val="24"/>
        </w:rPr>
        <w:t>BRASILEIRO</w:t>
      </w:r>
      <w:r w:rsidR="00E56614" w:rsidRPr="00610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59BD" w:rsidRPr="0061053F">
        <w:rPr>
          <w:rFonts w:ascii="Times New Roman" w:eastAsia="Times New Roman" w:hAnsi="Times New Roman" w:cs="Times New Roman"/>
          <w:b/>
          <w:bCs/>
          <w:sz w:val="24"/>
          <w:szCs w:val="24"/>
        </w:rPr>
        <w:t>DE SEGURANÇA PÚBLICA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>: Da segurança nacional à segurança cidadã</w:t>
      </w:r>
      <w:r w:rsidR="0061053F">
        <w:rPr>
          <w:rFonts w:ascii="Times New Roman" w:eastAsia="Times New Roman" w:hAnsi="Times New Roman" w:cs="Times New Roman"/>
          <w:sz w:val="24"/>
          <w:szCs w:val="24"/>
        </w:rPr>
        <w:t xml:space="preserve"> e o retorno do pêndulo</w:t>
      </w:r>
    </w:p>
    <w:bookmarkEnd w:id="8"/>
    <w:p w14:paraId="0C9937E5" w14:textId="1719BED6" w:rsidR="00DF0C05" w:rsidRDefault="008B786F" w:rsidP="008C50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Representando uma </w:t>
      </w:r>
      <w:r w:rsidR="00427649">
        <w:rPr>
          <w:rFonts w:ascii="Times New Roman" w:eastAsia="Times New Roman" w:hAnsi="Times New Roman" w:cs="Times New Roman"/>
          <w:sz w:val="24"/>
          <w:szCs w:val="24"/>
        </w:rPr>
        <w:t>fração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4661A4">
        <w:rPr>
          <w:rFonts w:ascii="Times New Roman" w:eastAsia="Times New Roman" w:hAnsi="Times New Roman" w:cs="Times New Roman"/>
          <w:sz w:val="24"/>
          <w:szCs w:val="24"/>
        </w:rPr>
        <w:t>CCCJC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BE6">
        <w:rPr>
          <w:rFonts w:ascii="Times New Roman" w:eastAsia="Times New Roman" w:hAnsi="Times New Roman" w:cs="Times New Roman"/>
          <w:sz w:val="24"/>
          <w:szCs w:val="24"/>
        </w:rPr>
        <w:t>o subsistema de segurança pública</w:t>
      </w:r>
      <w:r w:rsidR="00E82974">
        <w:rPr>
          <w:rFonts w:ascii="Times New Roman" w:eastAsia="Times New Roman" w:hAnsi="Times New Roman" w:cs="Times New Roman"/>
          <w:sz w:val="24"/>
          <w:szCs w:val="24"/>
        </w:rPr>
        <w:t xml:space="preserve"> brasileiro</w:t>
      </w:r>
      <w:r w:rsidR="0004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49">
        <w:rPr>
          <w:rFonts w:ascii="Times New Roman" w:eastAsia="Times New Roman" w:hAnsi="Times New Roman" w:cs="Times New Roman"/>
          <w:sz w:val="24"/>
          <w:szCs w:val="24"/>
        </w:rPr>
        <w:t xml:space="preserve">(doravante SSPB) </w:t>
      </w:r>
      <w:r w:rsidR="008C5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aproxima-se da noção </w:t>
      </w:r>
      <w:r w:rsidR="00C153F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DF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“administração de justiça criminal”, que </w:t>
      </w:r>
      <w:r w:rsidR="00DF0C0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Maia Neto (2002, p. 203) </w:t>
      </w:r>
      <w:r w:rsidR="00DF0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define como: </w:t>
      </w:r>
    </w:p>
    <w:p w14:paraId="6D0213E5" w14:textId="77777777" w:rsidR="00DF0C05" w:rsidRDefault="00DF0C05" w:rsidP="0067421B">
      <w:pPr>
        <w:spacing w:before="240" w:after="24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[...] todo aparato que envolve a política criminal e penitenciária, organismos e forças públicas que atuam na prevenção e repressão da delinquência, os vários meios de controle formal e informal do Estado, como a polícia ostensiva e judiciária, os promotores de Justiça, os magistrados, os agentes penitenciários, os legisladores, e os servidores ou funcionários públicos do Poder Executivo, Legislativo e Judiciário que trabalham na área. São, em outras palavras, os operadores do Direito.</w:t>
      </w:r>
    </w:p>
    <w:p w14:paraId="441593E8" w14:textId="535AB086" w:rsidR="00C96391" w:rsidRDefault="00C96391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5362364"/>
      <w:r>
        <w:rPr>
          <w:rFonts w:ascii="Times New Roman" w:eastAsia="Times New Roman" w:hAnsi="Times New Roman" w:cs="Times New Roman"/>
          <w:sz w:val="24"/>
          <w:szCs w:val="24"/>
        </w:rPr>
        <w:t xml:space="preserve">Ao longo da história republicana do </w:t>
      </w:r>
      <w:r w:rsidR="00E82974">
        <w:rPr>
          <w:rFonts w:ascii="Times New Roman" w:eastAsia="Times New Roman" w:hAnsi="Times New Roman" w:cs="Times New Roman"/>
          <w:sz w:val="24"/>
          <w:szCs w:val="24"/>
        </w:rPr>
        <w:t>País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à exceção dos períodos autoritários, sempre houve grandes reservas à interferência da União na autonomia das unidades federativas em matéria de segurança pública, </w:t>
      </w:r>
      <w:r w:rsidR="00E82974">
        <w:rPr>
          <w:rFonts w:ascii="Times New Roman" w:eastAsia="Times New Roman" w:hAnsi="Times New Roman" w:cs="Times New Roman"/>
          <w:sz w:val="24"/>
          <w:szCs w:val="24"/>
        </w:rPr>
        <w:t xml:space="preserve">principalmente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à atuação das polícias estaduais (militar e civil, que atuam de forma não apenas desarticulada, mas, inclusive, concorrencial) </w:t>
      </w:r>
      <w:r w:rsidR="00E71E44">
        <w:rPr>
          <w:rFonts w:ascii="Times New Roman" w:eastAsia="Times New Roman" w:hAnsi="Times New Roman" w:cs="Times New Roman"/>
          <w:sz w:val="24"/>
          <w:szCs w:val="24"/>
        </w:rPr>
        <w:t xml:space="preserve">frente 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>outras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agências. </w:t>
      </w:r>
      <w:r w:rsidR="00AC3C66">
        <w:rPr>
          <w:rFonts w:ascii="Times New Roman" w:eastAsia="Times New Roman" w:hAnsi="Times New Roman" w:cs="Times New Roman"/>
          <w:sz w:val="24"/>
          <w:szCs w:val="24"/>
        </w:rPr>
        <w:t xml:space="preserve">Ainda hoje, o maior volume de despesas </w:t>
      </w:r>
      <w:r w:rsidR="00E8297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C3C66">
        <w:rPr>
          <w:rFonts w:ascii="Times New Roman" w:eastAsia="Times New Roman" w:hAnsi="Times New Roman" w:cs="Times New Roman"/>
          <w:sz w:val="24"/>
          <w:szCs w:val="24"/>
        </w:rPr>
        <w:t>a função segurança pública concentra-se na esfera estadual (81%), contra 14% no governo federal e 5% nos municípios, de acordo com dados de 2020 (</w:t>
      </w:r>
      <w:r w:rsidR="00E71E44">
        <w:rPr>
          <w:rFonts w:ascii="Times New Roman" w:eastAsia="Times New Roman" w:hAnsi="Times New Roman" w:cs="Times New Roman"/>
          <w:sz w:val="24"/>
          <w:szCs w:val="24"/>
        </w:rPr>
        <w:t xml:space="preserve">FBSP, </w:t>
      </w:r>
      <w:r w:rsidR="00AC3C66">
        <w:rPr>
          <w:rFonts w:ascii="Times New Roman" w:eastAsia="Times New Roman" w:hAnsi="Times New Roman" w:cs="Times New Roman"/>
          <w:sz w:val="24"/>
          <w:szCs w:val="24"/>
        </w:rPr>
        <w:t>2021)</w:t>
      </w:r>
      <w:r w:rsidR="005730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30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</w:p>
    <w:bookmarkEnd w:id="9"/>
    <w:p w14:paraId="50FB8618" w14:textId="7248A976" w:rsidR="000D59AA" w:rsidRDefault="000D59AA" w:rsidP="000D59AA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organograma da segurança pública </w:t>
      </w:r>
      <w:r w:rsidR="0067421B">
        <w:rPr>
          <w:rFonts w:ascii="Times New Roman" w:eastAsia="Times New Roman" w:hAnsi="Times New Roman" w:cs="Times New Roman"/>
          <w:sz w:val="24"/>
          <w:szCs w:val="24"/>
        </w:rPr>
        <w:t>nacional</w:t>
      </w:r>
      <w:r>
        <w:rPr>
          <w:rFonts w:ascii="Times New Roman" w:eastAsia="Times New Roman" w:hAnsi="Times New Roman" w:cs="Times New Roman"/>
          <w:sz w:val="24"/>
          <w:szCs w:val="24"/>
        </w:rPr>
        <w:t>, conforme</w:t>
      </w:r>
      <w:r w:rsidR="009A62A2">
        <w:rPr>
          <w:rFonts w:ascii="Times New Roman" w:eastAsia="Times New Roman" w:hAnsi="Times New Roman" w:cs="Times New Roman"/>
          <w:sz w:val="24"/>
          <w:szCs w:val="24"/>
        </w:rPr>
        <w:t xml:space="preserve"> previsão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artigo 144 da </w:t>
      </w:r>
      <w:r w:rsidR="00D17C1A">
        <w:rPr>
          <w:rFonts w:ascii="Times New Roman" w:eastAsia="Times New Roman" w:hAnsi="Times New Roman" w:cs="Times New Roman"/>
          <w:sz w:val="24"/>
          <w:szCs w:val="24"/>
        </w:rPr>
        <w:t>Constituição Federal (CF, BRASIL, 1988)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pode ser visualizado na Figura 1. </w:t>
      </w:r>
    </w:p>
    <w:p w14:paraId="5C541E75" w14:textId="77777777" w:rsidR="000D59AA" w:rsidRDefault="000D59AA" w:rsidP="000D59AA">
      <w:pPr>
        <w:tabs>
          <w:tab w:val="center" w:pos="42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29CC03" wp14:editId="197D11FF">
            <wp:extent cx="4216520" cy="3965434"/>
            <wp:effectExtent l="19050" t="19050" r="12700" b="165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713" cy="3970318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21633F" w14:textId="77777777" w:rsidR="000D59AA" w:rsidRDefault="000D59AA" w:rsidP="000D59AA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Figura 1 – Arquitetura institucional básica da segurança pública no Brasil</w:t>
      </w:r>
    </w:p>
    <w:p w14:paraId="75E91B36" w14:textId="4028E216" w:rsidR="000D59AA" w:rsidRDefault="000D59AA" w:rsidP="009A62A2">
      <w:pPr>
        <w:tabs>
          <w:tab w:val="center" w:pos="4252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Fonte: </w:t>
      </w:r>
      <w:r w:rsidR="00A8497D" w:rsidRPr="00F81003">
        <w:rPr>
          <w:rFonts w:ascii="Times New Roman" w:eastAsia="Times New Roman" w:hAnsi="Times New Roman" w:cs="Times New Roman"/>
          <w:sz w:val="20"/>
          <w:szCs w:val="20"/>
        </w:rPr>
        <w:t>FBSP</w:t>
      </w:r>
      <w:r w:rsidRPr="00F81003">
        <w:rPr>
          <w:rFonts w:ascii="Times New Roman" w:eastAsia="Times New Roman" w:hAnsi="Times New Roman" w:cs="Times New Roman"/>
          <w:sz w:val="20"/>
          <w:szCs w:val="20"/>
        </w:rPr>
        <w:t xml:space="preserve"> (2016, p. 46).</w:t>
      </w:r>
    </w:p>
    <w:p w14:paraId="61E4DE1C" w14:textId="43EEDF43" w:rsidR="000D59AA" w:rsidRDefault="000D59AA" w:rsidP="000D59AA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8497D">
        <w:rPr>
          <w:rFonts w:ascii="Times New Roman" w:eastAsia="Times New Roman" w:hAnsi="Times New Roman" w:cs="Times New Roman"/>
          <w:sz w:val="24"/>
          <w:szCs w:val="24"/>
        </w:rPr>
        <w:t xml:space="preserve">citado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artigo </w:t>
      </w:r>
      <w:r w:rsidR="00A8497D">
        <w:rPr>
          <w:rFonts w:ascii="Times New Roman" w:eastAsia="Times New Roman" w:hAnsi="Times New Roman" w:cs="Times New Roman"/>
          <w:sz w:val="24"/>
          <w:szCs w:val="24"/>
        </w:rPr>
        <w:t>constitucional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definiu competências exclusivas em segurança pública aos entes federados, atribuindo-lhes autonomia decisória e financeira. Enquanto dever do Estado e responsabilidade de todos, 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>o assunto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compete à União, com as Forças Armadas e as Polícias Federais; aos estados, com as Polícias Civil e Militar, respectivamente de cunho judiciário e ostensivo/de preservação da ordem pública; e aos municípios, com função supletiva </w:t>
      </w:r>
      <w:r w:rsidR="000E671B">
        <w:rPr>
          <w:rFonts w:ascii="Times New Roman" w:eastAsia="Times New Roman" w:hAnsi="Times New Roman" w:cs="Times New Roman"/>
          <w:sz w:val="24"/>
          <w:szCs w:val="24"/>
        </w:rPr>
        <w:t xml:space="preserve">por meio 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Guardas Municipais. </w:t>
      </w:r>
      <w:r w:rsidR="00573008">
        <w:rPr>
          <w:rFonts w:ascii="Times New Roman" w:eastAsia="Times New Roman" w:hAnsi="Times New Roman" w:cs="Times New Roman"/>
          <w:sz w:val="24"/>
          <w:szCs w:val="24"/>
        </w:rPr>
        <w:t>Recentemente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2019, foram </w:t>
      </w:r>
      <w:r w:rsidR="00A8497D">
        <w:rPr>
          <w:rFonts w:ascii="Times New Roman" w:eastAsia="Times New Roman" w:hAnsi="Times New Roman" w:cs="Times New Roman"/>
          <w:sz w:val="24"/>
          <w:szCs w:val="24"/>
        </w:rPr>
        <w:t>regulamentadas</w:t>
      </w:r>
      <w:r>
        <w:rPr>
          <w:rFonts w:ascii="Times New Roman" w:eastAsia="Times New Roman" w:hAnsi="Times New Roman" w:cs="Times New Roman"/>
          <w:sz w:val="24"/>
          <w:szCs w:val="24"/>
        </w:rPr>
        <w:t>, pela emenda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 xml:space="preserve"> constitucional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104 (BRASIL, 2019a), as polícias penais federal, estaduais e distrital (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>do Distrito 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4BED4F70" w14:textId="6775C386" w:rsidR="00456D47" w:rsidRDefault="00456D47" w:rsidP="00456D47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05362557"/>
      <w:r>
        <w:rPr>
          <w:rFonts w:ascii="Times New Roman" w:eastAsia="Times New Roman" w:hAnsi="Times New Roman" w:cs="Times New Roman"/>
          <w:sz w:val="24"/>
          <w:szCs w:val="24"/>
        </w:rPr>
        <w:t xml:space="preserve">Contudo, a partir da promulgação </w:t>
      </w:r>
      <w:r w:rsidR="00D17C1A">
        <w:rPr>
          <w:rFonts w:ascii="Times New Roman" w:eastAsia="Times New Roman" w:hAnsi="Times New Roman" w:cs="Times New Roman"/>
          <w:sz w:val="24"/>
          <w:szCs w:val="24"/>
        </w:rPr>
        <w:t>da CF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 se verificado uma combinação entre movimentos centralizadores (</w:t>
      </w:r>
      <w:r w:rsidR="009A62A2">
        <w:rPr>
          <w:rFonts w:ascii="Times New Roman" w:eastAsia="Times New Roman" w:hAnsi="Times New Roman" w:cs="Times New Roman"/>
          <w:sz w:val="24"/>
          <w:szCs w:val="24"/>
        </w:rPr>
        <w:t>a própria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configuração de um </w:t>
      </w:r>
      <w:r w:rsidR="0054016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ubsistema nacional)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descentralizadores 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(sobretudo </w:t>
      </w:r>
      <w:r w:rsidR="00EA4B9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17C1A">
        <w:rPr>
          <w:rFonts w:ascii="Times New Roman" w:eastAsia="Times New Roman" w:hAnsi="Times New Roman" w:cs="Times New Roman"/>
          <w:sz w:val="24"/>
          <w:szCs w:val="24"/>
        </w:rPr>
        <w:t xml:space="preserve"> movimento de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municipalização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vis a vis a manutenção </w:t>
      </w:r>
      <w:r w:rsidR="00EA4B97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forte autonomia </w:t>
      </w:r>
      <w:r w:rsidR="00EA4B97">
        <w:rPr>
          <w:rFonts w:ascii="Times New Roman" w:eastAsia="Times New Roman" w:hAnsi="Times New Roman" w:cs="Times New Roman"/>
          <w:sz w:val="24"/>
          <w:szCs w:val="24"/>
        </w:rPr>
        <w:t>por parte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órgãos estaduais (secretarias de governo, polícias e perícias). </w:t>
      </w:r>
    </w:p>
    <w:bookmarkEnd w:id="10"/>
    <w:p w14:paraId="242BA704" w14:textId="66D1D343" w:rsidR="00C96391" w:rsidRDefault="00C8739C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década de 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ocorre</w:t>
      </w:r>
      <w:r w:rsidR="00A8497D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>uma reorganização das relações intergovernamentais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 nessa temática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E59">
        <w:rPr>
          <w:rFonts w:ascii="Times New Roman" w:eastAsia="Times New Roman" w:hAnsi="Times New Roman" w:cs="Times New Roman"/>
          <w:sz w:val="24"/>
          <w:szCs w:val="24"/>
        </w:rPr>
        <w:t xml:space="preserve">quando 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o governo federal, ao mesmo tempo em que tomou para si a responsabilidade de enfrentar os fenômenos da criminalidade, da violência, da insegurança e da violação de direitos humanos, </w:t>
      </w:r>
      <w:r w:rsidR="009A62A2">
        <w:rPr>
          <w:rFonts w:ascii="Times New Roman" w:eastAsia="Times New Roman" w:hAnsi="Times New Roman" w:cs="Times New Roman"/>
          <w:sz w:val="24"/>
          <w:szCs w:val="24"/>
        </w:rPr>
        <w:t>passou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a estimular a articulação 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entre as esferas de governo 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e a descentralização via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indução </w:t>
      </w:r>
      <w:r w:rsidR="0078097E">
        <w:rPr>
          <w:rFonts w:ascii="Times New Roman" w:eastAsia="Times New Roman" w:hAnsi="Times New Roman" w:cs="Times New Roman"/>
          <w:sz w:val="24"/>
          <w:szCs w:val="24"/>
        </w:rPr>
        <w:t>da execução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>programas às instâncias subnacionais</w:t>
      </w:r>
      <w:r w:rsidR="001000FE">
        <w:rPr>
          <w:rFonts w:ascii="Times New Roman" w:eastAsia="Times New Roman" w:hAnsi="Times New Roman" w:cs="Times New Roman"/>
          <w:sz w:val="24"/>
          <w:szCs w:val="24"/>
        </w:rPr>
        <w:t>, sobretudo aos municípios</w:t>
      </w:r>
      <w:r w:rsidR="009B4EC1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3"/>
      </w:r>
      <w:r w:rsidR="00C96391">
        <w:rPr>
          <w:rFonts w:ascii="Times New Roman" w:eastAsia="Times New Roman" w:hAnsi="Times New Roman" w:cs="Times New Roman"/>
          <w:sz w:val="24"/>
          <w:szCs w:val="24"/>
        </w:rPr>
        <w:t>. Conforme Sá e Silva (2012), estudos e experimentos amparados por extensa literatura internacional</w:t>
      </w:r>
      <w:r w:rsidR="00106AF9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4"/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já apontavam, à época, que para prover segurança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ao invés do tradicional modelo repressivo, 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eram mais </w:t>
      </w:r>
      <w:r w:rsidR="0063799A">
        <w:rPr>
          <w:rFonts w:ascii="Times New Roman" w:eastAsia="Times New Roman" w:hAnsi="Times New Roman" w:cs="Times New Roman"/>
          <w:sz w:val="24"/>
          <w:szCs w:val="24"/>
        </w:rPr>
        <w:t>eficazes</w:t>
      </w:r>
      <w:r w:rsidR="009A62A2">
        <w:rPr>
          <w:rFonts w:ascii="Times New Roman" w:eastAsia="Times New Roman" w:hAnsi="Times New Roman" w:cs="Times New Roman"/>
          <w:sz w:val="24"/>
          <w:szCs w:val="24"/>
        </w:rPr>
        <w:t>: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a prevenção à violência, a melhoria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a gestão </w:t>
      </w:r>
      <w:r>
        <w:rPr>
          <w:rFonts w:ascii="Times New Roman" w:eastAsia="Times New Roman" w:hAnsi="Times New Roman" w:cs="Times New Roman"/>
          <w:sz w:val="24"/>
          <w:szCs w:val="24"/>
        </w:rPr>
        <w:t>institucional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e a adoção de outros </w:t>
      </w:r>
      <w:r w:rsidR="00DE354C">
        <w:rPr>
          <w:rFonts w:ascii="Times New Roman" w:eastAsia="Times New Roman" w:hAnsi="Times New Roman" w:cs="Times New Roman"/>
          <w:sz w:val="24"/>
          <w:szCs w:val="24"/>
        </w:rPr>
        <w:t>tipos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de policiamento (como o comunitário). </w:t>
      </w:r>
    </w:p>
    <w:p w14:paraId="39B30125" w14:textId="7EA8B08E" w:rsidR="00C96391" w:rsidRDefault="00C96391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Analisando essa trajetória, Soares (2007) identifica, entre a última metade da década de 1990 e os primeiros anos da de 2000, uma série histórica compacta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 xml:space="preserve"> e contínua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política federal de segurança pública quanto aos 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>
        <w:rPr>
          <w:rFonts w:ascii="Times New Roman" w:eastAsia="Times New Roman" w:hAnsi="Times New Roman" w:cs="Times New Roman"/>
          <w:sz w:val="24"/>
          <w:szCs w:val="24"/>
        </w:rPr>
        <w:t>princípios e objetivos. Já para Adorno (2008, p. 140), esse período difere substancialmente do anterior, marcado pela omissão do governo federal na área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54C">
        <w:rPr>
          <w:rFonts w:ascii="Times New Roman" w:eastAsia="Times New Roman" w:hAnsi="Times New Roman" w:cs="Times New Roman"/>
          <w:sz w:val="24"/>
          <w:szCs w:val="24"/>
        </w:rPr>
        <w:t xml:space="preserve">pela descoordenação das ações e pela 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previsão de recursos, quando as forças policiais procuravam apenas “caçar bandidos conhecidos”. Muniz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(2005) também reconhecem a existência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no mesmo 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>período,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nova orientação, 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>abrangendo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garantia de direitos, proteção dos excluídos e proatividade</w:t>
      </w:r>
      <w:r w:rsidR="00B1071A">
        <w:rPr>
          <w:rFonts w:ascii="Times New Roman" w:eastAsia="Times New Roman" w:hAnsi="Times New Roman" w:cs="Times New Roman"/>
          <w:sz w:val="24"/>
          <w:szCs w:val="24"/>
        </w:rPr>
        <w:t xml:space="preserve"> governamental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3FC73A" w14:textId="3879E3AA" w:rsidR="00C96391" w:rsidRDefault="00C96391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mudanças reflet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m-se em </w:t>
      </w:r>
      <w:r w:rsidR="00DE354C">
        <w:rPr>
          <w:rFonts w:ascii="Times New Roman" w:eastAsia="Times New Roman" w:hAnsi="Times New Roman" w:cs="Times New Roman"/>
          <w:sz w:val="24"/>
          <w:szCs w:val="24"/>
        </w:rPr>
        <w:t>novas propostas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>para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segurança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 xml:space="preserve"> pública</w:t>
      </w:r>
      <w:r w:rsidR="00DE354C">
        <w:rPr>
          <w:rFonts w:ascii="Times New Roman" w:eastAsia="Times New Roman" w:hAnsi="Times New Roman" w:cs="Times New Roman"/>
          <w:sz w:val="24"/>
          <w:szCs w:val="24"/>
        </w:rPr>
        <w:t xml:space="preserve">, chamadas, por alguns, de </w:t>
      </w:r>
      <w:r>
        <w:rPr>
          <w:rFonts w:ascii="Times New Roman" w:eastAsia="Times New Roman" w:hAnsi="Times New Roman" w:cs="Times New Roman"/>
          <w:sz w:val="24"/>
          <w:szCs w:val="24"/>
        </w:rPr>
        <w:t>“políticas públicas de segurança” (ILANUD, 2002</w:t>
      </w:r>
      <w:r w:rsidR="000B5121">
        <w:rPr>
          <w:rFonts w:ascii="Times New Roman" w:eastAsia="Times New Roman" w:hAnsi="Times New Roman" w:cs="Times New Roman"/>
          <w:sz w:val="24"/>
          <w:szCs w:val="24"/>
        </w:rPr>
        <w:t>, OLIVEIRA, 2002</w:t>
      </w:r>
      <w:r w:rsidR="000B5121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34447">
        <w:rPr>
          <w:rFonts w:ascii="Times New Roman" w:eastAsia="Times New Roman" w:hAnsi="Times New Roman" w:cs="Times New Roman"/>
          <w:sz w:val="24"/>
          <w:szCs w:val="24"/>
        </w:rPr>
        <w:t xml:space="preserve">por outros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“segurança cidadã” (MESQUITA NETO, 2006; FREIRE, 2009), 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, ainda,</w:t>
      </w:r>
      <w:r w:rsidR="00734447">
        <w:rPr>
          <w:rFonts w:ascii="Times New Roman" w:eastAsia="Times New Roman" w:hAnsi="Times New Roman" w:cs="Times New Roman"/>
          <w:sz w:val="24"/>
          <w:szCs w:val="24"/>
        </w:rPr>
        <w:t xml:space="preserve"> reunidas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FF">
        <w:rPr>
          <w:rFonts w:ascii="Times New Roman" w:eastAsia="Times New Roman" w:hAnsi="Times New Roman" w:cs="Times New Roman"/>
          <w:sz w:val="24"/>
          <w:szCs w:val="24"/>
        </w:rPr>
        <w:t>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“nova agenda ‘progressista e democrática’ para a segurança</w:t>
      </w:r>
      <w:bookmarkStart w:id="11" w:name="_Hlk99469344"/>
      <w:r>
        <w:rPr>
          <w:rFonts w:ascii="Times New Roman" w:eastAsia="Times New Roman" w:hAnsi="Times New Roman" w:cs="Times New Roman"/>
          <w:sz w:val="24"/>
          <w:szCs w:val="24"/>
        </w:rPr>
        <w:t xml:space="preserve">” (MUNIZ; ZACCHI, 2005, 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p. 124). </w:t>
      </w:r>
      <w:r w:rsidR="007F4DB3">
        <w:rPr>
          <w:rFonts w:ascii="Times New Roman" w:eastAsia="Calibri" w:hAnsi="Times New Roman" w:cs="Times New Roman"/>
          <w:sz w:val="24"/>
          <w:szCs w:val="24"/>
        </w:rPr>
        <w:t>Dessa forma, o setor afastou-se dos dois paradigmas anteriores</w:t>
      </w:r>
      <w:r w:rsidR="009D1F69">
        <w:rPr>
          <w:rFonts w:ascii="Times New Roman" w:eastAsia="Calibri" w:hAnsi="Times New Roman" w:cs="Times New Roman"/>
          <w:sz w:val="24"/>
          <w:szCs w:val="24"/>
        </w:rPr>
        <w:t>,</w:t>
      </w:r>
      <w:r w:rsidR="007F4DB3">
        <w:rPr>
          <w:rFonts w:ascii="Times New Roman" w:eastAsia="Calibri" w:hAnsi="Times New Roman" w:cs="Times New Roman"/>
          <w:sz w:val="24"/>
          <w:szCs w:val="24"/>
        </w:rPr>
        <w:t xml:space="preserve"> denominados por Freire (2009) de “segurança nacional” e “segurança pública”. </w:t>
      </w:r>
    </w:p>
    <w:p w14:paraId="60CACD4A" w14:textId="2232CC6E" w:rsidR="00C96391" w:rsidRDefault="009D1F69" w:rsidP="00C963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2009, a Comissão Interamericana de Direitos Humanos vinculada à Organização dos Estados Americanos (OEA) publicou um Informe sobre Segurança Cidadã e Direitos Humanos</w:t>
      </w:r>
      <w:r w:rsidR="00106AF9">
        <w:rPr>
          <w:rFonts w:ascii="Times New Roman" w:eastAsia="Times New Roman" w:hAnsi="Times New Roman" w:cs="Times New Roman"/>
          <w:sz w:val="24"/>
          <w:szCs w:val="24"/>
        </w:rPr>
        <w:t xml:space="preserve">, onde constava a </w:t>
      </w:r>
      <w:r w:rsidR="000B5121">
        <w:rPr>
          <w:rFonts w:ascii="Times New Roman" w:eastAsia="Times New Roman" w:hAnsi="Times New Roman" w:cs="Times New Roman"/>
          <w:sz w:val="24"/>
          <w:szCs w:val="24"/>
        </w:rPr>
        <w:t>seguinte definição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F328C30" w14:textId="3F04290D" w:rsidR="00C96391" w:rsidRPr="000B5121" w:rsidRDefault="00C96391" w:rsidP="00E2359F">
      <w:pPr>
        <w:spacing w:before="240" w:after="240" w:line="240" w:lineRule="auto"/>
        <w:ind w:left="2268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seguridad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ciudadana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 concebida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Comisión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aquella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situación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donde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pueden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libres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amenazas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delito,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vez 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Estado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tiene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capacidades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necesarias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garantizar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 proteger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derechos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humanos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directamente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comprometidos frente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mismas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práctica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seguridad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ciudadana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desde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enfoque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derechos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humanos, es una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condición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donde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libres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actores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estatales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estatales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B5121">
        <w:rPr>
          <w:rFonts w:ascii="Times New Roman" w:eastAsia="Times New Roman" w:hAnsi="Times New Roman" w:cs="Times New Roman"/>
          <w:sz w:val="20"/>
          <w:szCs w:val="20"/>
        </w:rPr>
        <w:t xml:space="preserve">[...] </w:t>
      </w:r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Contrariamente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lo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que se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entendió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durante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mucho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tiempo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seguridad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ciudadana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sólo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depende de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policía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seguridad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ciudadana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está relacionada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presencia interrelacionada de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múltiples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actores</w:t>
      </w:r>
      <w:proofErr w:type="spellEnd"/>
      <w:r w:rsidRPr="00F001B7">
        <w:rPr>
          <w:rFonts w:ascii="Times New Roman" w:eastAsia="Times New Roman" w:hAnsi="Times New Roman" w:cs="Times New Roman"/>
          <w:sz w:val="20"/>
          <w:szCs w:val="20"/>
        </w:rPr>
        <w:t xml:space="preserve">, condiciones y </w:t>
      </w:r>
      <w:proofErr w:type="spellStart"/>
      <w:r w:rsidRPr="00F001B7">
        <w:rPr>
          <w:rFonts w:ascii="Times New Roman" w:eastAsia="Times New Roman" w:hAnsi="Times New Roman" w:cs="Times New Roman"/>
          <w:sz w:val="20"/>
          <w:szCs w:val="20"/>
        </w:rPr>
        <w:t>factores</w:t>
      </w:r>
      <w:proofErr w:type="spellEnd"/>
      <w:r w:rsidRPr="000B512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6567A" w:rsidRPr="000B51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121">
        <w:rPr>
          <w:rFonts w:ascii="Times New Roman" w:eastAsia="Times New Roman" w:hAnsi="Times New Roman" w:cs="Times New Roman"/>
          <w:sz w:val="20"/>
          <w:szCs w:val="20"/>
        </w:rPr>
        <w:t>(OEA, 2009, p. 111)</w:t>
      </w:r>
    </w:p>
    <w:p w14:paraId="515CF17C" w14:textId="08B9DF1D" w:rsidR="00C96391" w:rsidRDefault="00C96391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Essa nova perspectiva – que </w:t>
      </w:r>
      <w:r w:rsidR="00892DB8">
        <w:rPr>
          <w:rFonts w:ascii="Times New Roman" w:eastAsia="Times New Roman" w:hAnsi="Times New Roman" w:cs="Times New Roman"/>
          <w:sz w:val="24"/>
          <w:szCs w:val="24"/>
        </w:rPr>
        <w:t xml:space="preserve">aqui </w:t>
      </w:r>
      <w:r>
        <w:rPr>
          <w:rFonts w:ascii="Times New Roman" w:eastAsia="Times New Roman" w:hAnsi="Times New Roman" w:cs="Times New Roman"/>
          <w:sz w:val="24"/>
          <w:szCs w:val="24"/>
        </w:rPr>
        <w:t>chamaremos de “segurança cidadã”</w:t>
      </w:r>
      <w:r w:rsidR="00734447">
        <w:rPr>
          <w:rFonts w:ascii="Times New Roman" w:eastAsia="Times New Roman" w:hAnsi="Times New Roman" w:cs="Times New Roman"/>
          <w:sz w:val="24"/>
          <w:szCs w:val="24"/>
        </w:rPr>
        <w:t xml:space="preserve"> por ser o termo mais </w:t>
      </w:r>
      <w:r w:rsidR="00AE3F7E">
        <w:rPr>
          <w:rFonts w:ascii="Times New Roman" w:eastAsia="Times New Roman" w:hAnsi="Times New Roman" w:cs="Times New Roman"/>
          <w:sz w:val="24"/>
          <w:szCs w:val="24"/>
        </w:rPr>
        <w:t>difundido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E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inclui, em linhas gerais: a) o entendimento de que a violência e a criminalidade são fenômenos multicausais; b) o incentivo às ações preventivas da violência, sem desconsiderar</w:t>
      </w:r>
      <w:r w:rsidR="00765E60">
        <w:rPr>
          <w:rFonts w:ascii="Times New Roman" w:eastAsia="Times New Roman" w:hAnsi="Times New Roman" w:cs="Times New Roman"/>
          <w:sz w:val="24"/>
          <w:szCs w:val="24"/>
        </w:rPr>
        <w:t xml:space="preserve">, contudo, </w:t>
      </w:r>
      <w:r>
        <w:rPr>
          <w:rFonts w:ascii="Times New Roman" w:eastAsia="Times New Roman" w:hAnsi="Times New Roman" w:cs="Times New Roman"/>
          <w:sz w:val="24"/>
          <w:szCs w:val="24"/>
        </w:rPr>
        <w:t>o controle policial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c) o objetivo de </w:t>
      </w:r>
      <w:r w:rsidR="009D1F69">
        <w:rPr>
          <w:rFonts w:ascii="Times New Roman" w:eastAsia="Times New Roman" w:hAnsi="Times New Roman" w:cs="Times New Roman"/>
          <w:sz w:val="24"/>
          <w:szCs w:val="24"/>
        </w:rPr>
        <w:t xml:space="preserve">articular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agências de controle com os órgãos responsáveis por políticas </w:t>
      </w:r>
      <w:r w:rsidR="00F80F17">
        <w:rPr>
          <w:rFonts w:ascii="Times New Roman" w:eastAsia="Times New Roman" w:hAnsi="Times New Roman" w:cs="Times New Roman"/>
          <w:sz w:val="24"/>
          <w:szCs w:val="24"/>
        </w:rPr>
        <w:t>sociais e com a sociedade civil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d) o estímulo à participação social; e) </w:t>
      </w:r>
      <w:r w:rsidR="00B84AC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62705">
        <w:rPr>
          <w:rFonts w:ascii="Times New Roman" w:eastAsia="Times New Roman" w:hAnsi="Times New Roman" w:cs="Times New Roman"/>
          <w:sz w:val="24"/>
          <w:szCs w:val="24"/>
        </w:rPr>
        <w:t>coordenação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forte indução da União dirigida aos governos subnacionais, sobretudo </w:t>
      </w:r>
      <w:r w:rsidR="00F80F1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os municípios</w:t>
      </w:r>
      <w:r w:rsidR="00F80F1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organizações sociais</w:t>
      </w:r>
      <w:r w:rsidR="00F80F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ACC">
        <w:rPr>
          <w:rFonts w:ascii="Times New Roman" w:eastAsia="Times New Roman" w:hAnsi="Times New Roman" w:cs="Times New Roman"/>
          <w:sz w:val="24"/>
          <w:szCs w:val="24"/>
        </w:rPr>
        <w:t>em prol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B84ACC">
        <w:rPr>
          <w:rFonts w:ascii="Times New Roman" w:eastAsia="Times New Roman" w:hAnsi="Times New Roman" w:cs="Times New Roman"/>
          <w:sz w:val="24"/>
          <w:szCs w:val="24"/>
        </w:rPr>
        <w:t>da segurança cidadã e da descentralização das ações concernentes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BF282" w14:textId="1C2D74B3" w:rsidR="00F80F17" w:rsidRDefault="002F5702" w:rsidP="00C96391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Quadro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2, a seguir, apresenta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panorama </w:t>
      </w:r>
      <w:r w:rsidR="009D10B9">
        <w:rPr>
          <w:rFonts w:ascii="Times New Roman" w:eastAsia="Times New Roman" w:hAnsi="Times New Roman" w:cs="Times New Roman"/>
          <w:sz w:val="24"/>
          <w:szCs w:val="24"/>
        </w:rPr>
        <w:t>dos principais marcos introduzidos</w:t>
      </w:r>
      <w:r w:rsidR="00C9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9A8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427649">
        <w:rPr>
          <w:rFonts w:ascii="Times New Roman" w:eastAsia="Times New Roman" w:hAnsi="Times New Roman" w:cs="Times New Roman"/>
          <w:sz w:val="24"/>
          <w:szCs w:val="24"/>
        </w:rPr>
        <w:t>SSPB</w:t>
      </w:r>
      <w:r w:rsidR="002A0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0B9">
        <w:rPr>
          <w:rFonts w:ascii="Times New Roman" w:eastAsia="Times New Roman" w:hAnsi="Times New Roman" w:cs="Times New Roman"/>
          <w:sz w:val="24"/>
          <w:szCs w:val="24"/>
        </w:rPr>
        <w:t xml:space="preserve">em específico na esfera federal, desde a década de 1990 até anos recentes. </w:t>
      </w:r>
    </w:p>
    <w:p w14:paraId="16E2CB40" w14:textId="5AD44BF2" w:rsidR="00174F0B" w:rsidRDefault="00174F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9669" w:type="dxa"/>
        <w:tblLayout w:type="fixed"/>
        <w:tblLook w:val="0400" w:firstRow="0" w:lastRow="0" w:firstColumn="0" w:lastColumn="0" w:noHBand="0" w:noVBand="1"/>
      </w:tblPr>
      <w:tblGrid>
        <w:gridCol w:w="720"/>
        <w:gridCol w:w="555"/>
        <w:gridCol w:w="8394"/>
      </w:tblGrid>
      <w:tr w:rsidR="005A2DD9" w:rsidRPr="001277D1" w14:paraId="369B9A5F" w14:textId="77777777" w:rsidTr="005A2DD9">
        <w:trPr>
          <w:trHeight w:val="227"/>
        </w:trPr>
        <w:tc>
          <w:tcPr>
            <w:tcW w:w="720" w:type="dxa"/>
            <w:vAlign w:val="center"/>
            <w:hideMark/>
          </w:tcPr>
          <w:p w14:paraId="15636907" w14:textId="18DF9E48" w:rsidR="00C96391" w:rsidRPr="001277D1" w:rsidRDefault="00C96391" w:rsidP="005A2DD9">
            <w:pPr>
              <w:ind w:right="-8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7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Gov</w:t>
            </w:r>
            <w:r w:rsidR="005A2DD9" w:rsidRPr="001277D1">
              <w:rPr>
                <w:rFonts w:ascii="Times New Roman" w:hAnsi="Times New Roman" w:cs="Times New Roman"/>
                <w:b/>
                <w:sz w:val="20"/>
                <w:szCs w:val="20"/>
              </w:rPr>
              <w:t>erno</w:t>
            </w:r>
          </w:p>
        </w:tc>
        <w:tc>
          <w:tcPr>
            <w:tcW w:w="555" w:type="dxa"/>
            <w:vAlign w:val="center"/>
            <w:hideMark/>
          </w:tcPr>
          <w:p w14:paraId="21C0F881" w14:textId="77777777" w:rsidR="00C96391" w:rsidRPr="001277D1" w:rsidRDefault="00C96391" w:rsidP="005A2DD9">
            <w:pPr>
              <w:ind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7D1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94" w:type="dxa"/>
            <w:vAlign w:val="center"/>
            <w:hideMark/>
          </w:tcPr>
          <w:p w14:paraId="030A20DE" w14:textId="78E912C4" w:rsidR="00C96391" w:rsidRPr="001277D1" w:rsidRDefault="00C96391" w:rsidP="00423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Principais </w:t>
            </w:r>
            <w:r w:rsidR="003117DD" w:rsidRPr="001277D1">
              <w:rPr>
                <w:rFonts w:ascii="Times New Roman" w:hAnsi="Times New Roman" w:cs="Times New Roman"/>
                <w:b/>
                <w:sz w:val="20"/>
                <w:szCs w:val="20"/>
              </w:rPr>
              <w:t>marcos</w:t>
            </w:r>
          </w:p>
        </w:tc>
      </w:tr>
      <w:tr w:rsidR="005A2DD9" w:rsidRPr="001277D1" w14:paraId="68DA9A53" w14:textId="77777777" w:rsidTr="005A2DD9">
        <w:trPr>
          <w:trHeight w:val="227"/>
        </w:trPr>
        <w:tc>
          <w:tcPr>
            <w:tcW w:w="720" w:type="dxa"/>
            <w:vMerge w:val="restart"/>
            <w:vAlign w:val="center"/>
            <w:hideMark/>
          </w:tcPr>
          <w:p w14:paraId="0A7E116C" w14:textId="665A21AF" w:rsidR="00C96391" w:rsidRPr="0004093C" w:rsidRDefault="005229B8" w:rsidP="00423E52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Cardoso</w:t>
            </w:r>
          </w:p>
        </w:tc>
        <w:tc>
          <w:tcPr>
            <w:tcW w:w="555" w:type="dxa"/>
            <w:vAlign w:val="center"/>
            <w:hideMark/>
          </w:tcPr>
          <w:p w14:paraId="216F1DB9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1995</w:t>
            </w:r>
          </w:p>
        </w:tc>
        <w:tc>
          <w:tcPr>
            <w:tcW w:w="8394" w:type="dxa"/>
            <w:vAlign w:val="center"/>
            <w:hideMark/>
          </w:tcPr>
          <w:p w14:paraId="3ED4129B" w14:textId="6718A329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Criação da Secretaria de Ações Nacionais de Segurança Pública</w:t>
            </w:r>
            <w:r w:rsidR="00F80F17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do Ministério da Justiça (SEPLANSEG)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4625CDE7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255F5013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548FAE49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1996</w:t>
            </w:r>
          </w:p>
        </w:tc>
        <w:tc>
          <w:tcPr>
            <w:tcW w:w="8394" w:type="dxa"/>
            <w:vAlign w:val="center"/>
            <w:hideMark/>
          </w:tcPr>
          <w:p w14:paraId="271E0801" w14:textId="0DA82DE9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I Programa Nacional de Direitos Humanos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0FAC82B6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3358F1F5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76471214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1997</w:t>
            </w:r>
          </w:p>
        </w:tc>
        <w:tc>
          <w:tcPr>
            <w:tcW w:w="8394" w:type="dxa"/>
            <w:vAlign w:val="center"/>
            <w:hideMark/>
          </w:tcPr>
          <w:p w14:paraId="1F8D6D72" w14:textId="1E2AC454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Alteração </w:t>
            </w:r>
            <w:r w:rsidR="00F80F17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do nome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SEPLANSEG para Secretaria Nacional de Segurança Pública (SENASP)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2D237176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81F40DA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vAlign w:val="center"/>
            <w:hideMark/>
          </w:tcPr>
          <w:p w14:paraId="1207E901" w14:textId="116AC4F2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</w:tc>
        <w:tc>
          <w:tcPr>
            <w:tcW w:w="8394" w:type="dxa"/>
            <w:vAlign w:val="center"/>
            <w:hideMark/>
          </w:tcPr>
          <w:p w14:paraId="54827DDD" w14:textId="4C368E7A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I Plano Nacional de Segurança Pública (“O Brasil diz não à violência”), onde aparece, pela primeira vez, a </w:t>
            </w:r>
            <w:r w:rsidR="004E11D4" w:rsidRPr="0004093C">
              <w:rPr>
                <w:rFonts w:ascii="Times New Roman" w:hAnsi="Times New Roman" w:cs="Times New Roman"/>
                <w:sz w:val="18"/>
                <w:szCs w:val="18"/>
              </w:rPr>
              <w:t>palavra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“prevenção”. Ele inclu</w:t>
            </w:r>
            <w:r w:rsidR="003117DD" w:rsidRPr="0004093C">
              <w:rPr>
                <w:rFonts w:ascii="Times New Roman" w:hAnsi="Times New Roman" w:cs="Times New Roman"/>
                <w:sz w:val="18"/>
                <w:szCs w:val="18"/>
              </w:rPr>
              <w:t>ía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o Plano de Integração e Acompanhamento de Programas Sociais de Prevenção da Violência (PIAPS), considerado por Sá e Silva (2012, p. 415) “uma iniciativa específica e bastante vanguardista”. </w:t>
            </w:r>
          </w:p>
        </w:tc>
      </w:tr>
      <w:tr w:rsidR="005A2DD9" w:rsidRPr="001277D1" w14:paraId="0F41E044" w14:textId="77777777" w:rsidTr="005A2DD9">
        <w:trPr>
          <w:trHeight w:val="521"/>
        </w:trPr>
        <w:tc>
          <w:tcPr>
            <w:tcW w:w="720" w:type="dxa"/>
            <w:vMerge/>
            <w:vAlign w:val="center"/>
            <w:hideMark/>
          </w:tcPr>
          <w:p w14:paraId="43C47E1B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64269B29" w14:textId="062B4E6D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381B6D6E" w14:textId="5BF5AA14" w:rsidR="005515C1" w:rsidRPr="0004093C" w:rsidRDefault="004E11D4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Criação do 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Fundo Nacional de Segurança Pública (FNSP), destinado a gerir recursos para apoiar projetos federais, estaduais e municipais.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De acordo com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>Sá e Silva (2012)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>, o Fundo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trouxe maior poder de indução e articulação sistêmica às iniciativas federais.</w:t>
            </w:r>
          </w:p>
        </w:tc>
      </w:tr>
      <w:tr w:rsidR="005A2DD9" w:rsidRPr="001277D1" w14:paraId="0E7C695A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D45593B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187D260C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2001</w:t>
            </w:r>
          </w:p>
        </w:tc>
        <w:tc>
          <w:tcPr>
            <w:tcW w:w="8394" w:type="dxa"/>
            <w:vAlign w:val="center"/>
            <w:hideMark/>
          </w:tcPr>
          <w:p w14:paraId="14294658" w14:textId="40D6F98E" w:rsidR="00C96391" w:rsidRPr="0004093C" w:rsidRDefault="004E11D4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Promulgação do 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Decreto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>3.987</w:t>
            </w:r>
            <w:r w:rsidR="00E67AE4">
              <w:rPr>
                <w:rFonts w:ascii="Times New Roman" w:hAnsi="Times New Roman" w:cs="Times New Roman"/>
                <w:sz w:val="18"/>
                <w:szCs w:val="18"/>
              </w:rPr>
              <w:t xml:space="preserve"> (BRASIL, 2001)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, que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regulamenta a Garantia da Lei e da Ordem (GLO), operação prevista na CF e realizada exclusivamente por ordem do presidente da República, </w:t>
            </w:r>
            <w:r w:rsidR="003117DD" w:rsidRPr="0004093C">
              <w:rPr>
                <w:rFonts w:ascii="Times New Roman" w:hAnsi="Times New Roman" w:cs="Times New Roman"/>
                <w:sz w:val="18"/>
                <w:szCs w:val="18"/>
              </w:rPr>
              <w:t>que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quando solicitado, </w:t>
            </w:r>
            <w:r w:rsidR="003117DD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autoriza 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o uso das Forças Armadas para a “manutenção da segurança pública” nos </w:t>
            </w:r>
            <w:r w:rsidR="003117DD" w:rsidRPr="0004093C">
              <w:rPr>
                <w:rFonts w:ascii="Times New Roman" w:hAnsi="Times New Roman" w:cs="Times New Roman"/>
                <w:sz w:val="18"/>
                <w:szCs w:val="18"/>
              </w:rPr>
              <w:t>territórios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subnacionais</w:t>
            </w:r>
            <w:r w:rsidR="00C96391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5244097A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55E24AD4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655D9C80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2002</w:t>
            </w:r>
          </w:p>
        </w:tc>
        <w:tc>
          <w:tcPr>
            <w:tcW w:w="8394" w:type="dxa"/>
            <w:vAlign w:val="center"/>
            <w:hideMark/>
          </w:tcPr>
          <w:p w14:paraId="5349D382" w14:textId="67A413C1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II Programa Nacional de Direitos Humanos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6F4ECEE8" w14:textId="77777777" w:rsidTr="005A2DD9">
        <w:trPr>
          <w:trHeight w:val="227"/>
        </w:trPr>
        <w:tc>
          <w:tcPr>
            <w:tcW w:w="720" w:type="dxa"/>
            <w:vMerge w:val="restart"/>
            <w:vAlign w:val="center"/>
            <w:hideMark/>
          </w:tcPr>
          <w:p w14:paraId="2E4FD6D2" w14:textId="5FEAD19C" w:rsidR="00C96391" w:rsidRPr="0004093C" w:rsidRDefault="00C96391" w:rsidP="009853EC">
            <w:pPr>
              <w:ind w:left="-108" w:right="-8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Lula</w:t>
            </w:r>
          </w:p>
        </w:tc>
        <w:tc>
          <w:tcPr>
            <w:tcW w:w="555" w:type="dxa"/>
            <w:vAlign w:val="center"/>
            <w:hideMark/>
          </w:tcPr>
          <w:p w14:paraId="47F0F155" w14:textId="218F35AC" w:rsidR="00C96391" w:rsidRPr="0004093C" w:rsidRDefault="00C96391" w:rsidP="009853EC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5515C1"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94" w:type="dxa"/>
            <w:vAlign w:val="center"/>
            <w:hideMark/>
          </w:tcPr>
          <w:p w14:paraId="01673452" w14:textId="29B6276C" w:rsidR="00C96391" w:rsidRPr="0004093C" w:rsidRDefault="00C96391" w:rsidP="00985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Plano de Segurança Pública, elaborado pelo Instituto Cidadania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apresentado à sociedade em fevereiro de 2002</w:t>
            </w:r>
            <w:r w:rsidR="00F44D8B">
              <w:rPr>
                <w:rFonts w:ascii="Times New Roman" w:hAnsi="Times New Roman" w:cs="Times New Roman"/>
                <w:sz w:val="18"/>
                <w:szCs w:val="18"/>
              </w:rPr>
              <w:t xml:space="preserve">, por ocasião do período eleitoral para a Presidência da República. </w:t>
            </w:r>
          </w:p>
        </w:tc>
      </w:tr>
      <w:tr w:rsidR="005A2DD9" w:rsidRPr="001277D1" w14:paraId="539092DD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3D647F10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vAlign w:val="center"/>
            <w:hideMark/>
          </w:tcPr>
          <w:p w14:paraId="536B53AA" w14:textId="77777777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2003</w:t>
            </w:r>
          </w:p>
        </w:tc>
        <w:tc>
          <w:tcPr>
            <w:tcW w:w="8394" w:type="dxa"/>
            <w:vAlign w:val="center"/>
            <w:hideMark/>
          </w:tcPr>
          <w:p w14:paraId="57758C34" w14:textId="403CF6AD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Criação do Sistema Unificado de Segurança Pública (SUSP), visando implantar reformas 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institucionais e </w:t>
            </w:r>
            <w:r w:rsidR="003117DD" w:rsidRPr="0004093C">
              <w:rPr>
                <w:rFonts w:ascii="Times New Roman" w:hAnsi="Times New Roman" w:cs="Times New Roman"/>
                <w:sz w:val="18"/>
                <w:szCs w:val="18"/>
              </w:rPr>
              <w:t>reduzir a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violência. Trindade e Madeira (2020) esclarecem que até 2016 o SUSP não havia sido implementado. </w:t>
            </w:r>
          </w:p>
        </w:tc>
      </w:tr>
      <w:tr w:rsidR="005A2DD9" w:rsidRPr="001277D1" w14:paraId="3E071B89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C5EF84E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1268C83E" w14:textId="581287DD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58D6A865" w14:textId="08B65F57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Matriz Curricular Nacional para a formação profissional na área da segurança pública</w:t>
            </w:r>
            <w:r w:rsidR="001C6BD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44D8B">
              <w:rPr>
                <w:rFonts w:ascii="Times New Roman" w:hAnsi="Times New Roman" w:cs="Times New Roman"/>
                <w:sz w:val="18"/>
                <w:szCs w:val="18"/>
              </w:rPr>
              <w:t xml:space="preserve">que foi 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tualizada em 2005. </w:t>
            </w:r>
          </w:p>
        </w:tc>
      </w:tr>
      <w:tr w:rsidR="005A2DD9" w:rsidRPr="001277D1" w14:paraId="1EC40017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31B81F60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7F988016" w14:textId="59F3005A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1876C082" w14:textId="7016690E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Estatuto do Desarmamento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que </w:t>
            </w:r>
            <w:r w:rsidR="00F44D8B">
              <w:rPr>
                <w:rFonts w:ascii="Times New Roman" w:hAnsi="Times New Roman" w:cs="Times New Roman"/>
                <w:sz w:val="18"/>
                <w:szCs w:val="18"/>
              </w:rPr>
              <w:t xml:space="preserve">proibiu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o porte de armas por civis</w:t>
            </w:r>
            <w:r w:rsidR="00F44D8B">
              <w:rPr>
                <w:rFonts w:ascii="Times New Roman" w:hAnsi="Times New Roman" w:cs="Times New Roman"/>
                <w:sz w:val="18"/>
                <w:szCs w:val="18"/>
              </w:rPr>
              <w:t xml:space="preserve"> e enrijeceu os critérios para o uso legalizado.</w:t>
            </w:r>
          </w:p>
        </w:tc>
      </w:tr>
      <w:tr w:rsidR="005A2DD9" w:rsidRPr="001277D1" w14:paraId="2597C943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044230F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3101D2D6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2004</w:t>
            </w:r>
          </w:p>
        </w:tc>
        <w:tc>
          <w:tcPr>
            <w:tcW w:w="8394" w:type="dxa"/>
            <w:vAlign w:val="center"/>
            <w:hideMark/>
          </w:tcPr>
          <w:p w14:paraId="2E023429" w14:textId="00059570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Criação da Força Nacional de Segurança Pública, composta por policiais e bombeiros militares, policiais civis e peritos dos órgãos estaduais. Atua em situações de emergência após solicitação formal dos governadores.</w:t>
            </w:r>
          </w:p>
        </w:tc>
      </w:tr>
      <w:tr w:rsidR="0007477E" w:rsidRPr="001277D1" w14:paraId="30C5FF79" w14:textId="77777777" w:rsidTr="005A2DD9">
        <w:trPr>
          <w:trHeight w:val="227"/>
        </w:trPr>
        <w:tc>
          <w:tcPr>
            <w:tcW w:w="720" w:type="dxa"/>
            <w:vMerge/>
            <w:vAlign w:val="center"/>
          </w:tcPr>
          <w:p w14:paraId="53197298" w14:textId="77777777" w:rsidR="0007477E" w:rsidRPr="0004093C" w:rsidRDefault="0007477E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124E1AF2" w14:textId="20CDF0C8" w:rsidR="0007477E" w:rsidRPr="0004093C" w:rsidRDefault="0007477E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2005</w:t>
            </w:r>
          </w:p>
        </w:tc>
        <w:tc>
          <w:tcPr>
            <w:tcW w:w="8394" w:type="dxa"/>
            <w:vAlign w:val="center"/>
          </w:tcPr>
          <w:p w14:paraId="596C74B4" w14:textId="31658954" w:rsidR="0007477E" w:rsidRPr="0004093C" w:rsidRDefault="0007477E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Criação da Rede de Altos Estudos em Segurança Pública (RENAESP), reunindo universidades de todo o país </w:t>
            </w:r>
            <w:r w:rsidR="0083134B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para desenvolver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cursos de pós-graduação </w:t>
            </w:r>
            <w:r w:rsidRPr="000409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lato sensu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134B" w:rsidRPr="0004093C">
              <w:rPr>
                <w:rFonts w:ascii="Times New Roman" w:hAnsi="Times New Roman" w:cs="Times New Roman"/>
                <w:sz w:val="18"/>
                <w:szCs w:val="18"/>
              </w:rPr>
              <w:t>direcionados a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profissionais da </w:t>
            </w:r>
            <w:r w:rsidR="009853EC">
              <w:rPr>
                <w:rFonts w:ascii="Times New Roman" w:hAnsi="Times New Roman" w:cs="Times New Roman"/>
                <w:sz w:val="18"/>
                <w:szCs w:val="18"/>
              </w:rPr>
              <w:t>área.</w:t>
            </w:r>
          </w:p>
        </w:tc>
      </w:tr>
      <w:tr w:rsidR="000F14B8" w:rsidRPr="001277D1" w14:paraId="094DF6C0" w14:textId="77777777" w:rsidTr="005A2DD9">
        <w:trPr>
          <w:trHeight w:val="227"/>
        </w:trPr>
        <w:tc>
          <w:tcPr>
            <w:tcW w:w="720" w:type="dxa"/>
            <w:vMerge/>
            <w:vAlign w:val="center"/>
          </w:tcPr>
          <w:p w14:paraId="2DB35FAA" w14:textId="77777777" w:rsidR="000F14B8" w:rsidRPr="0004093C" w:rsidRDefault="000F14B8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14:paraId="5569C703" w14:textId="015FAC8B" w:rsidR="000F14B8" w:rsidRPr="0004093C" w:rsidRDefault="000F14B8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2006</w:t>
            </w:r>
          </w:p>
        </w:tc>
        <w:tc>
          <w:tcPr>
            <w:tcW w:w="8394" w:type="dxa"/>
            <w:vAlign w:val="center"/>
          </w:tcPr>
          <w:p w14:paraId="56049827" w14:textId="6371B980" w:rsidR="000F14B8" w:rsidRPr="0004093C" w:rsidRDefault="000F14B8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Criação do Fundo Penitenciário Nacional</w:t>
            </w:r>
            <w:r w:rsidR="009646FD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(FUNPEN)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757004B9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4B10C3F0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5D39BBA8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8394" w:type="dxa"/>
            <w:vAlign w:val="center"/>
            <w:hideMark/>
          </w:tcPr>
          <w:p w14:paraId="0AE10456" w14:textId="5544824C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Programa Nacional de Segurança Pública com Cidadania (PRONASCI), que reunia 94 ações de prevenção, controle e repressão da violência, por meio da integração entre União, estados e municípios</w:t>
            </w:r>
            <w:r w:rsidR="00577596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tendo como foco jovens de 18 a 24 anos de idade residentes em territórios vulneráveis. </w:t>
            </w:r>
            <w:r w:rsidR="009853EC">
              <w:rPr>
                <w:rFonts w:ascii="Times New Roman" w:hAnsi="Times New Roman" w:cs="Times New Roman"/>
                <w:sz w:val="18"/>
                <w:szCs w:val="18"/>
              </w:rPr>
              <w:t xml:space="preserve">Sua vigência foi até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2012.</w:t>
            </w:r>
          </w:p>
        </w:tc>
      </w:tr>
      <w:tr w:rsidR="005A2DD9" w:rsidRPr="001277D1" w14:paraId="52669D2D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57210DC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63FDB83D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8394" w:type="dxa"/>
            <w:vAlign w:val="center"/>
            <w:hideMark/>
          </w:tcPr>
          <w:p w14:paraId="1791E0B7" w14:textId="4047719B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Dois programas foram acrescidos, por medida provisória, ao PRONASCI: a) Comunicação Cidadã Preventiva; b) Bolsa Formação</w:t>
            </w:r>
            <w:r w:rsidR="0007477E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(para profissionais da segurança pública)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2DA672C7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45A8B93D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vAlign w:val="center"/>
            <w:hideMark/>
          </w:tcPr>
          <w:p w14:paraId="74D73698" w14:textId="77777777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2009</w:t>
            </w:r>
          </w:p>
        </w:tc>
        <w:tc>
          <w:tcPr>
            <w:tcW w:w="8394" w:type="dxa"/>
            <w:vAlign w:val="center"/>
            <w:hideMark/>
          </w:tcPr>
          <w:p w14:paraId="7F565276" w14:textId="70CA0D7E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1ª 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(e única)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Conferência Nacional de Segurança Pública (I CONSEG), que promoveu o debate entre os profissionais e a sociedade civil organizada, culminando com o estabelecimento de diretrizes.</w:t>
            </w:r>
          </w:p>
        </w:tc>
      </w:tr>
      <w:tr w:rsidR="005A2DD9" w:rsidRPr="001277D1" w14:paraId="11B9099A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658E0426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14420711" w14:textId="6299AE17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4415C1CF" w14:textId="78E5EAE6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III Programa Nacional de Direitos Humanos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3A09BEF1" w14:textId="77777777" w:rsidTr="005A2DD9">
        <w:trPr>
          <w:trHeight w:val="227"/>
        </w:trPr>
        <w:tc>
          <w:tcPr>
            <w:tcW w:w="720" w:type="dxa"/>
            <w:vMerge w:val="restart"/>
            <w:vAlign w:val="center"/>
            <w:hideMark/>
          </w:tcPr>
          <w:p w14:paraId="5803BD67" w14:textId="6628A2D2" w:rsidR="00C96391" w:rsidRPr="0004093C" w:rsidRDefault="009853EC" w:rsidP="00423E52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Rousseff</w:t>
            </w:r>
          </w:p>
        </w:tc>
        <w:tc>
          <w:tcPr>
            <w:tcW w:w="555" w:type="dxa"/>
            <w:vAlign w:val="center"/>
            <w:hideMark/>
          </w:tcPr>
          <w:p w14:paraId="22860AC3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2012</w:t>
            </w:r>
          </w:p>
        </w:tc>
        <w:tc>
          <w:tcPr>
            <w:tcW w:w="8394" w:type="dxa"/>
            <w:vAlign w:val="center"/>
            <w:hideMark/>
          </w:tcPr>
          <w:p w14:paraId="0B57955D" w14:textId="32943F1F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Plano Nacional de Segurança Pública e Programa Brasil Mais Seguro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0B88C334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22EEF932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44DABE3E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8394" w:type="dxa"/>
            <w:vAlign w:val="center"/>
            <w:hideMark/>
          </w:tcPr>
          <w:p w14:paraId="16C12A84" w14:textId="22EF931E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Pacto Nacional de Prevenção e Redução dos Homicídios (PNRH). Porém, não foi lançado como documento formal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tampouco foi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implementado integralmente, devido ao </w:t>
            </w:r>
            <w:r w:rsidRPr="0004093C">
              <w:rPr>
                <w:rFonts w:ascii="Times New Roman" w:hAnsi="Times New Roman" w:cs="Times New Roman"/>
                <w:i/>
                <w:sz w:val="18"/>
                <w:szCs w:val="18"/>
              </w:rPr>
              <w:t>impeachment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proofErr w:type="spellEnd"/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president</w:t>
            </w:r>
            <w:r w:rsidR="009853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424EFEFE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18B54CAD" w14:textId="77777777" w:rsidR="00C96391" w:rsidRPr="0004093C" w:rsidRDefault="00C9639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14:paraId="7E4B57D2" w14:textId="77777777" w:rsidR="00C96391" w:rsidRPr="0004093C" w:rsidRDefault="00C9639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8394" w:type="dxa"/>
            <w:vAlign w:val="center"/>
            <w:hideMark/>
          </w:tcPr>
          <w:p w14:paraId="2B74FE5D" w14:textId="5AC3757D" w:rsidR="00C96391" w:rsidRPr="0004093C" w:rsidRDefault="00C9639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Lei Antiterrorismo (n</w:t>
            </w:r>
            <w:r w:rsidR="00BC1C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13.260/2016)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, que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trata da tipificação, julgamento e punição para crimes </w:t>
            </w:r>
            <w:r w:rsidR="00DB678A">
              <w:rPr>
                <w:rFonts w:ascii="Times New Roman" w:hAnsi="Times New Roman" w:cs="Times New Roman"/>
                <w:sz w:val="18"/>
                <w:szCs w:val="18"/>
              </w:rPr>
              <w:t>terroristas.</w:t>
            </w:r>
          </w:p>
        </w:tc>
      </w:tr>
      <w:tr w:rsidR="005A2DD9" w:rsidRPr="001277D1" w14:paraId="16B18C5B" w14:textId="77777777" w:rsidTr="005A2DD9">
        <w:trPr>
          <w:trHeight w:val="227"/>
        </w:trPr>
        <w:tc>
          <w:tcPr>
            <w:tcW w:w="720" w:type="dxa"/>
            <w:vMerge w:val="restart"/>
            <w:vAlign w:val="center"/>
            <w:hideMark/>
          </w:tcPr>
          <w:p w14:paraId="6B991B81" w14:textId="77777777" w:rsidR="005515C1" w:rsidRPr="0004093C" w:rsidRDefault="005515C1" w:rsidP="00423E52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Temer</w:t>
            </w:r>
          </w:p>
        </w:tc>
        <w:tc>
          <w:tcPr>
            <w:tcW w:w="555" w:type="dxa"/>
            <w:vMerge w:val="restart"/>
            <w:vAlign w:val="center"/>
          </w:tcPr>
          <w:p w14:paraId="6BC11DC5" w14:textId="519243A5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8394" w:type="dxa"/>
            <w:vAlign w:val="center"/>
            <w:hideMark/>
          </w:tcPr>
          <w:p w14:paraId="6A9FFCC9" w14:textId="760FB985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Criação do Ministério Extraordinário da Segurança Pública, extinto no governo Bolsonaro (em 01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2019)</w:t>
            </w:r>
            <w:r w:rsidR="008626D1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540A6B35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346230AA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35F1A6AD" w14:textId="58E0861B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1294082D" w14:textId="05CEED5A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Plano Nacional de Segurança Pública e Defesa Social (PNSPDS), cuja estrutura de governança compreendia duas instâncias permanentes (o Conselho Nacional de Segurança Pública e Defesa Social e o Comitê Executivo de Governança); e duas temporárias (a Câmara de Articulação Federativa e a Câmara de Coordenação entre 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oderes e </w:t>
            </w:r>
            <w:r w:rsidR="00FD0772" w:rsidRPr="0004093C">
              <w:rPr>
                <w:rFonts w:ascii="Times New Roman" w:hAnsi="Times New Roman" w:cs="Times New Roman"/>
                <w:sz w:val="18"/>
                <w:szCs w:val="18"/>
              </w:rPr>
              <w:t>ó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rgãos de Estado).</w:t>
            </w:r>
          </w:p>
        </w:tc>
      </w:tr>
      <w:tr w:rsidR="005A2DD9" w:rsidRPr="001277D1" w14:paraId="632EF26C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01FEB3B8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2341418F" w14:textId="7A5DF7DE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197CC8C5" w14:textId="3E7E9D6B" w:rsidR="005515C1" w:rsidRPr="0004093C" w:rsidRDefault="005515C1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Reformulação do SUSP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A2DD9" w:rsidRPr="001277D1" w14:paraId="6AAD16A0" w14:textId="77777777" w:rsidTr="005A2DD9">
        <w:trPr>
          <w:trHeight w:val="227"/>
        </w:trPr>
        <w:tc>
          <w:tcPr>
            <w:tcW w:w="720" w:type="dxa"/>
            <w:vMerge/>
            <w:vAlign w:val="center"/>
          </w:tcPr>
          <w:p w14:paraId="744EA382" w14:textId="77777777" w:rsidR="00203236" w:rsidRPr="0004093C" w:rsidRDefault="00203236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07E3A685" w14:textId="77777777" w:rsidR="00203236" w:rsidRPr="0004093C" w:rsidRDefault="00203236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</w:tcPr>
          <w:p w14:paraId="4377EC32" w14:textId="6CA029DD" w:rsidR="00203236" w:rsidRPr="0004093C" w:rsidRDefault="00203236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Posse, em 17</w:t>
            </w:r>
            <w:r w:rsidR="00C420A5" w:rsidRPr="000409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09, do Conselho Nacional de Segurança Pública e Defesa Social, previsto no desenho do SUSP.</w:t>
            </w:r>
          </w:p>
        </w:tc>
      </w:tr>
      <w:tr w:rsidR="005A2DD9" w:rsidRPr="001277D1" w14:paraId="26C8A34A" w14:textId="77777777" w:rsidTr="005A2DD9">
        <w:trPr>
          <w:trHeight w:val="227"/>
        </w:trPr>
        <w:tc>
          <w:tcPr>
            <w:tcW w:w="720" w:type="dxa"/>
            <w:vMerge/>
            <w:vAlign w:val="center"/>
            <w:hideMark/>
          </w:tcPr>
          <w:p w14:paraId="1B1716AB" w14:textId="77777777" w:rsidR="005515C1" w:rsidRPr="0004093C" w:rsidRDefault="005515C1" w:rsidP="00423E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  <w:vAlign w:val="center"/>
          </w:tcPr>
          <w:p w14:paraId="5FCD5425" w14:textId="01FAEC39" w:rsidR="005515C1" w:rsidRPr="0004093C" w:rsidRDefault="005515C1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  <w:hideMark/>
          </w:tcPr>
          <w:p w14:paraId="6321E7DB" w14:textId="13B10EF4" w:rsidR="005515C1" w:rsidRPr="0004093C" w:rsidRDefault="00274DA3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Criação do 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>Sistema N</w:t>
            </w:r>
            <w:r w:rsidR="001C6BD2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de Acompanhamento e Avaliação das Políticas de Seg</w:t>
            </w:r>
            <w:r w:rsidR="001C6BD2" w:rsidRPr="00040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15C1"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Pública e Defesa Social (SINAPED).</w:t>
            </w:r>
          </w:p>
        </w:tc>
      </w:tr>
      <w:tr w:rsidR="009853EC" w:rsidRPr="001277D1" w14:paraId="017172EB" w14:textId="77777777" w:rsidTr="005A2DD9">
        <w:trPr>
          <w:trHeight w:val="227"/>
        </w:trPr>
        <w:tc>
          <w:tcPr>
            <w:tcW w:w="720" w:type="dxa"/>
            <w:vMerge w:val="restart"/>
            <w:vAlign w:val="center"/>
            <w:hideMark/>
          </w:tcPr>
          <w:p w14:paraId="0FD802FB" w14:textId="77777777" w:rsidR="009853EC" w:rsidRPr="0004093C" w:rsidRDefault="009853EC" w:rsidP="00423E52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b/>
                <w:sz w:val="18"/>
                <w:szCs w:val="18"/>
              </w:rPr>
              <w:t>Bolsonaro</w:t>
            </w:r>
          </w:p>
        </w:tc>
        <w:tc>
          <w:tcPr>
            <w:tcW w:w="555" w:type="dxa"/>
            <w:vMerge w:val="restart"/>
            <w:vAlign w:val="center"/>
            <w:hideMark/>
          </w:tcPr>
          <w:p w14:paraId="6CF71AEB" w14:textId="0AC59F14" w:rsidR="009853EC" w:rsidRPr="009853EC" w:rsidRDefault="009853EC" w:rsidP="005A2DD9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3E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94" w:type="dxa"/>
            <w:vAlign w:val="center"/>
            <w:hideMark/>
          </w:tcPr>
          <w:p w14:paraId="5ED08B00" w14:textId="5772E211" w:rsidR="009853EC" w:rsidRPr="0004093C" w:rsidRDefault="009853EC" w:rsidP="005A4A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Reorganização do Ministério da Justiça e Segurança Pública, sob a gestão do ministro Sérgio Moro.</w:t>
            </w:r>
          </w:p>
        </w:tc>
      </w:tr>
      <w:tr w:rsidR="009853EC" w:rsidRPr="001277D1" w14:paraId="354F9E48" w14:textId="77777777" w:rsidTr="005A2DD9">
        <w:trPr>
          <w:trHeight w:val="227"/>
        </w:trPr>
        <w:tc>
          <w:tcPr>
            <w:tcW w:w="720" w:type="dxa"/>
            <w:vMerge/>
          </w:tcPr>
          <w:p w14:paraId="048DA1B0" w14:textId="77777777" w:rsidR="009853EC" w:rsidRPr="0004093C" w:rsidRDefault="009853EC" w:rsidP="00985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14:paraId="48809CA0" w14:textId="77777777" w:rsidR="009853EC" w:rsidRPr="0004093C" w:rsidRDefault="009853EC" w:rsidP="009853EC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4" w:type="dxa"/>
            <w:vAlign w:val="center"/>
          </w:tcPr>
          <w:p w14:paraId="09058F1A" w14:textId="7FA95813" w:rsidR="009853EC" w:rsidRPr="0004093C" w:rsidRDefault="009853EC" w:rsidP="009853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Lançamento do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Programa “Em Frente, Brasil”, que prevê enfrentar a criminalidade violenta com medidas conjuntas entre União, estados e municípios, iniciando com um projeto piloto em cinco municípios brasileiros, selecionados de acordo com a situação fiscal e a adesão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das prefeituras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ao Programa.</w:t>
            </w:r>
          </w:p>
        </w:tc>
      </w:tr>
      <w:tr w:rsidR="009853EC" w:rsidRPr="001277D1" w14:paraId="7A499CF2" w14:textId="77777777" w:rsidTr="009853EC">
        <w:trPr>
          <w:trHeight w:val="227"/>
        </w:trPr>
        <w:tc>
          <w:tcPr>
            <w:tcW w:w="720" w:type="dxa"/>
            <w:vMerge/>
          </w:tcPr>
          <w:p w14:paraId="0021970F" w14:textId="77777777" w:rsidR="009853EC" w:rsidRPr="0004093C" w:rsidRDefault="009853EC" w:rsidP="00985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14:paraId="23ACCB74" w14:textId="3BB734BB" w:rsidR="009853EC" w:rsidRPr="0004093C" w:rsidRDefault="009853EC" w:rsidP="009853EC">
            <w:pPr>
              <w:ind w:left="-108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394" w:type="dxa"/>
            <w:vAlign w:val="center"/>
          </w:tcPr>
          <w:p w14:paraId="3705F30A" w14:textId="1D0865C1" w:rsidR="009853EC" w:rsidRPr="0004093C" w:rsidRDefault="009853EC" w:rsidP="005B1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Lançamento do Pacote Anticrime</w:t>
            </w:r>
            <w:r w:rsidR="005B17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1714" w:rsidRPr="005B1714">
              <w:rPr>
                <w:rFonts w:ascii="Times New Roman" w:hAnsi="Times New Roman" w:cs="Times New Roman"/>
                <w:sz w:val="18"/>
                <w:szCs w:val="18"/>
              </w:rPr>
              <w:t>(BRASIL, 2019b)</w:t>
            </w:r>
            <w:r w:rsidR="005B1714">
              <w:rPr>
                <w:rFonts w:ascii="Times New Roman" w:hAnsi="Times New Roman" w:cs="Times New Roman"/>
                <w:sz w:val="18"/>
                <w:szCs w:val="18"/>
              </w:rPr>
              <w:t>, encaminhado, em 2019, ao Congresso Nacional, pelo então ministro da justiça e segurança pública Sérgio Moro, e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 xml:space="preserve"> sancionado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pelo presidente </w:t>
            </w:r>
            <w:r w:rsidR="005B1714">
              <w:rPr>
                <w:rFonts w:ascii="Times New Roman" w:hAnsi="Times New Roman" w:cs="Times New Roman"/>
                <w:sz w:val="18"/>
                <w:szCs w:val="18"/>
              </w:rPr>
              <w:t xml:space="preserve">em </w:t>
            </w:r>
            <w:r w:rsidRPr="0004093C">
              <w:rPr>
                <w:rFonts w:ascii="Times New Roman" w:hAnsi="Times New Roman" w:cs="Times New Roman"/>
                <w:sz w:val="18"/>
                <w:szCs w:val="18"/>
              </w:rPr>
              <w:t>abril</w:t>
            </w:r>
            <w:r w:rsidR="005B1714">
              <w:rPr>
                <w:rFonts w:ascii="Times New Roman" w:hAnsi="Times New Roman" w:cs="Times New Roman"/>
                <w:sz w:val="18"/>
                <w:szCs w:val="18"/>
              </w:rPr>
              <w:t xml:space="preserve"> de 2021.</w:t>
            </w:r>
          </w:p>
        </w:tc>
      </w:tr>
    </w:tbl>
    <w:p w14:paraId="3867813D" w14:textId="59D7D5F6" w:rsidR="00C96391" w:rsidRPr="003117DD" w:rsidRDefault="00C96391" w:rsidP="00C963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117DD">
        <w:rPr>
          <w:rFonts w:ascii="Times New Roman" w:eastAsia="Times New Roman" w:hAnsi="Times New Roman" w:cs="Times New Roman"/>
          <w:b/>
        </w:rPr>
        <w:t xml:space="preserve">Quadro </w:t>
      </w:r>
      <w:r w:rsidR="00174F0B">
        <w:rPr>
          <w:rFonts w:ascii="Times New Roman" w:eastAsia="Times New Roman" w:hAnsi="Times New Roman" w:cs="Times New Roman"/>
          <w:b/>
        </w:rPr>
        <w:t>2</w:t>
      </w:r>
      <w:r w:rsidRPr="003117DD">
        <w:rPr>
          <w:rFonts w:ascii="Times New Roman" w:eastAsia="Times New Roman" w:hAnsi="Times New Roman" w:cs="Times New Roman"/>
          <w:b/>
        </w:rPr>
        <w:t xml:space="preserve"> – </w:t>
      </w:r>
      <w:r w:rsidR="003117DD" w:rsidRPr="003117DD">
        <w:rPr>
          <w:rFonts w:ascii="Times New Roman" w:eastAsia="Times New Roman" w:hAnsi="Times New Roman" w:cs="Times New Roman"/>
          <w:b/>
        </w:rPr>
        <w:t>Linha do tempo das p</w:t>
      </w:r>
      <w:r w:rsidR="003117DD" w:rsidRPr="003117DD">
        <w:rPr>
          <w:rFonts w:ascii="Times New Roman" w:hAnsi="Times New Roman" w:cs="Times New Roman"/>
          <w:b/>
        </w:rPr>
        <w:t>rincipais estruturas e programas federais em segurança pública, Brasil</w:t>
      </w:r>
      <w:r w:rsidRPr="003117DD">
        <w:rPr>
          <w:rFonts w:ascii="Times New Roman" w:eastAsia="Times New Roman" w:hAnsi="Times New Roman" w:cs="Times New Roman"/>
          <w:b/>
        </w:rPr>
        <w:t>, 1995-20</w:t>
      </w:r>
      <w:r w:rsidR="009853EC">
        <w:rPr>
          <w:rFonts w:ascii="Times New Roman" w:eastAsia="Times New Roman" w:hAnsi="Times New Roman" w:cs="Times New Roman"/>
          <w:b/>
        </w:rPr>
        <w:t>21.</w:t>
      </w:r>
    </w:p>
    <w:p w14:paraId="316F355F" w14:textId="67E399C6" w:rsidR="00667632" w:rsidRDefault="00C96391" w:rsidP="006676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Fonte: Elaboração própria com base </w:t>
      </w:r>
      <w:r w:rsidR="0083134B">
        <w:rPr>
          <w:rFonts w:ascii="Times New Roman" w:eastAsia="Times New Roman" w:hAnsi="Times New Roman" w:cs="Times New Roman"/>
          <w:sz w:val="20"/>
          <w:szCs w:val="20"/>
        </w:rPr>
        <w:t>em atos normativos, programas</w:t>
      </w:r>
      <w:r w:rsidR="009853EC">
        <w:rPr>
          <w:rFonts w:ascii="Times New Roman" w:eastAsia="Times New Roman" w:hAnsi="Times New Roman" w:cs="Times New Roman"/>
          <w:sz w:val="20"/>
          <w:szCs w:val="20"/>
        </w:rPr>
        <w:t xml:space="preserve"> federais</w:t>
      </w:r>
      <w:r w:rsidR="0083134B">
        <w:rPr>
          <w:rFonts w:ascii="Times New Roman" w:eastAsia="Times New Roman" w:hAnsi="Times New Roman" w:cs="Times New Roman"/>
          <w:sz w:val="20"/>
          <w:szCs w:val="20"/>
        </w:rPr>
        <w:t>, legislação e na literatura especializ</w:t>
      </w:r>
      <w:r>
        <w:rPr>
          <w:rFonts w:ascii="Times New Roman" w:eastAsia="Times New Roman" w:hAnsi="Times New Roman" w:cs="Times New Roman"/>
          <w:sz w:val="20"/>
          <w:szCs w:val="20"/>
        </w:rPr>
        <w:t>ada, especialmente</w:t>
      </w:r>
      <w:r w:rsidR="00274DA3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Sá e Silva (2012</w:t>
      </w:r>
      <w:r w:rsidR="00C818DF">
        <w:rPr>
          <w:rFonts w:ascii="Times New Roman" w:eastAsia="Times New Roman" w:hAnsi="Times New Roman" w:cs="Times New Roman"/>
          <w:sz w:val="20"/>
          <w:szCs w:val="20"/>
        </w:rPr>
        <w:t>; 2014</w:t>
      </w:r>
      <w:r w:rsidRPr="002036CE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BE797E">
        <w:rPr>
          <w:rFonts w:ascii="Times New Roman" w:eastAsia="Times New Roman" w:hAnsi="Times New Roman" w:cs="Times New Roman"/>
          <w:sz w:val="20"/>
          <w:szCs w:val="20"/>
        </w:rPr>
        <w:t xml:space="preserve">Schabbach (2014), </w:t>
      </w:r>
      <w:r w:rsidR="009646FD">
        <w:rPr>
          <w:rFonts w:ascii="Times New Roman" w:eastAsia="Times New Roman" w:hAnsi="Times New Roman" w:cs="Times New Roman"/>
          <w:sz w:val="20"/>
          <w:szCs w:val="20"/>
        </w:rPr>
        <w:t xml:space="preserve">Ferreira e Marcial (2015),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Madeira e Rodrigues (2015),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Spaniol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(2020), Trindade e Madeira (2020) e Pereira (2021). </w:t>
      </w:r>
    </w:p>
    <w:p w14:paraId="13613FD5" w14:textId="44CE3CCC" w:rsidR="008E5284" w:rsidRDefault="0083134B" w:rsidP="0007477E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outro lado</w:t>
      </w:r>
      <w:r w:rsidR="00C420A5">
        <w:rPr>
          <w:rFonts w:ascii="Times New Roman" w:eastAsia="Times New Roman" w:hAnsi="Times New Roman" w:cs="Times New Roman"/>
          <w:sz w:val="24"/>
          <w:szCs w:val="24"/>
        </w:rPr>
        <w:t>, alguns autores apontam obstáculos à implementação</w:t>
      </w:r>
      <w:r w:rsidR="00B406FE">
        <w:rPr>
          <w:rFonts w:ascii="Times New Roman" w:eastAsia="Times New Roman" w:hAnsi="Times New Roman" w:cs="Times New Roman"/>
          <w:sz w:val="24"/>
          <w:szCs w:val="24"/>
        </w:rPr>
        <w:t>, desde o início,</w:t>
      </w:r>
      <w:r w:rsidR="00C420A5">
        <w:rPr>
          <w:rFonts w:ascii="Times New Roman" w:eastAsia="Times New Roman" w:hAnsi="Times New Roman" w:cs="Times New Roman"/>
          <w:sz w:val="24"/>
          <w:szCs w:val="24"/>
        </w:rPr>
        <w:t xml:space="preserve"> das mudanças postuladas, </w:t>
      </w:r>
      <w:r>
        <w:rPr>
          <w:rFonts w:ascii="Times New Roman" w:eastAsia="Times New Roman" w:hAnsi="Times New Roman" w:cs="Times New Roman"/>
          <w:sz w:val="24"/>
          <w:szCs w:val="24"/>
        </w:rPr>
        <w:t>dentre eles, a falta de planejamento</w:t>
      </w:r>
      <w:r w:rsidR="008E528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avaliação das políticas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(SOARES, 2001, 2007; CANO, 2002, 2007)</w:t>
      </w:r>
      <w:r w:rsidR="008E5284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r w:rsidR="00330772">
        <w:rPr>
          <w:rFonts w:ascii="Times New Roman" w:eastAsia="Times New Roman" w:hAnsi="Times New Roman" w:cs="Times New Roman"/>
          <w:sz w:val="24"/>
          <w:szCs w:val="24"/>
        </w:rPr>
        <w:t>escassez</w:t>
      </w:r>
      <w:r w:rsidR="008E528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mecanismos de financiamento (SÁ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SILVA, 2014).</w:t>
      </w:r>
    </w:p>
    <w:p w14:paraId="328C892D" w14:textId="3F202AC4" w:rsidR="00C420A5" w:rsidRDefault="00C420A5" w:rsidP="0007477E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Muniz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(2005</w:t>
      </w:r>
      <w:r w:rsidR="0027433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01F">
        <w:rPr>
          <w:rFonts w:ascii="Times New Roman" w:eastAsia="Times New Roman" w:hAnsi="Times New Roman" w:cs="Times New Roman"/>
          <w:sz w:val="24"/>
          <w:szCs w:val="24"/>
        </w:rPr>
        <w:t>referem</w:t>
      </w:r>
      <w:r w:rsidR="008E5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201F">
        <w:rPr>
          <w:rFonts w:ascii="Times New Roman" w:eastAsia="Times New Roman" w:hAnsi="Times New Roman" w:cs="Times New Roman"/>
          <w:sz w:val="24"/>
          <w:szCs w:val="24"/>
        </w:rPr>
        <w:t>em complemento</w:t>
      </w:r>
      <w:r w:rsidR="008E52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permanência de estruturas e práticas institucionais ultrapassadas, uma inércia governamental quanto às </w:t>
      </w:r>
      <w:r w:rsidR="0083134B">
        <w:rPr>
          <w:rFonts w:ascii="Times New Roman" w:eastAsia="Times New Roman" w:hAnsi="Times New Roman" w:cs="Times New Roman"/>
          <w:sz w:val="24"/>
          <w:szCs w:val="24"/>
        </w:rPr>
        <w:t>reformas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necessárias, o pouco apoio político à agenda progressista, o reduzido acúmulo de conhecimento e a falta de experiência de gestão dos governos de esquerda, além de não existir um paradigma alternativo claro e socialmente respaldado. </w:t>
      </w:r>
    </w:p>
    <w:p w14:paraId="72D70396" w14:textId="6634662B" w:rsidR="00691B3E" w:rsidRDefault="00330772" w:rsidP="00691B3E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Outra limitação, </w:t>
      </w:r>
      <w:r w:rsidR="00141838">
        <w:rPr>
          <w:rFonts w:ascii="Times New Roman" w:eastAsia="Times New Roman" w:hAnsi="Times New Roman" w:cs="Times New Roman"/>
          <w:sz w:val="24"/>
          <w:szCs w:val="24"/>
        </w:rPr>
        <w:t>descrita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>Trindade e Madeira (2020)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a reduzida 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>participação social (para além dos próprios profissionais de segurança</w:t>
      </w:r>
      <w:r>
        <w:rPr>
          <w:rFonts w:ascii="Times New Roman" w:eastAsia="Times New Roman" w:hAnsi="Times New Roman" w:cs="Times New Roman"/>
          <w:sz w:val="24"/>
          <w:szCs w:val="24"/>
        </w:rPr>
        <w:t>) nos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 xml:space="preserve"> planos federais. Para 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>s autor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 xml:space="preserve"> a participação da sociedade civil e d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 xml:space="preserve">as outras 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 xml:space="preserve">agências foi: contemplada no PRONASCI, minimizada no </w:t>
      </w:r>
      <w:r w:rsidR="005B1714">
        <w:rPr>
          <w:rFonts w:ascii="Times New Roman" w:eastAsia="Times New Roman" w:hAnsi="Times New Roman" w:cs="Times New Roman"/>
          <w:sz w:val="24"/>
          <w:szCs w:val="24"/>
        </w:rPr>
        <w:t>g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 xml:space="preserve">overno 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>Rousseff</w:t>
      </w:r>
      <w:r w:rsidR="00691B3E">
        <w:rPr>
          <w:rFonts w:ascii="Times New Roman" w:eastAsia="Times New Roman" w:hAnsi="Times New Roman" w:cs="Times New Roman"/>
          <w:sz w:val="24"/>
          <w:szCs w:val="24"/>
        </w:rPr>
        <w:t xml:space="preserve"> e totalmente desconsiderada no Pacote Anticrime</w:t>
      </w:r>
      <w:r w:rsidR="009853EC">
        <w:rPr>
          <w:rFonts w:ascii="Times New Roman" w:eastAsia="Times New Roman" w:hAnsi="Times New Roman" w:cs="Times New Roman"/>
          <w:sz w:val="24"/>
          <w:szCs w:val="24"/>
        </w:rPr>
        <w:t xml:space="preserve"> do governo Bolsonaro</w:t>
      </w:r>
      <w:r w:rsidR="00DB67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4DDD42" w14:textId="5F8C6C25" w:rsidR="007A2BAE" w:rsidRDefault="00153429" w:rsidP="007A2BAE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5D4">
        <w:rPr>
          <w:rFonts w:ascii="Times New Roman" w:eastAsia="Times New Roman" w:hAnsi="Times New Roman" w:cs="Times New Roman"/>
          <w:sz w:val="24"/>
          <w:szCs w:val="24"/>
        </w:rPr>
        <w:t xml:space="preserve">A análise </w:t>
      </w:r>
      <w:r w:rsidR="00D96685" w:rsidRPr="00B265D4">
        <w:rPr>
          <w:rFonts w:ascii="Times New Roman" w:eastAsia="Times New Roman" w:hAnsi="Times New Roman" w:cs="Times New Roman"/>
          <w:sz w:val="24"/>
          <w:szCs w:val="24"/>
        </w:rPr>
        <w:t>dessa</w:t>
      </w:r>
      <w:r w:rsidRPr="00B265D4">
        <w:rPr>
          <w:rFonts w:ascii="Times New Roman" w:eastAsia="Times New Roman" w:hAnsi="Times New Roman" w:cs="Times New Roman"/>
          <w:sz w:val="24"/>
          <w:szCs w:val="24"/>
        </w:rPr>
        <w:t xml:space="preserve"> trajetória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remete </w:t>
      </w:r>
      <w:r w:rsidRPr="00B265D4">
        <w:rPr>
          <w:rFonts w:ascii="Times New Roman" w:eastAsia="Times New Roman" w:hAnsi="Times New Roman" w:cs="Times New Roman"/>
          <w:sz w:val="24"/>
          <w:szCs w:val="24"/>
        </w:rPr>
        <w:t>à existência de um</w:t>
      </w:r>
      <w:r w:rsidR="00323A4D" w:rsidRPr="00B265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6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A4D" w:rsidRPr="00B265D4">
        <w:rPr>
          <w:rFonts w:ascii="Times New Roman" w:eastAsia="Times New Roman" w:hAnsi="Times New Roman" w:cs="Times New Roman"/>
          <w:sz w:val="24"/>
          <w:szCs w:val="24"/>
        </w:rPr>
        <w:t>dinâmica</w:t>
      </w:r>
      <w:r w:rsidRPr="00B265D4">
        <w:rPr>
          <w:rFonts w:ascii="Times New Roman" w:eastAsia="Times New Roman" w:hAnsi="Times New Roman" w:cs="Times New Roman"/>
          <w:sz w:val="24"/>
          <w:szCs w:val="24"/>
        </w:rPr>
        <w:t xml:space="preserve"> pendular na segurança pública brasileira</w:t>
      </w:r>
      <w:r w:rsidR="00323A4D" w:rsidRPr="00B265D4"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>Soares (2001)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6668">
        <w:rPr>
          <w:rFonts w:ascii="Times New Roman" w:eastAsia="Times New Roman" w:hAnsi="Times New Roman" w:cs="Times New Roman"/>
          <w:sz w:val="24"/>
          <w:szCs w:val="24"/>
        </w:rPr>
        <w:t>ela</w:t>
      </w:r>
      <w:r w:rsidR="00323A4D" w:rsidRPr="00B265D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>lterna governos progressistas, que frequentemente não sabem bem o que querem (por ex</w:t>
      </w:r>
      <w:r w:rsidR="005B1714">
        <w:rPr>
          <w:rFonts w:ascii="Times New Roman" w:eastAsia="Times New Roman" w:hAnsi="Times New Roman" w:cs="Times New Roman"/>
          <w:sz w:val="24"/>
          <w:szCs w:val="24"/>
        </w:rPr>
        <w:t>emplo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 xml:space="preserve">, direitos humanos </w:t>
      </w:r>
      <w:r w:rsidR="007A2BAE" w:rsidRPr="00B265D4">
        <w:rPr>
          <w:rFonts w:ascii="Times New Roman" w:eastAsia="Times New Roman" w:hAnsi="Times New Roman" w:cs="Times New Roman"/>
          <w:i/>
          <w:iCs/>
          <w:sz w:val="24"/>
          <w:szCs w:val="24"/>
        </w:rPr>
        <w:t>versus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 xml:space="preserve"> segurança pública), e governos conservadores, que sempre souberam o que queriam (lei e ordem, maior repressão e punição). Beato Filho </w:t>
      </w:r>
      <w:r w:rsidR="007A2BAE" w:rsidRPr="00B265D4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 xml:space="preserve"> (2004)</w:t>
      </w:r>
      <w:r w:rsidR="00E23E34" w:rsidRPr="00B265D4">
        <w:rPr>
          <w:rFonts w:ascii="Times New Roman" w:eastAsia="Times New Roman" w:hAnsi="Times New Roman" w:cs="Times New Roman"/>
          <w:sz w:val="24"/>
          <w:szCs w:val="24"/>
        </w:rPr>
        <w:t xml:space="preserve"> acrescentam q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 xml:space="preserve">ue as políticas de segurança pública ora pendem para reformas sociais, ora para </w:t>
      </w:r>
      <w:r w:rsidR="009F4A5B" w:rsidRPr="00B265D4">
        <w:rPr>
          <w:rFonts w:ascii="Times New Roman" w:eastAsia="Times New Roman" w:hAnsi="Times New Roman" w:cs="Times New Roman"/>
          <w:sz w:val="24"/>
          <w:szCs w:val="24"/>
        </w:rPr>
        <w:t>iniciativas</w:t>
      </w:r>
      <w:r w:rsidR="007A2BAE" w:rsidRPr="00B265D4">
        <w:rPr>
          <w:rFonts w:ascii="Times New Roman" w:eastAsia="Times New Roman" w:hAnsi="Times New Roman" w:cs="Times New Roman"/>
          <w:sz w:val="24"/>
          <w:szCs w:val="24"/>
        </w:rPr>
        <w:t xml:space="preserve"> conservadoras.</w:t>
      </w:r>
      <w:r w:rsidR="007A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406746" w14:textId="4642DD06" w:rsidR="007130F5" w:rsidRPr="0094727A" w:rsidRDefault="00CA4A8E" w:rsidP="00F001B7">
      <w:pPr>
        <w:tabs>
          <w:tab w:val="center" w:pos="425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534D6" w:rsidRPr="0094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E0A82">
        <w:rPr>
          <w:rFonts w:ascii="Times New Roman" w:eastAsia="Times New Roman" w:hAnsi="Times New Roman" w:cs="Times New Roman"/>
          <w:b/>
          <w:bCs/>
          <w:sz w:val="24"/>
          <w:szCs w:val="24"/>
        </w:rPr>
        <w:t>APONTAMENTOS</w:t>
      </w:r>
      <w:r w:rsidR="0094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SOBRE </w:t>
      </w:r>
      <w:r w:rsidR="006534D6" w:rsidRPr="0094727A">
        <w:rPr>
          <w:rFonts w:ascii="Times New Roman" w:eastAsia="Times New Roman" w:hAnsi="Times New Roman" w:cs="Times New Roman"/>
          <w:b/>
          <w:bCs/>
          <w:sz w:val="24"/>
          <w:szCs w:val="24"/>
        </w:rPr>
        <w:t>A APLICABILIDADE DO DIAGNÓSTICO DE GARLAND AO BRASIL</w:t>
      </w:r>
    </w:p>
    <w:p w14:paraId="04B8048F" w14:textId="53502A7C" w:rsidR="00682083" w:rsidRDefault="002E5F3E" w:rsidP="00713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Embora se caracterize como um país de alta criminalidade</w:t>
      </w:r>
      <w:r w:rsidR="002750E4" w:rsidRPr="002750E4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1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Brasil, em particular o </w:t>
      </w:r>
      <w:r w:rsidR="00427649">
        <w:rPr>
          <w:rFonts w:ascii="Times New Roman" w:eastAsia="Times New Roman" w:hAnsi="Times New Roman" w:cs="Times New Roman"/>
          <w:sz w:val="24"/>
          <w:szCs w:val="24"/>
        </w:rPr>
        <w:t>SSPB</w:t>
      </w:r>
      <w:r w:rsidR="00AD04B9" w:rsidRPr="00653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AD04B9" w:rsidRPr="00653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0F5" w:rsidRPr="006534D6">
        <w:rPr>
          <w:rFonts w:ascii="Times New Roman" w:eastAsia="Times New Roman" w:hAnsi="Times New Roman" w:cs="Times New Roman"/>
          <w:sz w:val="24"/>
          <w:szCs w:val="24"/>
        </w:rPr>
        <w:t xml:space="preserve">similitudes, diferenças e obstáculos legais a um </w:t>
      </w:r>
      <w:r>
        <w:rPr>
          <w:rFonts w:ascii="Times New Roman" w:eastAsia="Times New Roman" w:hAnsi="Times New Roman" w:cs="Times New Roman"/>
          <w:sz w:val="24"/>
          <w:szCs w:val="24"/>
        </w:rPr>
        <w:t>completo</w:t>
      </w:r>
      <w:r w:rsidR="006D201F">
        <w:rPr>
          <w:rFonts w:ascii="Times New Roman" w:eastAsia="Times New Roman" w:hAnsi="Times New Roman" w:cs="Times New Roman"/>
          <w:sz w:val="24"/>
          <w:szCs w:val="24"/>
        </w:rPr>
        <w:t xml:space="preserve"> encaixe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130F5" w:rsidRPr="006534D6">
        <w:rPr>
          <w:rFonts w:ascii="Times New Roman" w:eastAsia="Times New Roman" w:hAnsi="Times New Roman" w:cs="Times New Roman"/>
          <w:sz w:val="24"/>
          <w:szCs w:val="24"/>
        </w:rPr>
        <w:t>o diagnóstico de Garland (2008)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, especialmente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comparação com </w:t>
      </w:r>
      <w:r w:rsidR="006534D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Estados Unidos.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Entre as semelhanças</w:t>
      </w:r>
      <w:r w:rsidR="00521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>Nascimento (2008)</w:t>
      </w:r>
      <w:r w:rsidR="005214F1">
        <w:rPr>
          <w:rFonts w:ascii="Times New Roman" w:eastAsia="Times New Roman" w:hAnsi="Times New Roman" w:cs="Times New Roman"/>
          <w:sz w:val="24"/>
          <w:szCs w:val="24"/>
        </w:rPr>
        <w:t xml:space="preserve"> destaca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: o aumento do encarceramento, a politização e midiatização da segurança pública</w:t>
      </w:r>
      <w:r w:rsidR="006534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com ênfase na alternativa penal</w:t>
      </w:r>
      <w:r w:rsidR="006534D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, o movimento de guerra contra as drogas e </w:t>
      </w:r>
      <w:r w:rsidR="009E52B5">
        <w:rPr>
          <w:rFonts w:ascii="Times New Roman" w:eastAsia="Times New Roman" w:hAnsi="Times New Roman" w:cs="Times New Roman"/>
          <w:sz w:val="24"/>
          <w:szCs w:val="24"/>
        </w:rPr>
        <w:t>de maior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repressão, </w:t>
      </w:r>
      <w:r w:rsidR="006534D6">
        <w:rPr>
          <w:rFonts w:ascii="Times New Roman" w:eastAsia="Times New Roman" w:hAnsi="Times New Roman" w:cs="Times New Roman"/>
          <w:sz w:val="24"/>
          <w:szCs w:val="24"/>
        </w:rPr>
        <w:t xml:space="preserve">juntamente com </w:t>
      </w:r>
      <w:r w:rsidR="00F3788C">
        <w:rPr>
          <w:rFonts w:ascii="Times New Roman" w:eastAsia="Times New Roman" w:hAnsi="Times New Roman" w:cs="Times New Roman"/>
          <w:sz w:val="24"/>
          <w:szCs w:val="24"/>
        </w:rPr>
        <w:t>o avanço da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chamada “experiência do crime” 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vitimização pessoal </w:t>
      </w:r>
      <w:r w:rsidR="00F3788C">
        <w:rPr>
          <w:rFonts w:ascii="Times New Roman" w:eastAsia="Times New Roman" w:hAnsi="Times New Roman" w:cs="Times New Roman"/>
          <w:sz w:val="24"/>
          <w:szCs w:val="24"/>
        </w:rPr>
        <w:t>e nas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relações próximas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 xml:space="preserve">, ao lado de um alargamento da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percepção </w:t>
      </w:r>
      <w:r w:rsidR="00442DFE">
        <w:rPr>
          <w:rFonts w:ascii="Times New Roman" w:eastAsia="Times New Roman" w:hAnsi="Times New Roman" w:cs="Times New Roman"/>
          <w:sz w:val="24"/>
          <w:szCs w:val="24"/>
        </w:rPr>
        <w:t xml:space="preserve">coletiva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de insegurança, que é exacerbada pela mídia</w:t>
      </w:r>
      <w:r w:rsidR="007130F5" w:rsidRPr="0010200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2B5">
        <w:rPr>
          <w:rFonts w:ascii="Times New Roman" w:eastAsia="Times New Roman" w:hAnsi="Times New Roman" w:cs="Times New Roman"/>
          <w:sz w:val="24"/>
          <w:szCs w:val="24"/>
        </w:rPr>
        <w:t>De forma similar</w:t>
      </w:r>
      <w:r w:rsidR="00F37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2083">
        <w:rPr>
          <w:rFonts w:ascii="Times New Roman" w:eastAsia="Times New Roman" w:hAnsi="Times New Roman" w:cs="Times New Roman"/>
          <w:sz w:val="24"/>
          <w:szCs w:val="24"/>
        </w:rPr>
        <w:t>Salla</w:t>
      </w:r>
      <w:proofErr w:type="spellEnd"/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2083">
        <w:rPr>
          <w:rFonts w:ascii="Times New Roman" w:eastAsia="Times New Roman" w:hAnsi="Times New Roman" w:cs="Times New Roman"/>
          <w:sz w:val="24"/>
          <w:szCs w:val="24"/>
        </w:rPr>
        <w:t>Gauto</w:t>
      </w:r>
      <w:proofErr w:type="spellEnd"/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e Alvarez (2006)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6E1">
        <w:rPr>
          <w:rFonts w:ascii="Times New Roman" w:eastAsia="Times New Roman" w:hAnsi="Times New Roman" w:cs="Times New Roman"/>
          <w:sz w:val="24"/>
          <w:szCs w:val="24"/>
        </w:rPr>
        <w:t>assinalam</w:t>
      </w:r>
      <w:r w:rsidR="00A77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2B5">
        <w:rPr>
          <w:rFonts w:ascii="Times New Roman" w:eastAsia="Times New Roman" w:hAnsi="Times New Roman" w:cs="Times New Roman"/>
          <w:sz w:val="24"/>
          <w:szCs w:val="24"/>
        </w:rPr>
        <w:t xml:space="preserve">algumas 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>tendências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2B5">
        <w:rPr>
          <w:rFonts w:ascii="Times New Roman" w:eastAsia="Times New Roman" w:hAnsi="Times New Roman" w:cs="Times New Roman"/>
          <w:sz w:val="24"/>
          <w:szCs w:val="24"/>
        </w:rPr>
        <w:t xml:space="preserve">brasileiras 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9E52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o crescimento 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>do número de presos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>, a maior severidade das penas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82083">
        <w:rPr>
          <w:rFonts w:ascii="Times New Roman" w:eastAsia="Times New Roman" w:hAnsi="Times New Roman" w:cs="Times New Roman"/>
          <w:sz w:val="24"/>
          <w:szCs w:val="24"/>
        </w:rPr>
        <w:t xml:space="preserve"> a criminalização da miséria.</w:t>
      </w:r>
    </w:p>
    <w:p w14:paraId="53282AE5" w14:textId="287D6FE1" w:rsidR="001436AA" w:rsidRPr="001E6C56" w:rsidRDefault="009E52B5" w:rsidP="001436AA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Ilustram a elevação do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rigor punitivo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País</w:t>
      </w:r>
      <w:r w:rsidR="000A6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0F5" w:rsidRPr="00102006">
        <w:rPr>
          <w:rFonts w:ascii="Times New Roman" w:eastAsia="Times New Roman" w:hAnsi="Times New Roman" w:cs="Times New Roman"/>
          <w:sz w:val="24"/>
          <w:szCs w:val="24"/>
        </w:rPr>
        <w:t>a lei dos crimes hediondos (BRASIL, 1990) e o regime disciplinar diferenciado (RDD),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 este último</w:t>
      </w:r>
      <w:r w:rsidR="007130F5" w:rsidRPr="00102006">
        <w:rPr>
          <w:rFonts w:ascii="Times New Roman" w:eastAsia="Times New Roman" w:hAnsi="Times New Roman" w:cs="Times New Roman"/>
          <w:sz w:val="24"/>
          <w:szCs w:val="24"/>
        </w:rPr>
        <w:t xml:space="preserve"> introduzido na Lei de </w:t>
      </w:r>
      <w:r w:rsidR="00422D9F">
        <w:rPr>
          <w:rFonts w:ascii="Times New Roman" w:eastAsia="Times New Roman" w:hAnsi="Times New Roman" w:cs="Times New Roman"/>
          <w:sz w:val="24"/>
          <w:szCs w:val="24"/>
        </w:rPr>
        <w:t>Execução Penal</w:t>
      </w:r>
      <w:r w:rsidR="007130F5" w:rsidRPr="00102006">
        <w:rPr>
          <w:rFonts w:ascii="Times New Roman" w:eastAsia="Times New Roman" w:hAnsi="Times New Roman" w:cs="Times New Roman"/>
          <w:sz w:val="24"/>
          <w:szCs w:val="24"/>
        </w:rPr>
        <w:t xml:space="preserve"> (BRASIL, 1984) em 2003 (BRASIL, 2003a). 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>Outra tendência é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B17941">
        <w:rPr>
          <w:rFonts w:ascii="Times New Roman" w:eastAsia="Times New Roman" w:hAnsi="Times New Roman" w:cs="Times New Roman"/>
          <w:sz w:val="24"/>
          <w:szCs w:val="24"/>
        </w:rPr>
        <w:t xml:space="preserve"> crescimento da “indústria de segurança privada”, um 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 xml:space="preserve">movimento internacional </w:t>
      </w:r>
      <w:r w:rsidR="00F46D46">
        <w:rPr>
          <w:rFonts w:ascii="Times New Roman" w:eastAsia="Times New Roman" w:hAnsi="Times New Roman" w:cs="Times New Roman"/>
          <w:sz w:val="24"/>
          <w:szCs w:val="24"/>
        </w:rPr>
        <w:t>identificad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6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941">
        <w:rPr>
          <w:rFonts w:ascii="Times New Roman" w:eastAsia="Times New Roman" w:hAnsi="Times New Roman" w:cs="Times New Roman"/>
          <w:sz w:val="24"/>
          <w:szCs w:val="24"/>
        </w:rPr>
        <w:t>por Garland (2008, p. 64)</w:t>
      </w:r>
      <w:r w:rsidR="00723156">
        <w:rPr>
          <w:rFonts w:ascii="Times New Roman" w:eastAsia="Times New Roman" w:hAnsi="Times New Roman" w:cs="Times New Roman"/>
          <w:sz w:val="24"/>
          <w:szCs w:val="24"/>
        </w:rPr>
        <w:t xml:space="preserve"> que se repete no Brasil, pois, </w:t>
      </w:r>
      <w:r w:rsidR="00F46D46">
        <w:rPr>
          <w:rFonts w:ascii="Times New Roman" w:eastAsia="Times New Roman" w:hAnsi="Times New Roman" w:cs="Times New Roman"/>
          <w:sz w:val="24"/>
          <w:szCs w:val="24"/>
        </w:rPr>
        <w:t xml:space="preserve">entre 2006 e 2019, 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aumentou </w:t>
      </w:r>
      <w:r w:rsidR="001436AA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46D46">
        <w:rPr>
          <w:rFonts w:ascii="Times New Roman" w:eastAsia="Times New Roman" w:hAnsi="Times New Roman" w:cs="Times New Roman"/>
          <w:sz w:val="24"/>
          <w:szCs w:val="24"/>
        </w:rPr>
        <w:t xml:space="preserve"> 111% 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17941">
        <w:rPr>
          <w:rFonts w:ascii="Times New Roman" w:eastAsia="Times New Roman" w:hAnsi="Times New Roman" w:cs="Times New Roman"/>
          <w:sz w:val="24"/>
          <w:szCs w:val="24"/>
        </w:rPr>
        <w:t xml:space="preserve">número de empresas de vigilância, de segurança e de </w:t>
      </w:r>
      <w:r w:rsidR="00F46D46">
        <w:rPr>
          <w:rFonts w:ascii="Times New Roman" w:eastAsia="Times New Roman" w:hAnsi="Times New Roman" w:cs="Times New Roman"/>
          <w:sz w:val="24"/>
          <w:szCs w:val="24"/>
        </w:rPr>
        <w:t>investigação</w:t>
      </w:r>
      <w:r w:rsidR="00B17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6AA">
        <w:rPr>
          <w:rFonts w:ascii="Times New Roman" w:eastAsia="Times New Roman" w:hAnsi="Times New Roman" w:cs="Times New Roman"/>
          <w:sz w:val="24"/>
          <w:szCs w:val="24"/>
        </w:rPr>
        <w:t>passando</w:t>
      </w:r>
      <w:r w:rsidR="00B17941">
        <w:rPr>
          <w:rFonts w:ascii="Times New Roman" w:eastAsia="Times New Roman" w:hAnsi="Times New Roman" w:cs="Times New Roman"/>
          <w:sz w:val="24"/>
          <w:szCs w:val="24"/>
        </w:rPr>
        <w:t xml:space="preserve"> de 5.783 para 12.217 unidades</w:t>
      </w:r>
      <w:r w:rsidR="00F46D46" w:rsidRPr="005214F1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5214F1" w:rsidRPr="005214F1">
        <w:rPr>
          <w:rFonts w:ascii="Times New Roman" w:eastAsia="Times New Roman" w:hAnsi="Times New Roman" w:cs="Times New Roman"/>
          <w:sz w:val="24"/>
          <w:szCs w:val="24"/>
        </w:rPr>
        <w:t>IBGE, s.d.)</w:t>
      </w:r>
      <w:r w:rsidR="001436AA" w:rsidRPr="005214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151C">
        <w:rPr>
          <w:rFonts w:ascii="Times New Roman" w:eastAsia="Times New Roman" w:hAnsi="Times New Roman" w:cs="Times New Roman"/>
          <w:sz w:val="24"/>
          <w:szCs w:val="24"/>
        </w:rPr>
        <w:t>Em contraste, observa-se um</w:t>
      </w:r>
      <w:r w:rsidR="001436AA" w:rsidRPr="005214F1">
        <w:rPr>
          <w:rFonts w:ascii="Times New Roman" w:eastAsia="Times New Roman" w:hAnsi="Times New Roman" w:cs="Times New Roman"/>
          <w:sz w:val="24"/>
          <w:szCs w:val="24"/>
        </w:rPr>
        <w:t xml:space="preserve"> decréscimo do efetivo policial estadual (MUSU</w:t>
      </w:r>
      <w:r w:rsidR="001436AA" w:rsidRPr="000C73B7">
        <w:rPr>
          <w:rFonts w:ascii="Times New Roman" w:eastAsia="Times New Roman" w:hAnsi="Times New Roman" w:cs="Times New Roman"/>
          <w:sz w:val="24"/>
          <w:szCs w:val="24"/>
        </w:rPr>
        <w:t xml:space="preserve">MECI, 2003; </w:t>
      </w:r>
      <w:r w:rsidR="0016151C">
        <w:rPr>
          <w:rFonts w:ascii="Times New Roman" w:eastAsia="Times New Roman" w:hAnsi="Times New Roman" w:cs="Times New Roman"/>
          <w:sz w:val="24"/>
          <w:szCs w:val="24"/>
        </w:rPr>
        <w:t>SCHABBACH</w:t>
      </w:r>
      <w:r w:rsidR="001436AA" w:rsidRPr="000C73B7">
        <w:rPr>
          <w:rFonts w:ascii="Times New Roman" w:eastAsia="Times New Roman" w:hAnsi="Times New Roman" w:cs="Times New Roman"/>
          <w:sz w:val="24"/>
          <w:szCs w:val="24"/>
        </w:rPr>
        <w:t>, 2007).</w:t>
      </w:r>
    </w:p>
    <w:p w14:paraId="3F7478AF" w14:textId="7ABF5488" w:rsidR="007130F5" w:rsidRDefault="001913FB" w:rsidP="00133C6A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Simultaneamente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7685">
        <w:rPr>
          <w:rFonts w:ascii="Times New Roman" w:eastAsia="Times New Roman" w:hAnsi="Times New Roman" w:cs="Times New Roman"/>
          <w:sz w:val="24"/>
          <w:szCs w:val="24"/>
        </w:rPr>
        <w:t>há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diferenças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expressivas </w:t>
      </w:r>
      <w:r w:rsidR="00442DFE">
        <w:rPr>
          <w:rFonts w:ascii="Times New Roman" w:eastAsia="Times New Roman" w:hAnsi="Times New Roman" w:cs="Times New Roman"/>
          <w:sz w:val="24"/>
          <w:szCs w:val="24"/>
        </w:rPr>
        <w:t xml:space="preserve">em relação aos países pesquisados 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>pelo referido autor</w:t>
      </w:r>
      <w:r w:rsidR="00A976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151C">
        <w:rPr>
          <w:rFonts w:ascii="Times New Roman" w:eastAsia="Times New Roman" w:hAnsi="Times New Roman" w:cs="Times New Roman"/>
          <w:sz w:val="24"/>
          <w:szCs w:val="24"/>
        </w:rPr>
        <w:t>com destaque para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: a) </w:t>
      </w:r>
      <w:r w:rsidR="00AD04B9" w:rsidRPr="00517C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defasagem temporal, pois as medidas repressivas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severas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iniciaram mais tarde, precisamente no final da década de 1980; b) a tradição jurídica considerada mais rígida em relação à dos países de língua inglesa; c) os orçamentos públicos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inferiores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; d) embora </w:t>
      </w:r>
      <w:r w:rsidR="00AD04B9" w:rsidRPr="00517C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situação </w:t>
      </w:r>
      <w:r w:rsidR="00AD04B9" w:rsidRPr="00517CCE">
        <w:rPr>
          <w:rFonts w:ascii="Times New Roman" w:eastAsia="Times New Roman" w:hAnsi="Times New Roman" w:cs="Times New Roman"/>
          <w:sz w:val="24"/>
          <w:szCs w:val="24"/>
        </w:rPr>
        <w:t xml:space="preserve">das prisões seja 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lastimável, </w:t>
      </w:r>
      <w:r w:rsidR="00AF5DC0">
        <w:rPr>
          <w:rFonts w:ascii="Times New Roman" w:eastAsia="Times New Roman" w:hAnsi="Times New Roman" w:cs="Times New Roman"/>
          <w:sz w:val="24"/>
          <w:szCs w:val="24"/>
        </w:rPr>
        <w:t>existe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uma resistência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população em 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destinar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mais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recursos para as políticas 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>penais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 xml:space="preserve">do que para as áreas 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sociais, como saúde e educação; e) nunca existiu um Estado Social pleno que </w:t>
      </w:r>
      <w:r w:rsidR="00EB3ABD">
        <w:rPr>
          <w:rFonts w:ascii="Times New Roman" w:eastAsia="Times New Roman" w:hAnsi="Times New Roman" w:cs="Times New Roman"/>
          <w:sz w:val="24"/>
          <w:szCs w:val="24"/>
        </w:rPr>
        <w:t>garantisse</w:t>
      </w:r>
      <w:r w:rsidR="00AD04B9" w:rsidRPr="00517CCE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>previdenciarismo</w:t>
      </w:r>
      <w:proofErr w:type="spellEnd"/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  <w:r w:rsidR="00AD04B9" w:rsidRPr="00517CCE">
        <w:rPr>
          <w:rFonts w:ascii="Times New Roman" w:eastAsia="Times New Roman" w:hAnsi="Times New Roman" w:cs="Times New Roman"/>
          <w:sz w:val="24"/>
          <w:szCs w:val="24"/>
        </w:rPr>
        <w:t xml:space="preserve"> abrangente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>, mesmo assim, a legislação</w:t>
      </w:r>
      <w:r w:rsidR="00244ED8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vários</w:t>
      </w:r>
      <w:r w:rsidR="00244ED8">
        <w:rPr>
          <w:rFonts w:ascii="Times New Roman" w:eastAsia="Times New Roman" w:hAnsi="Times New Roman" w:cs="Times New Roman"/>
          <w:sz w:val="24"/>
          <w:szCs w:val="24"/>
        </w:rPr>
        <w:t xml:space="preserve"> aspectos,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permanece</w:t>
      </w:r>
      <w:r w:rsidR="00517CCE" w:rsidRPr="00517CCE">
        <w:rPr>
          <w:rFonts w:ascii="Times New Roman" w:eastAsia="Times New Roman" w:hAnsi="Times New Roman" w:cs="Times New Roman"/>
          <w:sz w:val="24"/>
          <w:szCs w:val="24"/>
        </w:rPr>
        <w:t>u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>correcionalista</w:t>
      </w:r>
      <w:proofErr w:type="spellEnd"/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a exemplo d</w:t>
      </w:r>
      <w:r w:rsidR="007130F5" w:rsidRPr="00517CCE">
        <w:rPr>
          <w:rFonts w:ascii="Times New Roman" w:eastAsia="Times New Roman" w:hAnsi="Times New Roman" w:cs="Times New Roman"/>
          <w:sz w:val="24"/>
          <w:szCs w:val="24"/>
        </w:rPr>
        <w:t xml:space="preserve">o princípio constitucional da individualização da pena); </w:t>
      </w:r>
      <w:r w:rsidR="007130F5" w:rsidRPr="006E7EC5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>dois artigos d</w:t>
      </w:r>
      <w:r w:rsidR="007130F5" w:rsidRPr="006E7EC5">
        <w:rPr>
          <w:rFonts w:ascii="Times New Roman" w:eastAsia="Times New Roman" w:hAnsi="Times New Roman" w:cs="Times New Roman"/>
          <w:sz w:val="24"/>
          <w:szCs w:val="24"/>
        </w:rPr>
        <w:t xml:space="preserve">o Código Penal Brasileiro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representam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 “diques legais” à ampliação do número de presos, embora o país ocupe a terceira colocação entre os países com maior população carcerária (WORLD PRISON BRIEF): </w:t>
      </w:r>
      <w:r w:rsidR="007130F5" w:rsidRPr="006E7EC5">
        <w:rPr>
          <w:rFonts w:ascii="Times New Roman" w:eastAsia="Times New Roman" w:hAnsi="Times New Roman" w:cs="Times New Roman"/>
          <w:sz w:val="24"/>
          <w:szCs w:val="24"/>
        </w:rPr>
        <w:t>o início da responsabilidade penal fixado em 18 anos de idade (BRASIL, 1940, art. 27) e a proibição de a pena privativa de liberdade ultrapassar 30 anos. (BRASIL, 1940, art. 75). (NASCIMENTO, 2008)</w:t>
      </w:r>
      <w:r w:rsidR="00244ED8" w:rsidRPr="006E7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6A6C4" w14:textId="52846C94" w:rsidR="007130F5" w:rsidRDefault="0025134B" w:rsidP="00713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Acrescenta-se, </w:t>
      </w:r>
      <w:r w:rsidR="00602E7C">
        <w:rPr>
          <w:rFonts w:ascii="Times New Roman" w:eastAsia="Times New Roman" w:hAnsi="Times New Roman" w:cs="Times New Roman"/>
          <w:sz w:val="24"/>
          <w:szCs w:val="24"/>
        </w:rPr>
        <w:t xml:space="preserve">ainda,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a existência de legislação mais restritiva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 xml:space="preserve">em comparação com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>os Estados Unidos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>quanto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ao acesso </w:t>
      </w:r>
      <w:r w:rsidR="001913FB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arma de fogo, em específico, o Estatuto do Desarmamento </w:t>
      </w:r>
      <w:r w:rsidR="007130F5">
        <w:rPr>
          <w:rFonts w:ascii="Times New Roman" w:eastAsia="Times New Roman" w:hAnsi="Times New Roman" w:cs="Times New Roman"/>
          <w:sz w:val="24"/>
          <w:szCs w:val="24"/>
          <w:highlight w:val="white"/>
        </w:rPr>
        <w:t>(BRASIL, 2003b).</w:t>
      </w:r>
      <w:r w:rsidR="00490D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130F5">
        <w:rPr>
          <w:rFonts w:ascii="Times New Roman" w:eastAsia="Times New Roman" w:hAnsi="Times New Roman" w:cs="Times New Roman"/>
          <w:sz w:val="24"/>
          <w:szCs w:val="24"/>
          <w:highlight w:val="white"/>
        </w:rPr>
        <w:t>Todavia, desde os primeiros dias do governo Bolsonaro, em 2019,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esta lei vem recebendo sucessivos ataques. Só naquele ano o governo federal </w:t>
      </w:r>
      <w:r w:rsidR="004913E5">
        <w:rPr>
          <w:rFonts w:ascii="Times New Roman" w:eastAsia="Times New Roman" w:hAnsi="Times New Roman" w:cs="Times New Roman"/>
          <w:sz w:val="24"/>
          <w:szCs w:val="24"/>
        </w:rPr>
        <w:t>apresentou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10 decretos ou projetos de lei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que visavam maior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flexibilização (PEREIRA, 2021</w:t>
      </w:r>
      <w:r w:rsidR="007130F5" w:rsidRPr="006E7EC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sustentados por </w:t>
      </w:r>
      <w:r w:rsidR="007130F5" w:rsidRPr="006E7EC5">
        <w:rPr>
          <w:rFonts w:ascii="Times New Roman" w:eastAsia="Times New Roman" w:hAnsi="Times New Roman" w:cs="Times New Roman"/>
          <w:sz w:val="24"/>
          <w:szCs w:val="24"/>
        </w:rPr>
        <w:t>um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discurso </w:t>
      </w:r>
      <w:r w:rsidR="00A97685">
        <w:rPr>
          <w:rFonts w:ascii="Times New Roman" w:eastAsia="Times New Roman" w:hAnsi="Times New Roman" w:cs="Times New Roman"/>
          <w:sz w:val="24"/>
          <w:szCs w:val="24"/>
        </w:rPr>
        <w:t>em torno do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“direito de posse de arma para legítima defesa do cidadão”, a pessoas “de bem” (mensagem no “</w:t>
      </w:r>
      <w:proofErr w:type="spellStart"/>
      <w:r w:rsidR="007130F5">
        <w:rPr>
          <w:rFonts w:ascii="Times New Roman" w:eastAsia="Times New Roman" w:hAnsi="Times New Roman" w:cs="Times New Roman"/>
          <w:sz w:val="24"/>
          <w:szCs w:val="24"/>
        </w:rPr>
        <w:t>Planato</w:t>
      </w:r>
      <w:proofErr w:type="spellEnd"/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0F5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30F5"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proofErr w:type="spellEnd"/>
      <w:r w:rsidR="007130F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913E5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9"/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, após a promulgação do primeiro decreto </w:t>
      </w:r>
      <w:r w:rsidR="00490D7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o assunto, em janeiro de </w:t>
      </w:r>
      <w:r w:rsidR="004913E5">
        <w:rPr>
          <w:rFonts w:ascii="Times New Roman" w:eastAsia="Times New Roman" w:hAnsi="Times New Roman" w:cs="Times New Roman"/>
          <w:sz w:val="24"/>
          <w:szCs w:val="24"/>
        </w:rPr>
        <w:t>2019).</w:t>
      </w:r>
    </w:p>
    <w:p w14:paraId="067E5CF1" w14:textId="16161E05" w:rsidR="00E126E1" w:rsidRDefault="00490D72" w:rsidP="00677E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C5">
        <w:rPr>
          <w:rFonts w:ascii="Times New Roman" w:eastAsia="Times New Roman" w:hAnsi="Times New Roman" w:cs="Times New Roman"/>
          <w:sz w:val="24"/>
          <w:szCs w:val="24"/>
        </w:rPr>
        <w:t>Ademais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7EC5">
        <w:rPr>
          <w:rFonts w:ascii="Times New Roman" w:eastAsia="Times New Roman" w:hAnsi="Times New Roman" w:cs="Times New Roman"/>
          <w:sz w:val="24"/>
          <w:szCs w:val="24"/>
        </w:rPr>
        <w:t>outro</w:t>
      </w:r>
      <w:r w:rsidR="003607DA" w:rsidRPr="006E7E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08AA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C5">
        <w:rPr>
          <w:rFonts w:ascii="Times New Roman" w:eastAsia="Times New Roman" w:hAnsi="Times New Roman" w:cs="Times New Roman"/>
          <w:sz w:val="24"/>
          <w:szCs w:val="24"/>
        </w:rPr>
        <w:t>elemento</w:t>
      </w:r>
      <w:r w:rsidR="003607DA" w:rsidRPr="006E7E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08AA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constitutivo</w:t>
      </w:r>
      <w:r w:rsidR="003607DA" w:rsidRPr="006E7E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3E5" w:rsidRPr="006E7E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27649" w:rsidRPr="006E7EC5">
        <w:rPr>
          <w:rFonts w:ascii="Times New Roman" w:eastAsia="Times New Roman" w:hAnsi="Times New Roman" w:cs="Times New Roman"/>
          <w:sz w:val="24"/>
          <w:szCs w:val="24"/>
        </w:rPr>
        <w:t>SSPB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já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citados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649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7DA" w:rsidRPr="006E7EC5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A208AA" w:rsidRPr="006E7EC5">
        <w:rPr>
          <w:rFonts w:ascii="Times New Roman" w:eastAsia="Times New Roman" w:hAnsi="Times New Roman" w:cs="Times New Roman"/>
          <w:sz w:val="24"/>
          <w:szCs w:val="24"/>
        </w:rPr>
        <w:t xml:space="preserve"> a dualidade</w:t>
      </w:r>
      <w:r w:rsidR="00A97685" w:rsidRPr="006E7EC5">
        <w:rPr>
          <w:rFonts w:ascii="Times New Roman" w:eastAsia="Times New Roman" w:hAnsi="Times New Roman" w:cs="Times New Roman"/>
          <w:sz w:val="24"/>
          <w:szCs w:val="24"/>
        </w:rPr>
        <w:t xml:space="preserve"> das estratégias</w:t>
      </w:r>
      <w:r w:rsidR="00427649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7DA" w:rsidRPr="006E7EC5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7649" w:rsidRPr="006E7EC5">
        <w:rPr>
          <w:rFonts w:ascii="Times New Roman" w:eastAsia="Times New Roman" w:hAnsi="Times New Roman" w:cs="Times New Roman"/>
          <w:sz w:val="24"/>
          <w:szCs w:val="24"/>
        </w:rPr>
        <w:t xml:space="preserve"> a mistura entre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elementos novos e antigos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. Ou seja: </w:t>
      </w:r>
      <w:r w:rsidR="00244ED8" w:rsidRPr="006E7EC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A característica distintiva do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lastRenderedPageBreak/>
        <w:t>período atual não é a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punitividade</w:t>
      </w:r>
      <w:proofErr w:type="spellEnd"/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, mas antes a ambivalência. Ele oscila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de modo errático entre 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adaptação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negação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entre tentativas de enfrentar a situação e tentativas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>de fazê-la desaparecer magicamente.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126E1" w:rsidRPr="006E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 xml:space="preserve">(GARLAND, 1999, p. 64). 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 xml:space="preserve">Alguns </w:t>
      </w:r>
      <w:r w:rsidR="00711F22">
        <w:rPr>
          <w:rFonts w:ascii="Times New Roman" w:eastAsia="Times New Roman" w:hAnsi="Times New Roman" w:cs="Times New Roman"/>
          <w:sz w:val="24"/>
          <w:szCs w:val="24"/>
        </w:rPr>
        <w:t>pesquisadores</w:t>
      </w:r>
      <w:r w:rsidR="00244ED8" w:rsidRPr="006E7EC5">
        <w:rPr>
          <w:rFonts w:ascii="Times New Roman" w:eastAsia="Times New Roman" w:hAnsi="Times New Roman" w:cs="Times New Roman"/>
          <w:sz w:val="24"/>
          <w:szCs w:val="24"/>
        </w:rPr>
        <w:t xml:space="preserve"> brasileiros</w:t>
      </w:r>
      <w:r w:rsidR="006E7EC5">
        <w:rPr>
          <w:rFonts w:ascii="Times New Roman" w:eastAsia="Times New Roman" w:hAnsi="Times New Roman" w:cs="Times New Roman"/>
          <w:sz w:val="24"/>
          <w:szCs w:val="24"/>
        </w:rPr>
        <w:t>, como os apresentados a seguir, identificaram</w:t>
      </w:r>
      <w:r w:rsidR="00133C6A" w:rsidRPr="006E7EC5">
        <w:rPr>
          <w:rFonts w:ascii="Times New Roman" w:eastAsia="Times New Roman" w:hAnsi="Times New Roman" w:cs="Times New Roman"/>
          <w:sz w:val="24"/>
          <w:szCs w:val="24"/>
        </w:rPr>
        <w:t xml:space="preserve"> aspectos </w:t>
      </w:r>
      <w:r w:rsidR="00E635BC" w:rsidRPr="006E7EC5">
        <w:rPr>
          <w:rFonts w:ascii="Times New Roman" w:eastAsia="Times New Roman" w:hAnsi="Times New Roman" w:cs="Times New Roman"/>
          <w:sz w:val="24"/>
          <w:szCs w:val="24"/>
        </w:rPr>
        <w:t xml:space="preserve">similares </w:t>
      </w:r>
      <w:r w:rsidR="00671D85" w:rsidRPr="006E7EC5">
        <w:rPr>
          <w:rFonts w:ascii="Times New Roman" w:eastAsia="Times New Roman" w:hAnsi="Times New Roman" w:cs="Times New Roman"/>
          <w:sz w:val="24"/>
          <w:szCs w:val="24"/>
        </w:rPr>
        <w:t>no País</w:t>
      </w:r>
      <w:r w:rsidR="00677E83" w:rsidRPr="006E7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9B2C7" w14:textId="17B7862B" w:rsidR="00894CED" w:rsidRDefault="00677E83" w:rsidP="00894C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DF5E0B">
        <w:rPr>
          <w:rFonts w:ascii="Times New Roman" w:eastAsia="Times New Roman" w:hAnsi="Times New Roman" w:cs="Times New Roman"/>
          <w:sz w:val="24"/>
          <w:szCs w:val="24"/>
        </w:rPr>
        <w:t xml:space="preserve"> Pereira (</w:t>
      </w:r>
      <w:r w:rsidR="00DF5E0B" w:rsidRPr="00677E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30F5" w:rsidRPr="00677E83">
        <w:rPr>
          <w:rFonts w:ascii="Times New Roman" w:eastAsia="Times New Roman" w:hAnsi="Times New Roman" w:cs="Times New Roman"/>
          <w:sz w:val="24"/>
          <w:szCs w:val="24"/>
        </w:rPr>
        <w:t>021),</w:t>
      </w:r>
      <w:r w:rsidRPr="0067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0F5" w:rsidRPr="00677E83">
        <w:rPr>
          <w:rFonts w:ascii="Times New Roman" w:eastAsia="Times New Roman" w:hAnsi="Times New Roman" w:cs="Times New Roman"/>
          <w:sz w:val="24"/>
          <w:szCs w:val="24"/>
        </w:rPr>
        <w:t xml:space="preserve">a trajetória </w:t>
      </w:r>
      <w:r w:rsidR="00706194">
        <w:rPr>
          <w:rFonts w:ascii="Times New Roman" w:eastAsia="Times New Roman" w:hAnsi="Times New Roman" w:cs="Times New Roman"/>
          <w:sz w:val="24"/>
          <w:szCs w:val="24"/>
        </w:rPr>
        <w:t>das políticas penais e de segurança pública</w:t>
      </w:r>
      <w:r w:rsidR="007130F5" w:rsidRPr="00677E83">
        <w:rPr>
          <w:rFonts w:ascii="Times New Roman" w:eastAsia="Times New Roman" w:hAnsi="Times New Roman" w:cs="Times New Roman"/>
          <w:sz w:val="24"/>
          <w:szCs w:val="24"/>
        </w:rPr>
        <w:t xml:space="preserve"> entre 1997 e </w:t>
      </w:r>
      <w:r w:rsidR="007130F5" w:rsidRPr="00E4369A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706194" w:rsidRPr="00E4369A">
        <w:rPr>
          <w:rFonts w:ascii="Times New Roman" w:eastAsia="Times New Roman" w:hAnsi="Times New Roman" w:cs="Times New Roman"/>
          <w:sz w:val="24"/>
          <w:szCs w:val="24"/>
        </w:rPr>
        <w:t>expõe</w:t>
      </w:r>
      <w:r w:rsidR="00DF5E0B" w:rsidRPr="00E436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 w:rsidRPr="00E4369A">
        <w:rPr>
          <w:rFonts w:ascii="Times New Roman" w:eastAsia="Times New Roman" w:hAnsi="Times New Roman" w:cs="Times New Roman"/>
          <w:sz w:val="24"/>
          <w:szCs w:val="24"/>
        </w:rPr>
        <w:t xml:space="preserve"> de um lado</w:t>
      </w:r>
      <w:r w:rsidR="00706194" w:rsidRPr="00E436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 w:rsidRPr="00E4369A">
        <w:rPr>
          <w:rFonts w:ascii="Times New Roman" w:eastAsia="Times New Roman" w:hAnsi="Times New Roman" w:cs="Times New Roman"/>
          <w:sz w:val="24"/>
          <w:szCs w:val="24"/>
        </w:rPr>
        <w:t xml:space="preserve"> a criminalização e o agravamento das penas, de outro</w:t>
      </w:r>
      <w:r w:rsidR="00706194" w:rsidRPr="00E436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 w:rsidRPr="00E4369A">
        <w:rPr>
          <w:rFonts w:ascii="Times New Roman" w:eastAsia="Times New Roman" w:hAnsi="Times New Roman" w:cs="Times New Roman"/>
          <w:sz w:val="24"/>
          <w:szCs w:val="24"/>
        </w:rPr>
        <w:t xml:space="preserve"> políticas universalizantes e de efetivação dos direitos, sobretudo para populações vulneráveis. </w:t>
      </w:r>
      <w:r w:rsidR="003607DA" w:rsidRPr="00E4369A">
        <w:rPr>
          <w:rFonts w:ascii="Times New Roman" w:eastAsia="Times New Roman" w:hAnsi="Times New Roman" w:cs="Times New Roman"/>
          <w:sz w:val="24"/>
          <w:szCs w:val="24"/>
        </w:rPr>
        <w:t>Além disso</w:t>
      </w:r>
      <w:r w:rsidR="00706194" w:rsidRPr="00E4369A">
        <w:rPr>
          <w:rFonts w:ascii="Times New Roman" w:eastAsia="Times New Roman" w:hAnsi="Times New Roman" w:cs="Times New Roman"/>
          <w:sz w:val="24"/>
          <w:szCs w:val="24"/>
        </w:rPr>
        <w:t xml:space="preserve">, às respostas “reativa” e “adaptativa” a </w:t>
      </w:r>
      <w:r w:rsidRPr="00E4369A">
        <w:rPr>
          <w:rFonts w:ascii="Times New Roman" w:eastAsia="Times New Roman" w:hAnsi="Times New Roman" w:cs="Times New Roman"/>
          <w:sz w:val="24"/>
          <w:szCs w:val="24"/>
        </w:rPr>
        <w:t xml:space="preserve">autora acrescenta um terceiro tipo, </w:t>
      </w:r>
      <w:r w:rsidR="00894CED" w:rsidRPr="00E4369A">
        <w:rPr>
          <w:rFonts w:ascii="Times New Roman" w:eastAsia="Times New Roman" w:hAnsi="Times New Roman" w:cs="Times New Roman"/>
          <w:sz w:val="24"/>
          <w:szCs w:val="24"/>
        </w:rPr>
        <w:t>vinculado aos movimentos que buscam ampliar os direitos para o conjunto da população</w:t>
      </w:r>
      <w:r w:rsidRPr="00E4369A">
        <w:rPr>
          <w:rFonts w:ascii="Times New Roman" w:eastAsia="Times New Roman" w:hAnsi="Times New Roman" w:cs="Times New Roman"/>
          <w:sz w:val="24"/>
          <w:szCs w:val="24"/>
        </w:rPr>
        <w:t xml:space="preserve"> na América Latina</w:t>
      </w:r>
      <w:r w:rsidR="00894CED" w:rsidRPr="00E4369A">
        <w:rPr>
          <w:rFonts w:ascii="Times New Roman" w:eastAsia="Times New Roman" w:hAnsi="Times New Roman" w:cs="Times New Roman"/>
          <w:sz w:val="24"/>
          <w:szCs w:val="24"/>
        </w:rPr>
        <w:t xml:space="preserve">: as </w:t>
      </w:r>
      <w:r w:rsidR="004A6FAD" w:rsidRPr="00E4369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4CED" w:rsidRPr="00E4369A">
        <w:rPr>
          <w:rFonts w:ascii="Times New Roman" w:eastAsia="Times New Roman" w:hAnsi="Times New Roman" w:cs="Times New Roman"/>
          <w:sz w:val="24"/>
          <w:szCs w:val="24"/>
        </w:rPr>
        <w:t>respostas garantistas</w:t>
      </w:r>
      <w:r w:rsidR="004A6FAD" w:rsidRPr="00E4369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94CED" w:rsidRPr="00E436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FAD" w:rsidRPr="00E4369A">
        <w:rPr>
          <w:rFonts w:ascii="Times New Roman" w:eastAsia="Times New Roman" w:hAnsi="Times New Roman" w:cs="Times New Roman"/>
          <w:sz w:val="24"/>
          <w:szCs w:val="24"/>
        </w:rPr>
        <w:t>(PEREIRA, 2021, p. 70-72)</w:t>
      </w:r>
      <w:r w:rsidR="00706194" w:rsidRPr="00E436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586B85" w14:textId="4C3466E4" w:rsidR="00706194" w:rsidRPr="00906DA6" w:rsidRDefault="00B406FE" w:rsidP="00F00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8E3D6D">
        <w:rPr>
          <w:rFonts w:ascii="Times New Roman" w:eastAsia="Times New Roman" w:hAnsi="Times New Roman" w:cs="Times New Roman"/>
          <w:sz w:val="24"/>
          <w:szCs w:val="24"/>
        </w:rPr>
        <w:t xml:space="preserve">uando analisam os planos federais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segurança pública, </w:t>
      </w:r>
      <w:r w:rsidR="007130F5" w:rsidRPr="008E3D6D">
        <w:rPr>
          <w:rFonts w:ascii="Times New Roman" w:eastAsia="Times New Roman" w:hAnsi="Times New Roman" w:cs="Times New Roman"/>
          <w:sz w:val="24"/>
          <w:szCs w:val="24"/>
        </w:rPr>
        <w:t>Trindade e Madeira (2020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130F5" w:rsidRPr="008E3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0F5" w:rsidRPr="00906DA6">
        <w:rPr>
          <w:rFonts w:ascii="Times New Roman" w:eastAsia="Times New Roman" w:hAnsi="Times New Roman" w:cs="Times New Roman"/>
          <w:sz w:val="24"/>
          <w:szCs w:val="24"/>
        </w:rPr>
        <w:t xml:space="preserve">percebem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 xml:space="preserve">que eles 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>oscilam</w:t>
      </w:r>
      <w:r w:rsidR="007130F5" w:rsidRPr="00906DA6">
        <w:rPr>
          <w:rFonts w:ascii="Times New Roman" w:eastAsia="Times New Roman" w:hAnsi="Times New Roman" w:cs="Times New Roman"/>
          <w:sz w:val="24"/>
          <w:szCs w:val="24"/>
        </w:rPr>
        <w:t xml:space="preserve"> entre políticas </w:t>
      </w:r>
      <w:r w:rsidR="00706194" w:rsidRPr="00906DA6">
        <w:rPr>
          <w:rFonts w:ascii="Times New Roman" w:eastAsia="Times New Roman" w:hAnsi="Times New Roman" w:cs="Times New Roman"/>
          <w:sz w:val="24"/>
          <w:szCs w:val="24"/>
        </w:rPr>
        <w:t>repressivas</w:t>
      </w:r>
      <w:r w:rsidR="007130F5" w:rsidRPr="00906DA6">
        <w:rPr>
          <w:rFonts w:ascii="Times New Roman" w:eastAsia="Times New Roman" w:hAnsi="Times New Roman" w:cs="Times New Roman"/>
          <w:sz w:val="24"/>
          <w:szCs w:val="24"/>
        </w:rPr>
        <w:t xml:space="preserve"> e preventivas, ou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 misturam ambas as </w:t>
      </w:r>
      <w:r w:rsidR="007130F5" w:rsidRPr="00906DA6">
        <w:rPr>
          <w:rFonts w:ascii="Times New Roman" w:eastAsia="Times New Roman" w:hAnsi="Times New Roman" w:cs="Times New Roman"/>
          <w:sz w:val="24"/>
          <w:szCs w:val="24"/>
        </w:rPr>
        <w:t>lógicas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 dentro de uma mesma proposta</w:t>
      </w:r>
      <w:r w:rsidR="007130F5" w:rsidRPr="00906D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BEAA2" w14:textId="0A578E6F" w:rsidR="007130F5" w:rsidRDefault="003A3577" w:rsidP="00F00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DA6">
        <w:rPr>
          <w:rFonts w:ascii="Times New Roman" w:eastAsia="Times New Roman" w:hAnsi="Times New Roman" w:cs="Times New Roman"/>
          <w:sz w:val="24"/>
          <w:szCs w:val="24"/>
        </w:rPr>
        <w:t>Entre as</w:t>
      </w:r>
      <w:r w:rsidR="008E3D6D" w:rsidRPr="00906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>proposituras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 xml:space="preserve">de lei </w:t>
      </w:r>
      <w:r w:rsidR="008E3D6D" w:rsidRPr="00906DA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E3D6D" w:rsidRPr="00906DA6">
        <w:rPr>
          <w:rFonts w:ascii="Times New Roman" w:eastAsia="Times New Roman" w:hAnsi="Times New Roman" w:cs="Times New Roman"/>
          <w:sz w:val="24"/>
          <w:szCs w:val="24"/>
        </w:rPr>
        <w:t>leis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 xml:space="preserve"> efetivamente</w:t>
      </w:r>
      <w:r w:rsidR="008E3D6D" w:rsidRPr="00906DA6">
        <w:rPr>
          <w:rFonts w:ascii="Times New Roman" w:eastAsia="Times New Roman" w:hAnsi="Times New Roman" w:cs="Times New Roman"/>
          <w:sz w:val="24"/>
          <w:szCs w:val="24"/>
        </w:rPr>
        <w:t xml:space="preserve"> aprovadas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 xml:space="preserve">pelo Congresso Nacional 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acerca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3D6D" w:rsidRPr="00906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>segurança pública e justiça criminal</w:t>
      </w:r>
      <w:r w:rsidR="003607DA" w:rsidRPr="00906D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no período </w:t>
      </w:r>
      <w:r w:rsidR="006374FC" w:rsidRPr="00906DA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>1989 a 2016,</w:t>
      </w:r>
      <w:r w:rsidR="00894CED">
        <w:rPr>
          <w:rFonts w:ascii="Times New Roman" w:eastAsia="Times New Roman" w:hAnsi="Times New Roman" w:cs="Times New Roman"/>
          <w:sz w:val="24"/>
          <w:szCs w:val="24"/>
        </w:rPr>
        <w:t xml:space="preserve"> Campos e Azevedo (2020) </w:t>
      </w:r>
      <w:bookmarkStart w:id="12" w:name="_Hlk111226335"/>
      <w:r w:rsidR="00706194" w:rsidRPr="00906DA6">
        <w:rPr>
          <w:rFonts w:ascii="Times New Roman" w:eastAsia="Times New Roman" w:hAnsi="Times New Roman" w:cs="Times New Roman"/>
          <w:sz w:val="24"/>
          <w:szCs w:val="24"/>
        </w:rPr>
        <w:t>constatam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uma coexistência (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>ou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hibridez) entre </w:t>
      </w:r>
      <w:r w:rsidRPr="00906DA6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894CED" w:rsidRPr="00906DA6">
        <w:rPr>
          <w:rFonts w:ascii="Times New Roman" w:eastAsia="Times New Roman" w:hAnsi="Times New Roman" w:cs="Times New Roman"/>
          <w:sz w:val="24"/>
          <w:szCs w:val="24"/>
        </w:rPr>
        <w:t xml:space="preserve"> orientação ampliadora de direitos (universalista) e outra punitiva e hierarquizante</w:t>
      </w:r>
      <w:r w:rsidR="00C01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2"/>
    <w:p w14:paraId="54351102" w14:textId="3B96747D" w:rsidR="007130F5" w:rsidRDefault="002637F9" w:rsidP="007130F5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governos</w:t>
      </w:r>
      <w:r w:rsidR="00137C63" w:rsidRPr="00046BD7">
        <w:rPr>
          <w:rFonts w:ascii="Times New Roman" w:eastAsia="Times New Roman" w:hAnsi="Times New Roman" w:cs="Times New Roman"/>
          <w:sz w:val="24"/>
          <w:szCs w:val="24"/>
        </w:rPr>
        <w:t xml:space="preserve"> progressistas</w:t>
      </w:r>
      <w:r w:rsidR="00137C63">
        <w:rPr>
          <w:rFonts w:ascii="Times New Roman" w:eastAsia="Times New Roman" w:hAnsi="Times New Roman" w:cs="Times New Roman"/>
          <w:sz w:val="24"/>
          <w:szCs w:val="24"/>
        </w:rPr>
        <w:t xml:space="preserve"> não ficaram imunes </w:t>
      </w:r>
      <w:r w:rsidR="009F2B25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="003A3577" w:rsidRPr="00046BD7">
        <w:rPr>
          <w:rFonts w:ascii="Times New Roman" w:eastAsia="Times New Roman" w:hAnsi="Times New Roman" w:cs="Times New Roman"/>
          <w:sz w:val="24"/>
          <w:szCs w:val="24"/>
        </w:rPr>
        <w:t xml:space="preserve">combinação </w:t>
      </w:r>
      <w:r w:rsidR="009F2B25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3A3577" w:rsidRPr="00046BD7">
        <w:rPr>
          <w:rFonts w:ascii="Times New Roman" w:eastAsia="Times New Roman" w:hAnsi="Times New Roman" w:cs="Times New Roman"/>
          <w:sz w:val="24"/>
          <w:szCs w:val="24"/>
        </w:rPr>
        <w:t xml:space="preserve">perspectivas garantistas/preventivas </w:t>
      </w:r>
      <w:r w:rsidR="00CC5D1E" w:rsidRPr="00CC5D1E">
        <w:rPr>
          <w:rFonts w:ascii="Times New Roman" w:eastAsia="Times New Roman" w:hAnsi="Times New Roman" w:cs="Times New Roman"/>
          <w:sz w:val="24"/>
          <w:szCs w:val="24"/>
        </w:rPr>
        <w:t>e</w:t>
      </w:r>
      <w:r w:rsidR="003A3577" w:rsidRPr="00CC5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3577" w:rsidRPr="00046BD7">
        <w:rPr>
          <w:rFonts w:ascii="Times New Roman" w:eastAsia="Times New Roman" w:hAnsi="Times New Roman" w:cs="Times New Roman"/>
          <w:sz w:val="24"/>
          <w:szCs w:val="24"/>
        </w:rPr>
        <w:t>punitivistas</w:t>
      </w:r>
      <w:proofErr w:type="spellEnd"/>
      <w:r w:rsidR="003A3577" w:rsidRPr="00046BD7">
        <w:rPr>
          <w:rFonts w:ascii="Times New Roman" w:eastAsia="Times New Roman" w:hAnsi="Times New Roman" w:cs="Times New Roman"/>
          <w:sz w:val="24"/>
          <w:szCs w:val="24"/>
        </w:rPr>
        <w:t>/repressivas</w:t>
      </w:r>
      <w:r w:rsidR="00517CCE" w:rsidRPr="00046B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3D6D" w:rsidRPr="00046BD7">
        <w:rPr>
          <w:rFonts w:ascii="Times New Roman" w:eastAsia="Times New Roman" w:hAnsi="Times New Roman" w:cs="Times New Roman"/>
          <w:sz w:val="24"/>
          <w:szCs w:val="24"/>
        </w:rPr>
        <w:t xml:space="preserve">Conforme Pereira (2021), houve, por um lado, </w:t>
      </w:r>
      <w:r w:rsidR="00D60ADA" w:rsidRPr="00046BD7">
        <w:rPr>
          <w:rFonts w:ascii="Times New Roman" w:eastAsia="Times New Roman" w:hAnsi="Times New Roman" w:cs="Times New Roman"/>
          <w:sz w:val="24"/>
          <w:szCs w:val="24"/>
        </w:rPr>
        <w:t>a implementação de iniciativas de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>mocratizantes e planejadas (PRONASCI, Estatuto do Desarmamento, fortalecimento da Polícia Federal, Conselhos de Segurança Pública</w:t>
      </w:r>
      <w:r w:rsidR="008E3D6D" w:rsidRPr="00046BD7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>ustiça Restaurativa), por outro</w:t>
      </w:r>
      <w:r w:rsidR="009961B2" w:rsidRPr="00046B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CCE" w:rsidRPr="00046BD7">
        <w:rPr>
          <w:rFonts w:ascii="Times New Roman" w:eastAsia="Times New Roman" w:hAnsi="Times New Roman" w:cs="Times New Roman"/>
          <w:sz w:val="24"/>
          <w:szCs w:val="24"/>
        </w:rPr>
        <w:t xml:space="preserve">foram mobilizados </w:t>
      </w:r>
      <w:r w:rsidR="003607DA" w:rsidRPr="00046B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3607DA">
        <w:rPr>
          <w:rFonts w:ascii="Times New Roman" w:eastAsia="Times New Roman" w:hAnsi="Times New Roman" w:cs="Times New Roman"/>
          <w:sz w:val="24"/>
          <w:szCs w:val="24"/>
        </w:rPr>
        <w:t>xpedientes</w:t>
      </w:r>
      <w:r w:rsidR="003607DA" w:rsidRPr="00046BD7">
        <w:rPr>
          <w:rFonts w:ascii="Times New Roman" w:eastAsia="Times New Roman" w:hAnsi="Times New Roman" w:cs="Times New Roman"/>
          <w:sz w:val="24"/>
          <w:szCs w:val="24"/>
        </w:rPr>
        <w:t xml:space="preserve"> de maior criminalização ou penalização de certas práticas sociais</w:t>
      </w:r>
      <w:r w:rsidR="000400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DA">
        <w:rPr>
          <w:rFonts w:ascii="Times New Roman" w:eastAsia="Times New Roman" w:hAnsi="Times New Roman" w:cs="Times New Roman"/>
          <w:sz w:val="24"/>
          <w:szCs w:val="24"/>
        </w:rPr>
        <w:t xml:space="preserve"> e, em alguns estados, </w:t>
      </w:r>
      <w:r w:rsidR="008773AE">
        <w:rPr>
          <w:rFonts w:ascii="Times New Roman" w:eastAsia="Times New Roman" w:hAnsi="Times New Roman" w:cs="Times New Roman"/>
          <w:sz w:val="24"/>
          <w:szCs w:val="24"/>
        </w:rPr>
        <w:t xml:space="preserve">foi acionada a </w:t>
      </w:r>
      <w:r w:rsidR="003607DA" w:rsidRPr="00046BD7">
        <w:rPr>
          <w:rFonts w:ascii="Times New Roman" w:eastAsia="Times New Roman" w:hAnsi="Times New Roman" w:cs="Times New Roman"/>
          <w:sz w:val="24"/>
          <w:szCs w:val="24"/>
        </w:rPr>
        <w:t>intervenção</w:t>
      </w:r>
      <w:r w:rsidR="009961B2" w:rsidRPr="00046BD7">
        <w:rPr>
          <w:rFonts w:ascii="Times New Roman" w:eastAsia="Times New Roman" w:hAnsi="Times New Roman" w:cs="Times New Roman"/>
          <w:sz w:val="24"/>
          <w:szCs w:val="24"/>
        </w:rPr>
        <w:t xml:space="preserve"> das Forças Armadas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 em situações envolvendo a segurança pública</w:t>
      </w:r>
      <w:r w:rsidR="009961B2" w:rsidRPr="0004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F4E" w:rsidRPr="00046B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73AE">
        <w:rPr>
          <w:rFonts w:ascii="Times New Roman" w:eastAsia="Times New Roman" w:hAnsi="Times New Roman" w:cs="Times New Roman"/>
          <w:sz w:val="24"/>
          <w:szCs w:val="24"/>
        </w:rPr>
        <w:t xml:space="preserve">por meio do dispositivo legal da </w:t>
      </w:r>
      <w:r w:rsidR="00137C63">
        <w:rPr>
          <w:rFonts w:ascii="Times New Roman" w:eastAsia="Times New Roman" w:hAnsi="Times New Roman" w:cs="Times New Roman"/>
          <w:sz w:val="24"/>
          <w:szCs w:val="24"/>
        </w:rPr>
        <w:t>Garantia da Lei e da Ordem, GLO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 xml:space="preserve">). Nesse sentido, os governos do PSDB (Partido Social Democrata Brasileiro), do PT (Partido dos Trabalhadores) e do MDB (Movimento Democrático Brasileiro), situados no centro ou à esquerda do espectro ideológico, não lograram efetivar o </w:t>
      </w:r>
      <w:proofErr w:type="spellStart"/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>welfarismo</w:t>
      </w:r>
      <w:proofErr w:type="spellEnd"/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 xml:space="preserve"> penal (PEREIRA, 2021)</w:t>
      </w:r>
      <w:r w:rsidR="00137C63">
        <w:rPr>
          <w:rFonts w:ascii="Times New Roman" w:eastAsia="Times New Roman" w:hAnsi="Times New Roman" w:cs="Times New Roman"/>
          <w:sz w:val="24"/>
          <w:szCs w:val="24"/>
        </w:rPr>
        <w:t xml:space="preserve">, tampouco 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 xml:space="preserve">avançaram na reforma da arquitetura institucional da segurança pública, </w:t>
      </w:r>
      <w:r w:rsidR="00137C63">
        <w:rPr>
          <w:rFonts w:ascii="Times New Roman" w:eastAsia="Times New Roman" w:hAnsi="Times New Roman" w:cs="Times New Roman"/>
          <w:sz w:val="24"/>
          <w:szCs w:val="24"/>
        </w:rPr>
        <w:t>especialmente</w:t>
      </w:r>
      <w:r w:rsidR="007130F5" w:rsidRPr="00046BD7">
        <w:rPr>
          <w:rFonts w:ascii="Times New Roman" w:eastAsia="Times New Roman" w:hAnsi="Times New Roman" w:cs="Times New Roman"/>
          <w:sz w:val="24"/>
          <w:szCs w:val="24"/>
        </w:rPr>
        <w:t xml:space="preserve"> do modelo fraturado de divisão do trabalho policial (SOARES, 2012).</w:t>
      </w:r>
      <w:r w:rsidR="00713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BAF46" w14:textId="36519764" w:rsidR="00B265D4" w:rsidRDefault="009F2B25" w:rsidP="00B265D4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último, n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>o governo Bolsonaro</w:t>
      </w:r>
      <w:r w:rsidR="008773AE">
        <w:rPr>
          <w:rFonts w:ascii="Times New Roman" w:eastAsia="Times New Roman" w:hAnsi="Times New Roman" w:cs="Times New Roman"/>
          <w:sz w:val="24"/>
          <w:szCs w:val="24"/>
        </w:rPr>
        <w:t xml:space="preserve"> assist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iu-</w:t>
      </w:r>
      <w:r w:rsidR="008773A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a uma nova oscilação do pêndulo 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 xml:space="preserve">da segurança pública (SOARES, 2001; BEATO FILHO </w:t>
      </w:r>
      <w:r w:rsidR="00046BD7" w:rsidRPr="00137C6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>., 20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>4)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7C63">
        <w:rPr>
          <w:rFonts w:ascii="Times New Roman" w:eastAsia="Times New Roman" w:hAnsi="Times New Roman" w:cs="Times New Roman"/>
          <w:sz w:val="24"/>
          <w:szCs w:val="24"/>
        </w:rPr>
        <w:t>na medida em que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as propostas 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>e discurso</w:t>
      </w:r>
      <w:r w:rsidR="00C257D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4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do presidente e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196621">
        <w:rPr>
          <w:rFonts w:ascii="Times New Roman" w:eastAsia="Times New Roman" w:hAnsi="Times New Roman" w:cs="Times New Roman"/>
          <w:sz w:val="24"/>
          <w:szCs w:val="24"/>
        </w:rPr>
        <w:t xml:space="preserve"> coalizão ministerial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 contraria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va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>m preceitos garantistas básicos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defenderem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: a) o fim da progressão das penas; b) a ampliação do excludente de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lastRenderedPageBreak/>
        <w:t>ilicitude na atuação dos profissionais da segurança pública (</w:t>
      </w:r>
      <w:r w:rsidR="008858E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afastamento da culpabilidade quando o uso letal da força for praticado por agentes em estrito cumprimento </w:t>
      </w:r>
      <w:r w:rsidR="000400D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 dever ou no exercício legal do direito, a chamada “licença para matar”); c) o discurso em prol do armamento da população</w:t>
      </w:r>
      <w:r w:rsidR="00B265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0"/>
      </w:r>
      <w:r w:rsidR="00B265D4">
        <w:rPr>
          <w:rFonts w:ascii="Times New Roman" w:eastAsia="Times New Roman" w:hAnsi="Times New Roman" w:cs="Times New Roman"/>
          <w:sz w:val="24"/>
          <w:szCs w:val="24"/>
        </w:rPr>
        <w:t xml:space="preserve"> e que proclama a existência de dois tipos de cidadãos</w:t>
      </w:r>
      <w:r w:rsidR="000400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65D4">
        <w:rPr>
          <w:rFonts w:ascii="Times New Roman" w:eastAsia="Times New Roman" w:hAnsi="Times New Roman" w:cs="Times New Roman"/>
          <w:sz w:val="24"/>
          <w:szCs w:val="24"/>
        </w:rPr>
        <w:t>os “de bem” e os “inimigos da pátria”. (PEREIRA, 2021).</w:t>
      </w:r>
    </w:p>
    <w:p w14:paraId="49EDA0C7" w14:textId="659C2652" w:rsidR="001E6C56" w:rsidRDefault="00CA4A8E" w:rsidP="002017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B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03B5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</w:t>
      </w:r>
      <w:r w:rsidR="001B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FINAIS</w:t>
      </w:r>
    </w:p>
    <w:p w14:paraId="09B32246" w14:textId="0175C5E3" w:rsidR="00D22A8C" w:rsidRDefault="00C257D6" w:rsidP="00D22A8C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Embora tenha </w:t>
      </w:r>
      <w:r w:rsidR="007A4593">
        <w:rPr>
          <w:rFonts w:ascii="Times New Roman" w:eastAsia="Times New Roman" w:hAnsi="Times New Roman" w:cs="Times New Roman"/>
          <w:sz w:val="24"/>
          <w:szCs w:val="24"/>
        </w:rPr>
        <w:t>pesquisado paí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 w:rsidR="002B4D3B">
        <w:rPr>
          <w:rFonts w:ascii="Times New Roman" w:eastAsia="Times New Roman" w:hAnsi="Times New Roman" w:cs="Times New Roman"/>
          <w:sz w:val="24"/>
          <w:szCs w:val="24"/>
        </w:rPr>
        <w:t xml:space="preserve"> do primeiro mundo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>, ou d</w:t>
      </w:r>
      <w:r w:rsidR="002B4D3B">
        <w:rPr>
          <w:rFonts w:ascii="Times New Roman" w:eastAsia="Times New Roman" w:hAnsi="Times New Roman" w:cs="Times New Roman"/>
          <w:sz w:val="24"/>
          <w:szCs w:val="24"/>
        </w:rPr>
        <w:t>a modernidade tardia</w:t>
      </w:r>
      <w:r w:rsidR="007B1BEC">
        <w:rPr>
          <w:rFonts w:ascii="Times New Roman" w:eastAsia="Times New Roman" w:hAnsi="Times New Roman" w:cs="Times New Roman"/>
          <w:sz w:val="24"/>
          <w:szCs w:val="24"/>
        </w:rPr>
        <w:t>, Garland</w:t>
      </w:r>
      <w:r w:rsidR="00DC167B">
        <w:rPr>
          <w:rFonts w:ascii="Times New Roman" w:eastAsia="Times New Roman" w:hAnsi="Times New Roman" w:cs="Times New Roman"/>
          <w:sz w:val="24"/>
          <w:szCs w:val="24"/>
        </w:rPr>
        <w:t xml:space="preserve"> enfatizou</w:t>
      </w:r>
      <w:r w:rsidR="00D22A8C">
        <w:rPr>
          <w:rFonts w:ascii="Times New Roman" w:eastAsia="Times New Roman" w:hAnsi="Times New Roman" w:cs="Times New Roman"/>
          <w:sz w:val="24"/>
          <w:szCs w:val="24"/>
        </w:rPr>
        <w:t xml:space="preserve"> que a proposta de seu livro “A cultura do controle” poderia servir como uma espécie de régua </w:t>
      </w:r>
      <w:r w:rsidR="00D22A8C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(GARLAND, 2020b, p. 385-386)</w:t>
      </w:r>
      <w:r w:rsidR="00D22A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22A8C">
        <w:rPr>
          <w:rFonts w:ascii="Times New Roman" w:eastAsia="Times New Roman" w:hAnsi="Times New Roman" w:cs="Times New Roman"/>
          <w:sz w:val="24"/>
          <w:szCs w:val="24"/>
        </w:rPr>
        <w:t>para mensurar tendências gerais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 xml:space="preserve"> e propriedades institucionais em out</w:t>
      </w:r>
      <w:r w:rsidR="00DC167B">
        <w:rPr>
          <w:rFonts w:ascii="Times New Roman" w:eastAsia="Times New Roman" w:hAnsi="Times New Roman" w:cs="Times New Roman"/>
          <w:sz w:val="24"/>
          <w:szCs w:val="24"/>
        </w:rPr>
        <w:t>ros contextos</w:t>
      </w:r>
      <w:r w:rsidR="00D22A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 xml:space="preserve"> Ele advertiu, porém, que</w:t>
      </w:r>
      <w:r w:rsidR="00D22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593">
        <w:rPr>
          <w:rFonts w:ascii="Times New Roman" w:eastAsia="Times New Roman" w:hAnsi="Times New Roman" w:cs="Times New Roman"/>
          <w:sz w:val="24"/>
          <w:szCs w:val="24"/>
        </w:rPr>
        <w:t>a validação</w:t>
      </w:r>
      <w:r w:rsidR="00DE610F">
        <w:rPr>
          <w:rFonts w:ascii="Times New Roman" w:eastAsia="Times New Roman" w:hAnsi="Times New Roman" w:cs="Times New Roman"/>
          <w:sz w:val="24"/>
          <w:szCs w:val="24"/>
        </w:rPr>
        <w:t xml:space="preserve"> empírica d</w:t>
      </w:r>
      <w:r w:rsidR="007A4593">
        <w:rPr>
          <w:rFonts w:ascii="Times New Roman" w:eastAsia="Times New Roman" w:hAnsi="Times New Roman" w:cs="Times New Roman"/>
          <w:sz w:val="24"/>
          <w:szCs w:val="24"/>
        </w:rPr>
        <w:t>e suas ideias depende da realização de</w:t>
      </w:r>
      <w:r w:rsidR="00DE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8C">
        <w:rPr>
          <w:rFonts w:ascii="Times New Roman" w:eastAsia="Times New Roman" w:hAnsi="Times New Roman" w:cs="Times New Roman"/>
          <w:sz w:val="24"/>
          <w:szCs w:val="24"/>
        </w:rPr>
        <w:t>estudos de caso</w:t>
      </w:r>
      <w:r w:rsidR="00B02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 xml:space="preserve">adicionais </w:t>
      </w:r>
      <w:r w:rsidR="00B021E8">
        <w:rPr>
          <w:rFonts w:ascii="Times New Roman" w:eastAsia="Times New Roman" w:hAnsi="Times New Roman" w:cs="Times New Roman"/>
          <w:sz w:val="24"/>
          <w:szCs w:val="24"/>
        </w:rPr>
        <w:t>que considerem, além da política criminal e penal, os</w:t>
      </w:r>
      <w:r w:rsidR="00D22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condicionantes sociais, políticos, históricos e culturais </w:t>
      </w:r>
      <w:r w:rsidR="0015001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D22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cada país ou região</w:t>
      </w:r>
      <w:r w:rsidR="0015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F32">
        <w:rPr>
          <w:rFonts w:ascii="Times New Roman" w:eastAsia="Times New Roman" w:hAnsi="Times New Roman" w:cs="Times New Roman"/>
          <w:color w:val="000000"/>
          <w:sz w:val="24"/>
          <w:szCs w:val="24"/>
        </w:rPr>
        <w:t>investigada</w:t>
      </w:r>
      <w:r w:rsidR="00150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EC76E1" w14:textId="0EC1200C" w:rsidR="0078714F" w:rsidRPr="00F3703A" w:rsidRDefault="00A35A8D" w:rsidP="0078714F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perspectiva, iniciamos </w:t>
      </w:r>
      <w:r w:rsidR="00DE2D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apresentando o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 diagnóstico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do autor sobre 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as sociedades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 alta criminalidade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>a exemplo dos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stados Unidos e 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Grã- Bretanha)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>onde uma série de mudanças estatais e societais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ambientadas na formação cultural do “complexo do crime”</w:t>
      </w:r>
      <w:r>
        <w:rPr>
          <w:rFonts w:ascii="Times New Roman" w:eastAsia="Times New Roman" w:hAnsi="Times New Roman" w:cs="Times New Roman"/>
          <w:sz w:val="24"/>
          <w:szCs w:val="24"/>
        </w:rPr>
        <w:t>, teria sobrepujado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anterior</w:t>
      </w:r>
      <w:r w:rsidR="00272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>previdenciarismo</w:t>
      </w:r>
      <w:proofErr w:type="spellEnd"/>
      <w:r w:rsidR="0078714F" w:rsidRPr="001003EC"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2D09">
        <w:rPr>
          <w:rFonts w:ascii="Times New Roman" w:eastAsia="Times New Roman" w:hAnsi="Times New Roman" w:cs="Times New Roman"/>
          <w:sz w:val="24"/>
          <w:szCs w:val="24"/>
        </w:rPr>
        <w:t xml:space="preserve">Nessas sociedades, frente às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altas taxas criminais, </w:t>
      </w:r>
      <w:r w:rsidR="00DE2D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o descrédito para com a orientação garantista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em prol dos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direitos humanos e </w:t>
      </w:r>
      <w:r w:rsidR="00DE2D0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prostração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coletiva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em face do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persistente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fracasso em prover segurança, dois conjuntos de resposta </w:t>
      </w:r>
      <w:r>
        <w:rPr>
          <w:rFonts w:ascii="Times New Roman" w:eastAsia="Times New Roman" w:hAnsi="Times New Roman" w:cs="Times New Roman"/>
          <w:sz w:val="24"/>
          <w:szCs w:val="24"/>
        </w:rPr>
        <w:t>emergiram</w:t>
      </w:r>
      <w:r w:rsidR="00DE2D09">
        <w:rPr>
          <w:rFonts w:ascii="Times New Roman" w:eastAsia="Times New Roman" w:hAnsi="Times New Roman" w:cs="Times New Roman"/>
          <w:sz w:val="24"/>
          <w:szCs w:val="24"/>
        </w:rPr>
        <w:t xml:space="preserve"> no final do século passado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: a) as medidas de adaptação, de cariz público-privad</w:t>
      </w:r>
      <w:r w:rsidR="00BC16FF"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, e b)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(já 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>tradicionais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medidas estatais de não adaptação, negação ou atuação simbólica, com predomínio da repressão e do rigor punitivo publicamente respaldados. Os fundamentos valorativos</w:t>
      </w:r>
      <w:r w:rsidR="00567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351" w:rsidRPr="00782648">
        <w:rPr>
          <w:rFonts w:ascii="Times New Roman" w:eastAsia="Times New Roman" w:hAnsi="Times New Roman" w:cs="Times New Roman"/>
          <w:sz w:val="24"/>
          <w:szCs w:val="24"/>
        </w:rPr>
        <w:t>volitivos</w:t>
      </w:r>
      <w:r w:rsidR="0078714F" w:rsidRPr="0078264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discursivos desse </w:t>
      </w:r>
      <w:r w:rsidR="0078714F" w:rsidRPr="00F3703A">
        <w:rPr>
          <w:rFonts w:ascii="Times New Roman" w:eastAsia="Times New Roman" w:hAnsi="Times New Roman" w:cs="Times New Roman"/>
          <w:sz w:val="24"/>
          <w:szCs w:val="24"/>
        </w:rPr>
        <w:t>mix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de estratégias </w:t>
      </w:r>
      <w:r w:rsidR="00F3703A">
        <w:rPr>
          <w:rFonts w:ascii="Times New Roman" w:eastAsia="Times New Roman" w:hAnsi="Times New Roman" w:cs="Times New Roman"/>
          <w:sz w:val="24"/>
          <w:szCs w:val="24"/>
        </w:rPr>
        <w:t>assentam-se</w:t>
      </w:r>
      <w:r w:rsidR="0078714F">
        <w:rPr>
          <w:rFonts w:ascii="Times New Roman" w:eastAsia="Times New Roman" w:hAnsi="Times New Roman" w:cs="Times New Roman"/>
          <w:sz w:val="24"/>
          <w:szCs w:val="24"/>
        </w:rPr>
        <w:t xml:space="preserve"> ora sobre os </w:t>
      </w:r>
      <w:r w:rsidR="0078714F" w:rsidRPr="00F3703A">
        <w:rPr>
          <w:rFonts w:ascii="Times New Roman" w:eastAsia="Times New Roman" w:hAnsi="Times New Roman" w:cs="Times New Roman"/>
          <w:sz w:val="24"/>
          <w:szCs w:val="24"/>
        </w:rPr>
        <w:t xml:space="preserve">pressupostos da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>c</w:t>
      </w:r>
      <w:r w:rsidR="0078714F" w:rsidRPr="00F3703A">
        <w:rPr>
          <w:rFonts w:ascii="Times New Roman" w:eastAsia="Times New Roman" w:hAnsi="Times New Roman" w:cs="Times New Roman"/>
          <w:sz w:val="24"/>
          <w:szCs w:val="24"/>
        </w:rPr>
        <w:t xml:space="preserve">riminologia da vida cotidiana, ora sobre </w:t>
      </w:r>
      <w:r w:rsidR="00F3703A" w:rsidRPr="00F3703A">
        <w:rPr>
          <w:rFonts w:ascii="Times New Roman" w:eastAsia="Times New Roman" w:hAnsi="Times New Roman" w:cs="Times New Roman"/>
          <w:sz w:val="24"/>
          <w:szCs w:val="24"/>
        </w:rPr>
        <w:t>as premissas</w:t>
      </w:r>
      <w:r w:rsidR="0078714F" w:rsidRPr="00F3703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>c</w:t>
      </w:r>
      <w:r w:rsidR="0078714F" w:rsidRPr="00F3703A">
        <w:rPr>
          <w:rFonts w:ascii="Times New Roman" w:eastAsia="Times New Roman" w:hAnsi="Times New Roman" w:cs="Times New Roman"/>
          <w:sz w:val="24"/>
          <w:szCs w:val="24"/>
        </w:rPr>
        <w:t xml:space="preserve">riminologia da lei e da ordem (GARLAND, 2008). </w:t>
      </w:r>
    </w:p>
    <w:p w14:paraId="78DDC03A" w14:textId="0AC5FB15" w:rsidR="004971D9" w:rsidRDefault="00FD2058" w:rsidP="000A54EC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>oram examinadas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sequência, 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 xml:space="preserve">principais 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 xml:space="preserve">críticas à obra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>do sociólogo britânico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 xml:space="preserve"> e algumas </w:t>
      </w:r>
      <w:r>
        <w:rPr>
          <w:rFonts w:ascii="Times New Roman" w:eastAsia="Times New Roman" w:hAnsi="Times New Roman" w:cs="Times New Roman"/>
          <w:sz w:val="24"/>
          <w:szCs w:val="24"/>
        </w:rPr>
        <w:t>de suas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 xml:space="preserve"> réplicas </w:t>
      </w:r>
      <w:r>
        <w:rPr>
          <w:rFonts w:ascii="Times New Roman" w:eastAsia="Times New Roman" w:hAnsi="Times New Roman" w:cs="Times New Roman"/>
          <w:sz w:val="24"/>
          <w:szCs w:val="24"/>
        </w:rPr>
        <w:t>aos</w:t>
      </w:r>
      <w:r w:rsidR="004438AA">
        <w:rPr>
          <w:rFonts w:ascii="Times New Roman" w:eastAsia="Times New Roman" w:hAnsi="Times New Roman" w:cs="Times New Roman"/>
          <w:sz w:val="24"/>
          <w:szCs w:val="24"/>
        </w:rPr>
        <w:t xml:space="preserve"> comentadores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 xml:space="preserve"> internacionais</w:t>
      </w:r>
      <w:r w:rsidR="009F0BB9">
        <w:rPr>
          <w:rFonts w:ascii="Times New Roman" w:eastAsia="Times New Roman" w:hAnsi="Times New Roman" w:cs="Times New Roman"/>
          <w:sz w:val="24"/>
          <w:szCs w:val="24"/>
        </w:rPr>
        <w:t xml:space="preserve">. A partir desse debate, argumentamos que é possível 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>utilizar</w:t>
      </w:r>
      <w:r w:rsidR="009F0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 xml:space="preserve">determinadas </w:t>
      </w:r>
      <w:r w:rsidR="009F0BB9">
        <w:rPr>
          <w:rFonts w:ascii="Times New Roman" w:eastAsia="Times New Roman" w:hAnsi="Times New Roman" w:cs="Times New Roman"/>
          <w:sz w:val="24"/>
          <w:szCs w:val="24"/>
        </w:rPr>
        <w:t xml:space="preserve">premissas 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F0BB9">
        <w:rPr>
          <w:rFonts w:ascii="Times New Roman" w:eastAsia="Times New Roman" w:hAnsi="Times New Roman" w:cs="Times New Roman"/>
          <w:sz w:val="24"/>
          <w:szCs w:val="24"/>
        </w:rPr>
        <w:t>Garland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3E45EB">
        <w:rPr>
          <w:rFonts w:ascii="Times New Roman" w:eastAsia="Times New Roman" w:hAnsi="Times New Roman" w:cs="Times New Roman"/>
          <w:sz w:val="24"/>
          <w:szCs w:val="24"/>
        </w:rPr>
        <w:t xml:space="preserve"> pistas </w:t>
      </w:r>
      <w:r w:rsidR="00782648">
        <w:rPr>
          <w:rFonts w:ascii="Times New Roman" w:eastAsia="Times New Roman" w:hAnsi="Times New Roman" w:cs="Times New Roman"/>
          <w:sz w:val="24"/>
          <w:szCs w:val="24"/>
        </w:rPr>
        <w:t>para a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 xml:space="preserve"> compreensão da</w:t>
      </w:r>
      <w:r w:rsidR="009F0BB9">
        <w:rPr>
          <w:rFonts w:ascii="Times New Roman" w:eastAsia="Times New Roman" w:hAnsi="Times New Roman" w:cs="Times New Roman"/>
          <w:sz w:val="24"/>
          <w:szCs w:val="24"/>
        </w:rPr>
        <w:t xml:space="preserve"> realidade brasileira, </w:t>
      </w:r>
      <w:r w:rsidR="004971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específico</w:t>
      </w:r>
      <w:r w:rsidR="004971D9" w:rsidRPr="00FD2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2058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</w:rPr>
        <w:t>demarcar as</w:t>
      </w:r>
      <w:r w:rsidRPr="00FD2058">
        <w:rPr>
          <w:rFonts w:ascii="Times New Roman" w:eastAsia="Times New Roman" w:hAnsi="Times New Roman" w:cs="Times New Roman"/>
          <w:sz w:val="24"/>
          <w:szCs w:val="24"/>
        </w:rPr>
        <w:t xml:space="preserve"> características gerais e </w:t>
      </w:r>
      <w:r w:rsidR="009B2984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FD2058">
        <w:rPr>
          <w:rFonts w:ascii="Times New Roman" w:eastAsia="Times New Roman" w:hAnsi="Times New Roman" w:cs="Times New Roman"/>
          <w:sz w:val="24"/>
          <w:szCs w:val="24"/>
        </w:rPr>
        <w:t>especificidades</w:t>
      </w:r>
      <w:r w:rsidR="004971D9" w:rsidRPr="00FD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98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971D9" w:rsidRPr="00FD2058">
        <w:rPr>
          <w:rFonts w:ascii="Times New Roman" w:eastAsia="Times New Roman" w:hAnsi="Times New Roman" w:cs="Times New Roman"/>
          <w:sz w:val="24"/>
          <w:szCs w:val="24"/>
        </w:rPr>
        <w:t xml:space="preserve">SSPB. 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 xml:space="preserve">Assim, a partir de um levantamento </w:t>
      </w:r>
      <w:r w:rsidR="007826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1D9" w:rsidRPr="00A55E7F">
        <w:rPr>
          <w:rFonts w:ascii="Times New Roman" w:eastAsia="Times New Roman" w:hAnsi="Times New Roman" w:cs="Times New Roman"/>
          <w:sz w:val="24"/>
          <w:szCs w:val="24"/>
        </w:rPr>
        <w:t>estudos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>brasileiros</w:t>
      </w:r>
      <w:r w:rsidR="004971D9" w:rsidRPr="00A55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legislação, 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4971D9" w:rsidRPr="00A55E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políticas </w:t>
      </w:r>
      <w:r w:rsidR="009C6EB9">
        <w:rPr>
          <w:rFonts w:ascii="Times New Roman" w:eastAsia="Times New Roman" w:hAnsi="Times New Roman" w:cs="Times New Roman"/>
          <w:sz w:val="24"/>
          <w:szCs w:val="24"/>
        </w:rPr>
        <w:t>federais</w:t>
      </w:r>
      <w:r w:rsidR="004971D9" w:rsidRPr="00A55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 xml:space="preserve">das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estatísticas </w:t>
      </w:r>
      <w:r w:rsidR="00010D2C">
        <w:rPr>
          <w:rFonts w:ascii="Times New Roman" w:eastAsia="Times New Roman" w:hAnsi="Times New Roman" w:cs="Times New Roman"/>
          <w:sz w:val="24"/>
          <w:szCs w:val="24"/>
        </w:rPr>
        <w:t xml:space="preserve">sobre o setor, </w:t>
      </w:r>
      <w:r w:rsidR="004971D9" w:rsidRPr="00F3703A">
        <w:rPr>
          <w:rFonts w:ascii="Times New Roman" w:eastAsia="Times New Roman" w:hAnsi="Times New Roman" w:cs="Times New Roman"/>
          <w:sz w:val="24"/>
          <w:szCs w:val="24"/>
        </w:rPr>
        <w:t xml:space="preserve">analisamos a trajetória </w:t>
      </w:r>
      <w:r w:rsidR="00F37829">
        <w:rPr>
          <w:rFonts w:ascii="Times New Roman" w:eastAsia="Times New Roman" w:hAnsi="Times New Roman" w:cs="Times New Roman"/>
          <w:sz w:val="24"/>
          <w:szCs w:val="24"/>
        </w:rPr>
        <w:t>desse Subsistema</w:t>
      </w:r>
      <w:r w:rsidR="004971D9" w:rsidRPr="00F3703A">
        <w:rPr>
          <w:rFonts w:ascii="Times New Roman" w:eastAsia="Times New Roman" w:hAnsi="Times New Roman" w:cs="Times New Roman"/>
          <w:sz w:val="24"/>
          <w:szCs w:val="24"/>
        </w:rPr>
        <w:t xml:space="preserve"> da década de 1990 até a atualidade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7829">
        <w:rPr>
          <w:rFonts w:ascii="Times New Roman" w:eastAsia="Times New Roman" w:hAnsi="Times New Roman" w:cs="Times New Roman"/>
          <w:sz w:val="24"/>
          <w:szCs w:val="24"/>
        </w:rPr>
        <w:t xml:space="preserve">em um </w:t>
      </w:r>
      <w:r w:rsidR="000A54EC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71D9" w:rsidRPr="00F3703A">
        <w:rPr>
          <w:rFonts w:ascii="Times New Roman" w:eastAsia="Times New Roman" w:hAnsi="Times New Roman" w:cs="Times New Roman"/>
          <w:sz w:val="24"/>
          <w:szCs w:val="24"/>
        </w:rPr>
        <w:t xml:space="preserve">eríodo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marcado </w:t>
      </w:r>
      <w:r w:rsidR="00B544E6">
        <w:rPr>
          <w:rFonts w:ascii="Times New Roman" w:eastAsia="Times New Roman" w:hAnsi="Times New Roman" w:cs="Times New Roman"/>
          <w:sz w:val="24"/>
          <w:szCs w:val="24"/>
        </w:rPr>
        <w:t>pela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1D9" w:rsidRPr="00F3703A">
        <w:rPr>
          <w:rFonts w:ascii="Times New Roman" w:eastAsia="Times New Roman" w:hAnsi="Times New Roman" w:cs="Times New Roman"/>
          <w:sz w:val="24"/>
          <w:szCs w:val="24"/>
        </w:rPr>
        <w:t>disputa entre os paradigmas da segurança nacional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>, da segurança pública</w:t>
      </w:r>
      <w:r w:rsidR="004971D9" w:rsidRPr="00F3703A">
        <w:rPr>
          <w:rFonts w:ascii="Times New Roman" w:eastAsia="Times New Roman" w:hAnsi="Times New Roman" w:cs="Times New Roman"/>
          <w:sz w:val="24"/>
          <w:szCs w:val="24"/>
        </w:rPr>
        <w:t xml:space="preserve"> e da segurança cidadã.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(FREIRE, 2009).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Posteriormente, </w:t>
      </w:r>
      <w:r w:rsidR="00B544E6">
        <w:rPr>
          <w:rFonts w:ascii="Times New Roman" w:eastAsia="Times New Roman" w:hAnsi="Times New Roman" w:cs="Times New Roman"/>
          <w:sz w:val="24"/>
          <w:szCs w:val="24"/>
        </w:rPr>
        <w:t>mostramos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 as aproximações e </w:t>
      </w:r>
      <w:r w:rsidR="00554C8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distâncias </w:t>
      </w:r>
      <w:r w:rsidR="00F3782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1C1F6D">
        <w:rPr>
          <w:rFonts w:ascii="Times New Roman" w:eastAsia="Times New Roman" w:hAnsi="Times New Roman" w:cs="Times New Roman"/>
          <w:sz w:val="24"/>
          <w:szCs w:val="24"/>
        </w:rPr>
        <w:t>caso brasileiro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em relação aos parâmetros </w:t>
      </w:r>
      <w:r w:rsidR="00F2229B">
        <w:rPr>
          <w:rFonts w:ascii="Times New Roman" w:eastAsia="Times New Roman" w:hAnsi="Times New Roman" w:cs="Times New Roman"/>
          <w:sz w:val="24"/>
          <w:szCs w:val="24"/>
        </w:rPr>
        <w:t>assinalados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 por Garland </w:t>
      </w:r>
      <w:r>
        <w:rPr>
          <w:rFonts w:ascii="Times New Roman" w:eastAsia="Times New Roman" w:hAnsi="Times New Roman" w:cs="Times New Roman"/>
          <w:sz w:val="24"/>
          <w:szCs w:val="24"/>
        </w:rPr>
        <w:t>em sua obra</w:t>
      </w:r>
      <w:r w:rsidR="004971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DD5098" w14:textId="5959E180" w:rsidR="00BA5062" w:rsidRDefault="003E45EB" w:rsidP="009B2984">
      <w:pPr>
        <w:tabs>
          <w:tab w:val="center" w:pos="425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Conclui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que o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Brasil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similitudes e diferenças em relação aos contextos estudados pelo </w:t>
      </w:r>
      <w:r w:rsidR="00F378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referido 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autor,</w:t>
      </w:r>
      <w:r w:rsid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particular os Estados Unidos</w:t>
      </w:r>
      <w:r w:rsidR="00F378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Ou seja, 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enquanto se observa o aumento da repressão, do rigor punitivo e da 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sensação de insegurança, </w:t>
      </w:r>
      <w:r w:rsidR="00B544E6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 </w:t>
      </w:r>
      <w:r w:rsidR="00556608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existem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544E6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impedimentos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legais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ultrapassagem do, já alarmante, número de presos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previsões legais sobre a 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idade penal mínima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6E40AB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18 anos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sobre o limite máximo da pena privativa de liberdade </w:t>
      </w:r>
      <w:r w:rsidR="00B544E6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30 anos,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 disso, não há </w:t>
      </w:r>
      <w:r w:rsidR="00B544E6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prisão perpétua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544E6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 de morte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País</w:t>
      </w:r>
      <w:r w:rsidR="009B2984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os recursos</w:t>
      </w:r>
      <w:r w:rsidR="0055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financeiros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</w:t>
      </w:r>
      <w:r w:rsid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reduzidos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556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tradição jurídica é 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distinta</w:t>
      </w:r>
      <w:r w:rsidR="00556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há certa resistência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deslocar para a política criminal e penal os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escassos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destinados às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políticas sociais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 fim, 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verifica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maior controle sobre 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acesso à</w:t>
      </w:r>
      <w:r w:rsidR="009B2984" w:rsidRPr="009B29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arma de fogo, 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E40AB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despeito </w:t>
      </w:r>
      <w:r w:rsidR="00567351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tentativas de </w:t>
      </w:r>
      <w:r w:rsidR="006E40AB" w:rsidRP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flexibilização do Estatuto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Desarmamento (BRASIL, 2003</w:t>
      </w:r>
      <w:r w:rsidR="00E943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promovida</w:t>
      </w:r>
      <w:r w:rsidR="00F222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</w:t>
      </w:r>
      <w:r w:rsidR="00556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="005566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overno Bolsonaro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1C1A14AD" w14:textId="37E0B3EC" w:rsidR="00F3703A" w:rsidRPr="00F3703A" w:rsidRDefault="00F2229B" w:rsidP="00906D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paralelo</w:t>
      </w:r>
      <w:r w:rsidR="006E40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F42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duas circunstâncias</w:t>
      </w:r>
      <w:r w:rsidR="00BA50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42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destacadas</w:t>
      </w:r>
      <w:r w:rsidR="00BA50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Garland </w:t>
      </w:r>
      <w:r w:rsidR="00BA5062">
        <w:rPr>
          <w:rFonts w:ascii="Times New Roman" w:eastAsia="Times New Roman" w:hAnsi="Times New Roman" w:cs="Times New Roman"/>
          <w:sz w:val="24"/>
          <w:szCs w:val="24"/>
        </w:rPr>
        <w:t>atravessam os diferentes períodos, governos e atores políticos</w:t>
      </w:r>
      <w:r w:rsidR="00BA50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SSPB: a ambivalência e a dialética entre o velho e o novo. Nesse sentido,</w:t>
      </w:r>
      <w:r w:rsidR="008F42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1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estratégias e práticas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="00BA50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setor </w:t>
      </w:r>
      <w:r w:rsidR="009F0BB9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combina</w:t>
      </w:r>
      <w:r w:rsidR="00091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9F0BB9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forma </w:t>
      </w:r>
      <w:r w:rsidR="009F0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dual</w:t>
      </w:r>
      <w:r w:rsidR="009F0BB9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091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movimentos de centralização e descentralização, respostas adaptativas e simbólicas, públicas e privadas, anti</w:t>
      </w:r>
      <w:r w:rsidR="009F0BB9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gas e </w:t>
      </w:r>
      <w:r w:rsidR="00091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novas. </w:t>
      </w:r>
      <w:r w:rsidR="008F42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literatura brasileira também menciona </w:t>
      </w:r>
      <w:r w:rsidR="00F378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tais</w:t>
      </w:r>
      <w:r w:rsidR="008F42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coexistências, por exemplo: </w:t>
      </w:r>
      <w:r w:rsidR="00906D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criminalização </w:t>
      </w:r>
      <w:r w:rsidR="00906DA6" w:rsidRPr="00906D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versus</w:t>
      </w:r>
      <w:r w:rsidR="00E43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efetivação de direitos,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lado da</w:t>
      </w:r>
      <w:r w:rsidR="00E436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manutenção do garantismo (PEREIRA, 2021); </w:t>
      </w:r>
      <w:r w:rsidR="00906D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oscilação entre políticas punitivas e repressivas (TRINDADE; MADEIRA, 2020</w:t>
      </w:r>
      <w:r w:rsidR="00906DA6" w:rsidRPr="00906D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</w:t>
      </w:r>
      <w:r w:rsidR="00906DA6" w:rsidRPr="00906DA6">
        <w:rPr>
          <w:rFonts w:ascii="Times New Roman" w:eastAsia="Times New Roman" w:hAnsi="Times New Roman" w:cs="Times New Roman"/>
          <w:sz w:val="24"/>
          <w:szCs w:val="24"/>
        </w:rPr>
        <w:t>hibridez entre universalismo</w:t>
      </w:r>
      <w:r w:rsidR="00906DA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06DA6">
        <w:rPr>
          <w:rFonts w:ascii="Times New Roman" w:eastAsia="Times New Roman" w:hAnsi="Times New Roman" w:cs="Times New Roman"/>
          <w:sz w:val="24"/>
          <w:szCs w:val="24"/>
        </w:rPr>
        <w:t>punitivismo</w:t>
      </w:r>
      <w:proofErr w:type="spellEnd"/>
      <w:r w:rsidR="00906DA6">
        <w:rPr>
          <w:rFonts w:ascii="Times New Roman" w:eastAsia="Times New Roman" w:hAnsi="Times New Roman" w:cs="Times New Roman"/>
          <w:sz w:val="24"/>
          <w:szCs w:val="24"/>
        </w:rPr>
        <w:t xml:space="preserve"> (CAMPOS; AZEVEDO, 2020). </w:t>
      </w:r>
    </w:p>
    <w:p w14:paraId="457BE968" w14:textId="0FF0FDE0" w:rsidR="00567351" w:rsidRPr="00567351" w:rsidRDefault="00906DA6" w:rsidP="005673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Cumpre salientar que a</w:t>
      </w:r>
      <w:r w:rsidR="00BE178D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dialética entre o velho e o novo</w:t>
      </w:r>
      <w:r w:rsidR="002863DE" w:rsidRPr="00E07E32">
        <w:rPr>
          <w:color w:val="000000"/>
          <w:vertAlign w:val="superscript"/>
          <w:lang w:eastAsia="pt-BR"/>
        </w:rPr>
        <w:footnoteReference w:id="21"/>
      </w:r>
      <w:r w:rsidRPr="00E07E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0912CA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E4369A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enunciada, mas pouco desenvolvida por Garland</w:t>
      </w:r>
      <w:r w:rsidR="006752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(2008)</w:t>
      </w:r>
      <w:r w:rsidR="00E4369A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 nos ajuda</w:t>
      </w:r>
      <w:r w:rsidR="006752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</w:t>
      </w:r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entender </w:t>
      </w:r>
      <w:r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certas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contradições</w:t>
      </w:r>
      <w:r w:rsidR="00CC25C2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como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amálgama entre</w:t>
      </w:r>
      <w:r w:rsidR="00CC25C2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43C3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controle situacional do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delito</w:t>
      </w:r>
      <w:r w:rsidR="00CC25C2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43C3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rigor punitivo</w:t>
      </w:r>
      <w:r w:rsidR="00CC25C2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 reconhecer</w:t>
      </w:r>
      <w:r w:rsidR="002C0D63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as instituições e práticas</w:t>
      </w:r>
      <w:r w:rsidR="00567351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podem conservar ou </w:t>
      </w:r>
      <w:r w:rsidR="00A74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instaurar</w:t>
      </w:r>
      <w:r w:rsidR="00567351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74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traços</w:t>
      </w:r>
      <w:r w:rsidR="00CC25C2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="00CC25C2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welfarismo</w:t>
      </w:r>
      <w:proofErr w:type="spellEnd"/>
      <w:r w:rsidR="00CC25C2" w:rsidRPr="00F001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penal</w:t>
      </w:r>
      <w:r w:rsidR="00C102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</w:t>
      </w:r>
      <w:r w:rsidR="00AC0145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apontam</w:t>
      </w:r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Zedner</w:t>
      </w:r>
      <w:proofErr w:type="spellEnd"/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(2020) e </w:t>
      </w:r>
      <w:proofErr w:type="spellStart"/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Sozzo</w:t>
      </w:r>
      <w:proofErr w:type="spellEnd"/>
      <w:r w:rsidR="00C10288" w:rsidRPr="005673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(2020c). </w:t>
      </w:r>
    </w:p>
    <w:p w14:paraId="768B1A3F" w14:textId="3DB61273" w:rsidR="00957C77" w:rsidRPr="00567351" w:rsidRDefault="00957C77" w:rsidP="005673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BD1C20" w14:textId="7813BA5D" w:rsidR="00203236" w:rsidRDefault="0046557C" w:rsidP="000F4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EF"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 w:rsidR="00BC2471" w:rsidRPr="00A74FEF">
        <w:rPr>
          <w:rFonts w:ascii="Times New Roman" w:eastAsia="Times New Roman" w:hAnsi="Times New Roman" w:cs="Times New Roman"/>
          <w:sz w:val="24"/>
          <w:szCs w:val="24"/>
        </w:rPr>
        <w:t xml:space="preserve"> Brasil, </w:t>
      </w:r>
      <w:r w:rsidR="00567351" w:rsidRPr="00A74FEF"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r w:rsidR="00710725" w:rsidRPr="00A74FE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>governo Dilma</w:t>
      </w:r>
      <w:r w:rsidR="00567351" w:rsidRPr="00A74FEF">
        <w:rPr>
          <w:rFonts w:ascii="Times New Roman" w:eastAsia="Times New Roman" w:hAnsi="Times New Roman" w:cs="Times New Roman"/>
          <w:sz w:val="24"/>
          <w:szCs w:val="24"/>
        </w:rPr>
        <w:t xml:space="preserve"> já se observava um esvaziamento da agenda da segurança cidadã, e com o fim de sua gestão, em 2016, esse movimento foi reforçado.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Contudo, a</w:t>
      </w:r>
      <w:r w:rsidR="00567351" w:rsidRPr="00A74FEF">
        <w:rPr>
          <w:rFonts w:ascii="Times New Roman" w:eastAsia="Times New Roman" w:hAnsi="Times New Roman" w:cs="Times New Roman"/>
          <w:sz w:val="24"/>
          <w:szCs w:val="24"/>
        </w:rPr>
        <w:t xml:space="preserve"> partir de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351" w:rsidRPr="00A74FEF">
        <w:rPr>
          <w:rFonts w:ascii="Times New Roman" w:eastAsia="Times New Roman" w:hAnsi="Times New Roman" w:cs="Times New Roman"/>
          <w:sz w:val="24"/>
          <w:szCs w:val="24"/>
        </w:rPr>
        <w:t>percebe-se um</w:t>
      </w:r>
      <w:r w:rsidR="00844FE8" w:rsidRPr="00A7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regresso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extemporâne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A74FEF">
        <w:rPr>
          <w:rFonts w:ascii="Times New Roman" w:eastAsia="Times New Roman" w:hAnsi="Times New Roman" w:cs="Times New Roman"/>
          <w:sz w:val="24"/>
          <w:szCs w:val="24"/>
        </w:rPr>
        <w:t>paradigma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da segurança nacional (</w:t>
      </w:r>
      <w:r w:rsidR="00AC0145" w:rsidRPr="00A74FEF">
        <w:rPr>
          <w:rFonts w:ascii="Times New Roman" w:eastAsia="Times New Roman" w:hAnsi="Times New Roman" w:cs="Times New Roman"/>
          <w:sz w:val="24"/>
          <w:szCs w:val="24"/>
        </w:rPr>
        <w:t>de acordo com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a tipologia de FREIRE, 2009)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 xml:space="preserve"> ou ao </w:t>
      </w:r>
      <w:r w:rsidRPr="00A74FEF">
        <w:rPr>
          <w:rFonts w:ascii="Times New Roman" w:eastAsia="Times New Roman" w:hAnsi="Times New Roman" w:cs="Times New Roman"/>
          <w:sz w:val="24"/>
          <w:szCs w:val="24"/>
        </w:rPr>
        <w:t>modelo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 xml:space="preserve"> da lei e da </w:t>
      </w:r>
      <w:r w:rsidR="00881EFA" w:rsidRPr="00A74FEF">
        <w:rPr>
          <w:rFonts w:ascii="Times New Roman" w:eastAsia="Times New Roman" w:hAnsi="Times New Roman" w:cs="Times New Roman"/>
          <w:sz w:val="24"/>
          <w:szCs w:val="24"/>
        </w:rPr>
        <w:t xml:space="preserve">ordem </w:t>
      </w:r>
      <w:r w:rsidR="00E07E32" w:rsidRPr="00A74FEF">
        <w:rPr>
          <w:rFonts w:ascii="Times New Roman" w:eastAsia="Times New Roman" w:hAnsi="Times New Roman" w:cs="Times New Roman"/>
          <w:sz w:val="24"/>
          <w:szCs w:val="24"/>
        </w:rPr>
        <w:t>(que são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E32" w:rsidRPr="00A74FEF">
        <w:rPr>
          <w:rFonts w:ascii="Times New Roman" w:eastAsia="Times New Roman" w:hAnsi="Times New Roman" w:cs="Times New Roman"/>
          <w:sz w:val="24"/>
          <w:szCs w:val="24"/>
        </w:rPr>
        <w:t>os termos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 xml:space="preserve"> orientadores da criminologia conservadora ou pré-moderna, </w:t>
      </w:r>
      <w:r w:rsidRPr="00A74FEF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74FEF">
        <w:rPr>
          <w:rFonts w:ascii="Times New Roman" w:eastAsia="Times New Roman" w:hAnsi="Times New Roman" w:cs="Times New Roman"/>
          <w:sz w:val="24"/>
          <w:szCs w:val="24"/>
        </w:rPr>
        <w:t>arland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>, 2008)</w:t>
      </w:r>
      <w:r w:rsidR="003159A7" w:rsidRPr="00A74FEF">
        <w:rPr>
          <w:vertAlign w:val="superscript"/>
        </w:rPr>
        <w:footnoteReference w:id="22"/>
      </w:r>
      <w:r w:rsidR="00AC0145" w:rsidRPr="00A74F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Além disso, princípios constitucionalizados não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203236" w:rsidRPr="00A74FEF">
        <w:rPr>
          <w:rFonts w:ascii="Times New Roman" w:eastAsia="Times New Roman" w:hAnsi="Times New Roman" w:cs="Times New Roman"/>
          <w:sz w:val="24"/>
          <w:szCs w:val="24"/>
        </w:rPr>
        <w:t xml:space="preserve"> apenas </w:t>
      </w:r>
      <w:r w:rsidR="003159A7" w:rsidRPr="00A74FEF">
        <w:rPr>
          <w:rFonts w:ascii="Times New Roman" w:eastAsia="Times New Roman" w:hAnsi="Times New Roman" w:cs="Times New Roman"/>
          <w:sz w:val="24"/>
          <w:szCs w:val="24"/>
        </w:rPr>
        <w:t>desconsiderados</w:t>
      </w:r>
      <w:r w:rsidR="003159A7" w:rsidRPr="002032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59A7">
        <w:rPr>
          <w:rFonts w:ascii="Times New Roman" w:eastAsia="Times New Roman" w:hAnsi="Times New Roman" w:cs="Times New Roman"/>
          <w:sz w:val="24"/>
          <w:szCs w:val="24"/>
        </w:rPr>
        <w:t xml:space="preserve"> mas, inclusive, </w:t>
      </w:r>
      <w:r>
        <w:rPr>
          <w:rFonts w:ascii="Times New Roman" w:eastAsia="Times New Roman" w:hAnsi="Times New Roman" w:cs="Times New Roman"/>
          <w:sz w:val="24"/>
          <w:szCs w:val="24"/>
        </w:rPr>
        <w:t>combatidos</w:t>
      </w:r>
      <w:r w:rsidR="0031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 governo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 xml:space="preserve"> Bolsonaro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, dentre eles: a </w:t>
      </w:r>
      <w:r w:rsidR="003159A7">
        <w:rPr>
          <w:rFonts w:ascii="Times New Roman" w:eastAsia="Times New Roman" w:hAnsi="Times New Roman" w:cs="Times New Roman"/>
          <w:sz w:val="24"/>
          <w:szCs w:val="24"/>
        </w:rPr>
        <w:t>defesa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 xml:space="preserve">inconteste 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>dos direitos humanos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a percepção multicausal </w:t>
      </w:r>
      <w:r w:rsidR="00710725">
        <w:rPr>
          <w:rFonts w:ascii="Times New Roman" w:eastAsia="Times New Roman" w:hAnsi="Times New Roman" w:cs="Times New Roman"/>
          <w:sz w:val="24"/>
          <w:szCs w:val="24"/>
        </w:rPr>
        <w:t xml:space="preserve">da violência 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31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 xml:space="preserve">encaminha para 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a priorização da prevenção e das ações intersetoriais; a </w:t>
      </w:r>
      <w:r w:rsidR="00710725">
        <w:rPr>
          <w:rFonts w:ascii="Times New Roman" w:eastAsia="Times New Roman" w:hAnsi="Times New Roman" w:cs="Times New Roman"/>
          <w:sz w:val="24"/>
          <w:szCs w:val="24"/>
        </w:rPr>
        <w:t>promoção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 da cidadania por meio do estímulo à participação 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>; e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, ainda,</w:t>
      </w:r>
      <w:r w:rsidR="00203236" w:rsidRPr="00203236">
        <w:rPr>
          <w:rFonts w:ascii="Times New Roman" w:eastAsia="Times New Roman" w:hAnsi="Times New Roman" w:cs="Times New Roman"/>
          <w:sz w:val="24"/>
          <w:szCs w:val="24"/>
        </w:rPr>
        <w:t xml:space="preserve"> o controle estatal sobre as armas de fogo. </w:t>
      </w:r>
    </w:p>
    <w:p w14:paraId="3675FD87" w14:textId="2F32569C" w:rsidR="00274334" w:rsidRDefault="00274334" w:rsidP="000F4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Retomando uma imagem recorrente entre os </w:t>
      </w:r>
      <w:r w:rsidR="002E06F3">
        <w:rPr>
          <w:rFonts w:ascii="Times New Roman" w:eastAsia="Times New Roman" w:hAnsi="Times New Roman" w:cs="Times New Roman"/>
          <w:sz w:val="24"/>
          <w:szCs w:val="24"/>
        </w:rPr>
        <w:t xml:space="preserve">pesquisadores </w:t>
      </w:r>
      <w:r w:rsidR="00CC6F2D">
        <w:rPr>
          <w:rFonts w:ascii="Times New Roman" w:eastAsia="Times New Roman" w:hAnsi="Times New Roman" w:cs="Times New Roman"/>
          <w:sz w:val="24"/>
          <w:szCs w:val="24"/>
        </w:rPr>
        <w:t>(SOARES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 xml:space="preserve">, 2001; BEATO FILHO </w:t>
      </w:r>
      <w:r w:rsidR="009224E7" w:rsidRPr="009224E7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>., 2004</w:t>
      </w:r>
      <w:r w:rsidR="00CC6F2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476E">
        <w:rPr>
          <w:rFonts w:ascii="Times New Roman" w:eastAsia="Times New Roman" w:hAnsi="Times New Roman" w:cs="Times New Roman"/>
          <w:sz w:val="24"/>
          <w:szCs w:val="24"/>
        </w:rPr>
        <w:t xml:space="preserve">pode-se </w:t>
      </w:r>
      <w:r w:rsidR="003D1F88">
        <w:rPr>
          <w:rFonts w:ascii="Times New Roman" w:eastAsia="Times New Roman" w:hAnsi="Times New Roman" w:cs="Times New Roman"/>
          <w:sz w:val="24"/>
          <w:szCs w:val="24"/>
        </w:rPr>
        <w:t>afirmar</w:t>
      </w:r>
      <w:r w:rsidR="009F476E">
        <w:rPr>
          <w:rFonts w:ascii="Times New Roman" w:eastAsia="Times New Roman" w:hAnsi="Times New Roman" w:cs="Times New Roman"/>
          <w:sz w:val="24"/>
          <w:szCs w:val="24"/>
        </w:rPr>
        <w:t xml:space="preserve"> que nos últimos anos</w:t>
      </w:r>
      <w:r w:rsidR="00425968">
        <w:rPr>
          <w:rFonts w:ascii="Times New Roman" w:eastAsia="Times New Roman" w:hAnsi="Times New Roman" w:cs="Times New Roman"/>
          <w:sz w:val="24"/>
          <w:szCs w:val="24"/>
        </w:rPr>
        <w:t xml:space="preserve"> o pêndulo </w:t>
      </w:r>
      <w:r w:rsidR="009F476E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 xml:space="preserve"> área da</w:t>
      </w:r>
      <w:r w:rsidR="009F4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 xml:space="preserve">segurança pública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 xml:space="preserve">e justiça criminal no Brasil 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 xml:space="preserve">está sendo projetado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 xml:space="preserve">para o </w:t>
      </w:r>
      <w:r w:rsidR="009F476E">
        <w:rPr>
          <w:rFonts w:ascii="Times New Roman" w:eastAsia="Times New Roman" w:hAnsi="Times New Roman" w:cs="Times New Roman"/>
          <w:sz w:val="24"/>
          <w:szCs w:val="24"/>
        </w:rPr>
        <w:t>polo conservador</w:t>
      </w:r>
      <w:r w:rsidR="00B70DE8">
        <w:rPr>
          <w:rFonts w:ascii="Times New Roman" w:eastAsia="Times New Roman" w:hAnsi="Times New Roman" w:cs="Times New Roman"/>
          <w:sz w:val="24"/>
          <w:szCs w:val="24"/>
        </w:rPr>
        <w:t xml:space="preserve">. Ao mesmo tempo, a situação atual 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B70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revela</w:t>
      </w:r>
      <w:r w:rsidR="00B70DE8">
        <w:rPr>
          <w:rFonts w:ascii="Times New Roman" w:eastAsia="Times New Roman" w:hAnsi="Times New Roman" w:cs="Times New Roman"/>
          <w:sz w:val="24"/>
          <w:szCs w:val="24"/>
        </w:rPr>
        <w:t xml:space="preserve"> que, 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 xml:space="preserve">sub-repticiamente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>aos esforços de</w:t>
      </w:r>
      <w:r w:rsidR="00B70DE8">
        <w:rPr>
          <w:rFonts w:ascii="Times New Roman" w:eastAsia="Times New Roman" w:hAnsi="Times New Roman" w:cs="Times New Roman"/>
          <w:sz w:val="24"/>
          <w:szCs w:val="24"/>
        </w:rPr>
        <w:t xml:space="preserve"> construção de uma agenda progressista </w:t>
      </w:r>
      <w:r w:rsidR="00E564AA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70DE8">
        <w:rPr>
          <w:rFonts w:ascii="Times New Roman" w:eastAsia="Times New Roman" w:hAnsi="Times New Roman" w:cs="Times New Roman"/>
          <w:sz w:val="24"/>
          <w:szCs w:val="24"/>
        </w:rPr>
        <w:t xml:space="preserve"> defesa dos direitos humanos, </w:t>
      </w:r>
      <w:r w:rsidR="002A388B">
        <w:rPr>
          <w:rFonts w:ascii="Times New Roman" w:eastAsia="Times New Roman" w:hAnsi="Times New Roman" w:cs="Times New Roman"/>
          <w:sz w:val="24"/>
          <w:szCs w:val="24"/>
        </w:rPr>
        <w:t>velhos princípios e práticas</w:t>
      </w:r>
      <w:r w:rsidR="003D1F88">
        <w:rPr>
          <w:rFonts w:ascii="Times New Roman" w:eastAsia="Times New Roman" w:hAnsi="Times New Roman" w:cs="Times New Roman"/>
          <w:sz w:val="24"/>
          <w:szCs w:val="24"/>
        </w:rPr>
        <w:t xml:space="preserve"> persistiram </w:t>
      </w:r>
      <w:r w:rsidR="00A74FEF">
        <w:rPr>
          <w:rFonts w:ascii="Times New Roman" w:eastAsia="Times New Roman" w:hAnsi="Times New Roman" w:cs="Times New Roman"/>
          <w:sz w:val="24"/>
          <w:szCs w:val="24"/>
        </w:rPr>
        <w:t xml:space="preserve">e acabaram voltando </w:t>
      </w:r>
      <w:r w:rsidR="003D1F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>o centro da política</w:t>
      </w:r>
      <w:r w:rsidR="004263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2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2C2">
        <w:rPr>
          <w:rFonts w:ascii="Times New Roman" w:eastAsia="Times New Roman" w:hAnsi="Times New Roman" w:cs="Times New Roman"/>
          <w:sz w:val="24"/>
          <w:szCs w:val="24"/>
        </w:rPr>
        <w:t>sob o bene</w:t>
      </w:r>
      <w:r w:rsidR="00EF051F" w:rsidRPr="00EF051F">
        <w:rPr>
          <w:rFonts w:ascii="Times New Roman" w:eastAsia="Times New Roman" w:hAnsi="Times New Roman" w:cs="Times New Roman"/>
          <w:sz w:val="24"/>
          <w:szCs w:val="24"/>
        </w:rPr>
        <w:t>plácito</w:t>
      </w:r>
      <w:r w:rsidR="00EF0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F2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E06F3">
        <w:rPr>
          <w:rFonts w:ascii="Times New Roman" w:eastAsia="Times New Roman" w:hAnsi="Times New Roman" w:cs="Times New Roman"/>
          <w:sz w:val="24"/>
          <w:szCs w:val="24"/>
        </w:rPr>
        <w:t>parte</w:t>
      </w:r>
      <w:r w:rsidR="00CC6F2D">
        <w:rPr>
          <w:rFonts w:ascii="Times New Roman" w:eastAsia="Times New Roman" w:hAnsi="Times New Roman" w:cs="Times New Roman"/>
          <w:sz w:val="24"/>
          <w:szCs w:val="24"/>
        </w:rPr>
        <w:t xml:space="preserve"> significativa da população</w:t>
      </w:r>
      <w:r w:rsidR="003D1F88">
        <w:rPr>
          <w:rFonts w:ascii="Times New Roman" w:eastAsia="Times New Roman" w:hAnsi="Times New Roman" w:cs="Times New Roman"/>
          <w:sz w:val="24"/>
          <w:szCs w:val="24"/>
        </w:rPr>
        <w:t xml:space="preserve"> brasileira</w:t>
      </w:r>
      <w:r w:rsidR="00CC6F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2A80C9" w14:textId="7AAD514C" w:rsidR="001E3F56" w:rsidRPr="00380E58" w:rsidRDefault="00380E58" w:rsidP="00380E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E58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  <w:bookmarkStart w:id="13" w:name="_Toc80557397"/>
    </w:p>
    <w:p w14:paraId="4ABE97E1" w14:textId="77777777" w:rsidR="00E67AE4" w:rsidRPr="007E221A" w:rsidRDefault="00E67AE4" w:rsidP="00BF5B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ADORNO, Sérgio. (2008).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Políticas Públicas de Segurança e Justiça Penal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Cadernos Adenauer, Rio de Janeiro, ano IX, n. 4, p. 9-27.</w:t>
      </w:r>
    </w:p>
    <w:p w14:paraId="0CD56B88" w14:textId="77777777" w:rsidR="00E67AE4" w:rsidRPr="007E221A" w:rsidRDefault="00E67AE4" w:rsidP="00BF5B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AMARAL, Mariana C. de Souza. (2021). Linha do tempo: As disputas legislativas em torno da Lei de Segurança Nacional.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Nexo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(Políticas Públicas), 11 agosto. </w:t>
      </w:r>
    </w:p>
    <w:p w14:paraId="12FB97BB" w14:textId="77777777" w:rsidR="00E67AE4" w:rsidRPr="007E221A" w:rsidRDefault="00E67AE4" w:rsidP="00BF5B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BAUMAN, Zygmunt. (1999).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Globalização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: as consequências humanas, Jorge Zahar.</w:t>
      </w:r>
    </w:p>
    <w:p w14:paraId="58F8983B" w14:textId="77777777" w:rsidR="00E67AE4" w:rsidRPr="007E221A" w:rsidRDefault="00E67AE4" w:rsidP="00BF5B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BEATO FILHO; Cláudio; PEIXOTO, Betânia T.; ANDRADE, Mônica V. (2004). Crime, oportunidade e vitimização.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Brasileira de Ciências Sociais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v. 19, n. 55, p. 73-90.</w:t>
      </w:r>
    </w:p>
    <w:p w14:paraId="53F4EB38" w14:textId="77777777" w:rsidR="00E67AE4" w:rsidRPr="007E221A" w:rsidRDefault="00E67AE4" w:rsidP="00F5507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BID – Banco Interamericano de Desenvolvimento. (2017). 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Marco Setorial da Segurança Cidadã.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Disponível: https://idbdocs.iadb.org/wsdocs/getdocument.aspx?docnum=EZSHARE-1023060505-27. Acesso em: 6 out. 2021.</w:t>
      </w:r>
    </w:p>
    <w:p w14:paraId="75F0B0BC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(1940).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Decreto Lei N. 2.848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Código Penal. Brasília.</w:t>
      </w:r>
    </w:p>
    <w:p w14:paraId="2DB923FE" w14:textId="77777777" w:rsidR="00E67AE4" w:rsidRPr="007E221A" w:rsidRDefault="00E67AE4" w:rsidP="00380E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(1983).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7.170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Lei de segurança nacional. Brasília.</w:t>
      </w:r>
    </w:p>
    <w:p w14:paraId="32A69F51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(1984).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7.210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Lei de Execução Penal. Brasília.</w:t>
      </w:r>
    </w:p>
    <w:p w14:paraId="3D3AAA50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(1988).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Constituição Federal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Brasília.</w:t>
      </w:r>
    </w:p>
    <w:p w14:paraId="0EA48845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(1990).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8.072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Dispõe sobre os crimes hediondos… Brasília.</w:t>
      </w:r>
    </w:p>
    <w:p w14:paraId="590C844D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A">
        <w:rPr>
          <w:rFonts w:ascii="Times New Roman" w:hAnsi="Times New Roman" w:cs="Times New Roman"/>
          <w:sz w:val="24"/>
          <w:szCs w:val="24"/>
        </w:rPr>
        <w:lastRenderedPageBreak/>
        <w:t xml:space="preserve">BRASIL. (2001). </w:t>
      </w:r>
      <w:r w:rsidRPr="007E221A">
        <w:rPr>
          <w:rFonts w:ascii="Times New Roman" w:hAnsi="Times New Roman" w:cs="Times New Roman"/>
          <w:b/>
          <w:bCs/>
          <w:sz w:val="24"/>
          <w:szCs w:val="24"/>
        </w:rPr>
        <w:t>Decreto nº 3.897</w:t>
      </w:r>
      <w:r w:rsidRPr="007E221A">
        <w:rPr>
          <w:rFonts w:ascii="Times New Roman" w:hAnsi="Times New Roman" w:cs="Times New Roman"/>
          <w:sz w:val="24"/>
          <w:szCs w:val="24"/>
        </w:rPr>
        <w:t xml:space="preserve">, de 24 de agosto. Fixa as diretrizes para o emprego das Forças Armadas na garantia da lei e da ordem, e dá outras providências. Brasília, DF, 27 agosto.  </w:t>
      </w:r>
    </w:p>
    <w:p w14:paraId="503C5184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(2003a).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10.792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Altera a Lei de Execução Penal e o Código de Processo Penal. Brasília. (Lei do Regime Disciplinar Diferenciado, RDD).</w:t>
      </w:r>
    </w:p>
    <w:p w14:paraId="35102319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(2003b).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10.826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Estatuto do Desarmamento. Brasília.</w:t>
      </w:r>
    </w:p>
    <w:p w14:paraId="471F505F" w14:textId="77777777" w:rsidR="00E67AE4" w:rsidRPr="007E221A" w:rsidRDefault="00E67AE4" w:rsidP="00C95F19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(2009).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 CONSEG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- Princípios e diretrizes para segurança pública. Brasília, Disponível em: </w:t>
      </w:r>
      <w:hyperlink r:id="rId9" w:history="1">
        <w:r w:rsidRPr="007E22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https://www.ipea.gov.br/participacao/images/pdfs/conferencias/Seguranca_Publica/texto_base_1_conferencia_seguranca_publica.pdf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; Acesso em: 10/03/2013.</w:t>
      </w:r>
    </w:p>
    <w:p w14:paraId="175B21A2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(2019a).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Emenda Constitucional N. 104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Altera o inciso XIV do caput do art. 21, o §4º do art. 32 e o art. 144 da Constituição Federal, para criar as polícias penais federal, estaduais e distrital. Brasília.</w:t>
      </w:r>
    </w:p>
    <w:p w14:paraId="1E260484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(2019b).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Lei N. 13.964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Aperfeiçoa a legislação penal e processual penal. Brasília. (“Pacote Anticrime”).</w:t>
      </w:r>
    </w:p>
    <w:p w14:paraId="33880C6D" w14:textId="77777777" w:rsidR="00E67AE4" w:rsidRPr="007E221A" w:rsidRDefault="00E67AE4" w:rsidP="000458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BRASIL. CÂMARA DOS DEPUTADOS. (2018).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Agenda de Segurança Cidadã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: por um novo paradigma. Brasília: Câmara dos Deputados/Centro de Documentação e Informação. Disponível em:</w:t>
      </w:r>
      <w:hyperlink r:id="rId10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>https://www2.camara.leg.br/a-camara/estruturaadm/altosestudos/pdf/agenda_seguranca_%20cidada.pdf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; Acesso em: 22.08.2021.</w:t>
      </w:r>
    </w:p>
    <w:p w14:paraId="24D7D3EE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CALDAS, Cristina; KANASHIRO, Marta. (2008). Entrevista com David Garland. 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Com Ciência – Revista eletrônica de jornalismo científico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online, Campinas, n. 98, 06/08. Disponível em </w:t>
      </w:r>
      <w:hyperlink r:id="rId12" w:history="1">
        <w:r w:rsidRPr="007E22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http://comciencia.scielo.br/pdf/cci/n98/a13.pdf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, Acesso em: 02.08.2022.</w:t>
      </w:r>
    </w:p>
    <w:p w14:paraId="06EA1739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CAMPOS, Marcelo da S.; AZEVEDO, Rodrigo G. de (2020). A ambiguidade das escolhas: política criminal no Brasil de 1989 a 2016.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de Sociologia e Política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Curitiba, v. 28, n. 73, e002.</w:t>
      </w:r>
    </w:p>
    <w:p w14:paraId="5D899D4D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CANO, Ignacio. (2002).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Os indicadores de criminalidade e de avaliação do desempenho do setor público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Porto Alegre: abril.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Mimeo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48AA3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CANO, Ignacio. (2007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Eficiencia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policial y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rendición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cuentas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Indicadores para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la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evaluación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instituciones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policiales</w:t>
      </w:r>
      <w:proofErr w:type="spellEnd"/>
      <w:r w:rsidRPr="007E221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Rio de Janeiro: UERJ/Laboratório de Análise da Violência.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Mimeo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745C3" w14:textId="77777777" w:rsidR="00E67AE4" w:rsidRPr="007E221A" w:rsidRDefault="00E67AE4" w:rsidP="00E520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COHEN, Lawrence E.; FELSON, Marcus. (1994). Social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crime rates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routine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approach. (Reimpressão de “Social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crime rate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routine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approach. American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Sociological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Review, v. 44, p. 588-608, 1979”). In: TRAUB, Stuart H.; LITTLE, Craig B. (ed.). </w:t>
      </w:r>
      <w:proofErr w:type="spellStart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Theories</w:t>
      </w:r>
      <w:proofErr w:type="spellEnd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Deviance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Fourth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Itasca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/Illinois: F. E.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Peacock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Publishers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Inc., p. 535-570.</w:t>
      </w:r>
    </w:p>
    <w:p w14:paraId="54AC2CAB" w14:textId="77777777" w:rsidR="00E67AE4" w:rsidRPr="007E221A" w:rsidRDefault="00E67AE4" w:rsidP="00E520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CULLEN, Francis T.; AGNEW, Robert. (2006).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Criminological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Theory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Essential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Readings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Los Angeles: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Roxbury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Co.</w:t>
      </w:r>
    </w:p>
    <w:p w14:paraId="6C3A8C5C" w14:textId="77777777" w:rsidR="00E67AE4" w:rsidRPr="007E221A" w:rsidRDefault="00E67AE4" w:rsidP="004F09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FBSP - Fórum Brasileiro de Segurança Pública. (2016).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Análise comparativa da arquitetura organizacional da área de Segurança Pública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Carta de Acordo n. 33.926. São Paulo/SP: setembro. Disponível em:</w:t>
      </w:r>
      <w:hyperlink r:id="rId13" w:history="1">
        <w:r w:rsidRPr="007E22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4" w:history="1">
        <w:r w:rsidRPr="007E221A">
          <w:rPr>
            <w:rStyle w:val="Hyperlink"/>
            <w:rFonts w:ascii="Times New Roman" w:hAnsi="Times New Roman" w:cs="Times New Roman"/>
            <w:sz w:val="24"/>
            <w:szCs w:val="24"/>
          </w:rPr>
          <w:t>https://www.novo.justica.gov.br/sua-seguranca-2/seguranca-publica/analise-e-pesquisa/download/outras_publicacoes_externas/pagina-2/52analise-comparativa-da-arquitetura-organizacional-da-area-de-seguranca-publica.pdf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; Acesso em: 04 ago. 2021.</w:t>
      </w:r>
    </w:p>
    <w:p w14:paraId="1D27A960" w14:textId="77777777" w:rsidR="00E67AE4" w:rsidRPr="007E221A" w:rsidRDefault="00E67AE4" w:rsidP="004F090F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FBSP - Fórum Brasileiro de Segurança Pública. (2021). 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Anuário Brasileiro de Segurança Pública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2020. Ano 15. Disponível em: </w:t>
      </w:r>
      <w:hyperlink r:id="rId15" w:history="1">
        <w:r w:rsidRPr="007E22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https://forumseguranca.org.br/wp-content/uploads/2021/10/anuario-15-completo-v7-251021.pdf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; Acesso em: 26/03/2021.</w:t>
      </w:r>
    </w:p>
    <w:p w14:paraId="15997669" w14:textId="77777777" w:rsidR="00E67AE4" w:rsidRPr="007E221A" w:rsidRDefault="00E67AE4" w:rsidP="00F001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A">
        <w:rPr>
          <w:rFonts w:ascii="Times New Roman" w:hAnsi="Times New Roman" w:cs="Times New Roman"/>
          <w:sz w:val="24"/>
          <w:szCs w:val="24"/>
        </w:rPr>
        <w:t xml:space="preserve">FERREIRA, Helder; MARCIAL, Elaine. (2015). </w:t>
      </w:r>
      <w:r w:rsidRPr="007E221A">
        <w:rPr>
          <w:rFonts w:ascii="Times New Roman" w:hAnsi="Times New Roman" w:cs="Times New Roman"/>
          <w:b/>
          <w:bCs/>
          <w:sz w:val="24"/>
          <w:szCs w:val="24"/>
        </w:rPr>
        <w:t>Violência e segurança pública em 2023</w:t>
      </w:r>
      <w:r w:rsidRPr="007E221A">
        <w:rPr>
          <w:rFonts w:ascii="Times New Roman" w:hAnsi="Times New Roman" w:cs="Times New Roman"/>
          <w:sz w:val="24"/>
          <w:szCs w:val="24"/>
        </w:rPr>
        <w:t>: cenários exploratórios e planejamento prospectivo. Rio de Janeiro, Ipea.</w:t>
      </w:r>
    </w:p>
    <w:p w14:paraId="3B6045E7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FREIRE, Moema D. (2009). Paradigmas de segurança no Brasil: da ditadura aos nossos dias.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Brasileira de Segurança Pública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[online], v. 3, n. 5, p. 100-114, ago./set.</w:t>
      </w:r>
    </w:p>
    <w:p w14:paraId="77668BC0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GARLAND, David (1999). As contradições da “sociedade punitiva”: o caso britânico. </w:t>
      </w:r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Revista de Sociologia e Política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Curitiba, n. 13, p. 59-80, nov.</w:t>
      </w:r>
    </w:p>
    <w:p w14:paraId="340C46FA" w14:textId="77777777" w:rsidR="00E67AE4" w:rsidRPr="007E221A" w:rsidRDefault="00E67AE4" w:rsidP="0039239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GARLAND, David (2020a). Para além da Cultura do Controle. Tradução de Janaína de Souza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Bujes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In: SOZZO, Máximo (Org.).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Aspas. p. 346- 384. </w:t>
      </w:r>
    </w:p>
    <w:p w14:paraId="560BB2F8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GARLAND, David (2020b). Sociedades com elevadas taxas de delitos e Cultura do Controle. Tradução de Mariana Chies Santiago Santos. In: SOZZO, Máximo (Org.).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Aspas. p. 385-413.</w:t>
      </w:r>
    </w:p>
    <w:p w14:paraId="19DDBF3E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GARLAND, David (2020c). Penalidade e Estado Penal. Tradução de Mariana Chies Santiago Santos. In: SOZZO, Máximo (Org.).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Aspas. p. 414-465.</w:t>
      </w:r>
    </w:p>
    <w:p w14:paraId="6AFE7D9F" w14:textId="77777777" w:rsidR="00E67AE4" w:rsidRPr="007E221A" w:rsidRDefault="00E67AE4" w:rsidP="00701F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GARLAND, David. (2008).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cultura do controle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: crime e ordem social na sociedade contemporânea. Rio de Janeiro: Revan, 2008.</w:t>
      </w:r>
    </w:p>
    <w:p w14:paraId="40261D45" w14:textId="77777777" w:rsidR="00E67AE4" w:rsidRPr="007E221A" w:rsidRDefault="00E67AE4" w:rsidP="004F090F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IBGE – INSTITUTO BRASILEIRO DE GEOGRAFIA E ESTATÍSTICA (s.d.). 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Cadastro Central de Empresas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tabela 6.703, pessoal ocupado nas unidades do código 80 -</w:t>
      </w:r>
      <w:r w:rsidRPr="007E221A">
        <w:rPr>
          <w:rFonts w:ascii="Times New Roman" w:hAnsi="Times New Roman" w:cs="Times New Roman"/>
          <w:sz w:val="24"/>
          <w:szCs w:val="24"/>
        </w:rPr>
        <w:t xml:space="preserve">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Atividades de vigilância, segurança e investigação. </w:t>
      </w:r>
    </w:p>
    <w:p w14:paraId="113DB81C" w14:textId="77777777" w:rsidR="00E67AE4" w:rsidRPr="007E221A" w:rsidRDefault="00E67AE4" w:rsidP="00E53AB1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IBGE – INSTITUTO BRASILEIRO DE GEOGRAFIA E ESTATÍSTICA. (2006; 2019)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Pesquisa de Informações Básicas Municipais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Brasília. </w:t>
      </w:r>
    </w:p>
    <w:p w14:paraId="07CCCE10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ILANUD - INSTITUTO LATINO AMERICANO DAS NAÇÕES UNIDAS PARA PREVENÇÃO DO DELITO E TRATAMENTO DO DELINQUENTE. (2002).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Das Políticas de Segurança Pública às Políticas Públicas de Segurança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Brasília: Gabinete de Gestão Institucional da Presidência da República. Disponível em: &lt;</w:t>
      </w:r>
      <w:hyperlink r:id="rId16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>http://www.observatoriodeseguranca.org/files/livro-prevdocrime%20ILANUD.pdf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&gt;. Acesso em: 15 out. 2010.</w:t>
      </w:r>
    </w:p>
    <w:p w14:paraId="5709DEA7" w14:textId="77777777" w:rsidR="00E67AE4" w:rsidRPr="007E221A" w:rsidRDefault="00E67AE4" w:rsidP="00222C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KELLING, George; COLES, Catherine. (2003).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Broken Windows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Theory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: olhar concreto sobre a criminalidade. Conferência promovida pela Escola Superior do Ministério Público (ESPM). Porto Alegre: Auditório da AMRIGS, 12.06.</w:t>
      </w:r>
    </w:p>
    <w:p w14:paraId="30AF9844" w14:textId="77777777" w:rsidR="00E67AE4" w:rsidRPr="007E221A" w:rsidRDefault="00E67AE4" w:rsidP="004F090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KRUGER,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Tinus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; LANCASTER,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Lizette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Lancaster; LANDMAN, Karina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Landman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; LIEBERMANN, Susan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Liebermann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; LOUW, Antoinette; ROBERTSHAW, Rory. (2000). 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Making South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Africa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Safe</w:t>
      </w:r>
      <w:r w:rsidRPr="007E22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a Manual for Community-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Crime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Pretoria/South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Africa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Crime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Centre,</w:t>
      </w:r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>Dept</w:t>
      </w:r>
      <w:proofErr w:type="spellEnd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E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Security. </w:t>
      </w:r>
    </w:p>
    <w:p w14:paraId="5B713C3F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MADEIRA, Lígia M.; RODRIGUES, Alexandre B. (2015). Novas bases para as políticas públicas de segurança no Brasil a partir das práticas do governo federal no período 2003-2011.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de Administração Pública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Rio de Janeiro, v. 49, n. 1, p. 3 – 22.</w:t>
      </w:r>
    </w:p>
    <w:p w14:paraId="22212B09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MAIA NETO, Cândido F. (2002). Direitos Humanos e Justiça Penal.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de Ciências Jurídicas e Sociais da UNIPAR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Toledo/PR, v. 5, n. 2, p. 203-211, jul./dez. Disponível em: 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http://www.revistas.unipar.br/?journal=juridica&amp;page=article&amp;op=view&amp;path</w:t>
      </w:r>
      <w:proofErr w:type="gramStart"/>
      <w:r w:rsidRPr="007E221A">
        <w:rPr>
          <w:rFonts w:ascii="Times New Roman" w:eastAsia="Times New Roman" w:hAnsi="Times New Roman" w:cs="Times New Roman"/>
          <w:sz w:val="24"/>
          <w:szCs w:val="24"/>
        </w:rPr>
        <w:t>[]=</w:t>
      </w:r>
      <w:proofErr w:type="gramEnd"/>
      <w:r w:rsidRPr="007E221A">
        <w:rPr>
          <w:rFonts w:ascii="Times New Roman" w:eastAsia="Times New Roman" w:hAnsi="Times New Roman" w:cs="Times New Roman"/>
          <w:sz w:val="24"/>
          <w:szCs w:val="24"/>
        </w:rPr>
        <w:t>1284&amp;path[]=1137. Acesso em: 26 de abril de 2016.</w:t>
      </w:r>
    </w:p>
    <w:p w14:paraId="6D7CAC31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MATTHEWS, Roger. (2002). Crime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in late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modernity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Review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Theoretical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Criminology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Sage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, v. 6, n. 2, p. 217-226.</w:t>
      </w:r>
    </w:p>
    <w:p w14:paraId="62E6CF48" w14:textId="77777777" w:rsidR="00E67AE4" w:rsidRPr="007E221A" w:rsidRDefault="00E67AE4" w:rsidP="00221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MATTHEWS, Roger. (2005). The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myth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punitiveness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Theoretical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>Criminology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Sage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, v. 9, n. 2, p. 175-201.</w:t>
      </w:r>
    </w:p>
    <w:p w14:paraId="4BAAE42F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MESQUITA NETO, Paulo. (2006).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Análise e Propostas. Políticas municipais de segurança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problemas e soluções. São Paulo: Fundação Friedrich Ebert. (Análise e propostas). Disponível em: </w:t>
      </w:r>
      <w:hyperlink r:id="rId17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8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>https://nev.prp.usp.br/publicacao/anlises-e-propostas-polticas-municipais-de-segurana-cidad-problemas-e-solues/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, Acesso em: 13.08.2021.</w:t>
      </w:r>
    </w:p>
    <w:p w14:paraId="7600AF8B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MUNIZ, Jaqueline; ZACCHI, José M. (2005). Avanços, Frustrações e Desafios para uma Política Progressista, Democrática e Efetiva de Segurança no Brasil. In: ESCOBAR, Santiago; MUNIZ, Jacques; SANSEVIERO, Rafael; SAIN, Marcelo F.; ZACCHI, José M.(org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.).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Seguridad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Ciudadana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Concepciones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y políticas. Caracas: Fundação Friedrich Ebert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Stiftung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/Nueva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. p. 85-147. Disponível em:</w:t>
      </w:r>
      <w:hyperlink r:id="rId19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0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>http://www.iidh.ed.cr/comunidades/seguridad/docs/seg_docpolicia/seguridad%20cuidadanaconcepciones%20y%20politicas.pdf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., Acesso em: 14.04.2019.</w:t>
      </w:r>
    </w:p>
    <w:p w14:paraId="135B6AD9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MUSUMECI,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Leonarda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(2003).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As múltiplas faces da violência no Brasil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Disponível em:&lt;http://www.cesec.ucam.edu.br/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publicacoes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/textos.asp&gt;. Acesso em: 03.05.</w:t>
      </w:r>
    </w:p>
    <w:p w14:paraId="351ECA58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NASCIMENTO, André. (2008). Apresentação à edição brasileira. In: GARLAND, David. 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Cultura do Controle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: Crime e ordem na sociedade contemporânea. Rio de Janeiro: Instituto Carioca de Criminologia/Editora Revan, p. 7-30.</w:t>
      </w:r>
    </w:p>
    <w:p w14:paraId="79455EB1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OEA – Organização dos Estados Americanos. Comissão Interamericana de Direitos Humanos. (2009).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Informe sobre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seguridad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ciudadana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y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derechos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humanos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(OEA documentos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). Aprovado em 31.12.2009. Disponível em:</w:t>
      </w:r>
      <w:hyperlink r:id="rId21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2">
        <w:r w:rsidRPr="007E221A">
          <w:rPr>
            <w:rFonts w:ascii="Times New Roman" w:eastAsia="Times New Roman" w:hAnsi="Times New Roman" w:cs="Times New Roman"/>
            <w:sz w:val="24"/>
            <w:szCs w:val="24"/>
          </w:rPr>
          <w:t>https://www.cidh.oas.org/pdf%20files/SEGURIDAD%20CIUDADANA%202009%20ESP.pdf</w:t>
        </w:r>
      </w:hyperlink>
      <w:r w:rsidRPr="007E221A">
        <w:rPr>
          <w:rFonts w:ascii="Times New Roman" w:eastAsia="Times New Roman" w:hAnsi="Times New Roman" w:cs="Times New Roman"/>
          <w:sz w:val="24"/>
          <w:szCs w:val="24"/>
        </w:rPr>
        <w:t>, Acesso em: 10.08.2021.</w:t>
      </w:r>
    </w:p>
    <w:p w14:paraId="754EAC80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OLIVEIRA, Ana S.S. (2002). Políticas Públicas de Segurança e Políticas de Segurança pública: da teoria à prática. In: ILANUD (</w:t>
      </w:r>
      <w:r w:rsidRPr="004B61D3">
        <w:rPr>
          <w:rFonts w:ascii="Times New Roman" w:eastAsia="Times New Roman" w:hAnsi="Times New Roman" w:cs="Times New Roman"/>
          <w:sz w:val="24"/>
          <w:szCs w:val="24"/>
        </w:rPr>
        <w:t>org.).</w:t>
      </w:r>
      <w:r w:rsidRPr="007E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Das políticas de segurança pública às políticas públicas de segurança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São Paulo. p. 57-76.</w:t>
      </w:r>
    </w:p>
    <w:p w14:paraId="663CA29C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OLIVEIRA, Júlia L.; RIBEIRO, Mariângela; JATOBÁ, Edna. (2012).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Segurança Cidadã em debate.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Recife/PE: Ed.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Provisual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71B1B" w14:textId="77777777" w:rsidR="00E67AE4" w:rsidRPr="007E221A" w:rsidRDefault="00E67AE4" w:rsidP="00DE608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PEREIRA, Jordana D. (2021).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As políticas penais e de segurança pública de FHC a Bolsonaro</w:t>
      </w:r>
      <w:r w:rsidRPr="007E221A">
        <w:rPr>
          <w:rFonts w:ascii="Times New Roman" w:eastAsia="Times New Roman" w:hAnsi="Times New Roman" w:cs="Times New Roman"/>
          <w:iCs/>
          <w:sz w:val="24"/>
          <w:szCs w:val="24"/>
        </w:rPr>
        <w:t>: um estudo sobre rupturas e continuidades na Nova República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Dissertação de Mestrado apresentada ao Programa de Pós-graduação em Sociologia. São Carlos: Universidade Federal de São Carlos.</w:t>
      </w:r>
    </w:p>
    <w:p w14:paraId="4017ABE2" w14:textId="77777777" w:rsidR="00E67AE4" w:rsidRPr="007E221A" w:rsidRDefault="00E67AE4" w:rsidP="00E075D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PNUD Brasil. (2020). Programa das Nações Unidas para o Desenvolvimento.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Segurança cidadã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09 julho. </w:t>
      </w:r>
    </w:p>
    <w:p w14:paraId="46B6CB1E" w14:textId="67BF9389" w:rsidR="00E67AE4" w:rsidRPr="007E221A" w:rsidRDefault="00E67AE4" w:rsidP="004F090F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hAnsi="Times New Roman" w:cs="Times New Roman"/>
          <w:sz w:val="24"/>
          <w:szCs w:val="24"/>
        </w:rPr>
        <w:t>RODRÍGUEZ, M. V. (2014) Pesquisa social: contribuições do método materialista histórico</w:t>
      </w:r>
      <w:r w:rsidR="004B61D3">
        <w:rPr>
          <w:rFonts w:ascii="Times New Roman" w:hAnsi="Times New Roman" w:cs="Times New Roman"/>
          <w:sz w:val="24"/>
          <w:szCs w:val="24"/>
        </w:rPr>
        <w:t>-</w:t>
      </w:r>
      <w:r w:rsidRPr="007E221A">
        <w:rPr>
          <w:rFonts w:ascii="Times New Roman" w:hAnsi="Times New Roman" w:cs="Times New Roman"/>
          <w:sz w:val="24"/>
          <w:szCs w:val="24"/>
        </w:rPr>
        <w:t xml:space="preserve">dialético. In: Cunha C; Sousa, J. V.; Silva, M. A. (org.) </w:t>
      </w:r>
      <w:r w:rsidRPr="007E221A">
        <w:rPr>
          <w:rFonts w:ascii="Times New Roman" w:hAnsi="Times New Roman" w:cs="Times New Roman"/>
          <w:b/>
          <w:bCs/>
          <w:sz w:val="24"/>
          <w:szCs w:val="24"/>
        </w:rPr>
        <w:t>O método dialético na pesquisa em educação</w:t>
      </w:r>
      <w:r w:rsidRPr="007E221A">
        <w:rPr>
          <w:rFonts w:ascii="Times New Roman" w:hAnsi="Times New Roman" w:cs="Times New Roman"/>
          <w:sz w:val="24"/>
          <w:szCs w:val="24"/>
        </w:rPr>
        <w:t>. Coleção Políticas Públicas de Educação. Brasília, DF: Faculdade de Educação, Universidade de Brasília, UNB.</w:t>
      </w:r>
    </w:p>
    <w:p w14:paraId="6D9B260C" w14:textId="77777777" w:rsidR="00E67AE4" w:rsidRPr="007E221A" w:rsidRDefault="00E67AE4" w:rsidP="004C6C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SÁ E SILVA, Fábio de. (2012). Nem isso, nem aquilo: Trajetória e características da Política Nacional de Segurança Pública (2002-2012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Brasileira de Segurança Pública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São Paulo, v. 6, n. 2, 412-433.</w:t>
      </w:r>
    </w:p>
    <w:p w14:paraId="740F86A1" w14:textId="77777777" w:rsidR="00E67AE4" w:rsidRPr="007E221A" w:rsidRDefault="00E67AE4" w:rsidP="004C6C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SÁ E SILVA, Fábio de. (2014).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Violência e Segurança Pública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. São Paulo: Fundação Perseu Abramo. (Coleção “O que saber”).</w:t>
      </w:r>
    </w:p>
    <w:p w14:paraId="12ACBA77" w14:textId="77777777" w:rsidR="00E67AE4" w:rsidRPr="007E221A" w:rsidRDefault="00E67AE4" w:rsidP="004C6C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SALLA, Fernando; GAUTO, Maitê; ALVAREZ, Marcos César. (2006). A contribuição de David Garland à sociologia da punição. </w:t>
      </w:r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Tempo Social – Revista de Sociologia da USP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v. 18, n.1, p. 329-350, junho.</w:t>
      </w:r>
    </w:p>
    <w:p w14:paraId="5A03E036" w14:textId="5FAC60AD" w:rsidR="00BE5278" w:rsidRDefault="00BE5278" w:rsidP="00BE5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SCHABBACH, Letícia M. </w:t>
      </w:r>
      <w:r w:rsidRPr="00BE52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Tendências e Preditores da Criminalidade Violenta no Rio Grande do Sul</w:t>
      </w:r>
      <w:r w:rsidRPr="00BE527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E527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ese (Doutorado em Sociologia) – Programa de Pós-graduação em Sociologia. Porto Alegre: Universidade Federal do Rio Grande do Sul, 2007.</w:t>
      </w:r>
    </w:p>
    <w:p w14:paraId="61BD4BD6" w14:textId="2937EC6C" w:rsidR="00BE5278" w:rsidRDefault="00BE5278" w:rsidP="00BE5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SCHABBACH, Letícia M. A agenda da segurança pública no Brasil e suas (novas) políticas. In: MADEIRA, Lígia M. </w:t>
      </w:r>
      <w:r w:rsidRPr="009947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Avaliação de Políticas Públicas</w:t>
      </w:r>
      <w:r>
        <w:rPr>
          <w:rFonts w:ascii="Times New Roman" w:eastAsia="Times New Roman" w:hAnsi="Times New Roman" w:cs="Times New Roman"/>
          <w:sz w:val="24"/>
          <w:szCs w:val="24"/>
        </w:rPr>
        <w:t>. 1ª ed. Porto Alegre: UFRGS, v. 1, p. 216-231.</w:t>
      </w:r>
    </w:p>
    <w:p w14:paraId="077A10F8" w14:textId="77777777" w:rsidR="00E67AE4" w:rsidRPr="007E221A" w:rsidRDefault="00E67AE4" w:rsidP="004C6C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SHERMAN, L. W.; GOTTFREDSON, D.; MACKENZIE, D.; ECK, J.; REUTER, P.; BUSHWAY, S. (1997). </w:t>
      </w:r>
      <w:proofErr w:type="spellStart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Preventing</w:t>
      </w:r>
      <w:proofErr w:type="spellEnd"/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Crime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Works,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Doesn't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Promising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. A Report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United States Congress.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Justice. (Report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Maryland)</w:t>
      </w:r>
    </w:p>
    <w:p w14:paraId="70E9B43C" w14:textId="77777777" w:rsidR="00E67AE4" w:rsidRPr="007E221A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>SOARES, Luiz E. (2001). Notas sobre a problemática da Segurança Pública</w:t>
      </w:r>
      <w:r w:rsidRPr="007E221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Boletim Políticas Sociais</w:t>
      </w:r>
      <w:r w:rsidRPr="007E221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acompanhamento e análise, Brasília, IPEA, n. 2. p. 121-129. </w:t>
      </w:r>
    </w:p>
    <w:p w14:paraId="50B46033" w14:textId="77777777" w:rsidR="00E67AE4" w:rsidRPr="007E221A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SOARES, Luiz E. (2007). A política nacional de segurança pública: histórico, dilemas e perspectivas.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Estudos Avançados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>, São Paulo, v. 21, n. 61, p. 77-97. (Dossiê Crime Organizado)</w:t>
      </w:r>
    </w:p>
    <w:p w14:paraId="32DB6EDA" w14:textId="77777777" w:rsidR="00E67AE4" w:rsidRPr="007E221A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SOARES, Luiz E. (2012). Reforma da Arquitetura Institucional da Segurança Pública no Brasil. In: OLIVEIRA, Júlia L.; RIBEIRO, Mariângela; JATOBÁ, Edna.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Segurança Cidadã em debate</w:t>
      </w:r>
      <w:r w:rsidRPr="007E221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 Recife/PE: Ed. </w:t>
      </w:r>
      <w:proofErr w:type="spellStart"/>
      <w:r w:rsidRPr="007E221A">
        <w:rPr>
          <w:rFonts w:ascii="Times New Roman" w:eastAsia="Times New Roman" w:hAnsi="Times New Roman" w:cs="Times New Roman"/>
          <w:sz w:val="24"/>
          <w:szCs w:val="24"/>
        </w:rPr>
        <w:t>Provisual</w:t>
      </w:r>
      <w:proofErr w:type="spellEnd"/>
      <w:r w:rsidRPr="007E221A">
        <w:rPr>
          <w:rFonts w:ascii="Times New Roman" w:eastAsia="Times New Roman" w:hAnsi="Times New Roman" w:cs="Times New Roman"/>
          <w:sz w:val="24"/>
          <w:szCs w:val="24"/>
        </w:rPr>
        <w:t>, p.34-63.</w:t>
      </w:r>
    </w:p>
    <w:p w14:paraId="2738715F" w14:textId="77777777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SOARES, Luiz E. (2019). </w:t>
      </w:r>
      <w:r w:rsidRPr="007E22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Desmilitarizar</w:t>
      </w:r>
      <w:r w:rsidRPr="007E221A">
        <w:rPr>
          <w:rFonts w:ascii="Times New Roman" w:eastAsia="Times New Roman" w:hAnsi="Times New Roman" w:cs="Times New Roman"/>
          <w:sz w:val="24"/>
          <w:szCs w:val="24"/>
        </w:rPr>
        <w:t xml:space="preserve">: Segurança Pública e Direitos Humanos. São Paulo: 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Boitempo.</w:t>
      </w:r>
    </w:p>
    <w:p w14:paraId="3B620AA0" w14:textId="7EA9E2AC" w:rsidR="00E67AE4" w:rsidRPr="00115F73" w:rsidRDefault="00E67AE4" w:rsidP="008B79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10769117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SOZZO, Máximo. (2020a). Introdução. Tradução de Larissa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Urruth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In: SOZZO, Máximo (Org.). </w:t>
      </w:r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além da cultura do </w:t>
      </w:r>
      <w:proofErr w:type="gramStart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controle</w:t>
      </w:r>
      <w:r w:rsidRPr="004B61D3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4B61D3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E3F2D" w:rsidRPr="00115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p. 15-23</w:t>
      </w:r>
      <w:r w:rsidR="004B61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3E700C" w14:textId="5669ED59" w:rsidR="00E67AE4" w:rsidRPr="00115F73" w:rsidRDefault="00E67AE4" w:rsidP="008B79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SOZZO, Máximo. (2020b). Primeira Parte. Discussão. In: SOZZO, Máximo (Org.). </w:t>
      </w:r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além da cultura do </w:t>
      </w:r>
      <w:proofErr w:type="gramStart"/>
      <w:r w:rsidRPr="004B61D3">
        <w:rPr>
          <w:rFonts w:ascii="Times New Roman" w:eastAsia="Times New Roman" w:hAnsi="Times New Roman" w:cs="Times New Roman"/>
          <w:b/>
          <w:bCs/>
          <w:sz w:val="24"/>
          <w:szCs w:val="24"/>
        </w:rPr>
        <w:t>controle?</w:t>
      </w:r>
      <w:r w:rsidRPr="004B61D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B61D3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</w:t>
      </w:r>
      <w:r w:rsidR="00FE3F2D" w:rsidRPr="004B61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61D3">
        <w:rPr>
          <w:rFonts w:ascii="Times New Roman" w:eastAsia="Times New Roman" w:hAnsi="Times New Roman" w:cs="Times New Roman"/>
          <w:sz w:val="24"/>
          <w:szCs w:val="24"/>
        </w:rPr>
        <w:t>p. 24-343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4"/>
    <w:p w14:paraId="1459BBC0" w14:textId="77777777" w:rsidR="004B61D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SOZZO, Máximo. (2020c). Para além da Cultura do Controle: perguntas, contribuições e perspectivas. Tradução de Ana Cláudia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Cifali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In: SOZZO, Máximo (Org.).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?:</w:t>
      </w:r>
      <w:proofErr w:type="gram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Aspas. p. 468-510. </w:t>
      </w:r>
    </w:p>
    <w:p w14:paraId="4584D972" w14:textId="657DBA1E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>SPANIOL, Marlene I.; MORAES JR., Martim C.; RODRIGUES, Carlos R. G. (2020). Como tem sido planejada a segurança pública no Brasil? Análise dos Planos e Programas Nacionais de Segurança implantados no período pós-Redemocratização.</w:t>
      </w:r>
      <w:r w:rsidR="005E5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Revista Brasileira de Segurança Pública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, São Paulo, v. 14, n. 2, p. 100-127, ago./set.</w:t>
      </w:r>
    </w:p>
    <w:p w14:paraId="1496C169" w14:textId="77777777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THE WORLD BANK. (2003).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Prevenção Comunitária do crime e da violência em áreas urbanas da América Latina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: um guia de recursos para municípios. Este manual foi elaborado por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Bernice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Bronkhorst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sob a orientação de Marianne Fay e beneficiou-se do trabalho de pesquisa de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Veronique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Staco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(LCSFP). Disponível em: &lt; https://documents1.worldbank.org/curated/en/933571468266714236/pdf/320640PORTUGUE1eGuide1urbanviolence.pdf&gt;. Acesso em: 22.08.2011.</w:t>
      </w:r>
    </w:p>
    <w:p w14:paraId="76868832" w14:textId="77777777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TRINDADE,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Kálita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; MADEIRA, Lígia M. (2020). Da Segurança Nacional à Segurança Cidadã e o retorno ao endurecimento penal: Uma análise dos planos nacionais de segurança pública no Brasil recente. In: LIMA, Luciana L.; PAPPI, Luciana P.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Planejamento e Políticas Públicas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: Intencionalidade, processos e resultados. Porto Alegre: Jacarta. p. 145-167.</w:t>
      </w:r>
    </w:p>
    <w:p w14:paraId="2223E911" w14:textId="77777777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WACQUANT,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Loïc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>. (2001).</w:t>
      </w:r>
      <w:hyperlink r:id="rId23">
        <w:r w:rsidRPr="00115F7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115F73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Punir os pobres</w:t>
        </w:r>
        <w:r w:rsidRPr="00115F73">
          <w:rPr>
            <w:rFonts w:ascii="Times New Roman" w:eastAsia="Times New Roman" w:hAnsi="Times New Roman" w:cs="Times New Roman"/>
            <w:sz w:val="24"/>
            <w:szCs w:val="24"/>
          </w:rPr>
          <w:t>: a nova gestão da miséria nos Estados Unidos</w:t>
        </w:r>
      </w:hyperlink>
      <w:r w:rsidRPr="00115F73">
        <w:rPr>
          <w:rFonts w:ascii="Times New Roman" w:eastAsia="Times New Roman" w:hAnsi="Times New Roman" w:cs="Times New Roman"/>
          <w:sz w:val="24"/>
          <w:szCs w:val="24"/>
        </w:rPr>
        <w:t>. Rio de Janeiro: Freitas Bastos/Instituto Carioca de Criminologia.</w:t>
      </w:r>
    </w:p>
    <w:p w14:paraId="56B0F13D" w14:textId="77777777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WACQUANT,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Loïc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(2012) A tempestade global da lei e ordem: sobre punição e neoliberalismo. </w:t>
      </w:r>
      <w:r w:rsidRPr="00115F73">
        <w:rPr>
          <w:rFonts w:ascii="Times New Roman" w:eastAsia="Times New Roman" w:hAnsi="Times New Roman" w:cs="Times New Roman"/>
          <w:b/>
          <w:bCs/>
          <w:sz w:val="24"/>
          <w:szCs w:val="24"/>
        </w:rPr>
        <w:t>Revista Sociologia e Política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, v. 20, n. 41, p. 7-20.</w:t>
      </w:r>
    </w:p>
    <w:p w14:paraId="5D23969D" w14:textId="77777777" w:rsidR="00E67AE4" w:rsidRPr="00115F73" w:rsidRDefault="00E67AE4" w:rsidP="00186A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WENDEL, Travis; CURTIS,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Ric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(2002). Tolerância zero: a má interpretação dos resultados.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Horizontes Antropológicos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[online], Porto Alegre, v. 8, n. 18. p. 267-278.</w:t>
      </w:r>
    </w:p>
    <w:p w14:paraId="3955DCA1" w14:textId="77281EA1" w:rsidR="00E67AE4" w:rsidRPr="00115F73" w:rsidRDefault="00E67AE4" w:rsidP="004F09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WORLD PRISON BRIEF (WPB). </w:t>
      </w:r>
      <w:proofErr w:type="spellStart"/>
      <w:r w:rsidRPr="00115F73">
        <w:rPr>
          <w:rFonts w:ascii="Times New Roman" w:eastAsia="Times New Roman" w:hAnsi="Times New Roman" w:cs="Times New Roman"/>
          <w:b/>
          <w:bCs/>
          <w:sz w:val="24"/>
          <w:szCs w:val="24"/>
        </w:rPr>
        <w:t>Prison</w:t>
      </w:r>
      <w:proofErr w:type="spellEnd"/>
      <w:r w:rsidRPr="00115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F73">
        <w:rPr>
          <w:rFonts w:ascii="Times New Roman" w:eastAsia="Times New Roman" w:hAnsi="Times New Roman" w:cs="Times New Roman"/>
          <w:b/>
          <w:bCs/>
          <w:sz w:val="24"/>
          <w:szCs w:val="24"/>
        </w:rPr>
        <w:t>population</w:t>
      </w:r>
      <w:proofErr w:type="spellEnd"/>
      <w:r w:rsidRPr="00115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rate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24" w:history="1">
        <w:r w:rsidRPr="00115F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https://www.prisonstudies.org/highest-to-lowest/prison_population_rate?field_region_taxonomy_tid=All</w:t>
        </w:r>
      </w:hyperlink>
      <w:r w:rsidRPr="00115F73">
        <w:rPr>
          <w:rFonts w:ascii="Times New Roman" w:eastAsia="Times New Roman" w:hAnsi="Times New Roman" w:cs="Times New Roman"/>
          <w:sz w:val="24"/>
          <w:szCs w:val="24"/>
        </w:rPr>
        <w:t>; Acesso em: 01/10/2021</w:t>
      </w:r>
      <w:r w:rsidR="00806439" w:rsidRPr="00115F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DCCEE" w14:textId="7FE937C4" w:rsidR="00E67AE4" w:rsidRPr="00115F73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YOUNG, </w:t>
      </w:r>
      <w:proofErr w:type="spellStart"/>
      <w:r w:rsidRPr="00115F73">
        <w:rPr>
          <w:rFonts w:ascii="Times New Roman" w:eastAsia="Times New Roman" w:hAnsi="Times New Roman" w:cs="Times New Roman"/>
          <w:sz w:val="24"/>
          <w:szCs w:val="24"/>
        </w:rPr>
        <w:t>Jock</w:t>
      </w:r>
      <w:proofErr w:type="spell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. (2020). Em busca de uma nova criminologia da vida cotidiana: uma revisão da Cultura do Controle, de David Garland. In: SOZZO, Máximo (Org.).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6227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</w:t>
      </w:r>
      <w:r w:rsidR="005E50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p. 26-56.</w:t>
      </w:r>
    </w:p>
    <w:p w14:paraId="7CAB8207" w14:textId="11D94871" w:rsidR="00E67AE4" w:rsidRPr="00E172C9" w:rsidRDefault="00E67AE4" w:rsidP="00916C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ZEDNER, Lucia. (2020). Os perigos das distopias na teoria penal. In: SOZZO, Máximo (Org.). </w:t>
      </w:r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Para além da cultura do </w:t>
      </w:r>
      <w:proofErr w:type="gramStart"/>
      <w:r w:rsidRPr="00115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controle</w:t>
      </w:r>
      <w:r w:rsidRPr="006227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Debates sobre delito, pena e ordem social com David Garland. Porto Alegre/RS: Aspas</w:t>
      </w:r>
      <w:r w:rsidR="005E50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5F73">
        <w:rPr>
          <w:rFonts w:ascii="Times New Roman" w:eastAsia="Times New Roman" w:hAnsi="Times New Roman" w:cs="Times New Roman"/>
          <w:sz w:val="24"/>
          <w:szCs w:val="24"/>
        </w:rPr>
        <w:t xml:space="preserve"> p. 57-98.</w:t>
      </w:r>
      <w:r w:rsidRPr="00E17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C8BF22" w14:textId="77777777" w:rsidR="00E67AE4" w:rsidRDefault="00E67AE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E5F8AD4" w14:textId="12308771" w:rsidR="001B6313" w:rsidRPr="00311D83" w:rsidRDefault="001B6313" w:rsidP="00311D83">
      <w:pPr>
        <w:tabs>
          <w:tab w:val="center" w:pos="425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D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APÊNDICE – Síntese das teorias relacionadas com as novas criminologias referidas por Garland</w:t>
      </w:r>
      <w:r w:rsidRPr="00311D83">
        <w:rPr>
          <w:rFonts w:ascii="Times New Roman" w:hAnsi="Times New Roman" w:cs="Times New Roman"/>
          <w:sz w:val="24"/>
          <w:szCs w:val="24"/>
        </w:rPr>
        <w:t xml:space="preserve"> (2008)</w:t>
      </w:r>
      <w:bookmarkEnd w:id="13"/>
    </w:p>
    <w:p w14:paraId="725DABA6" w14:textId="19047D7C" w:rsidR="001B6313" w:rsidRPr="00311D83" w:rsidRDefault="001B6313" w:rsidP="001B631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r w:rsidRPr="00311D83">
        <w:rPr>
          <w:rFonts w:ascii="Times New Roman" w:eastAsia="Times New Roman" w:hAnsi="Times New Roman" w:cs="Times New Roman"/>
          <w:b/>
          <w:sz w:val="24"/>
          <w:szCs w:val="24"/>
        </w:rPr>
        <w:t>A teoria das atividades rotineiras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, elaborada, entre outros, por Cohen e </w:t>
      </w:r>
      <w:proofErr w:type="spellStart"/>
      <w:r w:rsidRPr="00311D83">
        <w:rPr>
          <w:rFonts w:ascii="Times New Roman" w:eastAsia="Times New Roman" w:hAnsi="Times New Roman" w:cs="Times New Roman"/>
          <w:sz w:val="24"/>
          <w:szCs w:val="24"/>
        </w:rPr>
        <w:t>Felson</w:t>
      </w:r>
      <w:proofErr w:type="spellEnd"/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 (1994), baseia-se na ideia de que as “violações predatórias de contato direto”</w:t>
      </w:r>
      <w:r w:rsidR="004F40D4" w:rsidRPr="0031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acontecem quando três elementos estão presentes: a) agressores motivados, b) alvos disponíveis (oportunidades, circulação de bens duráveis); c) ausência de guardiões (cidadãos comuns</w:t>
      </w:r>
      <w:r w:rsidR="00311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policiais</w:t>
      </w:r>
      <w:r w:rsidR="00311D83">
        <w:rPr>
          <w:rFonts w:ascii="Times New Roman" w:eastAsia="Times New Roman" w:hAnsi="Times New Roman" w:cs="Times New Roman"/>
          <w:sz w:val="24"/>
          <w:szCs w:val="24"/>
        </w:rPr>
        <w:t xml:space="preserve"> ou vigilantes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) ou </w:t>
      </w:r>
      <w:r w:rsidR="00311D83">
        <w:rPr>
          <w:rFonts w:ascii="Times New Roman" w:eastAsia="Times New Roman" w:hAnsi="Times New Roman" w:cs="Times New Roman"/>
          <w:sz w:val="24"/>
          <w:szCs w:val="24"/>
        </w:rPr>
        <w:t>de dispositivos tecnológicos de vigilância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. Sem u</w:t>
      </w:r>
      <w:r w:rsidR="00541F23" w:rsidRPr="00311D8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836EB" w:rsidRPr="00311D83">
        <w:rPr>
          <w:rFonts w:ascii="Times New Roman" w:eastAsia="Times New Roman" w:hAnsi="Times New Roman" w:cs="Times New Roman"/>
          <w:sz w:val="24"/>
          <w:szCs w:val="24"/>
        </w:rPr>
        <w:t xml:space="preserve">desses elementos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há </w:t>
      </w:r>
      <w:r w:rsidR="00223437">
        <w:rPr>
          <w:rFonts w:ascii="Times New Roman" w:eastAsia="Times New Roman" w:hAnsi="Times New Roman" w:cs="Times New Roman"/>
          <w:sz w:val="24"/>
          <w:szCs w:val="24"/>
        </w:rPr>
        <w:t>reduzida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 probabilidade de </w:t>
      </w:r>
      <w:r w:rsidR="0022343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a violação </w:t>
      </w:r>
      <w:r w:rsidR="00223437">
        <w:rPr>
          <w:rFonts w:ascii="Times New Roman" w:eastAsia="Times New Roman" w:hAnsi="Times New Roman" w:cs="Times New Roman"/>
          <w:sz w:val="24"/>
          <w:szCs w:val="24"/>
        </w:rPr>
        <w:t>ocorra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. A atuação das agências de controle privilegiaria, portanto, os lugares de maior risco para violações, via</w:t>
      </w:r>
      <w:r w:rsidR="004F40D4" w:rsidRPr="00311D83">
        <w:rPr>
          <w:rFonts w:ascii="Times New Roman" w:eastAsia="Times New Roman" w:hAnsi="Times New Roman" w:cs="Times New Roman"/>
          <w:sz w:val="24"/>
          <w:szCs w:val="24"/>
        </w:rPr>
        <w:t>, principalmente, o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 aumento da vigilância, uma vez que agressores e alvos </w:t>
      </w:r>
      <w:r w:rsidR="00223437">
        <w:rPr>
          <w:rFonts w:ascii="Times New Roman" w:eastAsia="Times New Roman" w:hAnsi="Times New Roman" w:cs="Times New Roman"/>
          <w:sz w:val="24"/>
          <w:szCs w:val="24"/>
        </w:rPr>
        <w:t>representam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 elementos permanentes e não manejáveis.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Salientam-se os aspectos ecológicos, ambientais e situacionais, a exemplo da ampliação dos crimes </w:t>
      </w:r>
      <w:r w:rsidR="004F40D4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urbanos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nas cidades um criminoso pode se esconder na multidão, há maior quantidade de bens circulantes e maior facilidade para a venda e o consumo de produtos </w:t>
      </w:r>
      <w:r w:rsidR="00710725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ilícitos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(BEATO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FILHO </w:t>
      </w:r>
      <w:r w:rsidRPr="00311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., 2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004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E8EE7D5" w14:textId="2D97D669" w:rsidR="001B6313" w:rsidRPr="00311D83" w:rsidRDefault="001B6313" w:rsidP="001B631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B - </w:t>
      </w:r>
      <w:r w:rsidRPr="00311D8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11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teoria das janelas quebradas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elaborada a partir de um experimento que consistia em deixar dois carros em bairros diferentes de Nova Iorque: </w:t>
      </w:r>
      <w:r w:rsidR="004F40D4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bairro pobre, </w:t>
      </w:r>
      <w:r w:rsidR="004F40D4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carro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capô aberto e sem placas; </w:t>
      </w:r>
      <w:r w:rsidR="004F40D4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bairro de classe média, um veículo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intacto. Enquanto o primeiro carro foi destruído em 24 horas, o segundo permaneceu intocado por duas semanas. Após, um dos pesquisadores quebrou janelas e algumas partes </w:t>
      </w:r>
      <w:r w:rsidR="00710725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último veículo, que </w:t>
      </w:r>
      <w:r w:rsid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posteriormente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D83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também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destruído.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forma, imagina-se que se uma janela é quebrada e não </w:t>
      </w:r>
      <w:r w:rsidR="00222C2E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consertada, ninguém mais se importa e a deterioração atinge todo o prédio. O livro “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Fixing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Broken Windows: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Restoring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Reducing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Crimes in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</w:t>
      </w:r>
      <w:proofErr w:type="spellEnd"/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George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Kelling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Catherine Coles, respectivamente psicólogo criminalista e antropóloga da John Kennedy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Universidade de Harvard, foi um dos marcos 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dessa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teoria. Ela embasou a Política de Tolerância Zero, na cidade de Nova Iorque, na década de 1990, 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gestão do pr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efeito Rudolph Giuliani e 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chefe de polícia William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Bratton</w:t>
      </w:r>
      <w:proofErr w:type="spellEnd"/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Kelling</w:t>
      </w:r>
      <w:proofErr w:type="spellEnd"/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assessor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Giuliani. E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a estratégia defend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repressão a todas as desordens, incivilidades e delitos, sendo a tolerância 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entendida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o gérmen que potencializa a ocorrência de outros crimes</w:t>
      </w:r>
      <w:r w:rsidR="00710725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>cada vez mais graves</w:t>
      </w:r>
      <w:r w:rsidR="00710725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“assim como uma janela quebrada dá a impressão de abandono e indiferença e leva à quebra de outras.” (WENDEL</w:t>
      </w:r>
      <w:r w:rsidR="00186A8F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CURTIS,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2002, p. 276). Todavia, a política de tolerância zero foi implementada dentro de um </w:t>
      </w:r>
      <w:r w:rsidRPr="00311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mix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diferentes ações. Por exemplo, de um lado, a lei dos três “ataques” (</w:t>
      </w:r>
      <w:proofErr w:type="spellStart"/>
      <w:r w:rsidRPr="00311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three</w:t>
      </w:r>
      <w:proofErr w:type="spellEnd"/>
      <w:r w:rsidRPr="00311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strikes </w:t>
      </w:r>
      <w:proofErr w:type="spellStart"/>
      <w:r w:rsidRPr="00311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law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em que as sentenças de prisão eram agravadas (com maior probabilidade de prisão perpétua) se a pessoa tivesse cometido </w:t>
      </w:r>
      <w:r w:rsidR="008836EB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anteriormente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dois ou mais crimes</w:t>
      </w:r>
      <w:r w:rsidR="00711450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6EB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ou contravenções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outro lado, o policiamento comunitário, o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planejamento baseado em dados georreferenciados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na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responsabilização dos gestores policiais, e a maior aproximação com as comunidades (com a criação</w:t>
      </w:r>
      <w:r w:rsidR="00222C2E" w:rsidRPr="00311D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por exemplo,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núcleos de justiça nos bairros). (KELLING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COLES, 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2003)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6098D8" w14:textId="3A1FD0AB" w:rsidR="001B6313" w:rsidRPr="00311D83" w:rsidRDefault="001B6313" w:rsidP="001B631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- </w:t>
      </w:r>
      <w:r w:rsidRPr="00311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abordagem da dissuasão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baseia-se na ideia de que a atuação eficaz dos órgãos </w:t>
      </w:r>
      <w:r w:rsidR="00983B42">
        <w:rPr>
          <w:rFonts w:ascii="Times New Roman" w:eastAsia="Times New Roman" w:hAnsi="Times New Roman" w:cs="Times New Roman"/>
          <w:color w:val="000000"/>
          <w:sz w:val="24"/>
          <w:szCs w:val="24"/>
        </w:rPr>
        <w:t>policiais e judiciais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aumenta</w:t>
      </w:r>
      <w:r w:rsidR="00E93ECE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os riscos e</w:t>
      </w:r>
      <w:r w:rsidR="00983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prejuízos decorrentes do comportamento criminoso, aspectos que </w:t>
      </w:r>
      <w:r w:rsidR="00983B42"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avaliados pelos indivíduos antes de agirem</w:t>
      </w:r>
      <w:r w:rsidR="00E93ECE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, fazendo com que “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racionalmente” </w:t>
      </w:r>
      <w:r w:rsidR="00983B42">
        <w:rPr>
          <w:rFonts w:ascii="Times New Roman" w:eastAsia="Times New Roman" w:hAnsi="Times New Roman" w:cs="Times New Roman"/>
          <w:color w:val="000000"/>
          <w:sz w:val="24"/>
          <w:szCs w:val="24"/>
        </w:rPr>
        <w:t>desistam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praticar um delito ou de reincidir (nota-se a aproximação com a teoria da escolha racional). </w:t>
      </w:r>
      <w:r w:rsidR="00E93ECE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Tal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efeito incidiria sobre toda a população. (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>SCHABBACH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2007). Todavia,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Cullen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Agnew</w:t>
      </w:r>
      <w:proofErr w:type="spellEnd"/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</w:t>
      </w:r>
      <w:r w:rsidRPr="00311D8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23437">
        <w:rPr>
          <w:rFonts w:ascii="Times New Roman" w:eastAsia="Times New Roman" w:hAnsi="Times New Roman" w:cs="Times New Roman"/>
          <w:color w:val="000000"/>
          <w:sz w:val="24"/>
          <w:szCs w:val="24"/>
        </w:rPr>
        <w:t>expõem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 de pesquisas </w:t>
      </w:r>
      <w:r w:rsidR="001854BC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que contradizem a hipótese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sentido de que a experiência direta com a penalização e a passagem pela prisão aumentam, ao invés de reduzir, a probabilidade </w:t>
      </w:r>
      <w:r w:rsidR="008836EB"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ocorrerem </w:t>
      </w:r>
      <w:r w:rsidRPr="00311D83">
        <w:rPr>
          <w:rFonts w:ascii="Times New Roman" w:eastAsia="Times New Roman" w:hAnsi="Times New Roman" w:cs="Times New Roman"/>
          <w:color w:val="000000"/>
          <w:sz w:val="24"/>
          <w:szCs w:val="24"/>
        </w:rPr>
        <w:t>infrações subsequentes.</w:t>
      </w:r>
    </w:p>
    <w:sectPr w:rsidR="001B6313" w:rsidRPr="00311D83" w:rsidSect="00002D7F">
      <w:headerReference w:type="default" r:id="rId2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2F88" w14:textId="77777777" w:rsidR="001F271C" w:rsidRDefault="001F271C" w:rsidP="008C730A">
      <w:pPr>
        <w:spacing w:after="0" w:line="240" w:lineRule="auto"/>
      </w:pPr>
      <w:r>
        <w:separator/>
      </w:r>
    </w:p>
  </w:endnote>
  <w:endnote w:type="continuationSeparator" w:id="0">
    <w:p w14:paraId="4854C71E" w14:textId="77777777" w:rsidR="001F271C" w:rsidRDefault="001F271C" w:rsidP="008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CB85" w14:textId="77777777" w:rsidR="001F271C" w:rsidRDefault="001F271C" w:rsidP="008C730A">
      <w:pPr>
        <w:spacing w:after="0" w:line="240" w:lineRule="auto"/>
      </w:pPr>
      <w:r>
        <w:separator/>
      </w:r>
    </w:p>
  </w:footnote>
  <w:footnote w:type="continuationSeparator" w:id="0">
    <w:p w14:paraId="4BF779B9" w14:textId="77777777" w:rsidR="001F271C" w:rsidRDefault="001F271C" w:rsidP="008C730A">
      <w:pPr>
        <w:spacing w:after="0" w:line="240" w:lineRule="auto"/>
      </w:pPr>
      <w:r>
        <w:continuationSeparator/>
      </w:r>
    </w:p>
  </w:footnote>
  <w:footnote w:id="1">
    <w:p w14:paraId="6E91C6A3" w14:textId="77777777" w:rsidR="003D0C27" w:rsidRPr="00F001B7" w:rsidRDefault="003D0C27" w:rsidP="003D0C27">
      <w:pPr>
        <w:pStyle w:val="Textodenotaderodap"/>
        <w:spacing w:after="120"/>
        <w:rPr>
          <w:rFonts w:ascii="Times New Roman" w:hAnsi="Times New Roman" w:cs="Times New Roman"/>
        </w:rPr>
      </w:pPr>
      <w:r w:rsidRPr="00F001B7">
        <w:rPr>
          <w:rStyle w:val="Refdenotaderodap"/>
          <w:rFonts w:ascii="Times New Roman" w:hAnsi="Times New Roman" w:cs="Times New Roman"/>
        </w:rPr>
        <w:footnoteRef/>
      </w:r>
      <w:r w:rsidRPr="00F001B7">
        <w:rPr>
          <w:rFonts w:ascii="Times New Roman" w:hAnsi="Times New Roman" w:cs="Times New Roman"/>
        </w:rPr>
        <w:t xml:space="preserve"> Agradecemos </w:t>
      </w:r>
      <w:r>
        <w:rPr>
          <w:rFonts w:ascii="Times New Roman" w:hAnsi="Times New Roman" w:cs="Times New Roman"/>
        </w:rPr>
        <w:t xml:space="preserve">as </w:t>
      </w:r>
      <w:r w:rsidRPr="00F001B7">
        <w:rPr>
          <w:rFonts w:ascii="Times New Roman" w:hAnsi="Times New Roman" w:cs="Times New Roman"/>
        </w:rPr>
        <w:t xml:space="preserve">contribuições dos pareceristas anônimos </w:t>
      </w:r>
      <w:r>
        <w:rPr>
          <w:rFonts w:ascii="Times New Roman" w:hAnsi="Times New Roman" w:cs="Times New Roman"/>
        </w:rPr>
        <w:t>ao</w:t>
      </w:r>
      <w:r w:rsidRPr="00F001B7">
        <w:rPr>
          <w:rFonts w:ascii="Times New Roman" w:hAnsi="Times New Roman" w:cs="Times New Roman"/>
        </w:rPr>
        <w:t xml:space="preserve"> aperfeiçoamento do artigo. </w:t>
      </w:r>
    </w:p>
  </w:footnote>
  <w:footnote w:id="2">
    <w:p w14:paraId="73E8321A" w14:textId="620F32D9" w:rsidR="001C5966" w:rsidRDefault="001C5966" w:rsidP="001C5966">
      <w:pPr>
        <w:spacing w:after="120" w:line="240" w:lineRule="auto"/>
        <w:jc w:val="both"/>
      </w:pPr>
      <w:r w:rsidRPr="001C596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C5966">
        <w:rPr>
          <w:rFonts w:ascii="Times New Roman" w:hAnsi="Times New Roman" w:cs="Times New Roman"/>
          <w:sz w:val="20"/>
          <w:szCs w:val="20"/>
        </w:rPr>
        <w:t xml:space="preserve"> </w:t>
      </w:r>
      <w:r w:rsidRPr="001C5966">
        <w:rPr>
          <w:rFonts w:ascii="Times New Roman" w:eastAsia="Times New Roman" w:hAnsi="Times New Roman" w:cs="Times New Roman"/>
          <w:sz w:val="20"/>
          <w:szCs w:val="20"/>
        </w:rPr>
        <w:t xml:space="preserve">Controle esse formal – como o exercido pelas agências estatais </w:t>
      </w:r>
      <w:r w:rsidR="00CD635C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1C5966">
        <w:rPr>
          <w:rFonts w:ascii="Times New Roman" w:eastAsia="Times New Roman" w:hAnsi="Times New Roman" w:cs="Times New Roman"/>
          <w:sz w:val="20"/>
          <w:szCs w:val="20"/>
        </w:rPr>
        <w:t xml:space="preserve"> justiça criminal – ou informal, </w:t>
      </w:r>
      <w:r w:rsidR="00CD635C">
        <w:rPr>
          <w:rFonts w:ascii="Times New Roman" w:eastAsia="Times New Roman" w:hAnsi="Times New Roman" w:cs="Times New Roman"/>
          <w:sz w:val="20"/>
          <w:szCs w:val="20"/>
        </w:rPr>
        <w:t xml:space="preserve">este último </w:t>
      </w:r>
      <w:r w:rsidRPr="001C5966">
        <w:rPr>
          <w:rFonts w:ascii="Times New Roman" w:eastAsia="Times New Roman" w:hAnsi="Times New Roman" w:cs="Times New Roman"/>
          <w:sz w:val="20"/>
          <w:szCs w:val="20"/>
        </w:rPr>
        <w:t xml:space="preserve">subjacente às atividades cotidianas e às interações sociais. (GARLAND, 2008). </w:t>
      </w:r>
    </w:p>
  </w:footnote>
  <w:footnote w:id="3">
    <w:p w14:paraId="14769E31" w14:textId="6D160D8F" w:rsidR="008C730A" w:rsidRDefault="008C730A" w:rsidP="008C730A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070EE6" w:rsidRPr="009027BD">
        <w:rPr>
          <w:rFonts w:ascii="Times New Roman" w:hAnsi="Times New Roman" w:cs="Times New Roman"/>
          <w:sz w:val="20"/>
          <w:szCs w:val="20"/>
        </w:rPr>
        <w:t>Nas m</w:t>
      </w:r>
      <w:r w:rsidRPr="009027BD">
        <w:rPr>
          <w:rFonts w:ascii="Times New Roman" w:eastAsia="Times New Roman" w:hAnsi="Times New Roman" w:cs="Times New Roman"/>
          <w:sz w:val="20"/>
          <w:szCs w:val="20"/>
        </w:rPr>
        <w:t xml:space="preserve">edidas redistributivas a pena </w:t>
      </w:r>
      <w:r w:rsidR="00070EE6" w:rsidRPr="009027BD">
        <w:rPr>
          <w:rFonts w:ascii="Times New Roman" w:eastAsia="Times New Roman" w:hAnsi="Times New Roman" w:cs="Times New Roman"/>
          <w:sz w:val="20"/>
          <w:szCs w:val="20"/>
        </w:rPr>
        <w:t>visa</w:t>
      </w:r>
      <w:r w:rsidRPr="009027BD">
        <w:rPr>
          <w:rFonts w:ascii="Times New Roman" w:eastAsia="Times New Roman" w:hAnsi="Times New Roman" w:cs="Times New Roman"/>
          <w:sz w:val="20"/>
          <w:szCs w:val="20"/>
        </w:rPr>
        <w:t xml:space="preserve"> restabelecer a ordem violada</w:t>
      </w:r>
      <w:r w:rsidR="00070EE6" w:rsidRPr="009027BD">
        <w:rPr>
          <w:rFonts w:ascii="Times New Roman" w:eastAsia="Times New Roman" w:hAnsi="Times New Roman" w:cs="Times New Roman"/>
          <w:sz w:val="20"/>
          <w:szCs w:val="20"/>
        </w:rPr>
        <w:t xml:space="preserve"> pelo delito em termos </w:t>
      </w:r>
      <w:r w:rsidRPr="009027BD">
        <w:rPr>
          <w:rFonts w:ascii="Times New Roman" w:eastAsia="Times New Roman" w:hAnsi="Times New Roman" w:cs="Times New Roman"/>
          <w:sz w:val="20"/>
          <w:szCs w:val="20"/>
        </w:rPr>
        <w:t xml:space="preserve">proporcionais </w:t>
      </w:r>
      <w:r w:rsidR="00070EE6" w:rsidRPr="009027BD">
        <w:rPr>
          <w:rFonts w:ascii="Times New Roman" w:eastAsia="Times New Roman" w:hAnsi="Times New Roman" w:cs="Times New Roman"/>
          <w:sz w:val="20"/>
          <w:szCs w:val="20"/>
        </w:rPr>
        <w:t>à sua gravidade</w:t>
      </w:r>
      <w:r w:rsidRPr="009027B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">
    <w:p w14:paraId="23A83B56" w14:textId="1EAD6554" w:rsidR="005F4116" w:rsidRPr="00070EE6" w:rsidRDefault="008C730A" w:rsidP="00380E5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Além de Garland (</w:t>
      </w:r>
      <w:r w:rsidR="009878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1999, </w:t>
      </w:r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2008, 2020</w:t>
      </w:r>
      <w:r w:rsidR="00F8691A">
        <w:rPr>
          <w:rFonts w:ascii="Times New Roman" w:eastAsia="Times New Roman" w:hAnsi="Times New Roman" w:cs="Times New Roman"/>
          <w:color w:val="000000"/>
          <w:sz w:val="20"/>
          <w:szCs w:val="20"/>
        </w:rPr>
        <w:t>a; 2020b; 2020c</w:t>
      </w:r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a ampliação do encarceramento e o clamor </w:t>
      </w:r>
      <w:proofErr w:type="spellStart"/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punitivista</w:t>
      </w:r>
      <w:proofErr w:type="spellEnd"/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são </w:t>
      </w:r>
      <w:r w:rsidR="008436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citados </w:t>
      </w:r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 </w:t>
      </w:r>
      <w:r w:rsidR="00432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Loic </w:t>
      </w:r>
      <w:proofErr w:type="spellStart"/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Wacquant</w:t>
      </w:r>
      <w:proofErr w:type="spellEnd"/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r w:rsidR="00432E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Zygmunt </w:t>
      </w:r>
      <w:proofErr w:type="spellStart"/>
      <w:r w:rsidR="00070EE6"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Bauman</w:t>
      </w:r>
      <w:proofErr w:type="spellEnd"/>
      <w:r w:rsidR="00AB64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Wacquant</w:t>
      </w:r>
      <w:proofErr w:type="spellEnd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(2001, p. 80) descreve a passagem do Estado Providência ao Estado Penitência na parte II do seu livro, onde se lê: “Pois à atrofia deliberada do Estado Social corresponde a hipertrofia </w:t>
      </w:r>
      <w:proofErr w:type="spellStart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distópica</w:t>
      </w:r>
      <w:proofErr w:type="spellEnd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Estado penal: a miséria e a extinção de um têm como contrapartida direta e necessária a grandeza e a prosperidade insolente do outro.”</w:t>
      </w:r>
      <w:r w:rsidR="008436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Em outro texto (</w:t>
      </w:r>
      <w:r w:rsidRPr="00070EE6">
        <w:rPr>
          <w:rFonts w:ascii="Times New Roman" w:eastAsia="Times New Roman" w:hAnsi="Times New Roman" w:cs="Times New Roman"/>
          <w:sz w:val="20"/>
          <w:szCs w:val="20"/>
        </w:rPr>
        <w:t>WACQUANT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, 2012, p. 8)</w:t>
      </w:r>
      <w:r w:rsidR="0029760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570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 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acrescenta: “a virada punitiva da política pública, aplicando-se tanto ao </w:t>
      </w:r>
      <w:r w:rsidR="0029760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W</w:t>
      </w:r>
      <w:r w:rsidRPr="001570E6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elfare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quanto à Justiça Criminal, faz parte de um projeto político que responde à crescente insegurança social e a seus efeitos desestabilizadores nos degraus mais baixos da ordem social e espacial.”</w:t>
      </w:r>
      <w:r w:rsidR="008A4D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Já </w:t>
      </w:r>
      <w:proofErr w:type="spellStart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>Bauman</w:t>
      </w:r>
      <w:proofErr w:type="spellEnd"/>
      <w:r w:rsidRPr="00070E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(1999, p. 13) comenta: “O Estado Social transforma-se em Estado repressivo, que contra-ataca os efeitos violentos da condição precária de grande massa da população.”</w:t>
      </w:r>
    </w:p>
  </w:footnote>
  <w:footnote w:id="5">
    <w:p w14:paraId="56D3C0A3" w14:textId="0AC04136" w:rsidR="00446ECA" w:rsidRPr="00B048BA" w:rsidRDefault="00446ECA" w:rsidP="00446ECA">
      <w:pPr>
        <w:pStyle w:val="Textodenotaderodap"/>
        <w:spacing w:after="120"/>
        <w:jc w:val="both"/>
        <w:rPr>
          <w:rFonts w:ascii="Times New Roman" w:hAnsi="Times New Roman" w:cs="Times New Roman"/>
        </w:rPr>
      </w:pPr>
      <w:r w:rsidRPr="00B048BA">
        <w:rPr>
          <w:rFonts w:ascii="Times New Roman" w:eastAsia="Times New Roman" w:hAnsi="Times New Roman" w:cs="Times New Roman"/>
          <w:vertAlign w:val="superscript"/>
        </w:rPr>
        <w:footnoteRef/>
      </w:r>
      <w:r w:rsidRPr="00B048BA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Ao mesmo tempo em que verifica certo exagero em torno da noção de </w:t>
      </w:r>
      <w:proofErr w:type="spellStart"/>
      <w:r>
        <w:rPr>
          <w:rFonts w:ascii="Times New Roman" w:eastAsia="Times New Roman" w:hAnsi="Times New Roman" w:cs="Times New Roman"/>
        </w:rPr>
        <w:t>punitividade</w:t>
      </w:r>
      <w:proofErr w:type="spellEnd"/>
      <w:r>
        <w:rPr>
          <w:rFonts w:ascii="Times New Roman" w:eastAsia="Times New Roman" w:hAnsi="Times New Roman" w:cs="Times New Roman"/>
        </w:rPr>
        <w:t xml:space="preserve"> (ou </w:t>
      </w:r>
      <w:proofErr w:type="spellStart"/>
      <w:r>
        <w:rPr>
          <w:rFonts w:ascii="Times New Roman" w:eastAsia="Times New Roman" w:hAnsi="Times New Roman" w:cs="Times New Roman"/>
        </w:rPr>
        <w:t>punitivismo</w:t>
      </w:r>
      <w:proofErr w:type="spellEnd"/>
      <w:r>
        <w:rPr>
          <w:rFonts w:ascii="Times New Roman" w:eastAsia="Times New Roman" w:hAnsi="Times New Roman" w:cs="Times New Roman"/>
        </w:rPr>
        <w:t xml:space="preserve">) na literatura criminológica, Matthews (2005) menciona que há imprecisão e falta de clareza em torno do conceito. Também na obra de Garland o significado </w:t>
      </w:r>
      <w:r w:rsidR="006E3A06">
        <w:rPr>
          <w:rFonts w:ascii="Times New Roman" w:eastAsia="Times New Roman" w:hAnsi="Times New Roman" w:cs="Times New Roman"/>
        </w:rPr>
        <w:t>da palavra</w:t>
      </w:r>
      <w:r>
        <w:rPr>
          <w:rFonts w:ascii="Times New Roman" w:eastAsia="Times New Roman" w:hAnsi="Times New Roman" w:cs="Times New Roman"/>
        </w:rPr>
        <w:t xml:space="preserve"> não é explícito. Ele menciona, por exemplo, que a segregação punitiva abrange modos de penalização (como as penas de longa duração em prisões “sem frescuras”) e de incapacitação avaliados como mais severos “com relação a um ponto de referência anterior”. (GARLAND, 1999, p. 60 e 61). E acrescenta: “</w:t>
      </w:r>
      <w:r w:rsidRPr="00865099">
        <w:rPr>
          <w:rFonts w:ascii="Times New Roman" w:eastAsia="Times New Roman" w:hAnsi="Times New Roman" w:cs="Times New Roman"/>
        </w:rPr>
        <w:t>O método penal, além de ter ficado mais proeminente, se tornou mais punitivo, mais expressivo, mais ligado à segurança. Preocupações especificamente penais tais como a certeza e determinação da pena, a condenação e o tratamento severo aos criminosos e a proteção do púb</w:t>
      </w:r>
      <w:r>
        <w:rPr>
          <w:rFonts w:ascii="Times New Roman" w:eastAsia="Times New Roman" w:hAnsi="Times New Roman" w:cs="Times New Roman"/>
        </w:rPr>
        <w:t>l</w:t>
      </w:r>
      <w:r w:rsidRPr="00865099">
        <w:rPr>
          <w:rFonts w:ascii="Times New Roman" w:eastAsia="Times New Roman" w:hAnsi="Times New Roman" w:cs="Times New Roman"/>
        </w:rPr>
        <w:t>ico foram priorizadas</w:t>
      </w:r>
      <w:r w:rsidRPr="00B048BA">
        <w:rPr>
          <w:rFonts w:ascii="Times New Roman" w:eastAsia="Times New Roman" w:hAnsi="Times New Roman" w:cs="Times New Roman"/>
        </w:rPr>
        <w:t>.</w:t>
      </w:r>
      <w:r w:rsidRPr="00B048BA">
        <w:rPr>
          <w:rFonts w:ascii="Times New Roman" w:hAnsi="Times New Roman" w:cs="Times New Roman"/>
        </w:rPr>
        <w:t>” (GARLAND, 2008, p. 377)</w:t>
      </w:r>
      <w:r>
        <w:rPr>
          <w:rFonts w:ascii="Times New Roman" w:hAnsi="Times New Roman" w:cs="Times New Roman"/>
        </w:rPr>
        <w:t xml:space="preserve">. </w:t>
      </w:r>
    </w:p>
  </w:footnote>
  <w:footnote w:id="6">
    <w:p w14:paraId="79C669BB" w14:textId="7DDABC11" w:rsidR="00E2669E" w:rsidRPr="002A5FB4" w:rsidRDefault="00E2669E" w:rsidP="00E2669E">
      <w:pPr>
        <w:widowControl w:val="0"/>
        <w:tabs>
          <w:tab w:val="left" w:pos="189"/>
        </w:tabs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FB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A5FB4">
        <w:rPr>
          <w:rFonts w:ascii="Times New Roman" w:eastAsia="Times New Roman" w:hAnsi="Times New Roman" w:cs="Times New Roman"/>
          <w:sz w:val="20"/>
          <w:szCs w:val="20"/>
        </w:rPr>
        <w:t xml:space="preserve"> Em Apêndice são </w:t>
      </w:r>
      <w:r w:rsidR="004661A4">
        <w:rPr>
          <w:rFonts w:ascii="Times New Roman" w:eastAsia="Times New Roman" w:hAnsi="Times New Roman" w:cs="Times New Roman"/>
          <w:sz w:val="20"/>
          <w:szCs w:val="20"/>
        </w:rPr>
        <w:t>detalhadas</w:t>
      </w:r>
      <w:r w:rsidRPr="002A5F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496">
        <w:rPr>
          <w:rFonts w:ascii="Times New Roman" w:eastAsia="Times New Roman" w:hAnsi="Times New Roman" w:cs="Times New Roman"/>
          <w:sz w:val="20"/>
          <w:szCs w:val="20"/>
        </w:rPr>
        <w:t>algumas das</w:t>
      </w:r>
      <w:r w:rsidR="00063496" w:rsidRPr="002A5F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5FB4">
        <w:rPr>
          <w:rFonts w:ascii="Times New Roman" w:eastAsia="Times New Roman" w:hAnsi="Times New Roman" w:cs="Times New Roman"/>
          <w:sz w:val="20"/>
          <w:szCs w:val="20"/>
        </w:rPr>
        <w:t xml:space="preserve">teorias </w:t>
      </w:r>
      <w:r w:rsidR="00FE38D7">
        <w:rPr>
          <w:rFonts w:ascii="Times New Roman" w:eastAsia="Times New Roman" w:hAnsi="Times New Roman" w:cs="Times New Roman"/>
          <w:sz w:val="20"/>
          <w:szCs w:val="20"/>
        </w:rPr>
        <w:t xml:space="preserve">examinadas por </w:t>
      </w:r>
      <w:r w:rsidRPr="002A5FB4">
        <w:rPr>
          <w:rFonts w:ascii="Times New Roman" w:eastAsia="Times New Roman" w:hAnsi="Times New Roman" w:cs="Times New Roman"/>
          <w:sz w:val="20"/>
          <w:szCs w:val="20"/>
        </w:rPr>
        <w:t xml:space="preserve">Garland (2008). </w:t>
      </w:r>
    </w:p>
  </w:footnote>
  <w:footnote w:id="7">
    <w:p w14:paraId="310193AC" w14:textId="3D575012" w:rsidR="00464CB7" w:rsidRPr="00470EA4" w:rsidRDefault="00464CB7" w:rsidP="00470EA4">
      <w:pPr>
        <w:pStyle w:val="Textodenotaderodap"/>
        <w:spacing w:after="120"/>
        <w:jc w:val="both"/>
        <w:rPr>
          <w:rFonts w:ascii="Times New Roman" w:hAnsi="Times New Roman" w:cs="Times New Roman"/>
        </w:rPr>
      </w:pPr>
      <w:r w:rsidRPr="00150917">
        <w:rPr>
          <w:rStyle w:val="Refdenotaderodap"/>
          <w:rFonts w:ascii="Times New Roman" w:hAnsi="Times New Roman" w:cs="Times New Roman"/>
        </w:rPr>
        <w:footnoteRef/>
      </w:r>
      <w:r w:rsidRPr="00150917">
        <w:rPr>
          <w:rFonts w:ascii="Times New Roman" w:hAnsi="Times New Roman" w:cs="Times New Roman"/>
        </w:rPr>
        <w:t xml:space="preserve"> </w:t>
      </w:r>
      <w:r w:rsidR="00F91CE5" w:rsidRPr="00150917">
        <w:rPr>
          <w:rFonts w:ascii="Times New Roman" w:hAnsi="Times New Roman" w:cs="Times New Roman"/>
        </w:rPr>
        <w:t xml:space="preserve">Em que pese a sutileza dos argumentos da </w:t>
      </w:r>
      <w:r w:rsidR="00002D7F" w:rsidRPr="00150917">
        <w:rPr>
          <w:rFonts w:ascii="Times New Roman" w:hAnsi="Times New Roman" w:cs="Times New Roman"/>
        </w:rPr>
        <w:t>c</w:t>
      </w:r>
      <w:r w:rsidR="00F91CE5" w:rsidRPr="00150917">
        <w:rPr>
          <w:rFonts w:ascii="Times New Roman" w:hAnsi="Times New Roman" w:cs="Times New Roman"/>
        </w:rPr>
        <w:t xml:space="preserve">riminologia da vida cotidiana, nesta passagem </w:t>
      </w:r>
      <w:r w:rsidR="00002D7F" w:rsidRPr="00150917">
        <w:rPr>
          <w:rFonts w:ascii="Times New Roman" w:hAnsi="Times New Roman" w:cs="Times New Roman"/>
        </w:rPr>
        <w:t>Garland</w:t>
      </w:r>
      <w:r w:rsidR="00F91CE5" w:rsidRPr="00150917">
        <w:rPr>
          <w:rFonts w:ascii="Times New Roman" w:hAnsi="Times New Roman" w:cs="Times New Roman"/>
        </w:rPr>
        <w:t xml:space="preserve"> demarca a</w:t>
      </w:r>
      <w:r w:rsidR="00002D7F" w:rsidRPr="00150917">
        <w:rPr>
          <w:rFonts w:ascii="Times New Roman" w:hAnsi="Times New Roman" w:cs="Times New Roman"/>
        </w:rPr>
        <w:t xml:space="preserve"> sua</w:t>
      </w:r>
      <w:r w:rsidR="00F91CE5" w:rsidRPr="00150917">
        <w:rPr>
          <w:rFonts w:ascii="Times New Roman" w:hAnsi="Times New Roman" w:cs="Times New Roman"/>
        </w:rPr>
        <w:t xml:space="preserve"> distância </w:t>
      </w:r>
      <w:r w:rsidR="00002D7F" w:rsidRPr="00150917">
        <w:rPr>
          <w:rFonts w:ascii="Times New Roman" w:hAnsi="Times New Roman" w:cs="Times New Roman"/>
        </w:rPr>
        <w:t xml:space="preserve">em relação ao </w:t>
      </w:r>
      <w:proofErr w:type="spellStart"/>
      <w:r w:rsidR="00F91CE5" w:rsidRPr="00150917">
        <w:rPr>
          <w:rFonts w:ascii="Times New Roman" w:hAnsi="Times New Roman" w:cs="Times New Roman"/>
        </w:rPr>
        <w:t>previdenciarismo</w:t>
      </w:r>
      <w:proofErr w:type="spellEnd"/>
      <w:r w:rsidR="00F91CE5" w:rsidRPr="00150917">
        <w:rPr>
          <w:rFonts w:ascii="Times New Roman" w:hAnsi="Times New Roman" w:cs="Times New Roman"/>
        </w:rPr>
        <w:t xml:space="preserve"> penal: </w:t>
      </w:r>
      <w:r w:rsidRPr="00150917">
        <w:rPr>
          <w:rFonts w:ascii="Times New Roman" w:hAnsi="Times New Roman" w:cs="Times New Roman"/>
        </w:rPr>
        <w:t>“Por que a ênfase agora se direciona à prevenção situacional do crime e não mais aos programas de reforma social que dominavam o campo? Porque, ao contrário dos esforços anteriores no sentido de construir programas de prevenção social, criação de empregos e de ressocialização comunitária, os novos métodos situacionais não parecem beneficiar os</w:t>
      </w:r>
      <w:r w:rsidR="00470EA4" w:rsidRPr="00150917">
        <w:rPr>
          <w:rFonts w:ascii="Times New Roman" w:hAnsi="Times New Roman" w:cs="Times New Roman"/>
        </w:rPr>
        <w:t xml:space="preserve"> </w:t>
      </w:r>
      <w:r w:rsidRPr="00150917">
        <w:rPr>
          <w:rFonts w:ascii="Times New Roman" w:hAnsi="Times New Roman" w:cs="Times New Roman"/>
        </w:rPr>
        <w:t xml:space="preserve">pobres indesejáveis, não parecem sugerir uma crítica social ou perturbar as liberdades de mercado. Sua implementação pode ocorrer fora de uma política de solidariedade e de sacrifício coletivo e na </w:t>
      </w:r>
      <w:r w:rsidR="00470EA4" w:rsidRPr="00150917">
        <w:rPr>
          <w:rFonts w:ascii="Times New Roman" w:hAnsi="Times New Roman" w:cs="Times New Roman"/>
        </w:rPr>
        <w:t>ausência</w:t>
      </w:r>
      <w:r w:rsidRPr="00150917">
        <w:rPr>
          <w:rFonts w:ascii="Times New Roman" w:hAnsi="Times New Roman" w:cs="Times New Roman"/>
        </w:rPr>
        <w:t xml:space="preserve"> do apoio de programas previdenciários de redistribuição de riqueza</w:t>
      </w:r>
      <w:r w:rsidR="00472577" w:rsidRPr="00150917">
        <w:rPr>
          <w:rFonts w:ascii="Times New Roman" w:hAnsi="Times New Roman" w:cs="Times New Roman"/>
        </w:rPr>
        <w:t>.</w:t>
      </w:r>
      <w:r w:rsidRPr="00150917">
        <w:rPr>
          <w:rFonts w:ascii="Times New Roman" w:hAnsi="Times New Roman" w:cs="Times New Roman"/>
        </w:rPr>
        <w:t xml:space="preserve">” (GARLAND, 2008, </w:t>
      </w:r>
      <w:r w:rsidR="00470EA4" w:rsidRPr="00150917">
        <w:rPr>
          <w:rFonts w:ascii="Times New Roman" w:hAnsi="Times New Roman" w:cs="Times New Roman"/>
        </w:rPr>
        <w:t>p</w:t>
      </w:r>
      <w:r w:rsidRPr="00150917">
        <w:rPr>
          <w:rFonts w:ascii="Times New Roman" w:hAnsi="Times New Roman" w:cs="Times New Roman"/>
        </w:rPr>
        <w:t>. 423-424.)</w:t>
      </w:r>
      <w:r w:rsidR="00B113BC">
        <w:rPr>
          <w:rFonts w:ascii="Times New Roman" w:hAnsi="Times New Roman" w:cs="Times New Roman"/>
        </w:rPr>
        <w:t>.</w:t>
      </w:r>
    </w:p>
  </w:footnote>
  <w:footnote w:id="8">
    <w:p w14:paraId="56EB4DE7" w14:textId="666845C3" w:rsidR="004B6CA8" w:rsidRPr="00441A08" w:rsidRDefault="004B6CA8" w:rsidP="00B113BC">
      <w:pPr>
        <w:pStyle w:val="Textodenotaderodap"/>
        <w:spacing w:after="120"/>
        <w:jc w:val="both"/>
        <w:rPr>
          <w:rFonts w:ascii="Times New Roman" w:eastAsia="Times New Roman" w:hAnsi="Times New Roman" w:cs="Times New Roman"/>
        </w:rPr>
      </w:pPr>
      <w:r w:rsidRPr="00441A08">
        <w:rPr>
          <w:rStyle w:val="Refdenotaderodap"/>
          <w:rFonts w:ascii="Times New Roman" w:hAnsi="Times New Roman" w:cs="Times New Roman"/>
        </w:rPr>
        <w:footnoteRef/>
      </w:r>
      <w:r w:rsidRPr="00441A08">
        <w:rPr>
          <w:rFonts w:ascii="Times New Roman" w:hAnsi="Times New Roman" w:cs="Times New Roman"/>
        </w:rPr>
        <w:t xml:space="preserve"> </w:t>
      </w:r>
      <w:r w:rsidR="00EC3804">
        <w:rPr>
          <w:rFonts w:ascii="Times New Roman" w:hAnsi="Times New Roman" w:cs="Times New Roman"/>
        </w:rPr>
        <w:t xml:space="preserve">Geralmente </w:t>
      </w:r>
      <w:r w:rsidR="00EC3804">
        <w:rPr>
          <w:rFonts w:ascii="Times New Roman" w:eastAsia="Times New Roman" w:hAnsi="Times New Roman" w:cs="Times New Roman"/>
        </w:rPr>
        <w:t>apresentadas por sociólogos e criminólogos europeus, m</w:t>
      </w:r>
      <w:r w:rsidRPr="00441A08">
        <w:rPr>
          <w:rFonts w:ascii="Times New Roman" w:eastAsia="Times New Roman" w:hAnsi="Times New Roman" w:cs="Times New Roman"/>
        </w:rPr>
        <w:t xml:space="preserve">uitas </w:t>
      </w:r>
      <w:r w:rsidR="00B113BC">
        <w:rPr>
          <w:rFonts w:ascii="Times New Roman" w:eastAsia="Times New Roman" w:hAnsi="Times New Roman" w:cs="Times New Roman"/>
        </w:rPr>
        <w:t>dessas</w:t>
      </w:r>
      <w:r w:rsidRPr="00441A08">
        <w:rPr>
          <w:rFonts w:ascii="Times New Roman" w:eastAsia="Times New Roman" w:hAnsi="Times New Roman" w:cs="Times New Roman"/>
        </w:rPr>
        <w:t xml:space="preserve"> crític</w:t>
      </w:r>
      <w:r w:rsidR="00EC3804">
        <w:rPr>
          <w:rFonts w:ascii="Times New Roman" w:eastAsia="Times New Roman" w:hAnsi="Times New Roman" w:cs="Times New Roman"/>
        </w:rPr>
        <w:t xml:space="preserve">as </w:t>
      </w:r>
      <w:r w:rsidR="00B113BC">
        <w:rPr>
          <w:rFonts w:ascii="Times New Roman" w:eastAsia="Times New Roman" w:hAnsi="Times New Roman" w:cs="Times New Roman"/>
        </w:rPr>
        <w:t>constam</w:t>
      </w:r>
      <w:r w:rsidRPr="00441A08">
        <w:rPr>
          <w:rFonts w:ascii="Times New Roman" w:eastAsia="Times New Roman" w:hAnsi="Times New Roman" w:cs="Times New Roman"/>
        </w:rPr>
        <w:t xml:space="preserve"> nos capítulos </w:t>
      </w:r>
      <w:r w:rsidR="00B113BC">
        <w:rPr>
          <w:rFonts w:ascii="Times New Roman" w:eastAsia="Times New Roman" w:hAnsi="Times New Roman" w:cs="Times New Roman"/>
        </w:rPr>
        <w:t>da</w:t>
      </w:r>
      <w:r w:rsidRPr="00441A08">
        <w:rPr>
          <w:rFonts w:ascii="Times New Roman" w:eastAsia="Times New Roman" w:hAnsi="Times New Roman" w:cs="Times New Roman"/>
        </w:rPr>
        <w:t xml:space="preserve"> primeira parte do livro organizado por Máximo </w:t>
      </w:r>
      <w:proofErr w:type="spellStart"/>
      <w:r w:rsidRPr="00441A08">
        <w:rPr>
          <w:rFonts w:ascii="Times New Roman" w:eastAsia="Times New Roman" w:hAnsi="Times New Roman" w:cs="Times New Roman"/>
        </w:rPr>
        <w:t>Sozzo</w:t>
      </w:r>
      <w:proofErr w:type="spellEnd"/>
      <w:r w:rsidRPr="00441A08">
        <w:rPr>
          <w:rFonts w:ascii="Times New Roman" w:eastAsia="Times New Roman" w:hAnsi="Times New Roman" w:cs="Times New Roman"/>
        </w:rPr>
        <w:t xml:space="preserve"> (2020b). </w:t>
      </w:r>
    </w:p>
  </w:footnote>
  <w:footnote w:id="9">
    <w:p w14:paraId="65DD105C" w14:textId="6CEB6FFD" w:rsidR="00C96795" w:rsidRPr="00F001B7" w:rsidRDefault="00C96795" w:rsidP="00CA4A8E">
      <w:pPr>
        <w:pStyle w:val="Textodenotaderodap"/>
        <w:keepLines/>
        <w:spacing w:after="120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Examinando-se</w:t>
      </w:r>
      <w:r w:rsidRPr="00F001B7">
        <w:rPr>
          <w:rFonts w:ascii="Times New Roman" w:hAnsi="Times New Roman" w:cs="Times New Roman"/>
        </w:rPr>
        <w:t xml:space="preserve"> as taxas de presos </w:t>
      </w:r>
      <w:r w:rsidRPr="000F5B07">
        <w:rPr>
          <w:rFonts w:ascii="Times New Roman" w:hAnsi="Times New Roman" w:cs="Times New Roman"/>
        </w:rPr>
        <w:t xml:space="preserve">por 100.000 habitantes </w:t>
      </w:r>
      <w:r>
        <w:rPr>
          <w:rFonts w:ascii="Times New Roman" w:hAnsi="Times New Roman" w:cs="Times New Roman"/>
        </w:rPr>
        <w:t>de 2019</w:t>
      </w:r>
      <w:r w:rsidR="00675EF0">
        <w:rPr>
          <w:rFonts w:ascii="Times New Roman" w:hAnsi="Times New Roman" w:cs="Times New Roman"/>
        </w:rPr>
        <w:t xml:space="preserve">, dos </w:t>
      </w:r>
      <w:r w:rsidRPr="000F5B07">
        <w:rPr>
          <w:rFonts w:ascii="Times New Roman" w:hAnsi="Times New Roman" w:cs="Times New Roman"/>
        </w:rPr>
        <w:t>países industrializados e de alta renda (Estados Unidos, Reino Unido, Canadá, Alemanha, Itália, Japão, França e Rússia</w:t>
      </w:r>
      <w:r>
        <w:rPr>
          <w:rFonts w:ascii="Times New Roman" w:hAnsi="Times New Roman" w:cs="Times New Roman"/>
        </w:rPr>
        <w:t xml:space="preserve">), notam-se </w:t>
      </w:r>
      <w:r w:rsidRPr="000F5B07">
        <w:rPr>
          <w:rFonts w:ascii="Times New Roman" w:hAnsi="Times New Roman" w:cs="Times New Roman"/>
        </w:rPr>
        <w:t xml:space="preserve">grandes disparidades, com </w:t>
      </w:r>
      <w:r w:rsidRPr="00F001B7">
        <w:rPr>
          <w:rFonts w:ascii="Times New Roman" w:eastAsia="Times New Roman" w:hAnsi="Times New Roman" w:cs="Times New Roman"/>
        </w:rPr>
        <w:t>os Estados Unidos (629 presos por 100.000 habitantes) e a Rússia (325 presos por 100.000 habitantes)</w:t>
      </w:r>
      <w:r w:rsidR="00675EF0">
        <w:rPr>
          <w:rFonts w:ascii="Times New Roman" w:eastAsia="Times New Roman" w:hAnsi="Times New Roman" w:cs="Times New Roman"/>
        </w:rPr>
        <w:t>, países que se distanciam dos outros pelos valores mais elevados. En</w:t>
      </w:r>
      <w:r w:rsidRPr="00F001B7">
        <w:rPr>
          <w:rFonts w:ascii="Times New Roman" w:eastAsia="Times New Roman" w:hAnsi="Times New Roman" w:cs="Times New Roman"/>
        </w:rPr>
        <w:t>tre os países emergentes (Brasil, Rússia, Índia, China e África do Sul), destacam-se nessa ordem: Brasil (381 presos por 100.000 habitantes), Rússia (325 presos por 100.000 habitantes) e África do Sul (248 presos por 100.000 habitantes).</w:t>
      </w:r>
      <w:r w:rsidRPr="000F5B07">
        <w:rPr>
          <w:rFonts w:ascii="Times New Roman" w:eastAsia="Times New Roman" w:hAnsi="Times New Roman" w:cs="Times New Roman"/>
        </w:rPr>
        <w:t xml:space="preserve"> </w:t>
      </w:r>
      <w:r w:rsidR="00806439">
        <w:rPr>
          <w:rFonts w:ascii="Times New Roman" w:eastAsia="Times New Roman" w:hAnsi="Times New Roman" w:cs="Times New Roman"/>
        </w:rPr>
        <w:t>Fonte</w:t>
      </w:r>
      <w:r w:rsidRPr="000F5B07">
        <w:rPr>
          <w:rFonts w:ascii="Times New Roman" w:eastAsia="Times New Roman" w:hAnsi="Times New Roman" w:cs="Times New Roman"/>
        </w:rPr>
        <w:t xml:space="preserve">: </w:t>
      </w:r>
      <w:r w:rsidR="00806439" w:rsidRPr="000F5B07">
        <w:rPr>
          <w:rFonts w:ascii="Times New Roman" w:hAnsi="Times New Roman" w:cs="Times New Roman"/>
        </w:rPr>
        <w:t>WORLD PRISON BRIEF</w:t>
      </w:r>
      <w:r w:rsidR="00806439">
        <w:rPr>
          <w:rFonts w:ascii="Times New Roman" w:eastAsia="Times New Roman" w:hAnsi="Times New Roman" w:cs="Times New Roman"/>
        </w:rPr>
        <w:t>.</w:t>
      </w:r>
    </w:p>
  </w:footnote>
  <w:footnote w:id="10">
    <w:p w14:paraId="2AB81EB7" w14:textId="1138F928" w:rsidR="00630F3B" w:rsidRPr="00F001B7" w:rsidRDefault="00630F3B" w:rsidP="009031DA">
      <w:pPr>
        <w:pStyle w:val="Textodenotaderodap"/>
        <w:spacing w:after="120"/>
        <w:rPr>
          <w:rFonts w:ascii="Times New Roman" w:hAnsi="Times New Roman" w:cs="Times New Roman"/>
        </w:rPr>
      </w:pPr>
      <w:r w:rsidRPr="00F001B7">
        <w:rPr>
          <w:rStyle w:val="Refdenotaderodap"/>
          <w:rFonts w:ascii="Times New Roman" w:hAnsi="Times New Roman" w:cs="Times New Roman"/>
        </w:rPr>
        <w:footnoteRef/>
      </w:r>
      <w:r w:rsidRPr="00F001B7">
        <w:rPr>
          <w:rFonts w:ascii="Times New Roman" w:hAnsi="Times New Roman" w:cs="Times New Roman"/>
        </w:rPr>
        <w:t xml:space="preserve"> Para um apanhado </w:t>
      </w:r>
      <w:r>
        <w:rPr>
          <w:rFonts w:ascii="Times New Roman" w:hAnsi="Times New Roman" w:cs="Times New Roman"/>
        </w:rPr>
        <w:t xml:space="preserve">de algumas </w:t>
      </w:r>
      <w:r w:rsidR="00C96795">
        <w:rPr>
          <w:rFonts w:ascii="Times New Roman" w:hAnsi="Times New Roman" w:cs="Times New Roman"/>
        </w:rPr>
        <w:t>dessas</w:t>
      </w:r>
      <w:r w:rsidRPr="00F001B7">
        <w:rPr>
          <w:rFonts w:ascii="Times New Roman" w:hAnsi="Times New Roman" w:cs="Times New Roman"/>
        </w:rPr>
        <w:t xml:space="preserve"> réplicas, </w:t>
      </w:r>
      <w:r>
        <w:rPr>
          <w:rFonts w:ascii="Times New Roman" w:hAnsi="Times New Roman" w:cs="Times New Roman"/>
        </w:rPr>
        <w:t>consultar</w:t>
      </w:r>
      <w:r w:rsidRPr="00F001B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Garland (</w:t>
      </w:r>
      <w:r w:rsidRPr="00F001B7">
        <w:rPr>
          <w:rFonts w:ascii="Times New Roman" w:hAnsi="Times New Roman" w:cs="Times New Roman"/>
        </w:rPr>
        <w:t>2020a, 2020b</w:t>
      </w:r>
      <w:r>
        <w:rPr>
          <w:rFonts w:ascii="Times New Roman" w:hAnsi="Times New Roman" w:cs="Times New Roman"/>
        </w:rPr>
        <w:t>, 2020c)</w:t>
      </w:r>
      <w:r w:rsidR="00C96795">
        <w:rPr>
          <w:rFonts w:ascii="Times New Roman" w:hAnsi="Times New Roman" w:cs="Times New Roman"/>
        </w:rPr>
        <w:t xml:space="preserve">. </w:t>
      </w:r>
    </w:p>
  </w:footnote>
  <w:footnote w:id="11">
    <w:p w14:paraId="433FFB61" w14:textId="2C00A484" w:rsidR="00573008" w:rsidRDefault="00573008" w:rsidP="00573008">
      <w:pPr>
        <w:keepLines/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Conforme Soares</w:t>
      </w:r>
      <w:r w:rsidR="00AE3F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(2019), a arquitetura institucional da segurança pública prevista no artigo 144 da </w:t>
      </w:r>
      <w:r w:rsidR="0054016C">
        <w:rPr>
          <w:rFonts w:ascii="Times New Roman" w:eastAsia="Times New Roman" w:hAnsi="Times New Roman" w:cs="Times New Roman"/>
          <w:sz w:val="20"/>
          <w:szCs w:val="20"/>
        </w:rPr>
        <w:t xml:space="preserve">Constituição Federal </w:t>
      </w:r>
      <w:r>
        <w:rPr>
          <w:rFonts w:ascii="Times New Roman" w:eastAsia="Times New Roman" w:hAnsi="Times New Roman" w:cs="Times New Roman"/>
          <w:sz w:val="20"/>
          <w:szCs w:val="20"/>
        </w:rPr>
        <w:t>reserv</w:t>
      </w:r>
      <w:r w:rsidR="0067421B"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pouca responsabilidade à União (que teria maior capacidade para reformas estruturais) e reduzida autoridade aos municípios (onde os conflitos ocorrem de fato). </w:t>
      </w:r>
    </w:p>
  </w:footnote>
  <w:footnote w:id="12">
    <w:p w14:paraId="6A0D54C6" w14:textId="11DBBD95" w:rsidR="00456D47" w:rsidRDefault="00456D47" w:rsidP="00FD66F3">
      <w:pPr>
        <w:keepLines/>
        <w:spacing w:after="12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9B4EC1">
        <w:rPr>
          <w:rFonts w:ascii="Times New Roman" w:eastAsia="Times New Roman" w:hAnsi="Times New Roman" w:cs="Times New Roman"/>
          <w:sz w:val="20"/>
          <w:szCs w:val="20"/>
        </w:rPr>
        <w:t>A</w:t>
      </w:r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 municipalização da segurança pública </w:t>
      </w:r>
      <w:r w:rsidR="009B4EC1">
        <w:rPr>
          <w:rFonts w:ascii="Times New Roman" w:eastAsia="Times New Roman" w:hAnsi="Times New Roman" w:cs="Times New Roman"/>
          <w:sz w:val="20"/>
          <w:szCs w:val="20"/>
        </w:rPr>
        <w:t xml:space="preserve">foi estimulada e difundida </w:t>
      </w:r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por organismos internacionais. </w:t>
      </w:r>
      <w:r w:rsidR="00EA4B97">
        <w:rPr>
          <w:rFonts w:ascii="Times New Roman" w:eastAsia="Times New Roman" w:hAnsi="Times New Roman" w:cs="Times New Roman"/>
          <w:sz w:val="20"/>
          <w:szCs w:val="20"/>
        </w:rPr>
        <w:t>E</w:t>
      </w:r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m 2003 o Banco Mundial lançou o Manual “Prevenção Comunitária do crime e da violência em áreas urbanas da América Latina: um guia de recursos para municípios”, adaptado do anterior “Making South </w:t>
      </w:r>
      <w:proofErr w:type="spellStart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>Africa</w:t>
      </w:r>
      <w:proofErr w:type="spellEnd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 Safe – a Manual for Community </w:t>
      </w:r>
      <w:proofErr w:type="spellStart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 Crime </w:t>
      </w:r>
      <w:proofErr w:type="spellStart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>Prevention</w:t>
      </w:r>
      <w:proofErr w:type="spellEnd"/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>”, desenvolvido pelo governo sul-africano em 2000 (</w:t>
      </w:r>
      <w:r w:rsidR="00806439">
        <w:rPr>
          <w:rFonts w:ascii="Times New Roman" w:eastAsia="Times New Roman" w:hAnsi="Times New Roman" w:cs="Times New Roman"/>
          <w:sz w:val="20"/>
          <w:szCs w:val="20"/>
        </w:rPr>
        <w:t xml:space="preserve">KRUGER </w:t>
      </w:r>
      <w:r w:rsidR="00806439" w:rsidRPr="00EA4B97">
        <w:rPr>
          <w:rFonts w:ascii="Times New Roman" w:eastAsia="Times New Roman" w:hAnsi="Times New Roman" w:cs="Times New Roman"/>
          <w:i/>
          <w:iCs/>
          <w:sz w:val="20"/>
          <w:szCs w:val="20"/>
        </w:rPr>
        <w:t>et al</w:t>
      </w:r>
      <w:r w:rsidR="00806439">
        <w:rPr>
          <w:rFonts w:ascii="Times New Roman" w:eastAsia="Times New Roman" w:hAnsi="Times New Roman" w:cs="Times New Roman"/>
          <w:sz w:val="20"/>
          <w:szCs w:val="20"/>
        </w:rPr>
        <w:t xml:space="preserve">., 2000; </w:t>
      </w:r>
      <w:r w:rsidR="009E11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>WORLD BANK, 2003</w:t>
      </w:r>
      <w:r w:rsidR="009B4EC1">
        <w:rPr>
          <w:rFonts w:ascii="Times New Roman" w:eastAsia="Times New Roman" w:hAnsi="Times New Roman" w:cs="Times New Roman"/>
          <w:sz w:val="20"/>
          <w:szCs w:val="20"/>
        </w:rPr>
        <w:t>)</w:t>
      </w:r>
      <w:r w:rsidR="00D2521D" w:rsidRPr="00D2521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A4B97">
        <w:rPr>
          <w:rFonts w:ascii="Times New Roman" w:eastAsia="Times New Roman" w:hAnsi="Times New Roman" w:cs="Times New Roman"/>
          <w:sz w:val="20"/>
          <w:szCs w:val="20"/>
        </w:rPr>
        <w:t>No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 xml:space="preserve"> final da década de 2010 foi implementado na América Latina o Subprojeto “Políticas Locais de Prevenção da Violência”</w:t>
      </w:r>
      <w:r w:rsidR="00D2521D" w:rsidRPr="00100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>(URB-AL III), com o objetivo de contribuir para o fortalecimento das políticas de prevenção da violência e promover a paz social, dentro do Programa de Cooperação Descentralizada da União Europeia dirigida a governos locais (estaduais e municipais)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 xml:space="preserve">. Esse 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>Subprojeto foi executado durante quatro anos n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>os seguintes governos: d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 xml:space="preserve">o estado de Pernambuco (Brasil); 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>d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>a Região de Loreto (Peru); de Paysandú (Uruguai) e de Bergamo (Itália)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2521D">
        <w:rPr>
          <w:rFonts w:ascii="Times New Roman" w:eastAsia="Times New Roman" w:hAnsi="Times New Roman" w:cs="Times New Roman"/>
          <w:sz w:val="20"/>
          <w:szCs w:val="20"/>
        </w:rPr>
        <w:t>(OLIVEIRA; RIBEIRO; JATOBÁ, 2012).</w:t>
      </w:r>
    </w:p>
  </w:footnote>
  <w:footnote w:id="13">
    <w:p w14:paraId="365EAC62" w14:textId="24569142" w:rsidR="009B4EC1" w:rsidRDefault="009B4EC1" w:rsidP="009B4EC1">
      <w:pPr>
        <w:keepLines/>
        <w:tabs>
          <w:tab w:val="center" w:pos="4252"/>
        </w:tabs>
        <w:spacing w:after="12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Uma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plêiade de experiências inovadoras, implantadas desde </w:t>
      </w:r>
      <w:r w:rsidR="0063799A">
        <w:rPr>
          <w:rFonts w:ascii="Times New Roman" w:eastAsia="Times New Roman" w:hAnsi="Times New Roman" w:cs="Times New Roman"/>
          <w:sz w:val="20"/>
          <w:szCs w:val="20"/>
        </w:rPr>
        <w:t>a</w:t>
      </w:r>
      <w:r w:rsidR="00EA4B97">
        <w:rPr>
          <w:rFonts w:ascii="Times New Roman" w:eastAsia="Times New Roman" w:hAnsi="Times New Roman" w:cs="Times New Roman"/>
          <w:sz w:val="20"/>
          <w:szCs w:val="20"/>
        </w:rPr>
        <w:t xml:space="preserve"> década de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1990 em cidades como Bogotá, Medellín, Cali, Nova Iguaçu, Diadema e Belo Horizonte</w:t>
      </w:r>
      <w:r w:rsidR="006379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contribuíram </w:t>
      </w:r>
      <w:r w:rsidR="00106AF9">
        <w:rPr>
          <w:rFonts w:ascii="Times New Roman" w:eastAsia="Times New Roman" w:hAnsi="Times New Roman" w:cs="Times New Roman"/>
          <w:sz w:val="20"/>
          <w:szCs w:val="20"/>
        </w:rPr>
        <w:t>com o movimento de municipalização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segurança pública. </w:t>
      </w:r>
      <w:r w:rsidR="00106AF9">
        <w:rPr>
          <w:rFonts w:ascii="Times New Roman" w:eastAsia="Times New Roman" w:hAnsi="Times New Roman" w:cs="Times New Roman"/>
          <w:sz w:val="20"/>
          <w:szCs w:val="20"/>
        </w:rPr>
        <w:t>Além disso, os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municípios receberam forte destaque na </w:t>
      </w:r>
      <w:r w:rsidR="00106AF9">
        <w:rPr>
          <w:rFonts w:ascii="Times New Roman" w:eastAsia="Times New Roman" w:hAnsi="Times New Roman" w:cs="Times New Roman"/>
          <w:sz w:val="20"/>
          <w:szCs w:val="20"/>
        </w:rPr>
        <w:t>1ª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Conferência Nacional de Segurança Pública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(BRASIL, 2009).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Ilustram essa 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>tendência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>s dados de duas edições da Pesquisa de Informações Básicas Municipais (MUNIC, em: IBGE, 2006, 2019)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C4D7B">
        <w:rPr>
          <w:rFonts w:ascii="Times New Roman" w:eastAsia="Times New Roman" w:hAnsi="Times New Roman" w:cs="Times New Roman"/>
          <w:sz w:val="20"/>
          <w:szCs w:val="20"/>
        </w:rPr>
        <w:t xml:space="preserve"> no tópico “segurança pública”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3799A"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mostrando que, na comparação entre 2019 e 2006, aumentou o número de municípios (principalmente dos 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>mais populosos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com 100.000 ou mais habitantes) 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>que possuíam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equipamentos do setor: elevação de 150% dos com secretaria exclusiva e de 100% dos com conselho municipal de segurança pública. </w:t>
      </w:r>
      <w:r w:rsidR="0054016C">
        <w:rPr>
          <w:rFonts w:ascii="Times New Roman" w:eastAsia="Times New Roman" w:hAnsi="Times New Roman" w:cs="Times New Roman"/>
          <w:sz w:val="20"/>
          <w:szCs w:val="20"/>
        </w:rPr>
        <w:t xml:space="preserve">Ademais,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21% </w:t>
      </w:r>
      <w:r w:rsidR="00E23DFA">
        <w:rPr>
          <w:rFonts w:ascii="Times New Roman" w:eastAsia="Times New Roman" w:hAnsi="Times New Roman" w:cs="Times New Roman"/>
          <w:sz w:val="20"/>
          <w:szCs w:val="20"/>
        </w:rPr>
        <w:t xml:space="preserve">das prefeituras contava com </w:t>
      </w:r>
      <w:r>
        <w:rPr>
          <w:rFonts w:ascii="Times New Roman" w:eastAsia="Times New Roman" w:hAnsi="Times New Roman" w:cs="Times New Roman"/>
          <w:sz w:val="20"/>
          <w:szCs w:val="20"/>
        </w:rPr>
        <w:t>guarda municipal</w:t>
      </w:r>
      <w:r w:rsidR="0054016C">
        <w:rPr>
          <w:rFonts w:ascii="Times New Roman" w:eastAsia="Times New Roman" w:hAnsi="Times New Roman" w:cs="Times New Roman"/>
          <w:sz w:val="20"/>
          <w:szCs w:val="20"/>
        </w:rPr>
        <w:t xml:space="preserve"> em 2019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  <w:footnote w:id="14">
    <w:p w14:paraId="06A256BD" w14:textId="77777777" w:rsidR="00106AF9" w:rsidRDefault="00106AF9" w:rsidP="00106AF9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Por exemplo, o Relatório Maryland (SHERMAN </w:t>
      </w:r>
      <w:r w:rsidRPr="00DF04F6">
        <w:rPr>
          <w:rFonts w:ascii="Times New Roman" w:eastAsia="Times New Roman" w:hAnsi="Times New Roman" w:cs="Times New Roman"/>
          <w:i/>
          <w:iCs/>
        </w:rPr>
        <w:t>et al</w:t>
      </w:r>
      <w:r>
        <w:rPr>
          <w:rFonts w:ascii="Times New Roman" w:eastAsia="Times New Roman" w:hAnsi="Times New Roman" w:cs="Times New Roman"/>
        </w:rPr>
        <w:t>., 1997) nos Estados Unidos.</w:t>
      </w:r>
    </w:p>
  </w:footnote>
  <w:footnote w:id="15">
    <w:p w14:paraId="731D20E0" w14:textId="4FF11300" w:rsidR="000B5121" w:rsidRPr="00E2359F" w:rsidRDefault="000B5121" w:rsidP="00106AF9">
      <w:pPr>
        <w:pStyle w:val="Textodenotaderodap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2359F">
        <w:rPr>
          <w:rFonts w:ascii="Times New Roman" w:eastAsia="Times New Roman" w:hAnsi="Times New Roman" w:cs="Times New Roman"/>
        </w:rPr>
        <w:t>Oliveira (2002) esclarece que as políticas públicas de segurança abrangem ações governamentais e não governamentais, enquanto que as anteriores estavam mais focadas na atividade policial.</w:t>
      </w:r>
    </w:p>
  </w:footnote>
  <w:footnote w:id="16">
    <w:p w14:paraId="5E1D71D1" w14:textId="28F93E04" w:rsidR="00C96391" w:rsidRDefault="00C96391" w:rsidP="00C963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Vide, por exemplo, </w:t>
      </w:r>
      <w:r w:rsidR="00734447">
        <w:rPr>
          <w:rFonts w:ascii="Times New Roman" w:eastAsia="Times New Roman" w:hAnsi="Times New Roman" w:cs="Times New Roman"/>
          <w:sz w:val="20"/>
          <w:szCs w:val="20"/>
        </w:rPr>
        <w:t>o documento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“Agenda de Segurança Cidadã: por um novo </w:t>
      </w:r>
      <w:r w:rsidR="00765E60">
        <w:rPr>
          <w:rFonts w:ascii="Times New Roman" w:eastAsia="Times New Roman" w:hAnsi="Times New Roman" w:cs="Times New Roman"/>
          <w:sz w:val="20"/>
          <w:szCs w:val="20"/>
        </w:rPr>
        <w:t>paradigma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”, elaborado por pesquisadores acadêmicos (BRASIL. CÂMARA DOS DEPUTADOS, 2018) e o informe sobre segurança cidadã divulgado pelo PNUD Brasil (2020). </w:t>
      </w:r>
      <w:r w:rsidRPr="00573008">
        <w:rPr>
          <w:rFonts w:ascii="Times New Roman" w:eastAsia="Times New Roman" w:hAnsi="Times New Roman" w:cs="Times New Roman"/>
          <w:sz w:val="20"/>
          <w:szCs w:val="20"/>
        </w:rPr>
        <w:t xml:space="preserve">Para mais informações </w:t>
      </w:r>
      <w:r w:rsidR="00765E60">
        <w:rPr>
          <w:rFonts w:ascii="Times New Roman" w:eastAsia="Times New Roman" w:hAnsi="Times New Roman" w:cs="Times New Roman"/>
          <w:sz w:val="20"/>
          <w:szCs w:val="20"/>
        </w:rPr>
        <w:t xml:space="preserve">sobre </w:t>
      </w:r>
      <w:r w:rsidRPr="00573008">
        <w:rPr>
          <w:rFonts w:ascii="Times New Roman" w:eastAsia="Times New Roman" w:hAnsi="Times New Roman" w:cs="Times New Roman"/>
          <w:sz w:val="20"/>
          <w:szCs w:val="20"/>
        </w:rPr>
        <w:t>o uso internacional do conceito de segurança cidadã</w:t>
      </w:r>
      <w:r w:rsidR="00765E6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3008">
        <w:rPr>
          <w:rFonts w:ascii="Times New Roman" w:eastAsia="Times New Roman" w:hAnsi="Times New Roman" w:cs="Times New Roman"/>
          <w:sz w:val="20"/>
          <w:szCs w:val="20"/>
        </w:rPr>
        <w:t xml:space="preserve"> consult</w:t>
      </w:r>
      <w:r w:rsidR="00765E60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5730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097E">
        <w:rPr>
          <w:rFonts w:ascii="Times New Roman" w:eastAsia="Times New Roman" w:hAnsi="Times New Roman" w:cs="Times New Roman"/>
          <w:sz w:val="20"/>
          <w:szCs w:val="20"/>
        </w:rPr>
        <w:t>BID</w:t>
      </w:r>
      <w:r w:rsidR="00F81003">
        <w:rPr>
          <w:rFonts w:ascii="Times New Roman" w:eastAsia="Times New Roman" w:hAnsi="Times New Roman" w:cs="Times New Roman"/>
          <w:sz w:val="20"/>
          <w:szCs w:val="20"/>
        </w:rPr>
        <w:t xml:space="preserve"> (2017). </w:t>
      </w:r>
    </w:p>
  </w:footnote>
  <w:footnote w:id="17">
    <w:p w14:paraId="2AA443EE" w14:textId="39E1F5D8" w:rsidR="00C96391" w:rsidRDefault="00C96391" w:rsidP="00AE3F7E">
      <w:pPr>
        <w:keepLines/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D174BC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título ilustrativo, </w:t>
      </w:r>
      <w:r w:rsidR="00D174BC">
        <w:rPr>
          <w:rFonts w:ascii="Times New Roman" w:eastAsia="Times New Roman" w:hAnsi="Times New Roman" w:cs="Times New Roman"/>
          <w:sz w:val="20"/>
          <w:szCs w:val="20"/>
        </w:rPr>
        <w:t xml:space="preserve">identificou-se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presença de dois eixos (de um total de sete) no texto base da 1ª Conferência Nacional de Segurança Pública, ocorrida em 2009: 4 - Repressão qualificada da criminalidade, e 5 - Prevenção social do crime e das violências e construção da cultura de paz. </w:t>
      </w:r>
      <w:r w:rsidR="00E075D9">
        <w:rPr>
          <w:rFonts w:ascii="Times New Roman" w:eastAsia="Times New Roman" w:hAnsi="Times New Roman" w:cs="Times New Roman"/>
          <w:sz w:val="20"/>
          <w:szCs w:val="20"/>
        </w:rPr>
        <w:t>Ver: B</w:t>
      </w:r>
      <w:r w:rsidR="002F5702">
        <w:rPr>
          <w:rFonts w:ascii="Times New Roman" w:eastAsia="Times New Roman" w:hAnsi="Times New Roman" w:cs="Times New Roman"/>
          <w:sz w:val="20"/>
          <w:szCs w:val="20"/>
        </w:rPr>
        <w:t>rasil</w:t>
      </w:r>
      <w:r w:rsidR="00E075D9">
        <w:rPr>
          <w:rFonts w:ascii="Times New Roman" w:eastAsia="Times New Roman" w:hAnsi="Times New Roman" w:cs="Times New Roman"/>
          <w:sz w:val="20"/>
          <w:szCs w:val="20"/>
        </w:rPr>
        <w:t xml:space="preserve"> (2009). </w:t>
      </w:r>
    </w:p>
  </w:footnote>
  <w:footnote w:id="18">
    <w:p w14:paraId="751274EB" w14:textId="55BB4586" w:rsidR="002750E4" w:rsidRPr="009F2B25" w:rsidRDefault="002750E4" w:rsidP="002750E4">
      <w:pPr>
        <w:pStyle w:val="Textodenotaderodap"/>
        <w:spacing w:after="120"/>
        <w:jc w:val="both"/>
        <w:rPr>
          <w:rFonts w:ascii="Times New Roman" w:eastAsia="Times New Roman" w:hAnsi="Times New Roman" w:cs="Times New Roman"/>
        </w:rPr>
      </w:pPr>
      <w:r w:rsidRPr="009F2B25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Tomando</w:t>
      </w:r>
      <w:r w:rsidR="009E52B5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como exemplo os crimes violentos, em 2020 o</w:t>
      </w:r>
      <w:r>
        <w:rPr>
          <w:rFonts w:ascii="Times New Roman" w:eastAsia="Times New Roman" w:hAnsi="Times New Roman" w:cs="Times New Roman"/>
        </w:rPr>
        <w:t xml:space="preserve"> </w:t>
      </w:r>
      <w:r w:rsidRPr="009F2B25">
        <w:rPr>
          <w:rFonts w:ascii="Times New Roman" w:eastAsia="Times New Roman" w:hAnsi="Times New Roman" w:cs="Times New Roman"/>
        </w:rPr>
        <w:t xml:space="preserve">Brasil </w:t>
      </w:r>
      <w:r>
        <w:rPr>
          <w:rFonts w:ascii="Times New Roman" w:eastAsia="Times New Roman" w:hAnsi="Times New Roman" w:cs="Times New Roman"/>
        </w:rPr>
        <w:t>ocupou a</w:t>
      </w:r>
      <w:r w:rsidRPr="009F2B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8ª posição mundial em relação à </w:t>
      </w:r>
      <w:r w:rsidRPr="009F2B25">
        <w:rPr>
          <w:rFonts w:ascii="Times New Roman" w:eastAsia="Times New Roman" w:hAnsi="Times New Roman" w:cs="Times New Roman"/>
        </w:rPr>
        <w:t>taxa de vítimas de homicídios intencionais por 100.000 habitantes</w:t>
      </w:r>
      <w:r>
        <w:rPr>
          <w:rFonts w:ascii="Times New Roman" w:eastAsia="Times New Roman" w:hAnsi="Times New Roman" w:cs="Times New Roman"/>
        </w:rPr>
        <w:t xml:space="preserve">, </w:t>
      </w:r>
      <w:r w:rsidR="009E52B5"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</w:rPr>
        <w:t xml:space="preserve"> 22,45 pessoas assassinadas. Naquele ano, a média mundial foi de 6,31 vítimas por 100.000 habitantes. Fonte: </w:t>
      </w:r>
      <w:hyperlink r:id="rId1" w:history="1">
        <w:r w:rsidRPr="009F2B25">
          <w:rPr>
            <w:rStyle w:val="Hyperlink"/>
            <w:rFonts w:ascii="Times New Roman" w:hAnsi="Times New Roman" w:cs="Times New Roman"/>
          </w:rPr>
          <w:t>https://dataunodc.un.org/dp-intentional-homicide-victims</w:t>
        </w:r>
      </w:hyperlink>
      <w:r>
        <w:rPr>
          <w:rFonts w:ascii="Times New Roman" w:hAnsi="Times New Roman" w:cs="Times New Roman"/>
        </w:rPr>
        <w:t>, Acesso em: 10/08/2022.</w:t>
      </w:r>
    </w:p>
  </w:footnote>
  <w:footnote w:id="19">
    <w:p w14:paraId="14923243" w14:textId="0D71FF61" w:rsidR="004913E5" w:rsidRDefault="004913E5" w:rsidP="004913E5">
      <w:pPr>
        <w:spacing w:after="0" w:line="360" w:lineRule="auto"/>
        <w:jc w:val="both"/>
      </w:pPr>
      <w:r w:rsidRPr="004913E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6E7EC5">
        <w:rPr>
          <w:rFonts w:ascii="Times New Roman" w:hAnsi="Times New Roman" w:cs="Times New Roman"/>
          <w:sz w:val="20"/>
          <w:szCs w:val="20"/>
        </w:rPr>
        <w:t xml:space="preserve">Ver em: </w:t>
      </w:r>
      <w:r w:rsidRPr="004913E5">
        <w:rPr>
          <w:rFonts w:ascii="Times New Roman" w:eastAsia="Times New Roman" w:hAnsi="Times New Roman" w:cs="Times New Roman"/>
          <w:sz w:val="20"/>
          <w:szCs w:val="20"/>
        </w:rPr>
        <w:t xml:space="preserve">https://twitter.com/planalto/status/1410270696635252738 </w:t>
      </w:r>
    </w:p>
  </w:footnote>
  <w:footnote w:id="20">
    <w:p w14:paraId="496FB478" w14:textId="459B9F08" w:rsidR="00B265D4" w:rsidRPr="00E23E34" w:rsidRDefault="00B265D4" w:rsidP="00B265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1B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001B7">
        <w:rPr>
          <w:rFonts w:ascii="Times New Roman" w:hAnsi="Times New Roman" w:cs="Times New Roman"/>
          <w:sz w:val="20"/>
          <w:szCs w:val="20"/>
        </w:rPr>
        <w:t xml:space="preserve"> </w:t>
      </w:r>
      <w:r w:rsidRPr="00E23E34">
        <w:rPr>
          <w:rFonts w:ascii="Times New Roman" w:eastAsia="Times New Roman" w:hAnsi="Times New Roman" w:cs="Times New Roman"/>
          <w:sz w:val="20"/>
          <w:szCs w:val="20"/>
        </w:rPr>
        <w:t xml:space="preserve">Diretriz que foi </w:t>
      </w:r>
      <w:r w:rsidR="00782648">
        <w:rPr>
          <w:rFonts w:ascii="Times New Roman" w:eastAsia="Times New Roman" w:hAnsi="Times New Roman" w:cs="Times New Roman"/>
          <w:sz w:val="20"/>
          <w:szCs w:val="20"/>
        </w:rPr>
        <w:t xml:space="preserve">sistematicamente </w:t>
      </w:r>
      <w:r w:rsidRPr="00E23E34">
        <w:rPr>
          <w:rFonts w:ascii="Times New Roman" w:eastAsia="Times New Roman" w:hAnsi="Times New Roman" w:cs="Times New Roman"/>
          <w:sz w:val="20"/>
          <w:szCs w:val="20"/>
        </w:rPr>
        <w:t xml:space="preserve">rechaçada </w:t>
      </w:r>
      <w:r w:rsidR="00782648">
        <w:rPr>
          <w:rFonts w:ascii="Times New Roman" w:eastAsia="Times New Roman" w:hAnsi="Times New Roman" w:cs="Times New Roman"/>
          <w:sz w:val="20"/>
          <w:szCs w:val="20"/>
        </w:rPr>
        <w:t>nas</w:t>
      </w:r>
      <w:r w:rsidRPr="00E23E34">
        <w:rPr>
          <w:rFonts w:ascii="Times New Roman" w:eastAsia="Times New Roman" w:hAnsi="Times New Roman" w:cs="Times New Roman"/>
          <w:sz w:val="20"/>
          <w:szCs w:val="20"/>
        </w:rPr>
        <w:t xml:space="preserve"> gestões interiores, desde o primeiro governo Fernando Henrique Cardoso (em 1995) até o de Michel Temer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entre 2016 e </w:t>
      </w:r>
      <w:r w:rsidRPr="00E23E34">
        <w:rPr>
          <w:rFonts w:ascii="Times New Roman" w:eastAsia="Times New Roman" w:hAnsi="Times New Roman" w:cs="Times New Roman"/>
          <w:sz w:val="20"/>
          <w:szCs w:val="20"/>
        </w:rPr>
        <w:t xml:space="preserve">2018). </w:t>
      </w:r>
    </w:p>
  </w:footnote>
  <w:footnote w:id="21">
    <w:p w14:paraId="2E69EEDA" w14:textId="4B8B2F49" w:rsidR="002863DE" w:rsidRPr="0078097E" w:rsidRDefault="002863DE" w:rsidP="0078097E">
      <w:pPr>
        <w:tabs>
          <w:tab w:val="center" w:pos="425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0B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BF2D80">
        <w:rPr>
          <w:rFonts w:ascii="Times New Roman" w:hAnsi="Times New Roman" w:cs="Times New Roman"/>
          <w:sz w:val="20"/>
          <w:szCs w:val="20"/>
        </w:rPr>
        <w:t xml:space="preserve">Esta </w:t>
      </w:r>
      <w:r w:rsidR="00DF4FC5">
        <w:rPr>
          <w:rFonts w:ascii="Times New Roman" w:hAnsi="Times New Roman" w:cs="Times New Roman"/>
          <w:sz w:val="20"/>
          <w:szCs w:val="20"/>
        </w:rPr>
        <w:t xml:space="preserve">combinação remete à </w:t>
      </w:r>
      <w:r w:rsidRPr="00BF20BF">
        <w:rPr>
          <w:rFonts w:ascii="Times New Roman" w:hAnsi="Times New Roman" w:cs="Times New Roman"/>
          <w:sz w:val="20"/>
          <w:szCs w:val="20"/>
        </w:rPr>
        <w:t xml:space="preserve">lei da “negação da negação” </w:t>
      </w:r>
      <w:r w:rsidR="00BF2D80">
        <w:rPr>
          <w:rFonts w:ascii="Times New Roman" w:hAnsi="Times New Roman" w:cs="Times New Roman"/>
          <w:sz w:val="20"/>
          <w:szCs w:val="20"/>
        </w:rPr>
        <w:t>ou</w:t>
      </w:r>
      <w:r w:rsidR="00DF4FC5">
        <w:rPr>
          <w:rFonts w:ascii="Times New Roman" w:hAnsi="Times New Roman" w:cs="Times New Roman"/>
          <w:sz w:val="20"/>
          <w:szCs w:val="20"/>
        </w:rPr>
        <w:t xml:space="preserve"> </w:t>
      </w:r>
      <w:r w:rsidRPr="00BF20BF">
        <w:rPr>
          <w:rFonts w:ascii="Times New Roman" w:hAnsi="Times New Roman" w:cs="Times New Roman"/>
          <w:sz w:val="20"/>
          <w:szCs w:val="20"/>
        </w:rPr>
        <w:t>da “unidade entre contrários”</w:t>
      </w:r>
      <w:r w:rsidR="00DF4FC5">
        <w:rPr>
          <w:rFonts w:ascii="Times New Roman" w:hAnsi="Times New Roman" w:cs="Times New Roman"/>
          <w:sz w:val="20"/>
          <w:szCs w:val="20"/>
        </w:rPr>
        <w:t>,</w:t>
      </w:r>
      <w:r w:rsidRPr="00BF20BF">
        <w:rPr>
          <w:rFonts w:ascii="Times New Roman" w:hAnsi="Times New Roman" w:cs="Times New Roman"/>
          <w:sz w:val="20"/>
          <w:szCs w:val="20"/>
        </w:rPr>
        <w:t xml:space="preserve"> </w:t>
      </w:r>
      <w:r w:rsidR="0078097E" w:rsidRPr="00BF20BF">
        <w:rPr>
          <w:rFonts w:ascii="Times New Roman" w:hAnsi="Times New Roman" w:cs="Times New Roman"/>
          <w:sz w:val="20"/>
          <w:szCs w:val="20"/>
        </w:rPr>
        <w:t>proveniente</w:t>
      </w:r>
      <w:r w:rsidRPr="00BF20BF">
        <w:rPr>
          <w:rFonts w:ascii="Times New Roman" w:hAnsi="Times New Roman" w:cs="Times New Roman"/>
          <w:sz w:val="20"/>
          <w:szCs w:val="20"/>
        </w:rPr>
        <w:t xml:space="preserve"> do materialismo dialético, </w:t>
      </w:r>
      <w:r w:rsidR="00DF4FC5">
        <w:rPr>
          <w:rFonts w:ascii="Times New Roman" w:hAnsi="Times New Roman" w:cs="Times New Roman"/>
          <w:sz w:val="20"/>
          <w:szCs w:val="20"/>
        </w:rPr>
        <w:t>a qual</w:t>
      </w:r>
      <w:r w:rsidRPr="00BF20BF">
        <w:rPr>
          <w:rFonts w:ascii="Times New Roman" w:hAnsi="Times New Roman" w:cs="Times New Roman"/>
          <w:sz w:val="20"/>
          <w:szCs w:val="20"/>
        </w:rPr>
        <w:t xml:space="preserve"> “expressa a unidade dialética que existe entre o novo que nega ou substitui o velho”</w:t>
      </w:r>
      <w:r w:rsidR="00F2229B">
        <w:rPr>
          <w:rFonts w:ascii="Times New Roman" w:hAnsi="Times New Roman" w:cs="Times New Roman"/>
          <w:sz w:val="20"/>
          <w:szCs w:val="20"/>
        </w:rPr>
        <w:t xml:space="preserve">. </w:t>
      </w:r>
      <w:r w:rsidR="00DF4FC5">
        <w:rPr>
          <w:rFonts w:ascii="Times New Roman" w:hAnsi="Times New Roman" w:cs="Times New Roman"/>
          <w:sz w:val="20"/>
          <w:szCs w:val="20"/>
        </w:rPr>
        <w:t xml:space="preserve">Dessa forma, </w:t>
      </w:r>
      <w:r w:rsidRPr="00BF20BF">
        <w:rPr>
          <w:rFonts w:ascii="Times New Roman" w:hAnsi="Times New Roman" w:cs="Times New Roman"/>
          <w:sz w:val="20"/>
          <w:szCs w:val="20"/>
        </w:rPr>
        <w:t xml:space="preserve">passado, presente e futuro </w:t>
      </w:r>
      <w:r w:rsidR="0074130A">
        <w:rPr>
          <w:rFonts w:ascii="Times New Roman" w:hAnsi="Times New Roman" w:cs="Times New Roman"/>
          <w:sz w:val="20"/>
          <w:szCs w:val="20"/>
        </w:rPr>
        <w:t>fazem-se</w:t>
      </w:r>
      <w:r w:rsidRPr="00BF20BF">
        <w:rPr>
          <w:rFonts w:ascii="Times New Roman" w:hAnsi="Times New Roman" w:cs="Times New Roman"/>
          <w:sz w:val="20"/>
          <w:szCs w:val="20"/>
        </w:rPr>
        <w:t xml:space="preserve"> presentes </w:t>
      </w:r>
      <w:r w:rsidR="00C10288">
        <w:rPr>
          <w:rFonts w:ascii="Times New Roman" w:hAnsi="Times New Roman" w:cs="Times New Roman"/>
          <w:sz w:val="20"/>
          <w:szCs w:val="20"/>
        </w:rPr>
        <w:t xml:space="preserve">dentro </w:t>
      </w:r>
      <w:r w:rsidR="0067527E">
        <w:rPr>
          <w:rFonts w:ascii="Times New Roman" w:hAnsi="Times New Roman" w:cs="Times New Roman"/>
          <w:sz w:val="20"/>
          <w:szCs w:val="20"/>
        </w:rPr>
        <w:t>da mesma</w:t>
      </w:r>
      <w:r w:rsidRPr="00BF20BF">
        <w:rPr>
          <w:rFonts w:ascii="Times New Roman" w:hAnsi="Times New Roman" w:cs="Times New Roman"/>
          <w:sz w:val="20"/>
          <w:szCs w:val="20"/>
        </w:rPr>
        <w:t xml:space="preserve"> realidade, e o movimento histórico não </w:t>
      </w:r>
      <w:r w:rsidR="00C10288" w:rsidRPr="00BF20BF">
        <w:rPr>
          <w:rFonts w:ascii="Times New Roman" w:hAnsi="Times New Roman" w:cs="Times New Roman"/>
          <w:sz w:val="20"/>
          <w:szCs w:val="20"/>
        </w:rPr>
        <w:t xml:space="preserve">é </w:t>
      </w:r>
      <w:r w:rsidRPr="00BF20BF">
        <w:rPr>
          <w:rFonts w:ascii="Times New Roman" w:hAnsi="Times New Roman" w:cs="Times New Roman"/>
          <w:sz w:val="20"/>
          <w:szCs w:val="20"/>
        </w:rPr>
        <w:t>linear. (RODRÍGUEZ, 2014, p. 144).</w:t>
      </w:r>
    </w:p>
  </w:footnote>
  <w:footnote w:id="22">
    <w:p w14:paraId="1BF32D37" w14:textId="54E4A820" w:rsidR="003159A7" w:rsidRPr="001E3F56" w:rsidRDefault="003159A7" w:rsidP="003159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F56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E3F56">
        <w:rPr>
          <w:rFonts w:ascii="Times New Roman" w:hAnsi="Times New Roman" w:cs="Times New Roman"/>
          <w:sz w:val="20"/>
          <w:szCs w:val="20"/>
        </w:rPr>
        <w:t xml:space="preserve"> </w:t>
      </w:r>
      <w:r w:rsidRPr="001E3F56">
        <w:rPr>
          <w:rFonts w:ascii="Times New Roman" w:eastAsia="Times New Roman" w:hAnsi="Times New Roman" w:cs="Times New Roman"/>
          <w:sz w:val="20"/>
          <w:szCs w:val="20"/>
        </w:rPr>
        <w:t xml:space="preserve">Vide, à guisa de exemplo, as disputas em torno da Lei de Segurança Nacional (Lei n. 7.170, BRASIL, 1983) na Câmara dos Deputados, </w:t>
      </w:r>
      <w:r w:rsidR="00A74FEF">
        <w:rPr>
          <w:rFonts w:ascii="Times New Roman" w:eastAsia="Times New Roman" w:hAnsi="Times New Roman" w:cs="Times New Roman"/>
          <w:sz w:val="20"/>
          <w:szCs w:val="20"/>
        </w:rPr>
        <w:t>pesquisadas</w:t>
      </w:r>
      <w:r w:rsidRPr="001E3F56">
        <w:rPr>
          <w:rFonts w:ascii="Times New Roman" w:eastAsia="Times New Roman" w:hAnsi="Times New Roman" w:cs="Times New Roman"/>
          <w:sz w:val="20"/>
          <w:szCs w:val="20"/>
        </w:rPr>
        <w:t xml:space="preserve"> por Amaral (2021).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424055"/>
      <w:docPartObj>
        <w:docPartGallery w:val="Page Numbers (Top of Page)"/>
        <w:docPartUnique/>
      </w:docPartObj>
    </w:sdtPr>
    <w:sdtContent>
      <w:p w14:paraId="427CC548" w14:textId="3FF8BC9B" w:rsidR="00795ADA" w:rsidRDefault="00795ADA">
        <w:pPr>
          <w:pStyle w:val="Cabealho"/>
          <w:jc w:val="center"/>
        </w:pPr>
        <w:r w:rsidRPr="00CD635C">
          <w:rPr>
            <w:sz w:val="20"/>
            <w:szCs w:val="20"/>
          </w:rPr>
          <w:fldChar w:fldCharType="begin"/>
        </w:r>
        <w:r w:rsidRPr="00CD635C">
          <w:rPr>
            <w:sz w:val="20"/>
            <w:szCs w:val="20"/>
          </w:rPr>
          <w:instrText>PAGE   \* MERGEFORMAT</w:instrText>
        </w:r>
        <w:r w:rsidRPr="00CD635C">
          <w:rPr>
            <w:sz w:val="20"/>
            <w:szCs w:val="20"/>
          </w:rPr>
          <w:fldChar w:fldCharType="separate"/>
        </w:r>
        <w:r w:rsidRPr="00CD635C">
          <w:rPr>
            <w:sz w:val="20"/>
            <w:szCs w:val="20"/>
          </w:rPr>
          <w:t>2</w:t>
        </w:r>
        <w:r w:rsidRPr="00CD635C">
          <w:rPr>
            <w:sz w:val="20"/>
            <w:szCs w:val="20"/>
          </w:rPr>
          <w:fldChar w:fldCharType="end"/>
        </w:r>
      </w:p>
    </w:sdtContent>
  </w:sdt>
  <w:p w14:paraId="020D22B4" w14:textId="77777777" w:rsidR="00795ADA" w:rsidRDefault="00795A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23F"/>
    <w:multiLevelType w:val="multilevel"/>
    <w:tmpl w:val="784807FC"/>
    <w:lvl w:ilvl="0">
      <w:start w:val="1"/>
      <w:numFmt w:val="lowerLetter"/>
      <w:pStyle w:val="Commarcadores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7114055"/>
    <w:multiLevelType w:val="multilevel"/>
    <w:tmpl w:val="990E4DB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9577636"/>
    <w:multiLevelType w:val="hybridMultilevel"/>
    <w:tmpl w:val="84D0BD2C"/>
    <w:lvl w:ilvl="0" w:tplc="B55873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A30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C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27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68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4D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03F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26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EA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A0EB0"/>
    <w:multiLevelType w:val="multilevel"/>
    <w:tmpl w:val="6CD23A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F5723D1"/>
    <w:multiLevelType w:val="multilevel"/>
    <w:tmpl w:val="A01A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41FA"/>
    <w:multiLevelType w:val="multilevel"/>
    <w:tmpl w:val="AADEAC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056272A"/>
    <w:multiLevelType w:val="multilevel"/>
    <w:tmpl w:val="508A44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A55"/>
    <w:multiLevelType w:val="hybridMultilevel"/>
    <w:tmpl w:val="0B4A6242"/>
    <w:lvl w:ilvl="0" w:tplc="23F242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7F3E"/>
    <w:multiLevelType w:val="multilevel"/>
    <w:tmpl w:val="9C8E9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861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276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166158">
    <w:abstractNumId w:val="8"/>
  </w:num>
  <w:num w:numId="4" w16cid:durableId="263460451">
    <w:abstractNumId w:val="3"/>
  </w:num>
  <w:num w:numId="5" w16cid:durableId="195115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552730">
    <w:abstractNumId w:val="5"/>
  </w:num>
  <w:num w:numId="7" w16cid:durableId="529992494">
    <w:abstractNumId w:val="7"/>
  </w:num>
  <w:num w:numId="8" w16cid:durableId="1886481617">
    <w:abstractNumId w:val="2"/>
  </w:num>
  <w:num w:numId="9" w16cid:durableId="195535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94"/>
    <w:rsid w:val="00001BA1"/>
    <w:rsid w:val="00002D7F"/>
    <w:rsid w:val="00004797"/>
    <w:rsid w:val="00005CA7"/>
    <w:rsid w:val="00007228"/>
    <w:rsid w:val="00007E95"/>
    <w:rsid w:val="00010D2C"/>
    <w:rsid w:val="00012232"/>
    <w:rsid w:val="0001340D"/>
    <w:rsid w:val="000145BC"/>
    <w:rsid w:val="00021ABC"/>
    <w:rsid w:val="00024FDE"/>
    <w:rsid w:val="00034FDC"/>
    <w:rsid w:val="000400D2"/>
    <w:rsid w:val="0004093C"/>
    <w:rsid w:val="000409A8"/>
    <w:rsid w:val="00042BE6"/>
    <w:rsid w:val="00045822"/>
    <w:rsid w:val="0004606E"/>
    <w:rsid w:val="00046BD7"/>
    <w:rsid w:val="0005016A"/>
    <w:rsid w:val="00060FBB"/>
    <w:rsid w:val="00063496"/>
    <w:rsid w:val="00070547"/>
    <w:rsid w:val="00070EE6"/>
    <w:rsid w:val="00073BF7"/>
    <w:rsid w:val="0007477E"/>
    <w:rsid w:val="00074A1E"/>
    <w:rsid w:val="000772E8"/>
    <w:rsid w:val="0008204D"/>
    <w:rsid w:val="000854D2"/>
    <w:rsid w:val="00085A4E"/>
    <w:rsid w:val="00086E3A"/>
    <w:rsid w:val="00090EF5"/>
    <w:rsid w:val="000912CA"/>
    <w:rsid w:val="0009711E"/>
    <w:rsid w:val="00097722"/>
    <w:rsid w:val="00097BA7"/>
    <w:rsid w:val="000A54EC"/>
    <w:rsid w:val="000A63E9"/>
    <w:rsid w:val="000B0532"/>
    <w:rsid w:val="000B5121"/>
    <w:rsid w:val="000B696B"/>
    <w:rsid w:val="000C2F68"/>
    <w:rsid w:val="000C705D"/>
    <w:rsid w:val="000C73B7"/>
    <w:rsid w:val="000D2DB2"/>
    <w:rsid w:val="000D59AA"/>
    <w:rsid w:val="000E671B"/>
    <w:rsid w:val="000F09CD"/>
    <w:rsid w:val="000F14B8"/>
    <w:rsid w:val="000F4CF0"/>
    <w:rsid w:val="000F51FF"/>
    <w:rsid w:val="000F5B07"/>
    <w:rsid w:val="000F5CB7"/>
    <w:rsid w:val="000F6B2B"/>
    <w:rsid w:val="001000FE"/>
    <w:rsid w:val="001003EC"/>
    <w:rsid w:val="0010123E"/>
    <w:rsid w:val="00102006"/>
    <w:rsid w:val="00106AF9"/>
    <w:rsid w:val="00112277"/>
    <w:rsid w:val="00115F73"/>
    <w:rsid w:val="001166C9"/>
    <w:rsid w:val="001250A6"/>
    <w:rsid w:val="001277D1"/>
    <w:rsid w:val="00133C6A"/>
    <w:rsid w:val="001368E2"/>
    <w:rsid w:val="001375EC"/>
    <w:rsid w:val="00137AEC"/>
    <w:rsid w:val="00137C63"/>
    <w:rsid w:val="00141838"/>
    <w:rsid w:val="001436AA"/>
    <w:rsid w:val="00150014"/>
    <w:rsid w:val="00150917"/>
    <w:rsid w:val="00152DEA"/>
    <w:rsid w:val="00153429"/>
    <w:rsid w:val="00153741"/>
    <w:rsid w:val="001570E6"/>
    <w:rsid w:val="0016151C"/>
    <w:rsid w:val="001732C2"/>
    <w:rsid w:val="00174F0B"/>
    <w:rsid w:val="00177C68"/>
    <w:rsid w:val="0018197F"/>
    <w:rsid w:val="00182723"/>
    <w:rsid w:val="00183384"/>
    <w:rsid w:val="001854BC"/>
    <w:rsid w:val="00186A8F"/>
    <w:rsid w:val="001913FB"/>
    <w:rsid w:val="0019199B"/>
    <w:rsid w:val="00196621"/>
    <w:rsid w:val="001A3CD8"/>
    <w:rsid w:val="001A5EC8"/>
    <w:rsid w:val="001A7B2F"/>
    <w:rsid w:val="001B2CAF"/>
    <w:rsid w:val="001B57CB"/>
    <w:rsid w:val="001B6313"/>
    <w:rsid w:val="001B738F"/>
    <w:rsid w:val="001C141C"/>
    <w:rsid w:val="001C1F6D"/>
    <w:rsid w:val="001C5966"/>
    <w:rsid w:val="001C6BD2"/>
    <w:rsid w:val="001D028A"/>
    <w:rsid w:val="001E2AE3"/>
    <w:rsid w:val="001E3F56"/>
    <w:rsid w:val="001E3FC5"/>
    <w:rsid w:val="001E4ACF"/>
    <w:rsid w:val="001E553C"/>
    <w:rsid w:val="001E6C56"/>
    <w:rsid w:val="001F0A72"/>
    <w:rsid w:val="001F1A95"/>
    <w:rsid w:val="001F1EB1"/>
    <w:rsid w:val="001F271C"/>
    <w:rsid w:val="00200FF8"/>
    <w:rsid w:val="00201726"/>
    <w:rsid w:val="00202E94"/>
    <w:rsid w:val="00203236"/>
    <w:rsid w:val="002036CE"/>
    <w:rsid w:val="00206A94"/>
    <w:rsid w:val="00215CB2"/>
    <w:rsid w:val="0022181A"/>
    <w:rsid w:val="00222C2E"/>
    <w:rsid w:val="00223437"/>
    <w:rsid w:val="00223DF1"/>
    <w:rsid w:val="002251C3"/>
    <w:rsid w:val="00225A93"/>
    <w:rsid w:val="00230226"/>
    <w:rsid w:val="00234C91"/>
    <w:rsid w:val="00244ED8"/>
    <w:rsid w:val="0025134B"/>
    <w:rsid w:val="002637F9"/>
    <w:rsid w:val="002705DA"/>
    <w:rsid w:val="00272F32"/>
    <w:rsid w:val="00272FCB"/>
    <w:rsid w:val="00274334"/>
    <w:rsid w:val="00274DA3"/>
    <w:rsid w:val="002750E4"/>
    <w:rsid w:val="002764EC"/>
    <w:rsid w:val="00280BAA"/>
    <w:rsid w:val="002816CE"/>
    <w:rsid w:val="002819AE"/>
    <w:rsid w:val="0028361C"/>
    <w:rsid w:val="002863DE"/>
    <w:rsid w:val="00294973"/>
    <w:rsid w:val="00297609"/>
    <w:rsid w:val="0029787C"/>
    <w:rsid w:val="002A0811"/>
    <w:rsid w:val="002A09A8"/>
    <w:rsid w:val="002A338F"/>
    <w:rsid w:val="002A388B"/>
    <w:rsid w:val="002A5FB4"/>
    <w:rsid w:val="002A6964"/>
    <w:rsid w:val="002A7C97"/>
    <w:rsid w:val="002B4D3B"/>
    <w:rsid w:val="002B54AD"/>
    <w:rsid w:val="002C0D63"/>
    <w:rsid w:val="002C65F4"/>
    <w:rsid w:val="002D2943"/>
    <w:rsid w:val="002D2AA0"/>
    <w:rsid w:val="002D65D6"/>
    <w:rsid w:val="002D6853"/>
    <w:rsid w:val="002E06F3"/>
    <w:rsid w:val="002E5F3E"/>
    <w:rsid w:val="002E5FA1"/>
    <w:rsid w:val="002F5702"/>
    <w:rsid w:val="003117DD"/>
    <w:rsid w:val="00311D83"/>
    <w:rsid w:val="0031433E"/>
    <w:rsid w:val="00314F94"/>
    <w:rsid w:val="003153D0"/>
    <w:rsid w:val="003159A7"/>
    <w:rsid w:val="003228A2"/>
    <w:rsid w:val="00323A4D"/>
    <w:rsid w:val="003264A4"/>
    <w:rsid w:val="00330772"/>
    <w:rsid w:val="00335B42"/>
    <w:rsid w:val="003422E0"/>
    <w:rsid w:val="003607DA"/>
    <w:rsid w:val="0036567A"/>
    <w:rsid w:val="00366583"/>
    <w:rsid w:val="0037668E"/>
    <w:rsid w:val="00376D62"/>
    <w:rsid w:val="0038049C"/>
    <w:rsid w:val="00380E58"/>
    <w:rsid w:val="0038194A"/>
    <w:rsid w:val="00382380"/>
    <w:rsid w:val="003826F3"/>
    <w:rsid w:val="00382824"/>
    <w:rsid w:val="00387869"/>
    <w:rsid w:val="00392396"/>
    <w:rsid w:val="003A3577"/>
    <w:rsid w:val="003A36E6"/>
    <w:rsid w:val="003A51EB"/>
    <w:rsid w:val="003B68D2"/>
    <w:rsid w:val="003C27E4"/>
    <w:rsid w:val="003C4CDA"/>
    <w:rsid w:val="003C4E32"/>
    <w:rsid w:val="003D0C27"/>
    <w:rsid w:val="003D1F88"/>
    <w:rsid w:val="003E0972"/>
    <w:rsid w:val="003E162A"/>
    <w:rsid w:val="003E17E7"/>
    <w:rsid w:val="003E45EB"/>
    <w:rsid w:val="003E4BA7"/>
    <w:rsid w:val="003E6892"/>
    <w:rsid w:val="003E7B46"/>
    <w:rsid w:val="003F28DF"/>
    <w:rsid w:val="003F6BFC"/>
    <w:rsid w:val="0040098F"/>
    <w:rsid w:val="00402B05"/>
    <w:rsid w:val="004046C7"/>
    <w:rsid w:val="004048C7"/>
    <w:rsid w:val="004103EB"/>
    <w:rsid w:val="00411195"/>
    <w:rsid w:val="004137DA"/>
    <w:rsid w:val="00414D94"/>
    <w:rsid w:val="00417E25"/>
    <w:rsid w:val="004209D2"/>
    <w:rsid w:val="00420D87"/>
    <w:rsid w:val="004222CE"/>
    <w:rsid w:val="00422D9F"/>
    <w:rsid w:val="00423E52"/>
    <w:rsid w:val="00425968"/>
    <w:rsid w:val="00425D58"/>
    <w:rsid w:val="004263A4"/>
    <w:rsid w:val="0042657A"/>
    <w:rsid w:val="00427649"/>
    <w:rsid w:val="004302EB"/>
    <w:rsid w:val="004324C9"/>
    <w:rsid w:val="00432E60"/>
    <w:rsid w:val="00441A08"/>
    <w:rsid w:val="00442DFE"/>
    <w:rsid w:val="004438AA"/>
    <w:rsid w:val="00446ECA"/>
    <w:rsid w:val="00453CF2"/>
    <w:rsid w:val="00456D47"/>
    <w:rsid w:val="00457BB6"/>
    <w:rsid w:val="00464CB7"/>
    <w:rsid w:val="0046557C"/>
    <w:rsid w:val="004661A4"/>
    <w:rsid w:val="00470972"/>
    <w:rsid w:val="00470EA4"/>
    <w:rsid w:val="00472577"/>
    <w:rsid w:val="00473088"/>
    <w:rsid w:val="00475ACD"/>
    <w:rsid w:val="00490D72"/>
    <w:rsid w:val="004913E5"/>
    <w:rsid w:val="00496936"/>
    <w:rsid w:val="004971D9"/>
    <w:rsid w:val="004A0B4B"/>
    <w:rsid w:val="004A1097"/>
    <w:rsid w:val="004A69C0"/>
    <w:rsid w:val="004A6FAD"/>
    <w:rsid w:val="004B16F4"/>
    <w:rsid w:val="004B43A9"/>
    <w:rsid w:val="004B61D3"/>
    <w:rsid w:val="004B6CA8"/>
    <w:rsid w:val="004C00C9"/>
    <w:rsid w:val="004C0F32"/>
    <w:rsid w:val="004C6C26"/>
    <w:rsid w:val="004D1CCC"/>
    <w:rsid w:val="004D55AC"/>
    <w:rsid w:val="004E0AD6"/>
    <w:rsid w:val="004E11D4"/>
    <w:rsid w:val="004E3107"/>
    <w:rsid w:val="004E74C4"/>
    <w:rsid w:val="004F090F"/>
    <w:rsid w:val="004F1F24"/>
    <w:rsid w:val="004F279E"/>
    <w:rsid w:val="004F40D4"/>
    <w:rsid w:val="004F6106"/>
    <w:rsid w:val="005035B3"/>
    <w:rsid w:val="00507AD1"/>
    <w:rsid w:val="00511DBA"/>
    <w:rsid w:val="00517CCE"/>
    <w:rsid w:val="00520383"/>
    <w:rsid w:val="005214F1"/>
    <w:rsid w:val="005229B8"/>
    <w:rsid w:val="00523D9B"/>
    <w:rsid w:val="00536317"/>
    <w:rsid w:val="00537DB0"/>
    <w:rsid w:val="0054016C"/>
    <w:rsid w:val="005403B5"/>
    <w:rsid w:val="00541C1F"/>
    <w:rsid w:val="00541F23"/>
    <w:rsid w:val="005515C1"/>
    <w:rsid w:val="0055362F"/>
    <w:rsid w:val="00554C83"/>
    <w:rsid w:val="00556608"/>
    <w:rsid w:val="0056076F"/>
    <w:rsid w:val="00561AC0"/>
    <w:rsid w:val="00562088"/>
    <w:rsid w:val="00565AE9"/>
    <w:rsid w:val="00567351"/>
    <w:rsid w:val="00573008"/>
    <w:rsid w:val="00577596"/>
    <w:rsid w:val="00581ED5"/>
    <w:rsid w:val="005827E6"/>
    <w:rsid w:val="0058295B"/>
    <w:rsid w:val="00583B21"/>
    <w:rsid w:val="00586C37"/>
    <w:rsid w:val="00593A8E"/>
    <w:rsid w:val="00596305"/>
    <w:rsid w:val="005A2DD9"/>
    <w:rsid w:val="005A4A4A"/>
    <w:rsid w:val="005A7690"/>
    <w:rsid w:val="005B1714"/>
    <w:rsid w:val="005C0497"/>
    <w:rsid w:val="005C780E"/>
    <w:rsid w:val="005D0A5E"/>
    <w:rsid w:val="005D1D7E"/>
    <w:rsid w:val="005D3C6A"/>
    <w:rsid w:val="005D4876"/>
    <w:rsid w:val="005D582B"/>
    <w:rsid w:val="005E10FA"/>
    <w:rsid w:val="005E4496"/>
    <w:rsid w:val="005E50D2"/>
    <w:rsid w:val="005F3973"/>
    <w:rsid w:val="005F4116"/>
    <w:rsid w:val="005F7C67"/>
    <w:rsid w:val="00602E7C"/>
    <w:rsid w:val="0060304D"/>
    <w:rsid w:val="006044F3"/>
    <w:rsid w:val="006048C7"/>
    <w:rsid w:val="0060614D"/>
    <w:rsid w:val="00606431"/>
    <w:rsid w:val="0061053F"/>
    <w:rsid w:val="00615932"/>
    <w:rsid w:val="00615CC7"/>
    <w:rsid w:val="00616CC6"/>
    <w:rsid w:val="006227EA"/>
    <w:rsid w:val="0062348D"/>
    <w:rsid w:val="0062580A"/>
    <w:rsid w:val="00630F3B"/>
    <w:rsid w:val="006318CC"/>
    <w:rsid w:val="00631E8C"/>
    <w:rsid w:val="006374FC"/>
    <w:rsid w:val="0063799A"/>
    <w:rsid w:val="006450EA"/>
    <w:rsid w:val="00646BFE"/>
    <w:rsid w:val="00650F8A"/>
    <w:rsid w:val="00651661"/>
    <w:rsid w:val="006534D6"/>
    <w:rsid w:val="0065594C"/>
    <w:rsid w:val="00663B0F"/>
    <w:rsid w:val="00665187"/>
    <w:rsid w:val="0066525A"/>
    <w:rsid w:val="00667632"/>
    <w:rsid w:val="0067091B"/>
    <w:rsid w:val="00671D85"/>
    <w:rsid w:val="0067421B"/>
    <w:rsid w:val="0067527E"/>
    <w:rsid w:val="006752D3"/>
    <w:rsid w:val="00675EF0"/>
    <w:rsid w:val="00677E83"/>
    <w:rsid w:val="00682083"/>
    <w:rsid w:val="006878D7"/>
    <w:rsid w:val="00691B3E"/>
    <w:rsid w:val="00692DAD"/>
    <w:rsid w:val="006A338B"/>
    <w:rsid w:val="006A3963"/>
    <w:rsid w:val="006B02C7"/>
    <w:rsid w:val="006B1648"/>
    <w:rsid w:val="006B567B"/>
    <w:rsid w:val="006B79E5"/>
    <w:rsid w:val="006B7CB4"/>
    <w:rsid w:val="006C0759"/>
    <w:rsid w:val="006C5F0B"/>
    <w:rsid w:val="006D0FB8"/>
    <w:rsid w:val="006D1564"/>
    <w:rsid w:val="006D201F"/>
    <w:rsid w:val="006D5BB9"/>
    <w:rsid w:val="006E08F1"/>
    <w:rsid w:val="006E2BF1"/>
    <w:rsid w:val="006E3A06"/>
    <w:rsid w:val="006E40AB"/>
    <w:rsid w:val="006E689A"/>
    <w:rsid w:val="006E7151"/>
    <w:rsid w:val="006E7EC5"/>
    <w:rsid w:val="006F0CAB"/>
    <w:rsid w:val="006F5B04"/>
    <w:rsid w:val="006F72E2"/>
    <w:rsid w:val="00701FDA"/>
    <w:rsid w:val="00706194"/>
    <w:rsid w:val="007064CA"/>
    <w:rsid w:val="00710725"/>
    <w:rsid w:val="00711450"/>
    <w:rsid w:val="00711F22"/>
    <w:rsid w:val="007130F5"/>
    <w:rsid w:val="00715E01"/>
    <w:rsid w:val="00723156"/>
    <w:rsid w:val="00726AFA"/>
    <w:rsid w:val="00731516"/>
    <w:rsid w:val="0073403B"/>
    <w:rsid w:val="00734447"/>
    <w:rsid w:val="0073535E"/>
    <w:rsid w:val="007378F3"/>
    <w:rsid w:val="0074130A"/>
    <w:rsid w:val="00742AD9"/>
    <w:rsid w:val="00744D71"/>
    <w:rsid w:val="007540EA"/>
    <w:rsid w:val="00765E60"/>
    <w:rsid w:val="00765EA3"/>
    <w:rsid w:val="00766540"/>
    <w:rsid w:val="00772612"/>
    <w:rsid w:val="007757EC"/>
    <w:rsid w:val="0078097E"/>
    <w:rsid w:val="00781631"/>
    <w:rsid w:val="00782648"/>
    <w:rsid w:val="007836E9"/>
    <w:rsid w:val="00786537"/>
    <w:rsid w:val="0078714F"/>
    <w:rsid w:val="00787EF8"/>
    <w:rsid w:val="007914E8"/>
    <w:rsid w:val="00795945"/>
    <w:rsid w:val="00795ADA"/>
    <w:rsid w:val="007A2BAE"/>
    <w:rsid w:val="007A3D2A"/>
    <w:rsid w:val="007A4593"/>
    <w:rsid w:val="007A57F1"/>
    <w:rsid w:val="007A5F8D"/>
    <w:rsid w:val="007B13B8"/>
    <w:rsid w:val="007B1BEC"/>
    <w:rsid w:val="007C1236"/>
    <w:rsid w:val="007C7D10"/>
    <w:rsid w:val="007D0E54"/>
    <w:rsid w:val="007D16FA"/>
    <w:rsid w:val="007D482A"/>
    <w:rsid w:val="007E20E4"/>
    <w:rsid w:val="007E221A"/>
    <w:rsid w:val="007E45A0"/>
    <w:rsid w:val="007F4DB3"/>
    <w:rsid w:val="008021C9"/>
    <w:rsid w:val="00806439"/>
    <w:rsid w:val="008071D8"/>
    <w:rsid w:val="00813D3B"/>
    <w:rsid w:val="00814451"/>
    <w:rsid w:val="00822418"/>
    <w:rsid w:val="0083134B"/>
    <w:rsid w:val="00831787"/>
    <w:rsid w:val="00835421"/>
    <w:rsid w:val="008373CA"/>
    <w:rsid w:val="00841F0D"/>
    <w:rsid w:val="00843651"/>
    <w:rsid w:val="00844FE8"/>
    <w:rsid w:val="00845871"/>
    <w:rsid w:val="00847E19"/>
    <w:rsid w:val="00856847"/>
    <w:rsid w:val="008626D1"/>
    <w:rsid w:val="0086490D"/>
    <w:rsid w:val="00865099"/>
    <w:rsid w:val="00865F1E"/>
    <w:rsid w:val="00867309"/>
    <w:rsid w:val="00873D67"/>
    <w:rsid w:val="00874A3E"/>
    <w:rsid w:val="00874DF5"/>
    <w:rsid w:val="00875A98"/>
    <w:rsid w:val="00876B99"/>
    <w:rsid w:val="008773AE"/>
    <w:rsid w:val="008812C6"/>
    <w:rsid w:val="00881EFA"/>
    <w:rsid w:val="008836EB"/>
    <w:rsid w:val="008858E2"/>
    <w:rsid w:val="00885B68"/>
    <w:rsid w:val="00887187"/>
    <w:rsid w:val="00890DC1"/>
    <w:rsid w:val="00892DB8"/>
    <w:rsid w:val="00894CED"/>
    <w:rsid w:val="008A3093"/>
    <w:rsid w:val="008A4D31"/>
    <w:rsid w:val="008B4FF8"/>
    <w:rsid w:val="008B743A"/>
    <w:rsid w:val="008B7725"/>
    <w:rsid w:val="008B786F"/>
    <w:rsid w:val="008B79A6"/>
    <w:rsid w:val="008C50AC"/>
    <w:rsid w:val="008C5AD4"/>
    <w:rsid w:val="008C730A"/>
    <w:rsid w:val="008D174E"/>
    <w:rsid w:val="008D53A8"/>
    <w:rsid w:val="008D6C7F"/>
    <w:rsid w:val="008E0A82"/>
    <w:rsid w:val="008E3D6D"/>
    <w:rsid w:val="008E5284"/>
    <w:rsid w:val="008E655C"/>
    <w:rsid w:val="008E7630"/>
    <w:rsid w:val="008F11C0"/>
    <w:rsid w:val="008F3AD2"/>
    <w:rsid w:val="008F4277"/>
    <w:rsid w:val="008F6AC9"/>
    <w:rsid w:val="009027BD"/>
    <w:rsid w:val="009031DA"/>
    <w:rsid w:val="00905D64"/>
    <w:rsid w:val="00906DA6"/>
    <w:rsid w:val="0090711C"/>
    <w:rsid w:val="00916CF8"/>
    <w:rsid w:val="00921494"/>
    <w:rsid w:val="009224E7"/>
    <w:rsid w:val="00923666"/>
    <w:rsid w:val="00940559"/>
    <w:rsid w:val="0094727A"/>
    <w:rsid w:val="0095062B"/>
    <w:rsid w:val="0095144A"/>
    <w:rsid w:val="00951E35"/>
    <w:rsid w:val="00952CEB"/>
    <w:rsid w:val="00957C77"/>
    <w:rsid w:val="0096197F"/>
    <w:rsid w:val="0096367C"/>
    <w:rsid w:val="009646FD"/>
    <w:rsid w:val="00970C34"/>
    <w:rsid w:val="00971239"/>
    <w:rsid w:val="009712F1"/>
    <w:rsid w:val="00971A14"/>
    <w:rsid w:val="00976A46"/>
    <w:rsid w:val="00983B42"/>
    <w:rsid w:val="0098474F"/>
    <w:rsid w:val="009853EC"/>
    <w:rsid w:val="00987876"/>
    <w:rsid w:val="00993ACE"/>
    <w:rsid w:val="00994775"/>
    <w:rsid w:val="009961B2"/>
    <w:rsid w:val="00996F48"/>
    <w:rsid w:val="009A4AC4"/>
    <w:rsid w:val="009A62A2"/>
    <w:rsid w:val="009B2984"/>
    <w:rsid w:val="009B4C8C"/>
    <w:rsid w:val="009B4EC1"/>
    <w:rsid w:val="009C2159"/>
    <w:rsid w:val="009C2291"/>
    <w:rsid w:val="009C6EB9"/>
    <w:rsid w:val="009D10B9"/>
    <w:rsid w:val="009D1F69"/>
    <w:rsid w:val="009D223D"/>
    <w:rsid w:val="009D3A47"/>
    <w:rsid w:val="009D7CEE"/>
    <w:rsid w:val="009E114D"/>
    <w:rsid w:val="009E52B5"/>
    <w:rsid w:val="009E669E"/>
    <w:rsid w:val="009F0BB9"/>
    <w:rsid w:val="009F2B25"/>
    <w:rsid w:val="009F2FD6"/>
    <w:rsid w:val="009F476E"/>
    <w:rsid w:val="009F4A5B"/>
    <w:rsid w:val="00A00179"/>
    <w:rsid w:val="00A01478"/>
    <w:rsid w:val="00A06F4A"/>
    <w:rsid w:val="00A07777"/>
    <w:rsid w:val="00A07E2C"/>
    <w:rsid w:val="00A14FD6"/>
    <w:rsid w:val="00A208AA"/>
    <w:rsid w:val="00A23BA7"/>
    <w:rsid w:val="00A25849"/>
    <w:rsid w:val="00A26945"/>
    <w:rsid w:val="00A32832"/>
    <w:rsid w:val="00A32CE3"/>
    <w:rsid w:val="00A32D15"/>
    <w:rsid w:val="00A35A8D"/>
    <w:rsid w:val="00A3740E"/>
    <w:rsid w:val="00A50758"/>
    <w:rsid w:val="00A54EE9"/>
    <w:rsid w:val="00A55E7F"/>
    <w:rsid w:val="00A60062"/>
    <w:rsid w:val="00A71B15"/>
    <w:rsid w:val="00A74FEF"/>
    <w:rsid w:val="00A77486"/>
    <w:rsid w:val="00A80623"/>
    <w:rsid w:val="00A83F32"/>
    <w:rsid w:val="00A84420"/>
    <w:rsid w:val="00A84907"/>
    <w:rsid w:val="00A8497D"/>
    <w:rsid w:val="00A875F7"/>
    <w:rsid w:val="00A87C87"/>
    <w:rsid w:val="00A87DD9"/>
    <w:rsid w:val="00A97685"/>
    <w:rsid w:val="00AA5E1B"/>
    <w:rsid w:val="00AA5E81"/>
    <w:rsid w:val="00AB6437"/>
    <w:rsid w:val="00AC0145"/>
    <w:rsid w:val="00AC3C66"/>
    <w:rsid w:val="00AD04B9"/>
    <w:rsid w:val="00AD1D90"/>
    <w:rsid w:val="00AD69D9"/>
    <w:rsid w:val="00AE3F7E"/>
    <w:rsid w:val="00AE5276"/>
    <w:rsid w:val="00AF23CE"/>
    <w:rsid w:val="00AF2806"/>
    <w:rsid w:val="00AF5DC0"/>
    <w:rsid w:val="00AF74B3"/>
    <w:rsid w:val="00B021E8"/>
    <w:rsid w:val="00B048BA"/>
    <w:rsid w:val="00B06C66"/>
    <w:rsid w:val="00B1006F"/>
    <w:rsid w:val="00B1071A"/>
    <w:rsid w:val="00B113BC"/>
    <w:rsid w:val="00B17941"/>
    <w:rsid w:val="00B20EBF"/>
    <w:rsid w:val="00B265D4"/>
    <w:rsid w:val="00B3400F"/>
    <w:rsid w:val="00B35006"/>
    <w:rsid w:val="00B3667A"/>
    <w:rsid w:val="00B36F24"/>
    <w:rsid w:val="00B406FE"/>
    <w:rsid w:val="00B456C2"/>
    <w:rsid w:val="00B463CC"/>
    <w:rsid w:val="00B525AF"/>
    <w:rsid w:val="00B5299A"/>
    <w:rsid w:val="00B53317"/>
    <w:rsid w:val="00B5392C"/>
    <w:rsid w:val="00B544E6"/>
    <w:rsid w:val="00B61DE5"/>
    <w:rsid w:val="00B65E25"/>
    <w:rsid w:val="00B70DE8"/>
    <w:rsid w:val="00B751ED"/>
    <w:rsid w:val="00B762FC"/>
    <w:rsid w:val="00B84ACC"/>
    <w:rsid w:val="00B9120B"/>
    <w:rsid w:val="00BA5062"/>
    <w:rsid w:val="00BA6911"/>
    <w:rsid w:val="00BB1E01"/>
    <w:rsid w:val="00BB4338"/>
    <w:rsid w:val="00BB5D49"/>
    <w:rsid w:val="00BB67AE"/>
    <w:rsid w:val="00BB7AA4"/>
    <w:rsid w:val="00BC16FF"/>
    <w:rsid w:val="00BC1C71"/>
    <w:rsid w:val="00BC2471"/>
    <w:rsid w:val="00BD17D4"/>
    <w:rsid w:val="00BD1C1F"/>
    <w:rsid w:val="00BD4E55"/>
    <w:rsid w:val="00BE0507"/>
    <w:rsid w:val="00BE1696"/>
    <w:rsid w:val="00BE178D"/>
    <w:rsid w:val="00BE5278"/>
    <w:rsid w:val="00BE6D62"/>
    <w:rsid w:val="00BE760B"/>
    <w:rsid w:val="00BE797E"/>
    <w:rsid w:val="00BF161F"/>
    <w:rsid w:val="00BF20BF"/>
    <w:rsid w:val="00BF2D80"/>
    <w:rsid w:val="00BF59BD"/>
    <w:rsid w:val="00BF5B23"/>
    <w:rsid w:val="00BF6668"/>
    <w:rsid w:val="00C017BB"/>
    <w:rsid w:val="00C02240"/>
    <w:rsid w:val="00C0618B"/>
    <w:rsid w:val="00C0790A"/>
    <w:rsid w:val="00C10288"/>
    <w:rsid w:val="00C10F05"/>
    <w:rsid w:val="00C153F4"/>
    <w:rsid w:val="00C218CA"/>
    <w:rsid w:val="00C23CB5"/>
    <w:rsid w:val="00C257D6"/>
    <w:rsid w:val="00C3359E"/>
    <w:rsid w:val="00C420A5"/>
    <w:rsid w:val="00C4232B"/>
    <w:rsid w:val="00C572EC"/>
    <w:rsid w:val="00C57421"/>
    <w:rsid w:val="00C57CF7"/>
    <w:rsid w:val="00C62705"/>
    <w:rsid w:val="00C63C31"/>
    <w:rsid w:val="00C63D01"/>
    <w:rsid w:val="00C6581E"/>
    <w:rsid w:val="00C66D7E"/>
    <w:rsid w:val="00C66FD6"/>
    <w:rsid w:val="00C72E3D"/>
    <w:rsid w:val="00C76520"/>
    <w:rsid w:val="00C802E1"/>
    <w:rsid w:val="00C818DF"/>
    <w:rsid w:val="00C81B13"/>
    <w:rsid w:val="00C840B6"/>
    <w:rsid w:val="00C8674F"/>
    <w:rsid w:val="00C8739C"/>
    <w:rsid w:val="00C92C25"/>
    <w:rsid w:val="00C9390B"/>
    <w:rsid w:val="00C95F19"/>
    <w:rsid w:val="00C96391"/>
    <w:rsid w:val="00C96795"/>
    <w:rsid w:val="00CA4167"/>
    <w:rsid w:val="00CA4A8E"/>
    <w:rsid w:val="00CA5F46"/>
    <w:rsid w:val="00CA6D0E"/>
    <w:rsid w:val="00CB0D28"/>
    <w:rsid w:val="00CB3D3D"/>
    <w:rsid w:val="00CB5D9B"/>
    <w:rsid w:val="00CB7314"/>
    <w:rsid w:val="00CC25C2"/>
    <w:rsid w:val="00CC3732"/>
    <w:rsid w:val="00CC5D1E"/>
    <w:rsid w:val="00CC6F2D"/>
    <w:rsid w:val="00CD635C"/>
    <w:rsid w:val="00CE0A9C"/>
    <w:rsid w:val="00CE16D2"/>
    <w:rsid w:val="00CE3C4C"/>
    <w:rsid w:val="00D10433"/>
    <w:rsid w:val="00D10667"/>
    <w:rsid w:val="00D12E95"/>
    <w:rsid w:val="00D13DBD"/>
    <w:rsid w:val="00D1673A"/>
    <w:rsid w:val="00D174BC"/>
    <w:rsid w:val="00D17C1A"/>
    <w:rsid w:val="00D20408"/>
    <w:rsid w:val="00D21AB0"/>
    <w:rsid w:val="00D22A8C"/>
    <w:rsid w:val="00D2521D"/>
    <w:rsid w:val="00D301A5"/>
    <w:rsid w:val="00D3165D"/>
    <w:rsid w:val="00D34B34"/>
    <w:rsid w:val="00D370F8"/>
    <w:rsid w:val="00D37800"/>
    <w:rsid w:val="00D431E7"/>
    <w:rsid w:val="00D43C35"/>
    <w:rsid w:val="00D44ACF"/>
    <w:rsid w:val="00D50172"/>
    <w:rsid w:val="00D53D16"/>
    <w:rsid w:val="00D55C10"/>
    <w:rsid w:val="00D56D57"/>
    <w:rsid w:val="00D60ADA"/>
    <w:rsid w:val="00D61E8F"/>
    <w:rsid w:val="00D72412"/>
    <w:rsid w:val="00D75FD0"/>
    <w:rsid w:val="00D775D7"/>
    <w:rsid w:val="00D8464A"/>
    <w:rsid w:val="00D91264"/>
    <w:rsid w:val="00D95DCD"/>
    <w:rsid w:val="00D96685"/>
    <w:rsid w:val="00D97145"/>
    <w:rsid w:val="00DA0A29"/>
    <w:rsid w:val="00DA2D43"/>
    <w:rsid w:val="00DA4B8A"/>
    <w:rsid w:val="00DA5EDA"/>
    <w:rsid w:val="00DB1E21"/>
    <w:rsid w:val="00DB678A"/>
    <w:rsid w:val="00DB6A0F"/>
    <w:rsid w:val="00DC167B"/>
    <w:rsid w:val="00DD2563"/>
    <w:rsid w:val="00DD2D47"/>
    <w:rsid w:val="00DD47C2"/>
    <w:rsid w:val="00DE2D09"/>
    <w:rsid w:val="00DE354C"/>
    <w:rsid w:val="00DE608D"/>
    <w:rsid w:val="00DE610F"/>
    <w:rsid w:val="00DE6773"/>
    <w:rsid w:val="00DF04F6"/>
    <w:rsid w:val="00DF0C05"/>
    <w:rsid w:val="00DF1E59"/>
    <w:rsid w:val="00DF31AA"/>
    <w:rsid w:val="00DF4FC5"/>
    <w:rsid w:val="00DF5E0B"/>
    <w:rsid w:val="00DF7AD9"/>
    <w:rsid w:val="00DF7FF7"/>
    <w:rsid w:val="00E0348B"/>
    <w:rsid w:val="00E03F3C"/>
    <w:rsid w:val="00E075D9"/>
    <w:rsid w:val="00E07E32"/>
    <w:rsid w:val="00E1001A"/>
    <w:rsid w:val="00E126E1"/>
    <w:rsid w:val="00E218E6"/>
    <w:rsid w:val="00E2359F"/>
    <w:rsid w:val="00E23DFA"/>
    <w:rsid w:val="00E23E34"/>
    <w:rsid w:val="00E2669E"/>
    <w:rsid w:val="00E30F44"/>
    <w:rsid w:val="00E31A4C"/>
    <w:rsid w:val="00E36271"/>
    <w:rsid w:val="00E4369A"/>
    <w:rsid w:val="00E451DB"/>
    <w:rsid w:val="00E460F2"/>
    <w:rsid w:val="00E469C1"/>
    <w:rsid w:val="00E520BD"/>
    <w:rsid w:val="00E53AB1"/>
    <w:rsid w:val="00E549BD"/>
    <w:rsid w:val="00E552D5"/>
    <w:rsid w:val="00E564AA"/>
    <w:rsid w:val="00E56614"/>
    <w:rsid w:val="00E635BC"/>
    <w:rsid w:val="00E64F4F"/>
    <w:rsid w:val="00E65B74"/>
    <w:rsid w:val="00E67022"/>
    <w:rsid w:val="00E67AE4"/>
    <w:rsid w:val="00E71E44"/>
    <w:rsid w:val="00E7296F"/>
    <w:rsid w:val="00E72DB9"/>
    <w:rsid w:val="00E73DA9"/>
    <w:rsid w:val="00E74DFF"/>
    <w:rsid w:val="00E75C7F"/>
    <w:rsid w:val="00E76021"/>
    <w:rsid w:val="00E773C1"/>
    <w:rsid w:val="00E7766D"/>
    <w:rsid w:val="00E82974"/>
    <w:rsid w:val="00E91099"/>
    <w:rsid w:val="00E93ECE"/>
    <w:rsid w:val="00E9433D"/>
    <w:rsid w:val="00E9717D"/>
    <w:rsid w:val="00EA2CDE"/>
    <w:rsid w:val="00EA4B97"/>
    <w:rsid w:val="00EA6984"/>
    <w:rsid w:val="00EB3ABD"/>
    <w:rsid w:val="00EB6ECC"/>
    <w:rsid w:val="00EC2F28"/>
    <w:rsid w:val="00EC3804"/>
    <w:rsid w:val="00EC7863"/>
    <w:rsid w:val="00ED0C2E"/>
    <w:rsid w:val="00ED0CC6"/>
    <w:rsid w:val="00EE01BA"/>
    <w:rsid w:val="00EE13AA"/>
    <w:rsid w:val="00EE1D2C"/>
    <w:rsid w:val="00EF051F"/>
    <w:rsid w:val="00EF252D"/>
    <w:rsid w:val="00F001B7"/>
    <w:rsid w:val="00F00DCA"/>
    <w:rsid w:val="00F06AED"/>
    <w:rsid w:val="00F1099E"/>
    <w:rsid w:val="00F11753"/>
    <w:rsid w:val="00F15026"/>
    <w:rsid w:val="00F2229B"/>
    <w:rsid w:val="00F24C5A"/>
    <w:rsid w:val="00F2567F"/>
    <w:rsid w:val="00F3703A"/>
    <w:rsid w:val="00F37829"/>
    <w:rsid w:val="00F3788C"/>
    <w:rsid w:val="00F405F1"/>
    <w:rsid w:val="00F413C2"/>
    <w:rsid w:val="00F420CA"/>
    <w:rsid w:val="00F4457C"/>
    <w:rsid w:val="00F44D8B"/>
    <w:rsid w:val="00F4577C"/>
    <w:rsid w:val="00F463F3"/>
    <w:rsid w:val="00F46D46"/>
    <w:rsid w:val="00F5330B"/>
    <w:rsid w:val="00F536D5"/>
    <w:rsid w:val="00F55071"/>
    <w:rsid w:val="00F562B9"/>
    <w:rsid w:val="00F616C7"/>
    <w:rsid w:val="00F63889"/>
    <w:rsid w:val="00F65680"/>
    <w:rsid w:val="00F70213"/>
    <w:rsid w:val="00F7177A"/>
    <w:rsid w:val="00F752BE"/>
    <w:rsid w:val="00F766E1"/>
    <w:rsid w:val="00F80F17"/>
    <w:rsid w:val="00F81003"/>
    <w:rsid w:val="00F82285"/>
    <w:rsid w:val="00F84C6A"/>
    <w:rsid w:val="00F854AB"/>
    <w:rsid w:val="00F8691A"/>
    <w:rsid w:val="00F86AB5"/>
    <w:rsid w:val="00F91118"/>
    <w:rsid w:val="00F91CE5"/>
    <w:rsid w:val="00F96147"/>
    <w:rsid w:val="00FA56BB"/>
    <w:rsid w:val="00FA5F4E"/>
    <w:rsid w:val="00FA5F78"/>
    <w:rsid w:val="00FA6116"/>
    <w:rsid w:val="00FB0C7C"/>
    <w:rsid w:val="00FB23AD"/>
    <w:rsid w:val="00FC2E59"/>
    <w:rsid w:val="00FC39B2"/>
    <w:rsid w:val="00FC3BE1"/>
    <w:rsid w:val="00FC52FD"/>
    <w:rsid w:val="00FC6949"/>
    <w:rsid w:val="00FD0772"/>
    <w:rsid w:val="00FD2058"/>
    <w:rsid w:val="00FD6608"/>
    <w:rsid w:val="00FD66F3"/>
    <w:rsid w:val="00FE28E9"/>
    <w:rsid w:val="00FE38D7"/>
    <w:rsid w:val="00FE3F2D"/>
    <w:rsid w:val="00FE492D"/>
    <w:rsid w:val="00FE5E7E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A893"/>
  <w15:chartTrackingRefBased/>
  <w15:docId w15:val="{AED83A21-16B5-48D4-A2AF-C70C552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8C730A"/>
    <w:pPr>
      <w:keepNext/>
      <w:keepLines/>
      <w:spacing w:before="120" w:after="120" w:line="240" w:lineRule="auto"/>
      <w:outlineLvl w:val="1"/>
    </w:pPr>
    <w:rPr>
      <w:rFonts w:ascii="Calibri" w:eastAsia="Times New Roman" w:hAnsi="Calibri" w:cs="Calibri"/>
      <w:b/>
      <w:sz w:val="28"/>
      <w:szCs w:val="36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C730A"/>
    <w:pPr>
      <w:keepNext/>
      <w:keepLines/>
      <w:spacing w:before="120" w:after="120" w:line="240" w:lineRule="auto"/>
      <w:outlineLvl w:val="2"/>
    </w:pPr>
    <w:rPr>
      <w:rFonts w:ascii="Calibri" w:eastAsia="Times New Roman" w:hAnsi="Calibri" w:cs="Calibri"/>
      <w:b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C730A"/>
    <w:rPr>
      <w:rFonts w:ascii="Calibri" w:eastAsia="Times New Roman" w:hAnsi="Calibri" w:cs="Calibri"/>
      <w:b/>
      <w:sz w:val="28"/>
      <w:szCs w:val="3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C730A"/>
    <w:rPr>
      <w:rFonts w:ascii="Calibri" w:eastAsia="Times New Roman" w:hAnsi="Calibri" w:cs="Calibri"/>
      <w:b/>
      <w:sz w:val="24"/>
      <w:szCs w:val="28"/>
      <w:lang w:eastAsia="pt-BR"/>
    </w:rPr>
  </w:style>
  <w:style w:type="paragraph" w:styleId="Commarcadores">
    <w:name w:val="List Bullet"/>
    <w:basedOn w:val="Normal"/>
    <w:uiPriority w:val="99"/>
    <w:semiHidden/>
    <w:unhideWhenUsed/>
    <w:rsid w:val="008C730A"/>
    <w:pPr>
      <w:numPr>
        <w:numId w:val="1"/>
      </w:numPr>
      <w:suppressAutoHyphens/>
      <w:spacing w:after="0" w:line="360" w:lineRule="auto"/>
      <w:contextualSpacing/>
      <w:jc w:val="both"/>
    </w:pPr>
    <w:rPr>
      <w:rFonts w:ascii="Times New Roman" w:eastAsia="Droid Sans Fallback" w:hAnsi="Times New Roman" w:cs="Calibri"/>
      <w:color w:val="00000A"/>
      <w:kern w:val="2"/>
      <w:sz w:val="24"/>
      <w:lang w:eastAsia="zh-CN"/>
    </w:rPr>
  </w:style>
  <w:style w:type="character" w:styleId="Hyperlink">
    <w:name w:val="Hyperlink"/>
    <w:basedOn w:val="Fontepargpadro"/>
    <w:uiPriority w:val="99"/>
    <w:unhideWhenUsed/>
    <w:rsid w:val="008C730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32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CB7"/>
  </w:style>
  <w:style w:type="paragraph" w:styleId="Rodap">
    <w:name w:val="footer"/>
    <w:basedOn w:val="Normal"/>
    <w:link w:val="RodapChar"/>
    <w:uiPriority w:val="99"/>
    <w:unhideWhenUsed/>
    <w:rsid w:val="0046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CB7"/>
  </w:style>
  <w:style w:type="paragraph" w:styleId="Textodenotaderodap">
    <w:name w:val="footnote text"/>
    <w:basedOn w:val="Normal"/>
    <w:link w:val="TextodenotaderodapChar"/>
    <w:uiPriority w:val="99"/>
    <w:unhideWhenUsed/>
    <w:rsid w:val="00464C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64C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4CB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C3C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3">
    <w:name w:val="Grid Table 3"/>
    <w:basedOn w:val="Tabelanormal"/>
    <w:uiPriority w:val="48"/>
    <w:rsid w:val="005A2D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comgrade">
    <w:name w:val="Table Grid"/>
    <w:basedOn w:val="Tabelanormal"/>
    <w:uiPriority w:val="39"/>
    <w:rsid w:val="005A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23BA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23C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C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C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CB5"/>
    <w:rPr>
      <w:b/>
      <w:bCs/>
      <w:sz w:val="20"/>
      <w:szCs w:val="20"/>
    </w:rPr>
  </w:style>
  <w:style w:type="character" w:customStyle="1" w:styleId="tl8wme">
    <w:name w:val="tl8wme"/>
    <w:basedOn w:val="Fontepargpadro"/>
    <w:rsid w:val="00795945"/>
  </w:style>
  <w:style w:type="paragraph" w:styleId="Pr-formataoHTML">
    <w:name w:val="HTML Preformatted"/>
    <w:basedOn w:val="Normal"/>
    <w:link w:val="Pr-formataoHTMLChar"/>
    <w:uiPriority w:val="99"/>
    <w:unhideWhenUsed/>
    <w:rsid w:val="007A3D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3D2A"/>
    <w:rPr>
      <w:rFonts w:ascii="Consolas" w:hAnsi="Consolas"/>
      <w:sz w:val="20"/>
      <w:szCs w:val="20"/>
    </w:rPr>
  </w:style>
  <w:style w:type="character" w:customStyle="1" w:styleId="y2iqfc">
    <w:name w:val="y2iqfc"/>
    <w:basedOn w:val="Fontepargpadro"/>
    <w:rsid w:val="00A50758"/>
  </w:style>
  <w:style w:type="character" w:styleId="nfase">
    <w:name w:val="Emphasis"/>
    <w:basedOn w:val="Fontepargpadro"/>
    <w:uiPriority w:val="20"/>
    <w:qFormat/>
    <w:rsid w:val="00EF0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94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43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4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6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860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1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57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vo.justica.gov.br/sua-seguranca-2/seguranca-publica/analise-e-pesquisa/download/outras_publicacoes_externas/pagina-2/52analise-comparativa-da-arquitetura-organizacional-da-area-de-seguranca-publica.pdf" TargetMode="External"/><Relationship Id="rId18" Type="http://schemas.openxmlformats.org/officeDocument/2006/relationships/hyperlink" Target="https://nev.prp.usp.br/publicacao/anlises-e-propostas-polticas-municipais-de-segurana-cidad-problemas-e-solu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idh.oas.org/pdf%20files/SEGURIDAD%20CIUDADANA%202009%20ES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mciencia.scielo.br/pdf/cci/n98/a13.pdf" TargetMode="External"/><Relationship Id="rId17" Type="http://schemas.openxmlformats.org/officeDocument/2006/relationships/hyperlink" Target="https://nev.prp.usp.br/publicacao/anlises-e-propostas-polticas-municipais-de-segurana-cidad-problemas-e-solu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bservatoriodeseguranca.org/files/livro-prevdocrime%20ILANUD.pdf" TargetMode="External"/><Relationship Id="rId20" Type="http://schemas.openxmlformats.org/officeDocument/2006/relationships/hyperlink" Target="http://www.iidh.ed.cr/comunidades/seguridad/docs/seg_docpolicia/seguridad%20cuidadanaconcepciones%20y%20politica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camara.leg.br/a-camara/estruturaadm/altosestudos/pdf/agenda_seguranca_%20cidada.pdf" TargetMode="External"/><Relationship Id="rId24" Type="http://schemas.openxmlformats.org/officeDocument/2006/relationships/hyperlink" Target="https://www.prisonstudies.org/highest-to-lowest/prison_population_rate?field_region_taxonomy_tid=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seguranca.org.br/wp-content/uploads/2021/10/anuario-15-completo-v7-251021.pdf" TargetMode="External"/><Relationship Id="rId23" Type="http://schemas.openxmlformats.org/officeDocument/2006/relationships/hyperlink" Target="https://www.lexml.gov.br/urn/urn:lex:br:rede.virtual.bibliotecas:livro:2001;000594406" TargetMode="External"/><Relationship Id="rId10" Type="http://schemas.openxmlformats.org/officeDocument/2006/relationships/hyperlink" Target="https://www2.camara.leg.br/a-camara/estruturaadm/altosestudos/pdf/agenda_seguranca_%20cidada.pdf" TargetMode="External"/><Relationship Id="rId19" Type="http://schemas.openxmlformats.org/officeDocument/2006/relationships/hyperlink" Target="http://www.iidh.ed.cr/comunidades/seguridad/docs/seg_docpolicia/seguridad%20cuidadanaconcepciones%20y%20politica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ea.gov.br/participacao/images/pdfs/conferencias/Seguranca_Publica/texto_base_1_conferencia_seguranca_publica.pdf" TargetMode="External"/><Relationship Id="rId14" Type="http://schemas.openxmlformats.org/officeDocument/2006/relationships/hyperlink" Target="https://www.novo.justica.gov.br/sua-seguranca-2/seguranca-publica/analise-e-pesquisa/download/outras_publicacoes_externas/pagina-2/52analise-comparativa-da-arquitetura-organizacional-da-area-de-seguranca-publica.pdf" TargetMode="External"/><Relationship Id="rId22" Type="http://schemas.openxmlformats.org/officeDocument/2006/relationships/hyperlink" Target="https://www.cidh.oas.org/pdf%20files/SEGURIDAD%20CIUDADANA%202009%20ESP.pdf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unodc.un.org/dp-intentional-homicide-victim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BB42-9146-4473-949D-9B4B91BC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26</Pages>
  <Words>10920</Words>
  <Characters>58972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Maria Schabbach</dc:creator>
  <cp:keywords/>
  <dc:description/>
  <cp:lastModifiedBy>LETICIA MARIA SCHABBACH</cp:lastModifiedBy>
  <cp:revision>23</cp:revision>
  <dcterms:created xsi:type="dcterms:W3CDTF">2022-12-08T21:49:00Z</dcterms:created>
  <dcterms:modified xsi:type="dcterms:W3CDTF">2022-12-09T19:06:00Z</dcterms:modified>
</cp:coreProperties>
</file>