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Formulário sobre Conformidade com a Ciência Aberta</w:t>
        <w:br w:type="textWrapping"/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br w:type="textWrapping"/>
        <w:t xml:space="preserve">Por meio deste formulário os autores informam o periódico sobre a conformidade do manuscrito com as práticas de comunicação da Ciência Aberta. Os autores são solicitados a informar: (a) se o manuscrito é um preprint e, em caso positivo, sua localização; (b) se dados, códigos de programas e outros materiais subjacentes ao texto do manuscrito estão devidamente citados e referenciados; e, (c) se aceitam opções de abertura no processo de avaliação por pares.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Times" w:cs="Times" w:eastAsia="Times" w:hAnsi="Times"/>
          <w:b w:val="1"/>
          <w:color w:val="c00000"/>
          <w:sz w:val="26"/>
          <w:szCs w:val="26"/>
          <w:rtl w:val="0"/>
        </w:rPr>
        <w:t xml:space="preserve">Preprints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Depósito do manuscrito em um servidor de preprints reconhecido pelo periódico.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 manuscrito é um preprint?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Sim - Nome do servidor de Preprints: </w:t>
        <w:br w:type="textWrapping"/>
        <w:t xml:space="preserve">          DOI do Preprint: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 x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" w:cs="Times" w:eastAsia="Times" w:hAnsi="Times"/>
          <w:b w:val="1"/>
          <w:color w:val="c00000"/>
          <w:sz w:val="26"/>
          <w:szCs w:val="26"/>
          <w:rtl w:val="0"/>
        </w:rPr>
        <w:t xml:space="preserve">Disponibilidade de Dados de Pesquisa e outros Materiais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Autores são encorajados a disponibilizar todos os conteúdos (dados, códigos de programa e outros materiais) subjacentes ao texto do manuscrito anteriormente ou no momento da publicação. Exceções são permitidas em casos de questões legais e éticas. O objetivo é facilitar a avaliação do manuscrito e, se aprovado, contribuir para a preservação e reuso dos conteúdos e a reprodutibilidade das pesquisas.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Os conteúdos subjacentes ao texto do manuscrito já estão disponíveis em sua totalidade e sem restrições ou assim estarão no momento da publicação?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 x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  (  ) os conteúdos subjacentes ao texto da pesquisa estão contidos no manuscrito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  ( x ) os conteúdos já estão disponíveis</w:t>
        <w:br w:type="textWrapping"/>
        <w:t xml:space="preserve">       (  ) os conteúdos estarão disponíveis no momento da publicação do artigo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        Segue títulos e respectivas URLs, números de acesso ou DOIs dos arquivos </w:t>
        <w:br w:type="textWrapping"/>
        <w:t xml:space="preserve">             dos conteúdos subjacentes ao texto do artigo (use uma linha para cada dado):             </w:t>
        <w:br w:type="textWrapping"/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Não: </w:t>
        <w:br w:type="textWrapping"/>
        <w:t xml:space="preserve">       (  ) dados estão disponíveis sob demanda dos pareceristas</w:t>
        <w:br w:type="textWrapping"/>
        <w:t xml:space="preserve">       (  ) após a publicação os dados estarão disponíveis sob demanda aos autores – </w:t>
        <w:br w:type="textWrapping"/>
        <w:t xml:space="preserve">             condição justificada no manuscrito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  (  ) os dados não podem ser disponibilizados publicamente. Justifique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color w:val="c00000"/>
          <w:sz w:val="26"/>
          <w:szCs w:val="26"/>
          <w:rtl w:val="0"/>
        </w:rPr>
        <w:t xml:space="preserve">Aberturas na avaliação por pares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Times" w:cs="Times" w:eastAsia="Times" w:hAnsi="Times"/>
          <w:color w:val="00000a"/>
          <w:sz w:val="22"/>
          <w:szCs w:val="22"/>
          <w:rtl w:val="0"/>
        </w:rPr>
        <w:t xml:space="preserve">Os autores poderão optar por um ou mais meios de abertura do processo de </w:t>
      </w:r>
      <w:r w:rsidDel="00000000" w:rsidR="00000000" w:rsidRPr="00000000">
        <w:rPr>
          <w:rFonts w:ascii="Times" w:cs="Times" w:eastAsia="Times" w:hAnsi="Times"/>
          <w:i w:val="1"/>
          <w:color w:val="00000a"/>
          <w:sz w:val="22"/>
          <w:szCs w:val="22"/>
          <w:rtl w:val="0"/>
        </w:rPr>
        <w:t xml:space="preserve">peer review</w:t>
      </w:r>
      <w:r w:rsidDel="00000000" w:rsidR="00000000" w:rsidRPr="00000000">
        <w:rPr>
          <w:rFonts w:ascii="Times" w:cs="Times" w:eastAsia="Times" w:hAnsi="Times"/>
          <w:color w:val="00000a"/>
          <w:sz w:val="22"/>
          <w:szCs w:val="22"/>
          <w:rtl w:val="0"/>
        </w:rPr>
        <w:t xml:space="preserve"> oferecidos pelo periódico.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Quando oferecida a opção, os autores concordam com a publicação dos pareceres da avaliação de aprovação do manuscrito?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 x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Quando oferecida a opção, os autores concordam em interagir diretamente com pareceristas responsáveis pela avaliação do manuscrito?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 x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0" w:top="426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kr0YTp+cCDVz9mKZzF7ofRNUiA==">CgMxLjA4AHIhMW9GVGYySkZUOWpWU1JNMHhzUlVoXzJETmtCQnoyWEhN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Mendonça</dc:creator>
</cp:coreProperties>
</file>