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A República sem poetas: a arte de vanguarda na contra-revolução Russa</w:t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Pedro Guilherme Freire</w:t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b w:val="false"/>
          <w:bCs w:val="false"/>
        </w:rPr>
        <w:t>Professor de Sociologia na Rede Estadual de Educação (SEEDUC) e Doutor em Poética pela UFRJ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Resumo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A relação entre Estado e arte como uma relação baseada no controle da “ordem pública”, do primeiro sobre a última, é um tema de discussão desde os gregos antigos. É muito conhecida a representação do poeta e da poesia não-narrativa feita por Platão em </w:t>
      </w:r>
      <w:r>
        <w:rPr>
          <w:rFonts w:cs="Times New Roman" w:ascii="Times New Roman" w:hAnsi="Times New Roman"/>
          <w:i/>
          <w:iCs/>
          <w:sz w:val="24"/>
          <w:szCs w:val="24"/>
        </w:rPr>
        <w:t>A República</w:t>
      </w:r>
      <w:r>
        <w:rPr>
          <w:rFonts w:cs="Times New Roman" w:ascii="Times New Roman" w:hAnsi="Times New Roman"/>
          <w:sz w:val="24"/>
          <w:szCs w:val="24"/>
        </w:rPr>
        <w:t>. Como diz Agamben, Platão “vê no poeta um elemento de perigo e de ruína para a cidade”. A palavra do poeta – e a poesia grega dependia da palavra dita, declamada – era uma palavra potencialmente perigosa e desestabilizadora da ordem, devendo, por isso, ser banida da cidade-estado.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A Rússia soviética, a partir de determinado momento, também compartilhou o temor diante da possibilidade da arte mobilizar pessoas, posições, ideias contrárias ao regime. Era uma justificativa para a perseguição e para o controle estatal sobre a arte, sobre as ideias, sobre a vida. Mas, além disso, ou como expressão disso, havia um elemento característico do pensamento político totalitário, avesso às experiências libertárias das revoluções de 1917 e da constituição de 1918, que era a intolerância e rejeição a tudo o que aparecia como </w:t>
      </w:r>
      <w:r>
        <w:rPr>
          <w:rFonts w:cs="Times New Roman" w:ascii="Times New Roman" w:hAnsi="Times New Roman"/>
          <w:i/>
          <w:iCs/>
          <w:sz w:val="24"/>
          <w:szCs w:val="24"/>
        </w:rPr>
        <w:t>diferença</w:t>
      </w:r>
      <w:r>
        <w:rPr>
          <w:rFonts w:cs="Times New Roman" w:ascii="Times New Roman" w:hAnsi="Times New Roman"/>
          <w:sz w:val="24"/>
          <w:szCs w:val="24"/>
        </w:rPr>
        <w:t xml:space="preserve"> e, enquanto diferença, revelava-se como erro, reacionário, contra-revolucionário, mesmo sem ser, mesmo desejando e afirmando um projeto socialista e revolucionário, entretanto diferente, ou, pode-se dizer, radicalmente socialista e revolucionário, efetivado em 1917 por meio dos </w:t>
      </w:r>
      <w:r>
        <w:rPr>
          <w:rFonts w:cs="Times New Roman" w:ascii="Times New Roman" w:hAnsi="Times New Roman"/>
          <w:i/>
          <w:iCs/>
          <w:sz w:val="24"/>
          <w:szCs w:val="24"/>
        </w:rPr>
        <w:t>soviets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A palavra de ordem “Todo poder aos </w:t>
      </w:r>
      <w:r>
        <w:rPr>
          <w:rFonts w:cs="Times New Roman" w:ascii="Times New Roman" w:hAnsi="Times New Roman"/>
          <w:i/>
          <w:iCs/>
          <w:sz w:val="24"/>
          <w:szCs w:val="24"/>
        </w:rPr>
        <w:t>soviets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” mobilizou militantes revolucionários, trabalhadores, artistas revolucionários que preconizaram a destruição da “arte acadêmica”, do conservadorismo e a construção de novas formas de viver e escrever, filmar, encenar, produzir. Cubofuturistas, construtivistas, suprematistas, artistas da </w:t>
      </w:r>
      <w:r>
        <w:rPr>
          <w:rFonts w:cs="Times New Roman" w:ascii="Times New Roman" w:hAnsi="Times New Roman"/>
          <w:i/>
          <w:iCs/>
          <w:sz w:val="24"/>
          <w:szCs w:val="24"/>
        </w:rPr>
        <w:t>Oberiu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, todos eles se engajaram na utopia soviética e ao mesmo tempo em que socialistas revolucionários de esquerda e anarquistas eam jogados na ilegalidade, também começaram a ser perseguidos, presos e assassinados.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ab/>
        <w:t>Este ensaio faz uma breve análise sobre esta experiência de tragédia e invenção, de relações entre arte, política e vida, procurando possibilidades em um mundo sob o risco do fascismo.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Palavras-chave: arte, vanguardas, revolução, autonomia.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Titulação: Doutor em Poética (PPGCL-UFRJ), Mestre em Antropologia (PPGA-UFF) e Bacharel em Ciências Sociais (UFRJ).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LibreOffice/5.3.1.2$Linux_X86_64 LibreOffice_project/30m0$Build-2</Application>
  <Pages>1</Pages>
  <Words>366</Words>
  <Characters>2112</Characters>
  <CharactersWithSpaces>2475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2018-11-21T22:47:31Z</dcterms:created>
  <dc:creator/>
  <dc:description/>
  <dc:language>pt-BR</dc:language>
  <cp:lastModifiedBy/>
  <dcterms:modified xsi:type="dcterms:W3CDTF">2018-11-21T22:55:07Z</dcterms:modified>
  <cp:revision>2</cp:revision>
  <dc:subject/>
  <dc:title/>
</cp:coreProperties>
</file>