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B4CF" w14:textId="77777777" w:rsidR="00AF4678" w:rsidRDefault="00AF4678">
      <w:bookmarkStart w:id="0" w:name="_Hlk24674029"/>
    </w:p>
    <w:p w14:paraId="30173567" w14:textId="444048D2" w:rsidR="00570A7B" w:rsidRDefault="00160979">
      <w:r>
        <w:rPr>
          <w:noProof/>
        </w:rPr>
        <w:drawing>
          <wp:inline distT="0" distB="0" distL="0" distR="0" wp14:anchorId="71366BF7" wp14:editId="61860FCA">
            <wp:extent cx="6120130" cy="867219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1-22 at 01.04.45.jpeg"/>
                    <pic:cNvPicPr/>
                  </pic:nvPicPr>
                  <pic:blipFill>
                    <a:blip r:embed="rId8">
                      <a:extLst>
                        <a:ext uri="{28A0092B-C50C-407E-A947-70E740481C1C}">
                          <a14:useLocalDpi xmlns:a14="http://schemas.microsoft.com/office/drawing/2010/main" val="0"/>
                        </a:ext>
                      </a:extLst>
                    </a:blip>
                    <a:stretch>
                      <a:fillRect/>
                    </a:stretch>
                  </pic:blipFill>
                  <pic:spPr>
                    <a:xfrm>
                      <a:off x="0" y="0"/>
                      <a:ext cx="6120130" cy="8672195"/>
                    </a:xfrm>
                    <a:prstGeom prst="rect">
                      <a:avLst/>
                    </a:prstGeom>
                  </pic:spPr>
                </pic:pic>
              </a:graphicData>
            </a:graphic>
          </wp:inline>
        </w:drawing>
      </w:r>
    </w:p>
    <w:p w14:paraId="14FD49A1" w14:textId="77777777" w:rsidR="00570A7B" w:rsidRDefault="00570A7B"/>
    <w:p w14:paraId="2BEC3E86" w14:textId="565CF50A" w:rsidR="0068384A" w:rsidRPr="00226B83" w:rsidRDefault="00851312" w:rsidP="00F947DA">
      <w:pPr>
        <w:spacing w:line="240" w:lineRule="auto"/>
        <w:jc w:val="center"/>
        <w:rPr>
          <w:rFonts w:cstheme="minorHAnsi"/>
          <w:sz w:val="24"/>
          <w:szCs w:val="24"/>
        </w:rPr>
      </w:pPr>
      <w:r w:rsidRPr="00226B83">
        <w:rPr>
          <w:rFonts w:cstheme="minorHAnsi"/>
          <w:sz w:val="24"/>
          <w:szCs w:val="24"/>
        </w:rPr>
        <w:lastRenderedPageBreak/>
        <w:t>SUMÁRIO</w:t>
      </w:r>
      <w:r w:rsidR="0068384A">
        <w:rPr>
          <w:rFonts w:cstheme="minorHAnsi"/>
          <w:noProof/>
          <w:sz w:val="24"/>
          <w:szCs w:val="24"/>
        </w:rPr>
        <mc:AlternateContent>
          <mc:Choice Requires="wps">
            <w:drawing>
              <wp:anchor distT="0" distB="0" distL="114300" distR="114300" simplePos="0" relativeHeight="251661312" behindDoc="0" locked="0" layoutInCell="1" allowOverlap="1" wp14:anchorId="24EDD770" wp14:editId="7569D628">
                <wp:simplePos x="0" y="0"/>
                <wp:positionH relativeFrom="column">
                  <wp:posOffset>-39607</wp:posOffset>
                </wp:positionH>
                <wp:positionV relativeFrom="paragraph">
                  <wp:posOffset>244032</wp:posOffset>
                </wp:positionV>
                <wp:extent cx="6240957" cy="21265"/>
                <wp:effectExtent l="0" t="0" r="26670" b="36195"/>
                <wp:wrapNone/>
                <wp:docPr id="8" name="Conector reto 8"/>
                <wp:cNvGraphicFramePr/>
                <a:graphic xmlns:a="http://schemas.openxmlformats.org/drawingml/2006/main">
                  <a:graphicData uri="http://schemas.microsoft.com/office/word/2010/wordprocessingShape">
                    <wps:wsp>
                      <wps:cNvCnPr/>
                      <wps:spPr>
                        <a:xfrm>
                          <a:off x="0" y="0"/>
                          <a:ext cx="6240957" cy="21265"/>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4B3882" id="Conector reto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pt,19.2pt" to="48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1QHwIAAKwEAAAOAAAAZHJzL2Uyb0RvYy54bWysVMmO2zAMvRfoPwi6N06MJp0x4swh6fRS&#10;tEGXD2C02AK0QdLEyd+Xkh1Pl0unaA4KJT1SfI+ktw8Xo8lZhKicbelqsaREWOa4sl1Lv397fHNH&#10;SUxgOWhnRUuvItKH3etX28E3ona901wEgkFsbAbf0j4l31RVZL0wEBfOC4uX0gUDCbehq3iAAaMb&#10;XdXL5aYaXOA+OCZixNPDeEl3Jb6UgqXPUkaRiG4p5pbKGsp6ymu120LTBfC9YlMa8A9ZGFAWH51D&#10;HSABeQrqj1BGseCik2nBnKmclIqJwgHZrJa/sfnagxeFC4oT/SxT/H9h2afzMRDFW4qFsmCwRHss&#10;FEsukCCSI3dZosHHBpF7ewzTLvpjyHwvMpj8j0zIpch6nWUVl0QYHm7qt8v79TtKGN7Vq3qzzjGr&#10;Z2cfYvognCHZaKlWNrOGBs4fYxqhN0g+1pYMLb1f12sMCdg0UkNC03ikEW1HCegOu5GlUMJEpxV/&#10;VFpn5xi6014HcgbsiP0y/6ZsfoHl9w4Q+xHH0cooaIJ7srxYvQD+3nKSrh5FsygazWkZwSnRAp/P&#10;VkEmUPpvkKiItihMVnvUt1jpqsVI+4uQWKoic6HCJi5jP+PAYYffuroEQ4cMlMj9hb6TS/YWZYxe&#10;6D87lfedTbO/UdZNdclDLuZipMtqqoQc8TcpRgGyFifHr6UFi0Y4EqWNpvHNM/fzvrg/f2R2PwAA&#10;AP//AwBQSwMEFAAGAAgAAAAhANku1SvhAAAACAEAAA8AAABkcnMvZG93bnJldi54bWxMj81OwzAQ&#10;hO9IvIO1SNxaJ6VK2hCnQkiICz9qaRVxc+JtYmGvo9htw9tjTnAczWjmm3IzWcPOOHrtSEA6T4Ah&#10;tU5p6gTsP55mK2A+SFLSOEIB3+hhU11flbJQ7kJbPO9Cx2IJ+UIK6EMYCs5926OVfu4GpOgd3Whl&#10;iHLsuBrlJZZbwxdJknErNcWFXg742GP7tTtZAXpfb99r85nW+q2l8fUlPxyfGyFub6aHe2ABp/AX&#10;hl/8iA5VZGrciZRnRsAsW8SkgLvVElj013mWAWsELNMceFXy/weqHwAAAP//AwBQSwECLQAUAAYA&#10;CAAAACEAtoM4kv4AAADhAQAAEwAAAAAAAAAAAAAAAAAAAAAAW0NvbnRlbnRfVHlwZXNdLnhtbFBL&#10;AQItABQABgAIAAAAIQA4/SH/1gAAAJQBAAALAAAAAAAAAAAAAAAAAC8BAABfcmVscy8ucmVsc1BL&#10;AQItABQABgAIAAAAIQAgy11QHwIAAKwEAAAOAAAAAAAAAAAAAAAAAC4CAABkcnMvZTJvRG9jLnht&#10;bFBLAQItABQABgAIAAAAIQDZLtUr4QAAAAgBAAAPAAAAAAAAAAAAAAAAAHkEAABkcnMvZG93bnJl&#10;di54bWxQSwUGAAAAAAQABADzAAAAhwUAAAAA&#10;" strokecolor="#c00000">
                <v:stroke dashstyle="dash"/>
              </v:line>
            </w:pict>
          </mc:Fallback>
        </mc:AlternateContent>
      </w:r>
    </w:p>
    <w:p w14:paraId="5F31F2B4" w14:textId="77777777" w:rsidR="00F542B4" w:rsidRPr="00226B83" w:rsidRDefault="00851312" w:rsidP="00F947DA">
      <w:pPr>
        <w:spacing w:after="0" w:line="240" w:lineRule="auto"/>
        <w:rPr>
          <w:rFonts w:cstheme="minorHAnsi"/>
          <w:b/>
          <w:bCs/>
          <w:i/>
          <w:iCs/>
        </w:rPr>
      </w:pPr>
      <w:r w:rsidRPr="00226B83">
        <w:rPr>
          <w:rFonts w:cstheme="minorHAnsi"/>
          <w:b/>
          <w:bCs/>
          <w:i/>
          <w:iCs/>
        </w:rPr>
        <w:t xml:space="preserve">EDITORIAL </w:t>
      </w:r>
    </w:p>
    <w:p w14:paraId="1A38CC4B" w14:textId="662D7416" w:rsidR="00A63689" w:rsidRPr="00226B83" w:rsidRDefault="00851312" w:rsidP="00F947DA">
      <w:pPr>
        <w:pBdr>
          <w:bottom w:val="single" w:sz="12" w:space="1" w:color="auto"/>
        </w:pBdr>
        <w:spacing w:after="0" w:line="240" w:lineRule="auto"/>
        <w:rPr>
          <w:rFonts w:cstheme="minorHAnsi"/>
        </w:rPr>
      </w:pPr>
      <w:r w:rsidRPr="00226B83">
        <w:rPr>
          <w:rFonts w:cstheme="minorHAnsi"/>
          <w:b/>
          <w:bCs/>
        </w:rPr>
        <w:t xml:space="preserve">                          </w:t>
      </w:r>
      <w:r w:rsidR="00CF7D46" w:rsidRPr="00226B83">
        <w:rPr>
          <w:rFonts w:cstheme="minorHAnsi"/>
          <w:b/>
          <w:bCs/>
        </w:rPr>
        <w:t xml:space="preserve">          </w:t>
      </w:r>
      <w:r w:rsidRPr="00226B83">
        <w:rPr>
          <w:rFonts w:cstheme="minorHAnsi"/>
          <w:b/>
          <w:bCs/>
        </w:rPr>
        <w:t xml:space="preserve">    </w:t>
      </w:r>
      <w:r w:rsidR="00F947DA">
        <w:rPr>
          <w:rFonts w:cstheme="minorHAnsi"/>
          <w:b/>
          <w:bCs/>
        </w:rPr>
        <w:t xml:space="preserve">  </w:t>
      </w:r>
      <w:r w:rsidRPr="00226B83">
        <w:rPr>
          <w:rFonts w:cstheme="minorHAnsi"/>
          <w:b/>
          <w:bCs/>
        </w:rPr>
        <w:t>AUTORES</w:t>
      </w:r>
      <w:r w:rsidRPr="00226B83">
        <w:rPr>
          <w:rFonts w:cstheme="minorHAnsi"/>
        </w:rPr>
        <w:t xml:space="preserve">                               </w:t>
      </w:r>
      <w:r w:rsidR="00CF7D46" w:rsidRPr="00226B83">
        <w:rPr>
          <w:rFonts w:cstheme="minorHAnsi"/>
        </w:rPr>
        <w:t xml:space="preserve">      </w:t>
      </w:r>
      <w:r w:rsidR="00C00B2F" w:rsidRPr="00226B83">
        <w:rPr>
          <w:rFonts w:cstheme="minorHAnsi"/>
        </w:rPr>
        <w:t xml:space="preserve">    </w:t>
      </w:r>
      <w:r w:rsidRPr="00226B83">
        <w:rPr>
          <w:rFonts w:cstheme="minorHAnsi"/>
        </w:rPr>
        <w:t xml:space="preserve"> </w:t>
      </w:r>
      <w:r w:rsidR="00325888" w:rsidRPr="00226B83">
        <w:rPr>
          <w:rFonts w:cstheme="minorHAnsi"/>
        </w:rPr>
        <w:t xml:space="preserve"> </w:t>
      </w:r>
      <w:r w:rsidR="00226B83">
        <w:rPr>
          <w:rFonts w:cstheme="minorHAnsi"/>
        </w:rPr>
        <w:t xml:space="preserve">  </w:t>
      </w:r>
      <w:r w:rsidRPr="00226B83">
        <w:rPr>
          <w:rFonts w:cstheme="minorHAnsi"/>
        </w:rPr>
        <w:t xml:space="preserve"> </w:t>
      </w:r>
      <w:r w:rsidRPr="00226B83">
        <w:rPr>
          <w:rFonts w:cstheme="minorHAnsi"/>
          <w:b/>
          <w:bCs/>
        </w:rPr>
        <w:t>TÍTULO</w:t>
      </w:r>
      <w:r w:rsidR="00A63689" w:rsidRPr="00226B83">
        <w:rPr>
          <w:rFonts w:cstheme="minorHAnsi"/>
          <w:b/>
          <w:bCs/>
        </w:rPr>
        <w:t xml:space="preserve">                                          </w:t>
      </w:r>
      <w:r w:rsidR="0012288D" w:rsidRPr="00226B83">
        <w:rPr>
          <w:rFonts w:cstheme="minorHAnsi"/>
          <w:b/>
          <w:bCs/>
        </w:rPr>
        <w:t xml:space="preserve">       </w:t>
      </w:r>
      <w:r w:rsidR="00A63689" w:rsidRPr="00226B83">
        <w:rPr>
          <w:rFonts w:cstheme="minorHAnsi"/>
          <w:b/>
          <w:bCs/>
        </w:rPr>
        <w:t xml:space="preserve"> </w:t>
      </w:r>
      <w:r w:rsidR="0012288D" w:rsidRPr="00226B83">
        <w:rPr>
          <w:rFonts w:cstheme="minorHAnsi"/>
          <w:b/>
          <w:bCs/>
        </w:rPr>
        <w:t xml:space="preserve">   </w:t>
      </w:r>
      <w:r w:rsidR="00A63689" w:rsidRPr="00226B83">
        <w:rPr>
          <w:rFonts w:cstheme="minorHAnsi"/>
          <w:b/>
          <w:bCs/>
        </w:rPr>
        <w:t xml:space="preserve"> PÁGINAS  </w:t>
      </w:r>
    </w:p>
    <w:p w14:paraId="1002181D" w14:textId="752CAD13" w:rsidR="00A63689" w:rsidRPr="00226B83" w:rsidRDefault="00A63689" w:rsidP="00F947DA">
      <w:pPr>
        <w:spacing w:after="0" w:line="240" w:lineRule="auto"/>
        <w:rPr>
          <w:rFonts w:cstheme="minorHAnsi"/>
        </w:rPr>
      </w:pPr>
      <w:r w:rsidRPr="00226B83">
        <w:rPr>
          <w:rFonts w:cstheme="minorHAnsi"/>
        </w:rPr>
        <w:t xml:space="preserve">Wallace                         </w:t>
      </w:r>
      <w:r w:rsidR="005535E4">
        <w:rPr>
          <w:rFonts w:cstheme="minorHAnsi"/>
        </w:rPr>
        <w:t xml:space="preserve">  </w:t>
      </w:r>
      <w:r w:rsidRPr="00226B83">
        <w:rPr>
          <w:rFonts w:cstheme="minorHAnsi"/>
        </w:rPr>
        <w:t xml:space="preserve">de Moraes                              </w:t>
      </w:r>
      <w:r w:rsidR="00325888" w:rsidRPr="00226B83">
        <w:rPr>
          <w:rFonts w:cstheme="minorHAnsi"/>
        </w:rPr>
        <w:t xml:space="preserve">  </w:t>
      </w:r>
      <w:r w:rsidRPr="00226B83">
        <w:rPr>
          <w:rFonts w:cstheme="minorHAnsi"/>
        </w:rPr>
        <w:t xml:space="preserve">      </w:t>
      </w:r>
      <w:r w:rsidR="00325888" w:rsidRPr="00226B83">
        <w:rPr>
          <w:rFonts w:cstheme="minorHAnsi"/>
        </w:rPr>
        <w:t xml:space="preserve">   </w:t>
      </w:r>
      <w:r w:rsidR="001B1533" w:rsidRPr="00226B83">
        <w:rPr>
          <w:rFonts w:cstheme="minorHAnsi"/>
        </w:rPr>
        <w:t xml:space="preserve">  </w:t>
      </w:r>
      <w:r w:rsidR="00325888" w:rsidRPr="00226B83">
        <w:rPr>
          <w:rFonts w:cstheme="minorHAnsi"/>
        </w:rPr>
        <w:t xml:space="preserve"> </w:t>
      </w:r>
      <w:r w:rsidRPr="00226B83">
        <w:rPr>
          <w:rFonts w:cstheme="minorHAnsi"/>
          <w:color w:val="C00000"/>
        </w:rPr>
        <w:t>EDITORIAL</w:t>
      </w:r>
      <w:r w:rsidR="00354C9C" w:rsidRPr="00226B83">
        <w:rPr>
          <w:rFonts w:cstheme="minorHAnsi"/>
        </w:rPr>
        <w:t xml:space="preserve">                                          </w:t>
      </w:r>
      <w:r w:rsidR="00C00B2F" w:rsidRPr="00226B83">
        <w:rPr>
          <w:rFonts w:cstheme="minorHAnsi"/>
        </w:rPr>
        <w:t xml:space="preserve">  </w:t>
      </w:r>
      <w:r w:rsidR="0012288D" w:rsidRPr="00226B83">
        <w:rPr>
          <w:rFonts w:cstheme="minorHAnsi"/>
        </w:rPr>
        <w:t xml:space="preserve">        </w:t>
      </w:r>
      <w:r w:rsidR="001B1533" w:rsidRPr="00226B83">
        <w:rPr>
          <w:rFonts w:cstheme="minorHAnsi"/>
        </w:rPr>
        <w:t xml:space="preserve">  </w:t>
      </w:r>
      <w:r w:rsidR="00354C9C" w:rsidRPr="00226B83">
        <w:rPr>
          <w:rFonts w:cstheme="minorHAnsi"/>
        </w:rPr>
        <w:t xml:space="preserve"> </w:t>
      </w:r>
      <w:r w:rsidR="00684B68">
        <w:rPr>
          <w:rFonts w:cstheme="minorHAnsi"/>
        </w:rPr>
        <w:t>3/5</w:t>
      </w:r>
    </w:p>
    <w:p w14:paraId="4F8027C0" w14:textId="559097D4" w:rsidR="0068384A" w:rsidRDefault="0068384A" w:rsidP="00F947DA">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271D7F1A" wp14:editId="69F9A486">
                <wp:simplePos x="0" y="0"/>
                <wp:positionH relativeFrom="column">
                  <wp:posOffset>-92769</wp:posOffset>
                </wp:positionH>
                <wp:positionV relativeFrom="paragraph">
                  <wp:posOffset>170830</wp:posOffset>
                </wp:positionV>
                <wp:extent cx="6294474"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294474" cy="0"/>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CF62E77"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pt,13.45pt" to="48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N1HQIAAKgEAAAOAAAAZHJzL2Uyb0RvYy54bWysVMmO2zAMvRfoPwi6N06CTNox4swh6fRS&#10;tEGXD2C02AK0QdLEzt+Xkh1Pl0unaA6KFj6S75H07mEwmlxEiMrZhq4WS0qEZY4r2zb0+7fHN+8o&#10;iQksB+2saOhVRPqwf/1q1/tarF3nNBeBoBMb6943tEvJ11UVWScMxIXzwuKjdMFAwmNoKx6gR+9G&#10;V+vlclv1LnAfHBMx4u1xfKT74l9KwdJnKaNIRDcUc0tlDWU957Xa76BuA/hOsSkN+IcsDCiLQWdX&#10;R0hAnoL6w5VRLLjoZFowZyonpWKicEA2q+VvbL524EXhguJEP8sU/59b9ulyCkTxhm4psWCwRAcs&#10;FEsukCCSI9ssUe9jjZYHewrTKfpTyHwHGUz+RyZkKLJeZ1nFkAjDy+36frN5u6GE3d6qZ6APMX0Q&#10;zpC8aahWNjOGGi4fY8JgaHozydfakr6h93frO3QH2DBSQ8Kt8Ugh2pYS0C12IkuhuIlOK/6otM7g&#10;GNrzQQdyAeyGwzL/MjsM8YtZjneE2I12HHdjmwT3ZDnaQ90J4O8tJ+nqUTCLgtGclhGcEi0wfN4V&#10;ywRK/40l5qAtppKVHrUtu3TVYqT9RUgsU5G4UGETl7GXcdiwu28dXZwhIBtK5P5C7ATJaFFG6IX4&#10;GVTiO5tmvFHWTXXJAy7mYqRhNVVCjvY3KUYBshZnx6+l/YpGOA6lcNPo5nn7+Vzgzx+Y/Q8AAAD/&#10;/wMAUEsDBBQABgAIAAAAIQBT4Tdj4AAAAAkBAAAPAAAAZHJzL2Rvd25yZXYueG1sTI/LTsMwEEX3&#10;SPyDNUjsWicVSmgap0JIiA0PtRRF3TnxNLGIx5HttuHvMeoCljNzdOfccj2ZgZ3QeW1JQDpPgCG1&#10;VmnqBOw+nmb3wHyQpORgCQV8o4d1dX1VykLZM23wtA0diyHkCymgD2EsOPdtj0b6uR2R4u1gnZEh&#10;jq7jyslzDDcDXyRJxo3UFD/0csTHHtuv7dEI0Lt6814P+7TWby2515f88/DcCHF7Mz2sgAWcwh8M&#10;v/pRHaro1NgjKc8GAbP0LouogEW2BBaBZZ7lwJrLglcl/9+g+gEAAP//AwBQSwECLQAUAAYACAAA&#10;ACEAtoM4kv4AAADhAQAAEwAAAAAAAAAAAAAAAAAAAAAAW0NvbnRlbnRfVHlwZXNdLnhtbFBLAQIt&#10;ABQABgAIAAAAIQA4/SH/1gAAAJQBAAALAAAAAAAAAAAAAAAAAC8BAABfcmVscy8ucmVsc1BLAQIt&#10;ABQABgAIAAAAIQAWctN1HQIAAKgEAAAOAAAAAAAAAAAAAAAAAC4CAABkcnMvZTJvRG9jLnhtbFBL&#10;AQItABQABgAIAAAAIQBT4Tdj4AAAAAkBAAAPAAAAAAAAAAAAAAAAAHcEAABkcnMvZG93bnJldi54&#10;bWxQSwUGAAAAAAQABADzAAAAhAUAAAAA&#10;" strokecolor="#c00000">
                <v:stroke dashstyle="dash"/>
              </v:line>
            </w:pict>
          </mc:Fallback>
        </mc:AlternateContent>
      </w:r>
    </w:p>
    <w:p w14:paraId="46F583A9" w14:textId="254E376D" w:rsidR="0068384A" w:rsidRDefault="0068384A" w:rsidP="00F947DA">
      <w:pPr>
        <w:spacing w:after="0" w:line="240" w:lineRule="auto"/>
        <w:rPr>
          <w:rFonts w:cstheme="minorHAnsi"/>
        </w:rPr>
      </w:pPr>
    </w:p>
    <w:p w14:paraId="7FAAFE81" w14:textId="09552E69" w:rsidR="00354C9C" w:rsidRPr="00226B83" w:rsidRDefault="00CF7D46" w:rsidP="00F947DA">
      <w:pPr>
        <w:spacing w:after="0" w:line="240" w:lineRule="auto"/>
        <w:rPr>
          <w:rFonts w:cstheme="minorHAnsi"/>
          <w:b/>
          <w:bCs/>
          <w:i/>
          <w:iCs/>
        </w:rPr>
      </w:pPr>
      <w:r w:rsidRPr="00226B83">
        <w:rPr>
          <w:rFonts w:cstheme="minorHAnsi"/>
          <w:b/>
          <w:bCs/>
          <w:i/>
          <w:iCs/>
        </w:rPr>
        <w:t>VERSÕES</w:t>
      </w:r>
    </w:p>
    <w:p w14:paraId="403F00D2" w14:textId="22065564" w:rsidR="00CF7D46" w:rsidRPr="00226B83" w:rsidRDefault="00354C9C" w:rsidP="00F947DA">
      <w:pPr>
        <w:spacing w:after="0" w:line="240" w:lineRule="auto"/>
        <w:rPr>
          <w:rFonts w:cstheme="minorHAnsi"/>
        </w:rPr>
      </w:pPr>
      <w:r w:rsidRPr="00226B83">
        <w:rPr>
          <w:rFonts w:cstheme="minorHAnsi"/>
        </w:rPr>
        <w:t xml:space="preserve">Black                              </w:t>
      </w:r>
      <w:r w:rsidR="005535E4">
        <w:rPr>
          <w:rFonts w:cstheme="minorHAnsi"/>
        </w:rPr>
        <w:t xml:space="preserve">   </w:t>
      </w:r>
      <w:r w:rsidRPr="00226B83">
        <w:rPr>
          <w:rFonts w:cstheme="minorHAnsi"/>
        </w:rPr>
        <w:t xml:space="preserve">   Bob                                          </w:t>
      </w:r>
      <w:r w:rsidR="00325888" w:rsidRPr="00226B83">
        <w:rPr>
          <w:rFonts w:cstheme="minorHAnsi"/>
        </w:rPr>
        <w:t xml:space="preserve">    </w:t>
      </w:r>
      <w:r w:rsidR="001B1533" w:rsidRPr="00226B83">
        <w:rPr>
          <w:rFonts w:cstheme="minorHAnsi"/>
        </w:rPr>
        <w:t xml:space="preserve">  </w:t>
      </w:r>
      <w:r w:rsidR="005535E4">
        <w:rPr>
          <w:rFonts w:cstheme="minorHAnsi"/>
        </w:rPr>
        <w:t xml:space="preserve"> </w:t>
      </w:r>
      <w:r w:rsidRPr="00226B83">
        <w:rPr>
          <w:rFonts w:cstheme="minorHAnsi"/>
          <w:color w:val="C00000"/>
        </w:rPr>
        <w:t xml:space="preserve">REFUTANDO A                                    </w:t>
      </w:r>
      <w:r w:rsidR="00C00B2F" w:rsidRPr="00226B83">
        <w:rPr>
          <w:rFonts w:cstheme="minorHAnsi"/>
          <w:color w:val="C00000"/>
        </w:rPr>
        <w:t xml:space="preserve">     </w:t>
      </w:r>
      <w:r w:rsidR="0012288D" w:rsidRPr="00226B83">
        <w:rPr>
          <w:rFonts w:cstheme="minorHAnsi"/>
          <w:color w:val="C00000"/>
        </w:rPr>
        <w:t xml:space="preserve">     </w:t>
      </w:r>
      <w:r w:rsidR="00C00B2F" w:rsidRPr="00226B83">
        <w:rPr>
          <w:rFonts w:cstheme="minorHAnsi"/>
          <w:color w:val="C00000"/>
        </w:rPr>
        <w:t xml:space="preserve">  </w:t>
      </w:r>
      <w:r w:rsidR="00C15E0A">
        <w:rPr>
          <w:rFonts w:cstheme="minorHAnsi"/>
        </w:rPr>
        <w:t xml:space="preserve">  </w:t>
      </w:r>
      <w:r w:rsidR="00684B68">
        <w:rPr>
          <w:rFonts w:cstheme="minorHAnsi"/>
        </w:rPr>
        <w:t>6/30</w:t>
      </w:r>
    </w:p>
    <w:p w14:paraId="2E69B36D" w14:textId="0D00449B" w:rsidR="0068384A" w:rsidRDefault="0068384A" w:rsidP="00F947DA">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E54AFCB" wp14:editId="360CF239">
                <wp:simplePos x="0" y="0"/>
                <wp:positionH relativeFrom="column">
                  <wp:posOffset>-39606</wp:posOffset>
                </wp:positionH>
                <wp:positionV relativeFrom="paragraph">
                  <wp:posOffset>200409</wp:posOffset>
                </wp:positionV>
                <wp:extent cx="6283842" cy="0"/>
                <wp:effectExtent l="0" t="0" r="0" b="0"/>
                <wp:wrapNone/>
                <wp:docPr id="7" name="Conector reto 7"/>
                <wp:cNvGraphicFramePr/>
                <a:graphic xmlns:a="http://schemas.openxmlformats.org/drawingml/2006/main">
                  <a:graphicData uri="http://schemas.microsoft.com/office/word/2010/wordprocessingShape">
                    <wps:wsp>
                      <wps:cNvCnPr/>
                      <wps:spPr>
                        <a:xfrm>
                          <a:off x="0" y="0"/>
                          <a:ext cx="6283842" cy="0"/>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C8D1F0" id="Conector re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pt,15.8pt" to="49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cbHgIAAKgEAAAOAAAAZHJzL2Uyb0RvYy54bWysVMlu2zAQvRfoPxC817LVJnEFyznYTS9F&#10;a6TtB4y5SAS4gWQs++87pGSly6Up6gPNZd7MvDcz2tyfjSYnEaJytqWrxZISYZnjynYt/f7t4c2a&#10;kpjActDOipZeRKT329evNoNvRO16p7kIBJ3Y2Ay+pX1KvqmqyHphIC6cFxYfpQsGEh5DV/EAA3o3&#10;uqqXy9tqcIH74JiIEW/34yPdFv9SCpa+SBlFIrqlmFsqayjrMa/VdgNNF8D3ik1pwD9kYUBZDDq7&#10;2kMC8hTUH66MYsFFJ9OCOVM5KRUThQOyWS1/Y/O1By8KFxQn+lmm+P/css+nQyCKt/SOEgsGS7TD&#10;QrHkAgkiOXKXJRp8bNByZw9hOkV/CJnvWQaT/5EJORdZL7Os4pwIw8vbev12/a6mhF3fqmegDzF9&#10;FM6QvGmpVjYzhgZOn2LCYGh6NcnX2pKhpe9v6ht0B9gwUkPCrfFIIdqOEtAddiJLobiJTiv+oLTO&#10;4Bi6404HcgLsht0y/zI7DPGLWY63h9iPdhx3Y5sE92Q52kPTC+AfLCfp4lEwi4LRnJYRnBItMHze&#10;FcsESv+NJeagLaaSlR61Lbt00WKk/SgklqlIXKiwicvYyzhs2N3Xji7OEJANJXJ/IXaCZLQoI/RC&#10;/Awq8Z1NM94o66a65AEXczHSeTVVQo72VylGAbIWR8cvpf2KRjgOpXDT6OZ5+/lc4M8fmO0PAAAA&#10;//8DAFBLAwQUAAYACAAAACEAJ87Wvt8AAAAIAQAADwAAAGRycy9kb3ducmV2LnhtbEyPzU7DMBCE&#10;70i8g7VI3FonLQolxKkQEuLCj1qKIm5OvE0s7HVku214e4w4wHF2RjPfVuvJGnZEH7QjAfk8A4bU&#10;OaWpF7B7e5itgIUoSUnjCAV8YYB1fX5WyVK5E23wuI09SyUUSilgiHEsOQ/dgFaGuRuRkrd33sqY&#10;pO+58vKUyq3hiywruJWa0sIgR7wfsPvcHqwAvWs2r435yBv90pF/frp+3z+2QlxeTHe3wCJO8S8M&#10;P/gJHerE1LoDqcCMgFmxSEkBy7wAlvyb1fIKWPt74HXF/z9QfwMAAP//AwBQSwECLQAUAAYACAAA&#10;ACEAtoM4kv4AAADhAQAAEwAAAAAAAAAAAAAAAAAAAAAAW0NvbnRlbnRfVHlwZXNdLnhtbFBLAQIt&#10;ABQABgAIAAAAIQA4/SH/1gAAAJQBAAALAAAAAAAAAAAAAAAAAC8BAABfcmVscy8ucmVsc1BLAQIt&#10;ABQABgAIAAAAIQDtTbcbHgIAAKgEAAAOAAAAAAAAAAAAAAAAAC4CAABkcnMvZTJvRG9jLnhtbFBL&#10;AQItABQABgAIAAAAIQAnzta+3wAAAAgBAAAPAAAAAAAAAAAAAAAAAHgEAABkcnMvZG93bnJldi54&#10;bWxQSwUGAAAAAAQABADzAAAAhAUAAAAA&#10;" strokecolor="#c00000">
                <v:stroke dashstyle="dash"/>
              </v:line>
            </w:pict>
          </mc:Fallback>
        </mc:AlternateContent>
      </w:r>
      <w:r w:rsidR="00354C9C" w:rsidRPr="00226B83">
        <w:rPr>
          <w:rFonts w:cstheme="minorHAnsi"/>
        </w:rPr>
        <w:t xml:space="preserve">                                                                                           </w:t>
      </w:r>
      <w:r w:rsidR="00325888" w:rsidRPr="00226B83">
        <w:rPr>
          <w:rFonts w:cstheme="minorHAnsi"/>
        </w:rPr>
        <w:t xml:space="preserve">   </w:t>
      </w:r>
      <w:r w:rsidR="00354C9C" w:rsidRPr="00226B83">
        <w:rPr>
          <w:rFonts w:cstheme="minorHAnsi"/>
        </w:rPr>
        <w:t xml:space="preserve">    </w:t>
      </w:r>
      <w:r w:rsidR="001B1533" w:rsidRPr="00226B83">
        <w:rPr>
          <w:rFonts w:cstheme="minorHAnsi"/>
        </w:rPr>
        <w:t xml:space="preserve">   </w:t>
      </w:r>
      <w:r w:rsidR="001B1533" w:rsidRPr="00226B83">
        <w:rPr>
          <w:rFonts w:cstheme="minorHAnsi"/>
          <w:color w:val="C00000"/>
        </w:rPr>
        <w:t xml:space="preserve"> </w:t>
      </w:r>
      <w:r w:rsidR="00354C9C" w:rsidRPr="00226B83">
        <w:rPr>
          <w:rFonts w:cstheme="minorHAnsi"/>
          <w:color w:val="C00000"/>
        </w:rPr>
        <w:t>DEMOCRACIA</w:t>
      </w:r>
    </w:p>
    <w:p w14:paraId="34EC4ADF" w14:textId="77777777" w:rsidR="0068384A" w:rsidRDefault="0068384A" w:rsidP="00F947DA">
      <w:pPr>
        <w:spacing w:after="0" w:line="240" w:lineRule="auto"/>
        <w:rPr>
          <w:rFonts w:cstheme="minorHAnsi"/>
        </w:rPr>
      </w:pPr>
    </w:p>
    <w:p w14:paraId="048A4E0C" w14:textId="79577056" w:rsidR="00616E95" w:rsidRPr="00226B83" w:rsidRDefault="00CF7D46" w:rsidP="00F947DA">
      <w:pPr>
        <w:spacing w:line="240" w:lineRule="auto"/>
        <w:rPr>
          <w:rFonts w:cstheme="minorHAnsi"/>
          <w:b/>
          <w:bCs/>
          <w:i/>
          <w:iCs/>
        </w:rPr>
      </w:pPr>
      <w:r w:rsidRPr="00226B83">
        <w:rPr>
          <w:rFonts w:cstheme="minorHAnsi"/>
          <w:b/>
          <w:bCs/>
          <w:i/>
          <w:iCs/>
        </w:rPr>
        <w:t>ARTIGOS</w:t>
      </w:r>
    </w:p>
    <w:p w14:paraId="48E0E246" w14:textId="4E321382" w:rsidR="00354C9C" w:rsidRPr="00226B83" w:rsidRDefault="00616E95" w:rsidP="00F947DA">
      <w:pPr>
        <w:spacing w:line="240" w:lineRule="auto"/>
        <w:rPr>
          <w:rFonts w:cstheme="minorHAnsi"/>
          <w:color w:val="C00000"/>
        </w:rPr>
      </w:pPr>
      <w:r w:rsidRPr="00226B83">
        <w:rPr>
          <w:rFonts w:cstheme="minorHAnsi"/>
        </w:rPr>
        <w:t xml:space="preserve">Carlo Maurizio             </w:t>
      </w:r>
      <w:r w:rsidR="0012288D" w:rsidRPr="00226B83">
        <w:rPr>
          <w:rFonts w:cstheme="minorHAnsi"/>
        </w:rPr>
        <w:t xml:space="preserve"> </w:t>
      </w:r>
      <w:r w:rsidR="005535E4">
        <w:rPr>
          <w:rFonts w:cstheme="minorHAnsi"/>
        </w:rPr>
        <w:t xml:space="preserve">      </w:t>
      </w:r>
      <w:r w:rsidRPr="00226B83">
        <w:rPr>
          <w:rFonts w:cstheme="minorHAnsi"/>
        </w:rPr>
        <w:t>Romani</w:t>
      </w:r>
      <w:r w:rsidR="00354C9C" w:rsidRPr="00226B83">
        <w:rPr>
          <w:rFonts w:cstheme="minorHAnsi"/>
        </w:rPr>
        <w:t xml:space="preserve">                               </w:t>
      </w:r>
      <w:r w:rsidRPr="00226B83">
        <w:rPr>
          <w:rFonts w:cstheme="minorHAnsi"/>
        </w:rPr>
        <w:t xml:space="preserve">  </w:t>
      </w:r>
      <w:r w:rsidR="00354C9C" w:rsidRPr="00226B83">
        <w:rPr>
          <w:rFonts w:cstheme="minorHAnsi"/>
        </w:rPr>
        <w:t xml:space="preserve">  </w:t>
      </w:r>
      <w:r w:rsidR="00354C9C" w:rsidRPr="00226B83">
        <w:rPr>
          <w:rFonts w:cstheme="minorHAnsi"/>
          <w:color w:val="C00000"/>
        </w:rPr>
        <w:t xml:space="preserve">REDE DOS ANARQUISTAS                     </w:t>
      </w:r>
      <w:r w:rsidR="00C00B2F" w:rsidRPr="00226B83">
        <w:rPr>
          <w:rFonts w:cstheme="minorHAnsi"/>
          <w:color w:val="C00000"/>
        </w:rPr>
        <w:t xml:space="preserve">       </w:t>
      </w:r>
      <w:r w:rsidR="00354C9C" w:rsidRPr="00226B83">
        <w:rPr>
          <w:rFonts w:cstheme="minorHAnsi"/>
          <w:color w:val="C00000"/>
        </w:rPr>
        <w:t xml:space="preserve"> </w:t>
      </w:r>
      <w:r w:rsidR="001B1533" w:rsidRPr="00226B83">
        <w:rPr>
          <w:rFonts w:cstheme="minorHAnsi"/>
          <w:color w:val="C00000"/>
        </w:rPr>
        <w:t xml:space="preserve">   </w:t>
      </w:r>
      <w:r w:rsidR="00C15E0A">
        <w:rPr>
          <w:rFonts w:cstheme="minorHAnsi"/>
          <w:color w:val="000000" w:themeColor="text1"/>
        </w:rPr>
        <w:t xml:space="preserve">     3</w:t>
      </w:r>
      <w:r w:rsidR="00684B68">
        <w:rPr>
          <w:rFonts w:cstheme="minorHAnsi"/>
          <w:color w:val="000000" w:themeColor="text1"/>
        </w:rPr>
        <w:t>1/59</w:t>
      </w:r>
    </w:p>
    <w:p w14:paraId="76556EF1" w14:textId="12082EAA" w:rsidR="00354C9C" w:rsidRPr="00226B83" w:rsidRDefault="00E2462F" w:rsidP="00E2462F">
      <w:pPr>
        <w:spacing w:line="240" w:lineRule="auto"/>
        <w:rPr>
          <w:rFonts w:cstheme="minorHAnsi"/>
          <w:color w:val="C00000"/>
        </w:rPr>
      </w:pPr>
      <w:r w:rsidRPr="00E2462F">
        <w:rPr>
          <w:rFonts w:cstheme="minorHAnsi"/>
        </w:rPr>
        <w:t>Bruno</w:t>
      </w:r>
      <w:r w:rsidR="00354C9C" w:rsidRPr="00E2462F">
        <w:rPr>
          <w:rFonts w:cstheme="minorHAnsi"/>
        </w:rPr>
        <w:t xml:space="preserve"> </w:t>
      </w:r>
      <w:r w:rsidRPr="00E2462F">
        <w:rPr>
          <w:rFonts w:cstheme="minorHAnsi"/>
        </w:rPr>
        <w:t>Corrêia de Sá</w:t>
      </w:r>
      <w:r w:rsidR="00354C9C" w:rsidRPr="00E2462F">
        <w:rPr>
          <w:rFonts w:cstheme="minorHAnsi"/>
        </w:rPr>
        <w:t xml:space="preserve">         </w:t>
      </w:r>
      <w:proofErr w:type="gramStart"/>
      <w:r w:rsidRPr="00E2462F">
        <w:rPr>
          <w:rFonts w:cstheme="minorHAnsi"/>
        </w:rPr>
        <w:t>e</w:t>
      </w:r>
      <w:r>
        <w:rPr>
          <w:rFonts w:cstheme="minorHAnsi"/>
        </w:rPr>
        <w:t xml:space="preserve"> </w:t>
      </w:r>
      <w:r w:rsidRPr="00E2462F">
        <w:rPr>
          <w:rFonts w:cstheme="minorHAnsi"/>
        </w:rPr>
        <w:t xml:space="preserve"> Benevides</w:t>
      </w:r>
      <w:proofErr w:type="gramEnd"/>
      <w:r w:rsidRPr="00E2462F">
        <w:rPr>
          <w:rFonts w:cstheme="minorHAnsi"/>
        </w:rPr>
        <w:t xml:space="preserve"> </w:t>
      </w:r>
      <w:r w:rsidR="00354C9C" w:rsidRPr="00E2462F">
        <w:rPr>
          <w:rFonts w:cstheme="minorHAnsi"/>
        </w:rPr>
        <w:t xml:space="preserve">                  </w:t>
      </w:r>
      <w:r w:rsidR="0012288D" w:rsidRPr="00E2462F">
        <w:rPr>
          <w:rFonts w:cstheme="minorHAnsi"/>
        </w:rPr>
        <w:t xml:space="preserve">       </w:t>
      </w:r>
      <w:r w:rsidR="00354C9C" w:rsidRPr="00226B83">
        <w:rPr>
          <w:rFonts w:cstheme="minorHAnsi"/>
          <w:color w:val="C00000"/>
        </w:rPr>
        <w:t>ITALIANOS EM SÃO PAULO</w:t>
      </w:r>
    </w:p>
    <w:p w14:paraId="468E19BF" w14:textId="7BD104F8" w:rsidR="00616E95" w:rsidRDefault="00354C9C" w:rsidP="00F947DA">
      <w:pPr>
        <w:spacing w:after="0" w:line="240" w:lineRule="auto"/>
        <w:jc w:val="center"/>
        <w:rPr>
          <w:rFonts w:cstheme="minorHAnsi"/>
          <w:color w:val="C00000"/>
        </w:rPr>
      </w:pPr>
      <w:r w:rsidRPr="00226B83">
        <w:rPr>
          <w:rFonts w:cstheme="minorHAnsi"/>
          <w:color w:val="C00000"/>
        </w:rPr>
        <w:t xml:space="preserve">                      </w:t>
      </w:r>
      <w:r w:rsidR="0012288D" w:rsidRPr="00226B83">
        <w:rPr>
          <w:rFonts w:cstheme="minorHAnsi"/>
          <w:color w:val="C00000"/>
        </w:rPr>
        <w:t xml:space="preserve">                    </w:t>
      </w:r>
      <w:r w:rsidRPr="00226B83">
        <w:rPr>
          <w:rFonts w:cstheme="minorHAnsi"/>
          <w:color w:val="C00000"/>
        </w:rPr>
        <w:t xml:space="preserve"> NO INÍCIO DO SÉC XX</w:t>
      </w:r>
    </w:p>
    <w:p w14:paraId="27DB2084" w14:textId="3E9805EE" w:rsidR="005A146A" w:rsidRPr="00F947DA" w:rsidRDefault="005A146A" w:rsidP="00F947DA">
      <w:pPr>
        <w:spacing w:after="0" w:line="240" w:lineRule="auto"/>
        <w:rPr>
          <w:rFonts w:cstheme="minorHAnsi"/>
          <w:color w:val="000000" w:themeColor="text1"/>
        </w:rPr>
      </w:pPr>
      <w:r>
        <w:rPr>
          <w:rFonts w:cstheme="minorHAnsi"/>
          <w:noProof/>
          <w:color w:val="C00000"/>
        </w:rPr>
        <mc:AlternateContent>
          <mc:Choice Requires="wps">
            <w:drawing>
              <wp:anchor distT="0" distB="0" distL="114300" distR="114300" simplePos="0" relativeHeight="251670528" behindDoc="0" locked="0" layoutInCell="1" allowOverlap="1" wp14:anchorId="692843FD" wp14:editId="4B3014EC">
                <wp:simplePos x="0" y="0"/>
                <wp:positionH relativeFrom="column">
                  <wp:posOffset>-103401</wp:posOffset>
                </wp:positionH>
                <wp:positionV relativeFrom="paragraph">
                  <wp:posOffset>105233</wp:posOffset>
                </wp:positionV>
                <wp:extent cx="6473028" cy="10648"/>
                <wp:effectExtent l="0" t="0" r="23495" b="27940"/>
                <wp:wrapNone/>
                <wp:docPr id="18" name="Conector reto 18"/>
                <wp:cNvGraphicFramePr/>
                <a:graphic xmlns:a="http://schemas.openxmlformats.org/drawingml/2006/main">
                  <a:graphicData uri="http://schemas.microsoft.com/office/word/2010/wordprocessingShape">
                    <wps:wsp>
                      <wps:cNvCnPr/>
                      <wps:spPr>
                        <a:xfrm>
                          <a:off x="0" y="0"/>
                          <a:ext cx="6473028" cy="10648"/>
                        </a:xfrm>
                        <a:prstGeom prst="line">
                          <a:avLst/>
                        </a:prstGeom>
                        <a:ln>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0ADA1" id="Conector reto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3pt" to="501.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11gEAAAUEAAAOAAAAZHJzL2Uyb0RvYy54bWysU9uK2zAQfS/0H4TeGzvZJS0mzj5k2b6U&#10;NvTyAYo8igW6MVJj5+87kh3v0hYWSv0ge6Q5Z+ackXcPozXsAhi1dy1fr2rOwEnfaXdu+Y/vT+8+&#10;cBaTcJ0w3kHLrxD5w/7tm90QGtj43psOkBGJi80QWt6nFJqqirIHK+LKB3B0qDxakSjEc9WhGIjd&#10;mmpT19tq8NgF9BJipN3H6ZDvC79SINMXpSIkZlpOvaWyYllPea32O9GcUYRey7kN8Q9dWKEdFV2o&#10;HkUS7CfqP6isluijV2klva28UlpC0UBq1vVvar71IkDRQubEsNgU/x+t/Hw5ItMdzY4m5YSlGR1o&#10;UjJ5ZAjJM9onk4YQG8o9uCPOUQxHzIpHhTa/SQsbi7HXxVgYE5O0ub1/f1dvqICks3W9vS+c1TM4&#10;YEwfwVuWP1putMu6RSMun2KigpR6S8nbxuU1eqO7J21MCfB8OhhkF0GTPtT5yX0T8EUaRRlaZTVT&#10;/+UrXQ1MtF9BkRnU8V0pX64hLLRCSnBpPfMaR9kZpqiFBVi/DpzzMxTKFV3Am9fBC6JU9i4tYKud&#10;x78RpPHWsprybw5MurMFJ99dy2SLNXTXinPzf5Ev88u4wJ//3v0vAAAA//8DAFBLAwQUAAYACAAA&#10;ACEAJXqMXOEAAAAKAQAADwAAAGRycy9kb3ducmV2LnhtbEyPTU/DMAyG70j8h8hI3LakFFWjNJ3G&#10;x4YEHGAgxNFrTFutSaom2wq/Hu8EN1vvo9ePi/loO7GnIbTeaUimCgS5ypvW1Rre35aTGYgQ0Rns&#10;vCMN3xRgXp6eFJgbf3CvtF/HWnCJCzlqaGLscylD1ZDFMPU9Oc6+/GAx8jrU0gx44HLbyQulMmmx&#10;dXyhwZ5uG6q2653VQHe4Wt7fPFw9y+3Py8J/rp4uHz+0Pj8bF9cgIo3xD4ajPqtDyU4bv3MmiE7D&#10;JMlSRjnIMhBHQKk0AbHhaZaCLAv5/4XyFwAA//8DAFBLAQItABQABgAIAAAAIQC2gziS/gAAAOEB&#10;AAATAAAAAAAAAAAAAAAAAAAAAABbQ29udGVudF9UeXBlc10ueG1sUEsBAi0AFAAGAAgAAAAhADj9&#10;If/WAAAAlAEAAAsAAAAAAAAAAAAAAAAALwEAAF9yZWxzLy5yZWxzUEsBAi0AFAAGAAgAAAAhACD5&#10;yjXWAQAABQQAAA4AAAAAAAAAAAAAAAAALgIAAGRycy9lMm9Eb2MueG1sUEsBAi0AFAAGAAgAAAAh&#10;ACV6jFzhAAAACgEAAA8AAAAAAAAAAAAAAAAAMAQAAGRycy9kb3ducmV2LnhtbFBLBQYAAAAABAAE&#10;APMAAAA+BQAAAAA=&#10;" strokecolor="#c00000" strokeweight="1.5pt">
                <v:stroke joinstyle="miter"/>
              </v:line>
            </w:pict>
          </mc:Fallback>
        </mc:AlternateContent>
      </w:r>
    </w:p>
    <w:p w14:paraId="515B1945" w14:textId="77777777" w:rsidR="0068384A" w:rsidRPr="0068384A" w:rsidRDefault="0068384A" w:rsidP="00F947DA">
      <w:pPr>
        <w:spacing w:after="0" w:line="240" w:lineRule="auto"/>
        <w:rPr>
          <w:rFonts w:cstheme="minorHAnsi"/>
          <w:color w:val="C00000"/>
        </w:rPr>
      </w:pPr>
    </w:p>
    <w:p w14:paraId="17FA8389" w14:textId="1F64E967" w:rsidR="00616E95" w:rsidRPr="00226B83" w:rsidRDefault="00616E95" w:rsidP="00F947DA">
      <w:pPr>
        <w:spacing w:line="240" w:lineRule="auto"/>
        <w:rPr>
          <w:rFonts w:cstheme="minorHAnsi"/>
        </w:rPr>
      </w:pPr>
      <w:r w:rsidRPr="00226B83">
        <w:rPr>
          <w:rFonts w:cstheme="minorHAnsi"/>
        </w:rPr>
        <w:t xml:space="preserve">Daniel Santos               </w:t>
      </w:r>
      <w:r w:rsidR="00C00B2F" w:rsidRPr="00226B83">
        <w:rPr>
          <w:rFonts w:cstheme="minorHAnsi"/>
        </w:rPr>
        <w:t xml:space="preserve">        </w:t>
      </w:r>
      <w:r w:rsidRPr="00226B83">
        <w:rPr>
          <w:rFonts w:cstheme="minorHAnsi"/>
        </w:rPr>
        <w:t xml:space="preserve"> da Silva                  </w:t>
      </w:r>
      <w:r w:rsidR="00456A9B" w:rsidRPr="00226B83">
        <w:rPr>
          <w:rFonts w:cstheme="minorHAnsi"/>
        </w:rPr>
        <w:t xml:space="preserve">                  </w:t>
      </w:r>
      <w:r w:rsidRPr="00226B83">
        <w:rPr>
          <w:rFonts w:cstheme="minorHAnsi"/>
          <w:color w:val="C00000"/>
        </w:rPr>
        <w:t>ÉTICA E HISTÓRIA NOS</w:t>
      </w:r>
      <w:r w:rsidR="00456A9B" w:rsidRPr="00226B83">
        <w:rPr>
          <w:rFonts w:cstheme="minorHAnsi"/>
          <w:color w:val="C00000"/>
        </w:rPr>
        <w:t xml:space="preserve">                        </w:t>
      </w:r>
      <w:r w:rsidR="00C00B2F" w:rsidRPr="00226B83">
        <w:rPr>
          <w:rFonts w:cstheme="minorHAnsi"/>
          <w:color w:val="C00000"/>
        </w:rPr>
        <w:t xml:space="preserve">  </w:t>
      </w:r>
      <w:r w:rsidR="001B1533" w:rsidRPr="00226B83">
        <w:rPr>
          <w:rFonts w:cstheme="minorHAnsi"/>
          <w:color w:val="C00000"/>
        </w:rPr>
        <w:t xml:space="preserve">   </w:t>
      </w:r>
      <w:r w:rsidR="00C00B2F" w:rsidRPr="00226B83">
        <w:rPr>
          <w:rFonts w:cstheme="minorHAnsi"/>
          <w:color w:val="C00000"/>
        </w:rPr>
        <w:t xml:space="preserve"> </w:t>
      </w:r>
      <w:r w:rsidR="001B1533" w:rsidRPr="00226B83">
        <w:rPr>
          <w:rFonts w:cstheme="minorHAnsi"/>
          <w:color w:val="C00000"/>
        </w:rPr>
        <w:t xml:space="preserve"> </w:t>
      </w:r>
      <w:r w:rsidR="00C00B2F" w:rsidRPr="00226B83">
        <w:rPr>
          <w:rFonts w:cstheme="minorHAnsi"/>
          <w:color w:val="C00000"/>
        </w:rPr>
        <w:t xml:space="preserve">    </w:t>
      </w:r>
      <w:r w:rsidR="00456A9B" w:rsidRPr="00226B83">
        <w:rPr>
          <w:rFonts w:cstheme="minorHAnsi"/>
          <w:color w:val="C00000"/>
        </w:rPr>
        <w:t xml:space="preserve">  </w:t>
      </w:r>
      <w:r w:rsidR="00C15E0A">
        <w:rPr>
          <w:rFonts w:cstheme="minorHAnsi"/>
        </w:rPr>
        <w:t xml:space="preserve">   6</w:t>
      </w:r>
      <w:r w:rsidR="00684B68">
        <w:rPr>
          <w:rFonts w:cstheme="minorHAnsi"/>
        </w:rPr>
        <w:t>0/72</w:t>
      </w:r>
    </w:p>
    <w:p w14:paraId="6A74B3FC" w14:textId="16684BD3" w:rsidR="00C00B2F" w:rsidRDefault="00616E95" w:rsidP="00F947DA">
      <w:pPr>
        <w:spacing w:line="240" w:lineRule="auto"/>
        <w:rPr>
          <w:rFonts w:cstheme="minorHAnsi"/>
          <w:color w:val="C00000"/>
        </w:rPr>
      </w:pPr>
      <w:r w:rsidRPr="00226B83">
        <w:rPr>
          <w:rFonts w:cstheme="minorHAnsi"/>
        </w:rPr>
        <w:t xml:space="preserve">                                                          </w:t>
      </w:r>
      <w:r w:rsidR="00456A9B" w:rsidRPr="00226B83">
        <w:rPr>
          <w:rFonts w:cstheme="minorHAnsi"/>
        </w:rPr>
        <w:t xml:space="preserve">           </w:t>
      </w:r>
      <w:r w:rsidR="0012288D" w:rsidRPr="00226B83">
        <w:rPr>
          <w:rFonts w:cstheme="minorHAnsi"/>
        </w:rPr>
        <w:t xml:space="preserve">      </w:t>
      </w:r>
      <w:r w:rsidR="00456A9B" w:rsidRPr="00226B83">
        <w:rPr>
          <w:rFonts w:cstheme="minorHAnsi"/>
        </w:rPr>
        <w:t xml:space="preserve">   </w:t>
      </w:r>
      <w:r w:rsidRPr="00226B83">
        <w:rPr>
          <w:rFonts w:cstheme="minorHAnsi"/>
        </w:rPr>
        <w:t xml:space="preserve">  </w:t>
      </w:r>
      <w:r w:rsidRPr="00226B83">
        <w:rPr>
          <w:rFonts w:cstheme="minorHAnsi"/>
          <w:color w:val="C00000"/>
        </w:rPr>
        <w:t>ESCRITOS DE MARIA LACERDA DE MOURA</w:t>
      </w:r>
      <w:r w:rsidR="00456A9B" w:rsidRPr="00226B83">
        <w:rPr>
          <w:rFonts w:cstheme="minorHAnsi"/>
          <w:color w:val="C00000"/>
        </w:rPr>
        <w:t xml:space="preserve"> </w:t>
      </w:r>
    </w:p>
    <w:p w14:paraId="58468F11" w14:textId="3A31A2E3" w:rsidR="0068384A" w:rsidRPr="0068384A" w:rsidRDefault="005535E4" w:rsidP="00F947DA">
      <w:pPr>
        <w:spacing w:line="240" w:lineRule="auto"/>
        <w:rPr>
          <w:rFonts w:cstheme="minorHAnsi"/>
          <w:color w:val="C00000"/>
        </w:rPr>
      </w:pPr>
      <w:r>
        <w:rPr>
          <w:rFonts w:cstheme="minorHAnsi"/>
          <w:noProof/>
        </w:rPr>
        <mc:AlternateContent>
          <mc:Choice Requires="wps">
            <w:drawing>
              <wp:anchor distT="0" distB="0" distL="114300" distR="114300" simplePos="0" relativeHeight="251665408" behindDoc="0" locked="0" layoutInCell="1" allowOverlap="1" wp14:anchorId="5168C460" wp14:editId="745C2FE7">
                <wp:simplePos x="0" y="0"/>
                <wp:positionH relativeFrom="column">
                  <wp:posOffset>-103403</wp:posOffset>
                </wp:positionH>
                <wp:positionV relativeFrom="paragraph">
                  <wp:posOffset>79833</wp:posOffset>
                </wp:positionV>
                <wp:extent cx="6443331" cy="21265"/>
                <wp:effectExtent l="0" t="0" r="34290" b="36195"/>
                <wp:wrapNone/>
                <wp:docPr id="13" name="Conector reto 13"/>
                <wp:cNvGraphicFramePr/>
                <a:graphic xmlns:a="http://schemas.openxmlformats.org/drawingml/2006/main">
                  <a:graphicData uri="http://schemas.microsoft.com/office/word/2010/wordprocessingShape">
                    <wps:wsp>
                      <wps:cNvCnPr/>
                      <wps:spPr>
                        <a:xfrm>
                          <a:off x="0" y="0"/>
                          <a:ext cx="6443331" cy="21265"/>
                        </a:xfrm>
                        <a:prstGeom prst="line">
                          <a:avLst/>
                        </a:prstGeom>
                        <a:ln>
                          <a:solidFill>
                            <a:srgbClr val="C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513A" id="Conector reto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3pt" to="49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S81QEAAAUEAAAOAAAAZHJzL2Uyb0RvYy54bWysU8lu2zAQvRfIPxC815Kl1CgEyzk4SC5F&#10;a3T5AJoa2gS4Ych6+fsOKVkJ2gIBiupAcZn3Zt4bcv1wsYadAKP2rufLRc0ZOOkH7Q49//H96f1H&#10;zmISbhDGO+j5FSJ/2Ny9W59DB40/ejMAMiJxsTuHnh9TCl1VRXkEK+LCB3B0qDxakWiJh2pAcSZ2&#10;a6qmrlfV2eMQ0EuIkXYfx0O+KfxKgUxflIqQmOk51ZbKiGXc57HarEV3QBGOWk5liH+owgrtKOlM&#10;9SiSYD9R/0FltUQfvUoL6W3lldISigZSs6x/U/PtKAIULWRODLNN8f/Rys+nHTI9UO9azpyw1KMt&#10;dUomjwwheUb7ZNI5xI5it26H0yqGHWbFF4U2/0kLuxRjr7OxcElM0ubq/r5t2yVnks6aZbP6kDmr&#10;F3DAmJ7BW5YnPTfaZd2iE6dPMY2ht5C8bVweozd6eNLGlAUe9luD7CSo09s6f1OOV2GUMUOrrGas&#10;v8zS1cBI+xUUmUEVtyV9uYYw0wopwaVb7cZRdIYpKmEG1m8Dp/gMhXJFZ3DzNnhGlMzepRlstfP4&#10;N4J0WU5WqDH+5sCoO1uw98O1dLZYQ3etdGd6F/kyv14X+Mvr3fwCAAD//wMAUEsDBBQABgAIAAAA&#10;IQDEuAPg4QAAAAkBAAAPAAAAZHJzL2Rvd25yZXYueG1sTI/LTsNADEX3SPzDyEjs2klLiZqQSVUe&#10;LRKwgIIQSzcxSdSMJ8pM28DXY1awtO/R9XG2GGyrDtT7xrGByTgCRVy4suHKwNvrajQH5QNyia1j&#10;MvBFHhb56UmGaemO/EKHTaiUlLBP0UAdQpdq7YuaLPqx64gl+3S9xSBjX+myx6OU21ZPoyjWFhuW&#10;CzV2dFNTsdvsrQG6xfXq7vo+edK77+el+1g/zh7ejTk/G5ZXoAIN4Q+GX31Rh1yctm7PpVetgdEk&#10;vhBUgmkMSoAkmc9AbWVxmYDOM/3/g/wHAAD//wMAUEsBAi0AFAAGAAgAAAAhALaDOJL+AAAA4QEA&#10;ABMAAAAAAAAAAAAAAAAAAAAAAFtDb250ZW50X1R5cGVzXS54bWxQSwECLQAUAAYACAAAACEAOP0h&#10;/9YAAACUAQAACwAAAAAAAAAAAAAAAAAvAQAAX3JlbHMvLnJlbHNQSwECLQAUAAYACAAAACEALoQk&#10;vNUBAAAFBAAADgAAAAAAAAAAAAAAAAAuAgAAZHJzL2Uyb0RvYy54bWxQSwECLQAUAAYACAAAACEA&#10;xLgD4OEAAAAJAQAADwAAAAAAAAAAAAAAAAAvBAAAZHJzL2Rvd25yZXYueG1sUEsFBgAAAAAEAAQA&#10;8wAAAD0FAAAAAA==&#10;" strokecolor="#c00000" strokeweight="1.5pt">
                <v:stroke joinstyle="miter"/>
              </v:line>
            </w:pict>
          </mc:Fallback>
        </mc:AlternateContent>
      </w:r>
    </w:p>
    <w:p w14:paraId="1A29BA92" w14:textId="1800E8B7" w:rsidR="00C00B2F" w:rsidRPr="00226B83" w:rsidRDefault="00C00B2F" w:rsidP="00F947DA">
      <w:pPr>
        <w:spacing w:line="240" w:lineRule="auto"/>
        <w:rPr>
          <w:rFonts w:cstheme="minorHAnsi"/>
        </w:rPr>
      </w:pPr>
      <w:r w:rsidRPr="00226B83">
        <w:rPr>
          <w:rFonts w:cstheme="minorHAnsi"/>
        </w:rPr>
        <w:t xml:space="preserve"> Guilherme                            Santana                              </w:t>
      </w:r>
      <w:r w:rsidRPr="00226B83">
        <w:rPr>
          <w:rFonts w:cstheme="minorHAnsi"/>
          <w:color w:val="C00000"/>
        </w:rPr>
        <w:t xml:space="preserve">POR UMA TEORIA DAS RUAS: </w:t>
      </w:r>
      <w:r w:rsidRPr="00226B83">
        <w:rPr>
          <w:rFonts w:cstheme="minorHAnsi"/>
        </w:rPr>
        <w:t xml:space="preserve">                     </w:t>
      </w:r>
      <w:r w:rsidR="001B1533" w:rsidRPr="00226B83">
        <w:rPr>
          <w:rFonts w:cstheme="minorHAnsi"/>
        </w:rPr>
        <w:t xml:space="preserve">     </w:t>
      </w:r>
      <w:r w:rsidRPr="00226B83">
        <w:rPr>
          <w:rFonts w:cstheme="minorHAnsi"/>
        </w:rPr>
        <w:t xml:space="preserve">     </w:t>
      </w:r>
      <w:r w:rsidR="00C15E0A">
        <w:rPr>
          <w:rFonts w:cstheme="minorHAnsi"/>
        </w:rPr>
        <w:t xml:space="preserve">  7</w:t>
      </w:r>
      <w:r w:rsidR="00684B68">
        <w:rPr>
          <w:rFonts w:cstheme="minorHAnsi"/>
        </w:rPr>
        <w:t>3/96</w:t>
      </w:r>
    </w:p>
    <w:p w14:paraId="4DE720D2" w14:textId="0E792143" w:rsidR="00C00B2F" w:rsidRDefault="00C00B2F" w:rsidP="00F947DA">
      <w:pPr>
        <w:spacing w:line="240" w:lineRule="auto"/>
        <w:rPr>
          <w:rFonts w:cstheme="minorHAnsi"/>
          <w:color w:val="C00000"/>
        </w:rPr>
      </w:pPr>
      <w:r w:rsidRPr="00226B83">
        <w:rPr>
          <w:rFonts w:cstheme="minorHAnsi"/>
        </w:rPr>
        <w:t xml:space="preserve"> Juan Filipe L.                      Magalhães                </w:t>
      </w:r>
      <w:r w:rsidRPr="00226B83">
        <w:rPr>
          <w:rFonts w:cstheme="minorHAnsi"/>
          <w:color w:val="C00000"/>
        </w:rPr>
        <w:t>UMA ANÁLISE DE UM MUNDO EM CHAMAS</w:t>
      </w:r>
    </w:p>
    <w:p w14:paraId="36E2F174" w14:textId="57FDCFF2" w:rsidR="00C00B2F" w:rsidRPr="00226B83" w:rsidRDefault="005535E4" w:rsidP="00F947DA">
      <w:pPr>
        <w:spacing w:line="240" w:lineRule="auto"/>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3E33C7B7" wp14:editId="70A45B9E">
                <wp:simplePos x="0" y="0"/>
                <wp:positionH relativeFrom="column">
                  <wp:posOffset>-103402</wp:posOffset>
                </wp:positionH>
                <wp:positionV relativeFrom="paragraph">
                  <wp:posOffset>104937</wp:posOffset>
                </wp:positionV>
                <wp:extent cx="6441913"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6441913" cy="0"/>
                        </a:xfrm>
                        <a:prstGeom prst="line">
                          <a:avLst/>
                        </a:prstGeom>
                        <a:ln>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1C489" id="Conector reto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25pt" to="49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mC0gEAAAEEAAAOAAAAZHJzL2Uyb0RvYy54bWysU9uO2yAQfa/Uf0C8N7az0aq14uxDVtuX&#10;qo16+QCChxiJmwYaO3/fASfeVVtppap+wAzMOcw5A9uHyRp2Bozau443q5ozcNL32p06/uP707v3&#10;nMUkXC+Md9DxC0T+sHv7ZjuGFtZ+8KYHZETiYjuGjg8phbaqohzAirjyARxtKo9WJArxVPUoRmK3&#10;plrX9X01euwDegkx0urjvMl3hV8pkOmLUhESMx2n2lIZsYzHPFa7rWhPKMKg5bUM8Q9VWKEdHbpQ&#10;PYok2E/Uf1BZLdFHr9JKelt5pbSEooHUNPVvar4NIkDRQubEsNgU/x+t/Hw+INM99W7DmROWerSn&#10;TsnkkSEkz2idTBpDbCl37w54jWI4YFY8KbT5T1rYVIy9LMbClJikxfvNpvnQ3HEmb3vVMzBgTB/B&#10;W5YnHTfaZc2iFedPMdFhlHpLycvG5TF6o/snbUwJ8HTcG2RnQV3e1/nLNRPwRRpFGVplJXPtZZYu&#10;Bmbar6DICKr2rhxfriAstEJKcKm58hpH2RmmqIQFWL8OvOZnKJTruYDXr4MXRDnZu7SArXYe/0aQ&#10;plvJas6/OTDrzhYcfX8pXS3W0D0rzl3fRL7IL+MCf365u18AAAD//wMAUEsDBBQABgAIAAAAIQDv&#10;lYkZ4AAAAAkBAAAPAAAAZHJzL2Rvd25yZXYueG1sTI/LTsNADEX3SPzDyEjs2kkLRE3IpCqPFglY&#10;QEGIpZuYJGrGE2WmbeDrMWIBS/seXR9n88G2ak+9bxwbmIwjUMSFKxuuDLy+LEczUD4gl9g6JgOf&#10;5GGeHx9lmJbuwM+0X4dKSQn7FA3UIXSp1r6oyaIfu45Ysg/XWwwy9pUuezxIuW31NIpibbFhuVBj&#10;R9c1Fdv1zhqgG1wtb6/ukke9/XpauPfVw/n9mzGnJ8PiElSgIfzB8KMv6pCL08btuPSqNTCaxGeC&#10;ShBfgBIgSWZTUJvfhc4z/f+D/BsAAP//AwBQSwECLQAUAAYACAAAACEAtoM4kv4AAADhAQAAEwAA&#10;AAAAAAAAAAAAAAAAAAAAW0NvbnRlbnRfVHlwZXNdLnhtbFBLAQItABQABgAIAAAAIQA4/SH/1gAA&#10;AJQBAAALAAAAAAAAAAAAAAAAAC8BAABfcmVscy8ucmVsc1BLAQItABQABgAIAAAAIQCwuFmC0gEA&#10;AAEEAAAOAAAAAAAAAAAAAAAAAC4CAABkcnMvZTJvRG9jLnhtbFBLAQItABQABgAIAAAAIQDvlYkZ&#10;4AAAAAkBAAAPAAAAAAAAAAAAAAAAACwEAABkcnMvZG93bnJldi54bWxQSwUGAAAAAAQABADzAAAA&#10;OQUAAAAA&#10;" strokecolor="#c00000" strokeweight="1.5pt">
                <v:stroke joinstyle="miter"/>
              </v:line>
            </w:pict>
          </mc:Fallback>
        </mc:AlternateContent>
      </w:r>
    </w:p>
    <w:p w14:paraId="3B55CED3" w14:textId="0C0914E6" w:rsidR="00456A9B" w:rsidRPr="00226B83" w:rsidRDefault="00456A9B" w:rsidP="00F947DA">
      <w:pPr>
        <w:spacing w:line="240" w:lineRule="auto"/>
        <w:rPr>
          <w:rFonts w:cstheme="minorHAnsi"/>
        </w:rPr>
      </w:pPr>
      <w:r w:rsidRPr="00226B83">
        <w:rPr>
          <w:rFonts w:cstheme="minorHAnsi"/>
        </w:rPr>
        <w:t xml:space="preserve">Felipe                              </w:t>
      </w:r>
      <w:r w:rsidR="00C00B2F" w:rsidRPr="00226B83">
        <w:rPr>
          <w:rFonts w:cstheme="minorHAnsi"/>
        </w:rPr>
        <w:t xml:space="preserve">       </w:t>
      </w:r>
      <w:r w:rsidRPr="00226B83">
        <w:rPr>
          <w:rFonts w:cstheme="minorHAnsi"/>
        </w:rPr>
        <w:t xml:space="preserve">  Luiz                                    </w:t>
      </w:r>
      <w:r w:rsidR="00C00B2F" w:rsidRPr="00226B83">
        <w:rPr>
          <w:rFonts w:cstheme="minorHAnsi"/>
          <w:color w:val="C00000"/>
        </w:rPr>
        <w:t>A GENEALOGIA</w:t>
      </w:r>
      <w:r w:rsidRPr="00226B83">
        <w:rPr>
          <w:rFonts w:cstheme="minorHAnsi"/>
          <w:color w:val="C00000"/>
        </w:rPr>
        <w:t xml:space="preserve"> E AS RELAÇÕES               </w:t>
      </w:r>
      <w:r w:rsidR="00C00B2F" w:rsidRPr="00226B83">
        <w:rPr>
          <w:rFonts w:cstheme="minorHAnsi"/>
          <w:color w:val="C00000"/>
        </w:rPr>
        <w:t xml:space="preserve">       </w:t>
      </w:r>
      <w:r w:rsidR="001B1533" w:rsidRPr="00226B83">
        <w:rPr>
          <w:rFonts w:cstheme="minorHAnsi"/>
          <w:color w:val="C00000"/>
        </w:rPr>
        <w:t xml:space="preserve">      </w:t>
      </w:r>
      <w:r w:rsidR="00C15E0A">
        <w:rPr>
          <w:rFonts w:cstheme="minorHAnsi"/>
        </w:rPr>
        <w:t xml:space="preserve">  97/11</w:t>
      </w:r>
      <w:r w:rsidR="00684B68">
        <w:rPr>
          <w:rFonts w:cstheme="minorHAnsi"/>
        </w:rPr>
        <w:t>8</w:t>
      </w:r>
    </w:p>
    <w:p w14:paraId="65EC4CC4" w14:textId="7AA90116" w:rsidR="00616E95" w:rsidRPr="00226B83" w:rsidRDefault="005A146A" w:rsidP="00F947DA">
      <w:pPr>
        <w:spacing w:line="240" w:lineRule="auto"/>
        <w:rPr>
          <w:rFonts w:cstheme="minorHAnsi"/>
          <w:color w:val="C00000"/>
        </w:rPr>
      </w:pPr>
      <w:r>
        <w:rPr>
          <w:rFonts w:cstheme="minorHAnsi"/>
          <w:noProof/>
          <w:color w:val="C00000"/>
        </w:rPr>
        <mc:AlternateContent>
          <mc:Choice Requires="wps">
            <w:drawing>
              <wp:anchor distT="0" distB="0" distL="114300" distR="114300" simplePos="0" relativeHeight="251667456" behindDoc="0" locked="0" layoutInCell="1" allowOverlap="1" wp14:anchorId="409B9650" wp14:editId="6294E3FC">
                <wp:simplePos x="0" y="0"/>
                <wp:positionH relativeFrom="column">
                  <wp:posOffset>-39607</wp:posOffset>
                </wp:positionH>
                <wp:positionV relativeFrom="paragraph">
                  <wp:posOffset>299764</wp:posOffset>
                </wp:positionV>
                <wp:extent cx="6390167" cy="0"/>
                <wp:effectExtent l="0" t="0" r="0" b="0"/>
                <wp:wrapNone/>
                <wp:docPr id="15" name="Conector reto 15"/>
                <wp:cNvGraphicFramePr/>
                <a:graphic xmlns:a="http://schemas.openxmlformats.org/drawingml/2006/main">
                  <a:graphicData uri="http://schemas.microsoft.com/office/word/2010/wordprocessingShape">
                    <wps:wsp>
                      <wps:cNvCnPr/>
                      <wps:spPr>
                        <a:xfrm>
                          <a:off x="0" y="0"/>
                          <a:ext cx="6390167" cy="0"/>
                        </a:xfrm>
                        <a:prstGeom prst="line">
                          <a:avLst/>
                        </a:prstGeom>
                        <a:ln>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5BB4544" id="Conector reto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23.6pt" to="500.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mS0gEAAAEEAAAOAAAAZHJzL2Uyb0RvYy54bWysU9uO0zAQfUfiHyy/06RdUSBqug9dLS8I&#10;Ki4f4DrjxpJvGpsm/XvGTppdAdJKiDw4HnvO8Zwz9u5+tIZdAKP2ruXrVc0ZOOk77c4t//H98c17&#10;zmISrhPGO2j5FSK/379+tRtCAxvfe9MBMiJxsRlCy/uUQlNVUfZgRVz5AI42lUcrEoV4rjoUA7Fb&#10;U23qelsNHruAXkKMtPowbfJ94VcKZPqiVITETMuptlRGLOMpj9V+J5ozitBrOZch/qEKK7SjQxeq&#10;B5EE+4n6DyqrJfroVVpJbyuvlJZQNJCadf2bmm+9CFC0kDkxLDbF/0crP1+OyHRHvXvLmROWenSg&#10;TsnkkSEkz2idTBpCbCj34I44RzEcMSseFdr8Jy1sLMZeF2NhTEzS4vbuQ73evuNM3vaqJ2DAmD6C&#10;tyxPWm60y5pFIy6fYqLDKPWWkpeNy2P0RneP2pgS4Pl0MMgugrp8qPOXaybgszSKMrTKSqbayyxd&#10;DUy0X0GREVTtXTm+XEFYaIWU4NJ65jWOsjNMUQkLsH4ZOOdnKJTruYA3L4MXRDnZu7SArXYe/0aQ&#10;xlvJasq/OTDpzhacfHctXS3W0D0rzs1vIl/k53GBP73c/S8AAAD//wMAUEsDBBQABgAIAAAAIQBe&#10;AOlo4AAAAAkBAAAPAAAAZHJzL2Rvd25yZXYueG1sTI9PT8JAEMXvJnyHzZh4g10IQa3dEvwDJuhB&#10;0RCOQ3dsG7qzTXeB6qdniQc9TWbey5vfS6edrcWBWl851jAcKBDEuTMVFxo+P+b9GxA+IBusHZOG&#10;b/IwzXoXKSbGHfmdDqtQiBjCPkENZQhNIqXPS7LoB64hjtqXay2GuLaFNC0eY7it5UipibRYcfxQ&#10;YkMPJeW71d5qoEdczJ/un29f5e7nbeY2i5fxcq311WU3uwMRqAt/ZjjjR3TIItPW7dl4UWvoT0bR&#10;qWF8HedZV0oNQWx/LzJL5f8G2QkAAP//AwBQSwECLQAUAAYACAAAACEAtoM4kv4AAADhAQAAEwAA&#10;AAAAAAAAAAAAAAAAAAAAW0NvbnRlbnRfVHlwZXNdLnhtbFBLAQItABQABgAIAAAAIQA4/SH/1gAA&#10;AJQBAAALAAAAAAAAAAAAAAAAAC8BAABfcmVscy8ucmVsc1BLAQItABQABgAIAAAAIQB7T4mS0gEA&#10;AAEEAAAOAAAAAAAAAAAAAAAAAC4CAABkcnMvZTJvRG9jLnhtbFBLAQItABQABgAIAAAAIQBeAOlo&#10;4AAAAAkBAAAPAAAAAAAAAAAAAAAAACwEAABkcnMvZG93bnJldi54bWxQSwUGAAAAAAQABADzAAAA&#10;OQUAAAAA&#10;" strokecolor="#c00000" strokeweight="1.5pt">
                <v:stroke joinstyle="miter"/>
              </v:line>
            </w:pict>
          </mc:Fallback>
        </mc:AlternateContent>
      </w:r>
      <w:r w:rsidR="00456A9B" w:rsidRPr="00226B83">
        <w:rPr>
          <w:rFonts w:cstheme="minorHAnsi"/>
          <w:color w:val="C00000"/>
        </w:rPr>
        <w:t xml:space="preserve">                                                                                       </w:t>
      </w:r>
      <w:r w:rsidR="0012288D" w:rsidRPr="00226B83">
        <w:rPr>
          <w:rFonts w:cstheme="minorHAnsi"/>
          <w:color w:val="C00000"/>
        </w:rPr>
        <w:t xml:space="preserve">      </w:t>
      </w:r>
      <w:r w:rsidR="00456A9B" w:rsidRPr="00226B83">
        <w:rPr>
          <w:rFonts w:cstheme="minorHAnsi"/>
          <w:color w:val="C00000"/>
        </w:rPr>
        <w:t xml:space="preserve">     DE CENTRO-PERIFERIA </w:t>
      </w:r>
    </w:p>
    <w:p w14:paraId="3549EC6C" w14:textId="77777777" w:rsidR="00C00B2F" w:rsidRPr="00226B83" w:rsidRDefault="00C00B2F" w:rsidP="00F947DA">
      <w:pPr>
        <w:spacing w:line="240" w:lineRule="auto"/>
        <w:rPr>
          <w:rFonts w:cstheme="minorHAnsi"/>
        </w:rPr>
      </w:pPr>
    </w:p>
    <w:p w14:paraId="6FFFB051" w14:textId="7A7C1333" w:rsidR="00C00B2F" w:rsidRPr="00226B83" w:rsidRDefault="00C00B2F" w:rsidP="00F947DA">
      <w:pPr>
        <w:spacing w:line="240" w:lineRule="auto"/>
        <w:rPr>
          <w:rFonts w:cstheme="minorHAnsi"/>
        </w:rPr>
      </w:pPr>
      <w:r w:rsidRPr="00226B83">
        <w:rPr>
          <w:rFonts w:cstheme="minorHAnsi"/>
        </w:rPr>
        <w:t xml:space="preserve">Hamilton                               Santos                                  </w:t>
      </w:r>
      <w:r w:rsidRPr="00226B83">
        <w:rPr>
          <w:rFonts w:cstheme="minorHAnsi"/>
          <w:color w:val="C00000"/>
        </w:rPr>
        <w:t xml:space="preserve">IMIGRAÇÃO E ANARQUISMO NO                  </w:t>
      </w:r>
      <w:r w:rsidR="001B1533" w:rsidRPr="00226B83">
        <w:rPr>
          <w:rFonts w:cstheme="minorHAnsi"/>
          <w:color w:val="C00000"/>
        </w:rPr>
        <w:t xml:space="preserve">     </w:t>
      </w:r>
      <w:r w:rsidR="00F947DA">
        <w:rPr>
          <w:rFonts w:cstheme="minorHAnsi"/>
          <w:color w:val="C00000"/>
        </w:rPr>
        <w:t xml:space="preserve"> </w:t>
      </w:r>
      <w:r w:rsidR="001B1533" w:rsidRPr="00226B83">
        <w:rPr>
          <w:rFonts w:cstheme="minorHAnsi"/>
          <w:color w:val="C00000"/>
        </w:rPr>
        <w:t xml:space="preserve">  </w:t>
      </w:r>
      <w:r w:rsidRPr="00226B83">
        <w:rPr>
          <w:rFonts w:cstheme="minorHAnsi"/>
        </w:rPr>
        <w:t>1</w:t>
      </w:r>
      <w:r w:rsidR="00684B68">
        <w:rPr>
          <w:rFonts w:cstheme="minorHAnsi"/>
        </w:rPr>
        <w:t>19</w:t>
      </w:r>
      <w:r w:rsidRPr="00226B83">
        <w:rPr>
          <w:rFonts w:cstheme="minorHAnsi"/>
        </w:rPr>
        <w:t>/15</w:t>
      </w:r>
      <w:r w:rsidR="00684B68">
        <w:rPr>
          <w:rFonts w:cstheme="minorHAnsi"/>
        </w:rPr>
        <w:t>3</w:t>
      </w:r>
    </w:p>
    <w:p w14:paraId="3F1BFF66" w14:textId="77777777" w:rsidR="00456A9B" w:rsidRPr="00226B83" w:rsidRDefault="00C00B2F" w:rsidP="00F947DA">
      <w:pPr>
        <w:spacing w:line="240" w:lineRule="auto"/>
        <w:rPr>
          <w:rFonts w:cstheme="minorHAnsi"/>
        </w:rPr>
      </w:pPr>
      <w:r w:rsidRPr="00226B83">
        <w:rPr>
          <w:rFonts w:cstheme="minorHAnsi"/>
        </w:rPr>
        <w:t xml:space="preserve">                                                                                          </w:t>
      </w:r>
      <w:r w:rsidR="0012288D" w:rsidRPr="00226B83">
        <w:rPr>
          <w:rFonts w:cstheme="minorHAnsi"/>
        </w:rPr>
        <w:t xml:space="preserve">       </w:t>
      </w:r>
      <w:r w:rsidR="00456A9B" w:rsidRPr="00226B83">
        <w:rPr>
          <w:rFonts w:cstheme="minorHAnsi"/>
          <w:color w:val="C00000"/>
        </w:rPr>
        <w:t>MOVIMENTO OPERÁRIO</w:t>
      </w:r>
    </w:p>
    <w:p w14:paraId="3021BC28" w14:textId="4853461F" w:rsidR="0012288D" w:rsidRPr="00226B83" w:rsidRDefault="005A146A" w:rsidP="00F947DA">
      <w:pPr>
        <w:spacing w:line="240" w:lineRule="auto"/>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69037CD7" wp14:editId="69B2410A">
                <wp:simplePos x="0" y="0"/>
                <wp:positionH relativeFrom="column">
                  <wp:posOffset>-220360</wp:posOffset>
                </wp:positionH>
                <wp:positionV relativeFrom="paragraph">
                  <wp:posOffset>337613</wp:posOffset>
                </wp:positionV>
                <wp:extent cx="6590340"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6590340" cy="0"/>
                        </a:xfrm>
                        <a:prstGeom prst="line">
                          <a:avLst/>
                        </a:prstGeom>
                        <a:ln>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DE576" id="Conector reto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26.6pt" to="501.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F22AEAAAsEAAAOAAAAZHJzL2Uyb0RvYy54bWysU02P0zAQvSPxHyzfadIuVBA13UNXywVB&#10;xdfddcaNJX9pbJr03zN20rACpJUQOYwy9rzneW/s3f1oDbsARu1dy9ermjNw0nfanVv+7evjq7ec&#10;xSRcJ4x30PIrRH6/f/liN4QGNr73pgNkROJiM4SW9ymFpqqi7MGKuPIBHG0qj1YkSvFcdSgGYrem&#10;2tT1tho8dgG9hBhp9WHa5PvCrxTI9EmpCImZllNvqUQs8ZRjtd+J5owi9FrObYh/6MIK7ejQhepB&#10;JMF+oP6DymqJPnqVVtLbyiulJRQNpGZd/6bmSy8CFC1kTgyLTfH/0cqPlyMy3dHstpw5YWlGB5qU&#10;TB4ZQvKM1smkIcSGag/uiHMWwxGz4lGhZcro8J04igekio3F4utiMYyJSVrcvnlX372mScjbXjVR&#10;ZKqAMb0Hb1n+abnRLqsXjbh8iImOpdJbSV42Lsfoje4etTElwfPpYJBdBM37UOcvd0/AJ2WUZWiV&#10;NU0qyl+6GphoP4MiS6jbu3J8uYyw0AopwaX1zGscVWeYohYWYP08cK7PUCgXdQFvngcviHKyd2kB&#10;W+08/o0gjbeW1VR/c2DSnS04+e5a5lusoRtXnJtfR77ST/MC//WG9z8BAAD//wMAUEsDBBQABgAI&#10;AAAAIQDzT8M73AAAAAoBAAAPAAAAZHJzL2Rvd25yZXYueG1sTI/LTsMwEEX3SPyDNUjsWrsNjyrE&#10;qRBSl1m08AF2PHm08TjYTpv+Pa5YwHJmju6cW2xnO7Az+tA7krBaCmBItTM9tRK+PneLDbAQFRk1&#10;OEIJVwywLe/vCpUbd6E9ng+xZSmEQq4kdDGOOeeh7tCqsHQjUro1zlsV0+hbbry6pHA78LUQL9yq&#10;ntKHTo340WF9OkxWQqXtHvWx2VT1dG12lfDffNZSPj7M72/AIs7xD4abflKHMjlpN5EJbJCwyJ5e&#10;EyrhOVsDuwFCZCtg+nfDy4L/r1D+AAAA//8DAFBLAQItABQABgAIAAAAIQC2gziS/gAAAOEBAAAT&#10;AAAAAAAAAAAAAAAAAAAAAABbQ29udGVudF9UeXBlc10ueG1sUEsBAi0AFAAGAAgAAAAhADj9If/W&#10;AAAAlAEAAAsAAAAAAAAAAAAAAAAALwEAAF9yZWxzLy5yZWxzUEsBAi0AFAAGAAgAAAAhACDjEXbY&#10;AQAACwQAAA4AAAAAAAAAAAAAAAAALgIAAGRycy9lMm9Eb2MueG1sUEsBAi0AFAAGAAgAAAAhAPNP&#10;wzvcAAAACgEAAA8AAAAAAAAAAAAAAAAAMgQAAGRycy9kb3ducmV2LnhtbFBLBQYAAAAABAAEAPMA&#10;AAA7BQAAAAA=&#10;" strokecolor="#c00000" strokeweight="1.5pt">
                <v:stroke joinstyle="miter"/>
              </v:line>
            </w:pict>
          </mc:Fallback>
        </mc:AlternateContent>
      </w:r>
      <w:r w:rsidR="00C00B2F" w:rsidRPr="00226B83">
        <w:rPr>
          <w:rFonts w:cstheme="minorHAnsi"/>
        </w:rPr>
        <w:t xml:space="preserve">                                                                                   </w:t>
      </w:r>
      <w:r w:rsidR="0012288D" w:rsidRPr="00226B83">
        <w:rPr>
          <w:rFonts w:cstheme="minorHAnsi"/>
        </w:rPr>
        <w:t xml:space="preserve">       </w:t>
      </w:r>
      <w:r w:rsidR="00C00B2F" w:rsidRPr="00226B83">
        <w:rPr>
          <w:rFonts w:cstheme="minorHAnsi"/>
        </w:rPr>
        <w:t xml:space="preserve"> </w:t>
      </w:r>
      <w:r w:rsidR="00456A9B" w:rsidRPr="00226B83">
        <w:rPr>
          <w:rFonts w:cstheme="minorHAnsi"/>
          <w:color w:val="C00000"/>
        </w:rPr>
        <w:t xml:space="preserve">DURANTE A PRIMEIRA REPÚBLICA </w:t>
      </w:r>
      <w:r w:rsidR="0012288D" w:rsidRPr="00226B83">
        <w:rPr>
          <w:rFonts w:cstheme="minorHAnsi"/>
          <w:color w:val="C00000"/>
        </w:rPr>
        <w:t xml:space="preserve">      </w:t>
      </w:r>
    </w:p>
    <w:p w14:paraId="193C04AE" w14:textId="767607DA" w:rsidR="00C00B2F" w:rsidRPr="00226B83" w:rsidRDefault="0012288D" w:rsidP="00F947DA">
      <w:pPr>
        <w:tabs>
          <w:tab w:val="right" w:pos="9638"/>
        </w:tabs>
        <w:spacing w:line="240" w:lineRule="auto"/>
        <w:rPr>
          <w:rFonts w:cstheme="minorHAnsi"/>
        </w:rPr>
      </w:pPr>
      <w:r w:rsidRPr="00226B83">
        <w:rPr>
          <w:rFonts w:cstheme="minorHAnsi"/>
        </w:rPr>
        <w:t xml:space="preserve">         </w:t>
      </w:r>
      <w:r w:rsidR="005A146A">
        <w:rPr>
          <w:rFonts w:cstheme="minorHAnsi"/>
        </w:rPr>
        <w:tab/>
      </w:r>
    </w:p>
    <w:p w14:paraId="2E8C38E4" w14:textId="77E84C14" w:rsidR="0012288D" w:rsidRPr="00226B83" w:rsidRDefault="00C00B2F" w:rsidP="00F947DA">
      <w:pPr>
        <w:spacing w:line="240" w:lineRule="auto"/>
        <w:rPr>
          <w:rFonts w:cstheme="minorHAnsi"/>
        </w:rPr>
      </w:pPr>
      <w:r w:rsidRPr="00226B83">
        <w:rPr>
          <w:rFonts w:cstheme="minorHAnsi"/>
        </w:rPr>
        <w:t>Karime A. Borraschi            Cheaito</w:t>
      </w:r>
      <w:r w:rsidR="0012288D" w:rsidRPr="00226B83">
        <w:rPr>
          <w:rFonts w:cstheme="minorHAnsi"/>
        </w:rPr>
        <w:t xml:space="preserve">                                   </w:t>
      </w:r>
      <w:r w:rsidR="0012288D" w:rsidRPr="00226B83">
        <w:rPr>
          <w:rFonts w:cstheme="minorHAnsi"/>
          <w:color w:val="C00000"/>
        </w:rPr>
        <w:t xml:space="preserve">NA CASA AO </w:t>
      </w:r>
      <w:r w:rsidR="005A146A" w:rsidRPr="00226B83">
        <w:rPr>
          <w:rFonts w:cstheme="minorHAnsi"/>
          <w:color w:val="C00000"/>
        </w:rPr>
        <w:t>LADO:</w:t>
      </w:r>
      <w:r w:rsidR="0012288D" w:rsidRPr="00226B83">
        <w:rPr>
          <w:rFonts w:cstheme="minorHAnsi"/>
          <w:color w:val="C00000"/>
        </w:rPr>
        <w:t xml:space="preserve"> A SITUAÇÃO              </w:t>
      </w:r>
      <w:r w:rsidR="001B1533" w:rsidRPr="00226B83">
        <w:rPr>
          <w:rFonts w:cstheme="minorHAnsi"/>
          <w:color w:val="C00000"/>
        </w:rPr>
        <w:t xml:space="preserve">       </w:t>
      </w:r>
      <w:r w:rsidR="0012288D" w:rsidRPr="00226B83">
        <w:rPr>
          <w:rFonts w:cstheme="minorHAnsi"/>
          <w:color w:val="C00000"/>
        </w:rPr>
        <w:t xml:space="preserve"> </w:t>
      </w:r>
      <w:r w:rsidR="0012288D" w:rsidRPr="00226B83">
        <w:rPr>
          <w:rFonts w:cstheme="minorHAnsi"/>
        </w:rPr>
        <w:t>15</w:t>
      </w:r>
      <w:r w:rsidR="00684B68">
        <w:rPr>
          <w:rFonts w:cstheme="minorHAnsi"/>
        </w:rPr>
        <w:t>4/176</w:t>
      </w:r>
    </w:p>
    <w:p w14:paraId="546F46B6" w14:textId="77777777" w:rsidR="0012288D" w:rsidRPr="00226B83" w:rsidRDefault="0012288D" w:rsidP="00F947DA">
      <w:pPr>
        <w:spacing w:line="240" w:lineRule="auto"/>
        <w:rPr>
          <w:rFonts w:cstheme="minorHAnsi"/>
          <w:color w:val="C00000"/>
        </w:rPr>
      </w:pPr>
      <w:r w:rsidRPr="00226B83">
        <w:rPr>
          <w:rFonts w:cstheme="minorHAnsi"/>
          <w:color w:val="C00000"/>
        </w:rPr>
        <w:t xml:space="preserve">                                                                                             DOS REFUGIADOS PALESTINOS QUE </w:t>
      </w:r>
    </w:p>
    <w:p w14:paraId="3A514430" w14:textId="55610C9D" w:rsidR="0012288D" w:rsidRPr="00F947DA" w:rsidRDefault="0012288D" w:rsidP="00F947DA">
      <w:pPr>
        <w:spacing w:line="240" w:lineRule="auto"/>
        <w:rPr>
          <w:rFonts w:cstheme="minorHAnsi"/>
        </w:rPr>
      </w:pPr>
      <w:r w:rsidRPr="00226B83">
        <w:rPr>
          <w:rFonts w:cstheme="minorHAnsi"/>
        </w:rPr>
        <w:t xml:space="preserve">                                                                                                       </w:t>
      </w:r>
      <w:r w:rsidRPr="00226B83">
        <w:rPr>
          <w:rFonts w:cstheme="minorHAnsi"/>
          <w:color w:val="C00000"/>
        </w:rPr>
        <w:t>HABITAM NO LÍBANO</w:t>
      </w:r>
      <w:r w:rsidR="005535E4">
        <w:rPr>
          <w:rFonts w:cstheme="minorHAnsi"/>
          <w:b/>
          <w:bCs/>
          <w:i/>
          <w:iCs/>
          <w:noProof/>
        </w:rPr>
        <mc:AlternateContent>
          <mc:Choice Requires="wps">
            <w:drawing>
              <wp:anchor distT="0" distB="0" distL="114300" distR="114300" simplePos="0" relativeHeight="251662336" behindDoc="0" locked="0" layoutInCell="1" allowOverlap="1" wp14:anchorId="426BDF6E" wp14:editId="1A273718">
                <wp:simplePos x="0" y="0"/>
                <wp:positionH relativeFrom="column">
                  <wp:posOffset>-294788</wp:posOffset>
                </wp:positionH>
                <wp:positionV relativeFrom="paragraph">
                  <wp:posOffset>185420</wp:posOffset>
                </wp:positionV>
                <wp:extent cx="6677247" cy="10633"/>
                <wp:effectExtent l="0" t="0" r="28575" b="27940"/>
                <wp:wrapNone/>
                <wp:docPr id="9" name="Conector reto 9"/>
                <wp:cNvGraphicFramePr/>
                <a:graphic xmlns:a="http://schemas.openxmlformats.org/drawingml/2006/main">
                  <a:graphicData uri="http://schemas.microsoft.com/office/word/2010/wordprocessingShape">
                    <wps:wsp>
                      <wps:cNvCnPr/>
                      <wps:spPr>
                        <a:xfrm flipV="1">
                          <a:off x="0" y="0"/>
                          <a:ext cx="6677247" cy="10633"/>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0232B" id="Conector reto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4.6pt" to="502.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vxJgIAALYEAAAOAAAAZHJzL2Uyb0RvYy54bWysVMmO2zAMvRfoPwi6N3YynaRjxJlD0uml&#10;aAfd7owWW4A2SJo4+ftSsuNul05RHwRKIp/4Hklv789Gk5MIUTnb0uWipkRY5riyXUu/fnl49YaS&#10;mMBy0M6Kll5EpPe7ly+2g2/EyvVOcxEIgtjYDL6lfUq+qarIemEgLpwXFi+lCwYSbkNX8QADohtd&#10;rep6XQ0ucB8cEzHi6WG8pLuCL6Vg6aOUUSSiW4q5pbKGsh7zWu220HQBfK/YlAb8QxYGlMVHZ6gD&#10;JCBPQf0BZRQLLjqZFsyZykmpmCgckM2y/o3N5x68KFxQnOhnmeL/g2UfTo+BKN7SO0osGCzRHgvF&#10;kgskiOTIXZZo8LFBz719DNMu+seQ+Z5lMERq5b9h9YsCyImci8CXWWBxToTh4Xq92axebyhheLes&#10;1zc3Gb0aYTKcDzG9E86QbLRUK5v5QwOn9zGNrleXfKwtGTDz29UtQgK2j9SQ0DQeCUXbUQK6w75k&#10;KRSY6LTiD0rrHBxDd9zrQE6AvbGv8zdl84tbfu8AsR/9OFrZC5rgniwvVi+Av7WcpItH+SzKR3Na&#10;RnBKtMDns1U8Eyj9N56oiLYoTNZ9VLpY6aLFSPuTkFi0InOhwiYuY2fj6GGvX/u7gGFAdpTI/Zmx&#10;U0iOFmWgnhk/B5X3nU1zvFHWTXXJ4y7mYqTzcqqEHP2vUowCZC2Ojl9KMxaNcDhKG02DnKfv530J&#10;//G72X0HAAD//wMAUEsDBBQABgAIAAAAIQB3tDhq3gAAAAoBAAAPAAAAZHJzL2Rvd25yZXYueG1s&#10;TI/BTsMwEETvSPyDtUjcWrupqWjIpgKkSqg3Gg49urFJDPE6ip0m/D3uCY6reZp5W+xm17GLGYL1&#10;hLBaCmCGaq8tNQgf1X7xCCxERVp1ngzCjwmwK29vCpVrP9G7uRxjw1IJhVwhtDH2Oeehbo1TYel7&#10;Qyn79INTMZ1Dw/WgplTuOp4JseFOWUoLrerNa2vq7+PoEGi06xdd2dMkvg7yJElWh/0b4v3d/PwE&#10;LJo5/sFw1U/qUCansx9JB9YhLORGJhQh22bAroAQDytgZ4S12AIvC/7/hfIXAAD//wMAUEsBAi0A&#10;FAAGAAgAAAAhALaDOJL+AAAA4QEAABMAAAAAAAAAAAAAAAAAAAAAAFtDb250ZW50X1R5cGVzXS54&#10;bWxQSwECLQAUAAYACAAAACEAOP0h/9YAAACUAQAACwAAAAAAAAAAAAAAAAAvAQAAX3JlbHMvLnJl&#10;bHNQSwECLQAUAAYACAAAACEAug5L8SYCAAC2BAAADgAAAAAAAAAAAAAAAAAuAgAAZHJzL2Uyb0Rv&#10;Yy54bWxQSwECLQAUAAYACAAAACEAd7Q4at4AAAAKAQAADwAAAAAAAAAAAAAAAACABAAAZHJzL2Rv&#10;d25yZXYueG1sUEsFBgAAAAAEAAQA8wAAAIsFAAAAAA==&#10;" strokecolor="#c00000">
                <v:stroke dashstyle="dash"/>
              </v:line>
            </w:pict>
          </mc:Fallback>
        </mc:AlternateContent>
      </w:r>
    </w:p>
    <w:p w14:paraId="5AB1BFBA" w14:textId="68D67E64" w:rsidR="0012288D" w:rsidRPr="00226B83" w:rsidRDefault="00CF7D46" w:rsidP="00F947DA">
      <w:pPr>
        <w:spacing w:line="240" w:lineRule="auto"/>
        <w:rPr>
          <w:rFonts w:cstheme="minorHAnsi"/>
          <w:b/>
          <w:bCs/>
          <w:i/>
          <w:iCs/>
        </w:rPr>
      </w:pPr>
      <w:r w:rsidRPr="00226B83">
        <w:rPr>
          <w:rFonts w:cstheme="minorHAnsi"/>
          <w:b/>
          <w:bCs/>
          <w:i/>
          <w:iCs/>
        </w:rPr>
        <w:t xml:space="preserve">ENTREVISTAS </w:t>
      </w:r>
    </w:p>
    <w:p w14:paraId="75940A2A" w14:textId="33A419A8" w:rsidR="005535E4" w:rsidRPr="005535E4" w:rsidRDefault="001B1533" w:rsidP="00F947DA">
      <w:pPr>
        <w:spacing w:after="200" w:line="240" w:lineRule="auto"/>
        <w:rPr>
          <w:rFonts w:eastAsia="Calibri" w:cstheme="minorHAnsi"/>
          <w:b/>
        </w:rPr>
      </w:pPr>
      <w:r w:rsidRPr="00226B83">
        <w:rPr>
          <w:rFonts w:cstheme="minorHAnsi"/>
        </w:rPr>
        <w:t xml:space="preserve"> Rômulo                                     Castro                   </w:t>
      </w:r>
      <w:r w:rsidRPr="00226B83">
        <w:rPr>
          <w:rFonts w:cstheme="minorHAnsi"/>
          <w:bCs/>
        </w:rPr>
        <w:t xml:space="preserve">   </w:t>
      </w:r>
      <w:r w:rsidR="00226B83">
        <w:rPr>
          <w:rFonts w:cstheme="minorHAnsi"/>
          <w:bCs/>
        </w:rPr>
        <w:t xml:space="preserve">      </w:t>
      </w:r>
      <w:r w:rsidRPr="00226B83">
        <w:rPr>
          <w:rFonts w:eastAsia="Calibri" w:cstheme="minorHAnsi"/>
          <w:bCs/>
        </w:rPr>
        <w:t xml:space="preserve">ENTREVISTA 2º EDIÇÃO REL          </w:t>
      </w:r>
      <w:r w:rsidR="00226B83">
        <w:rPr>
          <w:rFonts w:eastAsia="Calibri" w:cstheme="minorHAnsi"/>
          <w:bCs/>
        </w:rPr>
        <w:t xml:space="preserve">                   </w:t>
      </w:r>
      <w:r w:rsidR="00F947DA">
        <w:rPr>
          <w:rFonts w:eastAsia="Calibri" w:cstheme="minorHAnsi"/>
          <w:bCs/>
        </w:rPr>
        <w:t xml:space="preserve"> </w:t>
      </w:r>
      <w:r w:rsidR="00226B83">
        <w:rPr>
          <w:rFonts w:eastAsia="Calibri" w:cstheme="minorHAnsi"/>
          <w:bCs/>
        </w:rPr>
        <w:t xml:space="preserve">   </w:t>
      </w:r>
      <w:r w:rsidR="00F947DA">
        <w:rPr>
          <w:rFonts w:eastAsia="Calibri" w:cstheme="minorHAnsi"/>
          <w:bCs/>
        </w:rPr>
        <w:t xml:space="preserve"> </w:t>
      </w:r>
      <w:r w:rsidR="00226B83">
        <w:rPr>
          <w:rFonts w:eastAsia="Calibri" w:cstheme="minorHAnsi"/>
          <w:bCs/>
        </w:rPr>
        <w:t xml:space="preserve">   </w:t>
      </w:r>
      <w:r w:rsidRPr="00226B83">
        <w:rPr>
          <w:rFonts w:eastAsia="Calibri" w:cstheme="minorHAnsi"/>
          <w:bCs/>
        </w:rPr>
        <w:t>17</w:t>
      </w:r>
      <w:r w:rsidR="005535E4">
        <w:rPr>
          <w:rFonts w:eastAsia="Calibri" w:cstheme="minorHAnsi"/>
          <w:b/>
          <w:noProof/>
        </w:rPr>
        <mc:AlternateContent>
          <mc:Choice Requires="wps">
            <w:drawing>
              <wp:anchor distT="0" distB="0" distL="114300" distR="114300" simplePos="0" relativeHeight="251663360" behindDoc="0" locked="0" layoutInCell="1" allowOverlap="1" wp14:anchorId="7C31080B" wp14:editId="44DEEA75">
                <wp:simplePos x="0" y="0"/>
                <wp:positionH relativeFrom="column">
                  <wp:posOffset>-230993</wp:posOffset>
                </wp:positionH>
                <wp:positionV relativeFrom="paragraph">
                  <wp:posOffset>283638</wp:posOffset>
                </wp:positionV>
                <wp:extent cx="6570921" cy="21265"/>
                <wp:effectExtent l="0" t="0" r="20955" b="36195"/>
                <wp:wrapNone/>
                <wp:docPr id="10" name="Conector reto 10"/>
                <wp:cNvGraphicFramePr/>
                <a:graphic xmlns:a="http://schemas.openxmlformats.org/drawingml/2006/main">
                  <a:graphicData uri="http://schemas.microsoft.com/office/word/2010/wordprocessingShape">
                    <wps:wsp>
                      <wps:cNvCnPr/>
                      <wps:spPr>
                        <a:xfrm>
                          <a:off x="0" y="0"/>
                          <a:ext cx="6570921" cy="21265"/>
                        </a:xfrm>
                        <a:prstGeom prst="line">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384F0F6" id="Conector re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2pt,22.35pt" to="49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FmHwIAAK4EAAAOAAAAZHJzL2Uyb0RvYy54bWysVMmO2zAMvRfoPwi6N3YMJO0YceaQdHop&#10;2qDLBzBabAHaIGni5O9LyR5Pl0unaA4KJfFRfI+kd/dXo8lFhKic7eh6VVMiLHNc2b6j3789vHlH&#10;SUxgOWhnRUdvItL7/etXu9G3onGD01wEgkFsbEff0SEl31ZVZIMwEFfOC4uX0gUDCbehr3iAEaMb&#10;XTV1va1GF7gPjokY8fQ4XdJ9iS+lYOmzlFEkojuKuaWyhrKe81rtd9D2Afyg2JwG/EMWBpTFR5dQ&#10;R0hAHoP6I5RRLLjoZFoxZyonpWKicEA26/o3Nl8H8KJwQXGiX2SK/y8s+3Q5BaI41g7lsWCwRges&#10;FEsukCCSI3iOIo0+tuh7sKcw76I/hcz4KoPJ/8iFXIuwt0VYcU2E4eF287a+a9aUMLxr1s12k2NW&#10;z2AfYvognCHZ6KhWNvOGFi4fY5pcn1zysbZk7OjdptlgSMC2kRoSmsYjkWh7SkD32I8shRImOq34&#10;g9I6g2PozwcdyAWwJw51/s3Z/OKW3ztCHCY/jlb2gja4R8uLNQjg7y0n6eZRNYuq0ZyWEZwSLfD5&#10;bBXPBEr/jScqoi0Kk9We9C1Wumkx0f4iJBaryFyosJnL1NE4cljEp74uwRCQHSVyfyF2hmS0KIP0&#10;QvwCKu87mxa8UdbNdcljLpZipOt6roSc/J+kmATIWpwdv5UWLBrhUJQ2mgc4T93P+wJ//szsfwAA&#10;AP//AwBQSwMEFAAGAAgAAAAhACmTNBngAAAACQEAAA8AAABkcnMvZG93bnJldi54bWxMj8tOwzAQ&#10;RfdI/IM1SOxapxC1aYhTISTEhodaiiJ2TuwmFvY4st02/D3DCpZz5+jOmWozOctOOkTjUcBingHT&#10;2HllsBewf3+cFcBikqik9agFfOsIm/ryopKl8mfc6tMu9YxKMJZSwJDSWHIeu0E7Ged+1Ei7gw9O&#10;JhpDz1WQZyp3lt9k2ZI7aZAuDHLUD4PuvnZHJ8Dsm+1bYz8XjXntMLw8rz4OT60Q11fT/R2wpKf0&#10;B8OvPqlDTU6tP6KKzAqY3S5zQgXk+QoYAet1QUFLQZEBryv+/4P6BwAA//8DAFBLAQItABQABgAI&#10;AAAAIQC2gziS/gAAAOEBAAATAAAAAAAAAAAAAAAAAAAAAABbQ29udGVudF9UeXBlc10ueG1sUEsB&#10;Ai0AFAAGAAgAAAAhADj9If/WAAAAlAEAAAsAAAAAAAAAAAAAAAAALwEAAF9yZWxzLy5yZWxzUEsB&#10;Ai0AFAAGAAgAAAAhAGTCAWYfAgAArgQAAA4AAAAAAAAAAAAAAAAALgIAAGRycy9lMm9Eb2MueG1s&#10;UEsBAi0AFAAGAAgAAAAhACmTNBngAAAACQEAAA8AAAAAAAAAAAAAAAAAeQQAAGRycy9kb3ducmV2&#10;LnhtbFBLBQYAAAAABAAEAPMAAACGBQAAAAA=&#10;" strokecolor="#c00000">
                <v:stroke dashstyle="dash"/>
              </v:line>
            </w:pict>
          </mc:Fallback>
        </mc:AlternateContent>
      </w:r>
      <w:r w:rsidR="00684B68">
        <w:rPr>
          <w:rFonts w:eastAsia="Calibri" w:cstheme="minorHAnsi"/>
          <w:bCs/>
        </w:rPr>
        <w:t>7/183</w:t>
      </w:r>
    </w:p>
    <w:p w14:paraId="08645148" w14:textId="77777777" w:rsidR="0012288D" w:rsidRPr="00226B83" w:rsidRDefault="0012288D" w:rsidP="00F947DA">
      <w:pPr>
        <w:spacing w:line="240" w:lineRule="auto"/>
        <w:rPr>
          <w:rFonts w:cstheme="minorHAnsi"/>
          <w:b/>
          <w:bCs/>
          <w:i/>
          <w:iCs/>
        </w:rPr>
      </w:pPr>
      <w:r w:rsidRPr="00226B83">
        <w:rPr>
          <w:rFonts w:cstheme="minorHAnsi"/>
          <w:b/>
          <w:bCs/>
          <w:i/>
          <w:iCs/>
        </w:rPr>
        <w:t>RESENHAS DE LIVRO</w:t>
      </w:r>
    </w:p>
    <w:p w14:paraId="0B8EF4D3" w14:textId="75BC10DB" w:rsidR="0012288D" w:rsidRPr="0012288D" w:rsidRDefault="0012288D" w:rsidP="00F947DA">
      <w:pPr>
        <w:spacing w:line="240" w:lineRule="auto"/>
        <w:rPr>
          <w:rFonts w:cstheme="minorHAnsi"/>
        </w:rPr>
      </w:pPr>
      <w:r w:rsidRPr="0012288D">
        <w:rPr>
          <w:rFonts w:eastAsia="Times New Roman" w:cstheme="minorHAnsi"/>
          <w:color w:val="000000"/>
          <w:shd w:val="clear" w:color="auto" w:fill="FFFFFF"/>
          <w:lang w:eastAsia="pt-BR"/>
        </w:rPr>
        <w:t>Felipe</w:t>
      </w:r>
      <w:r w:rsidRPr="00226B83">
        <w:rPr>
          <w:rFonts w:eastAsia="Times New Roman" w:cstheme="minorHAnsi"/>
          <w:color w:val="000000"/>
          <w:shd w:val="clear" w:color="auto" w:fill="FFFFFF"/>
          <w:lang w:eastAsia="pt-BR"/>
        </w:rPr>
        <w:t xml:space="preserve">                             </w:t>
      </w:r>
      <w:r w:rsidR="00226B83">
        <w:rPr>
          <w:rFonts w:eastAsia="Times New Roman" w:cstheme="minorHAnsi"/>
          <w:color w:val="000000"/>
          <w:shd w:val="clear" w:color="auto" w:fill="FFFFFF"/>
          <w:lang w:eastAsia="pt-BR"/>
        </w:rPr>
        <w:t xml:space="preserve">       </w:t>
      </w:r>
      <w:r w:rsidRPr="00226B83">
        <w:rPr>
          <w:rFonts w:eastAsia="Times New Roman" w:cstheme="minorHAnsi"/>
          <w:color w:val="000000"/>
          <w:shd w:val="clear" w:color="auto" w:fill="FFFFFF"/>
          <w:lang w:eastAsia="pt-BR"/>
        </w:rPr>
        <w:t xml:space="preserve">     </w:t>
      </w:r>
      <w:r w:rsidRPr="0012288D">
        <w:rPr>
          <w:rFonts w:eastAsia="Times New Roman" w:cstheme="minorHAnsi"/>
          <w:color w:val="000000"/>
          <w:shd w:val="clear" w:color="auto" w:fill="FFFFFF"/>
          <w:lang w:eastAsia="pt-BR"/>
        </w:rPr>
        <w:t xml:space="preserve"> Corrêa</w:t>
      </w:r>
      <w:r w:rsidRPr="00226B83">
        <w:rPr>
          <w:rFonts w:eastAsia="Times New Roman" w:cstheme="minorHAnsi"/>
          <w:color w:val="000000"/>
          <w:shd w:val="clear" w:color="auto" w:fill="FFFFFF"/>
          <w:lang w:eastAsia="pt-BR"/>
        </w:rPr>
        <w:t xml:space="preserve">      </w:t>
      </w:r>
      <w:r w:rsidR="00325888" w:rsidRPr="00226B83">
        <w:rPr>
          <w:rFonts w:eastAsia="Times New Roman" w:cstheme="minorHAnsi"/>
          <w:color w:val="000000"/>
          <w:shd w:val="clear" w:color="auto" w:fill="FFFFFF"/>
          <w:lang w:eastAsia="pt-BR"/>
        </w:rPr>
        <w:t xml:space="preserve">       </w:t>
      </w:r>
      <w:r w:rsidRPr="00226B83">
        <w:rPr>
          <w:rFonts w:eastAsia="Times New Roman" w:cstheme="minorHAnsi"/>
          <w:color w:val="000000"/>
          <w:shd w:val="clear" w:color="auto" w:fill="FFFFFF"/>
          <w:lang w:eastAsia="pt-BR"/>
        </w:rPr>
        <w:t xml:space="preserve">   </w:t>
      </w:r>
      <w:r w:rsidR="00226B83">
        <w:rPr>
          <w:rFonts w:eastAsia="Times New Roman" w:cstheme="minorHAnsi"/>
          <w:color w:val="000000"/>
          <w:shd w:val="clear" w:color="auto" w:fill="FFFFFF"/>
          <w:lang w:eastAsia="pt-BR"/>
        </w:rPr>
        <w:t xml:space="preserve">          </w:t>
      </w:r>
      <w:r w:rsidRPr="0012288D">
        <w:rPr>
          <w:rFonts w:eastAsia="Times New Roman" w:cstheme="minorHAnsi"/>
          <w:smallCaps/>
          <w:color w:val="000000"/>
          <w:shd w:val="clear" w:color="auto" w:fill="FFFFFF"/>
          <w:lang w:eastAsia="pt-BR"/>
        </w:rPr>
        <w:t xml:space="preserve">TEORÍA E </w:t>
      </w:r>
      <w:r w:rsidR="00325888" w:rsidRPr="00226B83">
        <w:rPr>
          <w:rFonts w:eastAsia="Times New Roman" w:cstheme="minorHAnsi"/>
          <w:smallCaps/>
          <w:color w:val="000000"/>
          <w:shd w:val="clear" w:color="auto" w:fill="FFFFFF"/>
          <w:lang w:eastAsia="pt-BR"/>
        </w:rPr>
        <w:t>HISTÓRIA</w:t>
      </w:r>
      <w:r w:rsidRPr="0012288D">
        <w:rPr>
          <w:rFonts w:eastAsia="Times New Roman" w:cstheme="minorHAnsi"/>
          <w:smallCaps/>
          <w:color w:val="000000"/>
          <w:shd w:val="clear" w:color="auto" w:fill="FFFFFF"/>
          <w:lang w:eastAsia="pt-BR"/>
        </w:rPr>
        <w:t xml:space="preserve"> ANARQUISTA </w:t>
      </w:r>
      <w:r w:rsidR="00325888" w:rsidRPr="00226B83">
        <w:rPr>
          <w:rFonts w:eastAsia="Times New Roman" w:cstheme="minorHAnsi"/>
          <w:smallCaps/>
          <w:color w:val="000000"/>
          <w:shd w:val="clear" w:color="auto" w:fill="FFFFFF"/>
          <w:lang w:eastAsia="pt-BR"/>
        </w:rPr>
        <w:t xml:space="preserve">    </w:t>
      </w:r>
      <w:r w:rsidR="001B1533" w:rsidRPr="00226B83">
        <w:rPr>
          <w:rFonts w:eastAsia="Times New Roman" w:cstheme="minorHAnsi"/>
          <w:smallCaps/>
          <w:color w:val="000000"/>
          <w:shd w:val="clear" w:color="auto" w:fill="FFFFFF"/>
          <w:lang w:eastAsia="pt-BR"/>
        </w:rPr>
        <w:t xml:space="preserve">           </w:t>
      </w:r>
      <w:r w:rsidR="00226B83">
        <w:rPr>
          <w:rFonts w:eastAsia="Times New Roman" w:cstheme="minorHAnsi"/>
          <w:smallCaps/>
          <w:color w:val="000000"/>
          <w:shd w:val="clear" w:color="auto" w:fill="FFFFFF"/>
          <w:lang w:eastAsia="pt-BR"/>
        </w:rPr>
        <w:t xml:space="preserve">                </w:t>
      </w:r>
      <w:r w:rsidR="001B1533" w:rsidRPr="00226B83">
        <w:rPr>
          <w:rFonts w:eastAsia="Times New Roman" w:cstheme="minorHAnsi"/>
          <w:smallCaps/>
          <w:color w:val="000000"/>
          <w:shd w:val="clear" w:color="auto" w:fill="FFFFFF"/>
          <w:lang w:eastAsia="pt-BR"/>
        </w:rPr>
        <w:t xml:space="preserve">  18</w:t>
      </w:r>
      <w:r w:rsidR="00684B68">
        <w:rPr>
          <w:rFonts w:eastAsia="Times New Roman" w:cstheme="minorHAnsi"/>
          <w:smallCaps/>
          <w:color w:val="000000"/>
          <w:shd w:val="clear" w:color="auto" w:fill="FFFFFF"/>
          <w:lang w:eastAsia="pt-BR"/>
        </w:rPr>
        <w:t>4</w:t>
      </w:r>
      <w:r w:rsidR="001B1533" w:rsidRPr="00226B83">
        <w:rPr>
          <w:rFonts w:eastAsia="Times New Roman" w:cstheme="minorHAnsi"/>
          <w:smallCaps/>
          <w:color w:val="000000"/>
          <w:shd w:val="clear" w:color="auto" w:fill="FFFFFF"/>
          <w:lang w:eastAsia="pt-BR"/>
        </w:rPr>
        <w:t>/213</w:t>
      </w:r>
    </w:p>
    <w:p w14:paraId="065308F0" w14:textId="77777777" w:rsidR="0012288D" w:rsidRPr="0012288D" w:rsidRDefault="00325888" w:rsidP="00F947DA">
      <w:pPr>
        <w:spacing w:after="0" w:line="240" w:lineRule="auto"/>
        <w:jc w:val="center"/>
        <w:rPr>
          <w:rFonts w:eastAsia="Times New Roman" w:cstheme="minorHAnsi"/>
          <w:lang w:eastAsia="pt-BR"/>
        </w:rPr>
      </w:pPr>
      <w:r w:rsidRPr="00226B83">
        <w:rPr>
          <w:rFonts w:eastAsia="Times New Roman" w:cstheme="minorHAnsi"/>
          <w:smallCaps/>
          <w:color w:val="000000"/>
          <w:shd w:val="clear" w:color="auto" w:fill="FFFFFF"/>
          <w:lang w:eastAsia="pt-BR"/>
        </w:rPr>
        <w:t xml:space="preserve">                                                          </w:t>
      </w:r>
      <w:r w:rsidR="0012288D" w:rsidRPr="0012288D">
        <w:rPr>
          <w:rFonts w:eastAsia="Times New Roman" w:cstheme="minorHAnsi"/>
          <w:smallCaps/>
          <w:color w:val="000000"/>
          <w:shd w:val="clear" w:color="auto" w:fill="FFFFFF"/>
          <w:lang w:eastAsia="pt-BR"/>
        </w:rPr>
        <w:t>EN PERSPECTIVA GLOBAL</w:t>
      </w:r>
    </w:p>
    <w:p w14:paraId="6B1B7523" w14:textId="77777777" w:rsidR="00F542B4" w:rsidRPr="00226B83" w:rsidRDefault="00F542B4">
      <w:pPr>
        <w:rPr>
          <w:rFonts w:cstheme="minorHAnsi"/>
        </w:rPr>
      </w:pPr>
    </w:p>
    <w:p w14:paraId="282F3649" w14:textId="77777777" w:rsidR="00C71A0A" w:rsidRDefault="00C71A0A" w:rsidP="00F415D7">
      <w:pPr>
        <w:spacing w:after="0" w:line="360" w:lineRule="auto"/>
        <w:jc w:val="both"/>
        <w:rPr>
          <w:rFonts w:ascii="Times New Roman" w:hAnsi="Times New Roman" w:cs="Times New Roman"/>
          <w:b/>
          <w:bCs/>
        </w:rPr>
        <w:sectPr w:rsidR="00C71A0A" w:rsidSect="00C137E4">
          <w:headerReference w:type="default" r:id="rId9"/>
          <w:footerReference w:type="default" r:id="rId10"/>
          <w:pgSz w:w="11906" w:h="16838"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2E205FB8" w14:textId="77A65FEA" w:rsidR="006710B4" w:rsidRDefault="00F947DA" w:rsidP="00F415D7">
      <w:pPr>
        <w:spacing w:after="0" w:line="360" w:lineRule="auto"/>
        <w:jc w:val="both"/>
        <w:rPr>
          <w:rFonts w:ascii="Times New Roman" w:hAnsi="Times New Roman" w:cs="Times New Roman"/>
          <w:b/>
          <w:bCs/>
          <w:sz w:val="24"/>
          <w:szCs w:val="24"/>
        </w:rPr>
      </w:pPr>
      <w:r w:rsidRPr="006710B4">
        <w:rPr>
          <w:rFonts w:ascii="Times New Roman" w:hAnsi="Times New Roman" w:cs="Times New Roman"/>
          <w:b/>
          <w:bCs/>
          <w:sz w:val="24"/>
          <w:szCs w:val="24"/>
        </w:rPr>
        <w:lastRenderedPageBreak/>
        <w:t>Editorial</w:t>
      </w:r>
    </w:p>
    <w:p w14:paraId="44BA9423" w14:textId="77777777" w:rsidR="003078C6" w:rsidRDefault="003078C6" w:rsidP="00F415D7">
      <w:pPr>
        <w:spacing w:after="0" w:line="360" w:lineRule="auto"/>
        <w:jc w:val="both"/>
        <w:rPr>
          <w:rFonts w:ascii="Times New Roman" w:hAnsi="Times New Roman" w:cs="Times New Roman"/>
          <w:b/>
          <w:bCs/>
          <w:sz w:val="24"/>
          <w:szCs w:val="24"/>
        </w:rPr>
      </w:pPr>
      <w:bookmarkStart w:id="1" w:name="_GoBack"/>
      <w:bookmarkEnd w:id="1"/>
    </w:p>
    <w:p w14:paraId="2DC521E8"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É com enorme prazer que publicamos o segundo número da Revista Estudos Libertários (REL)! </w:t>
      </w:r>
    </w:p>
    <w:p w14:paraId="7EB299C5"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Agradecemos a todxs que colaboraram diretamente para que esse trabalho viesse a público. Os membros do conselho editorial, os pareceristas, e mais particularmente, Guilherme Santana, Juan Magalhaes, Isabella Correia, Caroline Lima Dias e Cello Latini que foram fundamentais. O primeiro número teve um enorme impacto. Temos certeza que este número também ajudará a pensar para além da caixinha estadolátrica. </w:t>
      </w:r>
    </w:p>
    <w:p w14:paraId="24C20843"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Na primeira seção, cujo nome é Versão, Lucas Lemos Walmrath nos brindou com a tradução do “Debunking Democracy”, de Bob Black (Robert Charles Black Jr.) publicado originalmente em abril de 2011 nos EUA. Trata-se de texto absolutamente polêmico e igualmente necessário, cujo principal papel é descontruir o conceito de democracia. Nada mais relevante para os nossos dias onde procuram induzir que o povo se autogoverna, mas na verdade é governado em todo lugar em favor dos proprietários das riquezas materiais. </w:t>
      </w:r>
    </w:p>
    <w:p w14:paraId="42C3C92F"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 xml:space="preserve">Na segunda seção, destinada a artigos científicos e inéditos, inauguramos com o </w:t>
      </w:r>
      <w:r w:rsidRPr="003078C6">
        <w:rPr>
          <w:rFonts w:ascii="Times New Roman" w:hAnsi="Times New Roman" w:cs="Times New Roman"/>
          <w:i/>
          <w:iCs/>
          <w:sz w:val="24"/>
          <w:szCs w:val="24"/>
        </w:rPr>
        <w:t>paper</w:t>
      </w:r>
      <w:r w:rsidRPr="003078C6">
        <w:rPr>
          <w:rFonts w:ascii="Times New Roman" w:hAnsi="Times New Roman" w:cs="Times New Roman"/>
          <w:sz w:val="24"/>
          <w:szCs w:val="24"/>
        </w:rPr>
        <w:t xml:space="preserve"> dos historiadores Carlo Romani e Bruno Corrêa de Sá e Benevides, especialistas em história do anarquismo. Suas contribuições para a REL versam sobre a rede dos anarquistas italianos em São Paulo nos primeiros anos do século XX com ênfase especial para o papel dos redatores do periódico La Battaglia. Trata-se de um texto com um rico debate historiográfico, mergulhando fundo nos debates atuais sobre o significado das lutas anarquistas naquele momento histórico. Um texto obrigatório para pesquisadores da história do movimento operário brasileiro. </w:t>
      </w:r>
    </w:p>
    <w:p w14:paraId="6C09D78E"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 xml:space="preserve">O artigo de Felipe Luiz, no campo da filosofia, trata do pensamento de Michel Foucault. A contribuição ímpar do autor diz respeito a utilização de um marco libertário para analisar algumas questões do clássico francês. Assim, de maneira inteligente, Luiz utiliza os conceitos de centro e periferia de Bakunin, mas abordados por Rudolf de Jong, para pensar “uma leitura do método genealógico de Michel Foucault em um marco libertário”. Assim, o estudo constitui-se em importante termo para aqueles que refletem com algumas categorias de Foucault </w:t>
      </w:r>
      <w:proofErr w:type="gramStart"/>
      <w:r w:rsidRPr="003078C6">
        <w:rPr>
          <w:rFonts w:ascii="Times New Roman" w:hAnsi="Times New Roman" w:cs="Times New Roman"/>
          <w:sz w:val="24"/>
          <w:szCs w:val="24"/>
        </w:rPr>
        <w:t>e também</w:t>
      </w:r>
      <w:proofErr w:type="gramEnd"/>
      <w:r w:rsidRPr="003078C6">
        <w:rPr>
          <w:rFonts w:ascii="Times New Roman" w:hAnsi="Times New Roman" w:cs="Times New Roman"/>
          <w:sz w:val="24"/>
          <w:szCs w:val="24"/>
        </w:rPr>
        <w:t xml:space="preserve"> não abrem mão dos princípios do anarquismo, aproximando-os. </w:t>
      </w:r>
    </w:p>
    <w:p w14:paraId="509F475D"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 xml:space="preserve">Guilherme Santana e Juan Magalhães buscam com suas pesquisas apresentar um tratado teórico podendo ser aplicado no entendimento dos protestos massivos na América </w:t>
      </w:r>
      <w:r w:rsidRPr="003078C6">
        <w:rPr>
          <w:rFonts w:ascii="Times New Roman" w:hAnsi="Times New Roman" w:cs="Times New Roman"/>
          <w:sz w:val="24"/>
          <w:szCs w:val="24"/>
        </w:rPr>
        <w:lastRenderedPageBreak/>
        <w:t>Latina nos anos de 2018/19, bem como de outros momentos históricos. A contribuição dos autores pauta-se na perspectiva de utilização do conceito de “Teoria das ruas” que se contrapõe a “teoria para as ruas”. Destarte, suas propostas partem de categorias de matriz anarquista como ação direta, autogestão, federação e outras com vistas a contribuir para uma chave específica de leitura que jogue luz para as ações autônomas dos governados, sem que sejam tutelados por algum “iluminado”. Para pesquisadores de movimentos sociais e de insurgência e àqueles que querem entender os protestos dos nossos dias, vale demais a leitura.  </w:t>
      </w:r>
    </w:p>
    <w:p w14:paraId="0981A077"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Daniel Santos da Silva com a sua pesquisa busca reparar a invisibilidade da obra da militante, feminista e anarquista, Maria Lacerda de Moura. O resgate da história dessa mulher combativa constitui-se por si só em razão de elogio e motivo para leitura do artigo. Mas para além disso, o autor apresenta um importante debate sobre sua trajetória e impacto de suas teses. Vale a leitura.</w:t>
      </w:r>
    </w:p>
    <w:p w14:paraId="4CF5BB5D"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Hamilton Santos no seu artigo retoma um debate já amplo da historiografia sobre a influência da imigração europeia na formação do movimento operário brasileiro durante as primeiras décadas da Primeira República. Trata-se de importante pesquisa para quem quiser se aprofundar sobre o papel de imigrantes europeus, muitos anarquistas, para a organização operária no Brasil. Leitura essencial para estudantes do tema.</w:t>
      </w:r>
    </w:p>
    <w:p w14:paraId="0A21B93A"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Karime Cheaito traz admirável debate sobre a situação dos refugiados palestinos que migraram para o Líbano a partir dos anos 1940. A autora nos situa quanto a relação existente entre o sistema político libanês, pautado no Confessionalismo, e a forma como os refugiados foram tratados pelo Estado. Com efeito, aprendemos como as relações políticas, econômicas e religiosas estão entrelaçadas também nas disputas do Oriente Médio desde meados do século passado.  </w:t>
      </w:r>
    </w:p>
    <w:p w14:paraId="4ACBA2C3"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Neste número da REL inauguramos a seção “Entrevistas”. O primeiro entrevistado é o prof. Rômulo Castro. Perguntamos a ele sobre o processo de nomeação de interventores em diversas instituições federais de ensino pelo atual governo. Também procuramos saber sobre assuntos da atual conjuntura, do papel do petismo, do crescimento do proto-fascismo, das contribuições que uma perspectiva libertária pode oferecer e, por fim, como interpretar os movimentos insurgentes na América Latina de hoje sob o viés libertário. Portanto, o entrevistado nos brindou com maravilhosas reflexões sobre os desafios da atualidade para o movimento combativo.  </w:t>
      </w:r>
    </w:p>
    <w:p w14:paraId="012FF1A1" w14:textId="2A70FF0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Fechando o segundo volume da Revista Estudos Libertários, na seção Resenhas, Felipe Corrêa (2014) apresenta as principais teses de seu livro “</w:t>
      </w:r>
      <w:r w:rsidRPr="003078C6">
        <w:rPr>
          <w:rFonts w:ascii="Times New Roman" w:hAnsi="Times New Roman" w:cs="Times New Roman"/>
          <w:i/>
          <w:iCs/>
          <w:sz w:val="24"/>
          <w:szCs w:val="24"/>
        </w:rPr>
        <w:t xml:space="preserve">Bandera Negra: </w:t>
      </w:r>
      <w:r w:rsidRPr="003078C6">
        <w:rPr>
          <w:rFonts w:ascii="Times New Roman" w:hAnsi="Times New Roman" w:cs="Times New Roman"/>
          <w:i/>
          <w:iCs/>
          <w:sz w:val="24"/>
          <w:szCs w:val="24"/>
        </w:rPr>
        <w:lastRenderedPageBreak/>
        <w:t xml:space="preserve">rediscutiendo el anarquismo”. </w:t>
      </w:r>
      <w:r w:rsidRPr="003078C6">
        <w:rPr>
          <w:rFonts w:ascii="Times New Roman" w:hAnsi="Times New Roman" w:cs="Times New Roman"/>
          <w:sz w:val="24"/>
          <w:szCs w:val="24"/>
        </w:rPr>
        <w:t>O tema do livro é aquilo que podemos chamar de teoria anarquista. A partir de ampla pesquisa acadêmica,</w:t>
      </w:r>
      <w:r w:rsidRPr="003078C6">
        <w:rPr>
          <w:rFonts w:ascii="Times New Roman" w:hAnsi="Times New Roman" w:cs="Times New Roman"/>
          <w:i/>
          <w:iCs/>
          <w:sz w:val="24"/>
          <w:szCs w:val="24"/>
        </w:rPr>
        <w:t xml:space="preserve"> </w:t>
      </w:r>
      <w:r w:rsidRPr="003078C6">
        <w:rPr>
          <w:rFonts w:ascii="Times New Roman" w:hAnsi="Times New Roman" w:cs="Times New Roman"/>
          <w:sz w:val="24"/>
          <w:szCs w:val="24"/>
        </w:rPr>
        <w:t xml:space="preserve">Corrêa </w:t>
      </w:r>
      <w:r w:rsidRPr="003078C6">
        <w:rPr>
          <w:rFonts w:ascii="Times New Roman" w:hAnsi="Times New Roman" w:cs="Times New Roman"/>
          <w:i/>
          <w:iCs/>
          <w:sz w:val="24"/>
          <w:szCs w:val="24"/>
        </w:rPr>
        <w:t>desenvolve três eixos de análises: “</w:t>
      </w:r>
      <w:r w:rsidRPr="003078C6">
        <w:rPr>
          <w:rFonts w:ascii="Times New Roman" w:hAnsi="Times New Roman" w:cs="Times New Roman"/>
          <w:sz w:val="24"/>
          <w:szCs w:val="24"/>
        </w:rPr>
        <w:t xml:space="preserve">1) Balanço crítico dos estudos de referência do anarquismo; 2) Proposta de nova abordagem teórico-metodológico para os estudos do anarquismo; 3.) Redefinição do anarquismo, (…) tomando por base a produção escrita de mais de 80 autores/organizações anarquistas e a história global do anarquismo em seus quase 150 anos de existência.” </w:t>
      </w:r>
      <w:r w:rsidR="00E2462F" w:rsidRPr="003078C6">
        <w:rPr>
          <w:rFonts w:ascii="Times New Roman" w:hAnsi="Times New Roman" w:cs="Times New Roman"/>
          <w:sz w:val="24"/>
          <w:szCs w:val="24"/>
        </w:rPr>
        <w:t>Colaboração</w:t>
      </w:r>
      <w:r w:rsidRPr="003078C6">
        <w:rPr>
          <w:rFonts w:ascii="Times New Roman" w:hAnsi="Times New Roman" w:cs="Times New Roman"/>
          <w:sz w:val="24"/>
          <w:szCs w:val="24"/>
        </w:rPr>
        <w:t xml:space="preserve"> fundamental para entendimento da história do movimento e das ideias anarquistas.  </w:t>
      </w:r>
    </w:p>
    <w:p w14:paraId="27555859" w14:textId="77777777" w:rsidR="003078C6" w:rsidRPr="003078C6" w:rsidRDefault="003078C6" w:rsidP="003078C6">
      <w:pPr>
        <w:spacing w:after="0" w:line="360" w:lineRule="auto"/>
        <w:ind w:firstLine="708"/>
        <w:jc w:val="both"/>
        <w:rPr>
          <w:rFonts w:ascii="Times New Roman" w:hAnsi="Times New Roman" w:cs="Times New Roman"/>
          <w:sz w:val="24"/>
          <w:szCs w:val="24"/>
        </w:rPr>
      </w:pPr>
      <w:r w:rsidRPr="003078C6">
        <w:rPr>
          <w:rFonts w:ascii="Times New Roman" w:hAnsi="Times New Roman" w:cs="Times New Roman"/>
          <w:sz w:val="24"/>
          <w:szCs w:val="24"/>
        </w:rPr>
        <w:t>Por fim, resgatamos a letra de um samba eternizado na voz de Clara Nunes que expressa muito bem o objetivo da nossa revista: popular, negra, revolucionária e combativa. Desejamos uma boa leitura dos artigos e que eles sirvam para inspirações ágora-fílicas! </w:t>
      </w:r>
    </w:p>
    <w:p w14:paraId="735A8672" w14:textId="19BE600D" w:rsidR="006710B4" w:rsidRDefault="002A3D41" w:rsidP="002A3D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415D7" w:rsidRPr="006710B4">
        <w:rPr>
          <w:rFonts w:ascii="Times New Roman" w:hAnsi="Times New Roman" w:cs="Times New Roman"/>
          <w:sz w:val="24"/>
          <w:szCs w:val="24"/>
        </w:rPr>
        <w:t xml:space="preserve">   </w:t>
      </w:r>
      <w:r w:rsidR="00B22644">
        <w:rPr>
          <w:rFonts w:ascii="Times New Roman" w:hAnsi="Times New Roman" w:cs="Times New Roman"/>
          <w:sz w:val="24"/>
          <w:szCs w:val="24"/>
        </w:rPr>
        <w:t xml:space="preserve">                  </w:t>
      </w:r>
      <w:r w:rsidR="00F947DA" w:rsidRPr="006710B4">
        <w:rPr>
          <w:rFonts w:ascii="Times New Roman" w:hAnsi="Times New Roman" w:cs="Times New Roman"/>
          <w:sz w:val="24"/>
          <w:szCs w:val="24"/>
        </w:rPr>
        <w:t>Saudações</w:t>
      </w:r>
      <w:r w:rsidR="006710B4">
        <w:rPr>
          <w:rFonts w:ascii="Times New Roman" w:hAnsi="Times New Roman" w:cs="Times New Roman"/>
          <w:sz w:val="24"/>
          <w:szCs w:val="24"/>
        </w:rPr>
        <w:t xml:space="preserve"> </w:t>
      </w:r>
      <w:r w:rsidR="00F947DA" w:rsidRPr="006710B4">
        <w:rPr>
          <w:rFonts w:ascii="Times New Roman" w:hAnsi="Times New Roman" w:cs="Times New Roman"/>
          <w:sz w:val="24"/>
          <w:szCs w:val="24"/>
        </w:rPr>
        <w:t>libertárias</w:t>
      </w:r>
      <w:r w:rsidR="006710B4">
        <w:rPr>
          <w:rFonts w:ascii="Times New Roman" w:hAnsi="Times New Roman" w:cs="Times New Roman"/>
          <w:sz w:val="24"/>
          <w:szCs w:val="24"/>
        </w:rPr>
        <w:t>!</w:t>
      </w:r>
    </w:p>
    <w:p w14:paraId="78031A16" w14:textId="3DBA0A8F" w:rsidR="00F415D7" w:rsidRPr="006710B4" w:rsidRDefault="006710B4" w:rsidP="00F415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Editor</w:t>
      </w:r>
      <w:r w:rsidR="00F415D7" w:rsidRPr="006710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415D7" w:rsidRPr="006710B4">
        <w:rPr>
          <w:rFonts w:ascii="Times New Roman" w:hAnsi="Times New Roman" w:cs="Times New Roman"/>
          <w:sz w:val="24"/>
          <w:szCs w:val="24"/>
        </w:rPr>
        <w:t xml:space="preserve"> </w:t>
      </w:r>
    </w:p>
    <w:p w14:paraId="378FB474" w14:textId="77777777" w:rsidR="00E06658" w:rsidRDefault="00F947DA" w:rsidP="00B22644">
      <w:pPr>
        <w:spacing w:after="0" w:line="240" w:lineRule="auto"/>
        <w:jc w:val="both"/>
        <w:rPr>
          <w:rFonts w:ascii="Times New Roman" w:hAnsi="Times New Roman" w:cs="Times New Roman"/>
          <w:b/>
          <w:bCs/>
        </w:rPr>
      </w:pPr>
      <w:r w:rsidRPr="002A3D41">
        <w:rPr>
          <w:rFonts w:ascii="Times New Roman" w:hAnsi="Times New Roman" w:cs="Times New Roman"/>
          <w:b/>
          <w:bCs/>
        </w:rPr>
        <w:t>Canto das três raças</w:t>
      </w:r>
    </w:p>
    <w:p w14:paraId="4B3AF730" w14:textId="3CDFB1A9" w:rsidR="00F947DA" w:rsidRPr="00E06658" w:rsidRDefault="00F947DA" w:rsidP="00B22644">
      <w:pPr>
        <w:spacing w:after="0" w:line="240" w:lineRule="auto"/>
        <w:jc w:val="both"/>
        <w:rPr>
          <w:rFonts w:ascii="Times New Roman" w:hAnsi="Times New Roman" w:cs="Times New Roman"/>
          <w:b/>
          <w:bCs/>
        </w:rPr>
      </w:pPr>
      <w:r w:rsidRPr="002A3D41">
        <w:rPr>
          <w:rFonts w:ascii="Times New Roman" w:hAnsi="Times New Roman" w:cs="Times New Roman"/>
          <w:b/>
          <w:bCs/>
        </w:rPr>
        <w:t> </w:t>
      </w:r>
      <w:r w:rsidRPr="002A3D41">
        <w:rPr>
          <w:rFonts w:ascii="Times New Roman" w:hAnsi="Times New Roman" w:cs="Times New Roman"/>
        </w:rPr>
        <w:t>Ninguém ouviu</w:t>
      </w:r>
    </w:p>
    <w:p w14:paraId="3029B904"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Um soluçar de dor</w:t>
      </w:r>
    </w:p>
    <w:p w14:paraId="114D6EFA" w14:textId="353D9DFB"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No canto do Brasil</w:t>
      </w:r>
    </w:p>
    <w:p w14:paraId="62A71F18"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Um lamento triste</w:t>
      </w:r>
    </w:p>
    <w:p w14:paraId="4060D75A"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Sempre ecoou</w:t>
      </w:r>
    </w:p>
    <w:p w14:paraId="5E32664B"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Desde que o índio guerreiro</w:t>
      </w:r>
    </w:p>
    <w:p w14:paraId="4E8B39D7"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 xml:space="preserve">Foi </w:t>
      </w:r>
      <w:proofErr w:type="gramStart"/>
      <w:r w:rsidRPr="002A3D41">
        <w:rPr>
          <w:rFonts w:ascii="Times New Roman" w:hAnsi="Times New Roman" w:cs="Times New Roman"/>
        </w:rPr>
        <w:t>pro</w:t>
      </w:r>
      <w:proofErr w:type="gramEnd"/>
      <w:r w:rsidRPr="002A3D41">
        <w:rPr>
          <w:rFonts w:ascii="Times New Roman" w:hAnsi="Times New Roman" w:cs="Times New Roman"/>
        </w:rPr>
        <w:t xml:space="preserve"> cativeiro</w:t>
      </w:r>
    </w:p>
    <w:p w14:paraId="4E36CAD7"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E de lá cantou</w:t>
      </w:r>
    </w:p>
    <w:p w14:paraId="27107CDD" w14:textId="77777777" w:rsidR="00F947DA" w:rsidRPr="002A3D41" w:rsidRDefault="00F947DA" w:rsidP="00B22644">
      <w:pPr>
        <w:spacing w:after="0" w:line="240" w:lineRule="auto"/>
        <w:jc w:val="both"/>
        <w:rPr>
          <w:rFonts w:ascii="Times New Roman" w:hAnsi="Times New Roman" w:cs="Times New Roman"/>
        </w:rPr>
      </w:pPr>
    </w:p>
    <w:p w14:paraId="3E92ED32"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Negro entoou</w:t>
      </w:r>
    </w:p>
    <w:p w14:paraId="25A278DF"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Um canto de revolta pelos ares</w:t>
      </w:r>
    </w:p>
    <w:p w14:paraId="6503D774"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No Quilombo dos Palmares</w:t>
      </w:r>
    </w:p>
    <w:p w14:paraId="5F6D722D"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Onde se refugiou</w:t>
      </w:r>
    </w:p>
    <w:p w14:paraId="04C21DEA"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 xml:space="preserve">Fora </w:t>
      </w:r>
      <w:proofErr w:type="gramStart"/>
      <w:r w:rsidRPr="002A3D41">
        <w:rPr>
          <w:rFonts w:ascii="Times New Roman" w:hAnsi="Times New Roman" w:cs="Times New Roman"/>
        </w:rPr>
        <w:t>a</w:t>
      </w:r>
      <w:proofErr w:type="gramEnd"/>
      <w:r w:rsidRPr="002A3D41">
        <w:rPr>
          <w:rFonts w:ascii="Times New Roman" w:hAnsi="Times New Roman" w:cs="Times New Roman"/>
        </w:rPr>
        <w:t xml:space="preserve"> luta dos Inconfidentes</w:t>
      </w:r>
    </w:p>
    <w:p w14:paraId="26024D43"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Pela quebra das correntes</w:t>
      </w:r>
    </w:p>
    <w:p w14:paraId="415AC01B"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Nada adiantou</w:t>
      </w:r>
    </w:p>
    <w:p w14:paraId="0410AE6B"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E de guerra em paz</w:t>
      </w:r>
    </w:p>
    <w:p w14:paraId="0EFFEED4"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De paz em guerra</w:t>
      </w:r>
    </w:p>
    <w:p w14:paraId="0B79F816"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Todo o povo dessa terra</w:t>
      </w:r>
    </w:p>
    <w:p w14:paraId="612F18E4"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Quando pode cantar</w:t>
      </w:r>
    </w:p>
    <w:p w14:paraId="66DAC5CE"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Canta de dor</w:t>
      </w:r>
    </w:p>
    <w:p w14:paraId="71E36E03" w14:textId="77777777" w:rsidR="00F947DA" w:rsidRPr="002A3D41" w:rsidRDefault="00F947DA" w:rsidP="00B22644">
      <w:pPr>
        <w:spacing w:after="0" w:line="240" w:lineRule="auto"/>
        <w:jc w:val="both"/>
        <w:rPr>
          <w:rFonts w:ascii="Times New Roman" w:hAnsi="Times New Roman" w:cs="Times New Roman"/>
        </w:rPr>
      </w:pPr>
    </w:p>
    <w:p w14:paraId="3D0064CC"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E ecoa noite e dia</w:t>
      </w:r>
    </w:p>
    <w:p w14:paraId="5327BBC0"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É ensurdecedor</w:t>
      </w:r>
    </w:p>
    <w:p w14:paraId="365AA631"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Ai, mas que agonia</w:t>
      </w:r>
    </w:p>
    <w:p w14:paraId="4EA67FCA"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O canto do trabalhador</w:t>
      </w:r>
    </w:p>
    <w:p w14:paraId="648147FD"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Esse canto que devia</w:t>
      </w:r>
    </w:p>
    <w:p w14:paraId="4EB3AC6C"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Ser um canto de alegria</w:t>
      </w:r>
    </w:p>
    <w:p w14:paraId="5DEA7A35" w14:textId="77777777" w:rsidR="00F947DA" w:rsidRPr="002A3D41" w:rsidRDefault="00F947DA" w:rsidP="00B22644">
      <w:pPr>
        <w:spacing w:after="0" w:line="240" w:lineRule="auto"/>
        <w:jc w:val="both"/>
        <w:rPr>
          <w:rFonts w:ascii="Times New Roman" w:hAnsi="Times New Roman" w:cs="Times New Roman"/>
        </w:rPr>
      </w:pPr>
      <w:r w:rsidRPr="002A3D41">
        <w:rPr>
          <w:rFonts w:ascii="Times New Roman" w:hAnsi="Times New Roman" w:cs="Times New Roman"/>
        </w:rPr>
        <w:t>Soa apenas</w:t>
      </w:r>
    </w:p>
    <w:p w14:paraId="2175B28B" w14:textId="77777777" w:rsidR="00E06658" w:rsidRDefault="00F947DA" w:rsidP="00E06658">
      <w:pPr>
        <w:spacing w:after="0" w:line="240" w:lineRule="auto"/>
        <w:jc w:val="both"/>
        <w:rPr>
          <w:rFonts w:ascii="Times New Roman" w:hAnsi="Times New Roman" w:cs="Times New Roman"/>
        </w:rPr>
      </w:pPr>
      <w:r w:rsidRPr="002A3D41">
        <w:rPr>
          <w:rFonts w:ascii="Times New Roman" w:hAnsi="Times New Roman" w:cs="Times New Roman"/>
        </w:rPr>
        <w:t>Como um soluçar de dor</w:t>
      </w:r>
      <w:r w:rsidR="00E06658">
        <w:rPr>
          <w:rFonts w:ascii="Times New Roman" w:hAnsi="Times New Roman" w:cs="Times New Roman"/>
        </w:rPr>
        <w:t xml:space="preserve">           </w:t>
      </w:r>
    </w:p>
    <w:p w14:paraId="5ECE42E1" w14:textId="05362B0F" w:rsidR="006459A8" w:rsidRDefault="00E06658" w:rsidP="006459A8">
      <w:pPr>
        <w:spacing w:after="0" w:line="240" w:lineRule="auto"/>
        <w:jc w:val="both"/>
        <w:rPr>
          <w:rFonts w:ascii="Times New Roman" w:hAnsi="Times New Roman" w:cs="Times New Roman"/>
        </w:rPr>
      </w:pPr>
      <w:r>
        <w:rPr>
          <w:rFonts w:ascii="Times New Roman" w:hAnsi="Times New Roman" w:cs="Times New Roman"/>
        </w:rPr>
        <w:t xml:space="preserve">                                                        </w:t>
      </w:r>
      <w:r w:rsidR="00684B68">
        <w:rPr>
          <w:rFonts w:ascii="Times New Roman" w:hAnsi="Times New Roman" w:cs="Times New Roman"/>
        </w:rPr>
        <w:t xml:space="preserve">         </w:t>
      </w:r>
      <w:r>
        <w:rPr>
          <w:rFonts w:ascii="Times New Roman" w:hAnsi="Times New Roman" w:cs="Times New Roman"/>
        </w:rPr>
        <w:t xml:space="preserve">      </w:t>
      </w:r>
      <w:r w:rsidRPr="002A3D41">
        <w:rPr>
          <w:rFonts w:ascii="Times New Roman" w:hAnsi="Times New Roman" w:cs="Times New Roman"/>
        </w:rPr>
        <w:t>Composição: Mauro Duarte / Paulo César Pinheiro</w:t>
      </w:r>
    </w:p>
    <w:p w14:paraId="26ABD1EA" w14:textId="28A0D24E" w:rsidR="006459A8" w:rsidRDefault="006459A8" w:rsidP="006459A8">
      <w:pPr>
        <w:spacing w:after="0" w:line="240" w:lineRule="auto"/>
        <w:jc w:val="both"/>
        <w:rPr>
          <w:rFonts w:ascii="Times New Roman" w:hAnsi="Times New Roman" w:cs="Times New Roman"/>
        </w:rPr>
      </w:pPr>
    </w:p>
    <w:p w14:paraId="3CB0BB13" w14:textId="77777777" w:rsidR="006459A8" w:rsidRPr="006459A8" w:rsidRDefault="006459A8" w:rsidP="006459A8">
      <w:pPr>
        <w:spacing w:after="0" w:line="240" w:lineRule="auto"/>
        <w:jc w:val="both"/>
        <w:rPr>
          <w:rFonts w:ascii="Times New Roman" w:hAnsi="Times New Roman" w:cs="Times New Roman"/>
        </w:rPr>
      </w:pPr>
    </w:p>
    <w:p w14:paraId="08C36847" w14:textId="78AF34A4" w:rsidR="00FF7D14" w:rsidRDefault="00FF7D14" w:rsidP="00F415D7">
      <w:pPr>
        <w:pStyle w:val="Standard"/>
        <w:spacing w:line="360" w:lineRule="auto"/>
        <w:jc w:val="center"/>
        <w:rPr>
          <w:rFonts w:ascii="Times New Roman" w:hAnsi="Times New Roman"/>
          <w:b/>
          <w:bCs/>
        </w:rPr>
      </w:pPr>
      <w:r>
        <w:rPr>
          <w:rFonts w:ascii="Times New Roman" w:hAnsi="Times New Roman"/>
          <w:b/>
          <w:bCs/>
        </w:rPr>
        <w:t xml:space="preserve">REFUTANDO A DEMOCRACIA </w:t>
      </w:r>
      <w:r w:rsidRPr="00FF7D14">
        <w:rPr>
          <w:rStyle w:val="Refdenotaderodap"/>
          <w:rFonts w:ascii="Times New Roman" w:hAnsi="Times New Roman"/>
          <w:b/>
          <w:bCs/>
        </w:rPr>
        <w:footnoteReference w:id="1"/>
      </w:r>
    </w:p>
    <w:p w14:paraId="4B842FC1" w14:textId="77777777" w:rsidR="00FF7D14" w:rsidRPr="008545B0" w:rsidRDefault="00FF7D14" w:rsidP="00F415D7">
      <w:pPr>
        <w:pStyle w:val="Standard"/>
        <w:rPr>
          <w:rFonts w:ascii="Times New Roman" w:hAnsi="Times New Roman"/>
          <w:b/>
          <w:bCs/>
        </w:rPr>
      </w:pPr>
    </w:p>
    <w:p w14:paraId="2928CF4A" w14:textId="77777777" w:rsidR="00FF7D14" w:rsidRPr="008545B0" w:rsidRDefault="00FF7D14" w:rsidP="00FF79A8">
      <w:pPr>
        <w:pStyle w:val="Standard"/>
        <w:spacing w:line="276" w:lineRule="auto"/>
        <w:jc w:val="right"/>
        <w:rPr>
          <w:rFonts w:ascii="Times New Roman" w:hAnsi="Times New Roman"/>
          <w:b/>
          <w:bCs/>
          <w:i/>
          <w:iCs/>
        </w:rPr>
      </w:pPr>
      <w:r w:rsidRPr="008545B0">
        <w:rPr>
          <w:rFonts w:ascii="Times New Roman" w:hAnsi="Times New Roman"/>
          <w:b/>
          <w:bCs/>
          <w:i/>
          <w:iCs/>
        </w:rPr>
        <w:t>Bob Black</w:t>
      </w:r>
      <w:r w:rsidRPr="008545B0">
        <w:rPr>
          <w:rStyle w:val="Refdenotaderodap"/>
          <w:rFonts w:ascii="Times New Roman" w:hAnsi="Times New Roman"/>
          <w:b/>
          <w:bCs/>
        </w:rPr>
        <w:footnoteReference w:id="2"/>
      </w:r>
    </w:p>
    <w:p w14:paraId="1DA50AFF" w14:textId="4608B2B0" w:rsidR="008545B0" w:rsidRPr="008545B0" w:rsidRDefault="008545B0" w:rsidP="00FF79A8">
      <w:pPr>
        <w:pStyle w:val="Standard"/>
        <w:spacing w:line="276" w:lineRule="auto"/>
        <w:jc w:val="right"/>
        <w:rPr>
          <w:rFonts w:ascii="Times New Roman" w:hAnsi="Times New Roman"/>
          <w:i/>
          <w:iCs/>
        </w:rPr>
      </w:pPr>
      <w:r w:rsidRPr="008545B0">
        <w:rPr>
          <w:rFonts w:ascii="Times New Roman" w:hAnsi="Times New Roman" w:cs="Times New Roman"/>
        </w:rPr>
        <w:t xml:space="preserve"> </w:t>
      </w:r>
      <w:r w:rsidR="00C71A0A">
        <w:rPr>
          <w:rFonts w:ascii="Times New Roman" w:hAnsi="Times New Roman" w:cs="Times New Roman"/>
        </w:rPr>
        <w:t>M</w:t>
      </w:r>
      <w:r w:rsidRPr="008545B0">
        <w:rPr>
          <w:rFonts w:ascii="Times New Roman" w:hAnsi="Times New Roman" w:cs="Times New Roman"/>
        </w:rPr>
        <w:t>estr</w:t>
      </w:r>
      <w:r w:rsidR="00C71A0A">
        <w:rPr>
          <w:rFonts w:ascii="Times New Roman" w:hAnsi="Times New Roman" w:cs="Times New Roman"/>
        </w:rPr>
        <w:t>e</w:t>
      </w:r>
      <w:r w:rsidRPr="008545B0">
        <w:rPr>
          <w:rFonts w:ascii="Times New Roman" w:hAnsi="Times New Roman" w:cs="Times New Roman"/>
        </w:rPr>
        <w:t xml:space="preserve"> em jurisprudência e política social pela Universidade da Califórnia, em Berkeley, e em justiça criminal na Universidade de Albany, em SUNY, e LL.M em direito penal pela University at Buffalo Law School</w:t>
      </w:r>
      <w:r>
        <w:rPr>
          <w:rFonts w:ascii="Times New Roman" w:hAnsi="Times New Roman" w:cs="Times New Roman"/>
        </w:rPr>
        <w:t>.</w:t>
      </w:r>
      <w:r w:rsidRPr="008545B0">
        <w:rPr>
          <w:rFonts w:ascii="Times New Roman" w:hAnsi="Times New Roman" w:cs="Times New Roman"/>
        </w:rPr>
        <w:t xml:space="preserve"> Formado na Universidade de Michigan e na Georgetown Law School (Washington D.C.)</w:t>
      </w:r>
    </w:p>
    <w:p w14:paraId="5FA3AC8E" w14:textId="77777777" w:rsidR="00FF7D14" w:rsidRDefault="00FF7D14" w:rsidP="00F415D7">
      <w:pPr>
        <w:pStyle w:val="Standard"/>
        <w:spacing w:line="360" w:lineRule="auto"/>
        <w:jc w:val="right"/>
        <w:rPr>
          <w:rFonts w:ascii="Times New Roman" w:hAnsi="Times New Roman"/>
        </w:rPr>
      </w:pPr>
    </w:p>
    <w:p w14:paraId="251FAE36" w14:textId="77777777" w:rsidR="00FF7D14" w:rsidRDefault="00FF7D14" w:rsidP="00F415D7">
      <w:pPr>
        <w:pStyle w:val="abnt"/>
        <w:spacing w:after="0" w:line="360" w:lineRule="auto"/>
        <w:jc w:val="both"/>
        <w:rPr>
          <w:rFonts w:hint="eastAsia"/>
        </w:rPr>
      </w:pPr>
      <w:r>
        <w:rPr>
          <w:rFonts w:ascii="Liberation Sans" w:hAnsi="Liberation Sans"/>
        </w:rPr>
        <w:tab/>
      </w:r>
      <w:r>
        <w:rPr>
          <w:rFonts w:ascii="Times New Roman" w:hAnsi="Times New Roman"/>
        </w:rPr>
        <w:t xml:space="preserve">Pela primeira vez na história, “quase todos hoje professam ser democratas” (HELD, 1996; MACHAN, 2002, cap. </w:t>
      </w:r>
      <w:r>
        <w:t>“Introduction: The Democratic Ideal”)</w:t>
      </w:r>
      <w:r>
        <w:rPr>
          <w:rFonts w:ascii="Times New Roman" w:hAnsi="Times New Roman"/>
        </w:rPr>
        <w:t xml:space="preserve">. Os professores universitários professam a democracia profusamente, apesar de mantê-la fora do </w:t>
      </w:r>
      <w:r>
        <w:rPr>
          <w:rFonts w:ascii="Times New Roman" w:hAnsi="Times New Roman"/>
          <w:i/>
          <w:iCs/>
        </w:rPr>
        <w:t>campus</w:t>
      </w:r>
      <w:r>
        <w:rPr>
          <w:rFonts w:ascii="Times New Roman" w:hAnsi="Times New Roman"/>
        </w:rPr>
        <w:t>. Democracia – realmente, “essa palavra pode significar qualquer coisa” (Ellul, 1967: 181). Mesmo a Coreia do Norte se autoproclama uma República Popular Democrática. A democracia vai bem com tudo. Para os defensores do capitalismo, a democracia é inseparável do capitalismo. Para os defensores do socialismo, a democracia é inseparável do socialismo. É até mesmo dito ser inseparável a democracia do anarquismo (Graeber apud Black, 2009). É identificada com o bem, o verdadeiro e o belo</w:t>
      </w:r>
      <w:r>
        <w:rPr>
          <w:rStyle w:val="Refdenotaderodap"/>
          <w:rFonts w:ascii="Times New Roman" w:hAnsi="Times New Roman"/>
          <w:b/>
          <w:bCs/>
        </w:rPr>
        <w:footnoteReference w:id="3"/>
      </w:r>
      <w:r>
        <w:rPr>
          <w:rFonts w:ascii="Times New Roman" w:hAnsi="Times New Roman"/>
        </w:rPr>
        <w:t xml:space="preserve">. Há um sabor da democracia para todos os gostos: democracia constitucional, democracia liberal, social-democracia, democracia-cristã e até democracia industrial. Os poetas (reconhecidamente, não muitos) cantaram hinos em sua glória. E, no entanto, a suspeita esconde isso, como pareceu a outro poeta, Oscar Wilde, “a democracia significa simplesmente o golpe </w:t>
      </w:r>
      <w:r>
        <w:t>do</w:t>
      </w:r>
      <w:r>
        <w:rPr>
          <w:rFonts w:ascii="Times New Roman" w:hAnsi="Times New Roman"/>
        </w:rPr>
        <w:t xml:space="preserve"> povo, pelo povo e para o povo. Assim se descobriu” (Wilde, 1969: 294). Foi descoberta, e considerada infundada.</w:t>
      </w:r>
    </w:p>
    <w:p w14:paraId="4B6B134D" w14:textId="77777777" w:rsidR="00FF7D14" w:rsidRDefault="00FF7D14" w:rsidP="00F415D7">
      <w:pPr>
        <w:pStyle w:val="Standard"/>
        <w:spacing w:line="360" w:lineRule="auto"/>
        <w:jc w:val="both"/>
        <w:rPr>
          <w:rFonts w:hint="eastAsia"/>
        </w:rPr>
      </w:pPr>
      <w:r>
        <w:rPr>
          <w:rFonts w:ascii="Times New Roman" w:hAnsi="Times New Roman"/>
        </w:rPr>
        <w:tab/>
        <w:t xml:space="preserve">Até o século XX havia poucas democracias. Até o século XIX, a sabedoria das eras foi unânime em condenar a democracia. Todos os sábios da Grécia antiga a </w:t>
      </w:r>
      <w:r>
        <w:rPr>
          <w:rFonts w:ascii="Times New Roman" w:hAnsi="Times New Roman"/>
        </w:rPr>
        <w:lastRenderedPageBreak/>
        <w:t>denunciaram, especialmente os sábios da Atenas democrática (Barker, 1959: 13; Finley, 1985: 5-29; Held, 2006:  80). Como Hegel escreveu:</w:t>
      </w:r>
    </w:p>
    <w:p w14:paraId="65D047F6" w14:textId="77777777" w:rsidR="00FF7D14" w:rsidRDefault="00FF7D14" w:rsidP="00C71A0A">
      <w:pPr>
        <w:pStyle w:val="Standard"/>
        <w:spacing w:before="119" w:after="238"/>
        <w:ind w:left="2124"/>
        <w:jc w:val="both"/>
        <w:rPr>
          <w:rFonts w:hint="eastAsia"/>
        </w:rPr>
      </w:pPr>
      <w:r>
        <w:rPr>
          <w:rFonts w:ascii="Times New Roman" w:hAnsi="Times New Roman"/>
          <w:sz w:val="22"/>
          <w:szCs w:val="22"/>
        </w:rPr>
        <w:t xml:space="preserve">Aqueles antigos que, como membros das democracias desde sua juventude, haviam acumulado uma longa experiência e refletido profundamente sobre isso, detinham diferentes pontos de vista sobre a opinião popular do que as visões mais a </w:t>
      </w:r>
      <w:r>
        <w:rPr>
          <w:rFonts w:ascii="Times New Roman" w:hAnsi="Times New Roman"/>
          <w:i/>
          <w:iCs/>
          <w:sz w:val="22"/>
          <w:szCs w:val="22"/>
        </w:rPr>
        <w:t>priori</w:t>
      </w:r>
      <w:r>
        <w:rPr>
          <w:rFonts w:ascii="Times New Roman" w:hAnsi="Times New Roman"/>
          <w:sz w:val="22"/>
          <w:szCs w:val="22"/>
        </w:rPr>
        <w:t xml:space="preserve"> prevalecem hoje (Hegel, 1999, p. 235)</w:t>
      </w:r>
    </w:p>
    <w:p w14:paraId="0265A427" w14:textId="77777777" w:rsidR="00FF7D14" w:rsidRDefault="00FF7D14" w:rsidP="00F415D7">
      <w:pPr>
        <w:pStyle w:val="Standard"/>
        <w:spacing w:line="360" w:lineRule="auto"/>
        <w:jc w:val="both"/>
        <w:rPr>
          <w:rFonts w:hint="eastAsia"/>
        </w:rPr>
      </w:pPr>
      <w:r>
        <w:rPr>
          <w:rFonts w:ascii="Times New Roman" w:hAnsi="Times New Roman"/>
        </w:rPr>
        <w:tab/>
        <w:t xml:space="preserve">Os </w:t>
      </w:r>
      <w:r>
        <w:rPr>
          <w:rFonts w:ascii="Times New Roman" w:hAnsi="Times New Roman"/>
          <w:i/>
          <w:iCs/>
        </w:rPr>
        <w:t>Framers</w:t>
      </w:r>
      <w:r>
        <w:rPr>
          <w:rStyle w:val="Footnoteanchor"/>
          <w:rFonts w:ascii="Times New Roman" w:hAnsi="Times New Roman"/>
          <w:i/>
          <w:iCs/>
        </w:rPr>
        <w:footnoteReference w:id="4"/>
      </w:r>
      <w:r>
        <w:rPr>
          <w:rFonts w:ascii="Times New Roman" w:hAnsi="Times New Roman"/>
          <w:i/>
          <w:iCs/>
        </w:rPr>
        <w:t xml:space="preserve"> </w:t>
      </w:r>
      <w:r>
        <w:rPr>
          <w:rFonts w:ascii="Times New Roman" w:hAnsi="Times New Roman"/>
        </w:rPr>
        <w:t>da Constituição dos Estados Unidos rejeitaram a democracia (Bailyn, 1967; Wood, 1972: 222</w:t>
      </w:r>
      <w:r>
        <w:t>–223; 409–413)</w:t>
      </w:r>
      <w:r>
        <w:rPr>
          <w:rStyle w:val="Refdenotaderodap"/>
        </w:rPr>
        <w:footnoteReference w:id="5"/>
      </w:r>
      <w:r>
        <w:rPr>
          <w:rFonts w:ascii="Times New Roman" w:hAnsi="Times New Roman"/>
        </w:rPr>
        <w:t>, assim como os seus opositores, os antifederalistas (Storing, 1981: 29). A democracia que fora até então desprezada universalmente é a que agora é chamada de democracia direta, governo do povo sobre o povo. “Povo”, em “pelo povo”, significava os cidadãos: uma minoria constituída por alguns homens adultos. “Povo”, em “sobre o povo”, significava todo restante da população. Os cidadãos reuniam-se em intervalos de tempo para exercer o poder do Estado pela regra de maioria de votos. Este sistema já não existe em qualquer lugar, e isso facilita acreditar nele, como Hegel observara.</w:t>
      </w:r>
    </w:p>
    <w:p w14:paraId="10572258" w14:textId="77777777" w:rsidR="00FF7D14" w:rsidRDefault="00FF7D14" w:rsidP="00F415D7">
      <w:pPr>
        <w:pStyle w:val="Standard"/>
        <w:spacing w:line="360" w:lineRule="auto"/>
        <w:jc w:val="both"/>
        <w:rPr>
          <w:rFonts w:ascii="Times New Roman" w:hAnsi="Times New Roman"/>
        </w:rPr>
      </w:pPr>
      <w:r>
        <w:rPr>
          <w:rFonts w:ascii="Times New Roman" w:hAnsi="Times New Roman"/>
        </w:rPr>
        <w:tab/>
        <w:t>A democracia só se tornou respeitável, no século XIX, quando seu significado mudou. Agora significava democracia representativa, na qual a cidadania – agora um eleitorado, mas ainda uma minoria – de vez em quando escolhia alguns de seus governantes por maioria de votos (ou melhor, pela maioria dos que efetivamente votam – o que não é o mesmo). Os governantes eleitos nomeiam o resto dos governantes. Como sempre, alguns governam, e todos são governados. No século XIX, quando este sistema prevaleceu em apenas algumas nações, adquiriu alguns defensores intelectualmente capazes, como John Stuart Mill; mas também provocou alguns adversários intelectualmente capazes, como Herbert Spencer, Pierre-Joseph Proudhon e Friedrich Nietzsche. A democracia, como uma das ideologias políticas ascendentes da época, acomodou-se a outras: ao liberalismo, ao nacionalismo, ao socialismo e até mesmo ao cristianismo. Elas, por sua vez, geralmente acomodaram-na. O que parecia improvável, estas doutrinas geralmente se legitimaram mutuamente.</w:t>
      </w:r>
    </w:p>
    <w:p w14:paraId="79CD49F5" w14:textId="77777777" w:rsidR="00FF7D14" w:rsidRDefault="00FF7D14" w:rsidP="00F415D7">
      <w:pPr>
        <w:pStyle w:val="Standard"/>
        <w:spacing w:line="360" w:lineRule="auto"/>
        <w:jc w:val="both"/>
        <w:rPr>
          <w:rFonts w:hint="eastAsia"/>
        </w:rPr>
      </w:pPr>
      <w:r>
        <w:rPr>
          <w:rFonts w:ascii="Times New Roman" w:hAnsi="Times New Roman"/>
        </w:rPr>
        <w:lastRenderedPageBreak/>
        <w:tab/>
        <w:t>A dita popularidade da democracia é seguramente exagerada. É uma milha de largura e uma polegada de profundidade. A aversão a regimes autoritários não é necessariamente um entusiasmo pela democracia. Em algumas das democracias pós-comunistas, a democracia já perdeu o seu charme (Dahrendorf, 2005: 168). Em outras, como a Rússia, a própria democracia já está perdida. As democracias mais antigas persistem mais de apatia e da força do hábito do que de convicção genuína. John Zerzan pergunta, razoavelmente: “Alguma vez houve uma importância muito incessante sobre a democracia, e menos interesse real nela?” (Zerzan, 2002: 204). Bem, teve?</w:t>
      </w:r>
    </w:p>
    <w:p w14:paraId="539B317E" w14:textId="77777777" w:rsidR="00FF7D14" w:rsidRDefault="00FF7D14" w:rsidP="00F415D7">
      <w:pPr>
        <w:pStyle w:val="Standard"/>
        <w:spacing w:line="360" w:lineRule="auto"/>
        <w:jc w:val="both"/>
        <w:rPr>
          <w:rFonts w:hint="eastAsia"/>
        </w:rPr>
      </w:pPr>
      <w:r>
        <w:rPr>
          <w:rFonts w:ascii="Times New Roman" w:hAnsi="Times New Roman"/>
        </w:rPr>
        <w:tab/>
        <w:t>A ideia de democracia nunca foi justificada, apenas meramente glorificada. Nenhuma das críticas mais antigas da democracia foi refutada, e mesmo nenhuma das mais novas também foram. Elas vêm da esquerda, da direita e do centro. Algumas dessas críticas se seguem. Elas estabelecem que a democracia é irracional, ineficiente, injusta e antitética aos próprios valores reivindicados: liberdade, igualdade e fraternidade. Nem mesmo, por exemplo, implica liberdade (Russel, 1996: 24; Stephen, 1991: 168). Em vez disso, a tendência instintiva da democracia é “desprezar os direitos individuais e tomar pouco conhecimento deles” (De Tocqueville, 1969: 699). A democracia não só subverte a comunidade: insulta a dignidade e aflige o senso comum. Nem todos esses valores violados são importantes para todos, mas alguns deles são importantes para qualquer um, exceto para alguém a quem nada é importante. É por isso que os pós-modernistas são democratas.</w:t>
      </w:r>
    </w:p>
    <w:p w14:paraId="03C6816C" w14:textId="77777777" w:rsidR="00FF7D14" w:rsidRDefault="00FF7D14" w:rsidP="00F415D7">
      <w:pPr>
        <w:pStyle w:val="Standard"/>
        <w:spacing w:line="360" w:lineRule="auto"/>
        <w:jc w:val="both"/>
        <w:rPr>
          <w:rFonts w:ascii="Times New Roman" w:hAnsi="Times New Roman"/>
        </w:rPr>
      </w:pPr>
      <w:r>
        <w:rPr>
          <w:rFonts w:ascii="Times New Roman" w:hAnsi="Times New Roman"/>
        </w:rPr>
        <w:tab/>
        <w:t>Nos últimos anos, alguns intelectuais (acadêmicos e antigos radicais) tentaram reviver a democracia direta como um ideal e configurá-la como uma alternativa viável para a democracia representativa. Seus esforços extenuantes interessam apenas a eles mesmos. Os seus esforços falham, pelo menos, por dois motivos. O primeiro motivo é que, de fato,</w:t>
      </w:r>
    </w:p>
    <w:p w14:paraId="715FCD1F" w14:textId="77777777" w:rsidR="00FF7D14" w:rsidRDefault="00FF7D14" w:rsidP="00C71A0A">
      <w:pPr>
        <w:pStyle w:val="Standard"/>
        <w:ind w:left="2124"/>
        <w:jc w:val="both"/>
        <w:rPr>
          <w:rFonts w:hint="eastAsia"/>
        </w:rPr>
      </w:pPr>
      <w:r>
        <w:rPr>
          <w:rFonts w:ascii="Times New Roman" w:hAnsi="Times New Roman"/>
          <w:sz w:val="22"/>
          <w:szCs w:val="22"/>
        </w:rPr>
        <w:t xml:space="preserve">não há motivos para acreditar que tenha havido uma democracia urbana puramente direta ou mesmo uma aproximação razoável de uma. Toda instância conhecida envolveu uma mistura considerável de democracia representativa que, mais cedo ou mais tarde, </w:t>
      </w:r>
      <w:r>
        <w:rPr>
          <w:rFonts w:ascii="Times New Roman" w:hAnsi="Times New Roman" w:cs="Times New Roman"/>
          <w:sz w:val="22"/>
          <w:szCs w:val="22"/>
        </w:rPr>
        <w:t>geralmente subordinava a democracia [direta], onde aquela não eliminava esta completamente (Black, 1997: 71)</w:t>
      </w:r>
    </w:p>
    <w:p w14:paraId="034D03A5" w14:textId="77777777" w:rsidR="00FF7D14" w:rsidRDefault="00FF7D14" w:rsidP="00F415D7">
      <w:pPr>
        <w:pStyle w:val="Standard"/>
        <w:jc w:val="both"/>
        <w:rPr>
          <w:rFonts w:ascii="Times New Roman" w:hAnsi="Times New Roman"/>
        </w:rPr>
      </w:pPr>
    </w:p>
    <w:p w14:paraId="3C917B47" w14:textId="77777777" w:rsidR="00FF7D14" w:rsidRDefault="00FF7D14" w:rsidP="00F415D7">
      <w:pPr>
        <w:pStyle w:val="Standard"/>
        <w:spacing w:line="360" w:lineRule="auto"/>
        <w:jc w:val="both"/>
        <w:rPr>
          <w:rFonts w:ascii="Times New Roman" w:hAnsi="Times New Roman"/>
        </w:rPr>
      </w:pPr>
    </w:p>
    <w:p w14:paraId="34331E53" w14:textId="77777777" w:rsidR="00FF7D14" w:rsidRDefault="00FF7D14" w:rsidP="00FC4195">
      <w:pPr>
        <w:pStyle w:val="Standard"/>
        <w:spacing w:line="360" w:lineRule="auto"/>
        <w:ind w:firstLine="708"/>
        <w:jc w:val="both"/>
        <w:rPr>
          <w:rFonts w:hint="eastAsia"/>
        </w:rPr>
      </w:pPr>
      <w:r>
        <w:rPr>
          <w:rFonts w:ascii="Times New Roman" w:hAnsi="Times New Roman"/>
        </w:rPr>
        <w:t>Não há espaço para provar isso aqui, mas a evidência é ampla (Black, 2010, cap. 14 e 15).</w:t>
      </w:r>
    </w:p>
    <w:p w14:paraId="281F243B" w14:textId="77777777" w:rsidR="00FF7D14" w:rsidRDefault="00FF7D14" w:rsidP="00F415D7">
      <w:pPr>
        <w:pStyle w:val="Standard"/>
        <w:spacing w:line="360" w:lineRule="auto"/>
        <w:jc w:val="both"/>
        <w:rPr>
          <w:rFonts w:hint="eastAsia"/>
        </w:rPr>
      </w:pPr>
      <w:r>
        <w:rPr>
          <w:rFonts w:ascii="Times New Roman" w:hAnsi="Times New Roman"/>
        </w:rPr>
        <w:lastRenderedPageBreak/>
        <w:tab/>
        <w:t>A democracia direta é meramente um ideal abstrato, uma fantasia, de fato, sem base na experiência histórica. De acordo com Jean-Jacques Rousseau, que é falsamente reivindicado como defensor da democracia direta, “por menor que seja qualquer Estado, as sociedades civis são sempre muito populosas para estar sob o governo imediato de todos os seus membros” (Rousseau, 1950a: 313). O segundo motivo é que as principais objeções à democracia representativa também se aplicam à democracia direta, mesmo que esta seja considerada como uma forma ideal de democracia majoritária pura. Algumas objeções se aplicam a uma versão, algumas à outra, mas a maioria se aplica a ambas. Há mais do que razões suficientes para rejeitar todas as versões da democracia. Deixe-nos, então, considerar algumas dessas objeções.</w:t>
      </w:r>
    </w:p>
    <w:p w14:paraId="4DBDA940" w14:textId="77777777" w:rsidR="00FF7D14" w:rsidRDefault="00FF7D14" w:rsidP="00F415D7">
      <w:pPr>
        <w:pStyle w:val="Standard"/>
        <w:spacing w:line="360" w:lineRule="auto"/>
        <w:jc w:val="both"/>
        <w:rPr>
          <w:rFonts w:ascii="Times New Roman" w:hAnsi="Times New Roman"/>
        </w:rPr>
      </w:pPr>
    </w:p>
    <w:p w14:paraId="0012D079" w14:textId="77777777" w:rsidR="00FF7D14" w:rsidRDefault="00FF7D14" w:rsidP="00F415D7">
      <w:pPr>
        <w:pStyle w:val="Standard"/>
        <w:jc w:val="both"/>
        <w:rPr>
          <w:rFonts w:ascii="Times New Roman" w:hAnsi="Times New Roman"/>
          <w:b/>
          <w:bCs/>
        </w:rPr>
      </w:pPr>
      <w:r>
        <w:rPr>
          <w:rFonts w:ascii="Times New Roman" w:hAnsi="Times New Roman"/>
          <w:b/>
          <w:bCs/>
        </w:rPr>
        <w:t>Objeções à Democracia</w:t>
      </w:r>
    </w:p>
    <w:p w14:paraId="6CD46BB9" w14:textId="77777777" w:rsidR="00FF7D14" w:rsidRDefault="00FF7D14" w:rsidP="00F415D7">
      <w:pPr>
        <w:pStyle w:val="Standard"/>
        <w:jc w:val="both"/>
        <w:rPr>
          <w:rFonts w:ascii="Times New Roman" w:hAnsi="Times New Roman"/>
          <w:b/>
          <w:bCs/>
        </w:rPr>
      </w:pPr>
    </w:p>
    <w:p w14:paraId="2C359A23" w14:textId="580337E4" w:rsidR="00FF7D14" w:rsidRDefault="00FF7D14" w:rsidP="00CC2E48">
      <w:pPr>
        <w:pStyle w:val="Standard"/>
        <w:jc w:val="both"/>
        <w:rPr>
          <w:rFonts w:ascii="Times New Roman" w:hAnsi="Times New Roman"/>
          <w:b/>
          <w:bCs/>
        </w:rPr>
      </w:pPr>
      <w:r>
        <w:rPr>
          <w:rFonts w:ascii="Times New Roman" w:hAnsi="Times New Roman"/>
          <w:b/>
          <w:bCs/>
        </w:rPr>
        <w:t xml:space="preserve"> A maioria nem sempre está certa</w:t>
      </w:r>
    </w:p>
    <w:p w14:paraId="1F66F0A2" w14:textId="77777777" w:rsidR="00FF7D14" w:rsidRDefault="00FF7D14" w:rsidP="00F415D7">
      <w:pPr>
        <w:pStyle w:val="Standard"/>
        <w:jc w:val="both"/>
        <w:rPr>
          <w:rFonts w:ascii="Times New Roman" w:hAnsi="Times New Roman"/>
          <w:b/>
          <w:bCs/>
        </w:rPr>
      </w:pPr>
    </w:p>
    <w:p w14:paraId="4B2A2801" w14:textId="77777777" w:rsidR="00FF7D14" w:rsidRDefault="00FF7D14" w:rsidP="00F415D7">
      <w:pPr>
        <w:pStyle w:val="Standard"/>
        <w:spacing w:line="360" w:lineRule="auto"/>
        <w:jc w:val="both"/>
        <w:rPr>
          <w:rFonts w:hint="eastAsia"/>
        </w:rPr>
      </w:pPr>
      <w:r>
        <w:rPr>
          <w:rFonts w:ascii="Times New Roman" w:hAnsi="Times New Roman"/>
        </w:rPr>
        <w:tab/>
        <w:t>Como (entre muitos outros) Pierre-Joseph Proudhon, Henry David Thoreau, Mikhail Bakunin, Benjamin Tucker, Errico Malatesta e Emma Goldman disseram – e alguém discorda? - “a democracia não garante decisões corretas. A única coisa especial sobre as maiorias é que elas não são minorias” (Lomasky, 2002: 3). Não há força em números, ou melhor, não há nada além de força em números. Partidos, famílias, corporações, sindicatos: quase todas as associações voluntárias são, por opção, oligárquicas (Kerr, 1957: 12)</w:t>
      </w:r>
      <w:r>
        <w:rPr>
          <w:rStyle w:val="Refdenotaderodap"/>
          <w:rFonts w:ascii="Times New Roman" w:hAnsi="Times New Roman"/>
        </w:rPr>
        <w:footnoteReference w:id="6"/>
      </w:r>
      <w:r>
        <w:rPr>
          <w:rFonts w:ascii="Times New Roman" w:hAnsi="Times New Roman"/>
        </w:rPr>
        <w:t>. De fato, em assembleias diretas ou representativas, eleitorais ou legislativas, o todo é menos – menos mesmo – que a soma de suas partes. É até mesmo matematicamente demonstrável (mas não por mim) que a tomada de decisão majoritária gera decisões ineficazes, socialmente desperdiçadoras e mais ou menos autodestrutivas (Buchanan; Tullock, 1962: 169; Mcconnell, 1966: 120</w:t>
      </w:r>
      <w:r>
        <w:t>–127; Spitz, 1982: 153; Taylor, Michael, 1982: 54–55)</w:t>
      </w:r>
      <w:r>
        <w:rPr>
          <w:rFonts w:ascii="Times New Roman" w:hAnsi="Times New Roman"/>
        </w:rPr>
        <w:t>. Além disso, depois disso tudo, por que você deveria, ou, por que alguém deveria, aceitar uma decisão que você sabe que é errada? Certamente, a qualidade das decisões na democracia tem algo a ver com a qualidade do processo de tomada de decisão desta.</w:t>
      </w:r>
    </w:p>
    <w:p w14:paraId="7D483B2E" w14:textId="77777777" w:rsidR="00CC2E48" w:rsidRDefault="00CC2E48" w:rsidP="00FC4195">
      <w:pPr>
        <w:pStyle w:val="Standard"/>
        <w:spacing w:line="360" w:lineRule="auto"/>
        <w:jc w:val="both"/>
        <w:rPr>
          <w:rFonts w:ascii="Times New Roman" w:hAnsi="Times New Roman"/>
        </w:rPr>
      </w:pPr>
    </w:p>
    <w:p w14:paraId="5954FA37" w14:textId="608C3132" w:rsidR="00FF7D14" w:rsidRDefault="00FF7D14" w:rsidP="00FC4195">
      <w:pPr>
        <w:pStyle w:val="Standard"/>
        <w:spacing w:line="360" w:lineRule="auto"/>
        <w:jc w:val="both"/>
        <w:rPr>
          <w:rFonts w:ascii="Times New Roman" w:hAnsi="Times New Roman"/>
          <w:b/>
          <w:bCs/>
        </w:rPr>
      </w:pPr>
      <w:r>
        <w:rPr>
          <w:rFonts w:ascii="Times New Roman" w:hAnsi="Times New Roman"/>
          <w:b/>
          <w:bCs/>
        </w:rPr>
        <w:lastRenderedPageBreak/>
        <w:t xml:space="preserve"> A democracia não dá a todos, como prometido, o direito de influenciar as decisões que os afetam, porque uma pessoa que votou no lado perdedor não terá influência nas decisões posteriores</w:t>
      </w:r>
    </w:p>
    <w:p w14:paraId="2C0FF8F5" w14:textId="77777777" w:rsidR="00FF7D14" w:rsidRDefault="00FF7D14" w:rsidP="00F415D7">
      <w:pPr>
        <w:pStyle w:val="Standard"/>
        <w:jc w:val="both"/>
        <w:rPr>
          <w:rFonts w:ascii="Times New Roman" w:hAnsi="Times New Roman"/>
        </w:rPr>
      </w:pPr>
    </w:p>
    <w:p w14:paraId="7BCE94D5" w14:textId="77777777" w:rsidR="00FF7D14" w:rsidRDefault="00FF7D14" w:rsidP="00F415D7">
      <w:pPr>
        <w:pStyle w:val="Standard"/>
        <w:spacing w:line="360" w:lineRule="auto"/>
        <w:jc w:val="both"/>
        <w:rPr>
          <w:rFonts w:hint="eastAsia"/>
        </w:rPr>
      </w:pPr>
      <w:r>
        <w:rPr>
          <w:rFonts w:ascii="Times New Roman" w:hAnsi="Times New Roman"/>
        </w:rPr>
        <w:tab/>
        <w:t>Como Henry David Thoreau escreveu, “uma minoria é impotente enquanto está em conformidade com a maioria; não é mesmo uma minoria, então” (Thoreau, 1960: 231). E é, de fato, impotente: não é nada. Thomas Hobbes antecipou Thoreau:</w:t>
      </w:r>
    </w:p>
    <w:p w14:paraId="3F30BAAC" w14:textId="77777777" w:rsidR="00FF7D14" w:rsidRDefault="00FF7D14" w:rsidP="00C71A0A">
      <w:pPr>
        <w:pStyle w:val="Standard"/>
        <w:ind w:left="1416"/>
        <w:jc w:val="both"/>
        <w:rPr>
          <w:rFonts w:hint="eastAsia"/>
        </w:rPr>
      </w:pPr>
      <w:r>
        <w:rPr>
          <w:rFonts w:ascii="Times New Roman" w:hAnsi="Times New Roman"/>
          <w:sz w:val="22"/>
          <w:szCs w:val="22"/>
        </w:rPr>
        <w:t xml:space="preserve">E se o Representante consistir em muitos homens, a voz do maior número deve ser considerada como a voz de todos. Pois, se o número menor pronunciar (por exemplo) na Afirmativa, e o maior na Negativa, </w:t>
      </w:r>
      <w:proofErr w:type="gramStart"/>
      <w:r>
        <w:rPr>
          <w:rFonts w:ascii="Times New Roman" w:hAnsi="Times New Roman"/>
          <w:sz w:val="22"/>
          <w:szCs w:val="22"/>
        </w:rPr>
        <w:t>haverá Negativas</w:t>
      </w:r>
      <w:proofErr w:type="gramEnd"/>
      <w:r>
        <w:rPr>
          <w:rFonts w:ascii="Times New Roman" w:hAnsi="Times New Roman"/>
          <w:sz w:val="22"/>
          <w:szCs w:val="22"/>
        </w:rPr>
        <w:t xml:space="preserve"> mais do que suficientes para destruir as Afirmativas; e, portanto, o excesso de Negativas, sem contradição, é a única voz que o Representante tem. (Hobbes, 1968: 221). </w:t>
      </w:r>
    </w:p>
    <w:p w14:paraId="4B7625BC" w14:textId="77777777" w:rsidR="00EC6E01" w:rsidRPr="00EC6E01" w:rsidRDefault="00EC6E01" w:rsidP="00F415D7">
      <w:pPr>
        <w:pStyle w:val="Standard"/>
        <w:jc w:val="both"/>
        <w:rPr>
          <w:rFonts w:hint="eastAsia"/>
        </w:rPr>
      </w:pPr>
    </w:p>
    <w:p w14:paraId="0E92818E" w14:textId="77777777" w:rsidR="00FF7D14" w:rsidRDefault="00FF7D14" w:rsidP="00F415D7">
      <w:pPr>
        <w:pStyle w:val="Standard"/>
        <w:spacing w:line="360" w:lineRule="auto"/>
        <w:ind w:firstLine="720"/>
        <w:jc w:val="both"/>
        <w:rPr>
          <w:rFonts w:hint="eastAsia"/>
        </w:rPr>
      </w:pPr>
      <w:r>
        <w:rPr>
          <w:rFonts w:ascii="Times New Roman" w:hAnsi="Times New Roman"/>
        </w:rPr>
        <w:t>“A maioria numérica”, escreveu John C. Calhoun, “é tão verdadeiramente um único poder – e exclui os contrários tanto quanto o governo absoluto de um ou poucos.” (Calhoun, 1953: 29).</w:t>
      </w:r>
    </w:p>
    <w:p w14:paraId="2E43C485" w14:textId="77777777" w:rsidR="00CC2E48" w:rsidRDefault="00CC2E48" w:rsidP="00F415D7">
      <w:pPr>
        <w:pStyle w:val="Standard"/>
        <w:jc w:val="both"/>
        <w:rPr>
          <w:rFonts w:ascii="Times New Roman" w:hAnsi="Times New Roman"/>
        </w:rPr>
      </w:pPr>
      <w:bookmarkStart w:id="2" w:name="result_box"/>
      <w:bookmarkEnd w:id="2"/>
    </w:p>
    <w:p w14:paraId="5B216D28" w14:textId="68B45D4D" w:rsidR="00FF7D14" w:rsidRDefault="00FF7D14" w:rsidP="00FC4195">
      <w:pPr>
        <w:pStyle w:val="Standard"/>
        <w:spacing w:line="360" w:lineRule="auto"/>
        <w:jc w:val="both"/>
        <w:rPr>
          <w:rFonts w:ascii="Times New Roman" w:hAnsi="Times New Roman"/>
          <w:b/>
          <w:bCs/>
          <w:lang w:val="pt-PT"/>
        </w:rPr>
      </w:pPr>
      <w:r>
        <w:rPr>
          <w:rFonts w:ascii="Times New Roman" w:hAnsi="Times New Roman"/>
          <w:b/>
          <w:bCs/>
          <w:lang w:val="pt-PT"/>
        </w:rPr>
        <w:t xml:space="preserve"> A democracia, especialmente nos pequenos círculos eleitorais, presta-se à destituição de minorias permanentes, que ocupam a mesma posição na democracia que ocupariam sob o despotismo</w:t>
      </w:r>
    </w:p>
    <w:p w14:paraId="2C657378" w14:textId="77777777" w:rsidR="00FF7D14" w:rsidRDefault="00FF7D14" w:rsidP="00F415D7">
      <w:pPr>
        <w:pStyle w:val="Standard"/>
        <w:jc w:val="both"/>
        <w:rPr>
          <w:rFonts w:ascii="Times New Roman" w:hAnsi="Times New Roman"/>
          <w:lang w:val="pt-PT"/>
        </w:rPr>
      </w:pPr>
      <w:r>
        <w:rPr>
          <w:rFonts w:ascii="Times New Roman" w:hAnsi="Times New Roman"/>
          <w:lang w:val="pt-PT"/>
        </w:rPr>
        <w:tab/>
      </w:r>
    </w:p>
    <w:p w14:paraId="4B0B9790" w14:textId="77777777" w:rsidR="00FF7D14" w:rsidRDefault="00FF7D14" w:rsidP="00F415D7">
      <w:pPr>
        <w:pStyle w:val="Standard"/>
        <w:spacing w:line="360" w:lineRule="auto"/>
        <w:jc w:val="both"/>
        <w:rPr>
          <w:rFonts w:hint="eastAsia"/>
        </w:rPr>
      </w:pPr>
      <w:r>
        <w:rPr>
          <w:rFonts w:ascii="Times New Roman" w:hAnsi="Times New Roman"/>
        </w:rPr>
        <w:tab/>
        <w:t>Não é sempre a mesma maioria momentânea que rege o governo, mas muitas vezes o é, e as maiorias em mudança só tornam menos provável, não improvável, que algum grupo seja sempre oponente à gangue vencedora (Steiner, 2001; Spitz, 1982: 183). Sob a democracia americana há muito tempo é sabido, mesmo para o Supremo Tribunal dos EUA em 1938, que as “minorias discretas e insulares” estão em desvantagem política além do mero fato (que é uma desvantagem suficiente) de serem minorias (</w:t>
      </w:r>
      <w:r>
        <w:t>“United States v. Carolene Products Company”, 1938)</w:t>
      </w:r>
      <w:r>
        <w:rPr>
          <w:rFonts w:ascii="Times New Roman" w:hAnsi="Times New Roman"/>
        </w:rPr>
        <w:t>. E quanto menor o círculo eleitoral, mais provável é que muitos interesses possam ser representados “por números tão pequenos que são menores do que o mínimo necessário para a defesa desses interesses em qualquer ambiente” (Mcconnell, 1966, p. 109).</w:t>
      </w:r>
    </w:p>
    <w:p w14:paraId="16C24868" w14:textId="77777777" w:rsidR="00FF7D14" w:rsidRDefault="00FF7D14" w:rsidP="00F415D7">
      <w:pPr>
        <w:pStyle w:val="Standard"/>
        <w:spacing w:line="360" w:lineRule="auto"/>
        <w:jc w:val="both"/>
        <w:rPr>
          <w:rFonts w:ascii="Times New Roman" w:hAnsi="Times New Roman"/>
          <w:lang w:val="pt-PT"/>
        </w:rPr>
      </w:pPr>
    </w:p>
    <w:p w14:paraId="36607022" w14:textId="54CBE48B" w:rsidR="00FF7D14" w:rsidRDefault="00FF7D14" w:rsidP="00F415D7">
      <w:pPr>
        <w:pStyle w:val="Standard"/>
        <w:jc w:val="both"/>
        <w:rPr>
          <w:rFonts w:ascii="Times New Roman" w:hAnsi="Times New Roman"/>
          <w:b/>
          <w:bCs/>
          <w:lang w:val="pt-PT"/>
        </w:rPr>
      </w:pPr>
      <w:r>
        <w:rPr>
          <w:rFonts w:ascii="Times New Roman" w:hAnsi="Times New Roman"/>
          <w:b/>
          <w:bCs/>
          <w:lang w:val="pt-PT"/>
        </w:rPr>
        <w:t xml:space="preserve"> A regra da maioria ignora a urgência das preferências</w:t>
      </w:r>
    </w:p>
    <w:p w14:paraId="2CBAA497" w14:textId="77777777" w:rsidR="00FF7D14" w:rsidRDefault="00FF7D14" w:rsidP="00F415D7">
      <w:pPr>
        <w:pStyle w:val="Standard"/>
        <w:jc w:val="both"/>
        <w:rPr>
          <w:rFonts w:ascii="Times New Roman" w:hAnsi="Times New Roman"/>
          <w:lang w:val="pt-PT"/>
        </w:rPr>
      </w:pPr>
    </w:p>
    <w:p w14:paraId="0F48FF56" w14:textId="77777777" w:rsidR="00FF7D14" w:rsidRDefault="00FF7D14" w:rsidP="00F415D7">
      <w:pPr>
        <w:pStyle w:val="Standard"/>
        <w:spacing w:line="360" w:lineRule="auto"/>
        <w:jc w:val="both"/>
        <w:rPr>
          <w:rFonts w:hint="eastAsia"/>
        </w:rPr>
      </w:pPr>
      <w:r>
        <w:rPr>
          <w:rFonts w:ascii="Times New Roman" w:hAnsi="Times New Roman"/>
          <w:lang w:val="pt-PT"/>
        </w:rPr>
        <w:tab/>
        <w:t xml:space="preserve">As preferências variam em intensidade, mas o consentimento não. A preferência é </w:t>
      </w:r>
      <w:r>
        <w:rPr>
          <w:rFonts w:ascii="Times New Roman" w:hAnsi="Times New Roman"/>
          <w:i/>
          <w:iCs/>
          <w:lang w:val="pt-PT"/>
        </w:rPr>
        <w:t>mais ou menos</w:t>
      </w:r>
      <w:r>
        <w:rPr>
          <w:rFonts w:ascii="Times New Roman" w:hAnsi="Times New Roman"/>
          <w:lang w:val="pt-PT"/>
        </w:rPr>
        <w:t xml:space="preserve">, o consentimento é </w:t>
      </w:r>
      <w:r>
        <w:rPr>
          <w:rFonts w:ascii="Times New Roman" w:hAnsi="Times New Roman"/>
          <w:i/>
          <w:iCs/>
          <w:lang w:val="pt-PT"/>
        </w:rPr>
        <w:t>sim ou não</w:t>
      </w:r>
      <w:r>
        <w:rPr>
          <w:rFonts w:ascii="Times New Roman" w:hAnsi="Times New Roman"/>
          <w:lang w:val="pt-PT"/>
        </w:rPr>
        <w:t xml:space="preserve">. O voto de uma pessoa que tem apenas uma pequena preferência por um candidato ou medida conta o mesmo que o voto de alguém apaixonadamente oposto, e assim: “Uma maioria com preferências ligeiras de </w:t>
      </w:r>
      <w:r>
        <w:rPr>
          <w:rFonts w:ascii="Times New Roman" w:hAnsi="Times New Roman"/>
          <w:lang w:val="pt-PT"/>
        </w:rPr>
        <w:lastRenderedPageBreak/>
        <w:t>uma maneira pode ultrapassar quase tantas preferências fortes do outro lado”. Poderia até haver, como acabamos de observar, uma minoria permanentemente frustrada, que é uma fonte de instabilidade, ou mesmo a opressão. Por outras palavras, a oportunidade de influenciar uma decisão não é proporcional ao interesse legítimo de uma pessoa pelo resultado (Buchanan; Tullock, 1962: 125</w:t>
      </w:r>
      <w:r>
        <w:t>–127, 132–133; Burnheim, 1985: 83; Dahl, 1956: 91–99, 1982: 88–89; Waldron, 1999:  132; 142–143)</w:t>
      </w:r>
      <w:r>
        <w:rPr>
          <w:rFonts w:ascii="Times New Roman" w:hAnsi="Times New Roman"/>
          <w:lang w:val="pt-PT"/>
        </w:rPr>
        <w:t>.</w:t>
      </w:r>
    </w:p>
    <w:p w14:paraId="7E784ED8" w14:textId="77777777" w:rsidR="00FF7D14" w:rsidRDefault="00FF7D14" w:rsidP="00F415D7">
      <w:pPr>
        <w:pStyle w:val="Standard"/>
        <w:spacing w:line="360" w:lineRule="auto"/>
        <w:jc w:val="both"/>
        <w:rPr>
          <w:rFonts w:hint="eastAsia"/>
        </w:rPr>
      </w:pPr>
      <w:r>
        <w:rPr>
          <w:rFonts w:ascii="Times New Roman" w:hAnsi="Times New Roman"/>
          <w:lang w:val="pt-PT"/>
        </w:rPr>
        <w:tab/>
      </w:r>
      <w:bookmarkStart w:id="3" w:name="result_box2"/>
      <w:bookmarkEnd w:id="3"/>
      <w:r>
        <w:t xml:space="preserve">Os teóricos da democracia geralmente ignoram o problema ou, como John Rawls, o acenam dogmatizando que “essa crítica </w:t>
      </w:r>
      <w:proofErr w:type="gramStart"/>
      <w:r>
        <w:t>baseia-se</w:t>
      </w:r>
      <w:proofErr w:type="gramEnd"/>
      <w:r>
        <w:t xml:space="preserve"> na visão equivocada de que a intensidade do desejo é uma consideração relevante na promulgação da legislação” (Rawls, 1999: 230). Mas, por mais embaraçoso que seja para os democratas, “a questão da intensidade é absolutamente vital para a estabilidade dos sistemas democráticos” - e é uma questão para a qual a pura democracia majoritária não tem resposta (Barbea</w:t>
      </w:r>
      <w:r>
        <w:rPr>
          <w:rFonts w:hint="eastAsia"/>
        </w:rPr>
        <w:t>r</w:t>
      </w:r>
      <w:r>
        <w:t xml:space="preserve">, 1988: 79; Kendall; Carey, 1968). Rousseau pelo menos reconheceu o problema, embora sua solução seja impraticável. Ele pensou que “quanto mais graves e importantes forem as questões discutidas, mais perto a opinião que deve prevalecer abordar a unanimidade” (Rousseau, 1950b: 107). Mas não há como decidir </w:t>
      </w:r>
      <w:r>
        <w:rPr>
          <w:i/>
          <w:iCs/>
        </w:rPr>
        <w:t xml:space="preserve">a priori </w:t>
      </w:r>
      <w:r>
        <w:t xml:space="preserve">a importância de uma questão. Primeiro você deve decidir o quão importante é a questão, e a maioria pode muito bem governar uma questão para ser sem importância para se certificar de que a questão será respondida como a maioria deseja. </w:t>
      </w:r>
    </w:p>
    <w:p w14:paraId="01414EBC" w14:textId="77777777" w:rsidR="00B22644" w:rsidRDefault="00B22644" w:rsidP="00F415D7">
      <w:pPr>
        <w:pStyle w:val="Standard"/>
        <w:jc w:val="both"/>
        <w:rPr>
          <w:rFonts w:ascii="Times New Roman" w:hAnsi="Times New Roman"/>
        </w:rPr>
      </w:pPr>
    </w:p>
    <w:p w14:paraId="06AF5B83" w14:textId="377792A3" w:rsidR="00FF7D14" w:rsidRDefault="00FF7D14" w:rsidP="00F415D7">
      <w:pPr>
        <w:pStyle w:val="Standard"/>
        <w:jc w:val="both"/>
        <w:rPr>
          <w:rFonts w:ascii="Times New Roman" w:hAnsi="Times New Roman"/>
          <w:b/>
          <w:bCs/>
        </w:rPr>
      </w:pPr>
      <w:r>
        <w:rPr>
          <w:rFonts w:ascii="Times New Roman" w:hAnsi="Times New Roman"/>
          <w:b/>
          <w:bCs/>
        </w:rPr>
        <w:t xml:space="preserve"> Não existem regras de votação democráticas autoevidentes</w:t>
      </w:r>
    </w:p>
    <w:p w14:paraId="10567561" w14:textId="77777777" w:rsidR="00FF7D14" w:rsidRDefault="00FF7D14" w:rsidP="00F415D7">
      <w:pPr>
        <w:pStyle w:val="Standard"/>
        <w:jc w:val="both"/>
        <w:rPr>
          <w:rFonts w:ascii="Times New Roman" w:hAnsi="Times New Roman"/>
        </w:rPr>
      </w:pPr>
    </w:p>
    <w:p w14:paraId="5FE1B3F9" w14:textId="77777777" w:rsidR="00FF7D14" w:rsidRDefault="00FF7D14" w:rsidP="00F415D7">
      <w:pPr>
        <w:pStyle w:val="Standard"/>
        <w:spacing w:line="360" w:lineRule="auto"/>
        <w:jc w:val="both"/>
        <w:rPr>
          <w:rFonts w:hint="eastAsia"/>
        </w:rPr>
      </w:pPr>
      <w:r>
        <w:rPr>
          <w:rFonts w:ascii="Times New Roman" w:hAnsi="Times New Roman"/>
        </w:rPr>
        <w:tab/>
        <w:t>Maioria ou pluralidade? Delegação de representatividade</w:t>
      </w:r>
      <w:r>
        <w:rPr>
          <w:rStyle w:val="Footnoteanchor"/>
          <w:rFonts w:ascii="Times New Roman" w:hAnsi="Times New Roman"/>
          <w:b/>
          <w:bCs/>
        </w:rPr>
        <w:footnoteReference w:id="7"/>
      </w:r>
      <w:r>
        <w:rPr>
          <w:rFonts w:ascii="Times New Roman" w:hAnsi="Times New Roman"/>
        </w:rPr>
        <w:t xml:space="preserve">? Quóruns? Supermaiorias (De três quintos? Dois terços?) necessárias para todas, algumas ou nenhuma das decisões? Quem define a agenda? Os movimentos de base serão entretidos? Quem decide quem fala, por quanto tempo e quem obtém a primeira ou a última palavra? Quem agendaria as reuniões? Quem aponta isso? E quem decide, e por que regras, as respostas a todas essas questões? “Se os participantes não concordarem com as regras de votação, eles podem primeiro votar essas regras. Mas eles podem discordar sobre como </w:t>
      </w:r>
      <w:r>
        <w:rPr>
          <w:rFonts w:ascii="Times New Roman" w:hAnsi="Times New Roman"/>
        </w:rPr>
        <w:lastRenderedPageBreak/>
        <w:t>votar as regras de votação, o que pode tornar a votação impossível, pois a decisão sobre como votar é adiada para mais adiante” (Steiner, 2001: 130).</w:t>
      </w:r>
    </w:p>
    <w:p w14:paraId="70C237F6" w14:textId="77777777" w:rsidR="00FF7D14" w:rsidRDefault="00FF7D14" w:rsidP="00F415D7">
      <w:pPr>
        <w:pStyle w:val="Standard"/>
        <w:spacing w:line="360" w:lineRule="auto"/>
        <w:jc w:val="both"/>
        <w:rPr>
          <w:rFonts w:ascii="Times New Roman" w:hAnsi="Times New Roman"/>
        </w:rPr>
      </w:pPr>
    </w:p>
    <w:p w14:paraId="65E9D6C5" w14:textId="59B40299" w:rsidR="00FF7D14" w:rsidRDefault="00FF7D14" w:rsidP="00F415D7">
      <w:pPr>
        <w:pStyle w:val="Standard"/>
        <w:jc w:val="both"/>
        <w:rPr>
          <w:rFonts w:ascii="Times New Roman" w:hAnsi="Times New Roman"/>
          <w:b/>
          <w:bCs/>
        </w:rPr>
      </w:pPr>
      <w:r>
        <w:rPr>
          <w:rFonts w:ascii="Times New Roman" w:hAnsi="Times New Roman"/>
          <w:b/>
          <w:bCs/>
        </w:rPr>
        <w:t xml:space="preserve"> Uma votação coletiva, de tudo ou nada, é irracional</w:t>
      </w:r>
    </w:p>
    <w:p w14:paraId="56E12DE3" w14:textId="77777777" w:rsidR="00FF7D14" w:rsidRDefault="00FF7D14" w:rsidP="00F415D7">
      <w:pPr>
        <w:pStyle w:val="Standard"/>
        <w:jc w:val="both"/>
        <w:rPr>
          <w:rFonts w:ascii="Times New Roman" w:hAnsi="Times New Roman"/>
          <w:b/>
          <w:bCs/>
        </w:rPr>
      </w:pPr>
    </w:p>
    <w:p w14:paraId="17AA5401" w14:textId="77777777" w:rsidR="00FF7D14" w:rsidRDefault="00FF7D14" w:rsidP="00F415D7">
      <w:pPr>
        <w:pStyle w:val="Standard"/>
        <w:spacing w:line="360" w:lineRule="auto"/>
        <w:jc w:val="both"/>
        <w:rPr>
          <w:rFonts w:ascii="Times New Roman" w:hAnsi="Times New Roman"/>
        </w:rPr>
      </w:pPr>
      <w:r>
        <w:rPr>
          <w:rFonts w:ascii="Times New Roman" w:hAnsi="Times New Roman"/>
        </w:rPr>
        <w:tab/>
        <w:t xml:space="preserve">Uma decisão tomada sobre uma questão importante por um único voto é tão válida como uma votação unânime sobre alguma frivolidade. Essa extrema raridade, a única vez que um voto, a vontade de uma pessoa, faz a diferença, é a mesma situação – monarquia, ditadura, governo de um homem só – da qual a democracia deveria ser uma solução melhor! Em todos os outros momentos, de todos os votos para o lado vencedor, apenas um é decisivo, então os votos de todos, exceto </w:t>
      </w:r>
      <w:proofErr w:type="gramStart"/>
      <w:r>
        <w:rPr>
          <w:rFonts w:ascii="Times New Roman" w:hAnsi="Times New Roman"/>
        </w:rPr>
        <w:t>um dos vencedores, com os votos de todos os perdedores, também não poderiam</w:t>
      </w:r>
      <w:proofErr w:type="gramEnd"/>
      <w:r>
        <w:rPr>
          <w:rFonts w:ascii="Times New Roman" w:hAnsi="Times New Roman"/>
        </w:rPr>
        <w:t xml:space="preserve"> ter sido computados.</w:t>
      </w:r>
    </w:p>
    <w:p w14:paraId="7C656B79" w14:textId="77777777" w:rsidR="00FF7D14" w:rsidRDefault="00FF7D14" w:rsidP="00F415D7">
      <w:pPr>
        <w:pStyle w:val="Standard"/>
        <w:spacing w:line="360" w:lineRule="auto"/>
        <w:jc w:val="both"/>
        <w:rPr>
          <w:rFonts w:ascii="Times New Roman" w:hAnsi="Times New Roman"/>
        </w:rPr>
      </w:pPr>
    </w:p>
    <w:p w14:paraId="59D8FB3D" w14:textId="204212E4" w:rsidR="00FF7D14" w:rsidRDefault="00FF7D14" w:rsidP="00FC4195">
      <w:pPr>
        <w:pStyle w:val="Standard"/>
        <w:spacing w:line="360" w:lineRule="auto"/>
        <w:jc w:val="both"/>
        <w:rPr>
          <w:rFonts w:hint="eastAsia"/>
        </w:rPr>
      </w:pPr>
      <w:bookmarkStart w:id="4" w:name="result_box3"/>
      <w:bookmarkEnd w:id="4"/>
      <w:r>
        <w:rPr>
          <w:rFonts w:ascii="Times New Roman" w:hAnsi="Times New Roman"/>
          <w:b/>
          <w:bCs/>
          <w:lang w:val="pt-PT"/>
        </w:rPr>
        <w:t>A regra da maioria não é nem mesmo o que se pretende: raramente significa literalmente a maioria das pessoas</w:t>
      </w:r>
      <w:r>
        <w:rPr>
          <w:rFonts w:ascii="Times New Roman" w:hAnsi="Times New Roman"/>
          <w:lang w:val="pt-PT"/>
        </w:rPr>
        <w:t xml:space="preserve"> (Spitz, 1982: 3)</w:t>
      </w:r>
    </w:p>
    <w:p w14:paraId="742B3DC8" w14:textId="77777777" w:rsidR="00FF7D14" w:rsidRDefault="00FF7D14" w:rsidP="00F415D7">
      <w:pPr>
        <w:pStyle w:val="Standard"/>
        <w:spacing w:line="360" w:lineRule="auto"/>
        <w:jc w:val="both"/>
        <w:rPr>
          <w:rFonts w:hint="eastAsia"/>
        </w:rPr>
      </w:pPr>
      <w:r>
        <w:rPr>
          <w:rFonts w:ascii="Times New Roman" w:hAnsi="Times New Roman"/>
        </w:rPr>
        <w:br/>
      </w:r>
      <w:r>
        <w:rPr>
          <w:rFonts w:ascii="Times New Roman" w:hAnsi="Times New Roman"/>
        </w:rPr>
        <w:tab/>
        <w:t>Muitas pessoas (como crianças, estrangeiros, lunáticos, sem-teto e criminosos) em todos os cantos têm negado seu direito de voto. Os privados dos direitos nunca são muito menos do que a maioria, e às vezes são a maioria. E uma vez que raramente acontece que cada um dos eleitores elegíveis vota todas as vezes, geralmente a maioria resultante de uma maioria significa pluralismo (Barclay, 1982: 118; Linder, 2010: 110; Mill, 1951: 346</w:t>
      </w:r>
      <w:r>
        <w:t>–347)</w:t>
      </w:r>
      <w:r>
        <w:rPr>
          <w:rFonts w:ascii="Times New Roman" w:hAnsi="Times New Roman"/>
        </w:rPr>
        <w:t>, em outras palavras, a regra da minoria momentaneamente maior, que pode ser bastante pequena. A maioria da maioria é muitas vezes uma minoria, e a maioria de uma minoria é sempre uma minoria. A fim de englobar as maiorias de assembleias incoerentes, os líderes costumam exercer um poder literalmente decisivo</w:t>
      </w:r>
      <w:r>
        <w:rPr>
          <w:rStyle w:val="Refdenotaderodap"/>
          <w:rFonts w:ascii="Times New Roman" w:hAnsi="Times New Roman"/>
          <w:b/>
          <w:bCs/>
        </w:rPr>
        <w:footnoteReference w:id="8"/>
      </w:r>
      <w:r>
        <w:rPr>
          <w:rFonts w:ascii="Times New Roman" w:hAnsi="Times New Roman"/>
        </w:rPr>
        <w:t>. Sob qualquer governo possível, uma minoria governa.</w:t>
      </w:r>
    </w:p>
    <w:p w14:paraId="39EE0DB4" w14:textId="77777777" w:rsidR="00FF7D14" w:rsidRDefault="00FF7D14" w:rsidP="00F415D7">
      <w:pPr>
        <w:pStyle w:val="Standard"/>
        <w:spacing w:line="360" w:lineRule="auto"/>
        <w:jc w:val="both"/>
        <w:rPr>
          <w:rFonts w:ascii="Times New Roman" w:hAnsi="Times New Roman"/>
        </w:rPr>
      </w:pPr>
    </w:p>
    <w:p w14:paraId="7C908987" w14:textId="7D22BD21" w:rsidR="00FF7D14" w:rsidRDefault="00FF7D14" w:rsidP="00FC4195">
      <w:pPr>
        <w:pStyle w:val="Standard"/>
        <w:spacing w:line="360" w:lineRule="auto"/>
        <w:jc w:val="both"/>
        <w:rPr>
          <w:rFonts w:ascii="Times New Roman" w:hAnsi="Times New Roman"/>
          <w:b/>
          <w:bCs/>
        </w:rPr>
      </w:pPr>
      <w:bookmarkStart w:id="5" w:name="result_box4"/>
      <w:bookmarkEnd w:id="5"/>
      <w:r>
        <w:rPr>
          <w:rFonts w:ascii="Times New Roman" w:hAnsi="Times New Roman"/>
          <w:b/>
          <w:bCs/>
        </w:rPr>
        <w:t xml:space="preserve"> Seja votando por distritos eleitorais ou em assembleias populares, as decisões são arbitrárias porque os limites dos distritos determinam a composição de seus eleitores, o que determina as decisões</w:t>
      </w:r>
    </w:p>
    <w:p w14:paraId="4FF909C3" w14:textId="77777777" w:rsidR="00FF7D14" w:rsidRDefault="00FF7D14" w:rsidP="00F415D7">
      <w:pPr>
        <w:pStyle w:val="Standard"/>
        <w:jc w:val="both"/>
        <w:rPr>
          <w:rFonts w:ascii="Times New Roman" w:hAnsi="Times New Roman"/>
        </w:rPr>
      </w:pPr>
    </w:p>
    <w:p w14:paraId="1FF85249" w14:textId="77777777" w:rsidR="00FF7D14" w:rsidRDefault="00FF7D14" w:rsidP="00F415D7">
      <w:pPr>
        <w:pStyle w:val="Standard"/>
        <w:spacing w:line="360" w:lineRule="auto"/>
        <w:jc w:val="both"/>
        <w:rPr>
          <w:rFonts w:hint="eastAsia"/>
        </w:rPr>
      </w:pPr>
      <w:bookmarkStart w:id="6" w:name="result_box5"/>
      <w:bookmarkEnd w:id="6"/>
      <w:r>
        <w:rPr>
          <w:rFonts w:ascii="Times New Roman" w:hAnsi="Times New Roman"/>
        </w:rPr>
        <w:tab/>
        <w:t xml:space="preserve">Em uma democracia, “a definição do círculo eleitoral em que a contagem é tomada é uma questão de importância primordial”, mas a teoria democrática é incapaz de dizer </w:t>
      </w:r>
      <w:r>
        <w:rPr>
          <w:rFonts w:ascii="Times New Roman" w:hAnsi="Times New Roman"/>
        </w:rPr>
        <w:lastRenderedPageBreak/>
        <w:t>quem deve ser incluído em um eleitorado (Cain, 1984: 36</w:t>
      </w:r>
      <w:r>
        <w:t>–37; Dahl, 1982: 97–99; Mcconnell, 1966: 92 citado; Taylor, Peter J.; Gudgin; Johnson, 1986: 183–184)</w:t>
      </w:r>
      <w:r>
        <w:rPr>
          <w:rFonts w:ascii="Times New Roman" w:hAnsi="Times New Roman"/>
        </w:rPr>
        <w:t>. Redesenhe os limites e a maioria se torna uma minoria ou vice-versa, embora ninguém tenha mudado de ideia. Os políticos que desenham e redesenham os limites entendem isso muito bem.</w:t>
      </w:r>
    </w:p>
    <w:p w14:paraId="14798932" w14:textId="77777777" w:rsidR="00FF7D14" w:rsidRDefault="00FF7D14" w:rsidP="00F415D7">
      <w:pPr>
        <w:pStyle w:val="Standard"/>
        <w:spacing w:line="360" w:lineRule="auto"/>
        <w:jc w:val="both"/>
        <w:rPr>
          <w:rFonts w:ascii="Times New Roman" w:hAnsi="Times New Roman"/>
        </w:rPr>
      </w:pPr>
    </w:p>
    <w:p w14:paraId="1591125E" w14:textId="01ADEB7D" w:rsidR="00FF7D14" w:rsidRDefault="00FF7D14" w:rsidP="00FC4195">
      <w:pPr>
        <w:pStyle w:val="Standard"/>
        <w:spacing w:line="360" w:lineRule="auto"/>
        <w:jc w:val="both"/>
        <w:rPr>
          <w:rFonts w:ascii="Times New Roman" w:hAnsi="Times New Roman"/>
          <w:b/>
          <w:bCs/>
        </w:rPr>
      </w:pPr>
      <w:r>
        <w:rPr>
          <w:rFonts w:ascii="Times New Roman" w:hAnsi="Times New Roman"/>
          <w:b/>
          <w:bCs/>
        </w:rPr>
        <w:t xml:space="preserve"> Depois, há o paradoxo do eleitor, uma contradição técnica (mas muito real) da democracia descoberta por Condorcet antes da Revolução Francesa</w:t>
      </w:r>
    </w:p>
    <w:p w14:paraId="797A5365" w14:textId="77777777" w:rsidR="00FF7D14" w:rsidRDefault="00FF7D14" w:rsidP="00F415D7">
      <w:pPr>
        <w:pStyle w:val="Standard"/>
        <w:jc w:val="both"/>
        <w:rPr>
          <w:rFonts w:ascii="Times New Roman" w:hAnsi="Times New Roman"/>
        </w:rPr>
      </w:pPr>
      <w:r>
        <w:rPr>
          <w:rFonts w:ascii="Times New Roman" w:hAnsi="Times New Roman"/>
        </w:rPr>
        <w:tab/>
      </w:r>
    </w:p>
    <w:p w14:paraId="64DE532F" w14:textId="77777777" w:rsidR="00FF7D14" w:rsidRDefault="00FF7D14" w:rsidP="00F415D7">
      <w:pPr>
        <w:pStyle w:val="Standard"/>
        <w:spacing w:line="360" w:lineRule="auto"/>
        <w:jc w:val="both"/>
        <w:rPr>
          <w:rFonts w:hint="eastAsia"/>
        </w:rPr>
      </w:pPr>
      <w:r>
        <w:rPr>
          <w:rFonts w:ascii="Times New Roman" w:hAnsi="Times New Roman"/>
        </w:rPr>
        <w:tab/>
      </w:r>
      <w:bookmarkStart w:id="7" w:name="result_box6"/>
      <w:bookmarkEnd w:id="7"/>
      <w:r>
        <w:t>Em cada situação em que dois ou mais eleitores escolham entre três ou mais alternativas, se os eleitores escolherem consistentemente, a preferência majoritária pode ser determinada unicamente pela ordem em que as alternativas são votadas. Pode acontecer que A seja preferido em relação a B, e B seja preferido em relação a C, mas C é preferido pela maioria em relação a A (Arrow, 1963: 2–3, 94–95; Condorcet, 1994: 120–130)! Esta não é uma mera possibilidade teórica: aconteceu em votos reais.</w:t>
      </w:r>
    </w:p>
    <w:p w14:paraId="402A17E7" w14:textId="77777777" w:rsidR="00FF7D14" w:rsidRDefault="00FF7D14" w:rsidP="00F415D7">
      <w:pPr>
        <w:pStyle w:val="Standard"/>
        <w:spacing w:line="360" w:lineRule="auto"/>
        <w:jc w:val="both"/>
        <w:rPr>
          <w:rFonts w:hint="eastAsia"/>
        </w:rPr>
      </w:pPr>
      <w:r>
        <w:tab/>
        <w:t>Há, na verdade, vários desses paradoxos de votação. Sob condições ideais, a regra da maioria quase sempre produz essas ordens de preferência cíclicas. Por esta e outras razões, as várias condições de equilíbrio para a regra da maioria são incompatíveis mesmo com um grau muito modesto de heterogeneidade de preferências e, na maioria dos casos, não são significativamente menos restritivas do que a condição extrema da unanimidade completa das preferências individuais (Fishburn, 1974, para mais cinco paradoxos; Kramer, 1973: 285 citado; Nurmi, 1999; Riker; Weingast, 1988, para exemplos da vida real de maiorias cíclicas perpétuas)</w:t>
      </w:r>
      <w:r>
        <w:rPr>
          <w:rStyle w:val="Refdenotaderodap"/>
        </w:rPr>
        <w:footnoteReference w:id="9"/>
      </w:r>
      <w:r>
        <w:t>.</w:t>
      </w:r>
    </w:p>
    <w:p w14:paraId="29E3CCFD" w14:textId="77777777" w:rsidR="00FF7D14" w:rsidRDefault="00FF7D14" w:rsidP="00F415D7">
      <w:pPr>
        <w:pStyle w:val="Standard"/>
        <w:spacing w:line="360" w:lineRule="auto"/>
        <w:jc w:val="both"/>
        <w:rPr>
          <w:rFonts w:hint="eastAsia"/>
        </w:rPr>
      </w:pPr>
      <w:bookmarkStart w:id="8" w:name="result_box7"/>
      <w:bookmarkEnd w:id="8"/>
      <w:r>
        <w:tab/>
        <w:t>O que isso significa é que quem controla a agenda política controla o voto ou, pelo menos, “que fazer agendas parece tão importante como realmente passar a legislação” (Riker, 1993: 1, citado; Shapiro, 1990: 97). É conveniente que um matemático do século XIX, que escreveu sobre esse fenômeno (o qual ele chamou de “maiorias cíclicas”), seja mais conhecido por seu pseudônimo</w:t>
      </w:r>
      <w:r>
        <w:rPr>
          <w:rStyle w:val="Footnoteanchor"/>
        </w:rPr>
        <w:footnoteReference w:id="10"/>
      </w:r>
      <w:r>
        <w:t>, Lewis Carroll (Arrow, 1963: 94; Dodgson, 2001: 46–58; Wolff, Robert Paul, 1970: 59–63). Ele sentiu o absurdo com honestidade.</w:t>
      </w:r>
    </w:p>
    <w:p w14:paraId="233BD81C" w14:textId="77777777" w:rsidR="00FF7D14" w:rsidRDefault="00FF7D14" w:rsidP="00F415D7">
      <w:pPr>
        <w:pStyle w:val="Standard"/>
        <w:spacing w:line="360" w:lineRule="auto"/>
        <w:jc w:val="both"/>
        <w:rPr>
          <w:rFonts w:hint="eastAsia"/>
        </w:rPr>
      </w:pPr>
    </w:p>
    <w:p w14:paraId="49DE679D" w14:textId="3CD14E72" w:rsidR="00FF7D14" w:rsidRDefault="00FF7D14" w:rsidP="00FC4195">
      <w:pPr>
        <w:pStyle w:val="Standard"/>
        <w:spacing w:line="360" w:lineRule="auto"/>
        <w:jc w:val="both"/>
        <w:rPr>
          <w:rFonts w:hint="eastAsia"/>
          <w:b/>
          <w:bCs/>
        </w:rPr>
      </w:pPr>
      <w:bookmarkStart w:id="9" w:name="result_box8"/>
      <w:bookmarkEnd w:id="9"/>
      <w:r>
        <w:rPr>
          <w:b/>
          <w:bCs/>
        </w:rPr>
        <w:t>Outro método bem conhecido para frustrar a regra da maioria com a votação é a troca de favores políticos</w:t>
      </w:r>
    </w:p>
    <w:p w14:paraId="7439C9C6" w14:textId="77777777" w:rsidR="00FF7D14" w:rsidRDefault="00FF7D14" w:rsidP="00F415D7">
      <w:pPr>
        <w:pStyle w:val="Standard"/>
        <w:jc w:val="both"/>
        <w:rPr>
          <w:rFonts w:hint="eastAsia"/>
          <w:b/>
          <w:bCs/>
          <w:lang w:val="pt-PT"/>
        </w:rPr>
      </w:pPr>
    </w:p>
    <w:p w14:paraId="67FEA5AA" w14:textId="77777777" w:rsidR="00FF7D14" w:rsidRDefault="00FF7D14" w:rsidP="00F415D7">
      <w:pPr>
        <w:pStyle w:val="Standard"/>
        <w:spacing w:line="360" w:lineRule="auto"/>
        <w:jc w:val="both"/>
        <w:rPr>
          <w:rFonts w:hint="eastAsia"/>
        </w:rPr>
      </w:pPr>
      <w:r>
        <w:rPr>
          <w:b/>
          <w:bCs/>
        </w:rPr>
        <w:tab/>
      </w:r>
      <w:bookmarkStart w:id="10" w:name="result_box9"/>
      <w:bookmarkEnd w:id="10"/>
      <w:r>
        <w:rPr>
          <w:i/>
          <w:iCs/>
        </w:rPr>
        <w:t>Logrolling</w:t>
      </w:r>
      <w:r>
        <w:t xml:space="preserve"> é uma troca de votos entre facções. Cada grupo vota para a medida do outro grupo, uma medida que de outra forma seria derrotada porque cada grupo faz parte da minoria. (Observe que isso não é um compromisso porque as medidas não estão relacionadas (Buchanan; Tullock, 1962: 132–133; Burnheim, 1985: 6; Mcconnell, 1966: 111–112). As facções não estão dividindo a diferença). Em certo sentido, a troca de favores facilita algum alojamento da urgência das preferências, uma vez que uma facção só troca seus votos por votos que ele mais valoriza – mas o faz por suborno e em detrimento da democracia deliberativa. Nenhuma maioria realmente aprova qualquer medida promulgada por troca de favores, uma vez que, se assim o fosse, não haveria necessidade da troca. E aqueles cujos votos são desnecessários podem ser excluídos do processo da troca de favores (Gillette, 1987: 959; Noonan, 1984: 580)</w:t>
      </w:r>
      <w:r>
        <w:rPr>
          <w:rStyle w:val="Refdenotaderodap"/>
        </w:rPr>
        <w:footnoteReference w:id="11"/>
      </w:r>
      <w:r>
        <w:t>. A prática é comum às democracias representativas e diretas</w:t>
      </w:r>
      <w:r>
        <w:rPr>
          <w:rStyle w:val="Refdenotaderodap"/>
        </w:rPr>
        <w:footnoteReference w:id="12"/>
      </w:r>
      <w:r>
        <w:t>.</w:t>
      </w:r>
    </w:p>
    <w:p w14:paraId="2F266AF6" w14:textId="77777777" w:rsidR="00FF7D14" w:rsidRDefault="00FF7D14" w:rsidP="00F415D7">
      <w:pPr>
        <w:pStyle w:val="Standard"/>
        <w:spacing w:line="360" w:lineRule="auto"/>
        <w:jc w:val="both"/>
        <w:rPr>
          <w:rFonts w:hint="eastAsia"/>
          <w:lang w:val="pt-PT"/>
        </w:rPr>
      </w:pPr>
    </w:p>
    <w:p w14:paraId="6FE23109" w14:textId="5E6E162E" w:rsidR="00FF7D14" w:rsidRDefault="00FF7D14" w:rsidP="00FC4195">
      <w:pPr>
        <w:pStyle w:val="Standard"/>
        <w:spacing w:line="360" w:lineRule="auto"/>
        <w:jc w:val="both"/>
        <w:rPr>
          <w:rFonts w:hint="eastAsia"/>
          <w:b/>
          <w:bCs/>
        </w:rPr>
      </w:pPr>
      <w:r>
        <w:rPr>
          <w:b/>
          <w:bCs/>
        </w:rPr>
        <w:t xml:space="preserve"> No caso improvável de um corpo legislativo evitar a troca de favores, ele pode sucumbir a uma paralisia do governo</w:t>
      </w:r>
    </w:p>
    <w:p w14:paraId="53802605" w14:textId="77777777" w:rsidR="00FF7D14" w:rsidRDefault="00FF7D14" w:rsidP="00F415D7">
      <w:pPr>
        <w:pStyle w:val="Standard"/>
        <w:jc w:val="both"/>
        <w:rPr>
          <w:rFonts w:ascii="Times New Roman" w:hAnsi="Times New Roman"/>
        </w:rPr>
      </w:pPr>
    </w:p>
    <w:p w14:paraId="763F827A" w14:textId="77777777" w:rsidR="00FF7D14" w:rsidRDefault="00FF7D14" w:rsidP="00F415D7">
      <w:pPr>
        <w:pStyle w:val="Standard"/>
        <w:spacing w:line="360" w:lineRule="auto"/>
        <w:jc w:val="both"/>
        <w:rPr>
          <w:rFonts w:hint="eastAsia"/>
        </w:rPr>
      </w:pPr>
      <w:r>
        <w:rPr>
          <w:rFonts w:ascii="Times New Roman" w:hAnsi="Times New Roman"/>
        </w:rPr>
        <w:tab/>
        <w:t xml:space="preserve">Considere uma questão política típica, como a construção de uma rodovia (uma usina de energia ou um depósito de lixo podem ser exemplos ainda melhores). Todo mundo quer uma estrada, mas ninguém a quer em seu quintal. Se três grupos quiserem uma estrada – mas não em seus quintais, obrigado – eles vão se orgulhar de tocar o projeto </w:t>
      </w:r>
      <w:r>
        <w:rPr>
          <w:rFonts w:ascii="Times New Roman" w:hAnsi="Times New Roman"/>
        </w:rPr>
        <w:lastRenderedPageBreak/>
        <w:t>(Rescher, 1999). A estrada que todos querem em algum lugar não será construída em qualquer lugar. Isso é um resultado ainda pior do que com a troca de favores, onde pelo menos a estrada é construída em algum lugar, e pode ser útil para alguém. Não é fácil dizer o que é pior, uma democracia que não governa, ou uma democracia que governa, de fato.</w:t>
      </w:r>
    </w:p>
    <w:p w14:paraId="7D7D7B67" w14:textId="77777777" w:rsidR="00FF7D14" w:rsidRDefault="00FF7D14" w:rsidP="00F415D7">
      <w:pPr>
        <w:pStyle w:val="Standard"/>
        <w:spacing w:line="360" w:lineRule="auto"/>
        <w:jc w:val="both"/>
        <w:rPr>
          <w:rFonts w:ascii="Times New Roman" w:hAnsi="Times New Roman"/>
        </w:rPr>
      </w:pPr>
    </w:p>
    <w:p w14:paraId="51F40CA3" w14:textId="5016C8F3" w:rsidR="00FF7D14" w:rsidRDefault="00FF7D14" w:rsidP="00B22644">
      <w:pPr>
        <w:pStyle w:val="Standard"/>
        <w:spacing w:line="360" w:lineRule="auto"/>
        <w:jc w:val="both"/>
        <w:rPr>
          <w:rFonts w:ascii="Times New Roman" w:hAnsi="Times New Roman"/>
          <w:b/>
          <w:bCs/>
          <w:lang w:val="pt-PT"/>
        </w:rPr>
      </w:pPr>
      <w:bookmarkStart w:id="11" w:name="result_box11"/>
      <w:bookmarkEnd w:id="11"/>
      <w:r>
        <w:rPr>
          <w:rFonts w:ascii="Times New Roman" w:hAnsi="Times New Roman"/>
          <w:b/>
          <w:bCs/>
          <w:lang w:val="pt-PT"/>
        </w:rPr>
        <w:t xml:space="preserve"> A democracia, especialmente a democracia direta, promove sentimentos desarmoniosos e anti-sociais</w:t>
      </w:r>
    </w:p>
    <w:p w14:paraId="1A95AA8D" w14:textId="77777777" w:rsidR="00FF7D14" w:rsidRDefault="00FF7D14" w:rsidP="00F415D7">
      <w:pPr>
        <w:pStyle w:val="Standard"/>
        <w:jc w:val="both"/>
        <w:rPr>
          <w:rFonts w:ascii="Times New Roman" w:hAnsi="Times New Roman"/>
        </w:rPr>
      </w:pPr>
    </w:p>
    <w:p w14:paraId="7ABC94D2" w14:textId="77777777" w:rsidR="00FF7D14" w:rsidRDefault="00FF7D14" w:rsidP="00F415D7">
      <w:pPr>
        <w:pStyle w:val="Standard"/>
        <w:spacing w:line="360" w:lineRule="auto"/>
        <w:jc w:val="both"/>
        <w:rPr>
          <w:rFonts w:hint="eastAsia"/>
        </w:rPr>
      </w:pPr>
      <w:r>
        <w:rPr>
          <w:rFonts w:ascii="Times New Roman" w:hAnsi="Times New Roman"/>
        </w:rPr>
        <w:tab/>
      </w:r>
      <w:bookmarkStart w:id="12" w:name="result_box12"/>
      <w:bookmarkEnd w:id="12"/>
      <w:r>
        <w:t xml:space="preserve">A psicologia da </w:t>
      </w:r>
      <w:r>
        <w:rPr>
          <w:i/>
          <w:iCs/>
        </w:rPr>
        <w:t>ekklesia</w:t>
      </w:r>
      <w:r>
        <w:t xml:space="preserve"> (assembleia) é a psicologia da ágora (feira</w:t>
      </w:r>
      <w:r>
        <w:rPr>
          <w:rStyle w:val="Refdenotaderodap"/>
        </w:rPr>
        <w:footnoteReference w:id="13"/>
      </w:r>
      <w:r>
        <w:t>): “Os eleitores e os clientes são essencialmente as mesmas pessoas. O Sr. Smith compra e vota; ele é o mesmo homem no supermercado e na cabine de votação” (Tullock, 1976: 5)</w:t>
      </w:r>
      <w:r>
        <w:rPr>
          <w:rStyle w:val="Refdenotaderodap"/>
        </w:rPr>
        <w:footnoteReference w:id="14"/>
      </w:r>
      <w:r>
        <w:t>. O capitalismo e a democracia passaram a dominar como objetivos da mesma classe, a burguesia. Juntos, eles fizeram um mundo comum de individualismo egoísta - uma arena de competição, não um campo de cooperação. A democracia, como litígio, é um método de decisão conflituoso: “A regra da maioria pertence a uma teoria do combate na política. É uma disputa entre as forças opostas, e o resultado é a vitória de um lado e a derrota para o outro”. Na verdade, como observou Georg Simmel, a regra da maioria é realmente a equivalente substituta da força (Simmel, 1950: 241–242). “Aceitamos tentar a força contando cabeças em vez de quebrar as cabeças. A minoria cede não porque está convencida de que é errada, mas porque está convencida de que é uma minoria” (Stephen, 1991: 70). Ter que enfrentar, literalmente, um adversário publicamente pode provocar agressões, raiva e sentimentos competitivos (Mansbridge, 1980: 273; Spitz, 1982: 192)</w:t>
      </w:r>
      <w:r>
        <w:rPr>
          <w:rStyle w:val="Refdenotaderodap"/>
          <w:b/>
          <w:bCs/>
        </w:rPr>
        <w:footnoteReference w:id="15"/>
      </w:r>
      <w:r>
        <w:t>.</w:t>
      </w:r>
    </w:p>
    <w:p w14:paraId="2FA645EF" w14:textId="77777777" w:rsidR="00FF7D14" w:rsidRPr="00EC6E01" w:rsidRDefault="00FF7D14" w:rsidP="00F415D7">
      <w:pPr>
        <w:pStyle w:val="Standard"/>
        <w:spacing w:line="360" w:lineRule="auto"/>
        <w:jc w:val="both"/>
        <w:rPr>
          <w:rFonts w:hint="eastAsia"/>
        </w:rPr>
      </w:pPr>
      <w:r>
        <w:tab/>
      </w:r>
      <w:bookmarkStart w:id="13" w:name="result_box13"/>
      <w:bookmarkEnd w:id="13"/>
      <w:r>
        <w:t xml:space="preserve">Em um sistema onde o vencedor leva tudo, não há incentivo para compensar ou conciliar minorias derrotadas, que foram informadas, de fato, que não só eles não devem </w:t>
      </w:r>
      <w:r>
        <w:lastRenderedPageBreak/>
        <w:t>seguir seu caminho, como também são estigmatizadas como erradas. A maioria inexplicável é arrogante; a minoria derrotada é ressentida</w:t>
      </w:r>
      <w:r>
        <w:rPr>
          <w:rStyle w:val="Refdenotaderodap"/>
        </w:rPr>
        <w:footnoteReference w:id="16"/>
      </w:r>
      <w:r>
        <w:t xml:space="preserve">. O voto coercivo promove a polarização e endurece as posições. A deliberação “pode trazer diferenças para </w:t>
      </w:r>
      <w:proofErr w:type="gramStart"/>
      <w:r>
        <w:t>a</w:t>
      </w:r>
      <w:proofErr w:type="gramEnd"/>
      <w:r>
        <w:t xml:space="preserve"> tona, ampliando-as em vez de diminuí-las” (Shapiro, 2002: 198–199). Estas consequências, silenciadas em sistemas de larga escala, com voto secreto em eleições não muito frequentes, são acentuadas na combinação comunal imaginada de pequenos eleitorados, eleições extremamente frequentes e votação pública. Os cidadãos levarão suas animosidades e úlceras para casa e as demonstrarão na vida cotidiana. As eleições são indesejáveis em todos os lugares, mas em nenhum outro lugar elas seriam mais destrutivas para a comunidade do que em assembleias face a face e em bairros/vizinhanças.</w:t>
      </w:r>
    </w:p>
    <w:p w14:paraId="18D5AF3A" w14:textId="77777777" w:rsidR="00FF7D14" w:rsidRDefault="00FF7D14" w:rsidP="00F415D7">
      <w:pPr>
        <w:pStyle w:val="Standard"/>
        <w:jc w:val="both"/>
        <w:rPr>
          <w:rFonts w:hint="eastAsia"/>
          <w:b/>
          <w:bCs/>
        </w:rPr>
      </w:pPr>
    </w:p>
    <w:p w14:paraId="58B00FE6" w14:textId="399D6BE0" w:rsidR="00FF7D14" w:rsidRDefault="00FF7D14" w:rsidP="00B22644">
      <w:pPr>
        <w:pStyle w:val="Standard"/>
        <w:spacing w:line="360" w:lineRule="auto"/>
        <w:jc w:val="both"/>
        <w:rPr>
          <w:rFonts w:hint="eastAsia"/>
          <w:b/>
          <w:bCs/>
        </w:rPr>
      </w:pPr>
      <w:r>
        <w:rPr>
          <w:b/>
          <w:bCs/>
        </w:rPr>
        <w:t>Outra fonte de irresponsabilidade das maiorias, e indignação das minorias, é a frivolidade sentida de votar seu elemento de chance e arbitrariedade</w:t>
      </w:r>
    </w:p>
    <w:p w14:paraId="755EBD7F" w14:textId="77777777" w:rsidR="00FF7D14" w:rsidRDefault="00FF7D14" w:rsidP="00F415D7">
      <w:pPr>
        <w:pStyle w:val="Standard"/>
        <w:jc w:val="both"/>
        <w:rPr>
          <w:rFonts w:ascii="Times New Roman" w:hAnsi="Times New Roman"/>
        </w:rPr>
      </w:pPr>
    </w:p>
    <w:p w14:paraId="4E98B443" w14:textId="77777777" w:rsidR="00FF7D14" w:rsidRDefault="00FF7D14" w:rsidP="00F415D7">
      <w:pPr>
        <w:pStyle w:val="Standard"/>
        <w:spacing w:line="360" w:lineRule="auto"/>
        <w:jc w:val="both"/>
        <w:rPr>
          <w:rFonts w:hint="eastAsia"/>
        </w:rPr>
      </w:pPr>
      <w:r>
        <w:rPr>
          <w:rFonts w:ascii="Times New Roman" w:hAnsi="Times New Roman"/>
        </w:rPr>
        <w:tab/>
        <w:t xml:space="preserve">Como Thoreau (citado por Emma Goldman) coloca, “Toda votação é uma espécie de jogo, como o jogo de damas ou gamão, com um leve toque moral, um jogo com certo e errado, com questões morais; e as apostas naturalmente acompanham isso.” (Thoreau, </w:t>
      </w:r>
      <w:r>
        <w:t>“Civil Disobidience”, p. 226 apud Goldman, 1972a: 60; Waldron, 1999: 126–127)</w:t>
      </w:r>
      <w:r>
        <w:rPr>
          <w:rFonts w:ascii="Times New Roman" w:hAnsi="Times New Roman"/>
        </w:rPr>
        <w:t>. A regra da maioria é a roleta da maioria. A popularidade das assembleias estudantis e do modelo das Nações Unidas confirma que há um elemento lúdico e envolvente na tomada de decisão deliberativa, qual seja independente de suas consequências. Este é um interesse que os delegados compartilham entre si, mas não com seus constituintes. A votação é uma competição, oficialmente organizada pela maioria, algumas vezes com altas apostas. Na medida em que os cidadãos reunidos estão jogando uns com os outros, ou que o ganhar por si só (ou pelo modo como você joga o jogo) desempenha qualquer papel em sua motivação, a qualidade da tomada de decisão é reduzida ainda mais, e a humilhação da submissão ao governo da maioria é muito aprofundada.</w:t>
      </w:r>
    </w:p>
    <w:p w14:paraId="53484362" w14:textId="77777777" w:rsidR="00FF7D14" w:rsidRDefault="00FF7D14" w:rsidP="00F415D7">
      <w:pPr>
        <w:pStyle w:val="Standard"/>
        <w:spacing w:line="360" w:lineRule="auto"/>
        <w:jc w:val="both"/>
        <w:rPr>
          <w:rFonts w:ascii="Times New Roman" w:hAnsi="Times New Roman"/>
        </w:rPr>
      </w:pPr>
    </w:p>
    <w:p w14:paraId="164DE6AA" w14:textId="5E6B925C" w:rsidR="00FF7D14" w:rsidRDefault="00FF7D14" w:rsidP="00B22644">
      <w:pPr>
        <w:pStyle w:val="Standard"/>
        <w:spacing w:line="360" w:lineRule="auto"/>
        <w:jc w:val="both"/>
        <w:rPr>
          <w:rFonts w:ascii="Times New Roman" w:hAnsi="Times New Roman"/>
          <w:b/>
          <w:bCs/>
        </w:rPr>
      </w:pPr>
      <w:r>
        <w:rPr>
          <w:rFonts w:ascii="Times New Roman" w:hAnsi="Times New Roman"/>
          <w:b/>
          <w:bCs/>
        </w:rPr>
        <w:t xml:space="preserve"> Sob a democracia representativa com os distritos eleitorais, o desajuste – a criação de distritos com populações desiguais – é possível e, mesmo que sejam iguais, a </w:t>
      </w:r>
      <w:r>
        <w:rPr>
          <w:rFonts w:ascii="Times New Roman" w:hAnsi="Times New Roman"/>
          <w:b/>
          <w:bCs/>
        </w:rPr>
        <w:lastRenderedPageBreak/>
        <w:t>manipulação dos limites (de um eleitorado) de modo a favorecer um partido ou classe é quase inevitável</w:t>
      </w:r>
    </w:p>
    <w:p w14:paraId="4596B5FD" w14:textId="77777777" w:rsidR="00FF7D14" w:rsidRDefault="00FF7D14" w:rsidP="00F415D7">
      <w:pPr>
        <w:pStyle w:val="Standard"/>
        <w:jc w:val="both"/>
        <w:rPr>
          <w:rFonts w:ascii="Times New Roman" w:hAnsi="Times New Roman"/>
        </w:rPr>
      </w:pPr>
    </w:p>
    <w:p w14:paraId="41D08786" w14:textId="77777777" w:rsidR="00FF7D14" w:rsidRDefault="00FF7D14" w:rsidP="00F415D7">
      <w:pPr>
        <w:pStyle w:val="Standard"/>
        <w:spacing w:line="360" w:lineRule="auto"/>
        <w:jc w:val="both"/>
        <w:rPr>
          <w:rFonts w:hint="eastAsia"/>
        </w:rPr>
      </w:pPr>
      <w:r>
        <w:rPr>
          <w:rFonts w:ascii="Times New Roman" w:hAnsi="Times New Roman"/>
        </w:rPr>
        <w:tab/>
        <w:t>Os democratas modernos concordam com H.L. Mencken que “deve ficar claro que uma comunidade cujos votos, homem a homem, contam apenas pela metade dos votos de outra comunidade, é uma comunidade em que metade dos cidadãos é, para todas as intenções práticas, incapacitada de votar como um todo” (Dahl, 1982: 83</w:t>
      </w:r>
      <w:r>
        <w:t>–84; Mencken, 1926: 86, citado)</w:t>
      </w:r>
      <w:r>
        <w:rPr>
          <w:rFonts w:ascii="Times New Roman" w:hAnsi="Times New Roman"/>
        </w:rPr>
        <w:t xml:space="preserve">. Mesmo que, como ocorre atualmente nos Estados Unidos, os distritos devam ser quase iguais em população, o </w:t>
      </w:r>
      <w:r>
        <w:rPr>
          <w:rFonts w:ascii="Times New Roman" w:hAnsi="Times New Roman"/>
          <w:i/>
          <w:iCs/>
        </w:rPr>
        <w:t>gerrymandering</w:t>
      </w:r>
      <w:r>
        <w:rPr>
          <w:rStyle w:val="Refdenotaderodap"/>
        </w:rPr>
        <w:footnoteReference w:id="17"/>
      </w:r>
      <w:r>
        <w:rPr>
          <w:rFonts w:ascii="Times New Roman" w:hAnsi="Times New Roman"/>
        </w:rPr>
        <w:t xml:space="preserve"> – o desenho de fronteiras de modo a favorecer algum candidato ou partido – é uma tentação permanente. Especialmente desde que os encarregados fazem tal desenho. Usando a mais recente tecnologia libertadora – o computador – é fácil conceber distritos enviesados ainda que matematicamente iguais.</w:t>
      </w:r>
    </w:p>
    <w:p w14:paraId="77EBE6A2" w14:textId="77777777" w:rsidR="00FF7D14" w:rsidRDefault="00FF7D14" w:rsidP="00F415D7">
      <w:pPr>
        <w:pStyle w:val="Standard"/>
        <w:jc w:val="both"/>
        <w:rPr>
          <w:rFonts w:ascii="Times New Roman" w:hAnsi="Times New Roman"/>
        </w:rPr>
      </w:pPr>
    </w:p>
    <w:p w14:paraId="2FFBD594" w14:textId="77777777" w:rsidR="001675AF" w:rsidRDefault="001675AF" w:rsidP="00FC4195">
      <w:pPr>
        <w:pStyle w:val="Standard"/>
        <w:spacing w:line="360" w:lineRule="auto"/>
        <w:jc w:val="both"/>
        <w:rPr>
          <w:rFonts w:ascii="Times New Roman" w:hAnsi="Times New Roman"/>
          <w:b/>
          <w:bCs/>
        </w:rPr>
      </w:pPr>
    </w:p>
    <w:p w14:paraId="6B3D6B00" w14:textId="0640CE3A" w:rsidR="00FF7D14" w:rsidRDefault="00FF7D14" w:rsidP="00FC4195">
      <w:pPr>
        <w:pStyle w:val="Standard"/>
        <w:spacing w:line="360" w:lineRule="auto"/>
        <w:jc w:val="both"/>
        <w:rPr>
          <w:rFonts w:ascii="Times New Roman" w:hAnsi="Times New Roman"/>
          <w:b/>
          <w:bCs/>
        </w:rPr>
      </w:pPr>
      <w:r>
        <w:rPr>
          <w:rFonts w:ascii="Times New Roman" w:hAnsi="Times New Roman"/>
          <w:b/>
          <w:bCs/>
        </w:rPr>
        <w:t>A democracia direta, tentando evitar esse mal, abraça o federalismo, este que aumenta a desigualdade</w:t>
      </w:r>
    </w:p>
    <w:p w14:paraId="2E3ECFD8" w14:textId="77777777" w:rsidR="00FF7D14" w:rsidRDefault="00FF7D14" w:rsidP="00F415D7">
      <w:pPr>
        <w:pStyle w:val="Standard"/>
        <w:jc w:val="both"/>
        <w:rPr>
          <w:rFonts w:ascii="Times New Roman" w:hAnsi="Times New Roman"/>
        </w:rPr>
      </w:pPr>
    </w:p>
    <w:p w14:paraId="3AB85A3A" w14:textId="77777777" w:rsidR="00FF7D14" w:rsidRDefault="00FF7D14" w:rsidP="00F415D7">
      <w:pPr>
        <w:pStyle w:val="Standard"/>
        <w:spacing w:line="360" w:lineRule="auto"/>
        <w:jc w:val="both"/>
        <w:rPr>
          <w:rFonts w:hint="eastAsia"/>
        </w:rPr>
      </w:pPr>
      <w:r>
        <w:rPr>
          <w:rFonts w:ascii="Times New Roman" w:hAnsi="Times New Roman"/>
        </w:rPr>
        <w:tab/>
        <w:t xml:space="preserve">Se a vizinhança ou as unidades básicas face a face fossem autárquicas – autogovernadas e autossuficientes – não seria da conta de ninguém, apenas da comunidade, quais e quantas pessoas seriam incluídas. Eles poderiam ir para o inferno à sua própria maneira. Mas os desenhos de democracia direta tipicamente exigem um sistema federal com camadas de delegados “obrigatórios e revogáveis, responsáveis pela base”, pelas quais as decisões das assembleias são reconciliadas. Alguns delegados dos níveis mais altos potencialmente falam por um diferente número de cidadãos do que outros delegados, ainda que votem em igualdade. Em um sistema federal de unidades de população numericamente desigual, a igualdade de votos para as unidades significa a desigualdade de voto para os indivíduos. O sistema federalista – mas de um único membro – de pluralidade simples, evidentemente contemplado pela maioria dos democratas </w:t>
      </w:r>
      <w:r>
        <w:rPr>
          <w:rFonts w:ascii="Times New Roman" w:hAnsi="Times New Roman"/>
        </w:rPr>
        <w:lastRenderedPageBreak/>
        <w:t>diretos, incluindo os sindicalistas, é o menos proporcional de todos os sistemas de votação (Burch, 2003).</w:t>
      </w:r>
    </w:p>
    <w:p w14:paraId="4D6A24DB" w14:textId="77777777" w:rsidR="00FF7D14" w:rsidRDefault="00FF7D14" w:rsidP="00F415D7">
      <w:pPr>
        <w:pStyle w:val="Standard"/>
        <w:spacing w:line="360" w:lineRule="auto"/>
        <w:jc w:val="both"/>
        <w:rPr>
          <w:rFonts w:hint="eastAsia"/>
        </w:rPr>
      </w:pPr>
      <w:r>
        <w:rPr>
          <w:rFonts w:ascii="Times New Roman" w:hAnsi="Times New Roman"/>
        </w:rPr>
        <w:tab/>
        <w:t>A desigualdade será composta em todos os níveis superiores. A maioria; a maioria da maioria; a maioria da maioria da maioria – quanto mais alto você for, maior será a desigualdade. Quanto mais vezes você multiplicar por uma fração, menor será o número a que você chega. “Não é possível”, diz-se, “encontrar uma resposta geral para a questão de até que ponto o federalismo pode ser legitimamente concedido para superar a democracia” (Linder, 2010: 84)</w:t>
      </w:r>
      <w:r>
        <w:rPr>
          <w:rStyle w:val="Refdenotaderodap"/>
          <w:rFonts w:ascii="Times New Roman" w:hAnsi="Times New Roman"/>
          <w:b/>
          <w:bCs/>
        </w:rPr>
        <w:footnoteReference w:id="18"/>
      </w:r>
      <w:r>
        <w:rPr>
          <w:rFonts w:ascii="Times New Roman" w:hAnsi="Times New Roman"/>
        </w:rPr>
        <w:t>. Na verdade, há uma resposta geral à questão. A resposta é não. Um defensor da democrata direta que afirma que um sistema confederado abrangente produz decisões majoritárias afirma o impossível como um ato de fé (e.g. Bookchin, 1999: 314).</w:t>
      </w:r>
    </w:p>
    <w:p w14:paraId="7C14D1D4" w14:textId="77777777" w:rsidR="00FF7D14" w:rsidRDefault="00FF7D14" w:rsidP="00FC4195">
      <w:pPr>
        <w:pStyle w:val="Standard"/>
        <w:spacing w:line="360" w:lineRule="auto"/>
        <w:jc w:val="both"/>
        <w:rPr>
          <w:rFonts w:ascii="Times New Roman" w:hAnsi="Times New Roman"/>
        </w:rPr>
      </w:pPr>
    </w:p>
    <w:p w14:paraId="45C29DEA" w14:textId="53162A32" w:rsidR="00FF7D14" w:rsidRDefault="00FF7D14" w:rsidP="00FC4195">
      <w:pPr>
        <w:pStyle w:val="Standard"/>
        <w:spacing w:line="360" w:lineRule="auto"/>
        <w:jc w:val="both"/>
        <w:rPr>
          <w:rFonts w:hint="eastAsia"/>
        </w:rPr>
      </w:pPr>
      <w:r>
        <w:rPr>
          <w:rFonts w:ascii="Times New Roman" w:hAnsi="Times New Roman"/>
          <w:b/>
          <w:bCs/>
        </w:rPr>
        <w:t xml:space="preserve"> A democracia direta, em um grau ainda maior do que a democracia representativa, encoraja a tomada de decisão emocional e irracional</w:t>
      </w:r>
      <w:r>
        <w:rPr>
          <w:rStyle w:val="Refdenotaderodap"/>
          <w:rFonts w:ascii="Times New Roman" w:hAnsi="Times New Roman"/>
          <w:b/>
          <w:bCs/>
        </w:rPr>
        <w:footnoteReference w:id="19"/>
      </w:r>
    </w:p>
    <w:p w14:paraId="5630E310" w14:textId="77777777" w:rsidR="00FF7D14" w:rsidRDefault="00FF7D14" w:rsidP="00F415D7">
      <w:pPr>
        <w:pStyle w:val="Standard"/>
        <w:jc w:val="both"/>
        <w:rPr>
          <w:rFonts w:ascii="Times New Roman" w:hAnsi="Times New Roman"/>
          <w:b/>
          <w:bCs/>
        </w:rPr>
      </w:pPr>
    </w:p>
    <w:p w14:paraId="2C83BA79" w14:textId="77777777" w:rsidR="00FF7D14" w:rsidRDefault="00FF7D14" w:rsidP="00F415D7">
      <w:pPr>
        <w:pStyle w:val="Standard"/>
        <w:spacing w:line="360" w:lineRule="auto"/>
        <w:jc w:val="both"/>
        <w:rPr>
          <w:rFonts w:hint="eastAsia"/>
        </w:rPr>
      </w:pPr>
      <w:r>
        <w:rPr>
          <w:rFonts w:ascii="Times New Roman" w:hAnsi="Times New Roman"/>
        </w:rPr>
        <w:tab/>
        <w:t>O contexto face a face da política de assembleia engendra fortes influências psicológicas interpessoais que são, na melhor das hipóteses, alheias à tomada de decisão sobre os méritos. A multidão é suscetível a oradores e estrelas, e intolerante à contradição (Michels, 1962: 64-98</w:t>
      </w:r>
      <w:r>
        <w:t>–102)</w:t>
      </w:r>
      <w:r>
        <w:rPr>
          <w:rStyle w:val="Refdenotaderodap"/>
        </w:rPr>
        <w:footnoteReference w:id="20"/>
      </w:r>
      <w:r>
        <w:rPr>
          <w:rFonts w:ascii="Times New Roman" w:hAnsi="Times New Roman"/>
        </w:rPr>
        <w:t>. Os oradores, no tempo limitado que lhes é atribuído, tendem a sacrificar o raciocínio à persuasão sempre que têm que escolher, se quiserem vencer. Como Hobbes escreveu, os oradores não partem de princípios verdadeiros, mas de</w:t>
      </w:r>
    </w:p>
    <w:p w14:paraId="54958FBE" w14:textId="77777777" w:rsidR="00FF7D14" w:rsidRDefault="00FF7D14" w:rsidP="00C71A0A">
      <w:pPr>
        <w:pStyle w:val="Standard"/>
        <w:ind w:left="1416"/>
        <w:jc w:val="both"/>
        <w:rPr>
          <w:rFonts w:hint="eastAsia"/>
        </w:rPr>
      </w:pPr>
      <w:r>
        <w:rPr>
          <w:rFonts w:ascii="Times New Roman" w:hAnsi="Times New Roman"/>
          <w:sz w:val="22"/>
          <w:szCs w:val="22"/>
        </w:rPr>
        <w:t>opiniões comumente aceitas, que em sua maioria são geralmente falsas, e não tentam fazer com que seu discurso corresponda à natureza das coisas, mas às paixões dos corações dos homens. O resultado é que os votos não são feitos com base no raciocínio correto, mas no impulso emocional (Hobbes, 1998: 123)</w:t>
      </w:r>
      <w:r>
        <w:rPr>
          <w:rStyle w:val="Refdenotaderodap"/>
          <w:rFonts w:ascii="Times New Roman" w:hAnsi="Times New Roman"/>
          <w:sz w:val="22"/>
          <w:szCs w:val="22"/>
        </w:rPr>
        <w:footnoteReference w:id="21"/>
      </w:r>
      <w:r>
        <w:rPr>
          <w:rFonts w:ascii="Times New Roman" w:hAnsi="Times New Roman"/>
          <w:sz w:val="22"/>
          <w:szCs w:val="22"/>
        </w:rPr>
        <w:t xml:space="preserve">. </w:t>
      </w:r>
    </w:p>
    <w:p w14:paraId="08B8596C" w14:textId="77777777" w:rsidR="00FF7D14" w:rsidRDefault="00FF7D14" w:rsidP="00F415D7">
      <w:pPr>
        <w:pStyle w:val="Standard"/>
        <w:jc w:val="both"/>
        <w:rPr>
          <w:rFonts w:hint="eastAsia"/>
          <w:b/>
          <w:bCs/>
        </w:rPr>
      </w:pPr>
    </w:p>
    <w:p w14:paraId="234B3F34" w14:textId="77777777" w:rsidR="00FF7D14" w:rsidRDefault="00FF7D14" w:rsidP="00F415D7">
      <w:pPr>
        <w:pStyle w:val="Standard"/>
        <w:spacing w:line="360" w:lineRule="auto"/>
        <w:jc w:val="both"/>
        <w:rPr>
          <w:rFonts w:ascii="Times New Roman" w:hAnsi="Times New Roman"/>
        </w:rPr>
      </w:pPr>
    </w:p>
    <w:p w14:paraId="18C485DC" w14:textId="77777777" w:rsidR="00FF7D14" w:rsidRDefault="00FF7D14" w:rsidP="00F415D7">
      <w:pPr>
        <w:pStyle w:val="Standard"/>
        <w:spacing w:line="360" w:lineRule="auto"/>
        <w:ind w:firstLine="720"/>
        <w:jc w:val="both"/>
        <w:rPr>
          <w:rFonts w:hint="eastAsia"/>
        </w:rPr>
      </w:pPr>
      <w:r>
        <w:rPr>
          <w:rFonts w:ascii="Times New Roman" w:hAnsi="Times New Roman"/>
        </w:rPr>
        <w:t>“A democracia pura, como o puro rum, produz facilmente intoxicação e, com esta, mil loucuras e tolices” (John Jay, citado em Jay, 1833: 315)</w:t>
      </w:r>
      <w:r>
        <w:rPr>
          <w:rStyle w:val="Refdenotaderodap"/>
          <w:rFonts w:ascii="Times New Roman" w:hAnsi="Times New Roman"/>
          <w:bCs/>
        </w:rPr>
        <w:footnoteReference w:id="22"/>
      </w:r>
      <w:r>
        <w:rPr>
          <w:rFonts w:ascii="Times New Roman" w:hAnsi="Times New Roman"/>
        </w:rPr>
        <w:t xml:space="preserve">. Dissidentes sentem-se </w:t>
      </w:r>
      <w:r>
        <w:rPr>
          <w:rFonts w:ascii="Times New Roman" w:hAnsi="Times New Roman"/>
        </w:rPr>
        <w:lastRenderedPageBreak/>
        <w:t>intimidados, como estavam, por exemplo, quando a assembleia ateniense votou pela desastrosa expedição siciliana: “O resultado desse excessivo entusiasmo da maioria era que os poucos que realmente se opunham à expedição tinham medo de serem considerados não patriotas se votassem contra ela e, portanto, se mantiveram calados” (Thucydides, 1951: 425).</w:t>
      </w:r>
    </w:p>
    <w:p w14:paraId="465005D7" w14:textId="77777777" w:rsidR="00FF7D14" w:rsidRDefault="00FF7D14" w:rsidP="00FC4195">
      <w:pPr>
        <w:pStyle w:val="Standard"/>
        <w:spacing w:line="360" w:lineRule="auto"/>
        <w:jc w:val="both"/>
        <w:rPr>
          <w:rFonts w:ascii="Times New Roman" w:hAnsi="Times New Roman"/>
        </w:rPr>
      </w:pPr>
    </w:p>
    <w:p w14:paraId="06FCD66F" w14:textId="6365C615" w:rsidR="00FF7D14" w:rsidRDefault="00FF7D14" w:rsidP="00FC4195">
      <w:pPr>
        <w:pStyle w:val="Standard"/>
        <w:spacing w:line="360" w:lineRule="auto"/>
        <w:jc w:val="both"/>
        <w:rPr>
          <w:rFonts w:ascii="Times New Roman" w:hAnsi="Times New Roman"/>
          <w:b/>
          <w:bCs/>
        </w:rPr>
      </w:pPr>
      <w:r>
        <w:rPr>
          <w:rFonts w:ascii="Times New Roman" w:hAnsi="Times New Roman"/>
          <w:b/>
          <w:bCs/>
        </w:rPr>
        <w:t xml:space="preserve"> Uma influência emocional específica que vicia a democracia, verificada experimentalmente, é a pressão de grupo para o conformismo</w:t>
      </w:r>
    </w:p>
    <w:p w14:paraId="2CBB252F" w14:textId="77777777" w:rsidR="00FF7D14" w:rsidRDefault="00FF7D14" w:rsidP="00F415D7">
      <w:pPr>
        <w:pStyle w:val="Standard"/>
        <w:jc w:val="both"/>
        <w:rPr>
          <w:rFonts w:ascii="Times New Roman" w:hAnsi="Times New Roman"/>
        </w:rPr>
      </w:pPr>
    </w:p>
    <w:p w14:paraId="228E5325" w14:textId="77777777" w:rsidR="00FF7D14" w:rsidRDefault="00FF7D14" w:rsidP="00F415D7">
      <w:pPr>
        <w:pStyle w:val="Standard"/>
        <w:spacing w:line="360" w:lineRule="auto"/>
        <w:jc w:val="both"/>
        <w:rPr>
          <w:rFonts w:hint="eastAsia"/>
        </w:rPr>
      </w:pPr>
      <w:r>
        <w:rPr>
          <w:rFonts w:ascii="Times New Roman" w:hAnsi="Times New Roman"/>
        </w:rPr>
        <w:tab/>
        <w:t>Isso foi notavelmente demonstrado em um famoso experimento do psicólogo social Solomon Asch. Cada um dos sete a nove sujeitos que participaram do experimento foi solicitado a comparar uma série de linhas e, em cada caso, identificar as duas linhas que eram iguais em comprimento. Para cada comparação, era óbvio, de fato extremamente óbvio, quais linhas combinavam – mas, vez após vez, todos os membros do grupo davam a mesma resposta errada – exceto o único sujeito que desconhecia o real propósito do experimento. Nestas circunstâncias, cinquenta e oito por cento dos participantes do teste mudaram sua resposta para concordar com a maioria unânime. Mesmo quando os participantes receberam um aliado em mesma condição, treze por cento dos sujeitos concordaram com o grupo, em vez da evidência percebida por seus sentidos (Asch, 1952: 458-477). Alguns dos conformados mudaram suas percepções, mas a maioria deles simplesmente decidiu que o grupo deveria estar certo, não importando o quão forte fosse a evidência do contrário.</w:t>
      </w:r>
    </w:p>
    <w:p w14:paraId="49186877" w14:textId="77777777" w:rsidR="00FF7D14" w:rsidRDefault="00FF7D14" w:rsidP="00F415D7">
      <w:pPr>
        <w:pStyle w:val="Standard"/>
        <w:spacing w:line="360" w:lineRule="auto"/>
        <w:jc w:val="both"/>
        <w:rPr>
          <w:rFonts w:ascii="Times New Roman" w:hAnsi="Times New Roman"/>
        </w:rPr>
      </w:pPr>
    </w:p>
    <w:p w14:paraId="486C75A5" w14:textId="4EEF341B" w:rsidR="00FF7D14" w:rsidRDefault="00FF7D14" w:rsidP="00FC4195">
      <w:pPr>
        <w:pStyle w:val="Standard"/>
        <w:spacing w:line="360" w:lineRule="auto"/>
        <w:jc w:val="both"/>
        <w:rPr>
          <w:rFonts w:ascii="Times New Roman" w:hAnsi="Times New Roman"/>
          <w:b/>
          <w:bCs/>
        </w:rPr>
      </w:pPr>
      <w:r>
        <w:rPr>
          <w:rFonts w:ascii="Times New Roman" w:hAnsi="Times New Roman"/>
          <w:b/>
          <w:bCs/>
        </w:rPr>
        <w:t>Outra falha inerente à democracia direta, parcialmente (mas não inteiramente) uma consequência da anterior, é a inconstância da política</w:t>
      </w:r>
    </w:p>
    <w:p w14:paraId="03EA21AC" w14:textId="77777777" w:rsidR="00FF7D14" w:rsidRDefault="00FF7D14" w:rsidP="00F415D7">
      <w:pPr>
        <w:pStyle w:val="Standard"/>
        <w:jc w:val="center"/>
        <w:rPr>
          <w:rFonts w:ascii="Times New Roman" w:hAnsi="Times New Roman"/>
          <w:b/>
          <w:bCs/>
        </w:rPr>
      </w:pPr>
    </w:p>
    <w:p w14:paraId="481A7815" w14:textId="77777777" w:rsidR="00FF7D14" w:rsidRDefault="00FF7D14" w:rsidP="00F415D7">
      <w:pPr>
        <w:pStyle w:val="Standard"/>
        <w:spacing w:line="360" w:lineRule="auto"/>
        <w:jc w:val="both"/>
        <w:rPr>
          <w:rFonts w:hint="eastAsia"/>
        </w:rPr>
      </w:pPr>
      <w:r>
        <w:rPr>
          <w:rFonts w:ascii="Times New Roman" w:hAnsi="Times New Roman"/>
        </w:rPr>
        <w:tab/>
        <w:t>Isso realmente cobre dois argumentos relacionados contra a democracia. O que a assembleia faz em uma reunião pode ser desfeito em uma próxima, seja porque os cidadãos pensaram uma segunda vez, de maneira sóbria (uma boa razão); ou porque uma mistura diferente de pessoas aparece (uma razão ruim). Isso aconteceu muitas vezes na Atenas clássica, a única organização política que já tentou seriamente fazer com que a democracia direta funcionasse. Por exemplo, a assembleia votou para dar aos mitilênios</w:t>
      </w:r>
      <w:r>
        <w:rPr>
          <w:rStyle w:val="Refdenotaderodap"/>
          <w:rFonts w:ascii="Times New Roman" w:hAnsi="Times New Roman"/>
        </w:rPr>
        <w:footnoteReference w:id="23"/>
      </w:r>
      <w:r>
        <w:rPr>
          <w:rFonts w:ascii="Times New Roman" w:hAnsi="Times New Roman"/>
        </w:rPr>
        <w:t xml:space="preserve">, </w:t>
      </w:r>
      <w:r>
        <w:rPr>
          <w:rFonts w:ascii="Times New Roman" w:hAnsi="Times New Roman"/>
        </w:rPr>
        <w:lastRenderedPageBreak/>
        <w:t>cuja revolta havia sido esmagada, o tratamento Meliano</w:t>
      </w:r>
      <w:r>
        <w:rPr>
          <w:rStyle w:val="Refdenotaderodap"/>
          <w:rFonts w:ascii="Times New Roman" w:hAnsi="Times New Roman"/>
        </w:rPr>
        <w:footnoteReference w:id="24"/>
      </w:r>
      <w:r>
        <w:rPr>
          <w:rFonts w:ascii="Times New Roman" w:hAnsi="Times New Roman"/>
        </w:rPr>
        <w:t>: morte para todos os homens, escravidão para as mulheres e crianças. O julgamento foi revertido no dia seguinte, o segundo navio despachado para Mitilene felizmente chegou primeiro, e assim apenas os mitilênios, os principais responsáveis – mais de 1000 deles – foram executados (Finley, 1985: 52; Hegel, 1999: 235; Thucydides, 1951: 212</w:t>
      </w:r>
      <w:r>
        <w:t>–223)</w:t>
      </w:r>
      <w:r>
        <w:rPr>
          <w:rFonts w:ascii="Times New Roman" w:hAnsi="Times New Roman"/>
        </w:rPr>
        <w:t>. Melhor, é claro, reverter uma má decisão do que cumpri-la; mas as pessoas relutam em admitir publicamente que estavam erradas.</w:t>
      </w:r>
    </w:p>
    <w:p w14:paraId="3A7DAB1A" w14:textId="77777777" w:rsidR="00FF7D14" w:rsidRDefault="00FF7D14" w:rsidP="00F415D7">
      <w:pPr>
        <w:pStyle w:val="Standard"/>
        <w:spacing w:line="360" w:lineRule="auto"/>
        <w:jc w:val="both"/>
        <w:rPr>
          <w:rFonts w:hint="eastAsia"/>
        </w:rPr>
      </w:pPr>
      <w:r>
        <w:rPr>
          <w:rFonts w:ascii="Times New Roman" w:hAnsi="Times New Roman"/>
        </w:rPr>
        <w:tab/>
        <w:t>Já é ruim o suficiente se a composição da assembleia flutue aleatoriamente ou por causa de fatores politicamente estranhos, já que o clima, por exemplo, influencia os resultados das eleições estadunidenses no comparecimento dos eleitores (maiores proporções de democratas acabam com bom tempo) (Hardin, 2003). Mas isto pode muito bem se transformar em mobilização deliberada por uma facção. Isso também aconteceu em Atenas. O general Nicias, dirigindo-se à assembleia em oposição à expedição siciliana proposta, afirmou: “É com verdadeiro alarme que vejo o partido deste jovem [Alcibíades] sentado ao seu lado nesta assembleia convocada para apoiá-lo, e eu, do meu lado, peço o apoio dos homens mais velhos entre vocês” (Aristophanes, 1970: 256; Thucydides, 1951: 417, citado). Uma frase do dramaturgo satírico Aristófanes também atestava para bloquear a votação na assembleia.</w:t>
      </w:r>
    </w:p>
    <w:p w14:paraId="0219C663" w14:textId="77777777" w:rsidR="00FF7D14" w:rsidRDefault="00FF7D14" w:rsidP="00F415D7">
      <w:pPr>
        <w:pStyle w:val="Standard"/>
        <w:spacing w:line="360" w:lineRule="auto"/>
        <w:jc w:val="both"/>
        <w:rPr>
          <w:rFonts w:hint="eastAsia"/>
        </w:rPr>
      </w:pPr>
      <w:r>
        <w:rPr>
          <w:rFonts w:ascii="Times New Roman" w:hAnsi="Times New Roman"/>
        </w:rPr>
        <w:tab/>
        <w:t xml:space="preserve">Hobbes observou que, </w:t>
      </w:r>
    </w:p>
    <w:p w14:paraId="31DC7173" w14:textId="77777777" w:rsidR="00FF7D14" w:rsidRDefault="00FF7D14" w:rsidP="00C71A0A">
      <w:pPr>
        <w:pStyle w:val="Standard"/>
        <w:ind w:left="2124"/>
        <w:jc w:val="both"/>
        <w:rPr>
          <w:rFonts w:hint="eastAsia"/>
        </w:rPr>
      </w:pPr>
      <w:r>
        <w:rPr>
          <w:rFonts w:ascii="Times New Roman" w:hAnsi="Times New Roman"/>
          <w:sz w:val="22"/>
          <w:szCs w:val="22"/>
        </w:rPr>
        <w:t xml:space="preserve">quando os votos são suficientemente próximos para que os derrotados tenham a esperança de ganhar a maioria em uma reunião subsequente se alguns homens se aproximarem de seu modo de pensar, seus líderes os reúnem e fazem uma discussão particular sobre como revogar </w:t>
      </w:r>
      <w:proofErr w:type="gramStart"/>
      <w:r>
        <w:rPr>
          <w:rFonts w:ascii="Times New Roman" w:hAnsi="Times New Roman"/>
          <w:sz w:val="22"/>
          <w:szCs w:val="22"/>
        </w:rPr>
        <w:t>a</w:t>
      </w:r>
      <w:proofErr w:type="gramEnd"/>
      <w:r>
        <w:rPr>
          <w:rFonts w:ascii="Times New Roman" w:hAnsi="Times New Roman"/>
          <w:sz w:val="22"/>
          <w:szCs w:val="22"/>
        </w:rPr>
        <w:t xml:space="preserve"> medida que acaba de ser aprovada. Resolvem-se entre si para participar da próxima reunião em grande número e estar lá primeiro; eles organizam o que cada um deve dizer e em que ordem, para que a questão possa ser levantada novamente, e a decisão que foi tomada quando seus oponentes estavam lá em peso possa ser revertida quando não puderem comparecer (Hobbes, 1998: 124). </w:t>
      </w:r>
    </w:p>
    <w:p w14:paraId="468840E2" w14:textId="05510FAD" w:rsidR="00FF7D14" w:rsidRPr="00C71A0A" w:rsidRDefault="00FF7D14" w:rsidP="00FC4195">
      <w:pPr>
        <w:pStyle w:val="Standard"/>
        <w:spacing w:line="360" w:lineRule="auto"/>
        <w:ind w:firstLine="708"/>
        <w:jc w:val="both"/>
        <w:rPr>
          <w:rFonts w:hint="eastAsia"/>
        </w:rPr>
      </w:pPr>
      <w:r>
        <w:rPr>
          <w:rFonts w:ascii="Times New Roman" w:hAnsi="Times New Roman"/>
        </w:rPr>
        <w:lastRenderedPageBreak/>
        <w:t>Hobbes descreve exatamente como Samuel Adams</w:t>
      </w:r>
      <w:r>
        <w:rPr>
          <w:rStyle w:val="Refdenotaderodap"/>
          <w:rFonts w:ascii="Times New Roman" w:hAnsi="Times New Roman"/>
        </w:rPr>
        <w:footnoteReference w:id="25"/>
      </w:r>
      <w:r>
        <w:rPr>
          <w:rFonts w:ascii="Times New Roman" w:hAnsi="Times New Roman"/>
        </w:rPr>
        <w:t xml:space="preserve"> manipulou outra assembleia, a assembleia da cidade de Boston, em reuniões privadas prévias de sua facção no Clube Caucus:</w:t>
      </w:r>
    </w:p>
    <w:p w14:paraId="742DF7DD" w14:textId="77777777" w:rsidR="00FF7D14" w:rsidRDefault="00FF7D14" w:rsidP="00C71A0A">
      <w:pPr>
        <w:pStyle w:val="Standard"/>
        <w:ind w:left="2124"/>
        <w:jc w:val="both"/>
        <w:rPr>
          <w:rFonts w:hint="eastAsia"/>
        </w:rPr>
      </w:pPr>
      <w:r>
        <w:rPr>
          <w:rFonts w:ascii="Times New Roman" w:hAnsi="Times New Roman"/>
          <w:sz w:val="22"/>
          <w:szCs w:val="22"/>
        </w:rPr>
        <w:t>Caucus envolveu a previsão mais ampla de problemas que poderiam surgir e a escolha mais estreita de resposta a cada possibilidade; quem falaria sobre qualquer assunto, e o que ele diria; com o consentimento geral do clube, garantido antecipadamente, tanto para a escolha do palestrante quanto para qual seria a mensagem do palestrante.</w:t>
      </w:r>
    </w:p>
    <w:p w14:paraId="228ACA5B" w14:textId="77777777" w:rsidR="00FF7D14" w:rsidRDefault="00FF7D14" w:rsidP="00F415D7">
      <w:pPr>
        <w:pStyle w:val="Standard"/>
        <w:jc w:val="both"/>
        <w:rPr>
          <w:rFonts w:hint="eastAsia"/>
          <w:sz w:val="20"/>
          <w:szCs w:val="20"/>
        </w:rPr>
      </w:pPr>
    </w:p>
    <w:p w14:paraId="4181BC48" w14:textId="77777777" w:rsidR="00FF7D14" w:rsidRDefault="00FF7D14" w:rsidP="00F415D7">
      <w:pPr>
        <w:pStyle w:val="Standard"/>
        <w:spacing w:line="360" w:lineRule="auto"/>
        <w:jc w:val="both"/>
        <w:rPr>
          <w:rFonts w:hint="eastAsia"/>
        </w:rPr>
      </w:pPr>
      <w:r>
        <w:rPr>
          <w:rFonts w:ascii="Times New Roman" w:hAnsi="Times New Roman"/>
        </w:rPr>
        <w:tab/>
        <w:t xml:space="preserve">Seu primo John Adams ficou surpreso, depois de muitos anos participando de reuniões na cidade, para saber disso: “Lá eles bebem </w:t>
      </w:r>
      <w:r>
        <w:rPr>
          <w:rFonts w:ascii="Times New Roman" w:hAnsi="Times New Roman"/>
          <w:i/>
          <w:iCs/>
        </w:rPr>
        <w:t>flip</w:t>
      </w:r>
      <w:r>
        <w:rPr>
          <w:rFonts w:ascii="Times New Roman" w:hAnsi="Times New Roman"/>
        </w:rPr>
        <w:t xml:space="preserve"> [um drinque de rum], eu suponho, e lá eles escolhem um moderador que coloca as perguntas à votação regularmente, e membros do governo local, assessores, guardas, quartéis de bombeiro e representantes são regularmente escolhidos antes de serem escolhidos pela cidade” (Wills, 1978: 20 citado, 23 citando John Adams)</w:t>
      </w:r>
      <w:r>
        <w:rPr>
          <w:rStyle w:val="Refdenotaderodap"/>
          <w:rFonts w:ascii="Times New Roman" w:hAnsi="Times New Roman"/>
        </w:rPr>
        <w:footnoteReference w:id="26"/>
      </w:r>
      <w:r>
        <w:rPr>
          <w:rFonts w:ascii="Times New Roman" w:hAnsi="Times New Roman"/>
        </w:rPr>
        <w:t>. Exatamente os mesmos métodos de manipulação eram praticados na assembleia ateniense (Sinclair, 1998: 144</w:t>
      </w:r>
      <w:r>
        <w:t>–145)</w:t>
      </w:r>
      <w:r>
        <w:rPr>
          <w:rFonts w:ascii="Times New Roman" w:hAnsi="Times New Roman"/>
        </w:rPr>
        <w:t>.</w:t>
      </w:r>
    </w:p>
    <w:p w14:paraId="2920EAFA" w14:textId="33A46505" w:rsidR="00FF7D14" w:rsidRDefault="00FF7D14" w:rsidP="00F415D7">
      <w:pPr>
        <w:pStyle w:val="Standard"/>
        <w:spacing w:line="360" w:lineRule="auto"/>
        <w:jc w:val="both"/>
        <w:rPr>
          <w:rFonts w:ascii="Times New Roman" w:hAnsi="Times New Roman"/>
        </w:rPr>
      </w:pPr>
      <w:r>
        <w:rPr>
          <w:rFonts w:ascii="Times New Roman" w:hAnsi="Times New Roman"/>
        </w:rPr>
        <w:tab/>
        <w:t>A democracia direta é bem adequada para políticas mecânicas:</w:t>
      </w:r>
    </w:p>
    <w:p w14:paraId="44C442CA" w14:textId="77777777" w:rsidR="00B22644" w:rsidRDefault="00B22644" w:rsidP="00F415D7">
      <w:pPr>
        <w:pStyle w:val="Standard"/>
        <w:spacing w:line="360" w:lineRule="auto"/>
        <w:jc w:val="both"/>
        <w:rPr>
          <w:rFonts w:ascii="Times New Roman" w:hAnsi="Times New Roman"/>
        </w:rPr>
      </w:pPr>
    </w:p>
    <w:p w14:paraId="6EE343F9" w14:textId="77777777" w:rsidR="00FF7D14" w:rsidRDefault="00FF7D14" w:rsidP="00C71A0A">
      <w:pPr>
        <w:pStyle w:val="Standard"/>
        <w:ind w:left="2124"/>
        <w:jc w:val="both"/>
        <w:rPr>
          <w:rFonts w:hint="eastAsia"/>
        </w:rPr>
      </w:pPr>
      <w:r>
        <w:rPr>
          <w:rFonts w:ascii="Times New Roman" w:hAnsi="Times New Roman"/>
          <w:sz w:val="22"/>
          <w:szCs w:val="22"/>
        </w:rPr>
        <w:t xml:space="preserve">A poderosa reunião da cidade [em Boston] nomeou muitos funcionários municipais, determinou impostos e avaliações e adotou projetos de serviço público que eram uma rica fonte de empregos e generosidade econômica. Durante anos, o Caucus original e seus aliados no </w:t>
      </w:r>
      <w:r>
        <w:rPr>
          <w:rFonts w:ascii="Times New Roman" w:hAnsi="Times New Roman"/>
          <w:i/>
          <w:iCs/>
          <w:sz w:val="22"/>
          <w:szCs w:val="22"/>
        </w:rPr>
        <w:t>Merchants Club</w:t>
      </w:r>
      <w:r>
        <w:rPr>
          <w:rFonts w:ascii="Times New Roman" w:hAnsi="Times New Roman"/>
          <w:sz w:val="22"/>
          <w:szCs w:val="22"/>
        </w:rPr>
        <w:t xml:space="preserve"> haviam atuado como o órgão não oficial de direção da reunião da cidade, na qual Sam Adams, o líder do Caucus, desempenhou um papel fundamental (Brown, 1973: 102)</w:t>
      </w:r>
    </w:p>
    <w:p w14:paraId="1FB3886B" w14:textId="77777777" w:rsidR="00FF7D14" w:rsidRDefault="00FF7D14" w:rsidP="00F415D7">
      <w:pPr>
        <w:pStyle w:val="Standard"/>
        <w:spacing w:line="360" w:lineRule="auto"/>
        <w:jc w:val="both"/>
        <w:rPr>
          <w:rFonts w:hint="eastAsia"/>
        </w:rPr>
      </w:pPr>
    </w:p>
    <w:p w14:paraId="45852625" w14:textId="77777777" w:rsidR="00FF7D14" w:rsidRDefault="00FF7D14" w:rsidP="00F415D7">
      <w:pPr>
        <w:pStyle w:val="Standard"/>
        <w:spacing w:line="360" w:lineRule="auto"/>
        <w:jc w:val="both"/>
        <w:rPr>
          <w:rFonts w:ascii="Times New Roman" w:hAnsi="Times New Roman"/>
        </w:rPr>
      </w:pPr>
      <w:r>
        <w:rPr>
          <w:rFonts w:ascii="Times New Roman" w:hAnsi="Times New Roman"/>
        </w:rPr>
        <w:t>Isso é democracia em ação.</w:t>
      </w:r>
    </w:p>
    <w:p w14:paraId="201538E7" w14:textId="77777777" w:rsidR="00FF7D14" w:rsidRDefault="00FF7D14" w:rsidP="00F415D7">
      <w:pPr>
        <w:pStyle w:val="Standard"/>
        <w:spacing w:line="360" w:lineRule="auto"/>
        <w:jc w:val="both"/>
        <w:rPr>
          <w:rFonts w:hint="eastAsia"/>
        </w:rPr>
      </w:pPr>
      <w:r>
        <w:rPr>
          <w:rFonts w:ascii="Times New Roman" w:hAnsi="Times New Roman"/>
        </w:rPr>
        <w:tab/>
        <w:t>O que Hobbes está falando sobre, como ele prossegue dizendo, é a facção, que ele define como “um tipo de esforço e trabalho árduo, que eles usam para moldar as pessoas” (Hobbes, 1998: 124). James Madison reconhecidamente argumentou que a democracia direta promove o partidarismo (Madison, 1961: 56</w:t>
      </w:r>
      <w:r>
        <w:t>–57)</w:t>
      </w:r>
      <w:r>
        <w:rPr>
          <w:rFonts w:ascii="Times New Roman" w:hAnsi="Times New Roman"/>
        </w:rPr>
        <w:t xml:space="preserve">. Mas uma organização de organizadores de votos serve a um propósito (o seu próprio) em qualquer assembleia ou legislatura. Os partidos (o eufemismo para “facções”) poderiam desempenhar papéis </w:t>
      </w:r>
      <w:r>
        <w:rPr>
          <w:rFonts w:ascii="Times New Roman" w:hAnsi="Times New Roman"/>
        </w:rPr>
        <w:lastRenderedPageBreak/>
        <w:t>centrais em uma democracia direta, talvez papéis maiores do que na democracia representativa.</w:t>
      </w:r>
    </w:p>
    <w:p w14:paraId="6934B920" w14:textId="77777777" w:rsidR="00FF7D14" w:rsidRDefault="00FF7D14" w:rsidP="00F415D7">
      <w:pPr>
        <w:pStyle w:val="Standard"/>
        <w:spacing w:line="360" w:lineRule="auto"/>
        <w:jc w:val="both"/>
        <w:rPr>
          <w:rFonts w:hint="eastAsia"/>
        </w:rPr>
      </w:pPr>
      <w:r>
        <w:rPr>
          <w:rFonts w:ascii="Times New Roman" w:hAnsi="Times New Roman"/>
        </w:rPr>
        <w:tab/>
        <w:t xml:space="preserve">Apenas assembleias grandes e regulares minimizariam (não eliminariam) essas reversões caprichosas ou manipuladas, já que, se a maioria dos cidadãos comparecer a todas as reuniões, a maioria dos participantes de uma reunião comparecerá a outra. As possibilidades polares são que todas as mesmas pessoas, ou todas as pessoas diferentes, assistam à próxima reunião. Se são todas as mesmas pessoas, é uma oligarquia </w:t>
      </w:r>
      <w:r>
        <w:rPr>
          <w:rFonts w:ascii="Times New Roman" w:hAnsi="Times New Roman"/>
          <w:i/>
          <w:iCs/>
        </w:rPr>
        <w:t>de facto</w:t>
      </w:r>
      <w:r>
        <w:rPr>
          <w:rFonts w:ascii="Times New Roman" w:hAnsi="Times New Roman"/>
        </w:rPr>
        <w:t>. Se todas as pessoas são diferentes, é o caos, o único tipo de “anarquia” consistente com a democracia direta. Geralmente, ele estará mais próximo da oligarquia.</w:t>
      </w:r>
    </w:p>
    <w:p w14:paraId="26AEFE35" w14:textId="77777777" w:rsidR="00FF7D14" w:rsidRDefault="00FF7D14" w:rsidP="00F415D7">
      <w:pPr>
        <w:pStyle w:val="Standard"/>
        <w:spacing w:line="360" w:lineRule="auto"/>
        <w:jc w:val="both"/>
        <w:rPr>
          <w:rFonts w:ascii="Times New Roman" w:hAnsi="Times New Roman"/>
        </w:rPr>
      </w:pPr>
    </w:p>
    <w:p w14:paraId="225AFB37" w14:textId="77777777" w:rsidR="00FF7D14" w:rsidRDefault="00FF7D14" w:rsidP="00F415D7">
      <w:pPr>
        <w:pStyle w:val="Standard"/>
        <w:jc w:val="both"/>
        <w:rPr>
          <w:rFonts w:ascii="Times New Roman" w:hAnsi="Times New Roman"/>
          <w:b/>
          <w:bCs/>
        </w:rPr>
      </w:pPr>
    </w:p>
    <w:p w14:paraId="17643D28" w14:textId="77777777" w:rsidR="00FF7D14" w:rsidRDefault="00FF7D14" w:rsidP="00F415D7">
      <w:pPr>
        <w:pStyle w:val="Standard"/>
        <w:jc w:val="both"/>
        <w:rPr>
          <w:rFonts w:ascii="Times New Roman" w:hAnsi="Times New Roman"/>
          <w:b/>
          <w:bCs/>
        </w:rPr>
      </w:pPr>
      <w:r>
        <w:rPr>
          <w:rFonts w:ascii="Times New Roman" w:hAnsi="Times New Roman"/>
          <w:b/>
          <w:bCs/>
        </w:rPr>
        <w:t>Conclusão</w:t>
      </w:r>
    </w:p>
    <w:p w14:paraId="7B8AE8A4" w14:textId="77777777" w:rsidR="00FF7D14" w:rsidRDefault="00FF7D14" w:rsidP="00F415D7">
      <w:pPr>
        <w:pStyle w:val="Standard"/>
        <w:jc w:val="both"/>
        <w:rPr>
          <w:rFonts w:ascii="Times New Roman" w:hAnsi="Times New Roman"/>
        </w:rPr>
      </w:pPr>
    </w:p>
    <w:p w14:paraId="1B0BD5DD" w14:textId="77777777" w:rsidR="00FF7D14" w:rsidRDefault="00FF7D14" w:rsidP="00F415D7">
      <w:pPr>
        <w:pStyle w:val="Standard"/>
        <w:spacing w:line="360" w:lineRule="auto"/>
        <w:jc w:val="both"/>
        <w:rPr>
          <w:rFonts w:hint="eastAsia"/>
        </w:rPr>
      </w:pPr>
      <w:r>
        <w:rPr>
          <w:rFonts w:ascii="Times New Roman" w:hAnsi="Times New Roman"/>
        </w:rPr>
        <w:tab/>
        <w:t>A regra da maioria é tão arbitrária quanto a decisão aleatória, mas não é tão justa (Wolff, Robert Paul, 1970: 44</w:t>
      </w:r>
      <w:r>
        <w:t>–45)</w:t>
      </w:r>
      <w:r>
        <w:rPr>
          <w:rFonts w:ascii="Times New Roman" w:hAnsi="Times New Roman"/>
        </w:rPr>
        <w:t>. Para um eleitor, a única diferença entre a loteria e uma eleição é que ele pode ganhar na loteria</w:t>
      </w:r>
      <w:r>
        <w:rPr>
          <w:rStyle w:val="Refdenotaderodap"/>
          <w:rFonts w:ascii="Times New Roman" w:hAnsi="Times New Roman"/>
        </w:rPr>
        <w:footnoteReference w:id="27"/>
      </w:r>
      <w:r>
        <w:rPr>
          <w:rFonts w:ascii="Times New Roman" w:hAnsi="Times New Roman"/>
        </w:rPr>
        <w:t>. Melhor a chance pura do que “democracia pura, ou a autocracia imediata do povo”, como descreveu Joel Barlow (1983, p. 1106). Um celebrante da democracia direta suíça em seu apogeu admite: “A corrupção, a faccionação, a arbitrariedade, a violência, o desrespeito à lei e um conservadorismo obstinado que se opunham a todo progresso social e econômico eram até certo ponto patologias endêmicas da forma de vida democrática pura” (Barber, 1974: 197). Democracia, em qualquer forma, é irracional, injusta, ineficiente, caprichosa, divisiva e humilhante. Suas versões diretas e representativas, como vimos, compartilham muitos vícios. Nenhuma versão exibe qualquer vantagem clara sobre a outra.</w:t>
      </w:r>
    </w:p>
    <w:p w14:paraId="3018438C" w14:textId="77777777" w:rsidR="00FF7D14" w:rsidRDefault="00FF7D14" w:rsidP="00F415D7">
      <w:pPr>
        <w:pStyle w:val="Standard"/>
        <w:spacing w:line="360" w:lineRule="auto"/>
        <w:jc w:val="both"/>
        <w:rPr>
          <w:rFonts w:hint="eastAsia"/>
        </w:rPr>
      </w:pPr>
      <w:r>
        <w:rPr>
          <w:rFonts w:ascii="Times New Roman" w:hAnsi="Times New Roman"/>
        </w:rPr>
        <w:tab/>
        <w:t>Cada uma também tem vícios peculiares. De fato, os sistemas diferem apenas em grau. De qualquer forma, a pior tirania é a tirania da maioria, como a maioria dos anarquistas, e alguns conservadores, e alguns liberais, e até mesmo os democratas mais honestos, sempre disseram (e.g. Goldman, 1972b: 98)</w:t>
      </w:r>
      <w:r>
        <w:rPr>
          <w:rStyle w:val="Refdenotaderodap"/>
          <w:rFonts w:ascii="Times New Roman" w:hAnsi="Times New Roman"/>
        </w:rPr>
        <w:footnoteReference w:id="28"/>
      </w:r>
      <w:r>
        <w:rPr>
          <w:rFonts w:ascii="Times New Roman" w:hAnsi="Times New Roman"/>
        </w:rPr>
        <w:t>.</w:t>
      </w:r>
    </w:p>
    <w:p w14:paraId="2DE4178B" w14:textId="77777777" w:rsidR="00FF7D14" w:rsidRDefault="00FF7D14" w:rsidP="00F415D7">
      <w:pPr>
        <w:pStyle w:val="Standard"/>
        <w:spacing w:line="360" w:lineRule="auto"/>
        <w:jc w:val="both"/>
        <w:rPr>
          <w:rFonts w:hint="eastAsia"/>
        </w:rPr>
      </w:pPr>
      <w:r>
        <w:rPr>
          <w:rFonts w:ascii="Times New Roman" w:hAnsi="Times New Roman"/>
        </w:rPr>
        <w:tab/>
        <w:t xml:space="preserve">A democracia é, no entanto, a melhor forma de governo? Mesmo isso não é tão óbvio, depois de dar uma boa olhada em quão ruim ela é. Sua teoria é redutível a ruínas </w:t>
      </w:r>
      <w:r>
        <w:rPr>
          <w:rFonts w:ascii="Times New Roman" w:hAnsi="Times New Roman"/>
        </w:rPr>
        <w:lastRenderedPageBreak/>
        <w:t>em poucas páginas. Os crentes na democracia afirmam que esta promove o diálogo, mas onde está o diálogo sobre a própria democracia? Os democratas ignoram seus críticos – como se a democracia fosse algo dado – então por que se preocupar em defendê-la? Eles apenas tomam como certo que alguém (Locke? Rousseau? Lincoln? Churchill?) há muito tempo produziu um sólido argumento em favor da democracia. Ninguém nunca o fez. É por isso que você não aprendeu na escola. Apenas lhe foi dito no que acreditar. Os argumentos para a democracia – que muitas vezes não são articulados – são tão falhos e frágeis, alguns até bastante tolos</w:t>
      </w:r>
      <w:r>
        <w:rPr>
          <w:rStyle w:val="Refdenotaderodap"/>
          <w:rFonts w:ascii="Times New Roman" w:hAnsi="Times New Roman"/>
        </w:rPr>
        <w:footnoteReference w:id="29"/>
      </w:r>
      <w:r>
        <w:rPr>
          <w:rFonts w:ascii="Times New Roman" w:hAnsi="Times New Roman"/>
        </w:rPr>
        <w:t>, que os devotos democratas podem se assustar</w:t>
      </w:r>
      <w:r>
        <w:rPr>
          <w:rFonts w:ascii="Times New Roman" w:hAnsi="Times New Roman"/>
          <w:b/>
          <w:bCs/>
        </w:rPr>
        <w:t xml:space="preserve"> </w:t>
      </w:r>
      <w:bookmarkStart w:id="14" w:name="ZOTERO_ITEM_CSL_CITATION_{&quot;citationID&quot;:&quot;"/>
      <w:r>
        <w:rPr>
          <w:rFonts w:ascii="Times New Roman" w:hAnsi="Times New Roman" w:cs="Times New Roman"/>
          <w:bCs/>
        </w:rPr>
        <w:t>(e.g. Godwin, 1976: 209</w:t>
      </w:r>
      <w:r>
        <w:rPr>
          <w:rFonts w:ascii="Times New Roman" w:hAnsi="Times New Roman" w:cs="Times New Roman"/>
        </w:rPr>
        <w:t>–253; Sartwell, 2008: 39–96)</w:t>
      </w:r>
      <w:bookmarkEnd w:id="14"/>
      <w:r>
        <w:rPr>
          <w:rFonts w:ascii="Times New Roman" w:hAnsi="Times New Roman" w:cs="Times New Roman"/>
        </w:rPr>
        <w:t>.</w:t>
      </w:r>
    </w:p>
    <w:p w14:paraId="2268067D" w14:textId="77777777" w:rsidR="00FF7D14" w:rsidRDefault="00FF7D14" w:rsidP="00F415D7">
      <w:pPr>
        <w:pStyle w:val="Standard"/>
        <w:spacing w:line="360" w:lineRule="auto"/>
        <w:jc w:val="both"/>
        <w:rPr>
          <w:rFonts w:ascii="Times New Roman" w:hAnsi="Times New Roman"/>
        </w:rPr>
      </w:pPr>
      <w:r>
        <w:rPr>
          <w:rFonts w:ascii="Times New Roman" w:hAnsi="Times New Roman"/>
        </w:rPr>
        <w:tab/>
        <w:t>Agora, talvez algumas dessas críticas do governo democrático sejam realmente críticas ao próprio governo. Isso não diminui, mas aumenta a validade das críticas. Isso significa apenas que a democracia não é tão especial afinal, e que foi descoberta como algo especial.</w:t>
      </w:r>
    </w:p>
    <w:p w14:paraId="0BCDBED5" w14:textId="77777777" w:rsidR="00FF7D14" w:rsidRDefault="00FF7D14" w:rsidP="00F415D7">
      <w:pPr>
        <w:pStyle w:val="Standard"/>
        <w:spacing w:line="360" w:lineRule="auto"/>
        <w:jc w:val="center"/>
        <w:rPr>
          <w:rFonts w:ascii="Times New Roman" w:hAnsi="Times New Roman"/>
        </w:rPr>
      </w:pPr>
    </w:p>
    <w:p w14:paraId="6F1EA78D" w14:textId="77777777" w:rsidR="00FF7D14" w:rsidRDefault="00FF7D14" w:rsidP="00F415D7">
      <w:pPr>
        <w:pStyle w:val="Standard"/>
        <w:spacing w:line="360" w:lineRule="auto"/>
        <w:jc w:val="center"/>
        <w:rPr>
          <w:rFonts w:ascii="Times New Roman" w:hAnsi="Times New Roman"/>
        </w:rPr>
      </w:pPr>
      <w:r>
        <w:rPr>
          <w:rFonts w:ascii="Times New Roman" w:hAnsi="Times New Roman"/>
        </w:rPr>
        <w:t>VOTE EM NINGUÉM</w:t>
      </w:r>
    </w:p>
    <w:p w14:paraId="060EB294" w14:textId="77777777" w:rsidR="00FF7D14" w:rsidRDefault="00FF7D14" w:rsidP="00F415D7">
      <w:pPr>
        <w:pStyle w:val="Standard"/>
        <w:spacing w:line="360" w:lineRule="auto"/>
        <w:jc w:val="center"/>
        <w:rPr>
          <w:rFonts w:ascii="Times New Roman" w:hAnsi="Times New Roman"/>
        </w:rPr>
      </w:pPr>
      <w:r>
        <w:rPr>
          <w:rFonts w:ascii="Times New Roman" w:hAnsi="Times New Roman"/>
        </w:rPr>
        <w:t>NINGUÉM DIZ A VERDADE</w:t>
      </w:r>
    </w:p>
    <w:p w14:paraId="7CE59009" w14:textId="77777777" w:rsidR="00EC6E01" w:rsidRDefault="00EC6E01" w:rsidP="00F415D7"/>
    <w:p w14:paraId="0DD392EC" w14:textId="77777777" w:rsidR="00EC6E01" w:rsidRDefault="00EC6E01" w:rsidP="00F415D7">
      <w:pPr>
        <w:sectPr w:rsidR="00EC6E01" w:rsidSect="002A3D41">
          <w:pgSz w:w="11906" w:h="16838" w:code="9"/>
          <w:pgMar w:top="1417" w:right="1701" w:bottom="1417"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8B81FB6" w14:textId="752A54D2" w:rsidR="001675AF" w:rsidRPr="001675AF" w:rsidRDefault="00FC4195" w:rsidP="00F415D7">
      <w:pPr>
        <w:pStyle w:val="Bibliography1"/>
        <w:jc w:val="both"/>
        <w:rPr>
          <w:rFonts w:ascii="Times New Roman" w:hAnsi="Times New Roman" w:cs="Times New Roman"/>
          <w:b/>
          <w:bCs/>
        </w:rPr>
      </w:pPr>
      <w:r>
        <w:rPr>
          <w:rFonts w:ascii="Times New Roman" w:hAnsi="Times New Roman" w:cs="Times New Roman"/>
          <w:b/>
          <w:bCs/>
        </w:rPr>
        <w:lastRenderedPageBreak/>
        <w:t xml:space="preserve">Bibliografia </w:t>
      </w:r>
    </w:p>
    <w:p w14:paraId="1AA53088" w14:textId="77777777" w:rsidR="00FF7D14" w:rsidRDefault="00FF7D14" w:rsidP="00F415D7">
      <w:pPr>
        <w:pStyle w:val="Bibliography1"/>
        <w:jc w:val="both"/>
        <w:rPr>
          <w:rFonts w:hint="eastAsia"/>
        </w:rPr>
      </w:pPr>
      <w:r>
        <w:rPr>
          <w:rFonts w:ascii="Times New Roman" w:hAnsi="Times New Roman" w:cs="Times New Roman"/>
        </w:rPr>
        <w:t xml:space="preserve">ARISTOPHANES. Plays: Birds. Lysistrata. Thesmophoriazusai. Frogs. Ecclesiazusai. Ploutos. </w:t>
      </w:r>
      <w:r>
        <w:rPr>
          <w:rFonts w:ascii="Times New Roman" w:hAnsi="Times New Roman" w:cs="Times New Roman"/>
          <w:lang w:val="en-US"/>
        </w:rPr>
        <w:t xml:space="preserve">Tradução Patric Dickinson (1970). Londres: Oxford University </w:t>
      </w:r>
      <w:proofErr w:type="gramStart"/>
      <w:r>
        <w:rPr>
          <w:rFonts w:ascii="Times New Roman" w:hAnsi="Times New Roman" w:cs="Times New Roman"/>
          <w:lang w:val="en-US"/>
        </w:rPr>
        <w:t>Press,.</w:t>
      </w:r>
      <w:proofErr w:type="gramEnd"/>
      <w:r>
        <w:rPr>
          <w:rFonts w:ascii="Times New Roman" w:hAnsi="Times New Roman" w:cs="Times New Roman"/>
          <w:lang w:val="en-US"/>
        </w:rPr>
        <w:t xml:space="preserve"> v. 2.</w:t>
      </w:r>
    </w:p>
    <w:p w14:paraId="4E4399B6" w14:textId="77777777" w:rsidR="00FF7D14" w:rsidRDefault="00FF7D14" w:rsidP="00F415D7">
      <w:pPr>
        <w:pStyle w:val="Bibliography1"/>
        <w:jc w:val="both"/>
        <w:rPr>
          <w:rFonts w:hint="eastAsia"/>
        </w:rPr>
      </w:pPr>
      <w:r>
        <w:rPr>
          <w:rFonts w:ascii="Times New Roman" w:hAnsi="Times New Roman" w:cs="Times New Roman"/>
          <w:lang w:val="en-US"/>
        </w:rPr>
        <w:t>ARROW, Kenneth J (1963). Social Choice and Individual Values. 2</w:t>
      </w:r>
      <w:r>
        <w:rPr>
          <w:rFonts w:ascii="Times New Roman" w:hAnsi="Times New Roman" w:cs="Times New Roman"/>
          <w:vertAlign w:val="superscript"/>
          <w:lang w:val="en-US"/>
        </w:rPr>
        <w:t>a</w:t>
      </w:r>
      <w:r>
        <w:rPr>
          <w:rFonts w:ascii="Times New Roman" w:hAnsi="Times New Roman" w:cs="Times New Roman"/>
          <w:lang w:val="en-US"/>
        </w:rPr>
        <w:t xml:space="preserve"> ed. Nova Iorque: John Wiley &amp; Sons.</w:t>
      </w:r>
    </w:p>
    <w:p w14:paraId="126CBFD3" w14:textId="77777777" w:rsidR="00FF7D14" w:rsidRDefault="00FF7D14" w:rsidP="00F415D7">
      <w:pPr>
        <w:pStyle w:val="Bibliography1"/>
        <w:jc w:val="both"/>
        <w:rPr>
          <w:rFonts w:ascii="Times New Roman" w:hAnsi="Times New Roman" w:cs="Times New Roman"/>
          <w:lang w:val="en-US"/>
        </w:rPr>
      </w:pPr>
      <w:r>
        <w:rPr>
          <w:rFonts w:ascii="Times New Roman" w:hAnsi="Times New Roman" w:cs="Times New Roman"/>
          <w:lang w:val="en-US"/>
        </w:rPr>
        <w:t>ASCH, Solomon Elliott (1952). Social Psychology. Englewood Cliffs: Prentice-</w:t>
      </w:r>
      <w:proofErr w:type="gramStart"/>
      <w:r>
        <w:rPr>
          <w:rFonts w:ascii="Times New Roman" w:hAnsi="Times New Roman" w:cs="Times New Roman"/>
          <w:lang w:val="en-US"/>
        </w:rPr>
        <w:t>Hall,.</w:t>
      </w:r>
      <w:proofErr w:type="gramEnd"/>
    </w:p>
    <w:p w14:paraId="7107B9EC" w14:textId="77777777" w:rsidR="00FF7D14" w:rsidRDefault="00FF7D14" w:rsidP="00F415D7">
      <w:pPr>
        <w:pStyle w:val="Bibliography1"/>
        <w:jc w:val="both"/>
        <w:rPr>
          <w:rFonts w:ascii="Times New Roman" w:hAnsi="Times New Roman" w:cs="Times New Roman"/>
          <w:lang w:val="en-US"/>
        </w:rPr>
      </w:pPr>
      <w:r>
        <w:rPr>
          <w:rFonts w:ascii="Times New Roman" w:hAnsi="Times New Roman" w:cs="Times New Roman"/>
          <w:lang w:val="en-US"/>
        </w:rPr>
        <w:t xml:space="preserve">BACON, Francis (1985). Of Faction. In: KIERNAN, MICHAEL (Org.). The Essays </w:t>
      </w:r>
      <w:proofErr w:type="gramStart"/>
      <w:r>
        <w:rPr>
          <w:rFonts w:ascii="Times New Roman" w:hAnsi="Times New Roman" w:cs="Times New Roman"/>
          <w:lang w:val="en-US"/>
        </w:rPr>
        <w:t>Or</w:t>
      </w:r>
      <w:proofErr w:type="gramEnd"/>
      <w:r>
        <w:rPr>
          <w:rFonts w:ascii="Times New Roman" w:hAnsi="Times New Roman" w:cs="Times New Roman"/>
          <w:lang w:val="en-US"/>
        </w:rPr>
        <w:t xml:space="preserve"> Counsels, Civil and Moral. [S.l.]: Cambridge Harvard University Press.</w:t>
      </w:r>
    </w:p>
    <w:p w14:paraId="50747C62" w14:textId="77777777" w:rsidR="00FF7D14" w:rsidRDefault="00FF7D14" w:rsidP="00F415D7">
      <w:pPr>
        <w:pStyle w:val="Bibliography1"/>
        <w:jc w:val="both"/>
        <w:rPr>
          <w:rFonts w:ascii="Times New Roman" w:hAnsi="Times New Roman" w:cs="Times New Roman"/>
          <w:lang w:val="en-US"/>
        </w:rPr>
      </w:pPr>
      <w:r>
        <w:rPr>
          <w:rFonts w:ascii="Times New Roman" w:hAnsi="Times New Roman" w:cs="Times New Roman"/>
          <w:lang w:val="en-US"/>
        </w:rPr>
        <w:t>BAILYN, Bernard (1967). The Ideological Origins of the American Revolution. [S.l.]: Harvard University Press.</w:t>
      </w:r>
    </w:p>
    <w:p w14:paraId="1FD499F0" w14:textId="77777777" w:rsidR="00FF7D14" w:rsidRDefault="00FF7D14" w:rsidP="00F415D7">
      <w:pPr>
        <w:pStyle w:val="Bibliography1"/>
        <w:jc w:val="both"/>
        <w:rPr>
          <w:rFonts w:ascii="Times New Roman" w:hAnsi="Times New Roman" w:cs="Times New Roman"/>
          <w:lang w:val="en-US"/>
        </w:rPr>
      </w:pPr>
      <w:r>
        <w:rPr>
          <w:rFonts w:ascii="Times New Roman" w:hAnsi="Times New Roman" w:cs="Times New Roman"/>
          <w:lang w:val="en-US"/>
        </w:rPr>
        <w:t xml:space="preserve">BARBER, Benjamin R. (1988). The Conquest of Politics: Liberal Philosophy in Democratic Times. Princeton: Princeton University Press. (Princeton </w:t>
      </w:r>
      <w:proofErr w:type="gramStart"/>
      <w:r>
        <w:rPr>
          <w:rFonts w:ascii="Times New Roman" w:hAnsi="Times New Roman" w:cs="Times New Roman"/>
          <w:lang w:val="en-US"/>
        </w:rPr>
        <w:t>paperbacks :</w:t>
      </w:r>
      <w:proofErr w:type="gramEnd"/>
      <w:r>
        <w:rPr>
          <w:rFonts w:ascii="Times New Roman" w:hAnsi="Times New Roman" w:cs="Times New Roman"/>
          <w:lang w:val="en-US"/>
        </w:rPr>
        <w:t xml:space="preserve"> Political science).</w:t>
      </w:r>
    </w:p>
    <w:p w14:paraId="3A2259F7" w14:textId="77777777" w:rsidR="00FF7D14" w:rsidRDefault="00FF7D14" w:rsidP="00F415D7">
      <w:pPr>
        <w:pStyle w:val="Bibliography1"/>
        <w:jc w:val="both"/>
        <w:rPr>
          <w:rFonts w:ascii="Times New Roman" w:hAnsi="Times New Roman" w:cs="Times New Roman"/>
          <w:lang w:val="en-US"/>
        </w:rPr>
      </w:pPr>
      <w:r>
        <w:rPr>
          <w:rFonts w:ascii="Times New Roman" w:hAnsi="Times New Roman" w:cs="Times New Roman"/>
          <w:lang w:val="en-US"/>
        </w:rPr>
        <w:t>BARBER, Benjamin R. (1974). The Death of Communal Liberty: A History of Freedom in a Swiss Mountain Canton. Princeton: Princeton University Press.</w:t>
      </w:r>
    </w:p>
    <w:p w14:paraId="52E22109"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BARCLAY, Harold B. (1982). People without government: an anthropology of anarchy. Londres: Kahn &amp; Averill with Cienfuegos Press.</w:t>
      </w:r>
    </w:p>
    <w:p w14:paraId="481A3AF9" w14:textId="77777777" w:rsidR="00FF7D14" w:rsidRDefault="00FF7D14" w:rsidP="00FF7D14">
      <w:pPr>
        <w:pStyle w:val="Bibliography1"/>
        <w:jc w:val="both"/>
        <w:rPr>
          <w:rFonts w:hint="eastAsia"/>
        </w:rPr>
      </w:pPr>
      <w:r>
        <w:rPr>
          <w:rFonts w:ascii="Times New Roman" w:hAnsi="Times New Roman" w:cs="Times New Roman"/>
          <w:lang w:val="en-US"/>
        </w:rPr>
        <w:t>BARKER, Ernest (1959). The Political Thought of Plato and Aristotle. Nova Iorque: Dover Publications.</w:t>
      </w:r>
    </w:p>
    <w:p w14:paraId="31554118" w14:textId="77777777" w:rsidR="00FF7D14" w:rsidRDefault="00FF7D14" w:rsidP="00FF7D14">
      <w:pPr>
        <w:pStyle w:val="Bibliography1"/>
        <w:jc w:val="both"/>
        <w:rPr>
          <w:rFonts w:hint="eastAsia"/>
        </w:rPr>
      </w:pPr>
      <w:r>
        <w:rPr>
          <w:rFonts w:ascii="Times New Roman" w:hAnsi="Times New Roman" w:cs="Times New Roman"/>
          <w:lang w:val="en-US"/>
        </w:rPr>
        <w:t>BARLOW, Joel. To His Fellow Citizens of the United States. Letter II: On Certain Political Measures Proposed for Their Consideration. In: HYNEMAN, CHARLES S.; LUTZ, DONALD S. (Org.) (1983). American political writing during the founding era, 1760-1805. Indianapolis: Liberty Fund. v. 2.</w:t>
      </w:r>
    </w:p>
    <w:p w14:paraId="2EAEF901"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BLACK, Bob (1997). Anarchy After Leftism. Columbia: C.A.L. Press.</w:t>
      </w:r>
    </w:p>
    <w:p w14:paraId="0993798D"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______. Letter to the editors (2009). Anarchy: A Journal of Desire Armed.</w:t>
      </w:r>
    </w:p>
    <w:p w14:paraId="79AAD60F" w14:textId="77777777" w:rsidR="00FF7D14" w:rsidRDefault="00FF7D14" w:rsidP="00FF7D14">
      <w:pPr>
        <w:pStyle w:val="Bibliography1"/>
        <w:jc w:val="both"/>
        <w:rPr>
          <w:rFonts w:ascii="Times New Roman" w:hAnsi="Times New Roman" w:cs="Times New Roman"/>
        </w:rPr>
      </w:pPr>
      <w:r>
        <w:rPr>
          <w:rFonts w:ascii="Times New Roman" w:hAnsi="Times New Roman" w:cs="Times New Roman"/>
        </w:rPr>
        <w:t>______. Nightmares of Reason (2010). Disponível em: &lt;https://theanarchistlibrary.org/library/bob-black-nightmares-of-reason&gt;. Acesso em: 29 jan.</w:t>
      </w:r>
    </w:p>
    <w:p w14:paraId="29E2F45D" w14:textId="77777777" w:rsidR="00FF7D14" w:rsidRDefault="00FF7D14" w:rsidP="00FF7D14">
      <w:pPr>
        <w:pStyle w:val="Bibliography1"/>
        <w:jc w:val="both"/>
        <w:rPr>
          <w:rFonts w:hint="eastAsia"/>
        </w:rPr>
      </w:pPr>
      <w:r>
        <w:rPr>
          <w:rFonts w:ascii="Times New Roman" w:hAnsi="Times New Roman" w:cs="Times New Roman"/>
          <w:lang w:val="en-US"/>
        </w:rPr>
        <w:t xml:space="preserve">BOB BLACK. WIKIPEDIA CONTRIBUTORS (s/d). Wikipedia, The Free Encyclopedia. [S.l: s.n.], 24 dez. 2018. </w:t>
      </w:r>
      <w:r>
        <w:rPr>
          <w:rFonts w:ascii="Times New Roman" w:hAnsi="Times New Roman" w:cs="Times New Roman"/>
        </w:rPr>
        <w:t xml:space="preserve">Disponível em: &lt;https://en.wikipedia.org/w/index.php?title=Bob_Black&amp;oldid=875149461&gt;. </w:t>
      </w:r>
      <w:r>
        <w:rPr>
          <w:rFonts w:ascii="Times New Roman" w:hAnsi="Times New Roman" w:cs="Times New Roman"/>
          <w:lang w:val="en-US"/>
        </w:rPr>
        <w:t>Acesso em: 30 jan. 2019.</w:t>
      </w:r>
    </w:p>
    <w:p w14:paraId="02C55175"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BON, Gustave Le (1960). The Crowd: A Study of the Popular Mind. Nova Iorque: Compass Books.</w:t>
      </w:r>
    </w:p>
    <w:p w14:paraId="66D2956C"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BOOKCHIN, Murray (1999). Anarchism, Marxism, and the Future of the Left: Interviews and Essays, 1993-1998. São Francisco (EUA): A.K. Press.</w:t>
      </w:r>
    </w:p>
    <w:p w14:paraId="37BB389D"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lastRenderedPageBreak/>
        <w:t>BRIGHOUSE, Harry (2002). Democracy and Inequality. In: CARTER, APRIL; STOKES, GEOFFREY (Org.). Democratic Theory Today: Challenges for the 21st Century. Cambridge: Polity Press.</w:t>
      </w:r>
    </w:p>
    <w:p w14:paraId="2477AA7D"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BROWN, Richard Maxwell (1973). Violence and the American Revolution. In: KURTZ, S. G.; HUTSON, J. H. (Org.). Essays on the American Revolution. Chapel Hill, NC: University of North Carolina Press &amp; New York W.W. Norton &amp; Co.</w:t>
      </w:r>
    </w:p>
    <w:p w14:paraId="1DD453E1"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BUCHANAN, James M.; TULLOCK, Gordon (1962). The Calculus of Consent: Logical Foundations of Constitutional Democracy. Ann Arbor: University of Michigan Press.</w:t>
      </w:r>
    </w:p>
    <w:p w14:paraId="75A2A9BD"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 xml:space="preserve">BURNHEIM, John (1985). Is Democracy </w:t>
      </w:r>
      <w:proofErr w:type="gramStart"/>
      <w:r>
        <w:rPr>
          <w:rFonts w:ascii="Times New Roman" w:hAnsi="Times New Roman" w:cs="Times New Roman"/>
          <w:lang w:val="en-US"/>
        </w:rPr>
        <w:t>Possible?:</w:t>
      </w:r>
      <w:proofErr w:type="gramEnd"/>
      <w:r>
        <w:rPr>
          <w:rFonts w:ascii="Times New Roman" w:hAnsi="Times New Roman" w:cs="Times New Roman"/>
          <w:lang w:val="en-US"/>
        </w:rPr>
        <w:t xml:space="preserve"> The Alternative to Electoral Democracy. Cambridge: Polity Press.</w:t>
      </w:r>
    </w:p>
    <w:p w14:paraId="7C56B10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CAIN, Bruce E (1984). The Reapportionment Puzzle. Berkeley: University of California Press.</w:t>
      </w:r>
    </w:p>
    <w:p w14:paraId="24D2D6BA" w14:textId="77777777" w:rsidR="00FF7D14" w:rsidRDefault="00FF7D14" w:rsidP="00FF7D14">
      <w:pPr>
        <w:pStyle w:val="Bibliography1"/>
        <w:jc w:val="both"/>
        <w:rPr>
          <w:rFonts w:hint="eastAsia"/>
        </w:rPr>
      </w:pPr>
      <w:r>
        <w:rPr>
          <w:rFonts w:ascii="Times New Roman" w:hAnsi="Times New Roman" w:cs="Times New Roman"/>
          <w:lang w:val="en-US"/>
        </w:rPr>
        <w:t xml:space="preserve">CALHOUN, John C (1953). Disquisitions on Government and Selections from the Discourses. </w:t>
      </w:r>
      <w:r>
        <w:rPr>
          <w:rFonts w:ascii="Times New Roman" w:hAnsi="Times New Roman" w:cs="Times New Roman"/>
        </w:rPr>
        <w:t xml:space="preserve">Indianapolis &amp; Nova Iorque: Bobbs-Merrill </w:t>
      </w:r>
      <w:proofErr w:type="gramStart"/>
      <w:r>
        <w:rPr>
          <w:rFonts w:ascii="Times New Roman" w:hAnsi="Times New Roman" w:cs="Times New Roman"/>
        </w:rPr>
        <w:t>Co..</w:t>
      </w:r>
      <w:proofErr w:type="gramEnd"/>
    </w:p>
    <w:p w14:paraId="47846E6B" w14:textId="77777777" w:rsidR="00FF7D14" w:rsidRDefault="00FF7D14" w:rsidP="00FF7D14">
      <w:pPr>
        <w:pStyle w:val="Bibliography1"/>
        <w:jc w:val="both"/>
        <w:rPr>
          <w:rFonts w:hint="eastAsia"/>
        </w:rPr>
      </w:pPr>
      <w:r>
        <w:rPr>
          <w:rFonts w:ascii="Times New Roman" w:hAnsi="Times New Roman" w:cs="Times New Roman"/>
        </w:rPr>
        <w:t xml:space="preserve">CONDORCET, Jean-Antoine-Nicolas de Caritat Marquis de (1994). </w:t>
      </w:r>
      <w:r>
        <w:rPr>
          <w:rFonts w:ascii="Times New Roman" w:hAnsi="Times New Roman" w:cs="Times New Roman"/>
          <w:lang w:val="en-US"/>
        </w:rPr>
        <w:t>An Essay on the Application of Probability Theory to Plurality Decision-Making (1785). In: MCLEAN, IAN; HEWITT, FIONA (Org.). Condorcet: Foundations of Social Choice and Political Theory. Aldershot, Hants., England &amp; Brookfield, VT: Edward Elgar Publishing Limited.</w:t>
      </w:r>
    </w:p>
    <w:p w14:paraId="3E8CD856"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CONSENSUS DEMOCRACY (2003). In: LIJPHART, Arend. Encyclopedia of Democratic Thought. [S.l.]: Taylor &amp; Francis.</w:t>
      </w:r>
    </w:p>
    <w:p w14:paraId="3C543070" w14:textId="77777777" w:rsidR="00FF7D14" w:rsidRDefault="00FF7D14" w:rsidP="00FF7D14">
      <w:pPr>
        <w:pStyle w:val="Bibliography1"/>
        <w:jc w:val="both"/>
        <w:rPr>
          <w:rFonts w:hint="eastAsia"/>
        </w:rPr>
      </w:pPr>
      <w:r>
        <w:rPr>
          <w:rFonts w:ascii="Times New Roman" w:hAnsi="Times New Roman" w:cs="Times New Roman"/>
          <w:lang w:val="en-US"/>
        </w:rPr>
        <w:t xml:space="preserve">CONSTITUTIONAL CONVENTION (UNITED STATES). WIKIPEDIA CONTRIBUTORS. Wikipedia, The Free Encyclopedia (s/d). [S.l: s.n.], 21 jan. 2019. </w:t>
      </w:r>
      <w:r>
        <w:rPr>
          <w:rFonts w:ascii="Times New Roman" w:hAnsi="Times New Roman" w:cs="Times New Roman"/>
        </w:rPr>
        <w:t xml:space="preserve">Disponível em: &lt;https://en.wikipedia.org/wiki/Constitutional_Convention_(United_States)&gt;. </w:t>
      </w:r>
      <w:r>
        <w:rPr>
          <w:rFonts w:ascii="Times New Roman" w:hAnsi="Times New Roman" w:cs="Times New Roman"/>
          <w:lang w:val="en-US"/>
        </w:rPr>
        <w:t>Acesso em: 29 jan. 2019.</w:t>
      </w:r>
    </w:p>
    <w:p w14:paraId="04D30053"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DAHL, Robert A (1956). A Preface to Democratic Theory. Chicago: University of Chicago Press.</w:t>
      </w:r>
    </w:p>
    <w:p w14:paraId="2DC01624"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______ (1982). Dilemmas of Pluralist Democracy: Autonomy Vs. Control. New Haven e Londres: Yale University Press. v. 31. (Yale Studies in Political Science).</w:t>
      </w:r>
    </w:p>
    <w:p w14:paraId="3D1E4070"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DAHRENDORF, Ralf (2005). Reflections on the Revolution in Europe. New Brunswick, NJ &amp; Londres: Transaction Publishers.</w:t>
      </w:r>
    </w:p>
    <w:p w14:paraId="4C9AEEF7"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DE TOCQUEVILLE, Alexis (1969). Democracy in America. Tradução George Lawrence. Nova Iorque: Doubleday &amp; Company.</w:t>
      </w:r>
    </w:p>
    <w:p w14:paraId="6ECE513F"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DECISION-MAKING. In: STEINER, Juerg (2001). Encyclopedia of Democratic Thought. Londres e Nova Iorque: Routledge.</w:t>
      </w:r>
    </w:p>
    <w:p w14:paraId="7C0FBDB7"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lastRenderedPageBreak/>
        <w:t>DODGSON, C. L. (2001). The political pamphlets and letters of Charles Lutwidge Dodgson and related pieces: a mathematical approach. Nova Iorque: Lewis Carroll Society of North America.</w:t>
      </w:r>
    </w:p>
    <w:p w14:paraId="02EE21F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ELECTORAL SYSTEMS. In: BURCH, Sally (2003). Encyclopedia of Democratic Thought. [S.l.]: Taylor &amp; Francis.</w:t>
      </w:r>
    </w:p>
    <w:p w14:paraId="049A171E"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ELLUL, Jacques (1967). The Political Illusion. Tradução Konrad Kellen. [S.l.]: Alfred A. Knopf.</w:t>
      </w:r>
    </w:p>
    <w:p w14:paraId="26757C38" w14:textId="77777777" w:rsidR="00FF7D14" w:rsidRDefault="00FF7D14" w:rsidP="00FF7D14">
      <w:pPr>
        <w:pStyle w:val="Bibliography1"/>
        <w:jc w:val="both"/>
        <w:rPr>
          <w:rFonts w:hint="eastAsia"/>
        </w:rPr>
      </w:pPr>
      <w:r>
        <w:rPr>
          <w:rFonts w:ascii="Times New Roman" w:hAnsi="Times New Roman" w:cs="Times New Roman"/>
          <w:lang w:val="en-US"/>
        </w:rPr>
        <w:t>FINLEY, Moses I. (1985). Democracy ancient and modern. 2</w:t>
      </w:r>
      <w:r>
        <w:rPr>
          <w:rFonts w:ascii="Times New Roman" w:hAnsi="Times New Roman" w:cs="Times New Roman"/>
          <w:vertAlign w:val="superscript"/>
          <w:lang w:val="en-US"/>
        </w:rPr>
        <w:t>a</w:t>
      </w:r>
      <w:r>
        <w:rPr>
          <w:rFonts w:ascii="Times New Roman" w:hAnsi="Times New Roman" w:cs="Times New Roman"/>
          <w:lang w:val="en-US"/>
        </w:rPr>
        <w:t xml:space="preserve"> ed. Londres: Hogarth Press. (Mason Welch Gross lectureship series).</w:t>
      </w:r>
    </w:p>
    <w:p w14:paraId="042B4229"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FISHBURN, Peter C. (1974). Paradoxes of Voting. American Political Science Review, v. 68, n. 2, p. 537–546, jun.</w:t>
      </w:r>
    </w:p>
    <w:p w14:paraId="0A95D09D" w14:textId="77777777" w:rsidR="00FF7D14" w:rsidRDefault="00FF7D14" w:rsidP="00FF7D14">
      <w:pPr>
        <w:pStyle w:val="Bibliography1"/>
        <w:jc w:val="both"/>
        <w:rPr>
          <w:rFonts w:hint="eastAsia"/>
        </w:rPr>
      </w:pPr>
      <w:r>
        <w:rPr>
          <w:rFonts w:ascii="Times New Roman" w:hAnsi="Times New Roman" w:cs="Times New Roman"/>
          <w:lang w:val="en-US"/>
        </w:rPr>
        <w:t xml:space="preserve">FREUD, Sigmund (1959). Group Psychology and the Analysis of the Ego. </w:t>
      </w:r>
      <w:r>
        <w:rPr>
          <w:rFonts w:ascii="Times New Roman" w:hAnsi="Times New Roman" w:cs="Times New Roman"/>
        </w:rPr>
        <w:t>Tradução James Strachey. Nova Iorque: W.W. Norton &amp; Company.</w:t>
      </w:r>
    </w:p>
    <w:p w14:paraId="3070CB39" w14:textId="77777777" w:rsidR="00FF7D14" w:rsidRDefault="00FF7D14" w:rsidP="00FF7D14">
      <w:pPr>
        <w:pStyle w:val="Bibliography1"/>
        <w:jc w:val="both"/>
        <w:rPr>
          <w:rFonts w:hint="eastAsia"/>
        </w:rPr>
      </w:pPr>
      <w:r>
        <w:rPr>
          <w:rFonts w:ascii="Times New Roman" w:hAnsi="Times New Roman" w:cs="Times New Roman"/>
        </w:rPr>
        <w:t xml:space="preserve">GERRYMANDERING. Wikipédia, a enciclopédia livre (s/d). [S.l: s.n.], 29 jan. 2019. Disponível em: &lt;https://pt.wikipedia.org/w/index.php?title=Gerrymandering&amp;oldid=54169712&gt;. </w:t>
      </w:r>
      <w:r>
        <w:rPr>
          <w:rFonts w:ascii="Times New Roman" w:hAnsi="Times New Roman" w:cs="Times New Roman"/>
          <w:lang w:val="en-US"/>
        </w:rPr>
        <w:t>Acesso em: 3 fev. 2019.</w:t>
      </w:r>
    </w:p>
    <w:p w14:paraId="7231240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GILLETTE, Clayton P. (1987). Equality and Variety in the Delivery of Municipal Services. Harvard Law Review, v. 100, n. 4, p. 946–968.</w:t>
      </w:r>
    </w:p>
    <w:p w14:paraId="624032B0"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GODWIN, William (1976). An Enquiry Concerning Political Justice. Harmondsworth, Middlesex: Penguin Books.</w:t>
      </w:r>
    </w:p>
    <w:p w14:paraId="53E58232"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GOLDMAN, Emma (1972a). Anarchism: What It Really Stands for. In: SHULMAN, ALIX KATES (Org.). Red Emma Speaks: Selected Writings and Speeches. Nova Iorque: Vintage Books.</w:t>
      </w:r>
    </w:p>
    <w:p w14:paraId="26C0A676"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______ (1972b). The Individual, Society and the State. In: SHULMAN, ALIX KATES (Org.). Red Emma Speaks: Selected Writings and Speeches. Nova Iorque: Vintage Books.</w:t>
      </w:r>
    </w:p>
    <w:p w14:paraId="47BEBEBB"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HEGEL, Georg Wilhelm Fredrich (1999). On the English Reform Bill. In: DICKEY, LAWRENCE; NISBET, H. B. (Org.). Hegel: Political Writings. Cambridge Texts in the History of Political Thought. Cambridge: Cambridge University Press. p. 357.</w:t>
      </w:r>
    </w:p>
    <w:p w14:paraId="7BA7D8CF"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HELD, David (2006). Democracy: From City-States to a Cosmopolitan Order. In: GOODIN, ROBERT E.; PETTIT, PHILLIP (Org.). Contemporary Political Philosophy: An Anthology. Blackwell Philosophy Anthologies. [S.l.]: Mk Blackwell Publishing. p. 754.</w:t>
      </w:r>
    </w:p>
    <w:p w14:paraId="713564F9" w14:textId="77777777" w:rsidR="00FF7D14" w:rsidRDefault="00FF7D14" w:rsidP="00FF7D14">
      <w:pPr>
        <w:pStyle w:val="Bibliography1"/>
        <w:jc w:val="both"/>
        <w:rPr>
          <w:rFonts w:hint="eastAsia"/>
        </w:rPr>
      </w:pPr>
      <w:r>
        <w:rPr>
          <w:rFonts w:ascii="Times New Roman" w:hAnsi="Times New Roman" w:cs="Times New Roman"/>
          <w:lang w:val="en-US"/>
        </w:rPr>
        <w:t>HELD, David (1996). Models of Democracy. 2</w:t>
      </w:r>
      <w:r>
        <w:rPr>
          <w:rFonts w:ascii="Times New Roman" w:hAnsi="Times New Roman" w:cs="Times New Roman"/>
          <w:vertAlign w:val="superscript"/>
          <w:lang w:val="en-US"/>
        </w:rPr>
        <w:t>a</w:t>
      </w:r>
      <w:r>
        <w:rPr>
          <w:rFonts w:ascii="Times New Roman" w:hAnsi="Times New Roman" w:cs="Times New Roman"/>
          <w:lang w:val="en-US"/>
        </w:rPr>
        <w:t xml:space="preserve"> ed. Stanford: Stanford University Press.</w:t>
      </w:r>
    </w:p>
    <w:p w14:paraId="286F9454"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lastRenderedPageBreak/>
        <w:t>HOBBES, Thomas (1998). Hobbes: On the Citizen. Cambridge: Cambridge University Press. (Cambridge Texts in the History of Political Thought).</w:t>
      </w:r>
    </w:p>
    <w:p w14:paraId="5B9A1555" w14:textId="77777777" w:rsidR="00FF7D14" w:rsidRDefault="00FF7D14" w:rsidP="00FF7D14">
      <w:pPr>
        <w:pStyle w:val="Bibliography1"/>
        <w:jc w:val="both"/>
        <w:rPr>
          <w:rFonts w:hint="eastAsia"/>
        </w:rPr>
      </w:pPr>
      <w:r>
        <w:rPr>
          <w:rFonts w:ascii="Times New Roman" w:hAnsi="Times New Roman" w:cs="Times New Roman"/>
          <w:lang w:val="en-US"/>
        </w:rPr>
        <w:t>______ (1968). Leviathan. Harmondsworth, Middlesex: Pelican Books.</w:t>
      </w:r>
    </w:p>
    <w:p w14:paraId="41314E46"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HOFFMAN, Robert L. (1972). Revolutionary justice: the social and political theory of P.J. Proudhon. Urbana: University of Illinois Press.</w:t>
      </w:r>
    </w:p>
    <w:p w14:paraId="1B949897" w14:textId="77777777" w:rsidR="00FF7D14" w:rsidRDefault="00FF7D14" w:rsidP="00FF7D14">
      <w:pPr>
        <w:pStyle w:val="Bibliography1"/>
        <w:jc w:val="both"/>
        <w:rPr>
          <w:rFonts w:hint="eastAsia"/>
        </w:rPr>
      </w:pPr>
      <w:r>
        <w:rPr>
          <w:rFonts w:ascii="Times New Roman" w:hAnsi="Times New Roman" w:cs="Times New Roman"/>
          <w:lang w:val="en-US"/>
        </w:rPr>
        <w:t>JAY, William (1833). The Life of John Jay: The life of John Jay. Nova Iorque: J. &amp; J. Harper.</w:t>
      </w:r>
    </w:p>
    <w:p w14:paraId="2EAEA56F"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KENDALL, Willmoore; CAREY, George W. (1968). The “Intensity” Problem and Democratic Theory. American Political Science Review, v. 62, n. 1, p. 5–24, mar.</w:t>
      </w:r>
    </w:p>
    <w:p w14:paraId="7D0D5F39"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KERR, Clark (1957). Unions and Union Leaders of Their Own Choosing. Nova Iorque: Fund for the Republic.</w:t>
      </w:r>
    </w:p>
    <w:p w14:paraId="050B0DFD" w14:textId="77777777" w:rsidR="00FF7D14" w:rsidRDefault="00FF7D14" w:rsidP="00FF7D14">
      <w:pPr>
        <w:pStyle w:val="Bibliography1"/>
        <w:jc w:val="both"/>
        <w:rPr>
          <w:rFonts w:hint="eastAsia"/>
        </w:rPr>
      </w:pPr>
      <w:r>
        <w:rPr>
          <w:rFonts w:ascii="Times New Roman" w:hAnsi="Times New Roman" w:cs="Times New Roman"/>
          <w:lang w:val="en-US"/>
        </w:rPr>
        <w:t xml:space="preserve">KRAMER, Gerald H. (1973). On a Class of Equilibrium Conditions for Majority Rule. </w:t>
      </w:r>
      <w:r>
        <w:rPr>
          <w:rFonts w:ascii="Times New Roman" w:hAnsi="Times New Roman" w:cs="Times New Roman"/>
        </w:rPr>
        <w:t>Econometrica, v. 41, n. 2, p. 285–297.</w:t>
      </w:r>
    </w:p>
    <w:p w14:paraId="14245531" w14:textId="77777777" w:rsidR="00FF7D14" w:rsidRDefault="00FF7D14" w:rsidP="00FF7D14">
      <w:pPr>
        <w:pStyle w:val="Bibliography1"/>
        <w:jc w:val="both"/>
        <w:rPr>
          <w:rFonts w:hint="eastAsia"/>
        </w:rPr>
      </w:pPr>
      <w:r>
        <w:rPr>
          <w:rFonts w:ascii="Times New Roman" w:hAnsi="Times New Roman" w:cs="Times New Roman"/>
        </w:rPr>
        <w:t xml:space="preserve">LEWIS CARROLL. Wikipédia, a enciclopédia livre (s/d). [S.l: s.n.], 4 set. 2018. Disponível em: &lt;https://pt.wikipedia.org/w/index.php?title=Lewis_Carroll&amp;oldid=53060370&gt;. </w:t>
      </w:r>
      <w:r>
        <w:rPr>
          <w:rFonts w:ascii="Times New Roman" w:hAnsi="Times New Roman" w:cs="Times New Roman"/>
          <w:lang w:val="en-US"/>
        </w:rPr>
        <w:t>Acesso em: 3 fev. 2019.</w:t>
      </w:r>
    </w:p>
    <w:p w14:paraId="50E4E7B5" w14:textId="77777777" w:rsidR="00FF7D14" w:rsidRDefault="00FF7D14" w:rsidP="00FF7D14">
      <w:pPr>
        <w:pStyle w:val="Bibliography1"/>
        <w:jc w:val="both"/>
        <w:rPr>
          <w:rFonts w:hint="eastAsia"/>
        </w:rPr>
      </w:pPr>
      <w:r>
        <w:rPr>
          <w:rFonts w:ascii="Times New Roman" w:hAnsi="Times New Roman" w:cs="Times New Roman"/>
          <w:lang w:val="en-US"/>
        </w:rPr>
        <w:t>LINDER, Wolf (2010). Swiss Democracy: Possible Solutions to Conflict in Multicultural Societies. 3</w:t>
      </w:r>
      <w:r>
        <w:rPr>
          <w:rFonts w:ascii="Times New Roman" w:hAnsi="Times New Roman" w:cs="Times New Roman"/>
          <w:vertAlign w:val="superscript"/>
          <w:lang w:val="en-US"/>
        </w:rPr>
        <w:t>a</w:t>
      </w:r>
      <w:r>
        <w:rPr>
          <w:rFonts w:ascii="Times New Roman" w:hAnsi="Times New Roman" w:cs="Times New Roman"/>
          <w:lang w:val="en-US"/>
        </w:rPr>
        <w:t xml:space="preserve"> ed. Basingstoke, Hampshire: Palgrave Macmillan UK.</w:t>
      </w:r>
    </w:p>
    <w:p w14:paraId="7899D95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LOMASKY, Loren E. (2002). Default and Dynamic Democracy. In: MACHAN, TIBOR R. (Org.). Liberty and Democracy. Stanford: Hoover Institution Press.</w:t>
      </w:r>
    </w:p>
    <w:p w14:paraId="4134404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MACHAN, Tibor R. (Org.) (2002). Liberty and Democracy. Stanford: Hoover Institution Press.</w:t>
      </w:r>
    </w:p>
    <w:p w14:paraId="0C93349F"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MADISON, James (1961). The Federalist No. 10. Hanover, NH: Wesleyan University Press.</w:t>
      </w:r>
    </w:p>
    <w:p w14:paraId="0656742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MANSBRIDGE, Jane L. (1980). Beyond Adversary Democracy. Nova Iorque: Basic Books.</w:t>
      </w:r>
    </w:p>
    <w:p w14:paraId="3DB2E571"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 xml:space="preserve">MARTINES, Lauro. Power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Imagination: City-States in Renaissance Italy. Nova Iorque: Alfred A. Knopf.</w:t>
      </w:r>
    </w:p>
    <w:p w14:paraId="131901C3"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MCCONNELL, Grant (1979). Private power &amp; American democracy. Nova Iorque: New York Vintage Books, 1966.</w:t>
      </w:r>
    </w:p>
    <w:p w14:paraId="416543EC" w14:textId="77777777" w:rsidR="00FF7D14" w:rsidRDefault="00FF7D14" w:rsidP="00FF7D14">
      <w:pPr>
        <w:pStyle w:val="Bibliography1"/>
        <w:jc w:val="both"/>
        <w:rPr>
          <w:rFonts w:hint="eastAsia"/>
        </w:rPr>
      </w:pPr>
      <w:r>
        <w:rPr>
          <w:rFonts w:ascii="Times New Roman" w:hAnsi="Times New Roman" w:cs="Times New Roman"/>
          <w:lang w:val="en-US"/>
        </w:rPr>
        <w:t xml:space="preserve">MENCKEN, Henry Louis (1926). Notes on Democracy. </w:t>
      </w:r>
      <w:r>
        <w:rPr>
          <w:rFonts w:ascii="Times New Roman" w:hAnsi="Times New Roman" w:cs="Times New Roman"/>
        </w:rPr>
        <w:t>Nova Iorque: Alfred A. Knopf.</w:t>
      </w:r>
    </w:p>
    <w:p w14:paraId="64EB836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lastRenderedPageBreak/>
        <w:t>MICHELS, Robert (1962). Political Parties: A Sociological Study of the Oligarchical Tendencies of Modern Democracy. Nova Iorque e Londres: The Free Press &amp; Collier-Macmillan.</w:t>
      </w:r>
    </w:p>
    <w:p w14:paraId="3A1D225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MILL, John Stuart (1951). Representative Government. Utilitarianism, Liberty &amp; Representative Government. Nova Iorque e Londres: E.P. Dutton and Sons, J.M. Dent and Sons.</w:t>
      </w:r>
    </w:p>
    <w:p w14:paraId="0ABB6396" w14:textId="77777777" w:rsidR="00FF7D14" w:rsidRDefault="00FF7D14" w:rsidP="00FF7D14">
      <w:pPr>
        <w:pStyle w:val="Bibliography1"/>
        <w:jc w:val="both"/>
        <w:rPr>
          <w:rFonts w:hint="eastAsia"/>
        </w:rPr>
      </w:pPr>
      <w:r>
        <w:rPr>
          <w:rFonts w:ascii="Times New Roman" w:hAnsi="Times New Roman" w:cs="Times New Roman"/>
          <w:lang w:val="en-US"/>
        </w:rPr>
        <w:t xml:space="preserve">MYTILENIAN DEBATE. Wikipedia (s/d). </w:t>
      </w:r>
      <w:r>
        <w:rPr>
          <w:rFonts w:ascii="Times New Roman" w:hAnsi="Times New Roman" w:cs="Times New Roman"/>
        </w:rPr>
        <w:t xml:space="preserve">[S.l: s.n.], 11 abr. 2018. Disponível em: &lt;https://en.wikipedia.org/w/index.php?title=Mytilenian_Debate&amp;oldid=835887366&gt;. </w:t>
      </w:r>
      <w:r>
        <w:rPr>
          <w:rFonts w:ascii="Times New Roman" w:hAnsi="Times New Roman" w:cs="Times New Roman"/>
          <w:lang w:val="en-US"/>
        </w:rPr>
        <w:t>Acesso em: 4 fev. 2019.</w:t>
      </w:r>
    </w:p>
    <w:p w14:paraId="51E82E42" w14:textId="77777777" w:rsidR="00FF7D14" w:rsidRDefault="00FF7D14" w:rsidP="00FF7D14">
      <w:pPr>
        <w:pStyle w:val="Bibliography1"/>
        <w:jc w:val="both"/>
        <w:rPr>
          <w:rFonts w:hint="eastAsia"/>
        </w:rPr>
      </w:pPr>
      <w:r>
        <w:rPr>
          <w:rFonts w:ascii="Times New Roman" w:hAnsi="Times New Roman" w:cs="Times New Roman"/>
          <w:lang w:val="en-US"/>
        </w:rPr>
        <w:t>NISBET, Robert A (1962). Community and Power. Londres: Oxford University Press.</w:t>
      </w:r>
    </w:p>
    <w:p w14:paraId="53437FB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NOONAN, John T. (1984). Bribes. Nova Iorque e Londres: Macmillan; Collier Macmillan Publishers.</w:t>
      </w:r>
    </w:p>
    <w:p w14:paraId="5F87F609"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NURMI, Hannu (1999). Voting Paradoxes and How to Deal with Them. Berlim: Springer.</w:t>
      </w:r>
    </w:p>
    <w:p w14:paraId="7DF68D95"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PARTICIPATION. In: HARDIN, Russell (2003). Encyclopedia of Democratic Thought. [S.l.]: Taylor &amp; Francis.</w:t>
      </w:r>
    </w:p>
    <w:p w14:paraId="76A296EB"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PLAMENATZ, J. P. (1979). Consent, freedom and political obligation. Princeton: Princeton University Press.</w:t>
      </w:r>
    </w:p>
    <w:p w14:paraId="5684B712"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PROUDHON, Pierre Joseph (1923). General Idea of the Revolution in the Nineteenth Century. Tradução John Beverley Robinson. Londres: Freedom Press.</w:t>
      </w:r>
    </w:p>
    <w:p w14:paraId="3C701790" w14:textId="77777777" w:rsidR="00FF7D14" w:rsidRDefault="00FF7D14" w:rsidP="00FF7D14">
      <w:pPr>
        <w:pStyle w:val="Bibliography1"/>
        <w:jc w:val="both"/>
        <w:rPr>
          <w:rFonts w:hint="eastAsia"/>
        </w:rPr>
      </w:pPr>
      <w:r>
        <w:rPr>
          <w:rFonts w:ascii="Times New Roman" w:hAnsi="Times New Roman" w:cs="Times New Roman"/>
          <w:lang w:val="en-US"/>
        </w:rPr>
        <w:t xml:space="preserve">PROXY VOTING. Wikipedia (s/d) [S.l: s.n.], 24 jan. 2019. </w:t>
      </w:r>
      <w:r>
        <w:rPr>
          <w:rFonts w:ascii="Times New Roman" w:hAnsi="Times New Roman" w:cs="Times New Roman"/>
        </w:rPr>
        <w:t xml:space="preserve">Disponível em: &lt;https://en.wikipedia.org/w/index.php?title=Proxy_voting&amp;oldid=879894370&gt;. </w:t>
      </w:r>
      <w:r>
        <w:rPr>
          <w:rFonts w:ascii="Times New Roman" w:hAnsi="Times New Roman" w:cs="Times New Roman"/>
          <w:lang w:val="en-US"/>
        </w:rPr>
        <w:t>Acesso em: 4 fev. 2019.</w:t>
      </w:r>
    </w:p>
    <w:p w14:paraId="3344C9F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RAWLS, John (1999). A Theory of Justice. Cambridge: Harvard University Press.</w:t>
      </w:r>
    </w:p>
    <w:p w14:paraId="71054D6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RESCHER, Nicholas (1999). Risking Democracy: Some Reflections on Contemporary Problems of Political Decision. Public Affairs Quarterly, v. 13, n. 4, p. 297–308.</w:t>
      </w:r>
    </w:p>
    <w:p w14:paraId="7377D44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RIKER, William H. (1993). Introduction. In: RIKER, WILLIAM H. (Org.). Agenda Formation. Ann Arbor: University of Michigan Press.</w:t>
      </w:r>
    </w:p>
    <w:p w14:paraId="57181397"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______; WEINGAST, Barry R. (1988). Constitutional Regulation of Legislative Choice: The Political Consequences of Judicial Deference to Legislatures. Virginia Law Review, v. 74, n. 2, p. 373–401.</w:t>
      </w:r>
    </w:p>
    <w:p w14:paraId="51B479AC"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ROUSSEAU, Jean Jacques (1950a). Discourse on Political Economy. The Social Contract &amp; Discourses. Tradução G.D.H. Cole. Nova Iorque e Londres: E.P. Dutton and Sons, J.M. Dent and Sons.</w:t>
      </w:r>
    </w:p>
    <w:p w14:paraId="13AC91F4" w14:textId="77777777" w:rsidR="00FF7D14" w:rsidRDefault="00FF7D14" w:rsidP="00FF7D14">
      <w:pPr>
        <w:pStyle w:val="Bibliography1"/>
        <w:jc w:val="both"/>
        <w:rPr>
          <w:rFonts w:hint="eastAsia"/>
        </w:rPr>
      </w:pPr>
      <w:r>
        <w:rPr>
          <w:rFonts w:ascii="Times New Roman" w:hAnsi="Times New Roman" w:cs="Times New Roman"/>
          <w:lang w:val="en-US"/>
        </w:rPr>
        <w:lastRenderedPageBreak/>
        <w:t>______(1950b). The Social Contract. The Social Contract &amp; Discourses. Tradução G.D.H. Cole. Nova Iorque e Londres: E.P. Dutton and Sons, J.M. Dent and Sons.</w:t>
      </w:r>
    </w:p>
    <w:p w14:paraId="5E6808A4" w14:textId="77777777" w:rsidR="00FF7D14" w:rsidRDefault="00FF7D14" w:rsidP="00FF7D14">
      <w:pPr>
        <w:pStyle w:val="Bibliography1"/>
        <w:jc w:val="both"/>
        <w:rPr>
          <w:rFonts w:hint="eastAsia"/>
        </w:rPr>
      </w:pPr>
      <w:r>
        <w:rPr>
          <w:rFonts w:ascii="Times New Roman" w:hAnsi="Times New Roman" w:cs="Times New Roman"/>
          <w:lang w:val="en-US"/>
        </w:rPr>
        <w:t>RUSSELL, Bertrand (1996). The Prospects of Democracy. In: RUJA, HENRY (Org.). Mortals and Others: American Essays, 1931-1935. Londres e Nova Iorque: Routledge.</w:t>
      </w:r>
    </w:p>
    <w:p w14:paraId="582074F6" w14:textId="77777777" w:rsidR="00FF7D14" w:rsidRDefault="00FF7D14" w:rsidP="00FF7D14">
      <w:pPr>
        <w:pStyle w:val="Bibliography1"/>
        <w:jc w:val="both"/>
        <w:rPr>
          <w:rFonts w:hint="eastAsia"/>
        </w:rPr>
      </w:pPr>
      <w:r>
        <w:rPr>
          <w:rFonts w:ascii="Times New Roman" w:hAnsi="Times New Roman" w:cs="Times New Roman"/>
        </w:rPr>
        <w:t xml:space="preserve">SAMUEL ADAMS. Wikipédia, a enciclopédia livre (s/d) [S.l: s.n.], 11 mar. 2016. Disponível em: &lt;https://pt.wikipedia.org/w/index.php?title=Samuel_Adams&amp;oldid=45045444&gt;. </w:t>
      </w:r>
      <w:r>
        <w:rPr>
          <w:rFonts w:ascii="Times New Roman" w:hAnsi="Times New Roman" w:cs="Times New Roman"/>
          <w:lang w:val="en-US"/>
        </w:rPr>
        <w:t>Acesso em: 5 fev. 2019.</w:t>
      </w:r>
    </w:p>
    <w:p w14:paraId="7033E51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SARTWELL, Crispin (2008). Against the State: An Introduction to Anarchist Political Theory. Albany, Nova Iorque: State University of New York Press.</w:t>
      </w:r>
    </w:p>
    <w:p w14:paraId="11E8C0DC"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SHAPIRO, Ian (2002). Optimal Deliberation? Journal of Political Philosophy, v. 10, n. 2, p. 196–211.</w:t>
      </w:r>
    </w:p>
    <w:p w14:paraId="293B6435"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______ (1990). Three Fallacies Concerning Majorities, Minorities, and Democratic Politics. In: CHAPMAN, JOHN W.; WERTHEIMER, ALAN (Org.). Majorities and Minorities. NOMOS – American Society for Political and Legal Philosophy. Nova Iorque: NYU Press. v. 32.</w:t>
      </w:r>
    </w:p>
    <w:p w14:paraId="66800624" w14:textId="77777777" w:rsidR="00FF7D14" w:rsidRDefault="00FF7D14" w:rsidP="00FF7D14">
      <w:pPr>
        <w:pStyle w:val="Bibliography1"/>
        <w:jc w:val="both"/>
        <w:rPr>
          <w:rFonts w:hint="eastAsia"/>
        </w:rPr>
      </w:pPr>
      <w:r>
        <w:rPr>
          <w:rFonts w:ascii="Times New Roman" w:hAnsi="Times New Roman" w:cs="Times New Roman"/>
          <w:lang w:val="en-US"/>
        </w:rPr>
        <w:t xml:space="preserve">SIEGE OF MELOS. Wikipedia (s/d) [S.l: s.n.], 4 fev. 2019. </w:t>
      </w:r>
      <w:r>
        <w:rPr>
          <w:rFonts w:ascii="Times New Roman" w:hAnsi="Times New Roman" w:cs="Times New Roman"/>
        </w:rPr>
        <w:t xml:space="preserve">Disponível em: &lt;https://en.wikipedia.org/w/index.php?title=Siege_of_Melos&amp;oldid=881764836&gt;. </w:t>
      </w:r>
      <w:r>
        <w:rPr>
          <w:rFonts w:ascii="Times New Roman" w:hAnsi="Times New Roman" w:cs="Times New Roman"/>
          <w:lang w:val="en-US"/>
        </w:rPr>
        <w:t>Acesso em: 4 fev. 2019.</w:t>
      </w:r>
    </w:p>
    <w:p w14:paraId="58787874"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 xml:space="preserve">SIMMEL, George (1950). The Phenomenon of </w:t>
      </w:r>
      <w:proofErr w:type="gramStart"/>
      <w:r>
        <w:rPr>
          <w:rFonts w:ascii="Times New Roman" w:hAnsi="Times New Roman" w:cs="Times New Roman"/>
          <w:lang w:val="en-US"/>
        </w:rPr>
        <w:t>Outvoting,.</w:t>
      </w:r>
      <w:proofErr w:type="gramEnd"/>
      <w:r>
        <w:rPr>
          <w:rFonts w:ascii="Times New Roman" w:hAnsi="Times New Roman" w:cs="Times New Roman"/>
          <w:lang w:val="en-US"/>
        </w:rPr>
        <w:t xml:space="preserve"> In: WOLFF, KURT H. (Org.). The Sociology of Georg Simmel. Tradução Kurt H. Wolff. Nova Iorque e Londres: The Free Press &amp; Collier-Macmillan.</w:t>
      </w:r>
    </w:p>
    <w:p w14:paraId="20B1F121"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SINCLAIR, R. K. (1998). Democracy and Participation in Ancient Athens. Cambridge: Cambridge University Press.</w:t>
      </w:r>
    </w:p>
    <w:p w14:paraId="657C438C"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SPITZ, Elaine (1982). Majority Rule. Chatham, Nova Jérsei: Chatham House Publishers.</w:t>
      </w:r>
    </w:p>
    <w:p w14:paraId="6B38336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STEPHEN, James Fitzjames (1991). Liberty, Equality, Fraternity. Chicago e Londres: University of Chicago Press. (Cambridge Studies in the History and Theory of Politics).</w:t>
      </w:r>
    </w:p>
    <w:p w14:paraId="66195660"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STORING, Herbert J. (1981). What the Anti-Federalists Were For: The Political Thought of the Opponents of the Constitution. Chicago: University of Chicago Press.</w:t>
      </w:r>
    </w:p>
    <w:p w14:paraId="75139E3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TAYLOR, Michael (1982). Community, Anarchy and Liberty. Cambridge: Cambridge University Press.</w:t>
      </w:r>
    </w:p>
    <w:p w14:paraId="0CAA12DB"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TAYLOR, Peter J.; GUDGIN, Graham; JOHNSTON, R.I. (1986). The Geography of Representation: A Review of Recent Findings. In: GROFMAN, BERNARD; LIJPHART, AREND (Org.). Electoral Laws and Their Political Consequences. Nova Iorque: Agathon Press.</w:t>
      </w:r>
    </w:p>
    <w:p w14:paraId="73A211BB"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lastRenderedPageBreak/>
        <w:t>THOREAU, Henry David (1960). Civil disobedience. Walden and Civil disobedience. Nova Iorque: Signet Classics.</w:t>
      </w:r>
    </w:p>
    <w:p w14:paraId="2B8F194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THUCYDIDES (1951). History of the Peloponnesian War. Tradução Rex Warner. Londres: Reagan Books.</w:t>
      </w:r>
    </w:p>
    <w:p w14:paraId="2BC9E428"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TULLOCK, Gordon (1976). The Vote Motive. [S.l.]: Institute of Economic Affairs.</w:t>
      </w:r>
    </w:p>
    <w:p w14:paraId="7B4295D0"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UNITED STATES CONSTITUTIONAL CONVENTION (1911). The Records of the Federal Convention of 1787. New Haven, CT: Yale University Press. v. 1.</w:t>
      </w:r>
    </w:p>
    <w:p w14:paraId="447A511C" w14:textId="77777777" w:rsidR="00FF7D14" w:rsidRDefault="00FF7D14" w:rsidP="00FF7D14">
      <w:pPr>
        <w:pStyle w:val="Bibliography1"/>
        <w:jc w:val="both"/>
        <w:rPr>
          <w:rFonts w:hint="eastAsia"/>
        </w:rPr>
      </w:pPr>
      <w:r>
        <w:rPr>
          <w:rFonts w:ascii="Times New Roman" w:hAnsi="Times New Roman" w:cs="Times New Roman"/>
          <w:lang w:val="en-US"/>
        </w:rPr>
        <w:t>United States v. Carolene Products Company (</w:t>
      </w:r>
      <w:proofErr w:type="gramStart"/>
      <w:r>
        <w:rPr>
          <w:rFonts w:ascii="Times New Roman" w:hAnsi="Times New Roman" w:cs="Times New Roman"/>
          <w:lang w:val="en-US"/>
        </w:rPr>
        <w:t>1938)[</w:t>
      </w:r>
      <w:proofErr w:type="gramEnd"/>
      <w:r>
        <w:rPr>
          <w:rFonts w:ascii="Times New Roman" w:hAnsi="Times New Roman" w:cs="Times New Roman"/>
          <w:lang w:val="en-US"/>
        </w:rPr>
        <w:t xml:space="preserve">S.l: s.n.]. </w:t>
      </w:r>
      <w:r>
        <w:rPr>
          <w:rFonts w:ascii="Times New Roman" w:hAnsi="Times New Roman" w:cs="Times New Roman"/>
        </w:rPr>
        <w:t xml:space="preserve">Disponível em: &lt;https://supreme.justia.com/cases/federal/us/304/144/&gt;. </w:t>
      </w:r>
      <w:r>
        <w:rPr>
          <w:rFonts w:ascii="Times New Roman" w:hAnsi="Times New Roman" w:cs="Times New Roman"/>
          <w:lang w:val="en-US"/>
        </w:rPr>
        <w:t>Acesso em: 29 jan. 2019. 25 abr.</w:t>
      </w:r>
    </w:p>
    <w:p w14:paraId="23868573"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WALDRON, Jeremy (1999). The Dignity of Legislation. [S.l.]: Cambridge University Press. v. 2. (John Robert Seeley lectures).</w:t>
      </w:r>
    </w:p>
    <w:p w14:paraId="7ABA644A"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WILDE, Oscar (1969). The Soul of Man Under Socialism. In: ROSS, ROBERT B. (Org.). The First Collected Edition of the Works of Oscar Wilde, 1908-1922. Londres: Pall Mall.</w:t>
      </w:r>
    </w:p>
    <w:p w14:paraId="5BA67114"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WILLS, Gary (1978). Inventing America: Jefferson’s Declaration of independence. Garden City, NY: Doubleday &amp; Company. v. 1. (America’s political enlightenment).</w:t>
      </w:r>
    </w:p>
    <w:p w14:paraId="1B4CF265" w14:textId="77777777" w:rsidR="00FF7D14" w:rsidRDefault="00FF7D14" w:rsidP="00FF7D14">
      <w:pPr>
        <w:pStyle w:val="Bibliography1"/>
        <w:jc w:val="both"/>
        <w:rPr>
          <w:rFonts w:ascii="Times New Roman" w:hAnsi="Times New Roman" w:cs="Times New Roman"/>
          <w:lang w:val="en-US"/>
        </w:rPr>
      </w:pPr>
      <w:r>
        <w:rPr>
          <w:rFonts w:ascii="Times New Roman" w:hAnsi="Times New Roman" w:cs="Times New Roman"/>
          <w:lang w:val="en-US"/>
        </w:rPr>
        <w:t>WOLFF, Robert Paul (1970). In Defense of Anarchism. Nova Iorque: New York Harper Torchbooks.</w:t>
      </w:r>
    </w:p>
    <w:p w14:paraId="71FBD645" w14:textId="77777777" w:rsidR="00FF7D14" w:rsidRDefault="00FF7D14" w:rsidP="00FF7D14">
      <w:pPr>
        <w:pStyle w:val="Bibliography1"/>
        <w:jc w:val="both"/>
        <w:rPr>
          <w:rFonts w:hint="eastAsia"/>
        </w:rPr>
      </w:pPr>
      <w:r>
        <w:rPr>
          <w:rFonts w:ascii="Times New Roman" w:hAnsi="Times New Roman" w:cs="Times New Roman"/>
          <w:lang w:val="en-US"/>
        </w:rPr>
        <w:t xml:space="preserve">WOOD, Gordon S. (1972). The Creation of the American Republic, 1776-1787. </w:t>
      </w:r>
      <w:r>
        <w:rPr>
          <w:rFonts w:ascii="Times New Roman" w:hAnsi="Times New Roman" w:cs="Times New Roman"/>
        </w:rPr>
        <w:t>Nova Iorque e Londres: W.W. Norton &amp; Company.</w:t>
      </w:r>
    </w:p>
    <w:p w14:paraId="6557FD24" w14:textId="77777777" w:rsidR="00FF7D14" w:rsidRDefault="00FF7D14" w:rsidP="00FF7D14">
      <w:pPr>
        <w:pStyle w:val="Bibliography1"/>
        <w:jc w:val="both"/>
        <w:rPr>
          <w:rFonts w:hint="eastAsia"/>
        </w:rPr>
      </w:pPr>
      <w:r>
        <w:rPr>
          <w:rFonts w:ascii="Times New Roman" w:hAnsi="Times New Roman" w:cs="Times New Roman"/>
        </w:rPr>
        <w:t xml:space="preserve">ZERZAN, John (2002). </w:t>
      </w:r>
      <w:r>
        <w:rPr>
          <w:rFonts w:ascii="Times New Roman" w:hAnsi="Times New Roman" w:cs="Times New Roman"/>
          <w:lang w:val="en-US"/>
        </w:rPr>
        <w:t xml:space="preserve">Running on Emptiness: The Pathology of Civilisation. </w:t>
      </w:r>
      <w:r>
        <w:rPr>
          <w:rFonts w:ascii="Times New Roman" w:hAnsi="Times New Roman" w:cs="Times New Roman"/>
        </w:rPr>
        <w:t>Los Angeles: Feral House.</w:t>
      </w:r>
    </w:p>
    <w:p w14:paraId="7B973374" w14:textId="77777777" w:rsidR="00FF7D14" w:rsidRDefault="00FF7D14"/>
    <w:p w14:paraId="729DE020" w14:textId="77777777" w:rsidR="0071093D" w:rsidRDefault="0071093D"/>
    <w:p w14:paraId="2DAC168D" w14:textId="77777777" w:rsidR="0071093D" w:rsidRDefault="0071093D"/>
    <w:p w14:paraId="3DE9DA7E" w14:textId="77777777" w:rsidR="0071093D" w:rsidRDefault="0071093D"/>
    <w:p w14:paraId="4F6FE140" w14:textId="77777777" w:rsidR="0071093D" w:rsidRDefault="0071093D"/>
    <w:p w14:paraId="1221270D" w14:textId="77777777" w:rsidR="0071093D" w:rsidRDefault="0071093D"/>
    <w:p w14:paraId="1CE3C630" w14:textId="77777777" w:rsidR="0071093D" w:rsidRDefault="0071093D"/>
    <w:p w14:paraId="6936D635" w14:textId="77777777" w:rsidR="00E93DC1" w:rsidRDefault="00E93DC1" w:rsidP="001675AF">
      <w:pPr>
        <w:spacing w:after="0" w:line="360" w:lineRule="auto"/>
        <w:ind w:right="116"/>
        <w:rPr>
          <w:rFonts w:ascii="Times New Roman" w:eastAsia="Times New Roman" w:hAnsi="Times New Roman" w:cs="Times New Roman"/>
          <w:color w:val="000000"/>
          <w:lang w:eastAsia="pt-BR"/>
        </w:rPr>
      </w:pPr>
    </w:p>
    <w:p w14:paraId="77C4A6FC" w14:textId="77777777" w:rsidR="00E93DC1" w:rsidRDefault="00E93DC1" w:rsidP="00E93DC1">
      <w:pPr>
        <w:spacing w:after="0" w:line="360" w:lineRule="auto"/>
        <w:ind w:left="108" w:right="116" w:firstLine="709"/>
        <w:rPr>
          <w:rFonts w:ascii="Times New Roman" w:eastAsia="Times New Roman" w:hAnsi="Times New Roman" w:cs="Times New Roman"/>
          <w:color w:val="000000"/>
          <w:lang w:eastAsia="pt-BR"/>
        </w:rPr>
      </w:pPr>
    </w:p>
    <w:p w14:paraId="4E471BCA" w14:textId="63059F58" w:rsidR="00E93DC1" w:rsidRDefault="00E93DC1" w:rsidP="00E93DC1">
      <w:pPr>
        <w:spacing w:after="0" w:line="360" w:lineRule="auto"/>
        <w:ind w:left="108" w:right="116" w:firstLine="709"/>
        <w:rPr>
          <w:rFonts w:ascii="Times New Roman" w:eastAsia="Times New Roman" w:hAnsi="Times New Roman" w:cs="Times New Roman"/>
          <w:color w:val="000000"/>
          <w:lang w:eastAsia="pt-BR"/>
        </w:rPr>
      </w:pPr>
    </w:p>
    <w:p w14:paraId="69BECBD5" w14:textId="579E948D" w:rsidR="006459A8" w:rsidRDefault="006459A8" w:rsidP="00E93DC1">
      <w:pPr>
        <w:spacing w:after="0" w:line="360" w:lineRule="auto"/>
        <w:ind w:left="108" w:right="116" w:firstLine="709"/>
        <w:rPr>
          <w:rFonts w:ascii="Times New Roman" w:eastAsia="Times New Roman" w:hAnsi="Times New Roman" w:cs="Times New Roman"/>
          <w:color w:val="000000"/>
          <w:lang w:eastAsia="pt-BR"/>
        </w:rPr>
      </w:pPr>
    </w:p>
    <w:p w14:paraId="79B5CDD2" w14:textId="77777777" w:rsidR="006459A8" w:rsidRPr="00F1063A" w:rsidRDefault="006459A8" w:rsidP="00E93DC1">
      <w:pPr>
        <w:spacing w:after="0" w:line="360" w:lineRule="auto"/>
        <w:ind w:left="108" w:right="116" w:firstLine="709"/>
        <w:rPr>
          <w:rFonts w:ascii="Times New Roman" w:eastAsia="Times New Roman" w:hAnsi="Times New Roman" w:cs="Times New Roman"/>
          <w:color w:val="000000"/>
          <w:lang w:eastAsia="pt-BR"/>
        </w:rPr>
      </w:pPr>
    </w:p>
    <w:p w14:paraId="7ADA89D7" w14:textId="12FC1EBE" w:rsidR="00B75425" w:rsidRPr="00B22644" w:rsidRDefault="00B75425" w:rsidP="00B22644">
      <w:pPr>
        <w:suppressAutoHyphens/>
        <w:spacing w:after="0" w:line="360" w:lineRule="auto"/>
        <w:jc w:val="center"/>
        <w:rPr>
          <w:rFonts w:ascii="Times New Roman" w:eastAsia="Times New Roman" w:hAnsi="Times New Roman" w:cs="Times New Roman"/>
          <w:b/>
          <w:bCs/>
          <w:sz w:val="24"/>
          <w:szCs w:val="24"/>
          <w:lang w:val="en-US" w:eastAsia="ar-SA"/>
        </w:rPr>
      </w:pPr>
      <w:r w:rsidRPr="00F1063A">
        <w:rPr>
          <w:rFonts w:ascii="Times New Roman" w:eastAsia="Times New Roman" w:hAnsi="Times New Roman" w:cs="Times New Roman"/>
          <w:b/>
          <w:bCs/>
          <w:sz w:val="24"/>
          <w:szCs w:val="24"/>
          <w:lang w:val="en-US" w:eastAsia="ar-SA"/>
        </w:rPr>
        <w:t>A REDE DOS ANARQUISTAS ITALIANOS EM SÃO PAULO NO INÍCIO DO SÉCULO XX</w:t>
      </w:r>
      <w:r w:rsidR="00F1063A" w:rsidRPr="007925E5">
        <w:rPr>
          <w:rFonts w:ascii="Times New Roman" w:eastAsia="Times New Roman" w:hAnsi="Times New Roman" w:cs="Times New Roman"/>
          <w:sz w:val="24"/>
          <w:szCs w:val="24"/>
          <w:vertAlign w:val="superscript"/>
          <w:lang w:eastAsia="ar-SA"/>
        </w:rPr>
        <w:footnoteReference w:id="30"/>
      </w:r>
    </w:p>
    <w:p w14:paraId="2CE6F96A" w14:textId="77777777" w:rsidR="007925E5" w:rsidRPr="007925E5" w:rsidRDefault="007925E5" w:rsidP="007925E5">
      <w:pPr>
        <w:suppressAutoHyphens/>
        <w:spacing w:after="0" w:line="100" w:lineRule="atLeast"/>
        <w:jc w:val="center"/>
        <w:rPr>
          <w:rFonts w:ascii="Times New Roman" w:eastAsia="Times New Roman" w:hAnsi="Times New Roman" w:cs="Times New Roman"/>
          <w:b/>
          <w:bCs/>
          <w:sz w:val="24"/>
          <w:szCs w:val="24"/>
          <w:lang w:val="en-US" w:eastAsia="ar-SA"/>
        </w:rPr>
      </w:pPr>
    </w:p>
    <w:p w14:paraId="33FB182C" w14:textId="77777777" w:rsidR="007925E5" w:rsidRPr="007925E5" w:rsidRDefault="007925E5" w:rsidP="007925E5">
      <w:pPr>
        <w:suppressAutoHyphens/>
        <w:spacing w:after="0" w:line="100" w:lineRule="atLeast"/>
        <w:rPr>
          <w:rFonts w:ascii="Times New Roman" w:eastAsia="Times New Roman" w:hAnsi="Times New Roman" w:cs="Times New Roman"/>
          <w:b/>
          <w:bCs/>
          <w:sz w:val="24"/>
          <w:szCs w:val="24"/>
          <w:lang w:val="en-US" w:eastAsia="ar-SA"/>
        </w:rPr>
      </w:pPr>
    </w:p>
    <w:p w14:paraId="42DB2075" w14:textId="77777777" w:rsidR="005931F0" w:rsidRDefault="005931F0" w:rsidP="005931F0">
      <w:pPr>
        <w:pStyle w:val="NormalWeb"/>
        <w:spacing w:before="0" w:beforeAutospacing="0" w:after="0" w:afterAutospacing="0"/>
        <w:jc w:val="right"/>
      </w:pPr>
      <w:r>
        <w:rPr>
          <w:b/>
          <w:bCs/>
          <w:i/>
          <w:iCs/>
          <w:color w:val="000000"/>
        </w:rPr>
        <w:t>Carlo Maurizio Romani</w:t>
      </w:r>
    </w:p>
    <w:p w14:paraId="6B79057D" w14:textId="4BF46BA3" w:rsidR="005931F0" w:rsidRDefault="005931F0" w:rsidP="00E2462F">
      <w:pPr>
        <w:pStyle w:val="NormalWeb"/>
        <w:spacing w:before="0" w:beforeAutospacing="0" w:after="0" w:afterAutospacing="0" w:line="276" w:lineRule="auto"/>
        <w:jc w:val="right"/>
        <w:rPr>
          <w:color w:val="000000"/>
        </w:rPr>
      </w:pPr>
      <w:r>
        <w:rPr>
          <w:color w:val="000000"/>
        </w:rPr>
        <w:t>Professor adjunto do Departamento de História da Universidade Federal do Estado do Rio de Janeiro (UNIRIO); Doutor em História Cultural pela Universidade Estadual de Campinas (UNICAMP); Mestre em História Social pela Universidade Estadual de Campinas (UNICAMP); Graduado em História pela Universidade de São Paulo (USP).</w:t>
      </w:r>
    </w:p>
    <w:p w14:paraId="13B61A05" w14:textId="4A7C75AA" w:rsidR="00E2462F" w:rsidRDefault="00E2462F" w:rsidP="00FF79A8">
      <w:pPr>
        <w:pStyle w:val="NormalWeb"/>
        <w:spacing w:before="0" w:beforeAutospacing="0" w:after="0" w:afterAutospacing="0" w:line="276" w:lineRule="auto"/>
        <w:jc w:val="right"/>
        <w:rPr>
          <w:color w:val="000000"/>
        </w:rPr>
      </w:pPr>
    </w:p>
    <w:p w14:paraId="2E47DCEA" w14:textId="77777777" w:rsidR="00E2462F" w:rsidRPr="00E2462F" w:rsidRDefault="00E2462F" w:rsidP="00E2462F">
      <w:pPr>
        <w:spacing w:after="0" w:line="240" w:lineRule="auto"/>
        <w:jc w:val="right"/>
        <w:rPr>
          <w:rFonts w:ascii="Times New Roman" w:eastAsia="Times New Roman" w:hAnsi="Times New Roman" w:cs="Times New Roman"/>
          <w:sz w:val="24"/>
          <w:szCs w:val="24"/>
          <w:lang w:eastAsia="pt-BR"/>
        </w:rPr>
      </w:pPr>
      <w:r w:rsidRPr="00E2462F">
        <w:rPr>
          <w:rFonts w:ascii="Times New Roman" w:eastAsia="Times New Roman" w:hAnsi="Times New Roman" w:cs="Times New Roman"/>
          <w:b/>
          <w:bCs/>
          <w:i/>
          <w:iCs/>
          <w:color w:val="000000"/>
          <w:sz w:val="24"/>
          <w:szCs w:val="24"/>
          <w:lang w:eastAsia="pt-BR"/>
        </w:rPr>
        <w:t>Bruno Corrêa de Sá e Benevides</w:t>
      </w:r>
    </w:p>
    <w:p w14:paraId="15F2BE7F" w14:textId="77777777" w:rsidR="00E2462F" w:rsidRPr="00E2462F" w:rsidRDefault="00E2462F" w:rsidP="00E2462F">
      <w:pPr>
        <w:spacing w:after="0" w:line="240" w:lineRule="auto"/>
        <w:jc w:val="right"/>
        <w:rPr>
          <w:rFonts w:ascii="Times New Roman" w:eastAsia="Times New Roman" w:hAnsi="Times New Roman" w:cs="Times New Roman"/>
          <w:sz w:val="24"/>
          <w:szCs w:val="24"/>
          <w:lang w:eastAsia="pt-BR"/>
        </w:rPr>
      </w:pPr>
      <w:r w:rsidRPr="00E2462F">
        <w:rPr>
          <w:rFonts w:ascii="Times New Roman" w:eastAsia="Times New Roman" w:hAnsi="Times New Roman" w:cs="Times New Roman"/>
          <w:color w:val="000000"/>
          <w:sz w:val="24"/>
          <w:szCs w:val="24"/>
          <w:lang w:eastAsia="pt-BR"/>
        </w:rPr>
        <w:t>Formação: Doutorando de História na Fundação Oswaldo Cruz, FIOCRUZ; Mestre em</w:t>
      </w:r>
    </w:p>
    <w:p w14:paraId="1C82DE8A" w14:textId="77777777" w:rsidR="00E2462F" w:rsidRPr="00E2462F" w:rsidRDefault="00E2462F" w:rsidP="00E2462F">
      <w:pPr>
        <w:spacing w:after="0" w:line="240" w:lineRule="auto"/>
        <w:jc w:val="right"/>
        <w:rPr>
          <w:rFonts w:ascii="Times New Roman" w:eastAsia="Times New Roman" w:hAnsi="Times New Roman" w:cs="Times New Roman"/>
          <w:sz w:val="24"/>
          <w:szCs w:val="24"/>
          <w:lang w:eastAsia="pt-BR"/>
        </w:rPr>
      </w:pPr>
      <w:r w:rsidRPr="00E2462F">
        <w:rPr>
          <w:rFonts w:ascii="Times New Roman" w:eastAsia="Times New Roman" w:hAnsi="Times New Roman" w:cs="Times New Roman"/>
          <w:color w:val="000000"/>
          <w:sz w:val="24"/>
          <w:szCs w:val="24"/>
          <w:lang w:eastAsia="pt-BR"/>
        </w:rPr>
        <w:t>História na Universidade Federal do Estado do Rio de Janeiro, UNIRIO (2018).</w:t>
      </w:r>
    </w:p>
    <w:p w14:paraId="63A003C9" w14:textId="77777777" w:rsidR="00E2462F" w:rsidRPr="00E2462F" w:rsidRDefault="00E2462F" w:rsidP="00E2462F">
      <w:pPr>
        <w:spacing w:after="0" w:line="240" w:lineRule="auto"/>
        <w:jc w:val="right"/>
        <w:rPr>
          <w:rFonts w:ascii="Times New Roman" w:eastAsia="Times New Roman" w:hAnsi="Times New Roman" w:cs="Times New Roman"/>
          <w:sz w:val="24"/>
          <w:szCs w:val="24"/>
          <w:lang w:eastAsia="pt-BR"/>
        </w:rPr>
      </w:pPr>
      <w:r w:rsidRPr="00E2462F">
        <w:rPr>
          <w:rFonts w:ascii="Times New Roman" w:eastAsia="Times New Roman" w:hAnsi="Times New Roman" w:cs="Times New Roman"/>
          <w:color w:val="000000"/>
          <w:sz w:val="24"/>
          <w:szCs w:val="24"/>
          <w:lang w:eastAsia="pt-BR"/>
        </w:rPr>
        <w:t>Graduado em História pela mesma instituição (UNIRIO, 2015). Experiência</w:t>
      </w:r>
    </w:p>
    <w:p w14:paraId="0CBE23F1" w14:textId="77777777" w:rsidR="00E2462F" w:rsidRPr="00E2462F" w:rsidRDefault="00E2462F" w:rsidP="00E2462F">
      <w:pPr>
        <w:spacing w:after="0" w:line="240" w:lineRule="auto"/>
        <w:jc w:val="right"/>
        <w:rPr>
          <w:rFonts w:ascii="Times New Roman" w:eastAsia="Times New Roman" w:hAnsi="Times New Roman" w:cs="Times New Roman"/>
          <w:sz w:val="24"/>
          <w:szCs w:val="24"/>
          <w:lang w:eastAsia="pt-BR"/>
        </w:rPr>
      </w:pPr>
      <w:r w:rsidRPr="00E2462F">
        <w:rPr>
          <w:rFonts w:ascii="Times New Roman" w:eastAsia="Times New Roman" w:hAnsi="Times New Roman" w:cs="Times New Roman"/>
          <w:color w:val="000000"/>
          <w:sz w:val="24"/>
          <w:szCs w:val="24"/>
          <w:lang w:eastAsia="pt-BR"/>
        </w:rPr>
        <w:t>Profissional: Professor na rede privada do Ensino Básico.</w:t>
      </w:r>
    </w:p>
    <w:p w14:paraId="1DC7BB61" w14:textId="77777777" w:rsidR="007925E5" w:rsidRPr="007925E5" w:rsidRDefault="007925E5" w:rsidP="00E2462F">
      <w:pPr>
        <w:suppressAutoHyphens/>
        <w:spacing w:after="0" w:line="276" w:lineRule="auto"/>
        <w:rPr>
          <w:rFonts w:ascii="Times New Roman" w:eastAsia="Times New Roman" w:hAnsi="Times New Roman" w:cs="Times New Roman"/>
          <w:sz w:val="24"/>
          <w:szCs w:val="24"/>
          <w:lang w:eastAsia="ar-SA"/>
        </w:rPr>
      </w:pPr>
    </w:p>
    <w:p w14:paraId="126C2FD7" w14:textId="77777777" w:rsidR="007925E5" w:rsidRPr="007925E5" w:rsidRDefault="007925E5" w:rsidP="007925E5">
      <w:pPr>
        <w:suppressAutoHyphens/>
        <w:spacing w:after="0" w:line="100" w:lineRule="atLeast"/>
        <w:rPr>
          <w:rFonts w:ascii="Times New Roman" w:eastAsia="Times New Roman" w:hAnsi="Times New Roman" w:cs="Times New Roman"/>
          <w:sz w:val="24"/>
          <w:szCs w:val="24"/>
          <w:lang w:eastAsia="ar-SA"/>
        </w:rPr>
      </w:pPr>
    </w:p>
    <w:p w14:paraId="5B73F60A"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Resumo</w:t>
      </w:r>
      <w:r w:rsidRPr="007925E5">
        <w:rPr>
          <w:rFonts w:ascii="Times New Roman" w:eastAsia="Times New Roman" w:hAnsi="Times New Roman" w:cs="Times New Roman"/>
          <w:sz w:val="24"/>
          <w:szCs w:val="24"/>
          <w:lang w:eastAsia="ar-SA"/>
        </w:rPr>
        <w:t xml:space="preserve">: O fluxo migratório de anarquistas italianos, tendo como destino o cone Sul-Americano, fez parte das redes transnacionais construídas pelos militantes, especialmente entre o final do </w:t>
      </w:r>
      <w:r w:rsidRPr="007925E5">
        <w:rPr>
          <w:rFonts w:ascii="Times New Roman" w:eastAsia="Times New Roman" w:hAnsi="Times New Roman" w:cs="Times New Roman"/>
          <w:i/>
          <w:sz w:val="24"/>
          <w:szCs w:val="24"/>
          <w:lang w:eastAsia="ar-SA"/>
        </w:rPr>
        <w:t>dezenove</w:t>
      </w:r>
      <w:r w:rsidRPr="007925E5">
        <w:rPr>
          <w:rFonts w:ascii="Times New Roman" w:eastAsia="Times New Roman" w:hAnsi="Times New Roman" w:cs="Times New Roman"/>
          <w:sz w:val="24"/>
          <w:szCs w:val="24"/>
          <w:lang w:eastAsia="ar-SA"/>
        </w:rPr>
        <w:t xml:space="preserve"> e início do século XX. O encontro de muitos anarquistas italianos em São Paulo permitiu a criação de vários grupos de afinidades para o aperfeiçoamento da propaganda. Através das análises biográficas dos principais anarquistas que escreveram no periódico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(Oreste Ristori, Alessandro Cerchiai, Angelo Bandoni, Tobia Boni e Gigi Damiani), pretendemos demonstrar que tais relações de afinidades foram mediadas a partir das identidades sociais desses ativistas. Nos últimos anos, os anarquistas italianos em São Paulo têm sido classificados como sendo individualistas por uma nova historiografia que não é capaz de investigar as peculiaridades deste grupo. Portanto, esta proposta compartilha a ideia de que o anarquismo transatlântico, em razão de sua complexidade, apenas pode ser compreendido por análises específicas.</w:t>
      </w:r>
    </w:p>
    <w:p w14:paraId="0AB2BA8C"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 xml:space="preserve">Palavras-chave: </w:t>
      </w:r>
      <w:r w:rsidRPr="007925E5">
        <w:rPr>
          <w:rFonts w:ascii="Times New Roman" w:eastAsia="Times New Roman" w:hAnsi="Times New Roman" w:cs="Times New Roman"/>
          <w:sz w:val="24"/>
          <w:szCs w:val="24"/>
          <w:lang w:eastAsia="ar-SA"/>
        </w:rPr>
        <w:t>anarquismo; imigração italiana; transnacional; biografias; São Paulo</w:t>
      </w:r>
    </w:p>
    <w:p w14:paraId="05AB4955"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p>
    <w:p w14:paraId="1728E566"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b/>
          <w:sz w:val="24"/>
          <w:szCs w:val="24"/>
          <w:lang w:val="en-US" w:eastAsia="ar-SA"/>
        </w:rPr>
        <w:lastRenderedPageBreak/>
        <w:t>Abtract</w:t>
      </w:r>
      <w:r w:rsidRPr="007925E5">
        <w:rPr>
          <w:rFonts w:ascii="Times New Roman" w:eastAsia="Times New Roman" w:hAnsi="Times New Roman" w:cs="Times New Roman"/>
          <w:sz w:val="24"/>
          <w:szCs w:val="24"/>
          <w:lang w:val="en-US" w:eastAsia="ar-SA"/>
        </w:rPr>
        <w:t>: The Italian anarchist immigration to the South American cone was part of transnational networks built by the anarchist activists, especially in the end of the 19th and the beginning of the 20th centuries. The encounter of many Italian anarchists in São Paulo allowed the creation of several affinity groups working together to improve the propaganda. Through the biographical analysis of the principal anarchists writing in La Battaglia (Oreste Ristori, Alessandro Cerchiai, Angelo Bandoni, Tobia Boni, Gigi Damiani), we intend to show that the affinity relationships were mediated by the social identities of the activists. In the last years, the Italian anarchists in São Paulo have been classified as individualists by a new historiography which isn't able to investigate the singularity of this group. Therefore, this proposal shares the idea that, due to its complexity, the transatlantic anarchism can only be understood by specific analysis.</w:t>
      </w:r>
    </w:p>
    <w:p w14:paraId="16F53148"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b/>
          <w:sz w:val="24"/>
          <w:szCs w:val="24"/>
          <w:lang w:val="en-US" w:eastAsia="ar-SA"/>
        </w:rPr>
        <w:t xml:space="preserve">Key words: </w:t>
      </w:r>
      <w:r w:rsidRPr="007925E5">
        <w:rPr>
          <w:rFonts w:ascii="Times New Roman" w:eastAsia="Times New Roman" w:hAnsi="Times New Roman" w:cs="Times New Roman"/>
          <w:sz w:val="24"/>
          <w:szCs w:val="24"/>
          <w:lang w:val="en-US" w:eastAsia="ar-SA"/>
        </w:rPr>
        <w:t>anarchism; Italian immigration; transnational; biographies; São Paulo</w:t>
      </w:r>
    </w:p>
    <w:p w14:paraId="5770459C"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val="en-US" w:eastAsia="ar-SA"/>
        </w:rPr>
      </w:pPr>
    </w:p>
    <w:p w14:paraId="092B6331" w14:textId="77777777" w:rsidR="007925E5" w:rsidRPr="007925E5" w:rsidRDefault="007925E5" w:rsidP="007925E5">
      <w:pPr>
        <w:suppressAutoHyphens/>
        <w:spacing w:after="0" w:line="360" w:lineRule="auto"/>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b/>
          <w:sz w:val="24"/>
          <w:szCs w:val="24"/>
          <w:lang w:eastAsia="ar-SA"/>
        </w:rPr>
        <w:t>Apresentação</w:t>
      </w:r>
    </w:p>
    <w:p w14:paraId="6089096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É impossível pesquisar o movimento dos trabalhadores no Brasil, em seus anos iniciais, distante de uma abordagem transnacional que envolva os imigrantes pertencentes às esquerdas. A atenção não deve ser direcionada apenas às relações estabelecidas nos territórios de origem, mas precisa, da mesma forma, incluir as redes de afinidades entre trabalhadores e militantes de países sul-americanos. Visto deste modo, um estudo sobre as origens do movimento operário brasileiro requer a compreensão das práticas políticas transnacionais a partir de imigrantes italianos e ibéricos e, além disso, a circulação de ideias e de militantes no país, na Argentina e no Uruguai.</w:t>
      </w:r>
    </w:p>
    <w:p w14:paraId="043A432F"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No início do século XX um forte movimento operário emergiu em São Paulo, a cidade industrial mais importante do Brasil. Quando tentamos identificar as redes de militantes nesta cidade, percebemos que a participação do imigrante italiano foi essencial para o seu desenvolvimento (HALL, </w:t>
      </w:r>
      <w:proofErr w:type="gramStart"/>
      <w:r w:rsidRPr="007925E5">
        <w:rPr>
          <w:rFonts w:ascii="Times New Roman" w:eastAsia="Times New Roman" w:hAnsi="Times New Roman" w:cs="Times New Roman"/>
          <w:sz w:val="24"/>
          <w:szCs w:val="24"/>
          <w:lang w:eastAsia="ar-SA"/>
        </w:rPr>
        <w:t>1975;  TRENTO</w:t>
      </w:r>
      <w:proofErr w:type="gramEnd"/>
      <w:r w:rsidRPr="007925E5">
        <w:rPr>
          <w:rFonts w:ascii="Times New Roman" w:eastAsia="Times New Roman" w:hAnsi="Times New Roman" w:cs="Times New Roman"/>
          <w:sz w:val="24"/>
          <w:szCs w:val="24"/>
          <w:lang w:eastAsia="ar-SA"/>
        </w:rPr>
        <w:t xml:space="preserve">, 1984). De fato, é impossível falar em movimento operário nessa região antes do final do século XIX, quando a maioria dos italianos emigrados ao país partiram das zonas rurais em direção às áreas urbanas. O intenso fluxo de estrangeiros provenientes da Itália foi responsável por trazer muitas ideias anarquistas e socialistas, que aterrizaram no solo brasileiro em um contexto </w:t>
      </w:r>
      <w:r w:rsidRPr="007925E5">
        <w:rPr>
          <w:rFonts w:ascii="Times New Roman" w:eastAsia="Times New Roman" w:hAnsi="Times New Roman" w:cs="Times New Roman"/>
          <w:sz w:val="24"/>
          <w:szCs w:val="24"/>
          <w:lang w:eastAsia="ar-SA"/>
        </w:rPr>
        <w:lastRenderedPageBreak/>
        <w:t>marcado pela míngua de proposições políticas pertencentes à esquerda.</w:t>
      </w:r>
      <w:r w:rsidRPr="007925E5">
        <w:rPr>
          <w:rFonts w:ascii="Times New Roman" w:eastAsia="Times New Roman" w:hAnsi="Times New Roman" w:cs="Times New Roman"/>
          <w:sz w:val="20"/>
          <w:szCs w:val="20"/>
          <w:vertAlign w:val="superscript"/>
          <w:lang w:eastAsia="ar-SA"/>
        </w:rPr>
        <w:footnoteReference w:id="31"/>
      </w:r>
      <w:r w:rsidRPr="007925E5">
        <w:rPr>
          <w:rFonts w:ascii="Times New Roman" w:eastAsia="Times New Roman" w:hAnsi="Times New Roman" w:cs="Times New Roman"/>
          <w:sz w:val="24"/>
          <w:szCs w:val="24"/>
          <w:lang w:eastAsia="ar-SA"/>
        </w:rPr>
        <w:t xml:space="preserve"> Portanto, as ações mais visíveis foram tomadas por anarquistas e por grupos socialistas revolucionários, cujos militantes foram responsáveis pela edição de vários jornais impressos desde meados da década de 1890 e pela organização de inúmeros círculos sociais fundados no início do novo século (TRENTO, 2001: 102-120 e TOLEDO; BIONDI, 2010: 363-93). Neste ensaio, vamos nos concentrar na influência do anarquismo italiano nas primeiras organizações operárias do Estado paulista.</w:t>
      </w:r>
    </w:p>
    <w:p w14:paraId="4A300D3C"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Para estudar o anarquismo italiano, uma abordagem transnacional não é apenas uma alternativa, mas, segundo Davide Turcato, a maneira necessária e mais eficaz de perseguir seu impacto no exterior (TURCATO, 2007: 407–44).</w:t>
      </w:r>
      <w:r w:rsidRPr="007925E5">
        <w:rPr>
          <w:rFonts w:ascii="Times New Roman" w:eastAsia="Times New Roman" w:hAnsi="Times New Roman" w:cs="Times New Roman"/>
          <w:sz w:val="20"/>
          <w:szCs w:val="20"/>
          <w:vertAlign w:val="superscript"/>
          <w:lang w:eastAsia="ar-SA"/>
        </w:rPr>
        <w:footnoteReference w:id="32"/>
      </w:r>
      <w:r w:rsidRPr="007925E5">
        <w:rPr>
          <w:rFonts w:ascii="Times New Roman" w:eastAsia="Times New Roman" w:hAnsi="Times New Roman" w:cs="Times New Roman"/>
          <w:sz w:val="24"/>
          <w:szCs w:val="24"/>
          <w:lang w:eastAsia="ar-SA"/>
        </w:rPr>
        <w:t xml:space="preserve"> Ao rastrear a genealogia do movimento libertário italiano, somos geralmente direcionados para os primeiros contatos que aconteceram no interior da AIT, a Associação Internacional de Trabalhadores, e a ruptura entre Karl Marx (1818-1883) e Carlo Cafiero (1846-1892), um ativista italiano que seguiu as proposições de Bakunin e a Internacional autonomista surgida após o fim daquela centralista, em 1872 (MASINI, 2014). Os principais ativistas italianos na AIT, especialmente Cafiero, Errico Malatesta (1853-1932) e Andrea Costa (1851-1910) tornaram-se propagandistas do socialismo não-autoritário (ou anarquismo) e construtores das seções da AIT na Itália durante a década de 1870.</w:t>
      </w:r>
      <w:r w:rsidRPr="007925E5">
        <w:rPr>
          <w:rFonts w:ascii="Times New Roman" w:eastAsia="Times New Roman" w:hAnsi="Times New Roman" w:cs="Times New Roman"/>
          <w:sz w:val="20"/>
          <w:szCs w:val="20"/>
          <w:vertAlign w:val="superscript"/>
          <w:lang w:eastAsia="ar-SA"/>
        </w:rPr>
        <w:footnoteReference w:id="33"/>
      </w:r>
    </w:p>
    <w:p w14:paraId="30788240"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estreita relação entre os italianos e muitos ativistas internacionalistas da Federação do Jura, baseada na Confederação Suíça, traduz a característica transnacional do anarquismo italiano desde suas origens. Além disso, a implacável perseguição da polícia da Itália contra todos os ativistas internacionalistas das seções da AIT e, nos anos seguintes, contra todos os propagandistas do anarquismo, obrigou-os a fugir para países estrangeiros. De preferência, os militantes fugitivos encontraram refúgio nos países </w:t>
      </w:r>
      <w:r w:rsidRPr="007925E5">
        <w:rPr>
          <w:rFonts w:ascii="Times New Roman" w:eastAsia="Times New Roman" w:hAnsi="Times New Roman" w:cs="Times New Roman"/>
          <w:sz w:val="24"/>
          <w:szCs w:val="24"/>
          <w:lang w:eastAsia="ar-SA"/>
        </w:rPr>
        <w:lastRenderedPageBreak/>
        <w:t>vizinhos, em primeiro lugar a Suíça, e depois a França e a Bélgica. Por outro lado, esses indivíduos exilados passaram a fazer parte da diáspora transatlântica nos países da América do Norte e do Sul, às vezes superando seus laços tradicionais, mas sem nunca esquecer as práticas originais.</w:t>
      </w:r>
    </w:p>
    <w:p w14:paraId="1A29A7B8"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Como mencionado, as redes transnacionais construídas por ativistas anarquistas no final do século XIX e início do XX já são muito conhecidas pela historiografia especializada. Diferentes tipos de estudos se concentraram não apenas na América do Norte, mas também em muitos países latino-americanos, como México, Argentina, Uruguai e Brasil.</w:t>
      </w:r>
      <w:r w:rsidRPr="007925E5">
        <w:rPr>
          <w:rFonts w:ascii="Times New Roman" w:eastAsia="Times New Roman" w:hAnsi="Times New Roman" w:cs="Times New Roman"/>
          <w:sz w:val="20"/>
          <w:szCs w:val="20"/>
          <w:vertAlign w:val="superscript"/>
          <w:lang w:eastAsia="ar-SA"/>
        </w:rPr>
        <w:footnoteReference w:id="34"/>
      </w:r>
      <w:r w:rsidRPr="007925E5">
        <w:rPr>
          <w:rFonts w:ascii="Times New Roman" w:eastAsia="Times New Roman" w:hAnsi="Times New Roman" w:cs="Times New Roman"/>
          <w:sz w:val="24"/>
          <w:szCs w:val="24"/>
          <w:lang w:eastAsia="ar-SA"/>
        </w:rPr>
        <w:t xml:space="preserve"> A maioria dos trabalhos se dedica à compreensão do movimento operário, entretanto existem pesquisas voltadas para o entendimento das redes culturais e da proposição de uma educação libertária.</w:t>
      </w:r>
      <w:r w:rsidRPr="007925E5">
        <w:rPr>
          <w:rFonts w:ascii="Times New Roman" w:eastAsia="Times New Roman" w:hAnsi="Times New Roman" w:cs="Times New Roman"/>
          <w:sz w:val="20"/>
          <w:szCs w:val="20"/>
          <w:vertAlign w:val="superscript"/>
          <w:lang w:eastAsia="ar-SA"/>
        </w:rPr>
        <w:footnoteReference w:id="35"/>
      </w:r>
      <w:r w:rsidRPr="007925E5">
        <w:rPr>
          <w:rFonts w:ascii="Times New Roman" w:eastAsia="Times New Roman" w:hAnsi="Times New Roman" w:cs="Times New Roman"/>
          <w:sz w:val="24"/>
          <w:szCs w:val="24"/>
          <w:lang w:eastAsia="ar-SA"/>
        </w:rPr>
        <w:t xml:space="preserve"> A imigração anarquista italiana para o cone sul-americano fez parte dessa história transatlântica, apoiando sindicatos, imprensa operária e desenvolvendo escolas anarquistas, sendo estudada em muitas dessas e outras obras (BAYER, 2003: 136-52 e ROMANI, 2015).</w:t>
      </w:r>
    </w:p>
    <w:p w14:paraId="4B1408D9"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Na época das grandes migrações europeias, o Brasil era um importante local receptor de imigrantes e anarquistas italianos. Esses ativistas conceberam o anarquismo de maneiras diferentes, baseado não apenas em conceitos ou ideias, mas </w:t>
      </w:r>
      <w:proofErr w:type="gramStart"/>
      <w:r w:rsidRPr="007925E5">
        <w:rPr>
          <w:rFonts w:ascii="Times New Roman" w:eastAsia="Times New Roman" w:hAnsi="Times New Roman" w:cs="Times New Roman"/>
          <w:sz w:val="24"/>
          <w:szCs w:val="24"/>
          <w:lang w:eastAsia="ar-SA"/>
        </w:rPr>
        <w:t>também  fortemente</w:t>
      </w:r>
      <w:proofErr w:type="gramEnd"/>
      <w:r w:rsidRPr="007925E5">
        <w:rPr>
          <w:rFonts w:ascii="Times New Roman" w:eastAsia="Times New Roman" w:hAnsi="Times New Roman" w:cs="Times New Roman"/>
          <w:sz w:val="24"/>
          <w:szCs w:val="24"/>
          <w:lang w:eastAsia="ar-SA"/>
        </w:rPr>
        <w:t xml:space="preserve"> influenciados por suas origens de classe e suas identidades culturais e regionais. O encontro de muitos militantes em São Paulo permitiu a criação de vários grupos de afinidades trabalhando e apoiando uma importante agenda de propaganda política.</w:t>
      </w:r>
    </w:p>
    <w:p w14:paraId="5AA43FDA"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Um desses esforços resultou no jornal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um periódico muito popular e duradouro, teve mais de 360 </w:t>
      </w:r>
      <w:proofErr w:type="gramStart"/>
      <w:r w:rsidRPr="007925E5">
        <w:rPr>
          <w:rFonts w:ascii="Times New Roman" w:eastAsia="Times New Roman" w:hAnsi="Times New Roman" w:cs="Times New Roman"/>
          <w:sz w:val="24"/>
          <w:szCs w:val="24"/>
          <w:lang w:eastAsia="ar-SA"/>
        </w:rPr>
        <w:t>números  publicados</w:t>
      </w:r>
      <w:proofErr w:type="gramEnd"/>
      <w:r w:rsidRPr="007925E5">
        <w:rPr>
          <w:rFonts w:ascii="Times New Roman" w:eastAsia="Times New Roman" w:hAnsi="Times New Roman" w:cs="Times New Roman"/>
          <w:sz w:val="24"/>
          <w:szCs w:val="24"/>
          <w:lang w:eastAsia="ar-SA"/>
        </w:rPr>
        <w:t xml:space="preserve"> quase que ininterruptamente durante nove anos desde sua primeira aparição, em junho de 1904 (BIONDI, 1998: 117-149). Luigi Biondi ressaltou a percepção etnocêntrica que o grupo de anarquistas italianos reunidos em torno do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possuía sobre o Brasil. Não pretendemos contradizer </w:t>
      </w:r>
      <w:r w:rsidRPr="007925E5">
        <w:rPr>
          <w:rFonts w:ascii="Times New Roman" w:eastAsia="Times New Roman" w:hAnsi="Times New Roman" w:cs="Times New Roman"/>
          <w:sz w:val="24"/>
          <w:szCs w:val="24"/>
          <w:lang w:eastAsia="ar-SA"/>
        </w:rPr>
        <w:lastRenderedPageBreak/>
        <w:t>a interpretação do autor, mas, à luz de uma abordagem diferenciada, a nossa proposta visa capturar as identidades regionais da rede anárquica construída no exterior e como tais laços interferiram nessa percepção.</w:t>
      </w:r>
    </w:p>
    <w:p w14:paraId="6A3271EC"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Através das análises biográficas dos anarquistas que mais frequentemente escreveram naquele jornal, Oreste Ristori, Alessandro Cerchiai, Angelo Bandoni, Tobia Boni e Gigi Damiani (que inicialmente se autodenominaram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xml:space="preserve">), pretendemos mostrar que as relações de afinidades, mesmo no movimento transnacional, eram mediadas pelas identidades sociais originais dos ativistas. Assim como Bandoni, nascido na Córsega, mas vivendo a maior parte de sua juventude na península itálica, esses homens nasceram ou cresceram na Itália central. Os quatro primeiros na Toscana, fator capaz de tornar este grupo muito unido, e Damiani em Roma. Suas trajetórias pintam um quadro mais ou menos similar. Todos vinham de classes sociais subalternas com poucas ou nenhumas fontes materiais. Por exemplo, Ristori era filho de trabalhadores diaristas e o pai de Bandoni era um artesão. Todos encontraram o anarquismo em sua juventude e passaram pelas prisões do Reino e no </w:t>
      </w:r>
      <w:proofErr w:type="gramStart"/>
      <w:r w:rsidRPr="007925E5">
        <w:rPr>
          <w:rFonts w:ascii="Times New Roman" w:eastAsia="Times New Roman" w:hAnsi="Times New Roman" w:cs="Times New Roman"/>
          <w:i/>
          <w:sz w:val="24"/>
          <w:szCs w:val="24"/>
          <w:lang w:eastAsia="ar-SA"/>
        </w:rPr>
        <w:t>domicilio</w:t>
      </w:r>
      <w:proofErr w:type="gramEnd"/>
      <w:r w:rsidRPr="007925E5">
        <w:rPr>
          <w:rFonts w:ascii="Times New Roman" w:eastAsia="Times New Roman" w:hAnsi="Times New Roman" w:cs="Times New Roman"/>
          <w:i/>
          <w:sz w:val="24"/>
          <w:szCs w:val="24"/>
          <w:lang w:eastAsia="ar-SA"/>
        </w:rPr>
        <w:t xml:space="preserve"> coatto</w:t>
      </w:r>
      <w:r w:rsidRPr="007925E5">
        <w:rPr>
          <w:rFonts w:ascii="Times New Roman" w:eastAsia="Times New Roman" w:hAnsi="Times New Roman" w:cs="Times New Roman"/>
          <w:sz w:val="24"/>
          <w:szCs w:val="24"/>
          <w:lang w:eastAsia="ar-SA"/>
        </w:rPr>
        <w:t>,</w:t>
      </w:r>
      <w:r w:rsidRPr="007925E5">
        <w:rPr>
          <w:rFonts w:ascii="Times New Roman" w:eastAsia="Times New Roman" w:hAnsi="Times New Roman" w:cs="Times New Roman"/>
          <w:sz w:val="20"/>
          <w:szCs w:val="20"/>
          <w:vertAlign w:val="superscript"/>
          <w:lang w:eastAsia="ar-SA"/>
        </w:rPr>
        <w:footnoteReference w:id="36"/>
      </w:r>
      <w:r w:rsidRPr="007925E5">
        <w:rPr>
          <w:rFonts w:ascii="Times New Roman" w:eastAsia="Times New Roman" w:hAnsi="Times New Roman" w:cs="Times New Roman"/>
          <w:sz w:val="24"/>
          <w:szCs w:val="24"/>
          <w:lang w:eastAsia="ar-SA"/>
        </w:rPr>
        <w:t xml:space="preserve"> onde obtiveram uma formação política mais sólida através do contato com outros militantes italianos de maior proeminência. Também é possível identificar pontos de similaridades nas práticas de ações individuais (comuns nas classes sociais mais baixas) em determinado momento de suas vidas. Na fase adulta, mudaram de posição para ideias anarquistas-comunistas, inspiradas no pensamento de Errico Malatesta, mas sempre preservando a característica rebelde diante de todo tipo de autoridade (RICHARDS, 2015: 27-30).</w:t>
      </w:r>
      <w:r w:rsidRPr="007925E5">
        <w:rPr>
          <w:rFonts w:ascii="Times New Roman" w:eastAsia="Times New Roman" w:hAnsi="Times New Roman" w:cs="Times New Roman"/>
          <w:sz w:val="24"/>
          <w:szCs w:val="24"/>
          <w:vertAlign w:val="superscript"/>
          <w:lang w:eastAsia="ar-SA"/>
        </w:rPr>
        <w:footnoteReference w:id="37"/>
      </w:r>
    </w:p>
    <w:p w14:paraId="2C4961DF"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Surpreendentemente, nos últimos anos, o grupo heterodoxo de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foi diminuído e pejorativamente classificado como insurrecionalista ou individualista por vários historiadores, seguindo a tese lançada por Lucien Van der Walt e Michael Schmidt (2009: 132).</w:t>
      </w:r>
      <w:r w:rsidRPr="007925E5">
        <w:rPr>
          <w:rFonts w:ascii="Times New Roman" w:eastAsia="Times New Roman" w:hAnsi="Times New Roman" w:cs="Times New Roman"/>
          <w:sz w:val="20"/>
          <w:szCs w:val="20"/>
          <w:vertAlign w:val="superscript"/>
          <w:lang w:eastAsia="ar-SA"/>
        </w:rPr>
        <w:footnoteReference w:id="38"/>
      </w:r>
      <w:r w:rsidRPr="007925E5">
        <w:rPr>
          <w:rFonts w:ascii="Times New Roman" w:eastAsia="Times New Roman" w:hAnsi="Times New Roman" w:cs="Times New Roman"/>
          <w:sz w:val="24"/>
          <w:szCs w:val="24"/>
          <w:lang w:eastAsia="ar-SA"/>
        </w:rPr>
        <w:t xml:space="preserve"> Esta recente historiografia, que se proclama anarquista, adotou uma </w:t>
      </w:r>
      <w:r w:rsidRPr="007925E5">
        <w:rPr>
          <w:rFonts w:ascii="Times New Roman" w:eastAsia="Times New Roman" w:hAnsi="Times New Roman" w:cs="Times New Roman"/>
          <w:sz w:val="24"/>
          <w:szCs w:val="24"/>
          <w:lang w:eastAsia="ar-SA"/>
        </w:rPr>
        <w:lastRenderedPageBreak/>
        <w:t>concepção estruturalista da história ao generalizar e dividir, de forma restrita, o anarquismo global em duas correntes distintas: uma antiorganizacional e insurrecionalista e outra organizacional e sindicalista. Fortemente baseada em sua própria posição ideológica, esta perspectiva histórica não tem sido capaz de destacar as singularidades existentes em diferentes nações, movimentos e grupos, na contramão do que a história social tem produzido desde Thompson</w:t>
      </w:r>
      <w:r w:rsidRPr="007925E5">
        <w:rPr>
          <w:rFonts w:ascii="Times New Roman" w:eastAsia="Times New Roman" w:hAnsi="Times New Roman" w:cs="Times New Roman"/>
          <w:sz w:val="20"/>
          <w:szCs w:val="20"/>
          <w:vertAlign w:val="superscript"/>
          <w:lang w:eastAsia="ar-SA"/>
        </w:rPr>
        <w:footnoteReference w:id="39"/>
      </w:r>
      <w:r w:rsidRPr="007925E5">
        <w:rPr>
          <w:rFonts w:ascii="Times New Roman" w:eastAsia="Times New Roman" w:hAnsi="Times New Roman" w:cs="Times New Roman"/>
          <w:sz w:val="24"/>
          <w:szCs w:val="24"/>
          <w:lang w:eastAsia="ar-SA"/>
        </w:rPr>
        <w:t>. Deste modo, percorrendo o caminho da história social, e seguindo a interpretação de Turcato sobre o movimento libertário italiano, pretendemos enfatizar que “uma análise transnacional revela novas formas de integração, continuidade e organização, baseadas na mobilidade de militantes, recursos e ideias através do Oceano Atlântico”, sugerindo também que uma compreensão plural do anarquismo é fundamental para o seu pleno entendimento, isso em razão da sua capacidade de reunir diferentes práticas de organização a cada caso específico (TURCATO, 2007: 407).</w:t>
      </w:r>
    </w:p>
    <w:p w14:paraId="163C7A83"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p>
    <w:p w14:paraId="2934A68B" w14:textId="77777777" w:rsidR="001B294C" w:rsidRPr="001B294C" w:rsidRDefault="007925E5" w:rsidP="007925E5">
      <w:pPr>
        <w:suppressAutoHyphens/>
        <w:spacing w:after="0" w:line="360" w:lineRule="auto"/>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t>O Anarquismo Italiano no Brasil</w:t>
      </w:r>
    </w:p>
    <w:p w14:paraId="63E5E9C0"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ideia do anarquismo como uma planta exótica foi uma tese anedótica desenvolvida e difundida pelas elites políticas brasileiras no início do século XX para explicar a impossibilidade do seu florescimento em terras brasileiras (FAUSTO, 1976: 67-8). Grande erro, pois em menos de 20 anos, liderado por grupos anarquistas que atuaram dentro e fora dos sindicatos, o movimento dos trabalhadores organizou diversas greves, sendo a principal delas a Greve Geral de São Paulo, em julho de 1917 (LOPREATO, 2000).</w:t>
      </w:r>
    </w:p>
    <w:p w14:paraId="064560FE"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Embora muitos italianos vinham migrando para determinados países da América do Sul desde meados do século XIX, só podemos falar de um fluxo migratório em massa, a partir da década de 1880. De fato, em um primeiro momento, a maioria teve como destino a Argentina e apenas anos após o Brasil teria também forte atratividade. No Brasil, os estrangeiros provenientes da Itália geralmente se instalaram em grandes fazendas de café do sudeste, ou em pequenas propriedades familiares no sul do país. No final do </w:t>
      </w:r>
      <w:r w:rsidRPr="007925E5">
        <w:rPr>
          <w:rFonts w:ascii="Times New Roman" w:eastAsia="Times New Roman" w:hAnsi="Times New Roman" w:cs="Times New Roman"/>
          <w:i/>
          <w:sz w:val="24"/>
          <w:szCs w:val="24"/>
          <w:lang w:eastAsia="ar-SA"/>
        </w:rPr>
        <w:lastRenderedPageBreak/>
        <w:t>oitocentos</w:t>
      </w:r>
      <w:r w:rsidRPr="007925E5">
        <w:rPr>
          <w:rFonts w:ascii="Times New Roman" w:eastAsia="Times New Roman" w:hAnsi="Times New Roman" w:cs="Times New Roman"/>
          <w:sz w:val="24"/>
          <w:szCs w:val="24"/>
          <w:lang w:eastAsia="ar-SA"/>
        </w:rPr>
        <w:t>, as cidades industriais em pleno crescimento começaram a atrair outro perfil de imigrantes. Se num primeiro momento imigrantes do norte da Itália viajaram em grande número para o Brasil, em um segundo momento vieram de todas as regiões da península. Entre 1890 e 1920, a população da cidade de São Paulo cresceu explosivamente, saltando de 65.000 para 580.000 habitantes, tornando-se um atraente polo industrial para todos os imigrantes que viajavam para a América do Sul</w:t>
      </w:r>
      <w:r w:rsidRPr="007925E5">
        <w:rPr>
          <w:rFonts w:ascii="Times New Roman" w:eastAsia="Times New Roman" w:hAnsi="Times New Roman" w:cs="Times New Roman"/>
          <w:sz w:val="24"/>
          <w:szCs w:val="24"/>
          <w:vertAlign w:val="superscript"/>
          <w:lang w:val="en-US" w:eastAsia="ar-SA"/>
        </w:rPr>
        <w:t xml:space="preserve"> </w:t>
      </w:r>
      <w:r w:rsidRPr="007925E5">
        <w:rPr>
          <w:rFonts w:ascii="Times New Roman" w:eastAsia="Times New Roman" w:hAnsi="Times New Roman" w:cs="Times New Roman"/>
          <w:sz w:val="20"/>
          <w:szCs w:val="20"/>
          <w:vertAlign w:val="superscript"/>
          <w:lang w:eastAsia="ar-SA"/>
        </w:rPr>
        <w:footnoteReference w:id="40"/>
      </w:r>
    </w:p>
    <w:p w14:paraId="2EA69584"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fundação da Colônia Cecilia em 1890 (uma comunidade coletiva estabelecida no Estado do Paraná pelo médico Giovanni Rossi) é apontada pela historiografia tradicional como o momento inicial do surgimento do anarquismo no Brasil.</w:t>
      </w:r>
      <w:bookmarkStart w:id="15" w:name="twtargettext2"/>
      <w:r w:rsidRPr="007925E5">
        <w:rPr>
          <w:rFonts w:ascii="Times New Roman" w:eastAsia="Times New Roman" w:hAnsi="Times New Roman" w:cs="Times New Roman"/>
          <w:sz w:val="24"/>
          <w:szCs w:val="24"/>
          <w:lang w:eastAsia="ar-SA"/>
        </w:rPr>
        <w:t xml:space="preserve"> Os colonos ali residentes praticavam relações de poliandria, amor livre (o que significava a possibilidade de viver junto sem casamento oficial) e utilizavam recursos econômicos a partir de uma renda comunitária. Como todas essas iniciativas gozavam de certo ineditismo em solo brasileiro, talvez isso explique, em parte, o mito criado em torno de Colônia Cecilia (FELICI, 2001). A colônia durou até 1894, quando foi encerrada por causa de conflitos internos, mas, mesmo assim, essa experiência inusitada ganhou fama internacional e foi identificada como ponto de partida do anarquismo no Brasil.</w:t>
      </w:r>
    </w:p>
    <w:p w14:paraId="47C2A6FE"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Após o término do projeto, muitos dos membros da Cecília, como Francesco Gattai e sua família, e Arturo Compagnoli, permaneceram no Brasil mudando-se para áreas urbanas como Curitiba e São Paulo. Gigi Damiani, apesar de não pertencer ao grupo original de colonos, teve contato com alguns de seus membros durante sua permanência na Capital curitibana, a partir de 1897. A ideia da Colônia Cecília como sendo o “mito fundador” do anarquismo no Brasil tem sido contestada por alguns historiadores. Trabalhos realizados nos últimos trinta anos, incluindo o abrangente trabalho de Isabelle Felici (1994), mostraram que importantes ações anarquistas realizadas por imigrantes italianos em São Paulo, Paraná e Rio Grande do Sul, foram organizadas por outros militantes que nunca chegaram perto da área rural onde a Colônia havia sido instalada.</w:t>
      </w:r>
    </w:p>
    <w:p w14:paraId="118D4767"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Resumindo essa história e abordando com mais detalhes a organização dos trabalhadores italianos no Brasil, podemos voltar ao ano de 1892.</w:t>
      </w:r>
      <w:r w:rsidRPr="007925E5">
        <w:rPr>
          <w:rFonts w:ascii="Times New Roman" w:eastAsia="Times New Roman" w:hAnsi="Times New Roman" w:cs="Times New Roman"/>
          <w:sz w:val="20"/>
          <w:szCs w:val="20"/>
          <w:vertAlign w:val="superscript"/>
          <w:lang w:eastAsia="ar-SA"/>
        </w:rPr>
        <w:footnoteReference w:id="41"/>
      </w:r>
      <w:r w:rsidRPr="007925E5">
        <w:rPr>
          <w:rFonts w:ascii="Times New Roman" w:eastAsia="Times New Roman" w:hAnsi="Times New Roman" w:cs="Times New Roman"/>
          <w:sz w:val="24"/>
          <w:szCs w:val="24"/>
          <w:lang w:eastAsia="ar-SA"/>
        </w:rPr>
        <w:t xml:space="preserve"> Nesse ano, um grupo de anarquistas fundou em São Paulo o </w:t>
      </w:r>
      <w:r w:rsidRPr="007925E5">
        <w:rPr>
          <w:rFonts w:ascii="Times New Roman" w:eastAsia="Times New Roman" w:hAnsi="Times New Roman" w:cs="Times New Roman"/>
          <w:i/>
          <w:sz w:val="24"/>
          <w:szCs w:val="24"/>
          <w:lang w:eastAsia="ar-SA"/>
        </w:rPr>
        <w:t>Gli Schiavi Bianchi</w:t>
      </w:r>
      <w:r w:rsidRPr="007925E5">
        <w:rPr>
          <w:rFonts w:ascii="Times New Roman" w:eastAsia="Times New Roman" w:hAnsi="Times New Roman" w:cs="Times New Roman"/>
          <w:sz w:val="24"/>
          <w:szCs w:val="24"/>
          <w:lang w:eastAsia="ar-SA"/>
        </w:rPr>
        <w:t xml:space="preserve">, que pode ser considerado o primeiro jornal de fato libertário impresso no Brasil, cujo diretor, Galileo Botti, um propagandista anarquista, havia acabado de chegar da Argentina dois anos antes. Esse periódico inaugurou uma fase em que uma série de jornais de idêntica natureza, em língua italiana, seria publicada em São Paulo até o final do século XIX. Os mais visíveis foram </w:t>
      </w:r>
      <w:r w:rsidRPr="007925E5">
        <w:rPr>
          <w:rFonts w:ascii="Times New Roman" w:eastAsia="Times New Roman" w:hAnsi="Times New Roman" w:cs="Times New Roman"/>
          <w:i/>
          <w:sz w:val="24"/>
          <w:szCs w:val="24"/>
          <w:lang w:eastAsia="ar-SA"/>
        </w:rPr>
        <w:t>L'Operaio</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L'Asino Umano</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L'Avvenire</w:t>
      </w:r>
      <w:r w:rsidRPr="007925E5">
        <w:rPr>
          <w:rFonts w:ascii="Times New Roman" w:eastAsia="Times New Roman" w:hAnsi="Times New Roman" w:cs="Times New Roman"/>
          <w:sz w:val="24"/>
          <w:szCs w:val="24"/>
          <w:lang w:eastAsia="ar-SA"/>
        </w:rPr>
        <w:t xml:space="preserve"> (todos editados por Felici Vezzani), </w:t>
      </w:r>
      <w:r w:rsidRPr="007925E5">
        <w:rPr>
          <w:rFonts w:ascii="Times New Roman" w:eastAsia="Times New Roman" w:hAnsi="Times New Roman" w:cs="Times New Roman"/>
          <w:i/>
          <w:sz w:val="24"/>
          <w:szCs w:val="24"/>
          <w:lang w:eastAsia="ar-SA"/>
        </w:rPr>
        <w:t>Il Risveglio</w:t>
      </w:r>
      <w:r w:rsidRPr="007925E5">
        <w:rPr>
          <w:rFonts w:ascii="Times New Roman" w:eastAsia="Times New Roman" w:hAnsi="Times New Roman" w:cs="Times New Roman"/>
          <w:sz w:val="24"/>
          <w:szCs w:val="24"/>
          <w:lang w:eastAsia="ar-SA"/>
        </w:rPr>
        <w:t xml:space="preserve"> (editado por Alfredo Mari e Gigi Damiani). Em comum, os periódicos tinham o fato de sofrerem com a perseguição policial ter todos os seus diretores incriminados ela prática de “anarquismo”, então passível de crime.</w:t>
      </w:r>
    </w:p>
    <w:p w14:paraId="73F8E7D2"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Na última década do </w:t>
      </w:r>
      <w:r w:rsidRPr="007925E5">
        <w:rPr>
          <w:rFonts w:ascii="Times New Roman" w:eastAsia="Times New Roman" w:hAnsi="Times New Roman" w:cs="Times New Roman"/>
          <w:i/>
          <w:sz w:val="24"/>
          <w:szCs w:val="24"/>
          <w:lang w:eastAsia="ar-SA"/>
        </w:rPr>
        <w:t>oitocentos</w:t>
      </w:r>
      <w:r w:rsidRPr="007925E5">
        <w:rPr>
          <w:rFonts w:ascii="Times New Roman" w:eastAsia="Times New Roman" w:hAnsi="Times New Roman" w:cs="Times New Roman"/>
          <w:sz w:val="24"/>
          <w:szCs w:val="24"/>
          <w:lang w:eastAsia="ar-SA"/>
        </w:rPr>
        <w:t xml:space="preserve">, Felice Vezzani pode ser considerado o ativista italiano que introduziu o movimento anarquista na classe trabalhadora paulista, antes de sua expulsão para Buenos Aires em 1895. Ativista sindical, Vezzani chegou ao Brasil em 1893 vindo de Bolonha, onde havia quebrado seus laços com o Partido Socialista Italiano e aderiu a posições anárquicas (ANTONIOLI et al, 2004). Mas sempre ocupou uma posição singular dentro do movimento, uma espécie de voz bipolar devido à sua simpatia por tendências individualistas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por suas posições sindicalistas no início da organização da classe operária em São Paulo.</w:t>
      </w:r>
    </w:p>
    <w:p w14:paraId="2EE26657"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Já no início do século XX, os jornais anarquistas italianos impressos em São Paulo, como </w:t>
      </w:r>
      <w:r w:rsidRPr="007925E5">
        <w:rPr>
          <w:rFonts w:ascii="Times New Roman" w:eastAsia="Times New Roman" w:hAnsi="Times New Roman" w:cs="Times New Roman"/>
          <w:i/>
          <w:sz w:val="24"/>
          <w:szCs w:val="24"/>
          <w:lang w:eastAsia="ar-SA"/>
        </w:rPr>
        <w:t>La Nuova Gente</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Palestra Social</w:t>
      </w:r>
      <w:r w:rsidRPr="007925E5">
        <w:rPr>
          <w:rFonts w:ascii="Times New Roman" w:eastAsia="Times New Roman" w:hAnsi="Times New Roman" w:cs="Times New Roman"/>
          <w:sz w:val="24"/>
          <w:szCs w:val="24"/>
          <w:lang w:eastAsia="ar-SA"/>
        </w:rPr>
        <w:t xml:space="preserve"> (dirigido por Tobia Boni),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(de Angelo Bandoni), estavam prontos para defender os trabalhadores, mas ao mesmo tempo assumiam uma posição contra os sindicatos existentes. Em parte, é possível explicar esse fenômeno em razão da ausência no Brasil de um movimento operário efetivamente organizado. Encontravam-se na maior parte do país em fins do XIX, inclusive no Rio de </w:t>
      </w:r>
      <w:r w:rsidRPr="007925E5">
        <w:rPr>
          <w:rFonts w:ascii="Times New Roman" w:eastAsia="Times New Roman" w:hAnsi="Times New Roman" w:cs="Times New Roman"/>
          <w:sz w:val="24"/>
          <w:szCs w:val="24"/>
          <w:lang w:eastAsia="ar-SA"/>
        </w:rPr>
        <w:lastRenderedPageBreak/>
        <w:t>Janeiro, apenas associações de trabalhadores voltadas para a caridade, caixas de benefício ou de socorro mútuo, influenciadas pela maçonaria e algumas vinculadas às instituições do Estado (BATALHA, 2004: 95-119). Isso era predominante, inclusive, dentro do próprio círculo italiano de trabalhadores (BIONDI, 2012: 75-104). No entanto, o forte aumento da população italiana entre os trabalhadores, forçou uma mudança no discurso e nas práticas dos militantes anarquistas.</w:t>
      </w:r>
    </w:p>
    <w:p w14:paraId="3E7CE59B"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Durante a primeira década de 1900, o movimento socialista e anarquista em São Paulo, que prevalecia dentro da numerosa colônia italiana, teve que conversar com esses novos trabalhadores urbanos e ajudá-los a se organizar em uma forma de sindicato de combate que não existia até então. No início é possível identificar uma forte presença do socialismo, em duas diferentes definições e características: uma revolucionária, presente na abordagem sindicalista de Alceste De Ambris (que havia fundado em 1900 o jornal </w:t>
      </w:r>
      <w:r w:rsidRPr="007925E5">
        <w:rPr>
          <w:rFonts w:ascii="Times New Roman" w:eastAsia="Times New Roman" w:hAnsi="Times New Roman" w:cs="Times New Roman"/>
          <w:i/>
          <w:sz w:val="24"/>
          <w:szCs w:val="24"/>
          <w:lang w:eastAsia="ar-SA"/>
        </w:rPr>
        <w:t>Avanti!</w:t>
      </w:r>
      <w:r w:rsidRPr="007925E5">
        <w:rPr>
          <w:rFonts w:ascii="Times New Roman" w:eastAsia="Times New Roman" w:hAnsi="Times New Roman" w:cs="Times New Roman"/>
          <w:sz w:val="24"/>
          <w:szCs w:val="24"/>
          <w:lang w:eastAsia="ar-SA"/>
        </w:rPr>
        <w:t>, a edição homônima do original italiano), ou em sua forma reformista com Antonio Piccarolo (que assumiu a direção do periódico depois que De Ambris retornou à Itália em 1903). Nesses primeiros anos, socialistas e anarquistas dividiram e disputaram a liderança do movimento operário ítalo-brasileiro em São Paulo, até a celebração do Primeiro Congresso Operário Brasileiro em 1906.</w:t>
      </w:r>
      <w:bookmarkStart w:id="16" w:name="productTitle"/>
      <w:bookmarkEnd w:id="15"/>
      <w:r w:rsidRPr="007925E5">
        <w:rPr>
          <w:rFonts w:ascii="Times New Roman" w:eastAsia="Times New Roman" w:hAnsi="Times New Roman" w:cs="Times New Roman"/>
          <w:sz w:val="24"/>
          <w:szCs w:val="24"/>
          <w:lang w:eastAsia="ar-SA"/>
        </w:rPr>
        <w:t xml:space="preserve"> A partir desse momento, a associação entre ativistas sindicalistas revolucionários, como Giulio Sorelli,</w:t>
      </w:r>
      <w:r w:rsidRPr="007925E5">
        <w:rPr>
          <w:rFonts w:ascii="Times New Roman" w:eastAsia="Times New Roman" w:hAnsi="Times New Roman" w:cs="Times New Roman"/>
          <w:sz w:val="20"/>
          <w:szCs w:val="20"/>
          <w:vertAlign w:val="superscript"/>
          <w:lang w:eastAsia="ar-SA"/>
        </w:rPr>
        <w:footnoteReference w:id="42"/>
      </w:r>
      <w:r w:rsidRPr="007925E5">
        <w:rPr>
          <w:rFonts w:ascii="Times New Roman" w:eastAsia="Times New Roman" w:hAnsi="Times New Roman" w:cs="Times New Roman"/>
          <w:sz w:val="24"/>
          <w:szCs w:val="24"/>
          <w:lang w:eastAsia="ar-SA"/>
        </w:rPr>
        <w:t xml:space="preserve"> e as posições anarcossindicalistas dentro dos sindicatos se tornaram hegemônicas. No entanto, os grupos anarquistas sempre demonstraram vitalidade e difusão significativas, especialmente após a saída de De Ambris para a Itália, o que pode ser atestado por várias associações dedicadas à propaganda e atividades sociais e à constante presença de jornais em circulação.</w:t>
      </w:r>
    </w:p>
    <w:p w14:paraId="58814885" w14:textId="77777777" w:rsidR="007925E5" w:rsidRPr="007925E5" w:rsidRDefault="007925E5" w:rsidP="007925E5">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b/>
        <w:t xml:space="preserve">Na tentativa de ampliar o público-alvo entre os trabalhadores, foi feito um esforço para divulgar a propaganda em língua portuguesa, como foi o caso do periódico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1901-1903 (dirigido por Angelo Bandoni) e </w:t>
      </w:r>
      <w:r w:rsidRPr="007925E5">
        <w:rPr>
          <w:rFonts w:ascii="Times New Roman" w:eastAsia="Times New Roman" w:hAnsi="Times New Roman" w:cs="Times New Roman"/>
          <w:i/>
          <w:sz w:val="24"/>
          <w:szCs w:val="24"/>
          <w:lang w:eastAsia="ar-SA"/>
        </w:rPr>
        <w:t>O Amigo do Povo</w:t>
      </w:r>
      <w:r w:rsidRPr="007925E5">
        <w:rPr>
          <w:rFonts w:ascii="Times New Roman" w:eastAsia="Times New Roman" w:hAnsi="Times New Roman" w:cs="Times New Roman"/>
          <w:sz w:val="24"/>
          <w:szCs w:val="24"/>
          <w:lang w:eastAsia="ar-SA"/>
        </w:rPr>
        <w:t xml:space="preserve">, 1902-1905 (pelo anarquista português, Neno Vasco). Outro componente importante para a difusão da propaganda anarquista, mas ao mesmo tempo circunscrevendo-a a uma audiência italiana, foi a chegada, desde 1900, de muitos militantes que já tinham contato e experiência com </w:t>
      </w:r>
      <w:r w:rsidRPr="007925E5">
        <w:rPr>
          <w:rFonts w:ascii="Times New Roman" w:eastAsia="Times New Roman" w:hAnsi="Times New Roman" w:cs="Times New Roman"/>
          <w:sz w:val="24"/>
          <w:szCs w:val="24"/>
          <w:lang w:eastAsia="ar-SA"/>
        </w:rPr>
        <w:lastRenderedPageBreak/>
        <w:t xml:space="preserve">o movimento libertário na Itália e na Argentina. Este segundo grupo de ativistas contribuiu diretamente para a disseminação do movimento, como foi o caso de Gigi Damiani, que chegou em São Paulo somente no ano de 1907 para ajudar a escrever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de Alessandro Cerchiai, proveniente de Lucca, que aportou na cidade em 1901; de Angelo Bandoni, de Livorno, e de Tobia Boni, de Siena, ambos chegados no país no ano de 1900; e Oreste Ristori, de Empoli, município da província de Florença, que entrou no Brasil em 1904, após de passar dois anos vivendo em Buenos Aires e Montevidéu. Ristori tornou-se o organizador do grupo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o mais importante propagandista do anarquismo no Brasil naquela década circulando pelo interior de todo o </w:t>
      </w:r>
      <w:proofErr w:type="gramStart"/>
      <w:r w:rsidRPr="007925E5">
        <w:rPr>
          <w:rFonts w:ascii="Times New Roman" w:eastAsia="Times New Roman" w:hAnsi="Times New Roman" w:cs="Times New Roman"/>
          <w:sz w:val="24"/>
          <w:szCs w:val="24"/>
          <w:lang w:eastAsia="ar-SA"/>
        </w:rPr>
        <w:t>sudeste</w:t>
      </w:r>
      <w:proofErr w:type="gramEnd"/>
      <w:r w:rsidRPr="007925E5">
        <w:rPr>
          <w:rFonts w:ascii="Times New Roman" w:eastAsia="Times New Roman" w:hAnsi="Times New Roman" w:cs="Times New Roman"/>
          <w:sz w:val="24"/>
          <w:szCs w:val="24"/>
          <w:lang w:eastAsia="ar-SA"/>
        </w:rPr>
        <w:t>.</w:t>
      </w:r>
    </w:p>
    <w:p w14:paraId="72C7EEA7" w14:textId="77777777" w:rsidR="007925E5" w:rsidRPr="007925E5" w:rsidRDefault="007925E5" w:rsidP="007925E5">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360" w:lineRule="auto"/>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ab/>
        <w:t xml:space="preserve">A rede anarquista vinha estabelecendo conexões entre ativistas italianos residentes na Argentina e no Brasil desde o final do século XIX. Nesse sentido, seguindo, por exemplo, os passos dados por Oreste Ristori através dos dossiês da Segurança Pública italiana, podemos exemplificar a circulação geográfica naqueles tempos. Desde Buenos, Aires, o inspetor Genovesi escreveu ao Ministro do Interior da Itália, alertando-o que Ristori já conhecia as ações de Vezzani pelas páginas do periódico </w:t>
      </w:r>
      <w:r w:rsidRPr="007925E5">
        <w:rPr>
          <w:rFonts w:ascii="Times New Roman" w:eastAsia="Times New Roman" w:hAnsi="Times New Roman" w:cs="Times New Roman"/>
          <w:i/>
          <w:sz w:val="24"/>
          <w:szCs w:val="24"/>
          <w:lang w:eastAsia="ar-SA"/>
        </w:rPr>
        <w:t>L'Avvenire</w:t>
      </w:r>
      <w:r w:rsidRPr="007925E5">
        <w:rPr>
          <w:rFonts w:ascii="Times New Roman" w:eastAsia="Times New Roman" w:hAnsi="Times New Roman" w:cs="Times New Roman"/>
          <w:sz w:val="24"/>
          <w:szCs w:val="24"/>
          <w:lang w:eastAsia="ar-SA"/>
        </w:rPr>
        <w:t xml:space="preserve">, publicado em Buenos Aires desde 1895 (ZARAGOZA RIVERA, 1996). Assim, Ristori também </w:t>
      </w:r>
      <w:proofErr w:type="gramStart"/>
      <w:r w:rsidRPr="007925E5">
        <w:rPr>
          <w:rFonts w:ascii="Times New Roman" w:eastAsia="Times New Roman" w:hAnsi="Times New Roman" w:cs="Times New Roman"/>
          <w:sz w:val="24"/>
          <w:szCs w:val="24"/>
          <w:lang w:eastAsia="ar-SA"/>
        </w:rPr>
        <w:t>tornou-se</w:t>
      </w:r>
      <w:proofErr w:type="gramEnd"/>
      <w:r w:rsidRPr="007925E5">
        <w:rPr>
          <w:rFonts w:ascii="Times New Roman" w:eastAsia="Times New Roman" w:hAnsi="Times New Roman" w:cs="Times New Roman"/>
          <w:sz w:val="24"/>
          <w:szCs w:val="24"/>
          <w:lang w:eastAsia="ar-SA"/>
        </w:rPr>
        <w:t xml:space="preserve"> um colaborador regular do jornal, antes mesmo de sua chegada em Buenos Aires, em agosto de 1902:</w:t>
      </w:r>
    </w:p>
    <w:p w14:paraId="7B1B82C9" w14:textId="77777777" w:rsidR="007925E5" w:rsidRPr="007925E5" w:rsidRDefault="007925E5" w:rsidP="007925E5">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200" w:lineRule="atLeast"/>
        <w:jc w:val="both"/>
        <w:rPr>
          <w:rFonts w:ascii="Times New Roman" w:eastAsia="Times New Roman" w:hAnsi="Times New Roman" w:cs="Times New Roman"/>
          <w:sz w:val="24"/>
          <w:szCs w:val="24"/>
          <w:lang w:eastAsia="ar-SA"/>
        </w:rPr>
      </w:pPr>
    </w:p>
    <w:p w14:paraId="69755E9D" w14:textId="77777777" w:rsidR="007925E5" w:rsidRPr="007925E5" w:rsidRDefault="007925E5" w:rsidP="007925E5">
      <w:pPr>
        <w:tabs>
          <w:tab w:val="left" w:pos="707"/>
          <w:tab w:val="left" w:pos="1414"/>
          <w:tab w:val="left" w:pos="2122"/>
          <w:tab w:val="left" w:pos="2830"/>
          <w:tab w:val="left" w:pos="3537"/>
          <w:tab w:val="left" w:pos="4245"/>
          <w:tab w:val="left" w:pos="4952"/>
          <w:tab w:val="left" w:pos="5660"/>
          <w:tab w:val="left" w:pos="6367"/>
          <w:tab w:val="left" w:pos="7075"/>
          <w:tab w:val="left" w:pos="7654"/>
        </w:tabs>
        <w:suppressAutoHyphens/>
        <w:spacing w:after="0" w:line="100" w:lineRule="atLeast"/>
        <w:ind w:left="2268"/>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lang w:eastAsia="ar-SA"/>
        </w:rPr>
        <w:t>durante o pouco tempo em que está aqui colocou-se em evidência por uma propaganda incansável, com a palavra através de conferências quase cotidianas, e com a pena através da colaboração assídua ao periódico “L'Avvenire”.</w:t>
      </w:r>
      <w:r w:rsidRPr="007925E5">
        <w:rPr>
          <w:rFonts w:ascii="Times New Roman" w:eastAsia="Times New Roman" w:hAnsi="Times New Roman" w:cs="Times New Roman"/>
          <w:sz w:val="20"/>
          <w:szCs w:val="20"/>
          <w:vertAlign w:val="superscript"/>
          <w:lang w:eastAsia="ar-SA"/>
        </w:rPr>
        <w:footnoteReference w:id="43"/>
      </w:r>
    </w:p>
    <w:p w14:paraId="56BBA824" w14:textId="77777777" w:rsidR="007925E5" w:rsidRPr="007925E5" w:rsidRDefault="007925E5" w:rsidP="007925E5">
      <w:pPr>
        <w:suppressAutoHyphens/>
        <w:spacing w:after="0" w:line="100" w:lineRule="atLeast"/>
        <w:jc w:val="both"/>
        <w:rPr>
          <w:rFonts w:ascii="Times New Roman" w:eastAsia="Times New Roman" w:hAnsi="Times New Roman" w:cs="Times New Roman"/>
          <w:i/>
          <w:sz w:val="24"/>
          <w:szCs w:val="24"/>
          <w:lang w:eastAsia="ar-SA"/>
        </w:rPr>
      </w:pPr>
    </w:p>
    <w:p w14:paraId="782E57A0"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Após a greve geral argentina de dezembro de 1902, Ristori, juntamente com Pascoal Guaglianone, Felix Basterra e outros ativistas italianos, foi deportado para Montevidéu, com base na Lei de Residência, acusado de ser um dos líderes do movimento grevista. No Uruguai, conheceu outros conterrâneos que da mesma forma tinham sido exilados, como atesta o relatório de Genovesi:</w:t>
      </w:r>
    </w:p>
    <w:p w14:paraId="24E47A35"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6C30F813" w14:textId="77777777" w:rsidR="007925E5" w:rsidRPr="007925E5" w:rsidRDefault="007925E5" w:rsidP="007925E5">
      <w:pPr>
        <w:suppressAutoHyphens/>
        <w:spacing w:after="0" w:line="100" w:lineRule="atLeast"/>
        <w:ind w:left="226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lang w:eastAsia="ar-SA"/>
        </w:rPr>
        <w:lastRenderedPageBreak/>
        <w:t>procurou e conseguiu fugir e salvar-se, refugiando-se junto a vários outros líderes da seita em Montevidéu. Com Scopetani e Serantoni que o haviam precedido lá, ele fez de tudo para retomar a publicação do Avvenire naquela cidade</w:t>
      </w:r>
      <w:bookmarkStart w:id="17" w:name="twtargettext3"/>
      <w:r w:rsidRPr="007925E5">
        <w:rPr>
          <w:rFonts w:ascii="Times New Roman" w:eastAsia="Times New Roman" w:hAnsi="Times New Roman" w:cs="Times New Roman"/>
          <w:sz w:val="20"/>
          <w:szCs w:val="20"/>
          <w:vertAlign w:val="superscript"/>
          <w:lang w:eastAsia="ar-SA"/>
        </w:rPr>
        <w:footnoteReference w:id="44"/>
      </w:r>
    </w:p>
    <w:p w14:paraId="2DA9F347"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6BE6C6BA"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De acordo com as fontes policiais, o florentino Alessandro Scopetani era um ativista de pouca instrução, porém de caráter energético,</w:t>
      </w:r>
      <w:r w:rsidRPr="007925E5">
        <w:rPr>
          <w:rFonts w:ascii="Times New Roman" w:eastAsia="Times New Roman" w:hAnsi="Times New Roman" w:cs="Times New Roman"/>
          <w:sz w:val="20"/>
          <w:szCs w:val="20"/>
          <w:vertAlign w:val="superscript"/>
          <w:lang w:eastAsia="ar-SA"/>
        </w:rPr>
        <w:footnoteReference w:id="45"/>
      </w:r>
      <w:r w:rsidRPr="007925E5">
        <w:rPr>
          <w:rFonts w:ascii="Times New Roman" w:eastAsia="Times New Roman" w:hAnsi="Times New Roman" w:cs="Times New Roman"/>
          <w:sz w:val="24"/>
          <w:szCs w:val="24"/>
          <w:lang w:eastAsia="ar-SA"/>
        </w:rPr>
        <w:t xml:space="preserve"> que chegou em Buenos Aires em 1898 e publicou o periódico </w:t>
      </w:r>
      <w:r w:rsidRPr="007925E5">
        <w:rPr>
          <w:rFonts w:ascii="Times New Roman" w:eastAsia="Times New Roman" w:hAnsi="Times New Roman" w:cs="Times New Roman"/>
          <w:i/>
          <w:sz w:val="24"/>
          <w:szCs w:val="24"/>
          <w:lang w:eastAsia="ar-SA"/>
        </w:rPr>
        <w:t>La Nuova Civiltá</w:t>
      </w:r>
      <w:r w:rsidRPr="007925E5">
        <w:rPr>
          <w:rFonts w:ascii="Times New Roman" w:eastAsia="Times New Roman" w:hAnsi="Times New Roman" w:cs="Times New Roman"/>
          <w:sz w:val="24"/>
          <w:szCs w:val="24"/>
          <w:lang w:eastAsia="ar-SA"/>
        </w:rPr>
        <w:t>. Anos antes, Ristori e Scopentani estavam confinados na ilha de Ventotene, onde se conheceram. Diferentemente de Vezzani, Scopentani tinha um perfil antiorganizacionista, ou seja, ele não gostava de agir dentro dos sindicatos. Por outro lado, Fortunato Serantoni, residente na Argentina desde 1893, era um dos mais importantes livreiros e editores anarquistas italianos, com a Livraria Sociológica, uma livraria libertária especializada.</w:t>
      </w:r>
      <w:r w:rsidRPr="007925E5">
        <w:rPr>
          <w:rFonts w:ascii="Times New Roman" w:eastAsia="Times New Roman" w:hAnsi="Times New Roman" w:cs="Times New Roman"/>
          <w:sz w:val="20"/>
          <w:szCs w:val="20"/>
          <w:vertAlign w:val="superscript"/>
          <w:lang w:eastAsia="ar-SA"/>
        </w:rPr>
        <w:footnoteReference w:id="46"/>
      </w:r>
      <w:r w:rsidRPr="007925E5">
        <w:rPr>
          <w:rFonts w:ascii="Times New Roman" w:eastAsia="Times New Roman" w:hAnsi="Times New Roman" w:cs="Times New Roman"/>
          <w:sz w:val="24"/>
          <w:szCs w:val="24"/>
          <w:lang w:eastAsia="ar-SA"/>
        </w:rPr>
        <w:t xml:space="preserve"> Desde 1895 Serantoni era conhecido em São Paulo como o redator de </w:t>
      </w:r>
      <w:r w:rsidRPr="007925E5">
        <w:rPr>
          <w:rFonts w:ascii="Times New Roman" w:eastAsia="Times New Roman" w:hAnsi="Times New Roman" w:cs="Times New Roman"/>
          <w:i/>
          <w:sz w:val="24"/>
          <w:szCs w:val="24"/>
          <w:lang w:eastAsia="ar-SA"/>
        </w:rPr>
        <w:t>La Questione Sociale</w:t>
      </w:r>
      <w:r w:rsidRPr="007925E5">
        <w:rPr>
          <w:rFonts w:ascii="Times New Roman" w:eastAsia="Times New Roman" w:hAnsi="Times New Roman" w:cs="Times New Roman"/>
          <w:sz w:val="24"/>
          <w:szCs w:val="24"/>
          <w:lang w:eastAsia="ar-SA"/>
        </w:rPr>
        <w:t xml:space="preserve">, publicado em Buenos Aires, e por sua livraria que permaneceu aberta até 1901. As obras que publicou eram comumente vendidas no Brasil (livros foram oferecidos nas páginas dos periódicos anarquistas como o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A cidade de Montevidéu permitiu que pessoas deportadas de Buenos Aires se estabelecessem naquela localidade. De fato, a vigilância das forças diplomáticas italianas nunca estabeleceu o mesmo tipo de relação feita entre a polícia uruguaia e as forças policiais argentinas e brasileiras. Montevidéu deve ser incluída como uma forte coluna de apoio à rede anarquista italiana no exterior, especialmente no sentido cultural. Falando sobre isso, o romancista Manoel de Castro, em um trabalho autobiográfico, lembrou das reuniões diárias que frequentou no Café Polo Bamba, onde ele</w:t>
      </w:r>
    </w:p>
    <w:p w14:paraId="0F62C8E8"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5BC21F28" w14:textId="77777777" w:rsidR="007925E5" w:rsidRPr="007925E5" w:rsidRDefault="007925E5" w:rsidP="007925E5">
      <w:pPr>
        <w:suppressAutoHyphens/>
        <w:spacing w:after="0" w:line="100" w:lineRule="atLeast"/>
        <w:ind w:left="2268"/>
        <w:jc w:val="both"/>
        <w:rPr>
          <w:rFonts w:ascii="Times New Roman" w:eastAsia="Times New Roman" w:hAnsi="Times New Roman" w:cs="Times New Roman"/>
          <w:sz w:val="20"/>
          <w:szCs w:val="20"/>
          <w:lang w:eastAsia="ar-SA"/>
        </w:rPr>
      </w:pPr>
      <w:bookmarkStart w:id="18" w:name="twtargettext4"/>
      <w:r w:rsidRPr="007925E5">
        <w:rPr>
          <w:rFonts w:ascii="Times New Roman" w:eastAsia="Times New Roman" w:hAnsi="Times New Roman" w:cs="Times New Roman"/>
          <w:i/>
          <w:lang w:eastAsia="ar-SA"/>
        </w:rPr>
        <w:t xml:space="preserve">podia ver ali distribuído em diferentes mesas, mas comunicando facilmente uns com os outros, toda uma geração de poetas, sociólogos e literatos, em meio à atividade e cujos livros foram publicados por </w:t>
      </w:r>
      <w:r w:rsidRPr="007925E5">
        <w:rPr>
          <w:rFonts w:ascii="Times New Roman" w:eastAsia="Times New Roman" w:hAnsi="Times New Roman" w:cs="Times New Roman"/>
          <w:i/>
          <w:lang w:eastAsia="ar-SA"/>
        </w:rPr>
        <w:lastRenderedPageBreak/>
        <w:t>Orsini Bertani, um anarquista que viveu com Pietro Gori na Itália e com a reverenciada Kropoktin em Londres, e cuja livraria, localizada no coração da rua Sarandi, era ao mesmo tempo outro ponto de encontro de intelectuais e propagandistas. Ele estava cercado por outros anarquistas expatriados, como Guaglianoni, Felix Basterra, Ovidi, Gino Fabri e Ristori.</w:t>
      </w:r>
      <w:r w:rsidRPr="007925E5">
        <w:rPr>
          <w:rFonts w:ascii="Times New Roman" w:eastAsia="Times New Roman" w:hAnsi="Times New Roman" w:cs="Times New Roman"/>
          <w:sz w:val="20"/>
          <w:szCs w:val="20"/>
          <w:vertAlign w:val="superscript"/>
          <w:lang w:eastAsia="ar-SA"/>
        </w:rPr>
        <w:footnoteReference w:id="47"/>
      </w:r>
    </w:p>
    <w:p w14:paraId="4132282F"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0"/>
          <w:szCs w:val="20"/>
          <w:lang w:eastAsia="ar-SA"/>
        </w:rPr>
      </w:pPr>
    </w:p>
    <w:p w14:paraId="3C3C6712"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Portanto, os trabalhadores lutavam dentro das fábricas por meio dos sindicatos organizando greves a partir de uma estreita conexão entre os círculos culturais e sociais apoiados por uma rede muito bem articulada de sindicalistas, propagandistas, intelectuais e editores envolvidos com a chamada Revolução Social. A propósito, todos esses indivíduos sobre os quais escrevemos estavam em busca de uma revolução socialista libertária. </w:t>
      </w:r>
      <w:bookmarkEnd w:id="17"/>
      <w:bookmarkEnd w:id="18"/>
      <w:r w:rsidRPr="007925E5">
        <w:rPr>
          <w:rFonts w:ascii="Times New Roman" w:eastAsia="Times New Roman" w:hAnsi="Times New Roman" w:cs="Times New Roman"/>
          <w:sz w:val="24"/>
          <w:szCs w:val="24"/>
          <w:lang w:eastAsia="ar-SA"/>
        </w:rPr>
        <w:t>O que gostaríamos de reforçar aqui, de acordo com a nossa compreensão do anarquismo explicitada na introdução, é que a força desse movimento residiu precisamente nesse caráter pluralista e interativo de sua organização e não numa divisão binária estruturalista entre pró ou anti sindicalismo, “organização de massa” ou “insurrecionistas”, etc., como defendem Van der Walt e seus seguidores.</w:t>
      </w:r>
      <w:bookmarkStart w:id="19" w:name="twtargettext"/>
    </w:p>
    <w:p w14:paraId="744AE8C4"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Mas nem tudo eram flores entre os anarquistas. Às vezes, a diferença ofusca o desejo de trabalhar juntos por uma causa comum. Por exemplo, a forte perseguição após a greve geral de 1902 em Buenos Aires dividiu o movimento em estratégias a serem adotadas. O grupo de italianos exilados em Montevidéu, tendo Ristori como cabeça, atacou a posição sindicalista do </w:t>
      </w:r>
      <w:r w:rsidRPr="007925E5">
        <w:rPr>
          <w:rFonts w:ascii="Times New Roman" w:eastAsia="Times New Roman" w:hAnsi="Times New Roman" w:cs="Times New Roman"/>
          <w:i/>
          <w:sz w:val="24"/>
          <w:szCs w:val="24"/>
          <w:lang w:eastAsia="ar-SA"/>
        </w:rPr>
        <w:t>La Protesta</w:t>
      </w:r>
      <w:r w:rsidRPr="007925E5">
        <w:rPr>
          <w:rFonts w:ascii="Times New Roman" w:eastAsia="Times New Roman" w:hAnsi="Times New Roman" w:cs="Times New Roman"/>
          <w:sz w:val="24"/>
          <w:szCs w:val="24"/>
          <w:lang w:eastAsia="ar-SA"/>
        </w:rPr>
        <w:t xml:space="preserve"> com o argumento da “inconsciência” da massa para apoiar uma greve naquelas proporções. A discussão ocupou muitas páginas na imprensa anarquista e operária em Buenos Aires e Montevidéu durante o ano de 1903 e foi uma motivação determinante para a mudança de Ristori para São Paulo (Cf.: ROMANI, 2015: 83-106, 114-19). De fato, o aumento de contato entre ele e os libertários ítalo-paulistas foi rapidamente percebido pela vigilância diplomática.</w:t>
      </w:r>
    </w:p>
    <w:p w14:paraId="78D08F20"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740FBC6D" w14:textId="77777777" w:rsidR="007925E5" w:rsidRPr="007925E5" w:rsidRDefault="007925E5" w:rsidP="007925E5">
      <w:pPr>
        <w:suppressAutoHyphens/>
        <w:spacing w:after="0" w:line="100" w:lineRule="atLeast"/>
        <w:ind w:left="2268" w:right="-1"/>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lang w:eastAsia="ar-SA"/>
        </w:rPr>
        <w:t xml:space="preserve">Nota-se, nos últimos tempos, uma relação mais estreita entre ele e vários anarquistas, assinaladamente com Vincenzo Sassi, também residente em S. Paulo e objeto de meu recente relatório, com Bertolini </w:t>
      </w:r>
      <w:r w:rsidRPr="007925E5">
        <w:rPr>
          <w:rFonts w:ascii="Times New Roman" w:eastAsia="Times New Roman" w:hAnsi="Times New Roman" w:cs="Times New Roman"/>
          <w:i/>
          <w:lang w:eastAsia="ar-SA"/>
        </w:rPr>
        <w:lastRenderedPageBreak/>
        <w:t>Ezio editor de um fanzine em Sanpierdarena, com Borzachini Remo [...] e finalmente com Travagllini Enrico redator do Grido della Folla de Milão.</w:t>
      </w:r>
      <w:r w:rsidRPr="007925E5">
        <w:rPr>
          <w:rFonts w:ascii="Times New Roman" w:eastAsia="Times New Roman" w:hAnsi="Times New Roman" w:cs="Times New Roman"/>
          <w:sz w:val="20"/>
          <w:szCs w:val="20"/>
          <w:vertAlign w:val="superscript"/>
          <w:lang w:eastAsia="ar-SA"/>
        </w:rPr>
        <w:footnoteReference w:id="48"/>
      </w:r>
    </w:p>
    <w:p w14:paraId="1ABCA0E7"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517588C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Vincenzo Sassi provavelmente era Attilio Sassi, um anarquista italiano sindicalista, operário de uma mina de manganês no interior de Minas Geras, que viveu em São Paulo durante o ano de 1904, depois de ter sido demitido por causa de uma greve. Deportado para a Itália, Sassi tornou-se um importante sindicalista dentro do movimento anarquista italiano.</w:t>
      </w:r>
      <w:r w:rsidRPr="007925E5">
        <w:rPr>
          <w:rFonts w:ascii="Times New Roman" w:eastAsia="Times New Roman" w:hAnsi="Times New Roman" w:cs="Times New Roman"/>
          <w:sz w:val="20"/>
          <w:szCs w:val="20"/>
          <w:vertAlign w:val="superscript"/>
          <w:lang w:eastAsia="ar-SA"/>
        </w:rPr>
        <w:footnoteReference w:id="49"/>
      </w:r>
      <w:r w:rsidRPr="007925E5">
        <w:rPr>
          <w:rFonts w:ascii="Times New Roman" w:eastAsia="Times New Roman" w:hAnsi="Times New Roman" w:cs="Times New Roman"/>
          <w:sz w:val="24"/>
          <w:szCs w:val="24"/>
          <w:lang w:eastAsia="ar-SA"/>
        </w:rPr>
        <w:t xml:space="preserve"> Do lado oposto, o </w:t>
      </w:r>
      <w:r w:rsidRPr="007925E5">
        <w:rPr>
          <w:rFonts w:ascii="Times New Roman" w:eastAsia="Times New Roman" w:hAnsi="Times New Roman" w:cs="Times New Roman"/>
          <w:i/>
          <w:sz w:val="24"/>
          <w:szCs w:val="24"/>
          <w:lang w:eastAsia="ar-SA"/>
        </w:rPr>
        <w:t>Grido della Folla</w:t>
      </w:r>
      <w:r w:rsidRPr="007925E5">
        <w:rPr>
          <w:rFonts w:ascii="Times New Roman" w:eastAsia="Times New Roman" w:hAnsi="Times New Roman" w:cs="Times New Roman"/>
          <w:sz w:val="24"/>
          <w:szCs w:val="24"/>
          <w:lang w:eastAsia="ar-SA"/>
        </w:rPr>
        <w:t>, de Milão, foi um baluarte tradicional do antiorganizacionismo, com a direção de Giovanni Gavilli, que já havia encontrado Ristori na prisão da ilha de Ventotene. Deste modo, a rede anarquista em desenvolvimento em São Paulo não foi definida de maneira restrita, mas plural.</w:t>
      </w:r>
    </w:p>
    <w:p w14:paraId="250CD904"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 que esse fato evidencia é que os anarquistas italianos emigraram para a América do Sul e, ao se estabeleceram em São Paulo, adotaram diferentes estratégias de organização. Mas, no geral, o que eles claramente contrapunham era a possibilidade de uma espécie de organização tipo a do Partido Anarquista na Itália, que no início do século XX tornara-se um modelo absolutamente irreconciliável para os ideais anarquistas.</w:t>
      </w:r>
      <w:r w:rsidRPr="007925E5">
        <w:rPr>
          <w:rFonts w:ascii="Times New Roman" w:eastAsia="Times New Roman" w:hAnsi="Times New Roman" w:cs="Times New Roman"/>
          <w:sz w:val="20"/>
          <w:szCs w:val="20"/>
          <w:vertAlign w:val="superscript"/>
          <w:lang w:eastAsia="ar-SA"/>
        </w:rPr>
        <w:footnoteReference w:id="50"/>
      </w:r>
      <w:r w:rsidRPr="007925E5">
        <w:rPr>
          <w:rFonts w:ascii="Times New Roman" w:eastAsia="Times New Roman" w:hAnsi="Times New Roman" w:cs="Times New Roman"/>
          <w:sz w:val="24"/>
          <w:szCs w:val="24"/>
          <w:lang w:eastAsia="ar-SA"/>
        </w:rPr>
        <w:t xml:space="preserve"> Nesse momento histórico em que o Partido Socialista Italiano, através do controle majoritário do sindicalismo, minava as bases do anarquismo naquele país, sobressai a posição de Gigi Damiani, que defendia um socialismo não autoritário apoiado numa espécie de organização que privilegiava a relação entre indivíduo e sociedade, como explica Maurizio Antonioli, (ANTONIOLI; MASINI, 1999: 62-3). Essa rede que seria organizada em São Paulo nos anos 1900 é muito complexa. Apesar da maioria dos anarquistas ter vindo de posições individualistas ou de ter tido uma posição negativa em </w:t>
      </w:r>
      <w:r w:rsidRPr="007925E5">
        <w:rPr>
          <w:rFonts w:ascii="Times New Roman" w:eastAsia="Times New Roman" w:hAnsi="Times New Roman" w:cs="Times New Roman"/>
          <w:sz w:val="24"/>
          <w:szCs w:val="24"/>
          <w:lang w:eastAsia="ar-SA"/>
        </w:rPr>
        <w:lastRenderedPageBreak/>
        <w:t xml:space="preserve">relação ao sindicalismo, eles foram capazes de conversar e mover-se dentro de diferentes organizações, estabelecendo boas relações com o grupo do </w:t>
      </w:r>
      <w:r w:rsidRPr="007925E5">
        <w:rPr>
          <w:rFonts w:ascii="Times New Roman" w:eastAsia="Times New Roman" w:hAnsi="Times New Roman" w:cs="Times New Roman"/>
          <w:i/>
          <w:sz w:val="24"/>
          <w:szCs w:val="24"/>
          <w:lang w:eastAsia="ar-SA"/>
        </w:rPr>
        <w:t>Amigo do Povo</w:t>
      </w:r>
      <w:r w:rsidRPr="007925E5">
        <w:rPr>
          <w:rFonts w:ascii="Times New Roman" w:eastAsia="Times New Roman" w:hAnsi="Times New Roman" w:cs="Times New Roman"/>
          <w:sz w:val="24"/>
          <w:szCs w:val="24"/>
          <w:lang w:eastAsia="ar-SA"/>
        </w:rPr>
        <w:t>, Neno Vasco, Giulio Sorelli, Edgard Leuenronth e com outros ativistas sindicalistas. Talvez tenha sido exatamente essa capacidade de intercambiar ideias e ações que causou uma vigilância policial mais próxima, com medo de que a propaganda pudesse se espalhar para diferentes tipos de trabalhadores em São Paulo e em outras regiões brasileiras.</w:t>
      </w:r>
    </w:p>
    <w:p w14:paraId="78EE340F"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Segurança Pública italiana estendia seus braços no exterior usando o serviço secreto da diplomacia italiana em colaboração com as polícias locais. Desde a década de 1880, havia uma estreita relação entre as polícias italianas e argentinas através do consulado italiano em Buenos Aires, concedendo informações secretas às autoridades portenhas sobre a chegada dos anarquistas, considerados criminosos. Na década seguinte, essa rede policial passou a envolver também autoridades brasileiras. De fato, uma troca de correspondências entre as polícias portuárias de Buenos Aires, Montevidéu, Rio de Janeiro e Santos, que monitoravam as deportações dos anarquistas argentinos para a Europa e a expulsão de anarquistas estrangeiros do Brasil, mostra essa interconexão. Os anarquistas deportados através de navios de Buenos Aires normalmente faziam escala no Rio de Janeiro, onde acabavam descendo e permanecendo na América do Sul (GALEANO; ALBORNOZ, 2017: 101-34). A informação policial foi o resultado de um esforço entre as autoridades investigativas brasileiras (no Rio de Janeiro, na época capital do país) junto com a polícia de algumas regiões da Itália e da Argentina, tentando impedir essa circulação, para eles, descontrolada. A implementação de medidas de cooperação internacional para combater o anarquismo, considerado na época um mal que comprometia a segurança nacional, tornou-se um fim a ser perseguido no novo século (GALEANO; ALBORNOZ, 2017).</w:t>
      </w:r>
    </w:p>
    <w:p w14:paraId="655019D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Um exemplo dessa cooperação entre as autoridades dos países sul-americanos foi a informação coletada pela polícia de Buenos Aires em um intercâmbio com a polícia brasileira em 1902. Avisada pelas autoridades policiais italianas que Angelo Bandoni, com seu companheiro Gigi Damiani, estava por trás de uma “trama anárquica no Brasil”, e que ambos estavam fazendo viagens pelo interior de São Paulo ajudando na formação de centros anarquistas,</w:t>
      </w:r>
      <w:r w:rsidRPr="007925E5">
        <w:rPr>
          <w:rFonts w:ascii="Times New Roman" w:eastAsia="Times New Roman" w:hAnsi="Times New Roman" w:cs="Times New Roman"/>
          <w:sz w:val="20"/>
          <w:szCs w:val="20"/>
          <w:vertAlign w:val="superscript"/>
          <w:lang w:eastAsia="ar-SA"/>
        </w:rPr>
        <w:footnoteReference w:id="51"/>
      </w:r>
      <w:r w:rsidRPr="007925E5">
        <w:rPr>
          <w:rFonts w:ascii="Times New Roman" w:eastAsia="Times New Roman" w:hAnsi="Times New Roman" w:cs="Times New Roman"/>
          <w:sz w:val="24"/>
          <w:szCs w:val="24"/>
          <w:lang w:eastAsia="ar-SA"/>
        </w:rPr>
        <w:t xml:space="preserve"> a polícia argentina repassou essa informação para a polícia </w:t>
      </w:r>
      <w:r w:rsidRPr="007925E5">
        <w:rPr>
          <w:rFonts w:ascii="Times New Roman" w:eastAsia="Times New Roman" w:hAnsi="Times New Roman" w:cs="Times New Roman"/>
          <w:sz w:val="24"/>
          <w:szCs w:val="24"/>
          <w:lang w:eastAsia="ar-SA"/>
        </w:rPr>
        <w:lastRenderedPageBreak/>
        <w:t xml:space="preserve">brasileira. O interesse da polícia de Buenos Aires por dados sobre Bandoni (e Damiani) é possivelmente explicada pela circularidade que seu periódico –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 teve, de forma efêmera, na capital argentina (dentro da comunidade italiana estabelecida na região),</w:t>
      </w:r>
      <w:r w:rsidRPr="007925E5">
        <w:rPr>
          <w:rFonts w:ascii="Times New Roman" w:eastAsia="Times New Roman" w:hAnsi="Times New Roman" w:cs="Times New Roman"/>
          <w:sz w:val="20"/>
          <w:szCs w:val="20"/>
          <w:vertAlign w:val="superscript"/>
          <w:lang w:eastAsia="ar-SA"/>
        </w:rPr>
        <w:footnoteReference w:id="52"/>
      </w:r>
      <w:r w:rsidRPr="007925E5">
        <w:rPr>
          <w:rFonts w:ascii="Times New Roman" w:eastAsia="Times New Roman" w:hAnsi="Times New Roman" w:cs="Times New Roman"/>
          <w:sz w:val="24"/>
          <w:szCs w:val="24"/>
          <w:lang w:eastAsia="ar-SA"/>
        </w:rPr>
        <w:t xml:space="preserve"> e que despertou a curiosidade das autoridades que desejavam saber mais sobre seu editor. A riqueza dos laudos policiais é proeminente, pois se por um lado permite demonstrar a troca de informações em uma rede internacional de informações, por outro permite visualizar a penetração e a circularidade dos periódicos publicados pelos anarquistas italianos em São Paulo e enviados para diferentes países da América Latina, especialmente Argentina e Uruguai.</w:t>
      </w:r>
    </w:p>
    <w:p w14:paraId="4CFC0048"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Uma visão geral da trajetória biográfica de Bandoni pode nos mostrar algumas características interessantes do transnacionalismo no anarquismo italiano. Angelo Bandoni nasceu em julho de 1868 em Bastia,</w:t>
      </w:r>
      <w:r w:rsidRPr="007925E5">
        <w:rPr>
          <w:rFonts w:ascii="Times New Roman" w:eastAsia="Times New Roman" w:hAnsi="Times New Roman" w:cs="Times New Roman"/>
          <w:sz w:val="20"/>
          <w:szCs w:val="20"/>
          <w:vertAlign w:val="superscript"/>
          <w:lang w:eastAsia="ar-SA"/>
        </w:rPr>
        <w:footnoteReference w:id="53"/>
      </w:r>
      <w:r w:rsidRPr="007925E5">
        <w:rPr>
          <w:rFonts w:ascii="Times New Roman" w:eastAsia="Times New Roman" w:hAnsi="Times New Roman" w:cs="Times New Roman"/>
          <w:sz w:val="24"/>
          <w:szCs w:val="24"/>
          <w:lang w:eastAsia="ar-SA"/>
        </w:rPr>
        <w:t xml:space="preserve"> ilha da Córsega, um território à época já pertencente ao domínio francês. Bandoni tinha origem italiana por parte materna e paterna, pois ambos eram de Livorno. Seu pai (Giovanni) era um habilidoso artesão na manipulação de mármore, sendo a realidade econômica da família, portanto, bastante modesta.</w:t>
      </w:r>
    </w:p>
    <w:p w14:paraId="7AA3A651"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Bandoni viveu na ilha francesa até a idade de 18 anos, quando migrou para a Itália, estabelecendo-se na cidade de La Spezia (região da Ligúria) em 1886. Quando chegou à península italiana, o país tinha uma massa proletária ainda predominantemente agrária e artesanal, que passava por grandes dificuldades e crescente miséria. O processo de industrialização na região norte e as crises econômicas periódicas geraram um expurgo de proletários desempregados provocando uma profunda desigualdade social entre as regiões norte e sul. Estas condições favoreceram o desenvolvimento do movimento anarquista, especialmente nas províncias da Toscana (Florença, Prato, Livorno, Massa, Carrara) e depois ampliando seu raio de propagação por toda a península até 1898, quando </w:t>
      </w:r>
      <w:r w:rsidRPr="007925E5">
        <w:rPr>
          <w:rFonts w:ascii="Times New Roman" w:eastAsia="Times New Roman" w:hAnsi="Times New Roman" w:cs="Times New Roman"/>
          <w:sz w:val="24"/>
          <w:szCs w:val="24"/>
          <w:lang w:eastAsia="ar-SA"/>
        </w:rPr>
        <w:lastRenderedPageBreak/>
        <w:t>experimentou um processo de enfraquecimento por conta da intensa repressão (LEVY, 1999: 7).</w:t>
      </w:r>
    </w:p>
    <w:p w14:paraId="73305B4C"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 jovem Bandoni passou por diferentes partes do norte da costa tirrênica. Todos esses lugares, portanto, estavam sob grande influência do anarquismo. Foi neste contexto, e em solo italiano, que pela primeira vez manteve contato com ideias libertárias. Após sua primeira aparição registrada em La Spezia (1886), registros da polícia mostram que ele havia sido preso em Lucca (1887) por contrabando e permaneceu privado de sua liberdade até o final de 1890. Tendo cumprida a sua sentença, Angelo Bandoni retornou pela segunda vez para La Spezia. No mesmo ano em que foi libertado, fugiu para a Argélia, uma colônia administrada pelo Estado francês, e lá foi condenado a cinco anos de prisão por furto, roubo e uso de documentos falsos. Em 1895, depois de deixar a prisão, retornou pela terceira vez para La Spezia, quando foi preso novamente (por nove meses) e foi definitivamente expulso da Itália.</w:t>
      </w:r>
    </w:p>
    <w:p w14:paraId="212B65C7"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Em maio de 1898, uma forte onda de repressão assolou os anarquistas. Nesse momento, as forças do rei Umberto I atacaram o cerne do movimento libertário em uma tentativa de suprimir os “subversivos” da Itália.</w:t>
      </w:r>
      <w:r w:rsidRPr="007925E5">
        <w:rPr>
          <w:rFonts w:ascii="Times New Roman" w:eastAsia="Times New Roman" w:hAnsi="Times New Roman" w:cs="Times New Roman"/>
          <w:sz w:val="20"/>
          <w:szCs w:val="20"/>
          <w:vertAlign w:val="superscript"/>
          <w:lang w:eastAsia="ar-SA"/>
        </w:rPr>
        <w:footnoteReference w:id="54"/>
      </w:r>
      <w:r w:rsidRPr="007925E5">
        <w:rPr>
          <w:rFonts w:ascii="Times New Roman" w:eastAsia="Times New Roman" w:hAnsi="Times New Roman" w:cs="Times New Roman"/>
          <w:sz w:val="24"/>
          <w:szCs w:val="24"/>
          <w:lang w:eastAsia="ar-SA"/>
        </w:rPr>
        <w:t xml:space="preserve"> Começaram, assim, uma série de expulsões e prisões em todo o país. Além disso, para o governo italiano, era necessário empurrar essa massa proletária para um lugar distante e suavizar as tensões internas, algo que foi fornecido através da imigração subsidiada para a América (LEVY, 1999: 6). Foi precisamente nesse contexto conflituoso que Bandoni teve sua expulsão decretada, chegando em São Paulo em em maio de 1900. As ações libertárias de Angelo Bandoni durante o período em que viveu no Brasil (cerca de quarenta anos) colocaram mais ênfase na propaganda e informações da conjuntura política aos trabalhadores. Durante esse longo tempo escreveu em vários periódicos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foi responsável pelas edições de alguns outros que ganharam notoriedade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Guerra Sociale</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Alba Rossa</w:t>
      </w:r>
      <w:r w:rsidRPr="007925E5">
        <w:rPr>
          <w:rFonts w:ascii="Times New Roman" w:eastAsia="Times New Roman" w:hAnsi="Times New Roman" w:cs="Times New Roman"/>
          <w:sz w:val="24"/>
          <w:szCs w:val="24"/>
          <w:lang w:eastAsia="ar-SA"/>
        </w:rPr>
        <w:t xml:space="preserve">). Além disso, realizou conferências, organizou escolas </w:t>
      </w:r>
      <w:proofErr w:type="gramStart"/>
      <w:r w:rsidRPr="007925E5">
        <w:rPr>
          <w:rFonts w:ascii="Times New Roman" w:eastAsia="Times New Roman" w:hAnsi="Times New Roman" w:cs="Times New Roman"/>
          <w:sz w:val="24"/>
          <w:szCs w:val="24"/>
          <w:lang w:eastAsia="ar-SA"/>
        </w:rPr>
        <w:t>e  escreveu</w:t>
      </w:r>
      <w:proofErr w:type="gramEnd"/>
      <w:r w:rsidRPr="007925E5">
        <w:rPr>
          <w:rFonts w:ascii="Times New Roman" w:eastAsia="Times New Roman" w:hAnsi="Times New Roman" w:cs="Times New Roman"/>
          <w:sz w:val="24"/>
          <w:szCs w:val="24"/>
          <w:lang w:eastAsia="ar-SA"/>
        </w:rPr>
        <w:t xml:space="preserve"> poesias.</w:t>
      </w:r>
    </w:p>
    <w:p w14:paraId="18EC3DD1"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 estudo sobre Angelo Bandoni, e de outros libertários italianos, permite visualizar a natureza transnacional do anarquismo ítalo-brasileiro enraizado em São Paulo nas primeiras décadas do século XX, e mais ainda, sua característica semelhante ao </w:t>
      </w:r>
      <w:r w:rsidRPr="007925E5">
        <w:rPr>
          <w:rFonts w:ascii="Times New Roman" w:eastAsia="Times New Roman" w:hAnsi="Times New Roman" w:cs="Times New Roman"/>
          <w:sz w:val="24"/>
          <w:szCs w:val="24"/>
          <w:lang w:eastAsia="ar-SA"/>
        </w:rPr>
        <w:lastRenderedPageBreak/>
        <w:t>movimento desenvolvido na região da Itália central, especialmente na Toscana. A transnacionalidade dos anarquistas pode ser percebida por dois prismas: o primeiro através do contato entre militantes espalhados pelo mundo através de cartas que foram escritas e depois publicadas na imprensa anarquista, e o segundo pelo intenso deslocamento de ativistas que estiveram em várias regiões do mundo com a intenção de realizar a propaganda libertária (TURCATO, 2007).</w:t>
      </w:r>
    </w:p>
    <w:p w14:paraId="3A0C291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Os jornais anarquistas também publicaram numerosas cartas escritas por leitores (na maioria anarquistas) de diferentes regiões do país e do mundo. Estas correspondências foram publicadas em uma seção específica (geralmente chamada Piccola Posta),</w:t>
      </w:r>
      <w:r w:rsidRPr="007925E5">
        <w:rPr>
          <w:rFonts w:ascii="Times New Roman" w:eastAsia="Times New Roman" w:hAnsi="Times New Roman" w:cs="Times New Roman"/>
          <w:sz w:val="20"/>
          <w:szCs w:val="20"/>
          <w:vertAlign w:val="superscript"/>
          <w:lang w:eastAsia="ar-SA"/>
        </w:rPr>
        <w:footnoteReference w:id="55"/>
      </w:r>
      <w:r w:rsidRPr="007925E5">
        <w:rPr>
          <w:rFonts w:ascii="Times New Roman" w:eastAsia="Times New Roman" w:hAnsi="Times New Roman" w:cs="Times New Roman"/>
          <w:sz w:val="24"/>
          <w:szCs w:val="24"/>
          <w:lang w:eastAsia="ar-SA"/>
        </w:rPr>
        <w:t xml:space="preserve"> estabelecendo contato entre os companheiros libertários no Brasil, mas também com aqueles que viviam em diferentes partes do mundo: na Itália (em Siena, La Spezia e outras cidades da Toscana), em Montevidéu, Buenos Aires, Chicago, Patterson (um reduto do anarquismo italiano em New Jersey, Estados Unidos) e em algumas regiões da Europa, como na Bélgica, em Marselha e Paris, na França, ou em Barcelona, na Espanha. Por outro lado, a trajetória biográfica de Bandoni é um exemplo do anarquista que se desloca de região para região, nacional e internacionalmente, visando a difusão do anarquismo.</w:t>
      </w:r>
    </w:p>
    <w:p w14:paraId="7F90E04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sua relação transnacional não foi estabelecida apenas através de trocas epistolares. Bandoni também esteve envolvido no apoio (financeiro, por exemplo) de companheiros italianos no exterior. Em 1902, o jornal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realizou uma campanha de arrecadação de fundos em favor do florentino Giovani Gavilli, e de Ludovico Tavani, de Ravenna, para trazê-los ao Brasil. Ambos eram anarquistas com vasta experiência em propaganda, especialmente nas regiões da Toscana e Emilia-Romagna. A campanha teve uma vida curta sem muito sucesso, no entanto, os companheiros do Brasil liderados por Bandoni conseguiram recolher 268 liras. Segundo relatos da polícia italiana baseados em agentes infiltrados em grupos anarquistas de Paris (o informante Enrico Insabato, um ex-anarquista – disfarçado sob o pseudônimo de “Dante”), o dinheiro arrecadado em São Paulo por Angelo Bandoni, Gaetano Sandri, seu irmão Pedro e outros, havia chegado a </w:t>
      </w:r>
      <w:r w:rsidRPr="007925E5">
        <w:rPr>
          <w:rFonts w:ascii="Times New Roman" w:eastAsia="Times New Roman" w:hAnsi="Times New Roman" w:cs="Times New Roman"/>
          <w:sz w:val="24"/>
          <w:szCs w:val="24"/>
          <w:lang w:eastAsia="ar-SA"/>
        </w:rPr>
        <w:lastRenderedPageBreak/>
        <w:t>Tavani através de seu companheiro, Pietro Mori.</w:t>
      </w:r>
      <w:r w:rsidRPr="007925E5">
        <w:rPr>
          <w:rFonts w:ascii="Times New Roman" w:eastAsia="Times New Roman" w:hAnsi="Times New Roman" w:cs="Times New Roman"/>
          <w:sz w:val="20"/>
          <w:szCs w:val="20"/>
          <w:vertAlign w:val="superscript"/>
          <w:lang w:eastAsia="ar-SA"/>
        </w:rPr>
        <w:footnoteReference w:id="56"/>
      </w:r>
      <w:r w:rsidRPr="007925E5">
        <w:rPr>
          <w:rFonts w:ascii="Times New Roman" w:eastAsia="Times New Roman" w:hAnsi="Times New Roman" w:cs="Times New Roman"/>
          <w:sz w:val="24"/>
          <w:szCs w:val="24"/>
          <w:lang w:eastAsia="ar-SA"/>
        </w:rPr>
        <w:t xml:space="preserve"> A recente tese de Jorge Canales oferece uma análise abrangente desse fenômeno transnacional do anarquismo italiano e mostra como a rota sul-americana, incluindo os portos brasileiros de Santos e do Rio de Janeiro, tornou-se o portão preferencial dos ativistas italianos extraditados. Mas a maioria deles, como Mori, Sandri, Luigi Bezzi e muitos outros, tinham o único objetivo de arrecadar fundos para apoiar as lutas na Itália.</w:t>
      </w:r>
    </w:p>
    <w:p w14:paraId="73F8A881"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Após a chegada de Ristori ao Brasil, observando as ações do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podemos perceber uma mudança de atitude visando apoiar a luta de classe dos imigrantes italianos nas fazendas e nas fábricas do país.</w:t>
      </w:r>
      <w:r w:rsidRPr="007925E5">
        <w:rPr>
          <w:rFonts w:ascii="Times New Roman" w:eastAsia="Times New Roman" w:hAnsi="Times New Roman" w:cs="Times New Roman"/>
          <w:sz w:val="20"/>
          <w:szCs w:val="20"/>
          <w:vertAlign w:val="superscript"/>
          <w:lang w:eastAsia="ar-SA"/>
        </w:rPr>
        <w:footnoteReference w:id="57"/>
      </w:r>
      <w:r w:rsidRPr="007925E5">
        <w:rPr>
          <w:rFonts w:ascii="Times New Roman" w:eastAsia="Times New Roman" w:hAnsi="Times New Roman" w:cs="Times New Roman"/>
          <w:sz w:val="24"/>
          <w:szCs w:val="24"/>
          <w:lang w:eastAsia="ar-SA"/>
        </w:rPr>
        <w:t xml:space="preserve"> Seu primeiro passo foi a fundação do semanário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em junho de 1904, jornal que se tornou uma espécie de divisor de águas no anarquismo ítalo-brasileiro. Em menos de seis meses, apoiado por uma grande rede de distribuidores na capital paulista e no interior do país, conseguiu uma tiragem de aproximadamente cinco mil cópias e tornou-se o jornal militante mais lido do país naquela década, alcançando a publicação de oito mil cópias em algumas edições do ano de 1908 (ROMANI, 2015: 140). O periódico apoiou várias campanhas em favor dos trabalhadores imigrantes italianos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de toda a classe trabalhadora. Denúncia de crimes e más condições de vida de colonos em fazendas, exploração de oficinas, investigação de crimes de padres da Igreja Católica, promoção de boicotes em fábricas, divulgação de greves, campanhas pela liberdade de homens injustamente presos e muitas outras formas de ações fizeram os nomes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Ristori conhecidos no país. De fato,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foi distribuído e vendido em todas as regiões brasileiras.</w:t>
      </w:r>
      <w:bookmarkEnd w:id="16"/>
      <w:bookmarkEnd w:id="19"/>
      <w:r w:rsidRPr="007925E5">
        <w:rPr>
          <w:rFonts w:ascii="Times New Roman" w:eastAsia="Times New Roman" w:hAnsi="Times New Roman" w:cs="Times New Roman"/>
          <w:sz w:val="24"/>
          <w:szCs w:val="24"/>
          <w:lang w:eastAsia="ar-SA"/>
        </w:rPr>
        <w:t xml:space="preserve"> Tinha assinaturas em Belém, Manaus, Salvador e Recife, norte e nordeste do país, e obteve </w:t>
      </w:r>
      <w:r w:rsidRPr="007925E5">
        <w:rPr>
          <w:rFonts w:ascii="Times New Roman" w:eastAsia="Times New Roman" w:hAnsi="Times New Roman" w:cs="Times New Roman"/>
          <w:sz w:val="24"/>
          <w:szCs w:val="24"/>
          <w:lang w:eastAsia="ar-SA"/>
        </w:rPr>
        <w:lastRenderedPageBreak/>
        <w:t xml:space="preserve">grande difusão em todo o Estado de Minas Gerais, no Rio de Janeiro, e nos estados do sul do país, além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no Uruguai e na Argentina (ROMANI, 2015: 133-40).</w:t>
      </w:r>
    </w:p>
    <w:p w14:paraId="25655D5E"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grande campanha realizada contra a imigração italiana para o Brasil, iniciada em 1906, que ocupou durante todo o ano várias edições de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pode ser usada para exemplificar as ações desenvolvidas pelo grupo. Desde a segunda edição, uma de suas seções mais populares foi uma coluna de escritos sobre a condição de vida nas fazendas de café que os colonos batizaram de </w:t>
      </w:r>
      <w:r w:rsidRPr="007925E5">
        <w:rPr>
          <w:rFonts w:ascii="Times New Roman" w:eastAsia="Times New Roman" w:hAnsi="Times New Roman" w:cs="Times New Roman"/>
          <w:i/>
          <w:sz w:val="24"/>
          <w:szCs w:val="24"/>
          <w:lang w:eastAsia="ar-SA"/>
        </w:rPr>
        <w:t>Dalle Caienne Brasiliane</w:t>
      </w:r>
      <w:r w:rsidRPr="007925E5">
        <w:rPr>
          <w:rFonts w:ascii="Times New Roman" w:eastAsia="Times New Roman" w:hAnsi="Times New Roman" w:cs="Times New Roman"/>
          <w:sz w:val="24"/>
          <w:szCs w:val="24"/>
          <w:lang w:eastAsia="ar-SA"/>
        </w:rPr>
        <w:t xml:space="preserve">. Semanalmente publicou denúncias sobre extorsão, estupros, crimes, escravidão envolvendo colonos italianos, </w:t>
      </w:r>
      <w:proofErr w:type="gramStart"/>
      <w:r w:rsidRPr="007925E5">
        <w:rPr>
          <w:rFonts w:ascii="Times New Roman" w:eastAsia="Times New Roman" w:hAnsi="Times New Roman" w:cs="Times New Roman"/>
          <w:sz w:val="24"/>
          <w:szCs w:val="24"/>
          <w:lang w:eastAsia="ar-SA"/>
        </w:rPr>
        <w:t>fatos considerado</w:t>
      </w:r>
      <w:proofErr w:type="gramEnd"/>
      <w:r w:rsidRPr="007925E5">
        <w:rPr>
          <w:rFonts w:ascii="Times New Roman" w:eastAsia="Times New Roman" w:hAnsi="Times New Roman" w:cs="Times New Roman"/>
          <w:sz w:val="24"/>
          <w:szCs w:val="24"/>
          <w:lang w:eastAsia="ar-SA"/>
        </w:rPr>
        <w:t xml:space="preserve"> como um verdadeiro inferno acontecendo nas fazendas. O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xml:space="preserve"> teve a ideia de expor essa situação no exterior, publicando um opúsculo de trinta páginas em que diferentes casos de exploração de colonos seriam mostrados. Esse opúsculo seria publicado em três idiomas, italiano, espanhol e português e distribuído na Itália, Argentina, Brasil, Espanha e Portugal, como um alerta para potenciais imigrantes para o Brasil desistirem de sua ideia (ROMANI, 2015: 151-59). A assinatura anunciada para coletar fundos para imprimir o livreto durou quatro meses e não conseguiu o dinheiro necessário para completar a meta, mas foi possível imprimir dez mil exemplares em língua portuguesa até o final do ano. </w:t>
      </w:r>
      <w:r w:rsidRPr="007925E5">
        <w:rPr>
          <w:rFonts w:ascii="Times New Roman" w:eastAsia="Times New Roman" w:hAnsi="Times New Roman" w:cs="Times New Roman"/>
          <w:i/>
          <w:iCs/>
          <w:sz w:val="24"/>
          <w:szCs w:val="24"/>
          <w:lang w:eastAsia="ar-SA"/>
        </w:rPr>
        <w:t>Contra a Immigração</w:t>
      </w:r>
      <w:r w:rsidRPr="007925E5">
        <w:rPr>
          <w:rFonts w:ascii="Times New Roman" w:eastAsia="Times New Roman" w:hAnsi="Times New Roman" w:cs="Times New Roman"/>
          <w:sz w:val="24"/>
          <w:szCs w:val="24"/>
          <w:lang w:eastAsia="ar-SA"/>
        </w:rPr>
        <w:t>, seu título, nunca foi impresso em espanhol e a distribuição foi limitada a terras brasileiras com poucos exemplares chegando a Portugal no ano seguinte.</w:t>
      </w:r>
    </w:p>
    <w:p w14:paraId="3CBBA668"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publicação do opúsculo teve uma péssima repercussão na embaixada italiana e entre os grandes fazendeiros que imaginaram maiores perdas de mão de obra. Oreste Ristori e Alessandro Cerchiai, os dois editores do panfleto, foram questionados pela Polícia do Estado de São Paulo. O caso foi considerado subversão contra o Estado brasileiro e ambos acabaram sendo processados por violarem a Segurança Nacional, sendo cogitada sua expulsão com base na Lei de Estrangeiros.</w:t>
      </w:r>
      <w:r w:rsidRPr="007925E5">
        <w:rPr>
          <w:rFonts w:ascii="Times New Roman" w:eastAsia="Times New Roman" w:hAnsi="Times New Roman" w:cs="Times New Roman"/>
          <w:sz w:val="20"/>
          <w:szCs w:val="20"/>
          <w:vertAlign w:val="superscript"/>
          <w:lang w:eastAsia="ar-SA"/>
        </w:rPr>
        <w:footnoteReference w:id="58"/>
      </w:r>
      <w:r w:rsidRPr="007925E5">
        <w:rPr>
          <w:rFonts w:ascii="Times New Roman" w:eastAsia="Times New Roman" w:hAnsi="Times New Roman" w:cs="Times New Roman"/>
          <w:sz w:val="24"/>
          <w:szCs w:val="24"/>
          <w:lang w:eastAsia="ar-SA"/>
        </w:rPr>
        <w:t xml:space="preserve"> Em 1908 o julgamento foi encerrado e eles puderam permanecer no Brasil.</w:t>
      </w:r>
    </w:p>
    <w:p w14:paraId="05EBB3A9"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Parece impossível que um opúsculo divulgado em todo o país possa ter causado tamanha perseguição, já que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permanecia publicando semanalmente as mesmas denúncias. Talvez seja mais provável que a queixa tenha começado com a diplomacia italiana. De fato, se a impressão espanhola tinha falhado, a italiana teve </w:t>
      </w:r>
      <w:r w:rsidRPr="007925E5">
        <w:rPr>
          <w:rFonts w:ascii="Times New Roman" w:eastAsia="Times New Roman" w:hAnsi="Times New Roman" w:cs="Times New Roman"/>
          <w:sz w:val="24"/>
          <w:szCs w:val="24"/>
          <w:lang w:eastAsia="ar-SA"/>
        </w:rPr>
        <w:lastRenderedPageBreak/>
        <w:t xml:space="preserve">sucesso. O primeiro contato na Itália aconteceu com Gino Allari, que distribuiu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em Florença, permanecendo sempre com a principal rede de identidades regionais da Toscana. Infelizmente, era impossível imprimi-lo lá e ninguém menos que Luigi Molinari, um importante anarquista italiano envolvido em programas educacionais, interessou-se pela denúncia e foi responsável por sua publicação na tipografia da </w:t>
      </w:r>
      <w:r w:rsidRPr="007925E5">
        <w:rPr>
          <w:rFonts w:ascii="Times New Roman" w:eastAsia="Times New Roman" w:hAnsi="Times New Roman" w:cs="Times New Roman"/>
          <w:i/>
          <w:sz w:val="24"/>
          <w:szCs w:val="24"/>
          <w:lang w:eastAsia="ar-SA"/>
        </w:rPr>
        <w:t>Università Popolare</w:t>
      </w:r>
      <w:r w:rsidRPr="007925E5">
        <w:rPr>
          <w:rFonts w:ascii="Times New Roman" w:eastAsia="Times New Roman" w:hAnsi="Times New Roman" w:cs="Times New Roman"/>
          <w:sz w:val="24"/>
          <w:szCs w:val="24"/>
          <w:lang w:eastAsia="ar-SA"/>
        </w:rPr>
        <w:t xml:space="preserve"> de Mantova, na Lombardia. Foi somente depois da publicação na imprensa italiana que o processo contra Ristori e Cerchiai foi movido </w:t>
      </w:r>
      <w:proofErr w:type="gramStart"/>
      <w:r w:rsidRPr="007925E5">
        <w:rPr>
          <w:rFonts w:ascii="Times New Roman" w:eastAsia="Times New Roman" w:hAnsi="Times New Roman" w:cs="Times New Roman"/>
          <w:sz w:val="24"/>
          <w:szCs w:val="24"/>
          <w:lang w:eastAsia="ar-SA"/>
        </w:rPr>
        <w:t>( BIONDI</w:t>
      </w:r>
      <w:proofErr w:type="gramEnd"/>
      <w:r w:rsidRPr="007925E5">
        <w:rPr>
          <w:rFonts w:ascii="Times New Roman" w:eastAsia="Times New Roman" w:hAnsi="Times New Roman" w:cs="Times New Roman"/>
          <w:sz w:val="24"/>
          <w:szCs w:val="24"/>
          <w:lang w:eastAsia="ar-SA"/>
        </w:rPr>
        <w:t>, 1904).</w:t>
      </w:r>
    </w:p>
    <w:p w14:paraId="3E57FFA2"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Não é nosso objetivo mostrar com detalhes como se desenvolveu este caso específico, até porque indicamos a bibliografia especializada sobre o assunto. O que pretendemos usar deste exemplo é o conceito da rede anarquista italiana que operou em São Paulo. Funcionou eficientemente, estabeleceu rapidamente conexões com ativistas italianos e preferencialmente circularam em seus grupos regionais de identidade na Toscana. Contaram, também, com diferentes grupos de anarquistas de outras regiões da Itália e, surpreendentemente, mesmo com poucas pessoas envolvidas na organização, mostraram-se capazes de perturbar setores significativos da economia brasileira e do comércio italiano de imigrantes. Isso não é pouca coisa e ajuda a explicar a reação violenta das autoridades.</w:t>
      </w:r>
    </w:p>
    <w:p w14:paraId="50F6CE41"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Olhando para a frente, o período de 1915 a 1919 foi de intensa atividade para o movimento operário no Brasil uma vez que o êxito da Revolução Russa em 1917 acrescentou uma dose de entusiasmo aos trabalhadores. Além disso, a conjuntura de Guerra Mundial (1914-1918) e um significativo aquecimento do setor industrial ajudaram a dar às manifestações operárias, às vezes, um caráter insurrecionalista (SAMIS, 2004). Neste contexto de euforia para os libertários italianos em São Paulo, a Guerra que eclodiu em agosto de 1914 não foi uma preocupação central entre aqueles que escreviam no jornal </w:t>
      </w:r>
      <w:r w:rsidRPr="007925E5">
        <w:rPr>
          <w:rFonts w:ascii="Times New Roman" w:eastAsia="Times New Roman" w:hAnsi="Times New Roman" w:cs="Times New Roman"/>
          <w:i/>
          <w:sz w:val="24"/>
          <w:szCs w:val="24"/>
          <w:lang w:eastAsia="ar-SA"/>
        </w:rPr>
        <w:t>La Propaganda Libertaria</w:t>
      </w:r>
      <w:r w:rsidRPr="007925E5">
        <w:rPr>
          <w:rFonts w:ascii="Times New Roman" w:eastAsia="Times New Roman" w:hAnsi="Times New Roman" w:cs="Times New Roman"/>
          <w:sz w:val="24"/>
          <w:szCs w:val="24"/>
          <w:lang w:eastAsia="ar-SA"/>
        </w:rPr>
        <w:t xml:space="preserve">, formado por militantes originários do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quando este cessou de ser publicado, em setembro de 1912.</w:t>
      </w:r>
    </w:p>
    <w:p w14:paraId="27537CBD"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atitude desses anarquistas apenas mudou quando a Itália entrou na Guerra em maio de 1915. Em setembro do mesmo ano, foi organizado por Angelo Bandoni um novo jornal chamado </w:t>
      </w:r>
      <w:r w:rsidRPr="007925E5">
        <w:rPr>
          <w:rFonts w:ascii="Times New Roman" w:eastAsia="Times New Roman" w:hAnsi="Times New Roman" w:cs="Times New Roman"/>
          <w:i/>
          <w:sz w:val="24"/>
          <w:szCs w:val="24"/>
          <w:lang w:eastAsia="ar-SA"/>
        </w:rPr>
        <w:t>Guerra Sociale</w:t>
      </w:r>
      <w:r w:rsidRPr="007925E5">
        <w:rPr>
          <w:rFonts w:ascii="Times New Roman" w:eastAsia="Times New Roman" w:hAnsi="Times New Roman" w:cs="Times New Roman"/>
          <w:sz w:val="24"/>
          <w:szCs w:val="24"/>
          <w:lang w:eastAsia="ar-SA"/>
        </w:rPr>
        <w:t>, cujo foco principal, num primeiro momento, seria quase exclusivamente a guerra e outros conflitos internacionais.</w:t>
      </w:r>
      <w:r w:rsidRPr="007925E5">
        <w:rPr>
          <w:rFonts w:ascii="Times New Roman" w:eastAsia="Times New Roman" w:hAnsi="Times New Roman" w:cs="Times New Roman"/>
          <w:sz w:val="20"/>
          <w:szCs w:val="20"/>
          <w:vertAlign w:val="superscript"/>
          <w:lang w:eastAsia="ar-SA"/>
        </w:rPr>
        <w:footnoteReference w:id="59"/>
      </w:r>
      <w:r w:rsidRPr="007925E5">
        <w:rPr>
          <w:rFonts w:ascii="Times New Roman" w:eastAsia="Times New Roman" w:hAnsi="Times New Roman" w:cs="Times New Roman"/>
          <w:sz w:val="24"/>
          <w:szCs w:val="24"/>
          <w:lang w:eastAsia="ar-SA"/>
        </w:rPr>
        <w:t xml:space="preserve"> Os escritores que colaboraram </w:t>
      </w:r>
      <w:r w:rsidRPr="007925E5">
        <w:rPr>
          <w:rFonts w:ascii="Times New Roman" w:eastAsia="Times New Roman" w:hAnsi="Times New Roman" w:cs="Times New Roman"/>
          <w:sz w:val="24"/>
          <w:szCs w:val="24"/>
          <w:lang w:eastAsia="ar-SA"/>
        </w:rPr>
        <w:lastRenderedPageBreak/>
        <w:t xml:space="preserve">em </w:t>
      </w:r>
      <w:r w:rsidRPr="007925E5">
        <w:rPr>
          <w:rFonts w:ascii="Times New Roman" w:eastAsia="Times New Roman" w:hAnsi="Times New Roman" w:cs="Times New Roman"/>
          <w:i/>
          <w:sz w:val="24"/>
          <w:szCs w:val="24"/>
          <w:lang w:eastAsia="ar-SA"/>
        </w:rPr>
        <w:t>Guerra Sociale</w:t>
      </w:r>
      <w:r w:rsidRPr="007925E5">
        <w:rPr>
          <w:rFonts w:ascii="Times New Roman" w:eastAsia="Times New Roman" w:hAnsi="Times New Roman" w:cs="Times New Roman"/>
          <w:sz w:val="24"/>
          <w:szCs w:val="24"/>
          <w:lang w:eastAsia="ar-SA"/>
        </w:rPr>
        <w:t xml:space="preserve"> eram quase todos italianos, exceto o espanhol Florentino de Carvalho, pseudônimo de Primitivo Raimundo Soares, notório anarcossindicalista, cuja cooperação no periódico era frequente e de grande importância. O jornal foi inicialmente dirigido por Bandoni e, em um segundo momento, como havia acontecido com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o </w:t>
      </w:r>
      <w:r w:rsidRPr="007925E5">
        <w:rPr>
          <w:rFonts w:ascii="Times New Roman" w:eastAsia="Times New Roman" w:hAnsi="Times New Roman" w:cs="Times New Roman"/>
          <w:i/>
          <w:sz w:val="24"/>
          <w:szCs w:val="24"/>
          <w:lang w:eastAsia="ar-SA"/>
        </w:rPr>
        <w:t>La Propaganda Libertaria</w:t>
      </w:r>
      <w:r w:rsidRPr="007925E5">
        <w:rPr>
          <w:rFonts w:ascii="Times New Roman" w:eastAsia="Times New Roman" w:hAnsi="Times New Roman" w:cs="Times New Roman"/>
          <w:sz w:val="24"/>
          <w:szCs w:val="24"/>
          <w:lang w:eastAsia="ar-SA"/>
        </w:rPr>
        <w:t>, Gigi Damiani assumiu a direção. Nas páginas do periódico, trocas de informações, correspondências ou notícias da Argentina, Itália, França, Espanha, Holanda, Rússia, Estados Unidos eram comuns.</w:t>
      </w:r>
      <w:r w:rsidRPr="007925E5">
        <w:rPr>
          <w:rFonts w:ascii="Times New Roman" w:eastAsia="Times New Roman" w:hAnsi="Times New Roman" w:cs="Times New Roman"/>
          <w:sz w:val="20"/>
          <w:szCs w:val="20"/>
          <w:vertAlign w:val="superscript"/>
          <w:lang w:eastAsia="ar-SA"/>
        </w:rPr>
        <w:footnoteReference w:id="60"/>
      </w:r>
      <w:r w:rsidRPr="007925E5">
        <w:rPr>
          <w:rFonts w:ascii="Times New Roman" w:eastAsia="Times New Roman" w:hAnsi="Times New Roman" w:cs="Times New Roman"/>
          <w:sz w:val="24"/>
          <w:szCs w:val="24"/>
          <w:lang w:eastAsia="ar-SA"/>
        </w:rPr>
        <w:t xml:space="preserve"> Com o passar dos anos, porém, o periódico passou a acompanhar mais de perto as notícias da vida social do trabalhador paulista, deixando as notícias internacionais em segundo plano. Isso ficou claro entre os meses de maio e junho de 1917, quando a tensão aumentou devido ao contexto de greves emergindo em toda a cidade.</w:t>
      </w:r>
    </w:p>
    <w:p w14:paraId="48E5326E"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Assim, um evento marcante de 1917 foi a eclosão de uma grande greve na cidade de São Paulo. A “Greve Geral de 1917”, como ficou conhecida, contou com a participação direta dos anarquistas à frente de várias associações de classe, reunidas principalmente nos jornais </w:t>
      </w:r>
      <w:r w:rsidRPr="007925E5">
        <w:rPr>
          <w:rFonts w:ascii="Times New Roman" w:eastAsia="Times New Roman" w:hAnsi="Times New Roman" w:cs="Times New Roman"/>
          <w:i/>
          <w:sz w:val="24"/>
          <w:szCs w:val="24"/>
          <w:lang w:eastAsia="ar-SA"/>
        </w:rPr>
        <w:t>Guerra Sociale</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A Plebe</w:t>
      </w:r>
      <w:r w:rsidRPr="007925E5">
        <w:rPr>
          <w:rFonts w:ascii="Times New Roman" w:eastAsia="Times New Roman" w:hAnsi="Times New Roman" w:cs="Times New Roman"/>
          <w:sz w:val="24"/>
          <w:szCs w:val="24"/>
          <w:lang w:eastAsia="ar-SA"/>
        </w:rPr>
        <w:t xml:space="preserve">, e também dos socialistas, que gravitavam em torno do jornal </w:t>
      </w:r>
      <w:r w:rsidRPr="007925E5">
        <w:rPr>
          <w:rFonts w:ascii="Times New Roman" w:eastAsia="Times New Roman" w:hAnsi="Times New Roman" w:cs="Times New Roman"/>
          <w:i/>
          <w:sz w:val="24"/>
          <w:szCs w:val="24"/>
          <w:lang w:eastAsia="ar-SA"/>
        </w:rPr>
        <w:t>Avanti</w:t>
      </w:r>
      <w:r w:rsidRPr="007925E5">
        <w:rPr>
          <w:rFonts w:ascii="Times New Roman" w:eastAsia="Times New Roman" w:hAnsi="Times New Roman" w:cs="Times New Roman"/>
          <w:sz w:val="24"/>
          <w:szCs w:val="24"/>
          <w:lang w:eastAsia="ar-SA"/>
        </w:rPr>
        <w:t>!, e juntos decidiram compor o CDP, Comitê de Defesa Proletário, para organizar melhor os grevistas e intermediar as negociações. Na crise de abastecimento da época, a fome havia provocado uma profunda revolta entre os operários, estimulando os espíritos dos trabalhadores contra o governo. A segunda metade de 1917 marcou o fim da crença dos trabalhadores nas promessas feitas por políticos e empresários. O custo de vida, juntamente com os baixos salários, criou uma mistura de revolta revolucionária e êxtase sob influência do noticiário vindo da Rússia. A greve terminou com alguns avanços para a classe trabalhadora de São Paulo. Nesse sentido, a implantação, em algumas fábricas, das oito horas de jornada de trabalho e aumentos salariais foram, sem dúvida, as maiores vitórias do movimento (LOPREATO, 2000). No Rio de Janeiro, em 18 de novembro de 1918, houve um movimento que ficou conhecido como a Insurreição Anarquista, onde trabalhadores de várias fábricas espalhadas pela cidade paralisaram suas atividades. Novamente, a repressão atingiu os anarquistas em uma tentativa de desarticular o movimento (ADDOR, 1986).</w:t>
      </w:r>
    </w:p>
    <w:p w14:paraId="1BCC82A6" w14:textId="77777777" w:rsidR="007925E5" w:rsidRP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p>
    <w:p w14:paraId="0FBCE83C" w14:textId="7BE77BA8" w:rsidR="007925E5" w:rsidRDefault="007925E5" w:rsidP="007925E5">
      <w:pPr>
        <w:suppressAutoHyphens/>
        <w:spacing w:after="0" w:line="360" w:lineRule="auto"/>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lastRenderedPageBreak/>
        <w:t>O Fim da Rede Transatlântica Italiana</w:t>
      </w:r>
    </w:p>
    <w:p w14:paraId="7A7FCF58" w14:textId="77777777" w:rsidR="00FC4195" w:rsidRPr="007925E5" w:rsidRDefault="00FC4195" w:rsidP="007925E5">
      <w:pPr>
        <w:suppressAutoHyphens/>
        <w:spacing w:after="0" w:line="360" w:lineRule="auto"/>
        <w:jc w:val="both"/>
        <w:rPr>
          <w:rFonts w:ascii="Times New Roman" w:eastAsia="Times New Roman" w:hAnsi="Times New Roman" w:cs="Times New Roman"/>
          <w:sz w:val="20"/>
          <w:szCs w:val="20"/>
          <w:lang w:eastAsia="ar-SA"/>
        </w:rPr>
      </w:pPr>
    </w:p>
    <w:p w14:paraId="5D25F5AD"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Apesar de alguns avanços da classe operária, tais eventos despertaram no governo republicano, especialmente a partir de 1919, a necessidade do controle das entidades de classe, especialmente na sistematização da repressão contra os considerados subversivos. Entre outras medidas, destaca a maior restrição à entrada de estrangeiros “nocivos à ordem pública” e a expulsão sumária de imigrantes residentes no Brasil sob suspeita de envolvimento em ações “subversivas”, prática mantida durante os primeiros anos de vida da República. Por outro lado, deve-se mencionar que vários trabalhadores estrangeiros foram expulsos ou deportados sem o devido processo legal ou, em total contradição com a lei, como foi o caso de muitos anarquistas italianos como Gigi Damiani, em 1919. Muitos simplesmente desapareceram de circulação, ficando detidos e incomunicáveis nos porões da polícia, esperando que o primeiro navio partisse para fora do país (MENEZES, 1996).</w:t>
      </w:r>
    </w:p>
    <w:p w14:paraId="144ECA50"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 início da década de 1920 também foi marcado pelo constante estabelecimento do Estado de sítio pelo chefe do Executivo Federal (o período mais longo durou de junho de 1924 a dezembro de 1926). Estas disposições tornaram-se comuns, especialmente a partir de 1922, com a posse do Presidente Arthur Bernardes. Além dessas determinações, a criação da 4ª Delegacia Auxiliar durante o governo Bernardes simbolizou o auge da ação estatal repressiva (ROMANI, 2011: 161-178). Com a criação dessa delegacia, a prática política de infiltração de policiais dentro dos sindicatos e associações de trabalhadores aumentou continuamente com o objetivo de controlar os trabalhadores organizados. Se não bastasse isso, outra medida usada pelo governo foi a deportação de indesejáveis para a colônia agrícola em Clevelândia (SAMIS, 2002: 171), no estado do Amapá, uma região localizada no extremo norte do Brasil, longe dos olhos das duas maiores capitais (Rio de Janeiro e São Paulo).</w:t>
      </w:r>
    </w:p>
    <w:p w14:paraId="2DB41816"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A emergência desse período de maior repressão no Brasil, que foi caracterizado principalmente pelo tratamento ao estrangeiro envolvido em ações subversivas e pela criminalização da prática do anarquismo,</w:t>
      </w:r>
      <w:r w:rsidRPr="007925E5">
        <w:rPr>
          <w:rFonts w:ascii="Times New Roman" w:eastAsia="Times New Roman" w:hAnsi="Times New Roman" w:cs="Times New Roman"/>
          <w:sz w:val="20"/>
          <w:szCs w:val="20"/>
          <w:vertAlign w:val="superscript"/>
          <w:lang w:eastAsia="ar-SA"/>
        </w:rPr>
        <w:footnoteReference w:id="61"/>
      </w:r>
      <w:r w:rsidRPr="007925E5">
        <w:rPr>
          <w:rFonts w:ascii="Times New Roman" w:eastAsia="Times New Roman" w:hAnsi="Times New Roman" w:cs="Times New Roman"/>
          <w:sz w:val="24"/>
          <w:szCs w:val="24"/>
          <w:lang w:eastAsia="ar-SA"/>
        </w:rPr>
        <w:t xml:space="preserve"> deve ser considerada como o fator que motivou a ruptura da rede transnacional de comunicação entre os anarquistas italianos em </w:t>
      </w:r>
      <w:r w:rsidRPr="007925E5">
        <w:rPr>
          <w:rFonts w:ascii="Times New Roman" w:eastAsia="Times New Roman" w:hAnsi="Times New Roman" w:cs="Times New Roman"/>
          <w:sz w:val="24"/>
          <w:szCs w:val="24"/>
          <w:lang w:eastAsia="ar-SA"/>
        </w:rPr>
        <w:lastRenderedPageBreak/>
        <w:t>São Paulo e militantes instalados na Itália e em outros lugares do mundo. É claro que a ascensão do fascismo na Itália após 1922 também precisa ser considerada como um forte determinante para essa ruptura. Após a greve de 1917, por ser considerado o líder do movimento, Gigi Damiani acabou sendo expulso e retornou à Itália em 1919, mas, sete anos depois, precisou novamente se exilar no exterior.</w:t>
      </w:r>
      <w:r w:rsidRPr="007925E5">
        <w:rPr>
          <w:rFonts w:ascii="Times New Roman" w:eastAsia="Times New Roman" w:hAnsi="Times New Roman" w:cs="Times New Roman"/>
          <w:sz w:val="20"/>
          <w:szCs w:val="20"/>
          <w:vertAlign w:val="superscript"/>
          <w:lang w:eastAsia="ar-SA"/>
        </w:rPr>
        <w:footnoteReference w:id="62"/>
      </w:r>
      <w:r w:rsidRPr="007925E5">
        <w:rPr>
          <w:rFonts w:ascii="Times New Roman" w:eastAsia="Times New Roman" w:hAnsi="Times New Roman" w:cs="Times New Roman"/>
          <w:sz w:val="24"/>
          <w:szCs w:val="24"/>
          <w:lang w:eastAsia="ar-SA"/>
        </w:rPr>
        <w:t xml:space="preserve"> A expulsão de Ristori viria mais tarde, em junho de 1936, durante o governo autoritário de Getúlio Vargas, que o enviou para os braços do regime fascista.</w:t>
      </w:r>
      <w:r w:rsidRPr="007925E5">
        <w:rPr>
          <w:rFonts w:ascii="Times New Roman" w:eastAsia="Times New Roman" w:hAnsi="Times New Roman" w:cs="Times New Roman"/>
          <w:sz w:val="20"/>
          <w:szCs w:val="20"/>
          <w:vertAlign w:val="superscript"/>
          <w:lang w:eastAsia="ar-SA"/>
        </w:rPr>
        <w:footnoteReference w:id="63"/>
      </w:r>
      <w:r w:rsidRPr="007925E5">
        <w:rPr>
          <w:rFonts w:ascii="Times New Roman" w:eastAsia="Times New Roman" w:hAnsi="Times New Roman" w:cs="Times New Roman"/>
          <w:sz w:val="24"/>
          <w:szCs w:val="24"/>
          <w:lang w:eastAsia="ar-SA"/>
        </w:rPr>
        <w:t xml:space="preserve"> Angelo Bandoni, aos 51 anos, tentou esboçar uma reação e editar novos jornais em 1919/1921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Alba Rossa</w:t>
      </w:r>
      <w:r w:rsidRPr="007925E5">
        <w:rPr>
          <w:rFonts w:ascii="Times New Roman" w:eastAsia="Times New Roman" w:hAnsi="Times New Roman" w:cs="Times New Roman"/>
          <w:sz w:val="24"/>
          <w:szCs w:val="24"/>
          <w:lang w:eastAsia="ar-SA"/>
        </w:rPr>
        <w:t xml:space="preserve">), mas não obteve muito sucesso. Ele permaneceu no Brasil até a sua morte em 1947. Alessandro Cerchiai permaneceu no país e publicou alguns trabalhos como </w:t>
      </w:r>
      <w:r w:rsidRPr="007925E5">
        <w:rPr>
          <w:rFonts w:ascii="Times New Roman" w:eastAsia="Times New Roman" w:hAnsi="Times New Roman" w:cs="Times New Roman"/>
          <w:i/>
          <w:sz w:val="24"/>
          <w:szCs w:val="24"/>
          <w:lang w:eastAsia="ar-SA"/>
        </w:rPr>
        <w:t>Quaderni della Libertà</w:t>
      </w:r>
      <w:r w:rsidRPr="007925E5">
        <w:rPr>
          <w:rFonts w:ascii="Times New Roman" w:eastAsia="Times New Roman" w:hAnsi="Times New Roman" w:cs="Times New Roman"/>
          <w:sz w:val="24"/>
          <w:szCs w:val="24"/>
          <w:lang w:eastAsia="ar-SA"/>
        </w:rPr>
        <w:t xml:space="preserve"> com Nino Daniele no início dos anos 1930 até o </w:t>
      </w:r>
      <w:proofErr w:type="gramStart"/>
      <w:r w:rsidRPr="007925E5">
        <w:rPr>
          <w:rFonts w:ascii="Times New Roman" w:eastAsia="Times New Roman" w:hAnsi="Times New Roman" w:cs="Times New Roman"/>
          <w:sz w:val="24"/>
          <w:szCs w:val="24"/>
          <w:lang w:eastAsia="ar-SA"/>
        </w:rPr>
        <w:t>sua falecimento</w:t>
      </w:r>
      <w:proofErr w:type="gramEnd"/>
      <w:r w:rsidRPr="007925E5">
        <w:rPr>
          <w:rFonts w:ascii="Times New Roman" w:eastAsia="Times New Roman" w:hAnsi="Times New Roman" w:cs="Times New Roman"/>
          <w:sz w:val="24"/>
          <w:szCs w:val="24"/>
          <w:lang w:eastAsia="ar-SA"/>
        </w:rPr>
        <w:t xml:space="preserve"> em outubro de 1936. O maior grupo de anarquistas italianos, fundamental para desencadear o anarquismo no território brasileiro, e que ajudou a unificar os primeiros sindicatos de trabalhadores com a FOSP, a Federação dos Trabalhadores de São Paulo, foi definitivamente rompido.</w:t>
      </w:r>
    </w:p>
    <w:p w14:paraId="710CC03B"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11379923" w14:textId="77777777" w:rsidR="007925E5" w:rsidRPr="007925E5" w:rsidRDefault="007925E5" w:rsidP="007925E5">
      <w:pPr>
        <w:suppressAutoHyphens/>
        <w:spacing w:after="0" w:line="100" w:lineRule="atLeast"/>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t>Considerações Finais</w:t>
      </w:r>
    </w:p>
    <w:p w14:paraId="1CFA9761" w14:textId="144251CA" w:rsidR="007925E5" w:rsidRDefault="007925E5" w:rsidP="007925E5">
      <w:pPr>
        <w:suppressAutoHyphens/>
        <w:spacing w:after="0" w:line="100" w:lineRule="atLeast"/>
        <w:jc w:val="both"/>
        <w:rPr>
          <w:rFonts w:ascii="Times New Roman" w:eastAsia="Times New Roman" w:hAnsi="Times New Roman" w:cs="Times New Roman"/>
          <w:b/>
          <w:bCs/>
          <w:sz w:val="24"/>
          <w:szCs w:val="24"/>
          <w:lang w:eastAsia="ar-SA"/>
        </w:rPr>
      </w:pPr>
    </w:p>
    <w:p w14:paraId="4F487EBC" w14:textId="77777777" w:rsidR="00FC4195" w:rsidRPr="007925E5" w:rsidRDefault="00FC4195" w:rsidP="007925E5">
      <w:pPr>
        <w:suppressAutoHyphens/>
        <w:spacing w:after="0" w:line="100" w:lineRule="atLeast"/>
        <w:jc w:val="both"/>
        <w:rPr>
          <w:rFonts w:ascii="Times New Roman" w:eastAsia="Times New Roman" w:hAnsi="Times New Roman" w:cs="Times New Roman"/>
          <w:b/>
          <w:bCs/>
          <w:sz w:val="24"/>
          <w:szCs w:val="24"/>
          <w:lang w:eastAsia="ar-SA"/>
        </w:rPr>
      </w:pPr>
    </w:p>
    <w:p w14:paraId="548E188A" w14:textId="77777777" w:rsidR="007925E5" w:rsidRDefault="007925E5" w:rsidP="007925E5">
      <w:pPr>
        <w:suppressAutoHyphens/>
        <w:spacing w:after="0" w:line="100" w:lineRule="atLeast"/>
        <w:ind w:left="2268"/>
        <w:jc w:val="both"/>
        <w:rPr>
          <w:rFonts w:ascii="Times New Roman" w:eastAsia="Times New Roman" w:hAnsi="Times New Roman" w:cs="Times New Roman"/>
          <w:i/>
          <w:lang w:eastAsia="ar-SA"/>
        </w:rPr>
      </w:pPr>
      <w:r w:rsidRPr="007925E5">
        <w:rPr>
          <w:rFonts w:ascii="Times New Roman" w:eastAsia="Times New Roman" w:hAnsi="Times New Roman" w:cs="Times New Roman"/>
          <w:i/>
          <w:lang w:eastAsia="ar-SA"/>
        </w:rPr>
        <w:t>Anarquia. Uma vez, ao juiz que lhe pedia que definisse em poucas palavras seu ideal político, um anarquista respondeu-lhe com espírito bíblico que para ele a anarquia era a arca de Noé sem Noé. Mas outro anarquista imediatamente protestou que aquilo era reformismo e que, quando muito, a anarquia era o dilúvio universal e sem a arca. Nesse choque de chistes, defrontam-se as duas almas do anarquismo, aquela otimista e racional, e aquela romântica e niilista, le siècle des lumières e Sturm und Drung.</w:t>
      </w:r>
      <w:r w:rsidRPr="007925E5">
        <w:rPr>
          <w:rFonts w:ascii="Times New Roman" w:eastAsia="Times New Roman" w:hAnsi="Times New Roman" w:cs="Times New Roman"/>
          <w:sz w:val="20"/>
          <w:szCs w:val="20"/>
          <w:vertAlign w:val="superscript"/>
          <w:lang w:eastAsia="ar-SA"/>
        </w:rPr>
        <w:footnoteReference w:id="64"/>
      </w:r>
    </w:p>
    <w:p w14:paraId="6A5037BA" w14:textId="77777777" w:rsidR="007925E5" w:rsidRPr="007925E5" w:rsidRDefault="007925E5" w:rsidP="007925E5">
      <w:pPr>
        <w:suppressAutoHyphens/>
        <w:spacing w:after="0" w:line="100" w:lineRule="atLeast"/>
        <w:ind w:left="2268"/>
        <w:jc w:val="both"/>
        <w:rPr>
          <w:rFonts w:ascii="Times New Roman" w:eastAsia="Times New Roman" w:hAnsi="Times New Roman" w:cs="Times New Roman"/>
          <w:sz w:val="20"/>
          <w:szCs w:val="20"/>
          <w:lang w:eastAsia="ar-SA"/>
        </w:rPr>
      </w:pPr>
    </w:p>
    <w:p w14:paraId="2276D35B"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Com essa anedota, Masini, o maior historiador do anarquismo italiano, começa a sua definição de anarquia por meio de uma referência provocativa, é claro, à Bíblia. Mas, além dessa definição tensionada e talvez esquizofrênica, o que Masini pretendeu fazer, apontando para a oposição dentro do próprio movimento, era reafirmar essa característica como sua maior força. Desde Bakunin, que alternou continuamente a paixão nas barricadas e a insurreição popular com a organização da massa operária, exemplo seguido por seu principal discípulo italiano, Malatesta, ambos e muitos entendimentos diferentes entre esses dois polos extremos foram na história os caminhos escolhidos pela anarquia, e que resistiram até hoje. Assim, dividir o anarquismo em duas formas rígidas, insurrecionalista ou movimento de massa, não só é um erro, já que houve e ainda há grande interconexão entre essas duas categorias, mas é, exclusivamente, uma defesa ideológica da posição política dos autores que a fazem.</w:t>
      </w:r>
    </w:p>
    <w:p w14:paraId="43971C68"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 que tentamos mostrar nestas poucas páginas é que a importante conexão libertária transatlântica italiana entre o Cone sul-americano, a Itália, a França e outros países não se adéqua a essa divisão classificatória. Corresponde, de fato, à produção de ações complementares promovidas por ativistas que se moviam por diferentes posições dentro do anarquismo, em defesa de uma maior liberdade individual no interior das organizações sindicais. No lugar de uma posição ideal no movimento, a maioria das relações baseava-se em identidades regionais. Se observamos as regiões e províncias onde grande parte dos ativistas eram provenientes, podemos identificar a Toscana como a principal localidade, seguida da Emília, Ligúria e Lazio, e das cidades situadas ao longo da costa Tirrênica. Regiões na Itália onde as federações anarquistas eram fortes desde a última década do século XIX.</w:t>
      </w:r>
    </w:p>
    <w:p w14:paraId="17298D29"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No entanto, se no início de 1900 a maioria das relações ainda estava estabelecida dentro das comunidades italianas no exterior, podemos observar uma mudança significativa durante a década de 1910. Se por um lado o início da Grande Guerra aumentou o internacionalismo dentro do movimento anarquista, por outro, a relação com a comunidade nacional de militantes no Brasil foi fortalecida, passando a apoiar mais diretamente as lutas operárias.</w:t>
      </w:r>
    </w:p>
    <w:p w14:paraId="30192D65" w14:textId="77777777" w:rsidR="007925E5" w:rsidRPr="007925E5" w:rsidRDefault="007925E5" w:rsidP="007925E5">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Com este breve resumo sobre a rede anarquista italiana no Brasil, esperamos ter introduzido sua característica transnacional, naturalmente influenciada pelas identidades regionais dos ativistas, mas, principalmente, discordando de qualquer tipo de rigidez ou </w:t>
      </w:r>
      <w:r w:rsidRPr="007925E5">
        <w:rPr>
          <w:rFonts w:ascii="Times New Roman" w:eastAsia="Times New Roman" w:hAnsi="Times New Roman" w:cs="Times New Roman"/>
          <w:sz w:val="24"/>
          <w:szCs w:val="24"/>
          <w:lang w:eastAsia="ar-SA"/>
        </w:rPr>
        <w:lastRenderedPageBreak/>
        <w:t>estreita divisão dentro do movimento. Em nossa opinião, foi a fluidez dos ativistas que lhes permitiu construir um movimento forte e persistente.</w:t>
      </w:r>
    </w:p>
    <w:p w14:paraId="50EF4AD1" w14:textId="2B32CFA9" w:rsidR="007925E5" w:rsidRDefault="007925E5" w:rsidP="007925E5">
      <w:pPr>
        <w:suppressAutoHyphens/>
        <w:spacing w:after="0" w:line="360" w:lineRule="auto"/>
        <w:jc w:val="both"/>
        <w:rPr>
          <w:rFonts w:ascii="Times New Roman" w:eastAsia="Times New Roman" w:hAnsi="Times New Roman" w:cs="Times New Roman"/>
          <w:sz w:val="24"/>
          <w:szCs w:val="24"/>
          <w:lang w:eastAsia="ar-SA"/>
        </w:rPr>
      </w:pPr>
    </w:p>
    <w:p w14:paraId="5755464F" w14:textId="77777777" w:rsidR="00FC4195" w:rsidRPr="007925E5" w:rsidRDefault="00FC4195" w:rsidP="007925E5">
      <w:pPr>
        <w:suppressAutoHyphens/>
        <w:spacing w:after="0" w:line="360" w:lineRule="auto"/>
        <w:jc w:val="both"/>
        <w:rPr>
          <w:rFonts w:ascii="Times New Roman" w:eastAsia="Times New Roman" w:hAnsi="Times New Roman" w:cs="Times New Roman"/>
          <w:sz w:val="24"/>
          <w:szCs w:val="24"/>
          <w:lang w:eastAsia="ar-SA"/>
        </w:rPr>
      </w:pPr>
    </w:p>
    <w:p w14:paraId="07160693" w14:textId="7D771C36" w:rsidR="007925E5" w:rsidRDefault="007925E5" w:rsidP="007925E5">
      <w:pPr>
        <w:suppressAutoHyphens/>
        <w:spacing w:after="0" w:line="100" w:lineRule="atLeast"/>
        <w:jc w:val="both"/>
        <w:rPr>
          <w:rFonts w:ascii="Times New Roman" w:eastAsia="Times New Roman" w:hAnsi="Times New Roman" w:cs="Times New Roman"/>
          <w:b/>
          <w:sz w:val="24"/>
          <w:szCs w:val="24"/>
          <w:lang w:eastAsia="ar-SA"/>
        </w:rPr>
      </w:pPr>
      <w:r w:rsidRPr="007925E5">
        <w:rPr>
          <w:rFonts w:ascii="Times New Roman" w:eastAsia="Times New Roman" w:hAnsi="Times New Roman" w:cs="Times New Roman"/>
          <w:b/>
          <w:sz w:val="24"/>
          <w:szCs w:val="24"/>
          <w:lang w:eastAsia="ar-SA"/>
        </w:rPr>
        <w:t>Referências</w:t>
      </w:r>
    </w:p>
    <w:p w14:paraId="5D8249D0" w14:textId="77777777" w:rsidR="00FC4195" w:rsidRPr="007925E5" w:rsidRDefault="00FC4195" w:rsidP="007925E5">
      <w:pPr>
        <w:suppressAutoHyphens/>
        <w:spacing w:after="0" w:line="100" w:lineRule="atLeast"/>
        <w:jc w:val="both"/>
        <w:rPr>
          <w:rFonts w:ascii="Times New Roman" w:eastAsia="Times New Roman" w:hAnsi="Times New Roman" w:cs="Times New Roman"/>
          <w:b/>
          <w:sz w:val="24"/>
          <w:szCs w:val="24"/>
          <w:lang w:eastAsia="ar-SA"/>
        </w:rPr>
      </w:pPr>
    </w:p>
    <w:p w14:paraId="7306F64A" w14:textId="77777777" w:rsidR="007925E5" w:rsidRPr="007925E5" w:rsidRDefault="007925E5" w:rsidP="007925E5">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b/>
          <w:sz w:val="24"/>
          <w:szCs w:val="24"/>
          <w:lang w:eastAsia="ar-SA"/>
        </w:rPr>
        <w:t>Periódicos utilizados</w:t>
      </w:r>
    </w:p>
    <w:p w14:paraId="6D235A42" w14:textId="77777777" w:rsidR="007925E5" w:rsidRPr="007925E5" w:rsidRDefault="007925E5" w:rsidP="007925E5">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São Paulo.</w:t>
      </w:r>
    </w:p>
    <w:p w14:paraId="004A8D0B" w14:textId="77777777" w:rsidR="007925E5" w:rsidRPr="007925E5" w:rsidRDefault="007925E5" w:rsidP="007925E5">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sz w:val="24"/>
          <w:szCs w:val="24"/>
          <w:lang w:eastAsia="ar-SA"/>
        </w:rPr>
        <w:t>Guerra Sociale</w:t>
      </w:r>
      <w:r w:rsidRPr="007925E5">
        <w:rPr>
          <w:rFonts w:ascii="Times New Roman" w:eastAsia="Times New Roman" w:hAnsi="Times New Roman" w:cs="Times New Roman"/>
          <w:sz w:val="24"/>
          <w:szCs w:val="24"/>
          <w:lang w:eastAsia="ar-SA"/>
        </w:rPr>
        <w:t>, São Paulo.</w:t>
      </w:r>
    </w:p>
    <w:p w14:paraId="4711843C"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São Paulo.</w:t>
      </w:r>
    </w:p>
    <w:p w14:paraId="060AD635"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68C85A09"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Documentos utilizados</w:t>
      </w:r>
    </w:p>
    <w:p w14:paraId="6933009B"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Archivio Centrale dello Stato, ACS, Casellario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Centrale, CPC. b. 4342, fasc. Ristori, Oreste. Correspondência de 1º de junho de 1904, de Petrópolis. Legazione d'Italia alla Direzione Generale della PS a Roma. Protocolo 12618.</w:t>
      </w:r>
    </w:p>
    <w:p w14:paraId="64AB2561"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Archivio Centrale dello Stato, ACS, Casellario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Centrale, CPC. Bandoni, Angelo, b. 305, f. 75150.</w:t>
      </w:r>
    </w:p>
    <w:p w14:paraId="14C5E9BC"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Archivio Centrale dello Stato, ACS, Casellario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Centrale, CPC. Ristori, Oreste, b. 4342. Nota do Ministro do Interior, de Buenos Aires, janeiro 27, 1903. Direzione Generale della P. S. della Preffetura di Roma</w:t>
      </w:r>
    </w:p>
    <w:p w14:paraId="07A48F91"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Arquivo Nacional do Rio de Janeiro, ANRJ, IJJ 7 179 (SPE-101).</w:t>
      </w:r>
    </w:p>
    <w:p w14:paraId="4F245EFA" w14:textId="77777777" w:rsid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Arquivo Nacional do Rio de Janeiro, ANRJ, Fundo Tribunal de Segurança Nacional, TSN, MJNI, Ministério da Justiça e dos Negócios Internos, (1933-39), box 292.</w:t>
      </w:r>
    </w:p>
    <w:p w14:paraId="415C8A97" w14:textId="77777777" w:rsidR="00EF3D18" w:rsidRPr="007925E5" w:rsidRDefault="00EF3D18" w:rsidP="007925E5">
      <w:pPr>
        <w:suppressAutoHyphens/>
        <w:spacing w:after="0" w:line="100" w:lineRule="atLeast"/>
        <w:jc w:val="both"/>
        <w:rPr>
          <w:rFonts w:ascii="Times New Roman" w:eastAsia="Times New Roman" w:hAnsi="Times New Roman" w:cs="Times New Roman"/>
          <w:sz w:val="24"/>
          <w:szCs w:val="24"/>
          <w:lang w:eastAsia="ar-SA"/>
        </w:rPr>
      </w:pPr>
    </w:p>
    <w:p w14:paraId="163DA0AB" w14:textId="77777777" w:rsidR="007925E5" w:rsidRPr="007925E5" w:rsidRDefault="007925E5" w:rsidP="007925E5">
      <w:pPr>
        <w:suppressAutoHyphens/>
        <w:spacing w:after="0" w:line="100" w:lineRule="atLeast"/>
        <w:jc w:val="both"/>
        <w:rPr>
          <w:rFonts w:ascii="Times New Roman" w:eastAsia="Times New Roman" w:hAnsi="Times New Roman" w:cs="Times New Roman"/>
          <w:sz w:val="24"/>
          <w:szCs w:val="24"/>
          <w:lang w:eastAsia="ar-SA"/>
        </w:rPr>
      </w:pPr>
    </w:p>
    <w:p w14:paraId="5549837B" w14:textId="7068D42A" w:rsidR="007925E5" w:rsidRDefault="007925E5" w:rsidP="007925E5">
      <w:pPr>
        <w:suppressAutoHyphens/>
        <w:spacing w:after="0" w:line="100" w:lineRule="atLeast"/>
        <w:jc w:val="both"/>
        <w:rPr>
          <w:rFonts w:ascii="Times New Roman" w:eastAsia="Times New Roman" w:hAnsi="Times New Roman" w:cs="Times New Roman"/>
          <w:b/>
          <w:sz w:val="24"/>
          <w:szCs w:val="24"/>
          <w:lang w:eastAsia="ar-SA"/>
        </w:rPr>
      </w:pPr>
      <w:r w:rsidRPr="007925E5">
        <w:rPr>
          <w:rFonts w:ascii="Times New Roman" w:eastAsia="Times New Roman" w:hAnsi="Times New Roman" w:cs="Times New Roman"/>
          <w:b/>
          <w:sz w:val="24"/>
          <w:szCs w:val="24"/>
          <w:lang w:eastAsia="ar-SA"/>
        </w:rPr>
        <w:t xml:space="preserve">Bibliografia </w:t>
      </w:r>
    </w:p>
    <w:p w14:paraId="00A03FF4" w14:textId="77777777" w:rsidR="00B22644" w:rsidRPr="007925E5" w:rsidRDefault="00B22644" w:rsidP="007925E5">
      <w:pPr>
        <w:suppressAutoHyphens/>
        <w:spacing w:after="0" w:line="100" w:lineRule="atLeast"/>
        <w:jc w:val="both"/>
        <w:rPr>
          <w:rFonts w:ascii="Times New Roman" w:eastAsia="Times New Roman" w:hAnsi="Times New Roman" w:cs="Times New Roman"/>
          <w:sz w:val="24"/>
          <w:szCs w:val="24"/>
          <w:lang w:eastAsia="ar-SA"/>
        </w:rPr>
      </w:pPr>
    </w:p>
    <w:p w14:paraId="0045EAD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ACRI, Martín Alberto; CÁCEREZ, María del Carmen Cácerez (2011), La educación libertaria en la Argentina y en México (1861-1945). Buenos Aires: Libros de Anarres.</w:t>
      </w:r>
    </w:p>
    <w:p w14:paraId="154EF5D4"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ADDOR, Carlos (1986), A insurreição anarquista no Rio de Janeiro. Rio de Janeiro: Dois pontos.</w:t>
      </w:r>
    </w:p>
    <w:p w14:paraId="11397094"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ANTONIOLI, Maurizio et al. (2004), Dizionario biografico degli anarchici italiani tomo 2. Pisa: BFS ed.</w:t>
      </w:r>
    </w:p>
    <w:p w14:paraId="63A0A633"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MASINI, Pier Carlo (1999), Il sol dell'avvenire. L'anarchismo in Italia dalle origini alla prima guerra mondiale (1871-1918). Pisa: BFS ed.</w:t>
      </w:r>
    </w:p>
    <w:p w14:paraId="2514ED05"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BATALHA, Claudio H. M. (2004), Cultura associativa no Rio de Janeiro da Primeira República, in BATALHA, Claudio H. M.; SILVA, Fernando Teixeira da Silva e FORTES, Alexandre Fortes (eds.); Culturas de Classe. Campinas: Ed. Unicamp.</w:t>
      </w:r>
    </w:p>
    <w:p w14:paraId="2ED5937D"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BAYER, Osvaldo (2003), La influencia de la inmigración italiana en el movimiento anarquista argentino, In: Los anarquistas expropiadores y otros ensayos. Buenos Aires: Editorial Planeta.</w:t>
      </w:r>
    </w:p>
    <w:p w14:paraId="5287DE80"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BENEVIDES, Bruno Corrêa de Sá e (2018ª), A educação libertária como “nova tendência revolucionária”: as experiências pedagógicas de Angelo Bandoni, Revista Latino-Americana de História, vol. 7, n. 19, jan./jul.</w:t>
      </w:r>
    </w:p>
    <w:p w14:paraId="416FC844"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(2018b), O Anarquismo sem adjetivos: a trajetória libertária de Angelo Bandoni entre propaganda e educação, Dissertação (Mestrado), Universidade Federal do Estado do Rio de Janeiro, Rio de Janeiro.</w:t>
      </w:r>
    </w:p>
    <w:p w14:paraId="7862A48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BIONDI, Luigi (1994), La stampa anarchica in Brasile, tesi di laurea, Università La Sapienza, Rome.</w:t>
      </w:r>
    </w:p>
    <w:p w14:paraId="7B4EC85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(1998), Anarquistas italianos em São Paulo. O grupo do jornal anarquista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a sua visão da sociedade brasileira: o embate entre imaginários libertários e etnocêntricos, Cadernos AEL, Campinas, n. 8/9, p. 117-49. Disponível em: </w:t>
      </w:r>
      <w:hyperlink r:id="rId11" w:history="1">
        <w:r w:rsidRPr="007925E5">
          <w:rPr>
            <w:rFonts w:ascii="Times New Roman" w:eastAsia="Times New Roman" w:hAnsi="Times New Roman" w:cs="Times New Roman"/>
            <w:color w:val="000080"/>
            <w:sz w:val="24"/>
            <w:szCs w:val="24"/>
            <w:u w:val="single"/>
            <w:lang w:eastAsia="ar-SA"/>
          </w:rPr>
          <w:t>https://www.ifch.unicamp.br/ojs/index.php/ael/article/viewFile/2472/1882</w:t>
        </w:r>
      </w:hyperlink>
      <w:r w:rsidRPr="007925E5">
        <w:rPr>
          <w:rFonts w:ascii="Times New Roman" w:eastAsia="Times New Roman" w:hAnsi="Times New Roman" w:cs="Times New Roman"/>
          <w:sz w:val="24"/>
          <w:szCs w:val="24"/>
          <w:lang w:eastAsia="ar-SA"/>
        </w:rPr>
        <w:t>.</w:t>
      </w:r>
    </w:p>
    <w:p w14:paraId="1869018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(2012), Mãos unidas, corações divididos. As sociedades italianas de socorro mútuo em São Paulo na Primeira República: sua formação, suas lutas, suas festas, Tempo, Niterói, n 33, p. 75-104, doi http://dx.doi.org/10.1590/S1413-77042012000200004.</w:t>
      </w:r>
    </w:p>
    <w:p w14:paraId="0F6C9A5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CASTRO, Manoel de (1959), </w:t>
      </w:r>
      <w:proofErr w:type="gramStart"/>
      <w:r w:rsidRPr="007925E5">
        <w:rPr>
          <w:rFonts w:ascii="Times New Roman" w:eastAsia="Times New Roman" w:hAnsi="Times New Roman" w:cs="Times New Roman"/>
          <w:sz w:val="24"/>
          <w:szCs w:val="24"/>
          <w:lang w:eastAsia="ar-SA"/>
        </w:rPr>
        <w:t>Oficio</w:t>
      </w:r>
      <w:proofErr w:type="gramEnd"/>
      <w:r w:rsidRPr="007925E5">
        <w:rPr>
          <w:rFonts w:ascii="Times New Roman" w:eastAsia="Times New Roman" w:hAnsi="Times New Roman" w:cs="Times New Roman"/>
          <w:sz w:val="24"/>
          <w:szCs w:val="24"/>
          <w:lang w:eastAsia="ar-SA"/>
        </w:rPr>
        <w:t xml:space="preserve"> de vivir. Montevideo: Banda Oriental.</w:t>
      </w:r>
    </w:p>
    <w:p w14:paraId="5469F6F0"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CORRÊA, Felipe (2011), Anarquismo e Sindicalismo Revolucionário: uma resenha crítica do livro de Edilene Toledo, a partir das visões de Michael Schmidt, Lucien van der Walt e Alexandre Samis In CORRÊA, Felipe (ed.); Ideologia e Estratégia: anarquismo, movimentos sociais e poder popular. São Paulo: Faísca.</w:t>
      </w:r>
    </w:p>
    <w:p w14:paraId="00332E4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GALEANO Diego, ALBORNOZ Martin, “Anarquistas y policías en el atlántico sudamericano: una red transnacional, 1890-1910”, Boletín del Ravignani”, Buenos Aires, no. 47 (2017):101-34. </w:t>
      </w:r>
      <w:hyperlink r:id="rId12" w:history="1">
        <w:r w:rsidRPr="007925E5">
          <w:rPr>
            <w:rFonts w:ascii="Times New Roman" w:eastAsia="Times New Roman" w:hAnsi="Times New Roman" w:cs="Times New Roman"/>
            <w:color w:val="000080"/>
            <w:sz w:val="24"/>
            <w:szCs w:val="24"/>
            <w:u w:val="single"/>
            <w:lang w:eastAsia="ar-SA"/>
          </w:rPr>
          <w:t>http://ppct.caicyt.gov.ar/index.php/ravignani/article/download/11080/9900</w:t>
        </w:r>
      </w:hyperlink>
    </w:p>
    <w:p w14:paraId="46833282"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FAUSTO, Boris (1976), Trabalho urbano e conflito social: 1890-1920. São Paulo: Difel.</w:t>
      </w:r>
    </w:p>
    <w:p w14:paraId="3235817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FELICI, Isabelle (1994), Gli anarchici italiani di San Paolo e il problema dell'organizzazione operaia (1898-1917), </w:t>
      </w:r>
      <w:proofErr w:type="gramStart"/>
      <w:r w:rsidRPr="007925E5">
        <w:rPr>
          <w:rFonts w:ascii="Times New Roman" w:eastAsia="Times New Roman" w:hAnsi="Times New Roman" w:cs="Times New Roman"/>
          <w:sz w:val="24"/>
          <w:szCs w:val="24"/>
          <w:lang w:eastAsia="ar-SA"/>
        </w:rPr>
        <w:t>In</w:t>
      </w:r>
      <w:proofErr w:type="gramEnd"/>
      <w:r w:rsidRPr="007925E5">
        <w:rPr>
          <w:rFonts w:ascii="Times New Roman" w:eastAsia="Times New Roman" w:hAnsi="Times New Roman" w:cs="Times New Roman"/>
          <w:sz w:val="24"/>
          <w:szCs w:val="24"/>
          <w:lang w:eastAsia="ar-SA"/>
        </w:rPr>
        <w:t xml:space="preserve"> eds. BLENGINO, Vanni; FRANZINA, Emilio e PEPE, Adolfo (eds.); La Riscoperta delle Americhe. Milan: Teti ed.</w:t>
      </w:r>
    </w:p>
    <w:p w14:paraId="49B48B1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______ (1994), Les Italiens dans le mouvement anarchiste au Brésil 1890-1920 Tese (Doutorado), Université de la Sorbonne Nouvelle, Paris.</w:t>
      </w:r>
    </w:p>
    <w:p w14:paraId="2E4901E5"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(2001), La Cecilia. Histoire d’une communauté anarchiste et de son fondateur Giovanni Rossi. Lyon: Atelier de création libertaire.</w:t>
      </w:r>
    </w:p>
    <w:p w14:paraId="41DA706E"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GIORDANO, Adriano Paolo (1999), L'editore errante dell'anarchia. Appunti per una biografia di Fortunato Serantoni, Rivista Storica dell'Anarchismo, Pisa, 6 n.2, p. 41-70.</w:t>
      </w:r>
    </w:p>
    <w:p w14:paraId="7417F550"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GIULIETTI, Fabrizio (2012), Storia degli anarchici italiani in etá giolittiana. Milano: Franco Angeli.</w:t>
      </w:r>
    </w:p>
    <w:p w14:paraId="562AF79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HALL, Michael M. (1975), Immigration and the early São Paulo Working-class, Jahrbuch für Geschichte Lateinamerikas, n, 12, p. 393-407.</w:t>
      </w:r>
    </w:p>
    <w:p w14:paraId="4969740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HART, John M. (1987), Anarchism &amp; the Mexican Working Class, 1860-1931. Austin: University of Texas Press.</w:t>
      </w:r>
    </w:p>
    <w:p w14:paraId="6D9553BC"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HATTON, Timothy J.; WILLIAMSON, Jeffrey G. (1998), The Age of Mass Migration: Causes and Economic Impact. Oxford: Oxford University Press.</w:t>
      </w:r>
    </w:p>
    <w:p w14:paraId="14BA44AB"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LEVY, Carl (1989), Italian anarchism, 1870-1926, In GOODWAY, David (ed.); For Anarchism. History, Theory and Practice. London, Routledge.</w:t>
      </w:r>
    </w:p>
    <w:p w14:paraId="48E900DA"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______ (1999), Gramsci and the Anarchists. </w:t>
      </w:r>
      <w:r w:rsidRPr="007925E5">
        <w:rPr>
          <w:rFonts w:ascii="Times New Roman" w:eastAsia="Times New Roman" w:hAnsi="Times New Roman" w:cs="Times New Roman"/>
          <w:sz w:val="24"/>
          <w:szCs w:val="24"/>
          <w:lang w:eastAsia="ar-SA"/>
        </w:rPr>
        <w:t>New York: Berg.</w:t>
      </w:r>
    </w:p>
    <w:p w14:paraId="2DD295E5"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LOPREATO, Christina (2000), O espírito da revolta: a greve geral anarquista de 1917. </w:t>
      </w:r>
      <w:r w:rsidRPr="007925E5">
        <w:rPr>
          <w:rFonts w:ascii="Times New Roman" w:eastAsia="Times New Roman" w:hAnsi="Times New Roman" w:cs="Times New Roman"/>
          <w:sz w:val="24"/>
          <w:szCs w:val="24"/>
          <w:lang w:val="en-US" w:eastAsia="ar-SA"/>
        </w:rPr>
        <w:t>São Paulo: Annablume.</w:t>
      </w:r>
    </w:p>
    <w:p w14:paraId="02CD3ED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MACLACHLAN, Colin (1991), Anarchism and the Mexican Revolution: The Political Trials of Ricardo Flores Magon in the United States. </w:t>
      </w:r>
      <w:r w:rsidRPr="007925E5">
        <w:rPr>
          <w:rFonts w:ascii="Times New Roman" w:eastAsia="Times New Roman" w:hAnsi="Times New Roman" w:cs="Times New Roman"/>
          <w:sz w:val="24"/>
          <w:szCs w:val="24"/>
          <w:lang w:eastAsia="ar-SA"/>
        </w:rPr>
        <w:t>Oakland, CA: University of California Press.</w:t>
      </w:r>
    </w:p>
    <w:p w14:paraId="16F0B75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MAGNANI, Silvia Lang (1982), O movimento anarquista em São Paulo (1906-1917). </w:t>
      </w:r>
      <w:r w:rsidRPr="007925E5">
        <w:rPr>
          <w:rFonts w:ascii="Times New Roman" w:eastAsia="Times New Roman" w:hAnsi="Times New Roman" w:cs="Times New Roman"/>
          <w:sz w:val="24"/>
          <w:szCs w:val="24"/>
          <w:lang w:val="en-US" w:eastAsia="ar-SA"/>
        </w:rPr>
        <w:t>São Paulo: Brasiliense.</w:t>
      </w:r>
    </w:p>
    <w:p w14:paraId="2BB65A6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MALATESTA, Errico (2017), Complete works of Malatesta </w:t>
      </w:r>
      <w:proofErr w:type="gramStart"/>
      <w:r w:rsidRPr="007925E5">
        <w:rPr>
          <w:rFonts w:ascii="Times New Roman" w:eastAsia="Times New Roman" w:hAnsi="Times New Roman" w:cs="Times New Roman"/>
          <w:sz w:val="24"/>
          <w:szCs w:val="24"/>
          <w:lang w:val="en-US" w:eastAsia="ar-SA"/>
        </w:rPr>
        <w:t>In</w:t>
      </w:r>
      <w:proofErr w:type="gramEnd"/>
      <w:r w:rsidRPr="007925E5">
        <w:rPr>
          <w:rFonts w:ascii="Times New Roman" w:eastAsia="Times New Roman" w:hAnsi="Times New Roman" w:cs="Times New Roman"/>
          <w:sz w:val="24"/>
          <w:szCs w:val="24"/>
          <w:lang w:val="en-US" w:eastAsia="ar-SA"/>
        </w:rPr>
        <w:t xml:space="preserve"> TURCATO, Davide (ed.); A Long and Patient Work: The Anarchist Socialism of L'Agitazione, 1897–98. </w:t>
      </w:r>
      <w:r w:rsidRPr="007925E5">
        <w:rPr>
          <w:rFonts w:ascii="Times New Roman" w:eastAsia="Times New Roman" w:hAnsi="Times New Roman" w:cs="Times New Roman"/>
          <w:sz w:val="24"/>
          <w:szCs w:val="24"/>
          <w:lang w:eastAsia="ar-SA"/>
        </w:rPr>
        <w:t>Chico CA: AK Press.</w:t>
      </w:r>
    </w:p>
    <w:p w14:paraId="0DB6EB13"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MARABINI, Tomaso; SACCHETTI, Giorgio e ZANI, Roberto (2008), Attilio Sassi, detto bestione. Autobiografia di un sindacalista libertário. Milano: Zero in Condotta.</w:t>
      </w:r>
    </w:p>
    <w:p w14:paraId="3D650095"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MARAM, Sheldon Leslie (1979), Anarquistas, imigrantes e o movimento operário brasileiro. Rio de Janeiro: Paz e Terra.</w:t>
      </w:r>
    </w:p>
    <w:p w14:paraId="66D4354F"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MARINI, Gualtiero (2017), Revolução, anarquia e comunismo: às origens do socialismo internacionalista italiano (1871-1876). Tese (Pós-doutorado) PhD thesis, Universidade de Campinas, São Paulo.</w:t>
      </w:r>
    </w:p>
    <w:p w14:paraId="760E081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MASINI, Pier Carlo (1974), Storia degli anarchici italiani: da Bakunin a Malatesta (1862-1892). </w:t>
      </w:r>
      <w:r w:rsidRPr="007925E5">
        <w:rPr>
          <w:rFonts w:ascii="Times New Roman" w:eastAsia="Times New Roman" w:hAnsi="Times New Roman" w:cs="Times New Roman"/>
          <w:sz w:val="24"/>
          <w:szCs w:val="24"/>
          <w:lang w:val="en-US" w:eastAsia="ar-SA"/>
        </w:rPr>
        <w:t>Milan: Rizzoli.</w:t>
      </w:r>
    </w:p>
    <w:p w14:paraId="135945E1"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______ (2010), Anarchia, in Le parole del Novecento. Pisa: BFS ed.</w:t>
      </w:r>
    </w:p>
    <w:p w14:paraId="62DA9563"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(2014), Cafiero. Pisa: BFS ed.</w:t>
      </w:r>
    </w:p>
    <w:p w14:paraId="76A1F032"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MENEZES, Lená M. de (1996), Os Indesejáveis – desclassificados da modernidade. Protesto crime e expulsão na capital federal (1890-1930). Rio de Janeiro: EdUERJ.</w:t>
      </w:r>
    </w:p>
    <w:p w14:paraId="3D88AA52"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OVED, Iacoov (1997), The Uniqueness of Anarchism in Argentina, E.I.A.L. v. 8 n. 1. </w:t>
      </w:r>
      <w:r w:rsidRPr="007925E5">
        <w:rPr>
          <w:rFonts w:ascii="Times New Roman" w:eastAsia="Times New Roman" w:hAnsi="Times New Roman" w:cs="Times New Roman"/>
          <w:sz w:val="24"/>
          <w:szCs w:val="24"/>
          <w:lang w:eastAsia="ar-SA"/>
        </w:rPr>
        <w:t xml:space="preserve">Disponível em: </w:t>
      </w:r>
      <w:hyperlink r:id="rId13" w:history="1">
        <w:r w:rsidRPr="007925E5">
          <w:rPr>
            <w:rFonts w:ascii="Times New Roman" w:eastAsia="Times New Roman" w:hAnsi="Times New Roman" w:cs="Times New Roman"/>
            <w:color w:val="000080"/>
            <w:sz w:val="24"/>
            <w:szCs w:val="24"/>
            <w:u w:val="single"/>
            <w:lang w:eastAsia="ar-SA"/>
          </w:rPr>
          <w:t>http://www7.tau.ac.il/ojs/index.php/eial/article/view/1126/1156</w:t>
        </w:r>
      </w:hyperlink>
      <w:r w:rsidRPr="007925E5">
        <w:rPr>
          <w:rFonts w:ascii="Times New Roman" w:eastAsia="Times New Roman" w:hAnsi="Times New Roman" w:cs="Times New Roman"/>
          <w:sz w:val="24"/>
          <w:szCs w:val="24"/>
          <w:lang w:eastAsia="ar-SA"/>
        </w:rPr>
        <w:t>.</w:t>
      </w:r>
    </w:p>
    <w:p w14:paraId="3EFAE4E1"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PERNICONE, Nunzio (1993), Italian Anarchism, 1864-1892. Princeton, New Jersey: Princeton University Press.</w:t>
      </w:r>
    </w:p>
    <w:p w14:paraId="3A2B6474"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RICHARDS, Vernon (2015), Life and ideas: The Anarchist writings of Errico Malatesta, trans. </w:t>
      </w:r>
      <w:r w:rsidRPr="007925E5">
        <w:rPr>
          <w:rFonts w:ascii="Times New Roman" w:eastAsia="Times New Roman" w:hAnsi="Times New Roman" w:cs="Times New Roman"/>
          <w:sz w:val="24"/>
          <w:szCs w:val="24"/>
          <w:lang w:eastAsia="ar-SA"/>
        </w:rPr>
        <w:t>Oakland CA: PM Press.</w:t>
      </w:r>
    </w:p>
    <w:p w14:paraId="2DB99261"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ROMANI, Carlo (2011), Antecipando a era Vargas: a Revolução Paulista de 1924 e as práticas de controle político e social, Topoi, Rio de Janeiro, 12, n. 23, p. 161-178, doi: /10.1590/2237-101X012023009.</w:t>
      </w:r>
    </w:p>
    <w:p w14:paraId="43315DB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(2014), Le scuole libertarie in Brasile e Argentina nel primo Novecento: l'influenza degli emigrati italiani e iberici, Officina della Storia, n. 14. Disponível em: http://www.officinadellastoria.info/magazine/index.php?option=com_content&amp;view=article&amp;id=398:le-scuole-libertarie-in-brasile-e-argentina-nel-primo-novecento-linfluenza-degli-emigrati-italiani-e-iberici&amp;catid=28&amp;Itemid=63.</w:t>
      </w:r>
    </w:p>
    <w:p w14:paraId="57E52473"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(2015), Oreste Ristori. Vita avventurosa di un anarchico tra Toscana e Sudamerica. Pisa: BFS ed.</w:t>
      </w:r>
    </w:p>
    <w:p w14:paraId="0CB429FF"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SAMIS, Alexandre (2002), Clevelândia: anarquismo, sindicalismo e repressão política no Brasil. São Paulo: Imaginário.</w:t>
      </w:r>
    </w:p>
    <w:p w14:paraId="76BBC36C"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(2004), Pavilhão negro sobre pátria oliva: sindicalismo e anarquismo no Brasil, In COLOMBO, Eduardo, et al. (eds.); História do movimento operário revolucionário. São Paulo: Imaginário.</w:t>
      </w:r>
    </w:p>
    <w:p w14:paraId="1C44F162"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SCHMIDT, Michael; VAN DER WALT, Lucien (2009), Black Flame: The Revolutionary Class Politics of Anarchism and Syndicalism. Chico: CA AK Press.</w:t>
      </w:r>
    </w:p>
    <w:p w14:paraId="1BED0CDA"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 xml:space="preserve">SURIANO, Juan (2001), Anarquistas: Cultura y </w:t>
      </w:r>
      <w:proofErr w:type="gramStart"/>
      <w:r w:rsidRPr="007925E5">
        <w:rPr>
          <w:rFonts w:ascii="Times New Roman" w:eastAsia="Times New Roman" w:hAnsi="Times New Roman" w:cs="Times New Roman"/>
          <w:sz w:val="24"/>
          <w:szCs w:val="24"/>
          <w:lang w:eastAsia="ar-SA"/>
        </w:rPr>
        <w:t>politica</w:t>
      </w:r>
      <w:proofErr w:type="gramEnd"/>
      <w:r w:rsidRPr="007925E5">
        <w:rPr>
          <w:rFonts w:ascii="Times New Roman" w:eastAsia="Times New Roman" w:hAnsi="Times New Roman" w:cs="Times New Roman"/>
          <w:sz w:val="24"/>
          <w:szCs w:val="24"/>
          <w:lang w:eastAsia="ar-SA"/>
        </w:rPr>
        <w:t xml:space="preserve"> libertaria en Buenos Aires (1890-1910). Buenos Aires: Ediciones Manantial.</w:t>
      </w:r>
    </w:p>
    <w:p w14:paraId="7012CF46"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THOMPSON, Edward P. (1987), A Formação da classe operária inglesa. 3 volumes. São Paulo: Paz e Terra, 1987.</w:t>
      </w:r>
    </w:p>
    <w:p w14:paraId="1CA6A69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_________ (1980), Miséria da Teoria: ou um planetário de erros. </w:t>
      </w:r>
      <w:r w:rsidRPr="007925E5">
        <w:rPr>
          <w:rFonts w:ascii="Times New Roman" w:eastAsia="Times New Roman" w:hAnsi="Times New Roman" w:cs="Times New Roman"/>
          <w:sz w:val="24"/>
          <w:szCs w:val="24"/>
          <w:lang w:val="en-US" w:eastAsia="ar-SA"/>
        </w:rPr>
        <w:t>São Paulo: Brasileinse.</w:t>
      </w:r>
    </w:p>
    <w:p w14:paraId="4051D9EE"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TILLY, Louise (1972), I fatti di maggio: the working class of Milan and the rebellion of 1898, In BEZUCHA, Robert J. (ed.), Modern European Social History. </w:t>
      </w:r>
      <w:r w:rsidRPr="007925E5">
        <w:rPr>
          <w:rFonts w:ascii="Times New Roman" w:eastAsia="Times New Roman" w:hAnsi="Times New Roman" w:cs="Times New Roman"/>
          <w:sz w:val="24"/>
          <w:szCs w:val="24"/>
          <w:lang w:eastAsia="ar-SA"/>
        </w:rPr>
        <w:t>Lexington, Mass.: D.C. Heath.</w:t>
      </w:r>
    </w:p>
    <w:p w14:paraId="1F224898"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TOLEDO, Edilene (2004), Travessias revolucionárias. Ideias e militantes sindicalistas em São Paulo e na Itália 1890-1945. </w:t>
      </w:r>
      <w:r w:rsidRPr="007925E5">
        <w:rPr>
          <w:rFonts w:ascii="Times New Roman" w:eastAsia="Times New Roman" w:hAnsi="Times New Roman" w:cs="Times New Roman"/>
          <w:sz w:val="24"/>
          <w:szCs w:val="24"/>
          <w:lang w:val="en-US" w:eastAsia="ar-SA"/>
        </w:rPr>
        <w:t>Campinas: Ed. Unicamp.</w:t>
      </w:r>
    </w:p>
    <w:p w14:paraId="0147AD7D"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______; BIONDI, Luigi (2010), Constructing Syndicalism and Anarchism Globally: The Transnational Making of the Syndicalist Movement in São Paulo, In HIRSC, Steven; VAN DER WALT, Lucien (eds.); Anarchism and Syndicalism in the Colonial and Postcolonial World, 1870-1940: The Praxis of National Liberation, Internationalism, and Social Revolution. </w:t>
      </w:r>
      <w:r w:rsidRPr="007925E5">
        <w:rPr>
          <w:rFonts w:ascii="Times New Roman" w:eastAsia="Times New Roman" w:hAnsi="Times New Roman" w:cs="Times New Roman"/>
          <w:sz w:val="24"/>
          <w:szCs w:val="24"/>
          <w:lang w:eastAsia="ar-SA"/>
        </w:rPr>
        <w:t>Leiden, Netherlands: Brill, 2010.</w:t>
      </w:r>
    </w:p>
    <w:p w14:paraId="35D745B7"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TRENTO, Angelo (1984), La dove é la raccolta del caffé: L'emigrazione italiana in Brasile, 1875-1940. </w:t>
      </w:r>
      <w:r w:rsidRPr="007925E5">
        <w:rPr>
          <w:rFonts w:ascii="Times New Roman" w:eastAsia="Times New Roman" w:hAnsi="Times New Roman" w:cs="Times New Roman"/>
          <w:sz w:val="24"/>
          <w:szCs w:val="24"/>
          <w:lang w:val="en-US" w:eastAsia="ar-SA"/>
        </w:rPr>
        <w:t>Padova: Antenore.</w:t>
      </w:r>
    </w:p>
    <w:p w14:paraId="1E9A44E4"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 xml:space="preserve">______ (2001), Wherever We Work, that Land Is Ours: The Italian Anarchist Press and Working-Class solidarity in São Paulo </w:t>
      </w:r>
      <w:proofErr w:type="gramStart"/>
      <w:r w:rsidRPr="007925E5">
        <w:rPr>
          <w:rFonts w:ascii="Times New Roman" w:eastAsia="Times New Roman" w:hAnsi="Times New Roman" w:cs="Times New Roman"/>
          <w:sz w:val="24"/>
          <w:szCs w:val="24"/>
          <w:lang w:val="en-US" w:eastAsia="ar-SA"/>
        </w:rPr>
        <w:t>In</w:t>
      </w:r>
      <w:proofErr w:type="gramEnd"/>
      <w:r w:rsidRPr="007925E5">
        <w:rPr>
          <w:rFonts w:ascii="Times New Roman" w:eastAsia="Times New Roman" w:hAnsi="Times New Roman" w:cs="Times New Roman"/>
          <w:sz w:val="24"/>
          <w:szCs w:val="24"/>
          <w:lang w:val="en-US" w:eastAsia="ar-SA"/>
        </w:rPr>
        <w:t>: GABACCIA, Donna R.; OTTANELLI, Fraser M. (eds.); Italian Workers of the World: Labor Migration and the Formation of Multiethnic States. Chicago: University of Illinois Press.</w:t>
      </w:r>
    </w:p>
    <w:p w14:paraId="1F51A1BE"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TURCATO, Davide (2007), Italian Anarchism as a transnational movement 1885-1915, IRSH n. 52, p. 407–44.</w:t>
      </w:r>
    </w:p>
    <w:p w14:paraId="19B6B15F"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CANALES URRIOLA, Jorge (2016), Le valigie dell'anarchia: Percorsi e ativismo degli anarchici emiliani e romagnoli in Argentina e Brasile nella avolta di fine Ottocento, Tese (doctorate), Università di Bologna, Bologna. </w:t>
      </w:r>
    </w:p>
    <w:p w14:paraId="10BF3799"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ZARAGOZA RIVERA, Gonzalo (1996), Anarquismo argentino (1876-1902). Madrid: Ed. de la Torre.</w:t>
      </w:r>
    </w:p>
    <w:p w14:paraId="12C490E6" w14:textId="77777777" w:rsidR="007925E5" w:rsidRPr="007925E5" w:rsidRDefault="007925E5" w:rsidP="007925E5">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ZUBILLAGA, Carlos (1996), Pan y trabajo. Montevideo: Libreria de la Facultad de Humanidades.</w:t>
      </w:r>
    </w:p>
    <w:p w14:paraId="449F85F1" w14:textId="77777777" w:rsidR="007925E5" w:rsidRDefault="007925E5" w:rsidP="00FC4195">
      <w:pPr>
        <w:spacing w:after="200" w:line="360" w:lineRule="auto"/>
        <w:rPr>
          <w:rStyle w:val="Caracteresdenotaderodap"/>
          <w:bCs/>
        </w:rPr>
      </w:pPr>
    </w:p>
    <w:p w14:paraId="36E251AF" w14:textId="77777777" w:rsidR="007925E5" w:rsidRDefault="007925E5" w:rsidP="007925E5">
      <w:pPr>
        <w:spacing w:after="200" w:line="360" w:lineRule="auto"/>
        <w:rPr>
          <w:rStyle w:val="Caracteresdenotaderodap"/>
          <w:bCs/>
        </w:rPr>
      </w:pPr>
    </w:p>
    <w:p w14:paraId="236465F7" w14:textId="77777777" w:rsidR="008253AC" w:rsidRDefault="008253AC" w:rsidP="00F55284">
      <w:pPr>
        <w:spacing w:after="0" w:line="360" w:lineRule="auto"/>
        <w:jc w:val="center"/>
        <w:rPr>
          <w:rFonts w:ascii="Times New Roman" w:eastAsia="Calibri" w:hAnsi="Times New Roman" w:cs="Times New Roman"/>
          <w:b/>
          <w:sz w:val="24"/>
          <w:szCs w:val="24"/>
        </w:rPr>
      </w:pPr>
      <w:r w:rsidRPr="008253AC">
        <w:rPr>
          <w:rFonts w:ascii="Times New Roman" w:eastAsia="Calibri" w:hAnsi="Times New Roman" w:cs="Times New Roman"/>
          <w:b/>
          <w:sz w:val="24"/>
          <w:szCs w:val="24"/>
        </w:rPr>
        <w:t>ÉTICA E HISTÓRIA NOS ESCRITOS DE MARIA LACERDA DE MOURA</w:t>
      </w:r>
    </w:p>
    <w:p w14:paraId="5DA881D5" w14:textId="77777777" w:rsidR="00F55284" w:rsidRPr="008253AC" w:rsidRDefault="00F55284" w:rsidP="00F55284">
      <w:pPr>
        <w:spacing w:after="0" w:line="360" w:lineRule="auto"/>
        <w:jc w:val="center"/>
        <w:rPr>
          <w:rFonts w:ascii="Times New Roman" w:eastAsia="Calibri" w:hAnsi="Times New Roman" w:cs="Times New Roman"/>
          <w:b/>
          <w:sz w:val="24"/>
          <w:szCs w:val="24"/>
        </w:rPr>
      </w:pPr>
    </w:p>
    <w:p w14:paraId="24899EB3" w14:textId="77777777" w:rsidR="00F55284" w:rsidRDefault="00F55284" w:rsidP="00F55284">
      <w:pPr>
        <w:pStyle w:val="NormalWeb"/>
        <w:spacing w:before="0" w:beforeAutospacing="0" w:after="0" w:afterAutospacing="0"/>
        <w:jc w:val="right"/>
      </w:pPr>
      <w:r>
        <w:rPr>
          <w:b/>
          <w:bCs/>
          <w:i/>
          <w:iCs/>
          <w:color w:val="000000"/>
        </w:rPr>
        <w:t>Daniel Santos da Silva</w:t>
      </w:r>
    </w:p>
    <w:p w14:paraId="4E99F618" w14:textId="77777777" w:rsidR="00F55284" w:rsidRDefault="00F55284" w:rsidP="00FF79A8">
      <w:pPr>
        <w:pStyle w:val="NormalWeb"/>
        <w:spacing w:before="0" w:beforeAutospacing="0" w:after="0" w:afterAutospacing="0" w:line="276" w:lineRule="auto"/>
        <w:jc w:val="right"/>
      </w:pPr>
      <w:r>
        <w:rPr>
          <w:color w:val="000000"/>
        </w:rPr>
        <w:t>Doutor em Filosofia pela Universidade de São Paulo (USP); Mestrado em Filosofia pela Universidade Estadual do Ceará (UECE).</w:t>
      </w:r>
    </w:p>
    <w:p w14:paraId="0382D1FC" w14:textId="77777777" w:rsidR="008253AC" w:rsidRPr="008253AC" w:rsidRDefault="008253AC" w:rsidP="008253AC">
      <w:pPr>
        <w:spacing w:after="200" w:line="360" w:lineRule="auto"/>
        <w:jc w:val="both"/>
        <w:rPr>
          <w:rFonts w:ascii="Times New Roman" w:eastAsia="Calibri" w:hAnsi="Times New Roman" w:cs="Times New Roman"/>
          <w:i/>
          <w:sz w:val="24"/>
          <w:szCs w:val="24"/>
        </w:rPr>
      </w:pPr>
    </w:p>
    <w:p w14:paraId="4CBE6D2A" w14:textId="77777777" w:rsidR="008253AC" w:rsidRPr="008253AC" w:rsidRDefault="008253AC" w:rsidP="008253AC">
      <w:pPr>
        <w:spacing w:after="200" w:line="360" w:lineRule="auto"/>
        <w:jc w:val="right"/>
        <w:rPr>
          <w:rFonts w:ascii="Times New Roman" w:eastAsia="Calibri" w:hAnsi="Times New Roman" w:cs="Times New Roman"/>
          <w:b/>
          <w:sz w:val="24"/>
          <w:szCs w:val="24"/>
        </w:rPr>
      </w:pPr>
      <w:r w:rsidRPr="008253AC">
        <w:rPr>
          <w:rFonts w:ascii="Times New Roman" w:eastAsia="Calibri" w:hAnsi="Times New Roman" w:cs="Times New Roman"/>
          <w:i/>
          <w:sz w:val="24"/>
          <w:szCs w:val="24"/>
        </w:rPr>
        <w:t>Poderiamos ir mais longe: a que chamam inferioridade? A' diferença?!</w:t>
      </w:r>
      <w:r w:rsidRPr="008253AC">
        <w:rPr>
          <w:rFonts w:ascii="Times New Roman" w:eastAsia="Calibri" w:hAnsi="Times New Roman" w:cs="Times New Roman"/>
          <w:b/>
          <w:sz w:val="24"/>
          <w:szCs w:val="24"/>
        </w:rPr>
        <w:t xml:space="preserve"> </w:t>
      </w:r>
    </w:p>
    <w:p w14:paraId="406EBC13"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b/>
          <w:sz w:val="24"/>
          <w:szCs w:val="24"/>
        </w:rPr>
        <w:t xml:space="preserve">                                                                                                         </w:t>
      </w:r>
      <w:r w:rsidRPr="008253AC">
        <w:rPr>
          <w:rFonts w:ascii="Times New Roman" w:eastAsia="Calibri" w:hAnsi="Times New Roman" w:cs="Times New Roman"/>
          <w:sz w:val="24"/>
          <w:szCs w:val="24"/>
        </w:rPr>
        <w:t>Maria L. de Moura</w:t>
      </w:r>
    </w:p>
    <w:p w14:paraId="7331FA3E"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É </w:t>
      </w:r>
      <w:r w:rsidRPr="008253AC">
        <w:rPr>
          <w:rFonts w:ascii="Times New Roman" w:eastAsia="Calibri" w:hAnsi="Times New Roman" w:cs="Times New Roman"/>
          <w:i/>
          <w:sz w:val="24"/>
          <w:szCs w:val="24"/>
        </w:rPr>
        <w:t>quase</w:t>
      </w:r>
      <w:r w:rsidRPr="008253AC">
        <w:rPr>
          <w:rFonts w:ascii="Times New Roman" w:eastAsia="Calibri" w:hAnsi="Times New Roman" w:cs="Times New Roman"/>
          <w:sz w:val="24"/>
          <w:szCs w:val="24"/>
        </w:rPr>
        <w:t xml:space="preserve"> inevitável que um texto remeta, de alguma forma, ao mundo vivo que o circunda, que o define e que medirá o quanto teoria e prática podem se envolver; a multiplicidade de caracteres de nossa história, infelizmente, é constantemente ofuscada, ainda, pela imposição de memórias de “grandes” feitos pontuais. Na literatura política brasileira, sem querer impor alguma métrica específica, a obra de Maria Lacerda de Moura (1887-1945) é dos mais transparentes sintomas de conturbações e desejos que logravam entrever o novo - mesmo que soasse absurdo - e destrinchar o seu presente com a argúcia de quem tem a história como centro de exercícios para confrontar as hegemonias de ideias e imagens então padronizadas.</w:t>
      </w:r>
    </w:p>
    <w:p w14:paraId="5F5A1874"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Poucas tintas deram tanta cor a desamparos invisibilizados por camadas de mentira e sede de domínio dos homens seus contemporâneos; suas performances escritas, faladas e seus devires afetivos e intelectuais sintonizavam-se à árdua busca das mulheres por liberdade; por outro lado, recusando a fantasia de vítima, a escritora perspectiva a autocompreensão das “mulheres” em necessária refundação, reinvenção, tomada de responsabilidade. Com suas palavras, estirava a quem ouvisse as linhas inauditas de fuga e estratégias de emancipação radicais que denunciavam </w:t>
      </w:r>
      <w:r w:rsidRPr="008253AC">
        <w:rPr>
          <w:rFonts w:ascii="Times New Roman" w:eastAsia="Calibri" w:hAnsi="Times New Roman" w:cs="Times New Roman"/>
          <w:i/>
          <w:sz w:val="24"/>
          <w:szCs w:val="24"/>
        </w:rPr>
        <w:t>também</w:t>
      </w:r>
      <w:r w:rsidRPr="008253AC">
        <w:rPr>
          <w:rFonts w:ascii="Times New Roman" w:eastAsia="Calibri" w:hAnsi="Times New Roman" w:cs="Times New Roman"/>
          <w:sz w:val="24"/>
          <w:szCs w:val="24"/>
        </w:rPr>
        <w:t xml:space="preserve"> o conformismo feminino - sugando do fato, na medida do possível, suas causas reais. Seus processos têm sido reativados hoje, já que sua obra e vida têm devidamente, aos poucos, nutrido estudiosas e estudiosos em diversos meios.</w:t>
      </w:r>
    </w:p>
    <w:p w14:paraId="1E6904C4"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Os movimentos de Maria Lacerda de Moura seguiam-se rapidamente - de seu livro publicado em 1918, </w:t>
      </w:r>
      <w:r w:rsidRPr="008253AC">
        <w:rPr>
          <w:rFonts w:ascii="Times New Roman" w:eastAsia="Calibri" w:hAnsi="Times New Roman" w:cs="Times New Roman"/>
          <w:i/>
          <w:sz w:val="24"/>
          <w:szCs w:val="24"/>
        </w:rPr>
        <w:t>Em torno da educação</w:t>
      </w:r>
      <w:r w:rsidRPr="008253AC">
        <w:rPr>
          <w:rFonts w:ascii="Times New Roman" w:eastAsia="Calibri" w:hAnsi="Times New Roman" w:cs="Times New Roman"/>
          <w:sz w:val="24"/>
          <w:szCs w:val="24"/>
        </w:rPr>
        <w:t xml:space="preserve">, já se veem ressalvas na obra seguinte, um ano após, chamada </w:t>
      </w:r>
      <w:r w:rsidRPr="008253AC">
        <w:rPr>
          <w:rFonts w:ascii="Times New Roman" w:eastAsia="Calibri" w:hAnsi="Times New Roman" w:cs="Times New Roman"/>
          <w:i/>
          <w:sz w:val="24"/>
          <w:szCs w:val="24"/>
        </w:rPr>
        <w:t>Renovação</w:t>
      </w:r>
      <w:r w:rsidRPr="008253AC">
        <w:rPr>
          <w:rFonts w:ascii="Times New Roman" w:eastAsia="Calibri" w:hAnsi="Times New Roman" w:cs="Times New Roman"/>
          <w:sz w:val="24"/>
          <w:szCs w:val="24"/>
        </w:rPr>
        <w:t xml:space="preserve">. Se os dias então corriam depressa, não é qualquer olhar </w:t>
      </w:r>
      <w:r w:rsidRPr="008253AC">
        <w:rPr>
          <w:rFonts w:ascii="Times New Roman" w:eastAsia="Calibri" w:hAnsi="Times New Roman" w:cs="Times New Roman"/>
          <w:sz w:val="24"/>
          <w:szCs w:val="24"/>
        </w:rPr>
        <w:lastRenderedPageBreak/>
        <w:t xml:space="preserve">que captaria sutilezas de seus trajetos em consonância com a experiência própria, a qual desde cedo fora engajada com a prática e a reflexão da educação. Na sequência, a princípio, do espanhol Ferrer, suas ideias ao redor do educar impunham-se a todos os âmbitos de vida e reflexão e mostravam o incômodo com a facilidade de tudo compartimentar em utilidades isoladas. Maria Lacerda tinha um alvo claro e reconhecia.     </w:t>
      </w:r>
    </w:p>
    <w:p w14:paraId="3DE898E3"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Leio, partindo daí, o uso da história por Maria Lacerda como um confronto com o tempo acumulado em mentira, em dominação - de transmutação em rotina de violências às quais nos tornamos insensíveis. Vejo assim sua luta pela criação de uma cadeira sobre História da Mulher, com sua consciência de que "o homem não está em condições de pensar a educação feminina",</w:t>
      </w:r>
      <w:r w:rsidRPr="008253AC">
        <w:rPr>
          <w:rFonts w:ascii="Times New Roman" w:eastAsia="Calibri" w:hAnsi="Times New Roman" w:cs="Times New Roman"/>
          <w:sz w:val="24"/>
          <w:szCs w:val="24"/>
          <w:vertAlign w:val="superscript"/>
        </w:rPr>
        <w:footnoteReference w:id="65"/>
      </w:r>
      <w:r w:rsidRPr="008253AC">
        <w:rPr>
          <w:rFonts w:ascii="Times New Roman" w:eastAsia="Calibri" w:hAnsi="Times New Roman" w:cs="Times New Roman"/>
          <w:sz w:val="24"/>
          <w:szCs w:val="24"/>
        </w:rPr>
        <w:t xml:space="preserve"> com sua convicção de que a potência que poderá gerar o novo tem de ser fenomenal, capaz de fazer frente aos preconceitos mais sanguíneos de nossas vidas. É uma abordagem geral, sem dúvida - Maria Lacerda tampouco brincou com a sorte produzindo uma teoria da história; é um entrelaçamento específico que me chamou a atenção, e por duas razões: primeiramente, pela maleabilidade “proposital” dos termos envolvidos, e, enfim, pela coerência constantemente incrementada que tal maleabilidade engendrou.</w:t>
      </w:r>
    </w:p>
    <w:p w14:paraId="1F3E1375"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À minha atenção, certos traços se destacaram quando percebi que o uso da história por Maria Lacerda é minuciosamente articulado pela tensão ética entre desespero e convicção, liberdade e responsabilidade, saber e dominação; não há identidade entre essa tensão e algum conceito filosófico universal que empurra a autora a aplicá-lo a acontecimentos particulares da história - pelo contrário, a maleabilidade das ideias históricas e éticas de seus escritos se apega à possibilidade de notar a crueza do real, talvez até desesperar dele, alimentando com a outra mão o </w:t>
      </w:r>
      <w:r w:rsidRPr="008253AC">
        <w:rPr>
          <w:rFonts w:ascii="Times New Roman" w:eastAsia="Calibri" w:hAnsi="Times New Roman" w:cs="Times New Roman"/>
          <w:i/>
          <w:sz w:val="24"/>
          <w:szCs w:val="24"/>
        </w:rPr>
        <w:t>desejo</w:t>
      </w:r>
      <w:r w:rsidRPr="008253AC">
        <w:rPr>
          <w:rFonts w:ascii="Times New Roman" w:eastAsia="Calibri" w:hAnsi="Times New Roman" w:cs="Times New Roman"/>
          <w:sz w:val="24"/>
          <w:szCs w:val="24"/>
        </w:rPr>
        <w:t xml:space="preserve"> do novo, da revolução, do porvir, da concreção da "moral do futuro" (Moura, 1982: 72).</w:t>
      </w:r>
    </w:p>
    <w:p w14:paraId="2B7D44EC"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É o entrelaçamento entre ética e história, pois, um foco, sem ser guia de leitura. A escritora não enlaçou definitivamente as duas ideias, antes as construiu em um processo de décadas de experimentação e estudo. O que me resta é apenas refazer alguns pontos dessa </w:t>
      </w:r>
      <w:proofErr w:type="gramStart"/>
      <w:r w:rsidRPr="008253AC">
        <w:rPr>
          <w:rFonts w:ascii="Times New Roman" w:eastAsia="Calibri" w:hAnsi="Times New Roman" w:cs="Times New Roman"/>
          <w:sz w:val="24"/>
          <w:szCs w:val="24"/>
        </w:rPr>
        <w:t>malha  -</w:t>
      </w:r>
      <w:proofErr w:type="gramEnd"/>
      <w:r w:rsidRPr="008253AC">
        <w:rPr>
          <w:rFonts w:ascii="Times New Roman" w:eastAsia="Calibri" w:hAnsi="Times New Roman" w:cs="Times New Roman"/>
          <w:sz w:val="24"/>
          <w:szCs w:val="24"/>
        </w:rPr>
        <w:t xml:space="preserve"> não traduzir Maria Lacerda para públicos contemporâneos (há quem o faça magistralmente), mas jogar, com ela, sob o signo justamente da experimentação e do estudo.</w:t>
      </w:r>
    </w:p>
    <w:p w14:paraId="7FC9EE44" w14:textId="77777777" w:rsidR="008253AC" w:rsidRPr="008253AC" w:rsidRDefault="008253AC" w:rsidP="001675AF">
      <w:pPr>
        <w:spacing w:after="0" w:line="360" w:lineRule="auto"/>
        <w:jc w:val="center"/>
        <w:rPr>
          <w:rFonts w:ascii="Times New Roman" w:eastAsia="Calibri" w:hAnsi="Times New Roman" w:cs="Times New Roman"/>
          <w:sz w:val="24"/>
          <w:szCs w:val="24"/>
        </w:rPr>
      </w:pPr>
    </w:p>
    <w:p w14:paraId="00C6B36C" w14:textId="77777777" w:rsidR="008253AC" w:rsidRPr="008253AC" w:rsidRDefault="008253AC" w:rsidP="001675AF">
      <w:pPr>
        <w:spacing w:after="0" w:line="360" w:lineRule="auto"/>
        <w:jc w:val="center"/>
        <w:rPr>
          <w:rFonts w:ascii="Times New Roman" w:eastAsia="Calibri" w:hAnsi="Times New Roman" w:cs="Times New Roman"/>
          <w:sz w:val="24"/>
          <w:szCs w:val="24"/>
        </w:rPr>
      </w:pPr>
      <w:r w:rsidRPr="008253AC">
        <w:rPr>
          <w:rFonts w:ascii="Times New Roman" w:eastAsia="Calibri" w:hAnsi="Times New Roman" w:cs="Times New Roman"/>
          <w:sz w:val="24"/>
          <w:szCs w:val="24"/>
        </w:rPr>
        <w:t>***</w:t>
      </w:r>
    </w:p>
    <w:p w14:paraId="61DDEE81" w14:textId="77777777" w:rsidR="008253AC" w:rsidRPr="008253AC" w:rsidRDefault="008253AC" w:rsidP="001675AF">
      <w:pPr>
        <w:spacing w:after="0" w:line="360" w:lineRule="auto"/>
        <w:jc w:val="center"/>
        <w:rPr>
          <w:rFonts w:ascii="Times New Roman" w:eastAsia="Calibri" w:hAnsi="Times New Roman" w:cs="Times New Roman"/>
          <w:sz w:val="24"/>
          <w:szCs w:val="24"/>
        </w:rPr>
      </w:pPr>
    </w:p>
    <w:p w14:paraId="1A13B484"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O aguçamento perceptivo que levou Maria Lacerda a separar-se das que lutavam pelo sufrágio feminino, momento reavivado em vários escritos sobre a autora, é escoltado por uma rede de ideias visivelmente conectadas a literaturas e práticas anarquistas - proximidade amenizada pela dificuldade de enquadrar a escritora em qualquer demarcação ideária; de todo modo, antes dessa ruptura - cristalizada por seu distanciamento de Bertha Lutz – ícone do movimento sufragista brasileiro -, Maria Lacerda preconiza o corpo da mulher como centro de autoconhecimento feminino e de tomada de força, de responsabilidade sobre si e de amor a si e aos seres. Esse é um motivo, creio, que nos permite reconhecer sua pena nas diversas perspectivas que assume - pena que, aliás, parecia esconder seu "sexo" aos olhos pobres e preconceituosos da "reação masculina".</w:t>
      </w:r>
      <w:r w:rsidRPr="008253AC">
        <w:rPr>
          <w:rFonts w:ascii="Times New Roman" w:eastAsia="Calibri" w:hAnsi="Times New Roman" w:cs="Times New Roman"/>
          <w:sz w:val="24"/>
          <w:szCs w:val="24"/>
          <w:vertAlign w:val="superscript"/>
        </w:rPr>
        <w:footnoteReference w:id="66"/>
      </w:r>
    </w:p>
    <w:p w14:paraId="0100EF3E"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Acompanha essa constância temática da autoeducação da mulher a denúncia do aguilhão histórico da violência traduzida em inferioridade econômico-social (Moura, 1932: 75-77), fomentada por sua "deseducação" enviesada pelos homens e que a afasta da vida e da atividade reflexiva que a torna verdadeira, plena e com "clarividência moral". É ingênuo pensar que haja, aqui, prioridade do pensamento abstrato: ao contrário, e não por outra razão menciono os anarquismos, a educação do gênero humano exercita mãos e cérebros, é integral, concilia a oficina e o livro, o prazer dos despertares empíricos e o rigor das ciências. </w:t>
      </w:r>
    </w:p>
    <w:p w14:paraId="1BE6D559"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 muito tempo, sua inspiração na prática educacional foi Francisco Ferrer Guardia (1859-1909), que conscientemente rejeitava a redução de suas ideias a qualquer corrente; é constante, porém, que sua literatura e a Escola Moderna sejam tomadas pelos sinais próprios à "educação libertária", sempre apoiadas que eram nos pilares da </w:t>
      </w:r>
      <w:r w:rsidRPr="008253AC">
        <w:rPr>
          <w:rFonts w:ascii="Times New Roman" w:eastAsia="Calibri" w:hAnsi="Times New Roman" w:cs="Times New Roman"/>
          <w:i/>
          <w:sz w:val="24"/>
          <w:szCs w:val="24"/>
        </w:rPr>
        <w:t>ciência</w:t>
      </w:r>
      <w:r w:rsidRPr="008253AC">
        <w:rPr>
          <w:rFonts w:ascii="Times New Roman" w:eastAsia="Calibri" w:hAnsi="Times New Roman" w:cs="Times New Roman"/>
          <w:sz w:val="24"/>
          <w:szCs w:val="24"/>
        </w:rPr>
        <w:t xml:space="preserve">, da </w:t>
      </w:r>
      <w:r w:rsidRPr="008253AC">
        <w:rPr>
          <w:rFonts w:ascii="Times New Roman" w:eastAsia="Calibri" w:hAnsi="Times New Roman" w:cs="Times New Roman"/>
          <w:i/>
          <w:sz w:val="24"/>
          <w:szCs w:val="24"/>
        </w:rPr>
        <w:t>liberdade</w:t>
      </w:r>
      <w:r w:rsidRPr="008253AC">
        <w:rPr>
          <w:rFonts w:ascii="Times New Roman" w:eastAsia="Calibri" w:hAnsi="Times New Roman" w:cs="Times New Roman"/>
          <w:sz w:val="24"/>
          <w:szCs w:val="24"/>
        </w:rPr>
        <w:t xml:space="preserve"> e da </w:t>
      </w:r>
      <w:r w:rsidRPr="008253AC">
        <w:rPr>
          <w:rFonts w:ascii="Times New Roman" w:eastAsia="Calibri" w:hAnsi="Times New Roman" w:cs="Times New Roman"/>
          <w:i/>
          <w:sz w:val="24"/>
          <w:szCs w:val="24"/>
        </w:rPr>
        <w:t>solidariedade</w:t>
      </w:r>
      <w:r w:rsidRPr="008253AC">
        <w:rPr>
          <w:rFonts w:ascii="Times New Roman" w:eastAsia="Calibri" w:hAnsi="Times New Roman" w:cs="Times New Roman"/>
          <w:sz w:val="24"/>
          <w:szCs w:val="24"/>
        </w:rPr>
        <w:t xml:space="preserve"> – essa ancoragem também serve para desarticular valores venerados na sociedade e que são sintomas de seu cinismo, como proteção e caridade. Esse tríptico atiçava a crítica em pelo menos dois sentidos: fundava a relação com a criança pela vivência aberta e crítica da pluralidade de ideias; e, do mais, quando concretizado na Escola Moderna, fundava a crítica à escola e seus usos correntes, conduzidos por ambições de capitalistas, sacerdotes, militares e afins. Paralelamente, esse duplo caminho de construção crítica exigia, não menos, a incorporação do saber libertário – não restrito à corrente libertária - na singularidade que educa, já que o </w:t>
      </w:r>
      <w:proofErr w:type="gramStart"/>
      <w:r w:rsidRPr="008253AC">
        <w:rPr>
          <w:rFonts w:ascii="Times New Roman" w:eastAsia="Calibri" w:hAnsi="Times New Roman" w:cs="Times New Roman"/>
          <w:sz w:val="24"/>
          <w:szCs w:val="24"/>
        </w:rPr>
        <w:t>topos vulgar</w:t>
      </w:r>
      <w:proofErr w:type="gramEnd"/>
      <w:r w:rsidRPr="008253AC">
        <w:rPr>
          <w:rFonts w:ascii="Times New Roman" w:eastAsia="Calibri" w:hAnsi="Times New Roman" w:cs="Times New Roman"/>
          <w:sz w:val="24"/>
          <w:szCs w:val="24"/>
        </w:rPr>
        <w:t xml:space="preserve"> de quem ensina é hierárquico e pode ser violento.</w:t>
      </w:r>
    </w:p>
    <w:p w14:paraId="0193772D"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 experimentação racional de Ferrer despertou a ira das grandes reações, e, em 1909, sua vida foi aniquilada. Não importa para onde miremos, à época os contrafluxos às ideias revolucionárias cresciam à proporção da influência dessas ideias entre as classes operárias e campesinas. O </w:t>
      </w:r>
      <w:r w:rsidRPr="008253AC">
        <w:rPr>
          <w:rFonts w:ascii="Times New Roman" w:eastAsia="Calibri" w:hAnsi="Times New Roman" w:cs="Times New Roman"/>
          <w:i/>
          <w:sz w:val="24"/>
          <w:szCs w:val="24"/>
        </w:rPr>
        <w:t>pacifismo</w:t>
      </w:r>
      <w:r w:rsidRPr="008253AC">
        <w:rPr>
          <w:rFonts w:ascii="Times New Roman" w:eastAsia="Calibri" w:hAnsi="Times New Roman" w:cs="Times New Roman"/>
          <w:sz w:val="24"/>
          <w:szCs w:val="24"/>
        </w:rPr>
        <w:t xml:space="preserve"> presente no educador espanhol e em Maria Lacerda a/os posicionava em um embate mais amplo em meios libertários, em que divisões ocorriam por discrepâncias a respeito da ação direta, da violência como propaganda e apelo à luta. O pacifismo de Maria Lacerda “contrastava” com certa realidade que se impunha, mas sua leitura, lúcida, via no indivíduo a centelha da mudança possível – na </w:t>
      </w:r>
      <w:r w:rsidRPr="008253AC">
        <w:rPr>
          <w:rFonts w:ascii="Times New Roman" w:eastAsia="Calibri" w:hAnsi="Times New Roman" w:cs="Times New Roman"/>
          <w:sz w:val="24"/>
          <w:szCs w:val="24"/>
        </w:rPr>
        <w:lastRenderedPageBreak/>
        <w:t>nossa semelhança reside a peculiaridade de cada desenvolvimento, não como seres isolados, mas por que o que afeta apenas afeta individualmente.</w:t>
      </w:r>
      <w:r w:rsidRPr="008253AC">
        <w:rPr>
          <w:rFonts w:ascii="Times New Roman" w:eastAsia="Calibri" w:hAnsi="Times New Roman" w:cs="Times New Roman"/>
          <w:sz w:val="24"/>
          <w:szCs w:val="24"/>
          <w:vertAlign w:val="superscript"/>
        </w:rPr>
        <w:footnoteReference w:id="67"/>
      </w:r>
    </w:p>
    <w:p w14:paraId="114FAF09"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Assim, individualidade e pacifismo complementam-se, ou melhor, têm o mesmo núcleo conceitual e prático. Tanto que a questão, para ela, não era repisar o pensamento, como se isso fosse inculcar liberdade em quem escuta; a insistência de verbo e do pensamento masculinos aproxima-se demais de um repisamento, em que é intrínseca a força </w:t>
      </w:r>
      <w:r w:rsidRPr="008253AC">
        <w:rPr>
          <w:rFonts w:ascii="Times New Roman" w:eastAsia="Calibri" w:hAnsi="Times New Roman" w:cs="Times New Roman"/>
          <w:i/>
          <w:sz w:val="24"/>
          <w:szCs w:val="24"/>
        </w:rPr>
        <w:t>sobre</w:t>
      </w:r>
      <w:r w:rsidRPr="008253AC">
        <w:rPr>
          <w:rFonts w:ascii="Times New Roman" w:eastAsia="Calibri" w:hAnsi="Times New Roman" w:cs="Times New Roman"/>
          <w:sz w:val="24"/>
          <w:szCs w:val="24"/>
        </w:rPr>
        <w:t xml:space="preserve"> – interessa mais intensamente a Maria Lacerda revolver a terra pobre dos preconceitos, despedaçá-los conceitual e vivazmente ao extremar a liberdade de pensamento e palavra na prática de abertura mental priorizada por sua ideia de educação, que foge à programação e organização de verdades.</w:t>
      </w:r>
    </w:p>
    <w:p w14:paraId="38FAB883"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Não é casual que em seu livro, </w:t>
      </w:r>
      <w:r w:rsidRPr="008253AC">
        <w:rPr>
          <w:rFonts w:ascii="Times New Roman" w:eastAsia="Calibri" w:hAnsi="Times New Roman" w:cs="Times New Roman"/>
          <w:i/>
          <w:sz w:val="24"/>
          <w:szCs w:val="24"/>
        </w:rPr>
        <w:t xml:space="preserve">Fascismo: filho dileto da igreja e do capital </w:t>
      </w:r>
      <w:r w:rsidRPr="008253AC">
        <w:rPr>
          <w:rFonts w:ascii="Times New Roman" w:eastAsia="Calibri" w:hAnsi="Times New Roman" w:cs="Times New Roman"/>
          <w:sz w:val="24"/>
          <w:szCs w:val="24"/>
        </w:rPr>
        <w:t>(publicado em 1935), a organização de verdades seja uma operação medular dos totalitarismos que conhece, e que as etapas da vida humana, a seu ver, seguissem em constante absorção, cada vez mais elaborada, de medo e superstição. Revolver a terra dos preconceitos equivale, pois, a mexer na história, destruí-la e reconstruí-la – simultaneamente -, praticando a revolução desde o ensino à vida ética, que é a vida bem utilizada também na compreensão de si própria.</w:t>
      </w:r>
      <w:r w:rsidRPr="008253AC">
        <w:rPr>
          <w:rFonts w:ascii="Times New Roman" w:eastAsia="Calibri" w:hAnsi="Times New Roman" w:cs="Times New Roman"/>
          <w:sz w:val="24"/>
          <w:szCs w:val="24"/>
          <w:vertAlign w:val="superscript"/>
        </w:rPr>
        <w:footnoteReference w:id="68"/>
      </w:r>
      <w:r w:rsidRPr="008253AC">
        <w:rPr>
          <w:rFonts w:ascii="Times New Roman" w:eastAsia="Calibri" w:hAnsi="Times New Roman" w:cs="Times New Roman"/>
          <w:sz w:val="24"/>
          <w:szCs w:val="24"/>
        </w:rPr>
        <w:t xml:space="preserve"> A história, em sintonia, é um agir atrás das causas e, simultaneamente, o lapidar de nossa percepção total para o que o momento oferece de abertura – ao novo: sem compreender o alcance da força individual e sua natureza ético-política, facilmente se reproduzem os esquemas postos de dominação.</w:t>
      </w:r>
    </w:p>
    <w:p w14:paraId="058544D2"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Em cima desse enlace filosófico – que busca as causas – entre ética e história, a velha tensão entre </w:t>
      </w:r>
      <w:r w:rsidRPr="008253AC">
        <w:rPr>
          <w:rFonts w:ascii="Times New Roman" w:eastAsia="Calibri" w:hAnsi="Times New Roman" w:cs="Times New Roman"/>
          <w:i/>
          <w:sz w:val="24"/>
          <w:szCs w:val="24"/>
        </w:rPr>
        <w:t>o que é</w:t>
      </w:r>
      <w:r w:rsidRPr="008253AC">
        <w:rPr>
          <w:rFonts w:ascii="Times New Roman" w:eastAsia="Calibri" w:hAnsi="Times New Roman" w:cs="Times New Roman"/>
          <w:sz w:val="24"/>
          <w:szCs w:val="24"/>
        </w:rPr>
        <w:t xml:space="preserve"> e o que </w:t>
      </w:r>
      <w:r w:rsidRPr="008253AC">
        <w:rPr>
          <w:rFonts w:ascii="Times New Roman" w:eastAsia="Calibri" w:hAnsi="Times New Roman" w:cs="Times New Roman"/>
          <w:i/>
          <w:sz w:val="24"/>
          <w:szCs w:val="24"/>
        </w:rPr>
        <w:t>deve ser</w:t>
      </w:r>
      <w:r w:rsidRPr="008253AC">
        <w:rPr>
          <w:rFonts w:ascii="Times New Roman" w:eastAsia="Calibri" w:hAnsi="Times New Roman" w:cs="Times New Roman"/>
          <w:sz w:val="24"/>
          <w:szCs w:val="24"/>
        </w:rPr>
        <w:t xml:space="preserve"> ganha sua dimensão própria nos escritos de Maria Lacerda. Os problemas mais localizados erguem-se sobre lógicas primárias mais </w:t>
      </w:r>
      <w:r w:rsidRPr="008253AC">
        <w:rPr>
          <w:rFonts w:ascii="Times New Roman" w:eastAsia="Calibri" w:hAnsi="Times New Roman" w:cs="Times New Roman"/>
          <w:sz w:val="24"/>
          <w:szCs w:val="24"/>
        </w:rPr>
        <w:lastRenderedPageBreak/>
        <w:t xml:space="preserve">duras, ou </w:t>
      </w:r>
      <w:proofErr w:type="gramStart"/>
      <w:r w:rsidRPr="008253AC">
        <w:rPr>
          <w:rFonts w:ascii="Times New Roman" w:eastAsia="Calibri" w:hAnsi="Times New Roman" w:cs="Times New Roman"/>
          <w:sz w:val="24"/>
          <w:szCs w:val="24"/>
        </w:rPr>
        <w:t>melhor</w:t>
      </w:r>
      <w:proofErr w:type="gramEnd"/>
      <w:r w:rsidRPr="008253AC">
        <w:rPr>
          <w:rFonts w:ascii="Times New Roman" w:eastAsia="Calibri" w:hAnsi="Times New Roman" w:cs="Times New Roman"/>
          <w:sz w:val="24"/>
          <w:szCs w:val="24"/>
        </w:rPr>
        <w:t xml:space="preserve"> estabelecidas, porém é o interesse momentâneo da obra quem dita as configurações que distribuem os problemas. Focar uma questão desloca diversas outras em conjunto, e pode ser repetitivo ler Maria Lacerda acerca – por exemplo – da proximidade entre Igreja e Estado fascista em muitos de seus escritos, em afirmações bem semelhantes. Poderíamos, por outro lado, perder as sutilezas dos movimentos efetuados por cada deslocar de ponto de vista: causas que aparentam ser expostas como suficientes para explicar tal fenômeno são, entretanto, perspectivas que o definem parcialmente e que perdem sentido se isoladas em um dos polos do eixo ser/dever-ser.</w:t>
      </w:r>
    </w:p>
    <w:p w14:paraId="64ADEDD9"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O que a ela permite iluminar alguma via de emancipação para as mulheres se abastece exatamente da compreensão da natureza artificiosa do que é o feminino – não se trata somente de desmanchar os biologismos e cientificismos berrantes em seu tempo, o que fez com frequência, Maria Lacerda igualmente retira da suspensão cética quem acredita ser impossível desfazer tão antigo e profundo enraizamento da mulher na servidão. Isso pode gerar – e gera – ambiguidades a respeito do conceito de educação, tanto mais se nos detemos aí, na existência de um conceito estritamente teórico, a ser manuseado como guia de práticas e análises.</w:t>
      </w:r>
    </w:p>
    <w:p w14:paraId="7F8A9B8F"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 complexidade do conceito de educação remonta a múltiplas críticas que, em geral, têm em comum uma lógica “radicalmente contrária à dogmatização e à organização das ideias através de programas autoritários” (Lima, 2016:14). Maria Lacerda recorrentemente menciona experiências educacionais modernas em uso na Europa e nos Estados Unidos, mas sabe que poucas levam à radicalidade a proposta de cultivar sem distorções atrozes a singularidade dos seres; em certa medida, a experiência da Escola Moderna foi, com seus limites, insuperável nesse sentido. Consoante aos trágicos horizontes da educação burguesa e aos limites intrínsecos das experiências existentes, a formulação contínua da ideia de educação é par das propostas que aquiescem em não invadir o que há de </w:t>
      </w:r>
      <w:r w:rsidRPr="008253AC">
        <w:rPr>
          <w:rFonts w:ascii="Times New Roman" w:eastAsia="Calibri" w:hAnsi="Times New Roman" w:cs="Times New Roman"/>
          <w:i/>
          <w:sz w:val="24"/>
          <w:szCs w:val="24"/>
        </w:rPr>
        <w:t>singular</w:t>
      </w:r>
      <w:r w:rsidRPr="008253AC">
        <w:rPr>
          <w:rFonts w:ascii="Times New Roman" w:eastAsia="Calibri" w:hAnsi="Times New Roman" w:cs="Times New Roman"/>
          <w:sz w:val="24"/>
          <w:szCs w:val="24"/>
        </w:rPr>
        <w:t xml:space="preserve"> nos seres humanos, nos indivíduos – de modo ativo: não se trata de deixar ao indivíduo o que seria só dele (um aceite de premissas liberais), sim de, positivamente, </w:t>
      </w:r>
      <w:r w:rsidRPr="008253AC">
        <w:rPr>
          <w:rFonts w:ascii="Times New Roman" w:eastAsia="Calibri" w:hAnsi="Times New Roman" w:cs="Times New Roman"/>
          <w:i/>
          <w:sz w:val="24"/>
          <w:szCs w:val="24"/>
        </w:rPr>
        <w:t>engendrar</w:t>
      </w:r>
      <w:r w:rsidRPr="008253AC">
        <w:rPr>
          <w:rFonts w:ascii="Times New Roman" w:eastAsia="Calibri" w:hAnsi="Times New Roman" w:cs="Times New Roman"/>
          <w:sz w:val="24"/>
          <w:szCs w:val="24"/>
        </w:rPr>
        <w:t xml:space="preserve"> espaços de conhecimento e ação individuais pela determinação mesma da tarefa da educação.</w:t>
      </w:r>
    </w:p>
    <w:p w14:paraId="037EB537"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 formação da ideia de educação – que anima a afirmá-la como meio de libertação –, consequentemente, opera em momentos diversificados conforme perspectivas imanentes às multiplicidades cognitivas, é busca interseccional de causas, e se mantém </w:t>
      </w:r>
      <w:r w:rsidRPr="008253AC">
        <w:rPr>
          <w:rFonts w:ascii="Times New Roman" w:eastAsia="Calibri" w:hAnsi="Times New Roman" w:cs="Times New Roman"/>
          <w:sz w:val="24"/>
          <w:szCs w:val="24"/>
        </w:rPr>
        <w:lastRenderedPageBreak/>
        <w:t>coesa ao penetrar em todas as esferas portando a consciência de que são as individualidades que geram as energias que podem ser bem usadas coletivamente e de que, como está dada, a constituição dos caracteres individuais é marcada pela violência homogeneizante de instituições e poderes históricos que submetem as complexidades das relações a estruturas normativas tendenciosas e hierárquicas.</w:t>
      </w:r>
    </w:p>
    <w:p w14:paraId="2EFAA0A0"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p>
    <w:p w14:paraId="5FF0E2F4" w14:textId="77777777" w:rsidR="008253AC" w:rsidRPr="008253AC" w:rsidRDefault="008253AC" w:rsidP="001675AF">
      <w:pPr>
        <w:spacing w:after="0" w:line="360" w:lineRule="auto"/>
        <w:jc w:val="center"/>
        <w:rPr>
          <w:rFonts w:ascii="Times New Roman" w:eastAsia="Calibri" w:hAnsi="Times New Roman" w:cs="Times New Roman"/>
          <w:sz w:val="24"/>
          <w:szCs w:val="24"/>
        </w:rPr>
      </w:pPr>
      <w:r w:rsidRPr="008253AC">
        <w:rPr>
          <w:rFonts w:ascii="Times New Roman" w:eastAsia="Calibri" w:hAnsi="Times New Roman" w:cs="Times New Roman"/>
          <w:sz w:val="24"/>
          <w:szCs w:val="24"/>
        </w:rPr>
        <w:t>***</w:t>
      </w:r>
    </w:p>
    <w:p w14:paraId="373F99C3" w14:textId="77777777" w:rsidR="008253AC" w:rsidRPr="008253AC" w:rsidRDefault="008253AC" w:rsidP="001675AF">
      <w:pPr>
        <w:spacing w:after="0" w:line="360" w:lineRule="auto"/>
        <w:jc w:val="both"/>
        <w:rPr>
          <w:rFonts w:ascii="Times New Roman" w:eastAsia="Calibri" w:hAnsi="Times New Roman" w:cs="Times New Roman"/>
          <w:sz w:val="24"/>
          <w:szCs w:val="24"/>
        </w:rPr>
      </w:pPr>
    </w:p>
    <w:p w14:paraId="1DFA8FA1"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Com coerência, constituir novas educações </w:t>
      </w:r>
      <w:r w:rsidRPr="008253AC">
        <w:rPr>
          <w:rFonts w:ascii="Times New Roman" w:eastAsia="Calibri" w:hAnsi="Times New Roman" w:cs="Times New Roman"/>
          <w:i/>
          <w:sz w:val="24"/>
          <w:szCs w:val="24"/>
        </w:rPr>
        <w:t>passa por</w:t>
      </w:r>
      <w:r w:rsidRPr="008253AC">
        <w:rPr>
          <w:rFonts w:ascii="Times New Roman" w:eastAsia="Calibri" w:hAnsi="Times New Roman" w:cs="Times New Roman"/>
          <w:sz w:val="24"/>
          <w:szCs w:val="24"/>
        </w:rPr>
        <w:t xml:space="preserve"> remodelar conhecimentos, ou, em todo caso, lutar pela eliminação das forças que nos entravam. Maria Lacerda adianta um ponto fundamental a epistemologias feministas nossas contemporâneas, que subvertem os princípios de conhecimento e prática da capa de entendimento patriarcal, provocando a tomada em mãos da narrativa histórica – nas ciências, por exemplo, não se quer negar a realidade de certos fenômenos, mas a idealidade que conforma as pesquisas a concepções parciais de realidade. Muitas vezes, Maria Lacerda não queria negar a relevância de certas descobertas científicas, questionava e/ou negava o </w:t>
      </w:r>
      <w:r w:rsidRPr="008253AC">
        <w:rPr>
          <w:rFonts w:ascii="Times New Roman" w:eastAsia="Calibri" w:hAnsi="Times New Roman" w:cs="Times New Roman"/>
          <w:i/>
          <w:sz w:val="24"/>
          <w:szCs w:val="24"/>
        </w:rPr>
        <w:t>porquê</w:t>
      </w:r>
      <w:r w:rsidRPr="008253AC">
        <w:rPr>
          <w:rFonts w:ascii="Times New Roman" w:eastAsia="Calibri" w:hAnsi="Times New Roman" w:cs="Times New Roman"/>
          <w:sz w:val="24"/>
          <w:szCs w:val="24"/>
        </w:rPr>
        <w:t xml:space="preserve"> chegou-se à descoberta, de quem ela efetivamente avança a vida.</w:t>
      </w:r>
      <w:r w:rsidRPr="008253AC">
        <w:rPr>
          <w:rFonts w:ascii="Times New Roman" w:eastAsia="Calibri" w:hAnsi="Times New Roman" w:cs="Times New Roman"/>
          <w:sz w:val="24"/>
          <w:szCs w:val="24"/>
          <w:vertAlign w:val="superscript"/>
        </w:rPr>
        <w:footnoteReference w:id="69"/>
      </w:r>
    </w:p>
    <w:p w14:paraId="3064D966"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Essa discussão é o cerne do livro </w:t>
      </w:r>
      <w:r w:rsidRPr="008253AC">
        <w:rPr>
          <w:rFonts w:ascii="Times New Roman" w:eastAsia="Calibri" w:hAnsi="Times New Roman" w:cs="Times New Roman"/>
          <w:i/>
          <w:sz w:val="24"/>
          <w:szCs w:val="24"/>
        </w:rPr>
        <w:t>Civilização - tronco de escravos</w:t>
      </w:r>
      <w:r w:rsidRPr="008253AC">
        <w:rPr>
          <w:rFonts w:ascii="Times New Roman" w:eastAsia="Calibri" w:hAnsi="Times New Roman" w:cs="Times New Roman"/>
          <w:sz w:val="24"/>
          <w:szCs w:val="24"/>
        </w:rPr>
        <w:t xml:space="preserve"> (1931), mas é inseparável de todas as preocupações da autora. Na página 9, escreve: "a civilização sufoca o instinto animal de defesa"; essa afirmação não significa somente que a alvorada civilizatória se deu pelo silenciamento de impulsos inerentes à nossa luta ancestral pela sobrevivência – significa que a ideia de civilização é construída com a morte intencional e a escravização de muitos corpos e muitas mentes que </w:t>
      </w:r>
      <w:r w:rsidRPr="008253AC">
        <w:rPr>
          <w:rFonts w:ascii="Times New Roman" w:eastAsia="Calibri" w:hAnsi="Times New Roman" w:cs="Times New Roman"/>
          <w:i/>
          <w:sz w:val="24"/>
          <w:szCs w:val="24"/>
        </w:rPr>
        <w:t>aprendem</w:t>
      </w:r>
      <w:r w:rsidRPr="008253AC">
        <w:rPr>
          <w:rFonts w:ascii="Times New Roman" w:eastAsia="Calibri" w:hAnsi="Times New Roman" w:cs="Times New Roman"/>
          <w:sz w:val="24"/>
          <w:szCs w:val="24"/>
        </w:rPr>
        <w:t xml:space="preserve"> a desejar a morte e a escravidão, sob o nome de patriotismo, de religião, de educação e outras formas. Nessas </w:t>
      </w:r>
      <w:r w:rsidRPr="008253AC">
        <w:rPr>
          <w:rFonts w:ascii="Times New Roman" w:eastAsia="Calibri" w:hAnsi="Times New Roman" w:cs="Times New Roman"/>
          <w:sz w:val="24"/>
          <w:szCs w:val="24"/>
        </w:rPr>
        <w:lastRenderedPageBreak/>
        <w:t>batalhas, as mulheres são triplamente constrangidas; todo o controle e a formação premeditada que o capitalismo impõe a corpos e mentes não atua simetricamente em relação aos “sexos”, pois no caso feminino a estruturação dos poderes incide sobre sua capacidade produtiva e, também diretamente, reprodutiva. A dinâmica ímpar envolvida no controle do corpo feminino é capaz de transformar a vivência bela e natural da maternidade em uma prisão e um contrato de união em submissão legitimada.</w:t>
      </w:r>
      <w:r w:rsidRPr="008253AC">
        <w:rPr>
          <w:rFonts w:ascii="Times New Roman" w:eastAsia="Calibri" w:hAnsi="Times New Roman" w:cs="Times New Roman"/>
          <w:sz w:val="24"/>
          <w:szCs w:val="24"/>
          <w:vertAlign w:val="superscript"/>
        </w:rPr>
        <w:footnoteReference w:id="70"/>
      </w:r>
    </w:p>
    <w:p w14:paraId="27F4E397"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Essas agressões especialmente forjadas para as mulheres já vinham sendo denunciadas há tempo. No Brasil, mas não apenas, isso ainda não trazia consigo todo o trabalho de reperspectivação histórica da luta das mulheres – um projeto como este respira sozinho apenas nos anos 70, com a chamada Segunda Onda. Maria Lacerda, particularmente, conviveu e trocou cartas com nomes que tocaram na ferida da dominação masculina em seu tempo (Bertha Lutz, Raquel de Queiroz, Ana Castro Osório...), e antecipava-se criticamente às teorias científicas e morais que veiculavam a debilidade inata ao </w:t>
      </w:r>
      <w:r w:rsidRPr="008253AC">
        <w:rPr>
          <w:rFonts w:ascii="Times New Roman" w:eastAsia="Calibri" w:hAnsi="Times New Roman" w:cs="Times New Roman"/>
          <w:i/>
          <w:sz w:val="24"/>
          <w:szCs w:val="24"/>
        </w:rPr>
        <w:t>feminino</w:t>
      </w:r>
      <w:r w:rsidRPr="008253AC">
        <w:rPr>
          <w:rFonts w:ascii="Times New Roman" w:eastAsia="Calibri" w:hAnsi="Times New Roman" w:cs="Times New Roman"/>
          <w:sz w:val="24"/>
          <w:szCs w:val="24"/>
        </w:rPr>
        <w:t>, e o fazia decompondo as ideias reacionárias ditas científicas e mostrando os elementos morais e doutrinários indissolúveis que eram camuflados por trás da “objetividade” (“nosso programa se baseia na ciência e na ética, na filosofia e no amor"; Moura, 1982:183).</w:t>
      </w:r>
    </w:p>
    <w:p w14:paraId="78CBE0E8"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Dentre as mulheres com quem se correspondeu, Raquel de Queiroz, mesmo com dificuldades de compreender o que queria positivamente Maria Lacerda, soube que "sua reflexão é fundamentalmente orientada por uma noção de natureza";</w:t>
      </w:r>
      <w:r w:rsidRPr="008253AC">
        <w:rPr>
          <w:rFonts w:ascii="Times New Roman" w:eastAsia="Calibri" w:hAnsi="Times New Roman" w:cs="Times New Roman"/>
          <w:sz w:val="24"/>
          <w:szCs w:val="24"/>
          <w:vertAlign w:val="superscript"/>
        </w:rPr>
        <w:footnoteReference w:id="71"/>
      </w:r>
      <w:r w:rsidRPr="008253AC">
        <w:rPr>
          <w:rFonts w:ascii="Times New Roman" w:eastAsia="Calibri" w:hAnsi="Times New Roman" w:cs="Times New Roman"/>
          <w:sz w:val="24"/>
          <w:szCs w:val="24"/>
        </w:rPr>
        <w:t xml:space="preserve"> uma intuição que muito diz da sensibilidade da jovem escritora cearense e também retrata o continuado exercício lacerdiano de instigar o autoconhecimento – trilha em que a individualidade se concretiza em ações práticas de solidariedade – e enfatizar a congruência dessa mirada de si com a experiência da natureza e da sociedade, enfim, da ciência e da história – que, </w:t>
      </w:r>
      <w:r w:rsidRPr="008253AC">
        <w:rPr>
          <w:rFonts w:ascii="Times New Roman" w:eastAsia="Calibri" w:hAnsi="Times New Roman" w:cs="Times New Roman"/>
          <w:sz w:val="24"/>
          <w:szCs w:val="24"/>
        </w:rPr>
        <w:lastRenderedPageBreak/>
        <w:t>enquanto disciplinas, não podem ser modificadas senão em conjunto com as mudanças do que está arraigado em nós sobre nossa própria natureza.</w:t>
      </w:r>
    </w:p>
    <w:p w14:paraId="4080284E"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Não há, portanto, um itinerário revolucionário traduzido pela obra de Maria Lacerda, mas quer-se reconhecer os instrumentos sem os quais todo trabalho será inútil e até traiçoeiro. O vetor individual aponta a mútua implicação entre autoconhecimento e comunicação, entre natureza e civilidade. Discernir o que significam essas implicações em atos como gerar, educar, comunicar, aprender, escrever, amar, e tantos outros, serve a treinar o olhar em direção às demais individualidades – a meu ver, esses laços que prendem a atenção, em sua obra, expressam a preocupação em ressaltar a complexidade alheia, fácil e erroneamente simplificada naquilo que </w:t>
      </w:r>
      <w:r w:rsidRPr="008253AC">
        <w:rPr>
          <w:rFonts w:ascii="Times New Roman" w:eastAsia="Calibri" w:hAnsi="Times New Roman" w:cs="Times New Roman"/>
          <w:i/>
          <w:sz w:val="24"/>
          <w:szCs w:val="24"/>
        </w:rPr>
        <w:t>aparenta</w:t>
      </w:r>
      <w:r w:rsidRPr="008253AC">
        <w:rPr>
          <w:rFonts w:ascii="Times New Roman" w:eastAsia="Calibri" w:hAnsi="Times New Roman" w:cs="Times New Roman"/>
          <w:sz w:val="24"/>
          <w:szCs w:val="24"/>
        </w:rPr>
        <w:t xml:space="preserve">, no que </w:t>
      </w:r>
      <w:r w:rsidRPr="008253AC">
        <w:rPr>
          <w:rFonts w:ascii="Times New Roman" w:eastAsia="Calibri" w:hAnsi="Times New Roman" w:cs="Times New Roman"/>
          <w:i/>
          <w:sz w:val="24"/>
          <w:szCs w:val="24"/>
        </w:rPr>
        <w:t>interessa</w:t>
      </w:r>
      <w:r w:rsidRPr="008253AC">
        <w:rPr>
          <w:rFonts w:ascii="Times New Roman" w:eastAsia="Calibri" w:hAnsi="Times New Roman" w:cs="Times New Roman"/>
          <w:sz w:val="24"/>
          <w:szCs w:val="24"/>
        </w:rPr>
        <w:t xml:space="preserve"> aparentar. Pela moralidade assimétrica, os atos não são julgados, mas quem o faz – para as mulheres, observa-se, é visto como inato o que nos homens é tranquilamente camuflado, em que se transforma vício em virtude.</w:t>
      </w:r>
    </w:p>
    <w:p w14:paraId="0F971447" w14:textId="77777777" w:rsidR="00B75425"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Assim é com o egoísmo masculino, cujas dimensões catastróficas quase que preenchem as páginas da historiografia androcêntrica ocidental (Moura, 1932: 112); a maternidade, por esse prisma, deve ser a antítese dessa vital qualidade masculina, arma de sobrevivência, mas vetada às mulheres, as quais devem ser devotadas exclusivamente à benevolência e à caridade – por que não, à renegação quase que completa de si? Não é universal e natural que todas e todos nos esforcemos motivados pelo autointeresse?</w:t>
      </w:r>
      <w:r w:rsidRPr="008253AC">
        <w:rPr>
          <w:rFonts w:ascii="Times New Roman" w:eastAsia="Calibri" w:hAnsi="Times New Roman" w:cs="Times New Roman"/>
          <w:sz w:val="24"/>
          <w:szCs w:val="24"/>
          <w:vertAlign w:val="superscript"/>
        </w:rPr>
        <w:footnoteReference w:id="72"/>
      </w:r>
      <w:r w:rsidRPr="008253AC">
        <w:rPr>
          <w:rFonts w:ascii="Times New Roman" w:eastAsia="Calibri" w:hAnsi="Times New Roman" w:cs="Times New Roman"/>
          <w:color w:val="FF0000"/>
          <w:sz w:val="24"/>
          <w:szCs w:val="24"/>
        </w:rPr>
        <w:t xml:space="preserve"> </w:t>
      </w:r>
      <w:r w:rsidRPr="008253AC">
        <w:rPr>
          <w:rFonts w:ascii="Times New Roman" w:eastAsia="Calibri" w:hAnsi="Times New Roman" w:cs="Times New Roman"/>
          <w:sz w:val="24"/>
          <w:szCs w:val="24"/>
        </w:rPr>
        <w:t xml:space="preserve">Benevolência e caridade </w:t>
      </w:r>
      <w:proofErr w:type="gramStart"/>
      <w:r w:rsidRPr="008253AC">
        <w:rPr>
          <w:rFonts w:ascii="Times New Roman" w:eastAsia="Calibri" w:hAnsi="Times New Roman" w:cs="Times New Roman"/>
          <w:sz w:val="24"/>
          <w:szCs w:val="24"/>
        </w:rPr>
        <w:t>são, perspectivadas</w:t>
      </w:r>
      <w:proofErr w:type="gramEnd"/>
      <w:r w:rsidRPr="008253AC">
        <w:rPr>
          <w:rFonts w:ascii="Times New Roman" w:eastAsia="Calibri" w:hAnsi="Times New Roman" w:cs="Times New Roman"/>
          <w:sz w:val="24"/>
          <w:szCs w:val="24"/>
        </w:rPr>
        <w:t xml:space="preserve"> pela história que vê profundamente, as marcas de ferro quente da mulher mortificada pelos hábitos burgueses, cujo maior valor, nem sempre latente, é a hipocrisia.</w:t>
      </w:r>
    </w:p>
    <w:p w14:paraId="31F19666"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“Como nos sentimos humilhadas diante dessas transmutações de valores éticos” (Moura, 1931: 63), porque há um cotidiano tão ensopado de violência que é interpretado como natural – não apenas pelo senso comum, mas pelas ciências e outras produções ideárias quando a serviço da ganância. Entre elas, a história, dos primeiros campos a </w:t>
      </w:r>
      <w:r w:rsidRPr="008253AC">
        <w:rPr>
          <w:rFonts w:ascii="Times New Roman" w:eastAsia="Calibri" w:hAnsi="Times New Roman" w:cs="Times New Roman"/>
          <w:sz w:val="24"/>
          <w:szCs w:val="24"/>
        </w:rPr>
        <w:lastRenderedPageBreak/>
        <w:t xml:space="preserve">serem tomados de assalto por quem objeta conscientemente essa ordem maliciosamente tida por natural. Mas também os espaços se modificam quando o olhar atenta a tais aspectos, e nesse sentido a luta cotidiana se enxerga como necessariamente internacionalista – como em um princípio de plenitude, não pode haver recantos esquecidos pela revolução. </w:t>
      </w:r>
      <w:r w:rsidRPr="008253AC">
        <w:rPr>
          <w:rFonts w:ascii="Times New Roman" w:eastAsia="Calibri" w:hAnsi="Times New Roman" w:cs="Times New Roman"/>
          <w:i/>
          <w:sz w:val="24"/>
          <w:szCs w:val="24"/>
        </w:rPr>
        <w:t xml:space="preserve">"somos internacionalistas porque o coração feminino deve estar em toda parte" </w:t>
      </w:r>
      <w:r w:rsidRPr="008253AC">
        <w:rPr>
          <w:rFonts w:ascii="Times New Roman" w:eastAsia="Calibri" w:hAnsi="Times New Roman" w:cs="Times New Roman"/>
          <w:sz w:val="24"/>
          <w:szCs w:val="24"/>
        </w:rPr>
        <w:t>(Moura, 1982:190).</w:t>
      </w:r>
    </w:p>
    <w:p w14:paraId="1C23A026"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Assim ampliada, a luta rompe a película estetizante que encobre as fraquezas masculinas e os conformismos femininos – mais ainda, denuncia o embelezamento proposital das mazelas sociais, frequentemente encapotadas de fatalismo (Moura, 1982:157), a ponto de quem sofre agradecer pela dor, desculpar-se por sua presença “incômoda”, não esquentar o sangue e continuar na vida como quem espera a morte (Cf. Rago, 2012:66). Essa situação de acobertamento do vigor e da energia que todo indivíduo tem é armada por diversas estruturas de dominação física e afetiva, Maria Lacerda o sabe, e quer mostrar em que recantos está a real alegria de viver, e para isso descaracteriza a falseada harmonia que justifica o dominismo. Nessa linha, escreve em </w:t>
      </w:r>
      <w:r w:rsidRPr="008253AC">
        <w:rPr>
          <w:rFonts w:ascii="Times New Roman" w:eastAsia="Calibri" w:hAnsi="Times New Roman" w:cs="Times New Roman"/>
          <w:i/>
          <w:sz w:val="24"/>
          <w:szCs w:val="24"/>
        </w:rPr>
        <w:t>Han Ryner e o amor plural</w:t>
      </w:r>
      <w:r w:rsidRPr="008253AC">
        <w:rPr>
          <w:rFonts w:ascii="Times New Roman" w:eastAsia="Calibri" w:hAnsi="Times New Roman" w:cs="Times New Roman"/>
          <w:sz w:val="24"/>
          <w:szCs w:val="24"/>
        </w:rPr>
        <w:t>: “Homens e mulheres encontrarão nas leis biológicas e nas necessidades afetivas e espirituais, o seu caminho, a sua verdade e a sua vida. A solução só poder ser individual. Cada qual ama como pode...”.</w:t>
      </w:r>
    </w:p>
    <w:p w14:paraId="1DC38429"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Maria Lacerda compreendeu a mazela generalizada do sistema sócio-político do capitalismo e, como lembra Margareth Rago, sua percepção alcança complexidades da vida humana que pouco eram relevadas na época – já que não assumia em seu horizonte nenhuma organização partidária como meio de liberação, já que sua ideia de revolução não se servia de formatar nossas capacidades afetivas, sua obra então sofre permanente ataque da esquerda organizada e oficiosa; os ritmos impostos de cima por tais organizações da luta e dos afetos são contraditórios com o tempo necessário para reatar nossa vida à natureza, instância inescapável à elaboração ética:</w:t>
      </w:r>
    </w:p>
    <w:p w14:paraId="70B1CEC4" w14:textId="77777777" w:rsidR="008253AC" w:rsidRPr="008253AC" w:rsidRDefault="008253AC" w:rsidP="001675AF">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r>
      <w:r w:rsidRPr="008253AC">
        <w:rPr>
          <w:rFonts w:ascii="Times New Roman" w:eastAsia="Calibri" w:hAnsi="Times New Roman" w:cs="Times New Roman"/>
          <w:sz w:val="24"/>
          <w:szCs w:val="24"/>
        </w:rPr>
        <w:tab/>
      </w:r>
    </w:p>
    <w:p w14:paraId="7056260B" w14:textId="77777777" w:rsidR="008253AC" w:rsidRPr="008253AC" w:rsidRDefault="008253AC" w:rsidP="00192397">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Qualquer que seja a classe social a que pertença o indivíduo, ele precisa aprender a amar a natureza, a respeitar os outros indivíduos, a só dizer a verdade, a reprimir paixões grosseiras, as más tendências, a cultivar os sentimentos nobres, a vislumbrar preceitos morais a serem observados numa sociedade futura, sempre melhor que a atual: não explorar o próximo, ser útil, solidário com os outros homens, ser uma fonte de amor, de heroísmo, de abnegação, de paciência em vez de respirar irritabilidade e mau-humor e ódio: fazer crescer dentro da alma </w:t>
      </w:r>
      <w:r w:rsidRPr="008253AC">
        <w:rPr>
          <w:rFonts w:ascii="Times New Roman" w:eastAsia="Calibri" w:hAnsi="Times New Roman" w:cs="Times New Roman"/>
        </w:rPr>
        <w:lastRenderedPageBreak/>
        <w:t>um nobre ideal de equidade em vez de constituir-se em fonte perene de egoísmo individual (Moura, 1925: 10).</w:t>
      </w:r>
    </w:p>
    <w:p w14:paraId="33FE631E" w14:textId="77777777" w:rsidR="008253AC" w:rsidRPr="008253AC" w:rsidRDefault="008253AC" w:rsidP="001675AF">
      <w:pPr>
        <w:spacing w:after="0" w:line="360" w:lineRule="auto"/>
        <w:ind w:left="2268"/>
        <w:jc w:val="both"/>
        <w:rPr>
          <w:rFonts w:ascii="Times New Roman" w:eastAsia="Calibri" w:hAnsi="Times New Roman" w:cs="Times New Roman"/>
        </w:rPr>
      </w:pPr>
    </w:p>
    <w:p w14:paraId="412D37C3"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“Sempre melhor que a atual” – Maria Lacerda recusa aliar-se idealmente à crença de que a história avança por si, de que a liberdade espera a humanidade ao fim de todo processo evolutivo do espírito humano e universal. São besteiras de quem é cego ao presente, sem dúvida; mas para quem descortina a potência individual e coletiva de revolucionar cotidianamente a sexualidade, a aprendizagem e o ensino, as relações pessoais e institucionais – para quem descortina tal potência seria exercer violência não comunicar a visão do futuro aos contemporâneos, a quem, enfim, há de concretizar efetivamente os ideais de solidariedade, liberdade e conhecimento.</w:t>
      </w:r>
    </w:p>
    <w:p w14:paraId="7EC100B6" w14:textId="77777777" w:rsidR="008253AC" w:rsidRPr="008253AC" w:rsidRDefault="008253AC" w:rsidP="001675AF">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O primor de estilo na escrita de Maria Lacerda já seduz, já nos desvia da normalidade conformada e da monotonia que reclama; a tentação de crer que nossa época é mais sadia e avançada que as anteriores me fez, a princípio, querer adaptar certas ideias da escritora a atuais reivindicações – o melhor de tudo foi verificar com ela que nada há de anacrônico em seus ditos e escritos, que seus movimentos na história já firmam um sentido ético que nada deve à investigação contemporânea mais profunda – e para assegurar isso, nem por um segundo preciso menosprezar o contemporâneo.</w:t>
      </w:r>
    </w:p>
    <w:p w14:paraId="4D455441" w14:textId="77777777" w:rsidR="008253AC" w:rsidRPr="008253AC" w:rsidRDefault="008253AC" w:rsidP="008253AC">
      <w:pPr>
        <w:spacing w:after="200" w:line="360" w:lineRule="auto"/>
        <w:jc w:val="both"/>
        <w:rPr>
          <w:rFonts w:ascii="Times New Roman" w:eastAsia="Calibri" w:hAnsi="Times New Roman" w:cs="Times New Roman"/>
          <w:sz w:val="24"/>
          <w:szCs w:val="24"/>
        </w:rPr>
      </w:pPr>
    </w:p>
    <w:p w14:paraId="77BE317A" w14:textId="77777777" w:rsidR="008253AC" w:rsidRPr="008253AC" w:rsidRDefault="008253AC" w:rsidP="008253AC">
      <w:pPr>
        <w:spacing w:after="200" w:line="360" w:lineRule="auto"/>
        <w:jc w:val="both"/>
        <w:rPr>
          <w:rFonts w:ascii="Times New Roman" w:eastAsia="Calibri" w:hAnsi="Times New Roman" w:cs="Times New Roman"/>
          <w:b/>
          <w:sz w:val="24"/>
          <w:szCs w:val="24"/>
        </w:rPr>
      </w:pPr>
      <w:r w:rsidRPr="008253AC">
        <w:rPr>
          <w:rFonts w:ascii="Times New Roman" w:eastAsia="Calibri" w:hAnsi="Times New Roman" w:cs="Times New Roman"/>
          <w:b/>
          <w:sz w:val="24"/>
          <w:szCs w:val="24"/>
        </w:rPr>
        <w:t>Bibliografia</w:t>
      </w:r>
    </w:p>
    <w:p w14:paraId="567D1CCA"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GUERELLUS, Natália de Santana. Feminismo e anarquismo nos anos 1920: um diálogo entre Rachel de Queiroz e Maria Lacerda de Moura. XXVII Simpósio Nacional de História – Anpuh (2013), pp. 1-13. Disponível em </w:t>
      </w:r>
      <w:hyperlink r:id="rId14" w:history="1">
        <w:r w:rsidRPr="008253AC">
          <w:rPr>
            <w:rFonts w:ascii="Times New Roman" w:eastAsia="Calibri" w:hAnsi="Times New Roman" w:cs="Times New Roman"/>
            <w:color w:val="0000FF"/>
            <w:sz w:val="24"/>
            <w:szCs w:val="24"/>
            <w:u w:val="single"/>
          </w:rPr>
          <w:t>http://www.snh2013.anpuh.org/resources/anais/27/1364485823_ARQUIVO_Artigo_Anpuh_Natalia_Guerellus.pdf</w:t>
        </w:r>
      </w:hyperlink>
    </w:p>
    <w:p w14:paraId="18C65ACF"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LEITE, Miriam L. Moreira. (1985), Maria Lacerda de Moura e o anarquismo. Em Coleção Remate de Males: ISSNe 2316-5758, Campinas, N.5, pp. 121-129.</w:t>
      </w:r>
    </w:p>
    <w:p w14:paraId="0C96807C"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LIMA, Nabylla Fiori de (2016). Maria Lacerda de Moura na Revista </w:t>
      </w:r>
      <w:r w:rsidRPr="008253AC">
        <w:rPr>
          <w:rFonts w:ascii="Times New Roman" w:eastAsia="Calibri" w:hAnsi="Times New Roman" w:cs="Times New Roman"/>
          <w:i/>
          <w:sz w:val="24"/>
          <w:szCs w:val="24"/>
        </w:rPr>
        <w:t>Estudios</w:t>
      </w:r>
      <w:r w:rsidRPr="008253AC">
        <w:rPr>
          <w:rFonts w:ascii="Times New Roman" w:eastAsia="Calibri" w:hAnsi="Times New Roman" w:cs="Times New Roman"/>
          <w:sz w:val="24"/>
          <w:szCs w:val="24"/>
        </w:rPr>
        <w:t xml:space="preserve"> (1930-1936): anarquismo individualista e filosofia da natureza. Dissertação (Mestrado em Tecnologia), Universidade Tecnológica Federal do Paraná, Curitiba. </w:t>
      </w:r>
    </w:p>
    <w:p w14:paraId="04CBBAE4"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MARTINS, Ângela Maria Souza; COSTA, Nailda Marinho. (2016), Movimento feminista e educação: cartas de Maria Lacerda de Moura para Bertha Lutz (1920-1922). Em Revista Contemporânea de Educação: ISSNe 1809-5747, Rio de Janeiro, Vol. 11, N. 21, pp. 211-229.</w:t>
      </w:r>
    </w:p>
    <w:p w14:paraId="16CD65E4"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MIRANDA, Jussara Valéria de (2006). “Recuso-me!”. Ditos e escritos de Maria Lacerda de Moura. Dissertação (Mestrado em História Social), Universidade Federal de Uberlândia, Uberlândia.</w:t>
      </w:r>
    </w:p>
    <w:p w14:paraId="60CAA3FB"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MOURA, Maria Lacerda de. (1982), A mulher é uma degenerada. Rio de Janeiro: Civilização Brasileira (3ª. Edição).</w:t>
      </w:r>
    </w:p>
    <w:p w14:paraId="5901D150"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_______________________. (1931), Civilização – tronco de escravos. Rio de Janeiro: Civilização Brasileira.</w:t>
      </w:r>
    </w:p>
    <w:p w14:paraId="35C7D0F1"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rPr>
        <w:t xml:space="preserve">_________________________. (1934), </w:t>
      </w:r>
      <w:r w:rsidRPr="008253AC">
        <w:rPr>
          <w:rFonts w:ascii="Calibri" w:eastAsia="Calibri" w:hAnsi="Calibri" w:cs="Times New Roman"/>
          <w:bCs/>
          <w:i/>
          <w:iCs/>
          <w:sz w:val="24"/>
          <w:szCs w:val="24"/>
          <w:shd w:val="clear" w:color="auto" w:fill="FFFFFF"/>
        </w:rPr>
        <w:t>Ferrer</w:t>
      </w:r>
      <w:r w:rsidRPr="008253AC">
        <w:rPr>
          <w:rFonts w:ascii="Times New Roman" w:eastAsia="Calibri" w:hAnsi="Times New Roman" w:cs="Times New Roman"/>
          <w:sz w:val="24"/>
          <w:szCs w:val="24"/>
          <w:shd w:val="clear" w:color="auto" w:fill="FFFFFF"/>
        </w:rPr>
        <w:t>, o Clero Romano e a </w:t>
      </w:r>
      <w:r w:rsidRPr="008253AC">
        <w:rPr>
          <w:rFonts w:ascii="Times New Roman" w:eastAsia="Calibri" w:hAnsi="Times New Roman" w:cs="Times New Roman"/>
          <w:bCs/>
          <w:i/>
          <w:iCs/>
          <w:sz w:val="24"/>
          <w:szCs w:val="24"/>
          <w:shd w:val="clear" w:color="auto" w:fill="FFFFFF"/>
        </w:rPr>
        <w:t>Educação Laica</w:t>
      </w:r>
      <w:r w:rsidRPr="008253AC">
        <w:rPr>
          <w:rFonts w:ascii="Times New Roman" w:eastAsia="Calibri" w:hAnsi="Times New Roman" w:cs="Times New Roman"/>
          <w:sz w:val="24"/>
          <w:szCs w:val="24"/>
          <w:shd w:val="clear" w:color="auto" w:fill="FFFFFF"/>
        </w:rPr>
        <w:t>. São Paulo: Editora Paulista.</w:t>
      </w:r>
      <w:r w:rsidRPr="008253AC">
        <w:rPr>
          <w:rFonts w:ascii="Times New Roman" w:eastAsia="Calibri" w:hAnsi="Times New Roman" w:cs="Times New Roman"/>
          <w:sz w:val="24"/>
          <w:szCs w:val="24"/>
        </w:rPr>
        <w:t xml:space="preserve"> </w:t>
      </w:r>
    </w:p>
    <w:p w14:paraId="4DA77016"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_______________________. (2018), Fascismo: filho dileto da igreja e do capital. São Paulo: Entremares. </w:t>
      </w:r>
    </w:p>
    <w:p w14:paraId="2B83E139"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_______________________. (1925), Lições de pedagogia. São Paulo: Ed. Paulista.</w:t>
      </w:r>
    </w:p>
    <w:p w14:paraId="7D640A64"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_______________________. (1926), Religião do amor e da beleza. São Palulo: Condor.</w:t>
      </w:r>
    </w:p>
    <w:p w14:paraId="01EF917F" w14:textId="77777777" w:rsidR="008253AC" w:rsidRPr="008253AC" w:rsidRDefault="008253AC" w:rsidP="008253AC">
      <w:pPr>
        <w:spacing w:after="200" w:line="360" w:lineRule="auto"/>
        <w:jc w:val="both"/>
        <w:rPr>
          <w:rFonts w:ascii="Times New Roman" w:eastAsia="Calibri" w:hAnsi="Times New Roman" w:cs="Times New Roman"/>
          <w:sz w:val="24"/>
          <w:szCs w:val="24"/>
          <w:shd w:val="clear" w:color="auto" w:fill="FFFFFF"/>
        </w:rPr>
      </w:pPr>
      <w:r w:rsidRPr="008253AC">
        <w:rPr>
          <w:rFonts w:ascii="Times New Roman" w:eastAsia="Calibri" w:hAnsi="Times New Roman" w:cs="Times New Roman"/>
          <w:sz w:val="24"/>
          <w:szCs w:val="24"/>
        </w:rPr>
        <w:t xml:space="preserve">RAGO, Margareth. (2012), Entre o anarquismo e o feminismo: Maria Lacerda de Moura e Luce Fabbri. Em Revista Verve: ISSN </w:t>
      </w:r>
      <w:r w:rsidRPr="008253AC">
        <w:rPr>
          <w:rFonts w:ascii="Arial" w:eastAsia="Calibri" w:hAnsi="Arial" w:cs="Arial"/>
          <w:color w:val="545454"/>
          <w:shd w:val="clear" w:color="auto" w:fill="FFFFFF"/>
        </w:rPr>
        <w:t> </w:t>
      </w:r>
      <w:r w:rsidRPr="008253AC">
        <w:rPr>
          <w:rFonts w:ascii="Times New Roman" w:eastAsia="Calibri" w:hAnsi="Times New Roman" w:cs="Times New Roman"/>
          <w:sz w:val="24"/>
          <w:szCs w:val="24"/>
          <w:shd w:val="clear" w:color="auto" w:fill="FFFFFF"/>
        </w:rPr>
        <w:t>1676-9090, São Paulo: N.21, pp. 54-78.</w:t>
      </w:r>
    </w:p>
    <w:p w14:paraId="5EAD6FA7" w14:textId="77777777" w:rsidR="008253AC" w:rsidRPr="008253AC" w:rsidRDefault="008253AC" w:rsidP="008253AC">
      <w:pPr>
        <w:spacing w:after="200" w:line="360" w:lineRule="auto"/>
        <w:jc w:val="both"/>
        <w:rPr>
          <w:rFonts w:ascii="Times New Roman" w:eastAsia="Calibri" w:hAnsi="Times New Roman" w:cs="Times New Roman"/>
          <w:sz w:val="24"/>
          <w:szCs w:val="24"/>
          <w:shd w:val="clear" w:color="auto" w:fill="FFFFFF"/>
        </w:rPr>
      </w:pPr>
      <w:r w:rsidRPr="008253AC">
        <w:rPr>
          <w:rFonts w:ascii="Times New Roman" w:eastAsia="Calibri" w:hAnsi="Times New Roman" w:cs="Times New Roman"/>
          <w:sz w:val="24"/>
          <w:szCs w:val="24"/>
          <w:shd w:val="clear" w:color="auto" w:fill="FFFFFF"/>
        </w:rPr>
        <w:t xml:space="preserve">________________. (2007), Ética, anarquia e revolução em Maria Lacerda de Souza. In REIS, Daniel Aarão e FERREIRA, Jorge (orgs); </w:t>
      </w:r>
      <w:proofErr w:type="gramStart"/>
      <w:r w:rsidRPr="008253AC">
        <w:rPr>
          <w:rFonts w:ascii="Times New Roman" w:eastAsia="Calibri" w:hAnsi="Times New Roman" w:cs="Times New Roman"/>
          <w:sz w:val="24"/>
          <w:szCs w:val="24"/>
          <w:shd w:val="clear" w:color="auto" w:fill="FFFFFF"/>
        </w:rPr>
        <w:t>As</w:t>
      </w:r>
      <w:proofErr w:type="gramEnd"/>
      <w:r w:rsidRPr="008253AC">
        <w:rPr>
          <w:rFonts w:ascii="Times New Roman" w:eastAsia="Calibri" w:hAnsi="Times New Roman" w:cs="Times New Roman"/>
          <w:sz w:val="24"/>
          <w:szCs w:val="24"/>
          <w:shd w:val="clear" w:color="auto" w:fill="FFFFFF"/>
        </w:rPr>
        <w:t xml:space="preserve"> esquerdas no Brasil, Vol. 1: a formação das tradições, 1889-1945; Rio de Janeiro: Civlização Brasileira, pp. 262-293.</w:t>
      </w:r>
    </w:p>
    <w:p w14:paraId="3EA1548E"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shd w:val="clear" w:color="auto" w:fill="FFFFFF"/>
        </w:rPr>
        <w:t>PACHECO, Joice Oliveira (2010). O pensamento de Maria Lacerda de Moura sobre a emancipação feminina: contribuições e desafios para a educação contemporânea. Dissertação de Mestrado (Educação), Unisinos, São Leopoldo.</w:t>
      </w:r>
    </w:p>
    <w:p w14:paraId="4E3591DE"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TELLES, Norma. (2016), Apontamentos sobre campos de guerra. Em Revista do Centro de Pesquisa e Formação: ISSN </w:t>
      </w:r>
      <w:r w:rsidRPr="008253AC">
        <w:rPr>
          <w:rFonts w:ascii="Times New Roman" w:eastAsia="Calibri" w:hAnsi="Times New Roman" w:cs="Times New Roman"/>
          <w:sz w:val="24"/>
          <w:szCs w:val="24"/>
          <w:shd w:val="clear" w:color="auto" w:fill="FFFFFF"/>
        </w:rPr>
        <w:t>2448-2773, São Paulo: N.3, pp. 45-56.</w:t>
      </w:r>
    </w:p>
    <w:p w14:paraId="7829DA05" w14:textId="77777777" w:rsidR="008253AC" w:rsidRPr="008253AC" w:rsidRDefault="008253AC" w:rsidP="008253AC">
      <w:pPr>
        <w:spacing w:after="200" w:line="360" w:lineRule="auto"/>
        <w:jc w:val="both"/>
        <w:rPr>
          <w:rFonts w:ascii="Times New Roman" w:eastAsia="Calibri" w:hAnsi="Times New Roman" w:cs="Times New Roman"/>
          <w:sz w:val="24"/>
          <w:szCs w:val="24"/>
        </w:rPr>
      </w:pPr>
    </w:p>
    <w:p w14:paraId="789DF2FD" w14:textId="77777777" w:rsidR="008253AC" w:rsidRPr="008253AC" w:rsidRDefault="008253AC" w:rsidP="008253AC">
      <w:pPr>
        <w:spacing w:after="200" w:line="360" w:lineRule="auto"/>
        <w:jc w:val="both"/>
        <w:rPr>
          <w:rFonts w:ascii="Times New Roman" w:eastAsia="Calibri" w:hAnsi="Times New Roman" w:cs="Times New Roman"/>
          <w:sz w:val="24"/>
          <w:szCs w:val="24"/>
        </w:rPr>
      </w:pPr>
    </w:p>
    <w:p w14:paraId="5E7FD9CE" w14:textId="77777777" w:rsidR="008253AC" w:rsidRPr="008253AC" w:rsidRDefault="008253AC" w:rsidP="008253AC">
      <w:pPr>
        <w:spacing w:after="200" w:line="360" w:lineRule="auto"/>
        <w:jc w:val="both"/>
        <w:rPr>
          <w:rFonts w:ascii="Times New Roman" w:eastAsia="Calibri" w:hAnsi="Times New Roman" w:cs="Times New Roman"/>
          <w:sz w:val="24"/>
          <w:szCs w:val="24"/>
        </w:rPr>
      </w:pPr>
    </w:p>
    <w:p w14:paraId="69D3A473" w14:textId="77777777" w:rsidR="00A93EBD" w:rsidRDefault="00A93EBD" w:rsidP="00F542B4">
      <w:pPr>
        <w:spacing w:line="360" w:lineRule="auto"/>
        <w:rPr>
          <w:rFonts w:ascii="Times New Roman" w:hAnsi="Times New Roman" w:cs="Times New Roman"/>
        </w:rPr>
      </w:pPr>
    </w:p>
    <w:p w14:paraId="7758D034" w14:textId="77777777" w:rsidR="001675AF" w:rsidRDefault="001675AF" w:rsidP="00F542B4">
      <w:pPr>
        <w:spacing w:line="360" w:lineRule="auto"/>
        <w:rPr>
          <w:rFonts w:ascii="Times New Roman" w:hAnsi="Times New Roman" w:cs="Times New Roman"/>
        </w:rPr>
      </w:pPr>
    </w:p>
    <w:p w14:paraId="25384178" w14:textId="77777777" w:rsidR="001675AF" w:rsidRDefault="001675AF" w:rsidP="00F542B4">
      <w:pPr>
        <w:spacing w:line="360" w:lineRule="auto"/>
        <w:rPr>
          <w:rFonts w:ascii="Times New Roman" w:hAnsi="Times New Roman" w:cs="Times New Roman"/>
        </w:rPr>
      </w:pPr>
    </w:p>
    <w:p w14:paraId="7A3465B1" w14:textId="77777777" w:rsidR="001675AF" w:rsidRDefault="001675AF" w:rsidP="00F542B4">
      <w:pPr>
        <w:spacing w:line="360" w:lineRule="auto"/>
        <w:rPr>
          <w:rFonts w:ascii="Times New Roman" w:hAnsi="Times New Roman" w:cs="Times New Roman"/>
        </w:rPr>
      </w:pPr>
    </w:p>
    <w:p w14:paraId="472E33FB" w14:textId="77777777" w:rsidR="001675AF" w:rsidRDefault="001675AF" w:rsidP="00F542B4">
      <w:pPr>
        <w:spacing w:line="360" w:lineRule="auto"/>
        <w:rPr>
          <w:rFonts w:ascii="Times New Roman" w:hAnsi="Times New Roman" w:cs="Times New Roman"/>
        </w:rPr>
      </w:pPr>
    </w:p>
    <w:p w14:paraId="528D079D" w14:textId="77777777" w:rsidR="001675AF" w:rsidRDefault="001675AF" w:rsidP="00F542B4">
      <w:pPr>
        <w:spacing w:line="360" w:lineRule="auto"/>
        <w:rPr>
          <w:rFonts w:ascii="Times New Roman" w:hAnsi="Times New Roman" w:cs="Times New Roman"/>
        </w:rPr>
      </w:pPr>
    </w:p>
    <w:p w14:paraId="0769ED4D" w14:textId="77777777" w:rsidR="001675AF" w:rsidRDefault="001675AF" w:rsidP="00F542B4">
      <w:pPr>
        <w:spacing w:line="360" w:lineRule="auto"/>
        <w:rPr>
          <w:rFonts w:ascii="Times New Roman" w:hAnsi="Times New Roman" w:cs="Times New Roman"/>
        </w:rPr>
      </w:pPr>
    </w:p>
    <w:p w14:paraId="05C15F98" w14:textId="77777777" w:rsidR="001675AF" w:rsidRDefault="001675AF" w:rsidP="00F542B4">
      <w:pPr>
        <w:spacing w:line="360" w:lineRule="auto"/>
        <w:rPr>
          <w:rFonts w:ascii="Times New Roman" w:hAnsi="Times New Roman" w:cs="Times New Roman"/>
        </w:rPr>
      </w:pPr>
    </w:p>
    <w:p w14:paraId="667CFBAB" w14:textId="77777777" w:rsidR="001675AF" w:rsidRDefault="001675AF" w:rsidP="00F542B4">
      <w:pPr>
        <w:spacing w:line="360" w:lineRule="auto"/>
        <w:rPr>
          <w:rFonts w:ascii="Times New Roman" w:hAnsi="Times New Roman" w:cs="Times New Roman"/>
        </w:rPr>
      </w:pPr>
    </w:p>
    <w:p w14:paraId="63CFCAD3" w14:textId="77777777" w:rsidR="001675AF" w:rsidRDefault="001675AF" w:rsidP="00F542B4">
      <w:pPr>
        <w:spacing w:line="360" w:lineRule="auto"/>
        <w:rPr>
          <w:rFonts w:ascii="Times New Roman" w:hAnsi="Times New Roman" w:cs="Times New Roman"/>
        </w:rPr>
      </w:pPr>
    </w:p>
    <w:p w14:paraId="35A4FC96" w14:textId="77777777" w:rsidR="001675AF" w:rsidRDefault="001675AF" w:rsidP="00F542B4">
      <w:pPr>
        <w:spacing w:line="360" w:lineRule="auto"/>
        <w:rPr>
          <w:rFonts w:ascii="Times New Roman" w:hAnsi="Times New Roman" w:cs="Times New Roman"/>
        </w:rPr>
      </w:pPr>
    </w:p>
    <w:p w14:paraId="157ACA9B" w14:textId="77777777" w:rsidR="008253AC" w:rsidRDefault="008253AC" w:rsidP="00F542B4">
      <w:pPr>
        <w:spacing w:line="360" w:lineRule="auto"/>
        <w:rPr>
          <w:rFonts w:ascii="Times New Roman" w:hAnsi="Times New Roman" w:cs="Times New Roman"/>
        </w:rPr>
      </w:pPr>
    </w:p>
    <w:p w14:paraId="22BB540F" w14:textId="6FB28A7C" w:rsidR="00F55284" w:rsidRDefault="00F55284" w:rsidP="00F542B4">
      <w:pPr>
        <w:spacing w:line="360" w:lineRule="auto"/>
        <w:rPr>
          <w:rFonts w:ascii="Times New Roman" w:hAnsi="Times New Roman" w:cs="Times New Roman"/>
        </w:rPr>
      </w:pPr>
    </w:p>
    <w:p w14:paraId="2F77A438" w14:textId="1BE3C4D9" w:rsidR="00192397" w:rsidRDefault="00192397" w:rsidP="00F542B4">
      <w:pPr>
        <w:spacing w:line="360" w:lineRule="auto"/>
        <w:rPr>
          <w:rFonts w:ascii="Times New Roman" w:hAnsi="Times New Roman" w:cs="Times New Roman"/>
        </w:rPr>
      </w:pPr>
    </w:p>
    <w:p w14:paraId="347AAEBC" w14:textId="618E311F" w:rsidR="008C7806" w:rsidRDefault="008C7806" w:rsidP="00F542B4">
      <w:pPr>
        <w:spacing w:line="360" w:lineRule="auto"/>
        <w:rPr>
          <w:rFonts w:ascii="Times New Roman" w:hAnsi="Times New Roman" w:cs="Times New Roman"/>
        </w:rPr>
      </w:pPr>
    </w:p>
    <w:p w14:paraId="26FF4F66" w14:textId="2B95CD6E" w:rsidR="008C7806" w:rsidRDefault="008C7806" w:rsidP="00F542B4">
      <w:pPr>
        <w:spacing w:line="360" w:lineRule="auto"/>
        <w:rPr>
          <w:rFonts w:ascii="Times New Roman" w:hAnsi="Times New Roman" w:cs="Times New Roman"/>
        </w:rPr>
      </w:pPr>
    </w:p>
    <w:p w14:paraId="2CF6B27B" w14:textId="77777777" w:rsidR="008C7806" w:rsidRDefault="008C7806" w:rsidP="00F542B4">
      <w:pPr>
        <w:spacing w:line="360" w:lineRule="auto"/>
        <w:rPr>
          <w:rFonts w:ascii="Times New Roman" w:hAnsi="Times New Roman" w:cs="Times New Roman"/>
        </w:rPr>
      </w:pPr>
    </w:p>
    <w:p w14:paraId="07947C53" w14:textId="77777777" w:rsidR="00F55284" w:rsidRDefault="00F55284" w:rsidP="00F542B4">
      <w:pPr>
        <w:spacing w:line="360" w:lineRule="auto"/>
        <w:rPr>
          <w:rFonts w:ascii="Times New Roman" w:hAnsi="Times New Roman" w:cs="Times New Roman"/>
        </w:rPr>
      </w:pPr>
    </w:p>
    <w:p w14:paraId="66722A75" w14:textId="77777777" w:rsidR="00F55284" w:rsidRDefault="00F55284" w:rsidP="00F542B4">
      <w:pPr>
        <w:spacing w:line="360" w:lineRule="auto"/>
        <w:rPr>
          <w:rFonts w:ascii="Times New Roman" w:hAnsi="Times New Roman" w:cs="Times New Roman"/>
        </w:rPr>
      </w:pPr>
    </w:p>
    <w:p w14:paraId="44D3AE15" w14:textId="77777777" w:rsidR="00F1063A" w:rsidRDefault="00F1063A" w:rsidP="00F542B4">
      <w:pPr>
        <w:spacing w:line="360" w:lineRule="auto"/>
        <w:rPr>
          <w:rFonts w:ascii="Times New Roman" w:hAnsi="Times New Roman" w:cs="Times New Roman"/>
        </w:rPr>
      </w:pPr>
    </w:p>
    <w:p w14:paraId="07CA44D5" w14:textId="77777777" w:rsidR="00F55284" w:rsidRPr="00F55284" w:rsidRDefault="008253AC" w:rsidP="008C7806">
      <w:pPr>
        <w:spacing w:after="200" w:line="360" w:lineRule="auto"/>
        <w:jc w:val="center"/>
        <w:rPr>
          <w:rFonts w:ascii="Times New Roman" w:eastAsia="Calibri" w:hAnsi="Times New Roman" w:cs="Times New Roman"/>
          <w:sz w:val="24"/>
          <w:szCs w:val="24"/>
        </w:rPr>
      </w:pPr>
      <w:r w:rsidRPr="008253AC">
        <w:rPr>
          <w:rFonts w:ascii="Times New Roman" w:eastAsia="Calibri" w:hAnsi="Times New Roman" w:cs="Times New Roman"/>
          <w:b/>
          <w:bCs/>
          <w:sz w:val="24"/>
          <w:szCs w:val="24"/>
        </w:rPr>
        <w:t>POR UMA TEORIA DAS RUAS: UMA ANÁLISE DE UM MUNDO EM   CHAMAS</w:t>
      </w:r>
    </w:p>
    <w:p w14:paraId="75BF53C0" w14:textId="77777777" w:rsidR="00F55284" w:rsidRPr="00F55284" w:rsidRDefault="00F55284" w:rsidP="00FF79A8">
      <w:pPr>
        <w:spacing w:after="0" w:line="276"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Guilherme Santana</w:t>
      </w:r>
    </w:p>
    <w:p w14:paraId="47FCEBAE" w14:textId="77777777" w:rsidR="00F55284" w:rsidRPr="00F55284" w:rsidRDefault="00F55284" w:rsidP="00FF79A8">
      <w:pPr>
        <w:spacing w:after="0" w:line="276" w:lineRule="auto"/>
        <w:jc w:val="right"/>
        <w:rPr>
          <w:rFonts w:ascii="Times New Roman" w:eastAsia="Times New Roman" w:hAnsi="Times New Roman" w:cs="Times New Roman"/>
          <w:color w:val="000000"/>
          <w:sz w:val="24"/>
          <w:szCs w:val="24"/>
          <w:lang w:eastAsia="pt-BR"/>
        </w:rPr>
      </w:pPr>
      <w:r w:rsidRPr="00F55284">
        <w:rPr>
          <w:rFonts w:ascii="Times New Roman" w:eastAsia="Times New Roman" w:hAnsi="Times New Roman" w:cs="Times New Roman"/>
          <w:color w:val="000000"/>
          <w:sz w:val="24"/>
          <w:szCs w:val="24"/>
          <w:lang w:eastAsia="pt-BR"/>
        </w:rPr>
        <w:t>Doutorando em História Comparada no Programa de Pós-Graduação em História Comparada do Instituto de História da Universidade Federal do Rio de Janeiro (PPGHC-IH-UFRJ); membro-pesquisador do Observatório do Trabalho na América Latina (OTAL); Mestre em Educação no Programa de Pós-Graduação em Educação da Universidade Federal do Rio de Janeiro (PPGE-UFRJ). Professor d</w:t>
      </w:r>
      <w:r>
        <w:rPr>
          <w:rFonts w:ascii="Times New Roman" w:eastAsia="Times New Roman" w:hAnsi="Times New Roman" w:cs="Times New Roman"/>
          <w:color w:val="000000"/>
          <w:sz w:val="24"/>
          <w:szCs w:val="24"/>
          <w:lang w:eastAsia="pt-BR"/>
        </w:rPr>
        <w:t>a rede</w:t>
      </w:r>
      <w:r w:rsidRPr="00F55284">
        <w:rPr>
          <w:rFonts w:ascii="Times New Roman" w:eastAsia="Times New Roman" w:hAnsi="Times New Roman" w:cs="Times New Roman"/>
          <w:color w:val="000000"/>
          <w:sz w:val="24"/>
          <w:szCs w:val="24"/>
          <w:lang w:eastAsia="pt-BR"/>
        </w:rPr>
        <w:t xml:space="preserve"> Estad</w:t>
      </w:r>
      <w:r>
        <w:rPr>
          <w:rFonts w:ascii="Times New Roman" w:eastAsia="Times New Roman" w:hAnsi="Times New Roman" w:cs="Times New Roman"/>
          <w:color w:val="000000"/>
          <w:sz w:val="24"/>
          <w:szCs w:val="24"/>
          <w:lang w:eastAsia="pt-BR"/>
        </w:rPr>
        <w:t>ual</w:t>
      </w:r>
      <w:r w:rsidRPr="00F55284">
        <w:rPr>
          <w:rFonts w:ascii="Times New Roman" w:eastAsia="Times New Roman" w:hAnsi="Times New Roman" w:cs="Times New Roman"/>
          <w:color w:val="000000"/>
          <w:sz w:val="24"/>
          <w:szCs w:val="24"/>
          <w:lang w:eastAsia="pt-BR"/>
        </w:rPr>
        <w:t xml:space="preserve"> d</w:t>
      </w:r>
      <w:r>
        <w:rPr>
          <w:rFonts w:ascii="Times New Roman" w:eastAsia="Times New Roman" w:hAnsi="Times New Roman" w:cs="Times New Roman"/>
          <w:color w:val="000000"/>
          <w:sz w:val="24"/>
          <w:szCs w:val="24"/>
          <w:lang w:eastAsia="pt-BR"/>
        </w:rPr>
        <w:t>e Educação do</w:t>
      </w:r>
      <w:r w:rsidRPr="00F55284">
        <w:rPr>
          <w:rFonts w:ascii="Times New Roman" w:eastAsia="Times New Roman" w:hAnsi="Times New Roman" w:cs="Times New Roman"/>
          <w:color w:val="000000"/>
          <w:sz w:val="24"/>
          <w:szCs w:val="24"/>
          <w:lang w:eastAsia="pt-BR"/>
        </w:rPr>
        <w:t xml:space="preserve"> Rio de Janeiro. Bolsista Capes.</w:t>
      </w:r>
    </w:p>
    <w:p w14:paraId="4CEA40A9" w14:textId="77777777" w:rsidR="00F55284" w:rsidRPr="00F55284" w:rsidRDefault="00F55284" w:rsidP="00F55284">
      <w:pPr>
        <w:spacing w:after="0" w:line="240" w:lineRule="auto"/>
        <w:rPr>
          <w:rFonts w:ascii="Times New Roman" w:eastAsia="Times New Roman" w:hAnsi="Times New Roman" w:cs="Times New Roman"/>
          <w:sz w:val="24"/>
          <w:szCs w:val="24"/>
          <w:lang w:eastAsia="pt-BR"/>
        </w:rPr>
      </w:pPr>
    </w:p>
    <w:p w14:paraId="51BF740D" w14:textId="77777777" w:rsidR="00F55284" w:rsidRPr="00F55284" w:rsidRDefault="00F55284" w:rsidP="00F55284">
      <w:pPr>
        <w:spacing w:after="0" w:line="240"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Juan Filipe L. Magalhães</w:t>
      </w:r>
    </w:p>
    <w:p w14:paraId="38D3FCB3" w14:textId="77777777" w:rsidR="00F55284" w:rsidRPr="00F55284" w:rsidRDefault="00F55284" w:rsidP="00FF79A8">
      <w:pPr>
        <w:spacing w:after="0" w:line="276"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color w:val="000000"/>
          <w:sz w:val="24"/>
          <w:szCs w:val="24"/>
          <w:lang w:eastAsia="pt-BR"/>
        </w:rPr>
        <w:t>Doutorando no Programa de Pós-Graduação em História Comparada (PPGHC) da Universidade Federal do Rio de Janeiro (UFRJ</w:t>
      </w:r>
      <w:proofErr w:type="gramStart"/>
      <w:r w:rsidRPr="00F55284">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r w:rsidRPr="00F55284">
        <w:rPr>
          <w:rFonts w:ascii="Times New Roman" w:eastAsia="Times New Roman" w:hAnsi="Times New Roman" w:cs="Times New Roman"/>
          <w:color w:val="000000"/>
          <w:sz w:val="24"/>
          <w:szCs w:val="24"/>
          <w:lang w:eastAsia="pt-BR"/>
        </w:rPr>
        <w:t>  Mestre</w:t>
      </w:r>
      <w:proofErr w:type="gramEnd"/>
      <w:r w:rsidRPr="00F55284">
        <w:rPr>
          <w:rFonts w:ascii="Times New Roman" w:eastAsia="Times New Roman" w:hAnsi="Times New Roman" w:cs="Times New Roman"/>
          <w:color w:val="000000"/>
          <w:sz w:val="24"/>
          <w:szCs w:val="24"/>
          <w:lang w:eastAsia="pt-BR"/>
        </w:rPr>
        <w:t xml:space="preserve"> em História pela mesma instituição. Pós-Graduado pela Universidade Federal Fluminense (UFF) em Gestão da Cadeira de Suprimentos e Logística.</w:t>
      </w:r>
      <w:r>
        <w:rPr>
          <w:rFonts w:ascii="Times New Roman" w:eastAsia="Times New Roman" w:hAnsi="Times New Roman" w:cs="Times New Roman"/>
          <w:color w:val="000000"/>
          <w:sz w:val="24"/>
          <w:szCs w:val="24"/>
          <w:lang w:eastAsia="pt-BR"/>
        </w:rPr>
        <w:t xml:space="preserve"> </w:t>
      </w:r>
      <w:r w:rsidR="00E32DCE" w:rsidRPr="00F55284">
        <w:rPr>
          <w:rFonts w:ascii="Times New Roman" w:eastAsia="Times New Roman" w:hAnsi="Times New Roman" w:cs="Times New Roman"/>
          <w:color w:val="000000"/>
          <w:sz w:val="24"/>
          <w:szCs w:val="24"/>
          <w:lang w:eastAsia="pt-BR"/>
        </w:rPr>
        <w:t xml:space="preserve">membro-pesquisador do Observatório do Trabalho na América Latina (OTAL); </w:t>
      </w:r>
      <w:r>
        <w:rPr>
          <w:rFonts w:ascii="Times New Roman" w:eastAsia="Times New Roman" w:hAnsi="Times New Roman" w:cs="Times New Roman"/>
          <w:color w:val="000000"/>
          <w:sz w:val="24"/>
          <w:szCs w:val="24"/>
          <w:lang w:eastAsia="pt-BR"/>
        </w:rPr>
        <w:t>Professor da Faculdade Lusófona do Rio de Janeiro.</w:t>
      </w:r>
      <w:r w:rsidRPr="00F55284">
        <w:rPr>
          <w:rFonts w:ascii="Times New Roman" w:eastAsia="Times New Roman" w:hAnsi="Times New Roman" w:cs="Times New Roman"/>
          <w:color w:val="000000"/>
          <w:sz w:val="24"/>
          <w:szCs w:val="24"/>
          <w:lang w:eastAsia="pt-BR"/>
        </w:rPr>
        <w:t xml:space="preserve"> Bolsista Capes.</w:t>
      </w:r>
    </w:p>
    <w:p w14:paraId="37924109" w14:textId="77777777" w:rsidR="00F55284" w:rsidRPr="008253AC" w:rsidRDefault="00F55284" w:rsidP="00FF79A8">
      <w:pPr>
        <w:spacing w:after="200" w:line="276" w:lineRule="auto"/>
        <w:jc w:val="both"/>
        <w:rPr>
          <w:rFonts w:ascii="Times New Roman" w:eastAsia="Calibri" w:hAnsi="Times New Roman" w:cs="Times New Roman"/>
          <w:sz w:val="24"/>
          <w:szCs w:val="24"/>
        </w:rPr>
      </w:pPr>
    </w:p>
    <w:p w14:paraId="00D5C03A"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F55284">
        <w:rPr>
          <w:rFonts w:ascii="Times New Roman" w:eastAsia="Calibri" w:hAnsi="Times New Roman" w:cs="Times New Roman"/>
          <w:b/>
          <w:bCs/>
          <w:sz w:val="24"/>
          <w:szCs w:val="24"/>
        </w:rPr>
        <w:t>Resumo:</w:t>
      </w:r>
      <w:r w:rsidRPr="008253AC">
        <w:rPr>
          <w:rFonts w:ascii="Times New Roman" w:eastAsia="Calibri" w:hAnsi="Times New Roman" w:cs="Times New Roman"/>
          <w:sz w:val="24"/>
          <w:szCs w:val="24"/>
        </w:rPr>
        <w:t xml:space="preserve"> O presente artigo tem como objetivo historicizar e teorizar, com base na lente teórica do pensamento político e filosófico libertário, uma série de greves, protestos, revoltas populares e ocupações que compõem em nossa tese um conjunto de acontecimentos ignorados, menosprezados pela academia ao longo da história. Esses movimentos, quando recebem alguma atenção, são tratados de forma isolada, o que dificulta uma análise mais holística, que é o objetivo deste artigo. Os eventos supracitados se sucedem desde a Revolução Industrial e avançam até o nosso cotidiano em diversas partes do globo, o que evidencia a necessidade de compreender a existência de uma teoria das ruas em um momento em que as propostas marxistas de constituir uma teoria para as ruas são amplamente questionadas. </w:t>
      </w:r>
    </w:p>
    <w:p w14:paraId="233C2F43"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C7806">
        <w:rPr>
          <w:rFonts w:ascii="Times New Roman" w:eastAsia="Calibri" w:hAnsi="Times New Roman" w:cs="Times New Roman"/>
          <w:b/>
          <w:bCs/>
          <w:sz w:val="24"/>
          <w:szCs w:val="24"/>
        </w:rPr>
        <w:t>Palavras-Chave</w:t>
      </w:r>
      <w:r w:rsidRPr="008253AC">
        <w:rPr>
          <w:rFonts w:ascii="Times New Roman" w:eastAsia="Calibri" w:hAnsi="Times New Roman" w:cs="Times New Roman"/>
          <w:sz w:val="24"/>
          <w:szCs w:val="24"/>
        </w:rPr>
        <w:t xml:space="preserve">: manifestações políticas, ocupações, greves, revoltas, insurgências, teoria das ruas. </w:t>
      </w:r>
    </w:p>
    <w:p w14:paraId="56EDEE0A" w14:textId="77777777" w:rsidR="008253AC" w:rsidRPr="008253AC" w:rsidRDefault="008253AC" w:rsidP="008253AC">
      <w:pPr>
        <w:spacing w:after="200" w:line="360" w:lineRule="auto"/>
        <w:rPr>
          <w:rFonts w:ascii="Times New Roman" w:eastAsia="Calibri" w:hAnsi="Times New Roman" w:cs="Times New Roman"/>
          <w:b/>
          <w:sz w:val="24"/>
          <w:szCs w:val="24"/>
          <w:lang w:val="en-US"/>
        </w:rPr>
      </w:pPr>
      <w:r w:rsidRPr="008253AC">
        <w:rPr>
          <w:rFonts w:ascii="Times New Roman" w:eastAsia="Calibri" w:hAnsi="Times New Roman" w:cs="Times New Roman"/>
          <w:b/>
          <w:sz w:val="24"/>
          <w:szCs w:val="24"/>
          <w:lang w:val="en-US"/>
        </w:rPr>
        <w:t>S</w:t>
      </w:r>
      <w:r w:rsidR="00EF3D18">
        <w:rPr>
          <w:rFonts w:ascii="Times New Roman" w:eastAsia="Calibri" w:hAnsi="Times New Roman" w:cs="Times New Roman"/>
          <w:b/>
          <w:sz w:val="24"/>
          <w:szCs w:val="24"/>
          <w:lang w:val="en-US"/>
        </w:rPr>
        <w:t xml:space="preserve">treet </w:t>
      </w:r>
      <w:proofErr w:type="gramStart"/>
      <w:r w:rsidR="00EF3D18">
        <w:rPr>
          <w:rFonts w:ascii="Times New Roman" w:eastAsia="Calibri" w:hAnsi="Times New Roman" w:cs="Times New Roman"/>
          <w:b/>
          <w:sz w:val="24"/>
          <w:szCs w:val="24"/>
          <w:lang w:val="en-US"/>
        </w:rPr>
        <w:t>Theory :</w:t>
      </w:r>
      <w:proofErr w:type="gramEnd"/>
      <w:r w:rsidR="00EF3D18">
        <w:rPr>
          <w:rFonts w:ascii="Times New Roman" w:eastAsia="Calibri" w:hAnsi="Times New Roman" w:cs="Times New Roman"/>
          <w:b/>
          <w:sz w:val="24"/>
          <w:szCs w:val="24"/>
          <w:lang w:val="en-US"/>
        </w:rPr>
        <w:t xml:space="preserve"> An analyze of a </w:t>
      </w:r>
      <w:r w:rsidR="002150E8">
        <w:rPr>
          <w:rFonts w:ascii="Times New Roman" w:eastAsia="Calibri" w:hAnsi="Times New Roman" w:cs="Times New Roman"/>
          <w:b/>
          <w:sz w:val="24"/>
          <w:szCs w:val="24"/>
          <w:lang w:val="en-US"/>
        </w:rPr>
        <w:t>W</w:t>
      </w:r>
      <w:r w:rsidR="00EF3D18">
        <w:rPr>
          <w:rFonts w:ascii="Times New Roman" w:eastAsia="Calibri" w:hAnsi="Times New Roman" w:cs="Times New Roman"/>
          <w:b/>
          <w:sz w:val="24"/>
          <w:szCs w:val="24"/>
          <w:lang w:val="en-US"/>
        </w:rPr>
        <w:t xml:space="preserve">orld in </w:t>
      </w:r>
      <w:r w:rsidR="002150E8">
        <w:rPr>
          <w:rFonts w:ascii="Times New Roman" w:eastAsia="Calibri" w:hAnsi="Times New Roman" w:cs="Times New Roman"/>
          <w:b/>
          <w:sz w:val="24"/>
          <w:szCs w:val="24"/>
          <w:lang w:val="en-US"/>
        </w:rPr>
        <w:t>F</w:t>
      </w:r>
      <w:r w:rsidR="00EF3D18">
        <w:rPr>
          <w:rFonts w:ascii="Times New Roman" w:eastAsia="Calibri" w:hAnsi="Times New Roman" w:cs="Times New Roman"/>
          <w:b/>
          <w:sz w:val="24"/>
          <w:szCs w:val="24"/>
          <w:lang w:val="en-US"/>
        </w:rPr>
        <w:t>lames</w:t>
      </w:r>
    </w:p>
    <w:p w14:paraId="00D1CCAB" w14:textId="77777777" w:rsidR="008253AC" w:rsidRPr="008253AC" w:rsidRDefault="008253AC" w:rsidP="008253AC">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lastRenderedPageBreak/>
        <w:t>Abstract</w:t>
      </w:r>
      <w:r w:rsidRPr="008253AC">
        <w:rPr>
          <w:rFonts w:ascii="Times New Roman" w:eastAsia="Calibri" w:hAnsi="Times New Roman" w:cs="Times New Roman"/>
          <w:sz w:val="24"/>
          <w:szCs w:val="24"/>
          <w:lang w:val="en-US"/>
        </w:rPr>
        <w:t xml:space="preserve">: This article aims to historicize and theorize based on the theoretical lens of libertarian political and philosophical thought, a series of strikes, protests, popular revolts and occupations that make up in our thesis a set of events ignored, despised, delegitimized by academia throughout history. When these movements receive some attention, they are treated in isolation, what makes the holistic analyze difficult, which is the purpose of this article. The events already commented, which have been happening since the Industrial Revolution and have progressed to our daily lives in different parts of the globe, shows the necessity of understand the existence of street theory, at a time when the marxist proposals to constitute a theory for the streets are widely questioned. </w:t>
      </w:r>
    </w:p>
    <w:p w14:paraId="5244EA29" w14:textId="38D800F6" w:rsidR="008C7806" w:rsidRPr="008253AC" w:rsidRDefault="008253AC" w:rsidP="008253AC">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t>Keywords</w:t>
      </w:r>
      <w:r w:rsidRPr="008253AC">
        <w:rPr>
          <w:rFonts w:ascii="Times New Roman" w:eastAsia="Calibri" w:hAnsi="Times New Roman" w:cs="Times New Roman"/>
          <w:sz w:val="24"/>
          <w:szCs w:val="24"/>
          <w:lang w:val="en-US"/>
        </w:rPr>
        <w:t>: political demonstrations, occupations, strikes, uprisings, insurgencies, street theory.</w:t>
      </w:r>
    </w:p>
    <w:p w14:paraId="61B1D50B" w14:textId="77777777" w:rsidR="008253AC" w:rsidRPr="008253AC" w:rsidRDefault="008253AC" w:rsidP="008253AC">
      <w:pPr>
        <w:spacing w:after="200" w:line="360" w:lineRule="auto"/>
        <w:jc w:val="both"/>
        <w:rPr>
          <w:rFonts w:ascii="Times New Roman" w:eastAsia="Calibri" w:hAnsi="Times New Roman" w:cs="Times New Roman"/>
          <w:b/>
          <w:sz w:val="24"/>
          <w:szCs w:val="24"/>
        </w:rPr>
      </w:pPr>
      <w:r w:rsidRPr="008253AC">
        <w:rPr>
          <w:rFonts w:ascii="Times New Roman" w:eastAsia="Calibri" w:hAnsi="Times New Roman" w:cs="Times New Roman"/>
          <w:b/>
          <w:sz w:val="24"/>
          <w:szCs w:val="24"/>
        </w:rPr>
        <w:t>I</w:t>
      </w:r>
      <w:r w:rsidR="001675AF">
        <w:rPr>
          <w:rFonts w:ascii="Times New Roman" w:eastAsia="Calibri" w:hAnsi="Times New Roman" w:cs="Times New Roman"/>
          <w:b/>
          <w:sz w:val="24"/>
          <w:szCs w:val="24"/>
        </w:rPr>
        <w:t>ntrodução</w:t>
      </w:r>
    </w:p>
    <w:p w14:paraId="7E46E7EA"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Ao longo da </w:t>
      </w:r>
      <w:proofErr w:type="gramStart"/>
      <w:r w:rsidRPr="008253AC">
        <w:rPr>
          <w:rFonts w:ascii="Times New Roman" w:eastAsia="Calibri" w:hAnsi="Times New Roman" w:cs="Times New Roman"/>
          <w:sz w:val="24"/>
          <w:szCs w:val="24"/>
        </w:rPr>
        <w:t>história da humanidade</w:t>
      </w:r>
      <w:proofErr w:type="gramEnd"/>
      <w:r w:rsidRPr="008253AC">
        <w:rPr>
          <w:rFonts w:ascii="Times New Roman" w:eastAsia="Calibri" w:hAnsi="Times New Roman" w:cs="Times New Roman"/>
          <w:sz w:val="24"/>
          <w:szCs w:val="24"/>
        </w:rPr>
        <w:t xml:space="preserve">, diversos episódios se destacaram por provocar, em diversos momentos, verdadeiras rupturas no sistema político institucional, que sempre privilegiou as elites. Rebeliões, revoltas, insurreições, levantes e outras denominações, que buscam combater as diversas formas de opressão e que subvertem o </w:t>
      </w:r>
      <w:r w:rsidRPr="008253AC">
        <w:rPr>
          <w:rFonts w:ascii="Times New Roman" w:eastAsia="Calibri" w:hAnsi="Times New Roman" w:cs="Times New Roman"/>
          <w:i/>
          <w:iCs/>
          <w:sz w:val="24"/>
          <w:szCs w:val="24"/>
        </w:rPr>
        <w:t>status quo,</w:t>
      </w:r>
      <w:r w:rsidRPr="008253AC">
        <w:rPr>
          <w:rFonts w:ascii="Times New Roman" w:eastAsia="Calibri" w:hAnsi="Times New Roman" w:cs="Times New Roman"/>
          <w:sz w:val="24"/>
          <w:szCs w:val="24"/>
        </w:rPr>
        <w:t xml:space="preserve"> nos imputam repensá-los a partir de uma perspectiva crítica. </w:t>
      </w:r>
    </w:p>
    <w:p w14:paraId="013BE729" w14:textId="77777777" w:rsid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Este artigo faz uma análise de fenômenos sociais e políticos desde o fim do século XIX até o presente momento a partir da ótica filosófica anarquista. Tentaremos aprofundar, a partir dessa perspectiva, alguns conceitos como Estadolatria, Ordem/Desordem, Propaganda pelo fato e Ação direta, para, enfim, levantar a hipótese da existência de uma teoria: a “Teoria das Ruas”, desenvolvida por (Moraes, 2018b) que permeariam cada um desses eventos. </w:t>
      </w:r>
    </w:p>
    <w:p w14:paraId="721FB9C7" w14:textId="77777777" w:rsidR="001675AF" w:rsidRPr="008253AC" w:rsidRDefault="001675AF" w:rsidP="000D3779">
      <w:pPr>
        <w:spacing w:after="0" w:line="360" w:lineRule="auto"/>
        <w:ind w:firstLine="708"/>
        <w:jc w:val="both"/>
        <w:rPr>
          <w:rFonts w:ascii="Times New Roman" w:eastAsia="Calibri" w:hAnsi="Times New Roman" w:cs="Times New Roman"/>
          <w:sz w:val="24"/>
          <w:szCs w:val="24"/>
        </w:rPr>
      </w:pPr>
    </w:p>
    <w:p w14:paraId="4626F5BD" w14:textId="77777777" w:rsidR="008253AC" w:rsidRDefault="008253AC" w:rsidP="000D3779">
      <w:pPr>
        <w:spacing w:after="0" w:line="360" w:lineRule="auto"/>
        <w:jc w:val="both"/>
        <w:rPr>
          <w:rFonts w:ascii="Times New Roman" w:eastAsia="Calibri" w:hAnsi="Times New Roman" w:cs="Times New Roman"/>
          <w:b/>
          <w:bCs/>
          <w:sz w:val="24"/>
          <w:szCs w:val="24"/>
        </w:rPr>
      </w:pPr>
      <w:r w:rsidRPr="008253AC">
        <w:rPr>
          <w:rFonts w:ascii="Times New Roman" w:eastAsia="Calibri" w:hAnsi="Times New Roman" w:cs="Times New Roman"/>
          <w:b/>
          <w:bCs/>
          <w:sz w:val="24"/>
          <w:szCs w:val="24"/>
        </w:rPr>
        <w:t>S</w:t>
      </w:r>
      <w:r w:rsidR="001675AF">
        <w:rPr>
          <w:rFonts w:ascii="Times New Roman" w:eastAsia="Calibri" w:hAnsi="Times New Roman" w:cs="Times New Roman"/>
          <w:b/>
          <w:bCs/>
          <w:sz w:val="24"/>
          <w:szCs w:val="24"/>
        </w:rPr>
        <w:t>obre os conceitos de Estadolatria, Ordem/Desordem e Ação Direta</w:t>
      </w:r>
    </w:p>
    <w:p w14:paraId="5FAE2EFF" w14:textId="77777777" w:rsidR="000D3779" w:rsidRPr="008253AC" w:rsidRDefault="000D3779" w:rsidP="000D3779">
      <w:pPr>
        <w:spacing w:after="0" w:line="360" w:lineRule="auto"/>
        <w:jc w:val="both"/>
        <w:rPr>
          <w:rFonts w:ascii="Times New Roman" w:eastAsia="Calibri" w:hAnsi="Times New Roman" w:cs="Times New Roman"/>
          <w:b/>
          <w:bCs/>
          <w:sz w:val="24"/>
          <w:szCs w:val="24"/>
        </w:rPr>
      </w:pPr>
    </w:p>
    <w:p w14:paraId="384DD696" w14:textId="1143FF4B" w:rsid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Diferentes espectros políticos, de conservadores a progressistas, de liberais a intervencionistas, defendem a manutenção do capitalismo, sustentados pela figura institucional do Estado. </w:t>
      </w:r>
      <w:r w:rsidRPr="008253AC">
        <w:rPr>
          <w:rFonts w:ascii="Times New Roman" w:eastAsia="Times New Roman" w:hAnsi="Times New Roman" w:cs="Times New Roman"/>
          <w:sz w:val="24"/>
          <w:szCs w:val="24"/>
        </w:rPr>
        <w:t xml:space="preserve">O Estado possui papel central tanto para Maynard Keynes quanto para Adam Smith, mas com diferentes níveis de intervenção. O primeiro defende que tal </w:t>
      </w:r>
      <w:r w:rsidRPr="008253AC">
        <w:rPr>
          <w:rFonts w:ascii="Times New Roman" w:eastAsia="Times New Roman" w:hAnsi="Times New Roman" w:cs="Times New Roman"/>
          <w:sz w:val="24"/>
          <w:szCs w:val="24"/>
        </w:rPr>
        <w:lastRenderedPageBreak/>
        <w:t>intervenção deve ser feita de maneira mais assídua, enquanto o segundo defende uma intercessão moderada.</w:t>
      </w:r>
      <w:r w:rsidRPr="008253AC">
        <w:rPr>
          <w:rFonts w:ascii="Times New Roman" w:eastAsia="Calibri" w:hAnsi="Times New Roman" w:cs="Times New Roman"/>
          <w:sz w:val="24"/>
          <w:szCs w:val="24"/>
        </w:rPr>
        <w:t xml:space="preserve"> Em sua versão máxima, Karl Marx propõe um modelo de gestão que, apesar de rescindir com o modelo capitalista, não avança de forma imediata e direta em direção a sua extinção, como é proposto pelos libertários. Em suma, preservam a que reforça a Estadolatria, ou seja, a adoração ao Estado Nacional moderno (Moraes, 2018a). </w:t>
      </w:r>
    </w:p>
    <w:p w14:paraId="78A592BF" w14:textId="77777777" w:rsidR="002220E8" w:rsidRPr="008253AC" w:rsidRDefault="002220E8" w:rsidP="000D3779">
      <w:pPr>
        <w:spacing w:after="0" w:line="360" w:lineRule="auto"/>
        <w:jc w:val="both"/>
        <w:rPr>
          <w:rFonts w:ascii="Times New Roman" w:eastAsia="Calibri" w:hAnsi="Times New Roman" w:cs="Times New Roman"/>
          <w:sz w:val="24"/>
          <w:szCs w:val="24"/>
        </w:rPr>
      </w:pPr>
    </w:p>
    <w:p w14:paraId="1D2E0C31"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Nossa concepção de Estadolatria é absolutamente diferente da utilizada pelo pensamento ultraliberal que defende o Estado mínimo exclusivamente para garantir a propriedade, o patrimônio e o lucro dos proprietários. Essa concepção não aponta para o fim do Estado, mas apenas para um direcionamento de suas funções, com vistas a garantir o pleno funcionamento da economia capitalista, sem possibilidade de qualquer papel mais generoso para os governados. </w:t>
      </w:r>
    </w:p>
    <w:p w14:paraId="0A966329" w14:textId="02FB9390" w:rsid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Assim, só o pensamento anarquista pode estabelecer a crítica ao Estado enquanto instituição de coerção, de controle, de autoridade, que atenta contra a liberdade dos governados, opondo-se, frontalmente, à tradição da Estadolatria. Nos nossos termos, essa categoria funciona como uma camisa de força, que propõe reflexões teóricas limitadas a uma conformação coercitiva, centralizadora, sem nenhuma esperança de superação da dicotomia que se estabelece entre governantes e governados (Moraes, 2018a: 38-39).</w:t>
      </w:r>
    </w:p>
    <w:p w14:paraId="0858BDA1" w14:textId="77777777" w:rsidR="002220E8" w:rsidRPr="008253AC" w:rsidRDefault="002220E8" w:rsidP="000D3779">
      <w:pPr>
        <w:spacing w:after="0" w:line="240" w:lineRule="auto"/>
        <w:ind w:left="2268"/>
        <w:jc w:val="both"/>
        <w:rPr>
          <w:rFonts w:ascii="Times New Roman" w:eastAsia="Calibri" w:hAnsi="Times New Roman" w:cs="Times New Roman"/>
        </w:rPr>
      </w:pPr>
    </w:p>
    <w:p w14:paraId="4666C794" w14:textId="77777777" w:rsidR="008253AC" w:rsidRPr="008253AC" w:rsidRDefault="008253AC" w:rsidP="000D3779">
      <w:pPr>
        <w:spacing w:after="0" w:line="240" w:lineRule="auto"/>
        <w:jc w:val="both"/>
        <w:rPr>
          <w:rFonts w:ascii="Times New Roman" w:eastAsia="Calibri" w:hAnsi="Times New Roman" w:cs="Times New Roman"/>
        </w:rPr>
      </w:pPr>
      <w:r w:rsidRPr="008253AC">
        <w:rPr>
          <w:rFonts w:ascii="Times New Roman" w:eastAsia="Calibri" w:hAnsi="Times New Roman" w:cs="Times New Roman"/>
        </w:rPr>
        <w:t xml:space="preserve"> </w:t>
      </w:r>
    </w:p>
    <w:p w14:paraId="70034EA1"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Neste sentido, quando os governados se rebelam são imediatamente acusados de causarem desordem ao sistema político e social vigentes. Constituem-se como uma ameaça ao </w:t>
      </w:r>
      <w:r w:rsidRPr="008253AC">
        <w:rPr>
          <w:rFonts w:ascii="Times New Roman" w:eastAsia="Calibri" w:hAnsi="Times New Roman" w:cs="Times New Roman"/>
          <w:i/>
          <w:iCs/>
          <w:sz w:val="24"/>
          <w:szCs w:val="24"/>
        </w:rPr>
        <w:t xml:space="preserve">establishment </w:t>
      </w:r>
      <w:r w:rsidRPr="008253AC">
        <w:rPr>
          <w:rFonts w:ascii="Times New Roman" w:eastAsia="Calibri" w:hAnsi="Times New Roman" w:cs="Times New Roman"/>
          <w:sz w:val="24"/>
          <w:szCs w:val="24"/>
        </w:rPr>
        <w:t xml:space="preserve">e são imediatamente acusados de provocarem desordem, caos, balburdia, vandalismo ou terrorismo em casos mais extremos (Magalhães, 2017). </w:t>
      </w:r>
    </w:p>
    <w:p w14:paraId="49EC7CD6"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em nome da suposta retomada da ordem, o Estado apela às suas forças de repressão a fim de garantir sua retomada ao controle sobre as vidas, as mentes e os corpos das pessoas, buscando acabar com o que é chamado de desordem pelo </w:t>
      </w:r>
      <w:r w:rsidRPr="008253AC">
        <w:rPr>
          <w:rFonts w:ascii="Times New Roman" w:eastAsia="Calibri" w:hAnsi="Times New Roman" w:cs="Times New Roman"/>
          <w:i/>
          <w:iCs/>
          <w:sz w:val="24"/>
          <w:szCs w:val="24"/>
        </w:rPr>
        <w:t>establishment.</w:t>
      </w:r>
      <w:r w:rsidRPr="008253AC">
        <w:rPr>
          <w:rFonts w:ascii="Times New Roman" w:eastAsia="Calibri" w:hAnsi="Times New Roman" w:cs="Times New Roman"/>
          <w:sz w:val="24"/>
          <w:szCs w:val="24"/>
        </w:rPr>
        <w:t xml:space="preserve"> Consideramos</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importante referendar o que significa Ordem/Desordem para além das perspectivas filosóficas </w:t>
      </w:r>
      <w:r w:rsidRPr="008253AC">
        <w:rPr>
          <w:rFonts w:ascii="Times New Roman" w:eastAsia="Times New Roman" w:hAnsi="Times New Roman" w:cs="Times New Roman"/>
          <w:sz w:val="24"/>
          <w:szCs w:val="24"/>
        </w:rPr>
        <w:t>estadolátricas</w:t>
      </w:r>
      <w:r w:rsidRPr="008253AC">
        <w:rPr>
          <w:rFonts w:ascii="Times New Roman" w:eastAsia="Calibri" w:hAnsi="Times New Roman" w:cs="Times New Roman"/>
          <w:sz w:val="24"/>
          <w:szCs w:val="24"/>
        </w:rPr>
        <w:t xml:space="preserve"> e abarcar a inversão semântica proposta no seio do pensamento anarquista.</w:t>
      </w:r>
    </w:p>
    <w:p w14:paraId="01ACE8D3" w14:textId="34BAFAF1" w:rsidR="002220E8" w:rsidRPr="008253AC" w:rsidRDefault="008253AC" w:rsidP="000D3779">
      <w:pPr>
        <w:spacing w:after="0" w:line="360" w:lineRule="auto"/>
        <w:jc w:val="both"/>
        <w:rPr>
          <w:rFonts w:ascii="Times New Roman" w:eastAsia="Calibri" w:hAnsi="Times New Roman" w:cs="Arial"/>
          <w:sz w:val="24"/>
          <w:szCs w:val="24"/>
        </w:rPr>
      </w:pPr>
      <w:r w:rsidRPr="008253AC">
        <w:rPr>
          <w:rFonts w:ascii="Times New Roman" w:eastAsia="Calibri" w:hAnsi="Times New Roman" w:cs="Times New Roman"/>
          <w:sz w:val="24"/>
          <w:szCs w:val="24"/>
        </w:rPr>
        <w:tab/>
        <w:t xml:space="preserve">Podemos observar, nas palavras de </w:t>
      </w:r>
      <w:r w:rsidRPr="008253AC">
        <w:rPr>
          <w:rFonts w:ascii="Times New Roman" w:eastAsia="Calibri" w:hAnsi="Times New Roman" w:cs="Times New Roman"/>
        </w:rPr>
        <w:t>Kropotkin,</w:t>
      </w:r>
      <w:r w:rsidRPr="008253AC">
        <w:rPr>
          <w:rFonts w:ascii="Times New Roman" w:eastAsia="Calibri" w:hAnsi="Times New Roman" w:cs="Arial"/>
          <w:sz w:val="24"/>
          <w:szCs w:val="24"/>
        </w:rPr>
        <w:t xml:space="preserve"> uma análise social a partir da oposição Ordem/Desordem da seguinte forma:</w:t>
      </w:r>
    </w:p>
    <w:p w14:paraId="49BE35C0"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 a ordem é a miséria, a fome, tornadas estado normal da sociedade (...) A ordem é a mulher que se vende para alimentar seus filhos (...) é o operário reduzido ao estado de máquina. (...) A ordem é uma minoria ínfima, educada nas cátedras governamentais, que se impõe por esta razão à maioria, e que prepara seus filhos mais tarde para ocupar as </w:t>
      </w:r>
      <w:r w:rsidRPr="008253AC">
        <w:rPr>
          <w:rFonts w:ascii="Times New Roman" w:eastAsia="Calibri" w:hAnsi="Times New Roman" w:cs="Times New Roman"/>
        </w:rPr>
        <w:lastRenderedPageBreak/>
        <w:t xml:space="preserve">mesmas funções, a fim de </w:t>
      </w:r>
      <w:proofErr w:type="gramStart"/>
      <w:r w:rsidRPr="008253AC">
        <w:rPr>
          <w:rFonts w:ascii="Times New Roman" w:eastAsia="Calibri" w:hAnsi="Times New Roman" w:cs="Times New Roman"/>
        </w:rPr>
        <w:t>manter os mesmos</w:t>
      </w:r>
      <w:proofErr w:type="gramEnd"/>
      <w:r w:rsidRPr="008253AC">
        <w:rPr>
          <w:rFonts w:ascii="Times New Roman" w:eastAsia="Calibri" w:hAnsi="Times New Roman" w:cs="Times New Roman"/>
        </w:rPr>
        <w:t xml:space="preserve"> privilégios, pela astúcia, pela corrupção, pela força, pelo massacre.</w:t>
      </w:r>
    </w:p>
    <w:p w14:paraId="2120EF94"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E a desordem – o que eles chamam de desordem? (...) É a revolta do pensamento às vésperas das revoluções; é a derrubada das hipóteses sancionadas pela imobilidade dos séculos precedentes; é a eclosão de todo um fluxo de novas ideias, de invenções audaciosas, é a solução dos problemas da ciência. (...) A desordem – o que eles denominam desordem – são as épocas durante as quais gerações inteiras mantêm uma luta incessante e se sacrificam para preparar uma existência melhor para a humanidade, livrando-a das servidões do passado. São as épocas durante as quais o gênio popular toma seu livre impulso e dá, em alguns anos, passos gigantescos, sem os quais o homem teria permanecido no estado de escravidão antiga, de ser rastejante aviltado na miséria. (...) A desordem é a eclosão das mais belas paixões e das maiores dedicações, é a epopeia do supremo amor pela humanidade!</w:t>
      </w:r>
    </w:p>
    <w:p w14:paraId="0793B8AA"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palavra anarquia, implicando a negação desta ordem e invocando a lembrança dos mais belos momentos da vida dos povos, não foi bem escolhida para um partido que caminha para a conquista de um futuro melhor? </w:t>
      </w:r>
      <w:r w:rsidRPr="008253AC">
        <w:rPr>
          <w:rFonts w:ascii="Times New Roman" w:eastAsia="Calibri" w:hAnsi="Times New Roman" w:cs="Arial"/>
        </w:rPr>
        <w:t>(</w:t>
      </w:r>
      <w:r w:rsidRPr="008253AC">
        <w:rPr>
          <w:rFonts w:ascii="Times New Roman" w:eastAsia="Calibri" w:hAnsi="Times New Roman" w:cs="Times New Roman"/>
        </w:rPr>
        <w:t>Kropotkin, 2005: 88-89).</w:t>
      </w:r>
    </w:p>
    <w:p w14:paraId="49201891"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p>
    <w:p w14:paraId="6F5B3F1A"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militante anarquista, filósofo e pensador russo </w:t>
      </w:r>
      <w:r w:rsidRPr="008253AC">
        <w:rPr>
          <w:rFonts w:ascii="Times New Roman" w:eastAsia="Calibri" w:hAnsi="Times New Roman" w:cs="Times New Roman"/>
          <w:sz w:val="24"/>
          <w:szCs w:val="24"/>
          <w:shd w:val="clear" w:color="auto" w:fill="FFFFFF"/>
        </w:rPr>
        <w:t xml:space="preserve">Mikhail </w:t>
      </w:r>
      <w:r w:rsidRPr="008253AC">
        <w:rPr>
          <w:rFonts w:ascii="Times New Roman" w:eastAsia="Calibri" w:hAnsi="Times New Roman" w:cs="Times New Roman"/>
          <w:sz w:val="24"/>
          <w:szCs w:val="24"/>
        </w:rPr>
        <w:t>Bakunin se posiciona sobre a mesma dicotomia apontando que “na natureza e na sociedade, a ordem sem luta é a morte” (Bakunin, 2008: 132). Grande defensor da liberdade coletiva e construída, podemos interpretar que essa “ordem” social imposta de cima para baixo, ou seja, vindas das instituições do Estado e seus representantes – representam um cerceamento da prática e da filosofia anarquista. A ordem aqui equivale ao pensamento individualista, capitalista e à defesa do Estado.</w:t>
      </w:r>
    </w:p>
    <w:p w14:paraId="1E5BF5EC" w14:textId="28753D3C" w:rsidR="002220E8" w:rsidRPr="002220E8" w:rsidRDefault="008253AC" w:rsidP="002220E8">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Já a desordem pode ser entendida como uma busca incessante pela liberdade, sendo essa sempre vinculada à</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igualdade, como o próprio Bakunin diz:</w:t>
      </w:r>
    </w:p>
    <w:p w14:paraId="3B410A29"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liberdade de todos, longe de ser um limite da minha, como sustentam os individualistas, é, ao contrário, sua confirmação, sua realização e sua extensão infinita. Desejar a liberdade e a dignidade humana de todos os Homens, ver e sentir minha liberdade confirmada, sancionada, infinitamente ampliada pelo assentimento de todos, eis a felicidade, o paraíso humano sobre a terra.</w:t>
      </w:r>
    </w:p>
    <w:p w14:paraId="492FA5C1"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Mas essa liberdade só é possível na igualdade. Se há um ser humano mais livre do que eu, torno-me forçosamente seu escravo; se o sou mais que ele, ele não será o meu. Assim, a igualdade é uma condição absolutamente necessária da liberdade (Bakunin, 2008: 77).</w:t>
      </w:r>
    </w:p>
    <w:p w14:paraId="43F6B54E"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p>
    <w:p w14:paraId="6A964328"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Para avançarmos pelo viés de uma é fundamental salientar que existem outras formas de se organizações políticas que transcendem os limites das instituições do Estado </w:t>
      </w:r>
      <w:r w:rsidRPr="008253AC">
        <w:rPr>
          <w:rFonts w:ascii="Times New Roman" w:eastAsia="Calibri" w:hAnsi="Times New Roman" w:cs="Times New Roman"/>
          <w:sz w:val="24"/>
          <w:szCs w:val="24"/>
        </w:rPr>
        <w:lastRenderedPageBreak/>
        <w:t xml:space="preserve">e do sistema capitalista. A equiparação entre liberdade e igualdade é um princípio central no pensamento e ação de qualquer forma de atuar no sentido libertário político-filosófico. </w:t>
      </w:r>
    </w:p>
    <w:p w14:paraId="27C2DE23" w14:textId="72B86E88" w:rsidR="002220E8" w:rsidRPr="008253AC" w:rsidRDefault="008253AC" w:rsidP="002220E8">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Logo, a Ordem/Desordem definidas por Kropotkin e Bakunin questionam e trazem reflexões pautadas na incessante busca em combater o Estado e o capitalismo. Avançando sobre esta dicotomia, (Moraes, 2018b) reforça que</w:t>
      </w:r>
    </w:p>
    <w:p w14:paraId="5B7A89E7"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ordem é a criminalização da luta e da ação direta, tanto dos quilombos como dos insurgentes de 2013, enfim, em todo lugar e em qualquer tempo.</w:t>
      </w:r>
    </w:p>
    <w:p w14:paraId="070955C9"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desordem, bem como o anarquismo, significa o extremo oposto: o incentivo de toda luta, toda ação direta, toda revolta contra a ordem ignóbil.</w:t>
      </w:r>
    </w:p>
    <w:p w14:paraId="0C2CC4F5"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Trata-se da extrema valorização da insurgência, da luta direta contra as hierarquias, autoridades, desigualdades, explorações, escravidões, sexismos e racismos (Moraes, 2018b: 94).</w:t>
      </w:r>
    </w:p>
    <w:p w14:paraId="2C8CA2AD" w14:textId="77777777" w:rsidR="008253AC" w:rsidRPr="008253AC" w:rsidRDefault="008253AC" w:rsidP="000D3779">
      <w:pPr>
        <w:spacing w:after="0" w:line="240" w:lineRule="auto"/>
        <w:jc w:val="both"/>
        <w:rPr>
          <w:rFonts w:ascii="Times New Roman" w:eastAsia="Calibri" w:hAnsi="Times New Roman" w:cs="Times New Roman"/>
        </w:rPr>
      </w:pPr>
    </w:p>
    <w:p w14:paraId="2A499F1D"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Em meio a essa construção teórica entendemos que é preciso conceituar algumas táticas que dialogam diretamente com ações e práticas políticas próximas aos ideais libertários ao longo da história. Dentre os postulados teóricos, destacaremos os conceitos de ação direta e da autogestão. </w:t>
      </w:r>
    </w:p>
    <w:p w14:paraId="6569F453"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Silvio Gallo (2007) conceitua ação direta como um paradigma anarquista. O autor indaga que</w:t>
      </w:r>
    </w:p>
    <w:p w14:paraId="2CCEF75C" w14:textId="77777777" w:rsid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ação direta anarquista traduz-se principalmente nas atividades de propagandas e educação, destinadas a despertar nas massas a consciência das contradições sociais a que estão submetidas, fazendo com que o desejo e a consciência da necessidade da revolução surjam em cada um dos indivíduos. Pode-se dizer que a principal fonte da ação direta foi o da propaganda, através dos jornais e revistas, assim como da literatura e do teatro (Gallo, 2007: 21). </w:t>
      </w:r>
    </w:p>
    <w:p w14:paraId="1AF44AC8" w14:textId="77777777" w:rsidR="00F55284" w:rsidRPr="007925E5" w:rsidRDefault="00F55284" w:rsidP="000D3779">
      <w:pPr>
        <w:spacing w:after="0" w:line="240" w:lineRule="auto"/>
        <w:ind w:left="2268"/>
        <w:jc w:val="both"/>
        <w:rPr>
          <w:rFonts w:ascii="Times New Roman" w:eastAsia="Calibri" w:hAnsi="Times New Roman" w:cs="Times New Roman"/>
        </w:rPr>
      </w:pPr>
    </w:p>
    <w:p w14:paraId="28E5A3A3"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b/>
          <w:sz w:val="24"/>
          <w:szCs w:val="24"/>
        </w:rPr>
        <w:tab/>
      </w:r>
      <w:r w:rsidRPr="008253AC">
        <w:rPr>
          <w:rFonts w:ascii="Times New Roman" w:eastAsia="Calibri" w:hAnsi="Times New Roman" w:cs="Times New Roman"/>
          <w:sz w:val="24"/>
          <w:szCs w:val="24"/>
        </w:rPr>
        <w:t>Ação direta, portanto, trata-se de um conceito e prática ao longo da história que não é exclusiva de quem reivindica a política anarquista, mas que possui relação intrínseca com quem costuma construir tal filosofia política no cotidiano. Nosso intuito é elencar algumas referências teóricas que embasam o conceito, a prática e fatos históricos que demonstram o quanto os eventos de insurgência contemporâneos não são fatos isolados enquanto modo de pensar, agir e reivindicar politicamente.</w:t>
      </w:r>
    </w:p>
    <w:p w14:paraId="573C89FE" w14:textId="4886AB84" w:rsidR="002220E8"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Segundo Silva, </w:t>
      </w:r>
    </w:p>
    <w:p w14:paraId="424EF631"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conceito de ação direta apareceu por escrito pela primeira vez no Congresso de Amiens (1906): “a ação econômica deve-se exercer diretamente contra o patronato”. O termo, no entanto, já era usado no contexto do movimento sindicalista francês na década de 1890, </w:t>
      </w:r>
      <w:r w:rsidRPr="008253AC">
        <w:rPr>
          <w:rFonts w:ascii="Times New Roman" w:eastAsia="Calibri" w:hAnsi="Times New Roman" w:cs="Times New Roman"/>
        </w:rPr>
        <w:lastRenderedPageBreak/>
        <w:t xml:space="preserve">resumindo-se a “ação industrial”, como “greves, boicotes e sabotagens” (Silva, 2018: 193). </w:t>
      </w:r>
    </w:p>
    <w:p w14:paraId="6A477C75" w14:textId="77777777" w:rsidR="008253AC" w:rsidRPr="008253AC" w:rsidRDefault="008253AC" w:rsidP="000D3779">
      <w:pPr>
        <w:spacing w:after="0" w:line="240" w:lineRule="auto"/>
        <w:ind w:left="2268"/>
        <w:jc w:val="both"/>
        <w:rPr>
          <w:rFonts w:ascii="Times New Roman" w:eastAsia="Calibri" w:hAnsi="Times New Roman" w:cs="Times New Roman"/>
        </w:rPr>
      </w:pPr>
    </w:p>
    <w:p w14:paraId="537E795B"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Ainda sobre esse episódio, segundo o sociólogo Gurvitich (1985), especialista no pensamento prodhoniano, a ação direta é concebida como uma recusa ao contato com a burguesia, com os partidos políticos e com o Estado de forma geral. A ação direta estaria assim muito ligada a uma concepção de autonomia muito presente no autor, significando greves e boicotes que construissem uma revolução. </w:t>
      </w:r>
    </w:p>
    <w:p w14:paraId="414B98E4" w14:textId="0C354583" w:rsidR="002220E8" w:rsidRPr="008253AC" w:rsidRDefault="008253AC" w:rsidP="002220E8">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 respeito dessa história o intelectual nos mostra que</w:t>
      </w:r>
    </w:p>
    <w:p w14:paraId="19A6F5E6" w14:textId="77777777" w:rsidR="008253AC" w:rsidRPr="008253AC" w:rsidRDefault="008253AC" w:rsidP="000D3779">
      <w:pPr>
        <w:spacing w:after="0" w:line="240" w:lineRule="auto"/>
        <w:ind w:left="2268"/>
        <w:jc w:val="both"/>
        <w:rPr>
          <w:rFonts w:ascii="Times New Roman" w:eastAsia="Calibri" w:hAnsi="Times New Roman" w:cs="Times New Roman"/>
          <w:position w:val="7"/>
        </w:rPr>
      </w:pPr>
      <w:r w:rsidRPr="008253AC">
        <w:rPr>
          <w:rFonts w:ascii="Times New Roman" w:eastAsia="Calibri" w:hAnsi="Times New Roman" w:cs="Times New Roman"/>
        </w:rPr>
        <w:t>O sindicalismo revolucionário aprova uma carta no Congresso de Amiens (1906). Recusando todo e qualquer contato com a burguesia, com o Estado e até com os partidos políticos, exortando à ação direta, à greve geral e a uma revolução permanente nas fábricas e no país, a carta de Amiens é aprovada por 830 votos a favor e 8 contra. O seu autor chama-se Griffuelhes; secretário geral da CGT foi o maior chefe do sindicalismo revolucionário como movimento real. Os dirigentes do sindicalismo revolucionário retiveram de Proudhon várias ideias, em especial a de que ‘a oficina fará desaparecer o governo, que a democracia industrial só pode ser instituída pelos próprios operários e, por fim, que, para a realizar é necessário uma ‘ação direta’ termo que eles inventaram, mas que prolonga a estratégia proudhoniana, sem tirar proveito da sua dialética. (Gurvitich, 1985: 65).</w:t>
      </w:r>
      <w:r w:rsidRPr="008253AC">
        <w:rPr>
          <w:rFonts w:ascii="Times New Roman" w:eastAsia="Calibri" w:hAnsi="Times New Roman" w:cs="Times New Roman"/>
          <w:sz w:val="16"/>
          <w:szCs w:val="16"/>
        </w:rPr>
        <w:t xml:space="preserve"> </w:t>
      </w:r>
      <w:r w:rsidRPr="008253AC">
        <w:rPr>
          <w:rFonts w:ascii="Times New Roman" w:eastAsia="Calibri" w:hAnsi="Times New Roman" w:cs="Times New Roman"/>
          <w:position w:val="7"/>
        </w:rPr>
        <w:t xml:space="preserve"> </w:t>
      </w:r>
    </w:p>
    <w:p w14:paraId="35343120" w14:textId="77777777" w:rsidR="008253AC" w:rsidRPr="008253AC" w:rsidRDefault="008253AC" w:rsidP="000D3779">
      <w:pPr>
        <w:spacing w:after="0" w:line="240" w:lineRule="auto"/>
        <w:ind w:left="2268"/>
        <w:jc w:val="both"/>
        <w:rPr>
          <w:rFonts w:ascii="Times New Roman" w:eastAsia="Calibri" w:hAnsi="Times New Roman" w:cs="Times New Roman"/>
        </w:rPr>
      </w:pPr>
    </w:p>
    <w:p w14:paraId="2E4D77C9"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Essa atuação permite dar voz a pessoas descrentes com as burocráticas e corruptas vias institucionais que desejam radicalizar sua contestação. Trata-se de um meio de alcançar melhorias de vida por parte dos governados na luta pela libertação plena. Dessa maneira, temos um afastamento do viés político tradicional pautado em representação política para uma atuação mais difundida, que observa suas conquistas como fruto, não de concessão de um político ou partido qualquer, mas sim de sua própria luta, em outras palavras, fruto da sua ação direta.</w:t>
      </w:r>
      <w:r w:rsidRPr="008253AC">
        <w:rPr>
          <w:rFonts w:ascii="Calibri" w:eastAsia="Calibri" w:hAnsi="Calibri" w:cs="Arial"/>
        </w:rPr>
        <w:t xml:space="preserve">  </w:t>
      </w:r>
    </w:p>
    <w:p w14:paraId="6CF927B8"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2D75A58C"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S</w:t>
      </w:r>
      <w:r w:rsidR="001675AF">
        <w:rPr>
          <w:rFonts w:ascii="Times New Roman" w:eastAsia="Times New Roman" w:hAnsi="Times New Roman" w:cs="Times New Roman"/>
          <w:b/>
          <w:sz w:val="24"/>
          <w:szCs w:val="24"/>
        </w:rPr>
        <w:t xml:space="preserve">obre o conceito de Autogestão </w:t>
      </w:r>
    </w:p>
    <w:p w14:paraId="155CAE53" w14:textId="77777777" w:rsidR="00F55284" w:rsidRDefault="00F55284" w:rsidP="00F55284">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1F985E0D" w14:textId="77777777" w:rsidR="008253AC" w:rsidRPr="008253AC" w:rsidRDefault="008253AC" w:rsidP="00F55284">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Além de estabelecermos o conceito e a prática da ação direta, acreditamos que precisamos delimitar a forma de organização que os anarquistas sempre buscaram instaurar ao longo da trajetória política em diversos locais e em diferentes momentos históricos. Segundo o autor Hughes Lenoir, em ambos os casos a lógica apresentada consiste na busca de algum nível de autonomia sobre si próprio por parte do indivíduo </w:t>
      </w:r>
      <w:r w:rsidRPr="008253AC">
        <w:rPr>
          <w:rFonts w:ascii="Times New Roman" w:eastAsia="Times New Roman" w:hAnsi="Times New Roman" w:cs="Times New Roman"/>
          <w:sz w:val="24"/>
          <w:szCs w:val="24"/>
        </w:rPr>
        <w:lastRenderedPageBreak/>
        <w:t xml:space="preserve">(Lenoir; 2017: 54). </w:t>
      </w:r>
    </w:p>
    <w:p w14:paraId="335CDF88" w14:textId="77777777" w:rsidR="008253AC" w:rsidRPr="008253AC" w:rsidRDefault="008253AC" w:rsidP="000D3779">
      <w:pPr>
        <w:keepNext/>
        <w:keepLines/>
        <w:spacing w:before="240" w:after="0" w:line="360" w:lineRule="auto"/>
        <w:ind w:firstLine="708"/>
        <w:outlineLvl w:val="0"/>
        <w:rPr>
          <w:rFonts w:ascii="Times New Roman" w:eastAsia="MS Gothic" w:hAnsi="Times New Roman" w:cs="Times New Roman"/>
          <w:color w:val="365F91"/>
          <w:sz w:val="24"/>
          <w:szCs w:val="24"/>
        </w:rPr>
      </w:pPr>
      <w:r w:rsidRPr="008253AC">
        <w:rPr>
          <w:rFonts w:ascii="Times New Roman" w:eastAsia="Times New Roman" w:hAnsi="Times New Roman" w:cs="Times New Roman"/>
          <w:sz w:val="24"/>
          <w:szCs w:val="24"/>
        </w:rPr>
        <w:t>O geógrafo Glauco Bruce Rodrigues entende que</w:t>
      </w:r>
      <w:r w:rsidRPr="008253AC">
        <w:rPr>
          <w:rFonts w:ascii="Times New Roman" w:eastAsia="MS Gothic" w:hAnsi="Times New Roman" w:cs="Times New Roman"/>
          <w:color w:val="365F91"/>
          <w:sz w:val="24"/>
          <w:szCs w:val="24"/>
        </w:rPr>
        <w:t xml:space="preserve"> </w:t>
      </w:r>
    </w:p>
    <w:p w14:paraId="0CF830D6"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O conceito de autogestão pode ser refletido a partir do que alguns autores do campo libertário que observaram empiricamente e interpretaram o pressuposto político, teórico e prático como uma forma de auto-organização que possui a capacidade de exercício de poder onde uma coletividade formula e institui para si suas próprias regras e possui a liberdade para alterá-las sempre que o coletivo julgar necessário, sem atribuir tais construções de leis e regras a estruturas como Deus, o Partido ou o Estado (RODRIGUES, 2012: 264).</w:t>
      </w:r>
    </w:p>
    <w:p w14:paraId="28763FB6"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5B76E4E9"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partir da visão do autor Cornelius Castoriadis, Glauco Bruce Rodrigues (2012) reforça que </w:t>
      </w:r>
    </w:p>
    <w:p w14:paraId="7B389688" w14:textId="77777777" w:rsidR="008253AC" w:rsidRPr="008253AC" w:rsidRDefault="008253AC" w:rsidP="000D3779">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A autogestão implica a possibilidade de participação direta e igualitária de qualquer membro da sociedade no processo de tomada de decisões (instituição de leis, normas, organização do trabalho, distribuição da riqueza, etc.) (...); prevê também o controle efetivo do processo de tomada de decisões pelos próprios envolvidos, em um ambiente protegido (mas não completamente desprovido) das relações heterônomas que cristalizam hierarquias divisões entre dirigente e dirigidos (Castoriadis, 1982, apud Rodrigues, 2012: 265).</w:t>
      </w:r>
    </w:p>
    <w:p w14:paraId="44F3E215"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r>
    </w:p>
    <w:p w14:paraId="5B351113"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Moraes (2018a) aprofunda e avança na interpretação de autogestão (ou autogoverno como o próprio escreve) dizendo que</w:t>
      </w:r>
    </w:p>
    <w:p w14:paraId="1DDCF0C1"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Ao mesmo tempo, os anarquistas acreditam no autogoverno ou autogestão. Se partimos da premissa segundo a qual devamos ser governados, logo entendemos que não temos capacidade de autogoverno. Com esta assertiva, está todo o fundamento da autoridade e da tutela contra a qual os anarquistas lutam. Toda forma de governo será sempre uma imposição de uns sobre outros, atentando contra a liberdade dos governados. Mesmo que o governo tenha boas intenções, ele sempre se sustentará na miragem de que os governados são incapazes de autogovernar-se e/ou necessitam de controle.</w:t>
      </w:r>
    </w:p>
    <w:p w14:paraId="400CD057"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No sentido oposto, os anarquistas defendem a livre associação entre os indivíduos para gerirem o produto de seu trabalho e todas as demais questões da sociedade em comunas livres, sem patrão, Estado, ou qualquer forma de opressão. Eles devem constituir-se pela livre associação entre os indivíduos. Ou seja, as pessoas escolhem aquelas com as quais querem associar-se e criar ou manter algum tipo de produção para a sociedade. A junção de diversas comunas comporá a federação. O anarquismo defende os fundamentos do federalismo como forma de organização social. Ademais, o preceito da autodeterminação dos povos é fundamental para a teoria anarquista e viabiliza a superação do capitalismo e suas formas de opressão (Moraes, 2018a: 34). </w:t>
      </w:r>
    </w:p>
    <w:p w14:paraId="46A1643C"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388F2857" w14:textId="77777777" w:rsidR="008253AC" w:rsidRPr="008253AC" w:rsidRDefault="008253AC" w:rsidP="000D3779">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É importante salientar que enquanto a ação direta é uma tática política – muitas vezes pontual- a autogestão complementa e se relaciona diretamente com tal prática. O oposto à Estadolatria é, portanto, o autogoverno, ou autogestão, em todos os sentidos da vida (Moraes, 2018a: 38-39). Ao refletirmos sobre uma teoria anarquista que busca interpretar os fenômenos sociais, políticos e históricos e empenha-se em construir outra filosofia de organização social, não há como dissertar sobre um conceito de forma isolada em uma análise libertária aprofundada. </w:t>
      </w:r>
    </w:p>
    <w:p w14:paraId="670B6393" w14:textId="77777777" w:rsidR="008253AC" w:rsidRPr="008253AC" w:rsidRDefault="008253AC" w:rsidP="000D3779">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seguir, relacionaremos o conceito de ação direta a alguns já mencionados e suas possíveis interpretações e aplicações ao longo de diversos fenômenos históricos desde o século XIX, passando por todo o século XX até chegar à contemporaneidade. </w:t>
      </w:r>
    </w:p>
    <w:p w14:paraId="3AF7F3AA"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554BA4DC" w14:textId="77777777" w:rsidR="000D3779" w:rsidRDefault="008253AC" w:rsidP="000D3779">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O</w:t>
      </w:r>
      <w:r w:rsidR="001675AF">
        <w:rPr>
          <w:rFonts w:ascii="Times New Roman" w:eastAsia="Times New Roman" w:hAnsi="Times New Roman" w:cs="Times New Roman"/>
          <w:b/>
          <w:sz w:val="24"/>
          <w:szCs w:val="24"/>
        </w:rPr>
        <w:t>cupações e outros exemplares de Ação Direta ao longo da História</w:t>
      </w:r>
      <w:r w:rsidR="000D3779">
        <w:rPr>
          <w:rFonts w:ascii="Times New Roman" w:eastAsia="Times New Roman" w:hAnsi="Times New Roman" w:cs="Times New Roman"/>
          <w:b/>
          <w:sz w:val="24"/>
          <w:szCs w:val="24"/>
        </w:rPr>
        <w:t xml:space="preserve"> </w:t>
      </w:r>
    </w:p>
    <w:p w14:paraId="52007F89" w14:textId="77777777" w:rsidR="000D3779" w:rsidRPr="008253AC" w:rsidRDefault="000D3779" w:rsidP="000D3779">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78298F05" w14:textId="77777777" w:rsidR="008253AC" w:rsidRPr="008253AC" w:rsidRDefault="008253AC" w:rsidP="000D3779">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Vale a pena ressaltar que a noção de ação direta não é, de forma alguma, uma novidade. O conjunto de transformações ocorridas no século XVIII e seus desdobramentos no século XIX marcaram intensamente a vida social, política, econômica e intelectual dos trabalhadores. O advento da Revolução Industrial trouxe consigo a substituição do trabalho artesanal pelo uso das máquinas, baixou o custo da produção, aumentou a produtividade e o desemprego. Enquanto a burguesia concentrava riqueza, o proletariado era submetido a jornadas de 14 ou até 16 horas diárias, trabalho infantil, feminino, sem direitos trabalhistas e com condições insalubres. </w:t>
      </w:r>
    </w:p>
    <w:p w14:paraId="6D60B45D" w14:textId="77777777" w:rsidR="008253AC" w:rsidRPr="008253AC" w:rsidRDefault="008253AC" w:rsidP="000D3779">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Diante desse cenário, é natural o surgimento de alguns movimentos de contestação, como o Ludismo. A constatação de que as máquinas substituiriam os postos de trabalho acarretando desemprego em massa, levou os trabalhadores a quebrarem o maquinário com as próprias mãos em uma estratégia de resistência ao capital e a exploração, formando o que podemos chamar de primeira prática de ação direta contra o capitalismo industrial. Além disso, outras formas de atuação também surgiram, como as greves.</w:t>
      </w:r>
    </w:p>
    <w:p w14:paraId="31F4563D"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Entendemos que toda reivindicação que se propõe a ocupar – de maneira coletiva e minimamente organizada por meio de pautas específicas ou gerais - espaços públicos, privados, praças e outros locais como forma de contestar a ordem estabelecida pelos governantes são exemplos tácitos de ações diretas. </w:t>
      </w:r>
    </w:p>
    <w:p w14:paraId="059D1EC8" w14:textId="77777777" w:rsidR="007925E5"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Procuramos resgatar nesse momento o método e a tática de ocupação como recurso político em diferentes contextos históricos, tais como as ocupações de fábricas na virada do século XIX e XX que lutavam por direitos e condições de trabalho dignas; os sovietes no processo da Revolução Russa e anterior a chegada dos bolcheviques em 1917; as ocupações de prédios, estabelecimentos e locais públicos durante a Guerra Civil Espanhola, na região da Catalunha; ocupações em universidades e fábricas na França ao longo do período conhecido como Maio de 1968;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ações diretas no episódio político  já citado conhecido como Ação Global dos Povos;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ocupações que se tornaram referências revolucionárias contemporâneas na região de Chiapas no México pelo Exército Zapatista de Libertação Nacional (EZLN) e a Revolução Curda</w:t>
      </w:r>
      <w:r w:rsidRPr="008253AC">
        <w:rPr>
          <w:rFonts w:ascii="Times New Roman" w:eastAsia="Calibri" w:hAnsi="Times New Roman" w:cs="Times New Roman"/>
          <w:sz w:val="24"/>
          <w:szCs w:val="24"/>
          <w:vertAlign w:val="superscript"/>
        </w:rPr>
        <w:footnoteReference w:id="73"/>
      </w:r>
      <w:r w:rsidRPr="008253AC">
        <w:rPr>
          <w:rFonts w:ascii="Times New Roman" w:eastAsia="Calibri" w:hAnsi="Times New Roman" w:cs="Times New Roman"/>
          <w:sz w:val="24"/>
          <w:szCs w:val="24"/>
        </w:rPr>
        <w:t xml:space="preserve"> que vem ocorrendo com base no Confederalismo Democrático</w:t>
      </w:r>
      <w:r w:rsidRPr="008253AC">
        <w:rPr>
          <w:rFonts w:ascii="Times New Roman" w:eastAsia="Calibri" w:hAnsi="Times New Roman" w:cs="Times New Roman"/>
          <w:sz w:val="24"/>
          <w:szCs w:val="24"/>
          <w:vertAlign w:val="superscript"/>
        </w:rPr>
        <w:footnoteReference w:id="74"/>
      </w:r>
      <w:r w:rsidRPr="008253AC">
        <w:rPr>
          <w:rFonts w:ascii="Times New Roman" w:eastAsia="Calibri" w:hAnsi="Times New Roman" w:cs="Times New Roman"/>
          <w:sz w:val="24"/>
          <w:szCs w:val="24"/>
        </w:rPr>
        <w:t xml:space="preserve"> e que também podemos considerar uma ação direta em termos totais na região.</w:t>
      </w:r>
    </w:p>
    <w:p w14:paraId="77B2901B" w14:textId="77777777" w:rsidR="008253AC" w:rsidRPr="007925E5"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Podemos acrescentar movimentos ocorridos no Brasil  nas primeiras décadas do século XX, como as ocupações das fábricas e das escolas operárias durante as greves gerais; e temos como exemplo mais recente as ocupações sem-teto na luta por moradia e contra a especulação imobiliária nos centros urbanos brasileiros; as ocupações sem-terra contra o latifúndio; e as recentes ocupações de praças públicas – ocupações estas que, desde a Primavera Árabe, ocorreram em diversos locais do mundo: em alguns países da região do norte da África e em regiões vizinhas a Europa e  Ásia; nos Estados Unidos, onde a Ocupação da Praça de Wall Street destacou-se diante de várias outras praças no país e, por fim, o Movimento dos Indignados e</w:t>
      </w:r>
      <w:r w:rsidRPr="008253AC">
        <w:rPr>
          <w:rFonts w:ascii="Times New Roman" w:eastAsia="Times New Roman" w:hAnsi="Times New Roman" w:cs="Times New Roman"/>
          <w:sz w:val="24"/>
          <w:szCs w:val="24"/>
        </w:rPr>
        <w:t>m</w:t>
      </w:r>
      <w:r w:rsidRPr="008253AC">
        <w:rPr>
          <w:rFonts w:ascii="Times New Roman" w:eastAsia="Times New Roman" w:hAnsi="Times New Roman" w:cs="Times New Roman"/>
          <w:color w:val="222222"/>
          <w:sz w:val="24"/>
          <w:szCs w:val="24"/>
        </w:rPr>
        <w:t xml:space="preserve"> Puerta del Sol, em Madri (Espanha) que reivindicava mudanças  políticas e sociais. </w:t>
      </w:r>
    </w:p>
    <w:p w14:paraId="184F5785"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Vale mencionar a “Revolta dos Pinguins”, movimento de ocupações de escolas no Chile que ocorreu em 2006, protagonizado por secundaristas e que influenciou diretamente todas as mobilizações estudantis do Brasil alguns anos mais tarde (mais precisamente em 2015 e 2016). Como último e ilustrativo exemplo, também no Brasil, </w:t>
      </w:r>
      <w:r w:rsidRPr="008253AC">
        <w:rPr>
          <w:rFonts w:ascii="Times New Roman" w:eastAsia="Calibri" w:hAnsi="Times New Roman" w:cs="Times New Roman"/>
          <w:sz w:val="24"/>
          <w:szCs w:val="24"/>
        </w:rPr>
        <w:lastRenderedPageBreak/>
        <w:t xml:space="preserve">outras ocupações em praças como a da Cinelândia, no centro do Rio de Janeiro, ao longo do ciclo de manifestações entre 2013 e 2014 que ocorreram </w:t>
      </w:r>
      <w:proofErr w:type="gramStart"/>
      <w:r w:rsidRPr="008253AC">
        <w:rPr>
          <w:rFonts w:ascii="Times New Roman" w:eastAsia="Calibri" w:hAnsi="Times New Roman" w:cs="Times New Roman"/>
          <w:sz w:val="24"/>
          <w:szCs w:val="24"/>
        </w:rPr>
        <w:t>em  todo</w:t>
      </w:r>
      <w:proofErr w:type="gramEnd"/>
      <w:r w:rsidRPr="008253AC">
        <w:rPr>
          <w:rFonts w:ascii="Times New Roman" w:eastAsia="Calibri" w:hAnsi="Times New Roman" w:cs="Times New Roman"/>
          <w:sz w:val="24"/>
          <w:szCs w:val="24"/>
        </w:rPr>
        <w:t xml:space="preserve"> o país.</w:t>
      </w:r>
    </w:p>
    <w:p w14:paraId="36DD3899"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Sobre a tática de ocupações, Castells (2017) reforça que</w:t>
      </w:r>
    </w:p>
    <w:p w14:paraId="5FD110A9"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Frequentemente prédios são ocupados, seja por seu simbolismo, seja para afirmar o direito do uso público de prioridades ociosas, especulativas. Ao assumir e ocupar o espaço urbano, os cidadãos reivindicam sua própria cidade, uma cidade na qual foram expulsos pela especulação imobiliária e pela burocracia municipal. Alguns movimentos sociais historicamente importantes como a Comuna de Paris de 1871 ou as greves de Glasgow em 1915 (na origem da política de habitação pública na Grã-Bretanha), começaram como boicotes aos </w:t>
      </w:r>
      <w:proofErr w:type="gramStart"/>
      <w:r w:rsidRPr="008253AC">
        <w:rPr>
          <w:rFonts w:ascii="Times New Roman" w:eastAsia="Calibri" w:hAnsi="Times New Roman" w:cs="Times New Roman"/>
        </w:rPr>
        <w:t>alugueis</w:t>
      </w:r>
      <w:proofErr w:type="gramEnd"/>
      <w:r w:rsidRPr="008253AC">
        <w:rPr>
          <w:rFonts w:ascii="Times New Roman" w:eastAsia="Calibri" w:hAnsi="Times New Roman" w:cs="Times New Roman"/>
        </w:rPr>
        <w:t xml:space="preserve"> contra a especulação na área de moradia. O controle do espaço simboliza o espaço da vida das pessoas (Castells, 2017: 25). </w:t>
      </w:r>
    </w:p>
    <w:p w14:paraId="7278FD61" w14:textId="77777777" w:rsidR="008253AC" w:rsidRPr="008253AC" w:rsidRDefault="008253AC" w:rsidP="000D3779">
      <w:pPr>
        <w:spacing w:after="0" w:line="240" w:lineRule="auto"/>
        <w:jc w:val="both"/>
        <w:rPr>
          <w:rFonts w:ascii="Times New Roman" w:eastAsia="Calibri" w:hAnsi="Times New Roman" w:cs="Times New Roman"/>
          <w:sz w:val="24"/>
          <w:szCs w:val="24"/>
        </w:rPr>
      </w:pPr>
    </w:p>
    <w:p w14:paraId="269D7836"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Os exemplos históricos e suas narrativas também servem de referenciais históricos e teóricos fundamentais. Sobre a Comuna de Paris, mobilização do povo sem representantes e ação direta, Kropotkin (2005) diz que</w:t>
      </w:r>
    </w:p>
    <w:p w14:paraId="021980C5"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revolução de 1871 foi um movimento eminentemente popular. Feita pelo próprio povo, nascida, de forma espontânea, no seio das massas, e na grande massa popular que encontrou seus defensores, seus heróis, seus mártires (Kropotkin, 2005: 107). </w:t>
      </w:r>
    </w:p>
    <w:p w14:paraId="276DAE2E"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p>
    <w:p w14:paraId="35BFDF6C"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Sobre a Comuna de Paris, Vassilev (2008) reforça que “o proletariado parisiense de 1871 derrubou não apenas a monarquia, como também a máquina do Estado parlamentar e democrático, e substituiu-as pelo conselho municipal” (Vassilev, 2008: 49). </w:t>
      </w:r>
    </w:p>
    <w:p w14:paraId="1CEB125F" w14:textId="77777777" w:rsidR="008253AC" w:rsidRPr="008253AC" w:rsidRDefault="008253AC" w:rsidP="000D3779">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Bakunin, ao comentar sobre a organização e os fatos políticos referentes a Comuna de Paris, diferencia a ação dos comunistas dos socialistas revolucionários (ou anarquistas) mostrando que</w:t>
      </w:r>
    </w:p>
    <w:p w14:paraId="012C7BB7" w14:textId="77777777" w:rsidR="008253AC" w:rsidRPr="008253AC" w:rsidRDefault="008253AC" w:rsidP="000D3779">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Os comunistas são partidários do princípio e da prática da autoridade, os socialistas revolucionários só </w:t>
      </w:r>
      <w:proofErr w:type="gramStart"/>
      <w:r w:rsidRPr="008253AC">
        <w:rPr>
          <w:rFonts w:ascii="Times New Roman" w:eastAsia="Times New Roman" w:hAnsi="Times New Roman" w:cs="Times New Roman"/>
        </w:rPr>
        <w:t>tem</w:t>
      </w:r>
      <w:proofErr w:type="gramEnd"/>
      <w:r w:rsidRPr="008253AC">
        <w:rPr>
          <w:rFonts w:ascii="Times New Roman" w:eastAsia="Times New Roman" w:hAnsi="Times New Roman" w:cs="Times New Roman"/>
        </w:rPr>
        <w:t xml:space="preserve"> confiança na liberdade. Uns e outros igualmente partidários da ciência que deve matar a superstição e substituir a fé, os primeiros desejarão impô-la, os outros esforçar-se-ão para propagá-la a fim de que os grupos humanos, convencidos, organizem-se e federalizem-se espontaneamente, livremente, de baixo para cima, por seu próprio movimento e conforme a seus reais interesses, mas nunca segundo um plano traçado de antemão e imposto “às massas ignorantes” por algumas inteligências superiores (Bakunin, 2008: 117). </w:t>
      </w:r>
    </w:p>
    <w:p w14:paraId="2292CD9C"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74E6A100" w14:textId="77777777" w:rsidR="008253AC" w:rsidRPr="008253AC" w:rsidRDefault="008253AC" w:rsidP="000D3779">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Essa passagem de Bakunin dialoga diretamente com a teoria, a prática e o histórico das ações de diversos anarquistas ao longo da história. </w:t>
      </w:r>
    </w:p>
    <w:p w14:paraId="4EBB85B5" w14:textId="77777777" w:rsidR="008253AC" w:rsidRPr="008253AC" w:rsidRDefault="008253AC" w:rsidP="000D3779">
      <w:pPr>
        <w:widowControl w:val="0"/>
        <w:autoSpaceDE w:val="0"/>
        <w:autoSpaceDN w:val="0"/>
        <w:spacing w:after="0" w:line="360" w:lineRule="auto"/>
        <w:ind w:right="108" w:firstLine="707"/>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lastRenderedPageBreak/>
        <w:t>A ação de determinados segmentos do anarquismo no final do século XIX, por exemplo, considerava o ideal de que seus atos se converteriam em propaganda em prol do protesto público e da atuação direta de trabalhadores contra seus empregadores considerados exploradores. Os militantes mais radicais chegavam a explodir prédios ou edificações simbólicas e a atentar contra a vida de governantes (Monteiro, 2009: 204).</w:t>
      </w:r>
    </w:p>
    <w:p w14:paraId="0B054700"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Eu estou orgulhoso do que fiz. Você não irá tirar de mim uma única palavra de arrependimento. Se eu não tivesse sido preso iria continuar minhas explosões, sem poupar qualquer pessoa ligada à condenação de outros Anarquistas. Eu gostaria de ter explodido a Câmara dos Deputados por impor aos dinamitadores a pena de morte. Sem deixar nada impedindo o caminho da propaganda Anarquista.</w:t>
      </w:r>
      <w:r w:rsidRPr="008253AC">
        <w:rPr>
          <w:rFonts w:ascii="Times New Roman" w:eastAsia="Times New Roman" w:hAnsi="Times New Roman" w:cs="Times New Roman"/>
          <w:vertAlign w:val="superscript"/>
        </w:rPr>
        <w:footnoteReference w:id="75"/>
      </w:r>
    </w:p>
    <w:p w14:paraId="64818119" w14:textId="77777777" w:rsidR="008253AC" w:rsidRPr="008253AC" w:rsidRDefault="008253AC" w:rsidP="000D3779">
      <w:pPr>
        <w:spacing w:after="0" w:line="276" w:lineRule="auto"/>
        <w:ind w:firstLine="709"/>
        <w:rPr>
          <w:rFonts w:ascii="Calibri" w:eastAsia="Calibri" w:hAnsi="Calibri" w:cs="Arial"/>
          <w:color w:val="000000"/>
        </w:rPr>
      </w:pPr>
    </w:p>
    <w:p w14:paraId="57427B77" w14:textId="77777777" w:rsidR="008253AC" w:rsidRPr="008253AC" w:rsidRDefault="008253AC" w:rsidP="000D3779">
      <w:pPr>
        <w:spacing w:after="0" w:line="276" w:lineRule="auto"/>
        <w:ind w:firstLine="709"/>
        <w:rPr>
          <w:rFonts w:ascii="Calibri" w:eastAsia="Calibri" w:hAnsi="Calibri" w:cs="Arial"/>
          <w:color w:val="000000"/>
        </w:rPr>
      </w:pPr>
    </w:p>
    <w:p w14:paraId="2C8766D6" w14:textId="77777777" w:rsidR="008253AC" w:rsidRPr="008253AC" w:rsidRDefault="008253AC" w:rsidP="000D3779">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Ações diretas e propagandas pelo fato foram orquestradas em várias partes do globo, algumas levaram à morte de alguns governantes considerados opressores e extremamente violentos com seu próprio povo. São exemplos: </w:t>
      </w:r>
      <w:r w:rsidRPr="008253AC">
        <w:rPr>
          <w:rFonts w:ascii="Times New Roman" w:eastAsia="Calibri" w:hAnsi="Times New Roman" w:cs="Times New Roman"/>
          <w:sz w:val="24"/>
          <w:szCs w:val="24"/>
          <w:lang w:val="pt-PT"/>
        </w:rPr>
        <w:t>Antonio Cánovas, primeiro-ministro da Espanha, morto em 1897, e Sadi Carnot, presidente da França, morto em 1894. E</w:t>
      </w:r>
      <w:r w:rsidRPr="008253AC">
        <w:rPr>
          <w:rFonts w:ascii="Times New Roman" w:eastAsia="Calibri" w:hAnsi="Times New Roman" w:cs="Times New Roman"/>
          <w:sz w:val="24"/>
          <w:szCs w:val="24"/>
        </w:rPr>
        <w:t xml:space="preserve">m 1898, foi a vez de </w:t>
      </w:r>
      <w:r w:rsidRPr="008253AC">
        <w:rPr>
          <w:rFonts w:ascii="Times New Roman" w:eastAsia="Calibri" w:hAnsi="Times New Roman" w:cs="Times New Roman"/>
          <w:sz w:val="24"/>
          <w:szCs w:val="24"/>
          <w:lang w:val="pt-PT"/>
        </w:rPr>
        <w:t xml:space="preserve">Isabel, </w:t>
      </w:r>
      <w:r w:rsidRPr="008253AC">
        <w:rPr>
          <w:rFonts w:ascii="Times New Roman" w:eastAsia="Calibri" w:hAnsi="Times New Roman" w:cs="Times New Roman"/>
          <w:sz w:val="24"/>
          <w:szCs w:val="24"/>
        </w:rPr>
        <w:t xml:space="preserve">Imperatriz da Áustria, e, em 1900, do rei </w:t>
      </w:r>
      <w:r w:rsidRPr="008253AC">
        <w:rPr>
          <w:rFonts w:ascii="Times New Roman" w:eastAsia="Calibri" w:hAnsi="Times New Roman" w:cs="Times New Roman"/>
          <w:sz w:val="24"/>
          <w:szCs w:val="24"/>
          <w:lang w:val="pt-PT"/>
        </w:rPr>
        <w:t xml:space="preserve">Rei Humbert, </w:t>
      </w:r>
      <w:r w:rsidRPr="008253AC">
        <w:rPr>
          <w:rFonts w:ascii="Times New Roman" w:eastAsia="Calibri" w:hAnsi="Times New Roman" w:cs="Times New Roman"/>
          <w:sz w:val="24"/>
          <w:szCs w:val="24"/>
        </w:rPr>
        <w:t xml:space="preserve">da Itália. Em 1901 o então presidente dos EUA, </w:t>
      </w:r>
      <w:hyperlink r:id="rId15" w:tooltip="William McKinley" w:history="1">
        <w:r w:rsidRPr="008253AC">
          <w:rPr>
            <w:rFonts w:ascii="Times New Roman" w:eastAsia="Calibri" w:hAnsi="Times New Roman" w:cs="Arial"/>
            <w:sz w:val="24"/>
            <w:szCs w:val="24"/>
            <w:u w:val="single"/>
            <w:shd w:val="clear" w:color="auto" w:fill="FFFFFF"/>
          </w:rPr>
          <w:t>William McKinley</w:t>
        </w:r>
      </w:hyperlink>
      <w:r w:rsidRPr="008253AC">
        <w:rPr>
          <w:rFonts w:ascii="Times New Roman" w:eastAsia="Calibri" w:hAnsi="Times New Roman" w:cs="Times New Roman"/>
          <w:sz w:val="24"/>
          <w:szCs w:val="24"/>
          <w:shd w:val="clear" w:color="auto" w:fill="FFFFFF"/>
        </w:rPr>
        <w:t>, considerado um símbolo da opressão pelos anarquistas principalmente após assumir o controle das Filipinas e de Porto Rico, acabou fatalmente ferido dentro do </w:t>
      </w:r>
      <w:hyperlink r:id="rId16" w:tooltip="Temple of Music" w:history="1">
        <w:r w:rsidRPr="008253AC">
          <w:rPr>
            <w:rFonts w:ascii="Times New Roman" w:eastAsia="Calibri" w:hAnsi="Times New Roman" w:cs="Arial"/>
            <w:i/>
            <w:iCs/>
            <w:sz w:val="24"/>
            <w:szCs w:val="24"/>
            <w:u w:val="single"/>
            <w:shd w:val="clear" w:color="auto" w:fill="FFFFFF"/>
          </w:rPr>
          <w:t>Temple of Music</w:t>
        </w:r>
      </w:hyperlink>
      <w:r w:rsidRPr="008253AC">
        <w:rPr>
          <w:rFonts w:ascii="Times New Roman" w:eastAsia="Calibri" w:hAnsi="Times New Roman" w:cs="Times New Roman"/>
          <w:sz w:val="24"/>
          <w:szCs w:val="24"/>
          <w:shd w:val="clear" w:color="auto" w:fill="FFFFFF"/>
        </w:rPr>
        <w:t> na </w:t>
      </w:r>
      <w:hyperlink r:id="rId17" w:tooltip="Exposição Panamericana" w:history="1">
        <w:r w:rsidRPr="008253AC">
          <w:rPr>
            <w:rFonts w:ascii="Times New Roman" w:eastAsia="Calibri" w:hAnsi="Times New Roman" w:cs="Arial"/>
            <w:sz w:val="24"/>
            <w:szCs w:val="24"/>
            <w:u w:val="single"/>
            <w:shd w:val="clear" w:color="auto" w:fill="FFFFFF"/>
          </w:rPr>
          <w:t>Exposição Panamericana</w:t>
        </w:r>
      </w:hyperlink>
      <w:r w:rsidRPr="008253AC">
        <w:rPr>
          <w:rFonts w:ascii="Times New Roman" w:eastAsia="Calibri" w:hAnsi="Times New Roman" w:cs="Times New Roman"/>
          <w:sz w:val="24"/>
          <w:szCs w:val="24"/>
          <w:shd w:val="clear" w:color="auto" w:fill="FFFFFF"/>
        </w:rPr>
        <w:t xml:space="preserve"> em </w:t>
      </w:r>
      <w:hyperlink r:id="rId18" w:tooltip="Nova Iorque (estado)" w:history="1">
        <w:r w:rsidRPr="008253AC">
          <w:rPr>
            <w:rFonts w:ascii="Times New Roman" w:eastAsia="Calibri" w:hAnsi="Times New Roman" w:cs="Arial"/>
            <w:sz w:val="24"/>
            <w:szCs w:val="24"/>
            <w:u w:val="single"/>
            <w:shd w:val="clear" w:color="auto" w:fill="FFFFFF"/>
          </w:rPr>
          <w:t>Nova Iorque</w:t>
        </w:r>
      </w:hyperlink>
      <w:r w:rsidRPr="008253AC">
        <w:rPr>
          <w:rFonts w:ascii="Times New Roman" w:eastAsia="Calibri" w:hAnsi="Times New Roman" w:cs="Times New Roman"/>
          <w:sz w:val="24"/>
          <w:szCs w:val="24"/>
        </w:rPr>
        <w:t xml:space="preserve"> pelo anarquista L</w:t>
      </w:r>
      <w:r w:rsidRPr="008253AC">
        <w:rPr>
          <w:rFonts w:ascii="Times New Roman" w:eastAsia="Calibri" w:hAnsi="Times New Roman" w:cs="Times New Roman"/>
          <w:sz w:val="24"/>
          <w:szCs w:val="24"/>
          <w:shd w:val="clear" w:color="auto" w:fill="FFFFFF"/>
        </w:rPr>
        <w:t xml:space="preserve">eon Czolgosz que logo depois foi executado na cadeira elétrica. Após esse episódio, o Congresso encarregou oficialmente o Serviço Secreto da segurança presidencial dificultando outras ações de mesma magnitude. </w:t>
      </w:r>
      <w:r w:rsidRPr="008253AC">
        <w:rPr>
          <w:rFonts w:ascii="Times New Roman" w:eastAsia="Calibri" w:hAnsi="Times New Roman" w:cs="Times New Roman"/>
          <w:sz w:val="24"/>
          <w:szCs w:val="24"/>
        </w:rPr>
        <w:t>Com a crescente repressão imposta pelos governos, aliada à nova estratégia de aproximação dos sindicatos e trabalhadores, cessa a onda de ações anarquistas de grandes magnitudes na Europa e nos Estados Unidos, mas de forma alguma se encerra o ciclo de ações diretas.</w:t>
      </w:r>
      <w:r w:rsidRPr="008253AC">
        <w:rPr>
          <w:rFonts w:ascii="Times New Roman" w:eastAsia="Calibri" w:hAnsi="Times New Roman" w:cs="Times New Roman"/>
          <w:sz w:val="24"/>
          <w:szCs w:val="24"/>
          <w:shd w:val="clear" w:color="auto" w:fill="FFFFFF"/>
        </w:rPr>
        <w:t xml:space="preserve"> </w:t>
      </w:r>
    </w:p>
    <w:p w14:paraId="6180FB14" w14:textId="77777777" w:rsidR="008253AC" w:rsidRPr="008253AC" w:rsidRDefault="008253AC" w:rsidP="000D3779">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Ainda nos primeiros anos do século XX, o movimento sufragista da Grã-Bretanha atuava na luta pela conquista do voto feminino. Eram promovidos debates, reuniões e cartas publicadas em jornais de grande circulação. Algumas ativistas criticavam a atuação extremamente pacífica entendendo-a como incapaz de perturbar a ordem e modificar o </w:t>
      </w:r>
      <w:r w:rsidRPr="008253AC">
        <w:rPr>
          <w:rFonts w:ascii="Times New Roman" w:eastAsia="Times New Roman" w:hAnsi="Times New Roman" w:cs="Times New Roman"/>
          <w:i/>
          <w:iCs/>
          <w:sz w:val="24"/>
          <w:szCs w:val="24"/>
        </w:rPr>
        <w:t>status quo</w:t>
      </w:r>
      <w:r w:rsidRPr="008253AC">
        <w:rPr>
          <w:rFonts w:ascii="Times New Roman" w:eastAsia="Times New Roman" w:hAnsi="Times New Roman" w:cs="Times New Roman"/>
          <w:sz w:val="24"/>
          <w:szCs w:val="24"/>
        </w:rPr>
        <w:t xml:space="preserve">. Dessa forma, as integrantes mais radicais se separaram </w:t>
      </w:r>
      <w:r w:rsidRPr="008253AC">
        <w:rPr>
          <w:rFonts w:ascii="Times New Roman" w:eastAsia="Times New Roman" w:hAnsi="Times New Roman" w:cs="Times New Roman"/>
          <w:sz w:val="24"/>
          <w:szCs w:val="24"/>
        </w:rPr>
        <w:lastRenderedPageBreak/>
        <w:t xml:space="preserve">do movimento criando o Women’s Social and Political Union (WSPU), também conhecido como Sufragistas posteriormente. </w:t>
      </w:r>
    </w:p>
    <w:p w14:paraId="2C2D1837" w14:textId="77777777" w:rsidR="008253AC" w:rsidRPr="008253AC" w:rsidRDefault="008253AC" w:rsidP="000D3779">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seu repertório de ações diretas incluía-se protestos de rua, boicotes a patrões em fábricas, até outros atos contra reuniões de partidos políticos de esquerda que tinham proibido sua participação. Em seus protestos, chegaram a quebrar janelas e vidraças de diversos prédios públicos com martelos e pedras, terminando em confronto com as forças policiais. Toda essa mobilização resultou na conquista do direito feminino ao voto na Grã-Bretanha após a primeira guerra</w:t>
      </w:r>
      <w:r w:rsidRPr="008253AC">
        <w:rPr>
          <w:rFonts w:ascii="Times New Roman" w:eastAsia="Times New Roman" w:hAnsi="Times New Roman" w:cs="Times New Roman"/>
          <w:spacing w:val="-3"/>
          <w:sz w:val="24"/>
          <w:szCs w:val="24"/>
        </w:rPr>
        <w:t xml:space="preserve"> </w:t>
      </w:r>
      <w:r w:rsidRPr="008253AC">
        <w:rPr>
          <w:rFonts w:ascii="Times New Roman" w:eastAsia="Times New Roman" w:hAnsi="Times New Roman" w:cs="Times New Roman"/>
          <w:sz w:val="24"/>
          <w:szCs w:val="24"/>
        </w:rPr>
        <w:t>mundial.</w:t>
      </w:r>
    </w:p>
    <w:p w14:paraId="5906C9AD"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Já durante o período da Revolução Russa, ocorreram episódios que são pouco comentados na historiografia clássica como a resistência contra mencheviques e estrangeiros na região da Ucrânia, onde camponeses desapropriaram terras e começaram a fundar comunas autogestionárias, plantando e colhendo, se sustentando de  maneira coletivizada e que foram construindo tal forma de sobrevivência para além das ordens de quem detinha o poder no Estado em Moscou. Nas palavras de Nestor Makhno, as ações diretas dos camponeses ucranianos podiam ser entendidas da seguinte forma:</w:t>
      </w:r>
    </w:p>
    <w:p w14:paraId="7473C790"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 anarquismo instintivo transparecia em todas as intenções dos camponeses da Ucrânia naquele momento, exprimindo um ódio não-dissimulado por toda autoridade estatal, acompanhada de uma aspiração a libertar-se dela. </w:t>
      </w:r>
    </w:p>
    <w:p w14:paraId="18BBD7BA"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Esta aspiração era muito forte entre os camponeses. Consistia, em substância, em se libertar das instituições da polícia, do juiz enviado por Moscou pela burguesia, e assim por diante (Makhno, 2001 ;21). </w:t>
      </w:r>
    </w:p>
    <w:p w14:paraId="794FAA26" w14:textId="77777777" w:rsidR="008253AC" w:rsidRPr="008253AC" w:rsidRDefault="008253AC" w:rsidP="000D3779">
      <w:pPr>
        <w:spacing w:after="0" w:line="240" w:lineRule="auto"/>
        <w:jc w:val="both"/>
        <w:rPr>
          <w:rFonts w:ascii="Times New Roman" w:eastAsia="Calibri" w:hAnsi="Times New Roman" w:cs="Times New Roman"/>
        </w:rPr>
      </w:pPr>
    </w:p>
    <w:p w14:paraId="003F5AC3"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Ainda na Rússia, vale citar os sovietes como células fundamentais na construção da mobilização da classe operária no período que antecedeu 1917. Na verdade, o conceito de Sovietes e a distribuição federalista do poder não deixa de estar, em algum sentido, em consonância com os ideais anarquistas. O grande problema da Revolução Russa não eram os Sovietes, e sim sua destruição executada por Stalin e a burocracia vermelha em nome de um centralismo estadolátrico. Segundo Vassilev, a ideia dos sovietes significava</w:t>
      </w:r>
    </w:p>
    <w:p w14:paraId="19898E22"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a ideia de uma organização de uma vida social no sentido de um sistema novo, livre e comunista, com a regulação da produção e da distribuição dos bens na futura sociedade por meio de encontros, reuniões de trabalho, entre os delegados diretos, sempre substituíveis e desprovidos de qualquer poder, das organizações profissionais e dos outros de distribuição; esta ideia nada tem em comum com o caráter próprio dos bolcheviques, sua tendência estatista e seu sistema ditatorial na regulamentação da vida social (Vassilev, 2008: 17).</w:t>
      </w:r>
    </w:p>
    <w:p w14:paraId="4D1E7708" w14:textId="77777777" w:rsidR="008253AC" w:rsidRPr="008253AC" w:rsidRDefault="008253AC" w:rsidP="000D3779">
      <w:pPr>
        <w:spacing w:after="0" w:line="240" w:lineRule="auto"/>
        <w:jc w:val="both"/>
        <w:rPr>
          <w:rFonts w:ascii="Times New Roman" w:eastAsia="Calibri" w:hAnsi="Times New Roman" w:cs="Times New Roman"/>
        </w:rPr>
      </w:pPr>
    </w:p>
    <w:p w14:paraId="24C95D75"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lastRenderedPageBreak/>
        <w:tab/>
      </w:r>
      <w:r w:rsidRPr="008253AC">
        <w:rPr>
          <w:rFonts w:ascii="Times New Roman" w:eastAsia="Calibri" w:hAnsi="Times New Roman" w:cs="Times New Roman"/>
          <w:sz w:val="24"/>
          <w:szCs w:val="24"/>
        </w:rPr>
        <w:t xml:space="preserve">Mintz (2006) em “O anarquismo social” destaca esse caráter do papel dos sindicatos e da população engajada na região da Catalunha durante a Guerra Civil Espanhola da década de 1930. Tema este muito importante do ponto de vista social e político, mas pouco analisado pela historiografia que privilegia temas de interesses marxistas. Nas palavras do autor fica claro a noção de ação direta e de autogestão. </w:t>
      </w:r>
    </w:p>
    <w:p w14:paraId="5C131E9B"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Toda a propaganda sublinha táticas utilizadas durante o trabalho: sabotagem, ação direta. A imprensa é escrita por trabalhadores. Inúmeras brochuras explicam a necessidade de derrubar a sociedade atual e construir uma outra desde os alicerces, conhecer a cultura e sua própria sexualidade para controlar a gravidez. O sindicato é simultaneamente um órgão de defesa e a célula de reconstrução de uma nova ordem social fundada no coletivo, de baixo para cima (Mintz, 2006: 67).</w:t>
      </w:r>
    </w:p>
    <w:p w14:paraId="6489F6A0" w14:textId="77777777" w:rsidR="008253AC" w:rsidRPr="008253AC" w:rsidRDefault="008253AC" w:rsidP="000D3779">
      <w:pPr>
        <w:spacing w:after="0" w:line="240" w:lineRule="auto"/>
        <w:jc w:val="both"/>
        <w:rPr>
          <w:rFonts w:ascii="Times New Roman" w:eastAsia="Calibri" w:hAnsi="Times New Roman" w:cs="Times New Roman"/>
        </w:rPr>
      </w:pPr>
    </w:p>
    <w:p w14:paraId="1BC73B8F"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Rodrigues (2004) reforça nossa hipótese mostrando o quanto a cidade de Barcelona se transformou nesse período por meio da autogestão e das ações diretas.</w:t>
      </w:r>
    </w:p>
    <w:p w14:paraId="454491D9"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Igrejas, prédios, casas, mercados, estabelecimentos comerciais, hotéis e restaurantes foram expropriados pelos trabalhadores para que eles pudessem desenvolver as ações sob sua responsabilidade. As igrejas que não foram destruídas e outros imóveis foram utilizados para inúmeras finalidades, funcionando como armazéns, garagens, cinemas, escolas, enfermarias, creches etc. Casas, prédios e hotéis (geralmente os melhores, mais bem conversados) expropriados tornaram-se sedes das organizações dos trabalhadores, dos comitês, partidos e milícias. Era comum que restaurantes e hotéis fossem transformados em refeitórios coletivos, onde a comida era oferecida de graça a desempregados, crianças e idosos, e vendida aos trabalhadores por preços bem menores que o habitual (Rodrigues, 2004: 278). </w:t>
      </w:r>
    </w:p>
    <w:p w14:paraId="729C14CF" w14:textId="77777777" w:rsidR="008253AC" w:rsidRPr="008253AC" w:rsidRDefault="008253AC" w:rsidP="000D3779">
      <w:pPr>
        <w:spacing w:after="0" w:line="240" w:lineRule="auto"/>
        <w:jc w:val="both"/>
        <w:rPr>
          <w:rFonts w:ascii="Times New Roman" w:eastAsia="Calibri" w:hAnsi="Times New Roman" w:cs="Times New Roman"/>
        </w:rPr>
      </w:pPr>
    </w:p>
    <w:p w14:paraId="68D74760" w14:textId="77777777" w:rsidR="008253AC" w:rsidRPr="008253AC" w:rsidRDefault="008253AC" w:rsidP="000D3779">
      <w:pPr>
        <w:spacing w:after="0" w:line="360" w:lineRule="auto"/>
        <w:jc w:val="both"/>
        <w:rPr>
          <w:rFonts w:ascii="Times New Roman" w:eastAsia="Times New Roman"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Em Paris, nos eventos de 1968, e</w:t>
      </w:r>
      <w:r w:rsidRPr="008253AC">
        <w:rPr>
          <w:rFonts w:ascii="Times New Roman" w:eastAsia="Times New Roman" w:hAnsi="Times New Roman" w:cs="Times New Roman"/>
          <w:sz w:val="24"/>
          <w:szCs w:val="24"/>
        </w:rPr>
        <w:t xml:space="preserve">studantes se uniram contra a política do governo do general De Gaulle. Entre os diversos atos, ocuparam a Universidade de Sorbonne, fato que resultou em centenas de prisões. Por conta disso, as pautas se radicalizaram e os protestos ganharam as ruas em cenários de enfrentamentos entre policiais e ativistas. Trabalhadores decretaram uma greve geral e fábricas automobilísticas da Citröen e da Peugeot também foram ocupadas. Pautado em lemas como “é proibido proibir”, o movimento é um grande marco de contestação da autoridade de forma geral, exportando a rebelião para os jovens ao redor do mundo em diversos países.  </w:t>
      </w:r>
      <w:r w:rsidRPr="008253AC">
        <w:rPr>
          <w:rFonts w:ascii="Times New Roman" w:eastAsia="Calibri" w:hAnsi="Times New Roman" w:cs="Times New Roman"/>
          <w:sz w:val="24"/>
          <w:szCs w:val="24"/>
        </w:rPr>
        <w:t xml:space="preserve">Com foco inicialmente na França, esse ano é fundamental na história contemporânea no sentido de influenciar diversos movimentos sociais até a contemporaneidade. Sobre a ocupação da Universidade </w:t>
      </w:r>
      <w:r w:rsidRPr="008253AC">
        <w:rPr>
          <w:rFonts w:ascii="Times New Roman" w:eastAsia="Calibri" w:hAnsi="Times New Roman" w:cs="Times New Roman"/>
          <w:sz w:val="24"/>
          <w:szCs w:val="24"/>
        </w:rPr>
        <w:lastRenderedPageBreak/>
        <w:t>de Sorbonne nesse período, o relato abaixo do “Conselho pela manutenção das ocupações” é revelador.</w:t>
      </w:r>
    </w:p>
    <w:p w14:paraId="25DA2995"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Ao entregar a Sorbonne, o governo esperava pacificar a revolta dos estudantes, que já haviam conseguido controlar durante toda uma noite, com suas barricadas, um bairro de Paris, duramente reconquistado pela polícia. Deixava-se a Sorbonne aos estudantes para que discutissem pacificamente seus problemas universitários. Mas os ocupantes decidiram rapidamente abri-la à população para discutir livremente com ela os problemas gerais da sociedade. Era então o esboço de um conselho, em que os próprios estudantes haviam deixado de ser estudantes: eles saíam de sua miséria (Corrêa; Mhereb; 2018, 149). </w:t>
      </w:r>
    </w:p>
    <w:p w14:paraId="3D7A0EB3" w14:textId="77777777" w:rsidR="008253AC" w:rsidRPr="008253AC" w:rsidRDefault="008253AC" w:rsidP="000D3779">
      <w:pPr>
        <w:spacing w:after="0" w:line="240" w:lineRule="auto"/>
        <w:jc w:val="both"/>
        <w:rPr>
          <w:rFonts w:ascii="Times New Roman" w:eastAsia="Calibri" w:hAnsi="Times New Roman" w:cs="Times New Roman"/>
        </w:rPr>
      </w:pPr>
    </w:p>
    <w:p w14:paraId="0E92AD24" w14:textId="77777777" w:rsidR="008253AC" w:rsidRPr="008253AC" w:rsidRDefault="008253AC" w:rsidP="000D3779">
      <w:pPr>
        <w:spacing w:after="0" w:line="360" w:lineRule="auto"/>
        <w:jc w:val="both"/>
        <w:rPr>
          <w:rFonts w:ascii="Times New Roman" w:eastAsia="Calibri" w:hAnsi="Times New Roman" w:cs="Times New Roman"/>
          <w:sz w:val="24"/>
          <w:szCs w:val="24"/>
          <w:lang w:val="pt-PT"/>
        </w:rPr>
      </w:pPr>
      <w:r w:rsidRPr="008253AC">
        <w:rPr>
          <w:rFonts w:ascii="Times New Roman" w:eastAsia="Calibri" w:hAnsi="Times New Roman" w:cs="Times New Roman"/>
          <w:sz w:val="24"/>
          <w:szCs w:val="24"/>
        </w:rPr>
        <w:tab/>
      </w:r>
      <w:r w:rsidRPr="008253AC">
        <w:rPr>
          <w:rFonts w:ascii="Times New Roman" w:eastAsia="Calibri" w:hAnsi="Times New Roman" w:cs="Times New Roman"/>
          <w:color w:val="FF0000"/>
          <w:sz w:val="24"/>
          <w:szCs w:val="24"/>
        </w:rPr>
        <w:t xml:space="preserve"> </w:t>
      </w:r>
      <w:r w:rsidRPr="008253AC">
        <w:rPr>
          <w:rFonts w:ascii="Times New Roman" w:eastAsia="Calibri" w:hAnsi="Times New Roman" w:cs="Times New Roman"/>
          <w:sz w:val="24"/>
          <w:szCs w:val="24"/>
          <w:lang w:val="pt-PT"/>
        </w:rPr>
        <w:t>Nos anos de 1980, temos a consolidação do movimento autonomista na Europa. Um conjunto de teorias descentralizadoras como o anarquismo, comunismo libertário e anarco-comunistas, dentre outras correntes e derivações, caracterizavam-se pela forte oposição à burocracia estatal, objetivando derrubar não apenas o Estado, mas também o capitalismo. Temas como autogestão e cooperação entre indivíduos são pilares centrais nas ideias revolucionárias dos autonomistas que buscam modelos sociais alternativos como forma de superação aos modelos mais autoritários vigentes</w:t>
      </w:r>
      <w:r w:rsidRPr="008253AC">
        <w:rPr>
          <w:rFonts w:ascii="Times New Roman" w:eastAsia="Calibri" w:hAnsi="Times New Roman" w:cs="Times New Roman"/>
          <w:sz w:val="24"/>
          <w:szCs w:val="24"/>
          <w:lang w:val="pt-PT"/>
        </w:rPr>
        <w:softHyphen/>
        <w:t xml:space="preserve">. </w:t>
      </w:r>
    </w:p>
    <w:p w14:paraId="2C08F5D4" w14:textId="77777777" w:rsidR="008253AC" w:rsidRPr="008253AC" w:rsidRDefault="008253AC" w:rsidP="000D3779">
      <w:pPr>
        <w:spacing w:after="0" w:line="276" w:lineRule="auto"/>
        <w:rPr>
          <w:rFonts w:ascii="Calibri" w:eastAsia="Calibri" w:hAnsi="Calibri" w:cs="Arial"/>
          <w:color w:val="222222"/>
          <w:lang w:val="pt-PT"/>
        </w:rPr>
      </w:pPr>
    </w:p>
    <w:p w14:paraId="6ECB7EE2" w14:textId="77777777" w:rsidR="008253AC" w:rsidRPr="008253AC" w:rsidRDefault="008253AC" w:rsidP="000D3779">
      <w:pPr>
        <w:spacing w:after="0" w:line="240" w:lineRule="auto"/>
        <w:ind w:left="2268"/>
        <w:jc w:val="both"/>
        <w:rPr>
          <w:rFonts w:ascii="Times New Roman" w:eastAsia="Calibri" w:hAnsi="Times New Roman" w:cs="Times New Roman"/>
          <w:color w:val="222222"/>
          <w:lang w:val="pt-PT"/>
        </w:rPr>
      </w:pPr>
      <w:r w:rsidRPr="008253AC">
        <w:rPr>
          <w:rFonts w:ascii="Times New Roman" w:eastAsia="Calibri" w:hAnsi="Times New Roman" w:cs="Times New Roman"/>
          <w:color w:val="222222"/>
          <w:lang w:val="pt-PT"/>
        </w:rPr>
        <w:t xml:space="preserve">Na manhã de 28 de julho de 1981, em uma ação coordenada envolvendo centenas de policiais, um grande agachamento foi despejado e mais de 30 casas particulares foram invadidas dentro e ao redor da área de Frankfurt. Dezenas foram presos, seis foram acusados ​​de fundar e ser membros de uma "organização criminosa". O nome da </w:t>
      </w:r>
      <w:r w:rsidRPr="008253AC">
        <w:rPr>
          <w:rFonts w:ascii="Times New Roman" w:eastAsia="Calibri" w:hAnsi="Times New Roman" w:cs="Times New Roman"/>
          <w:lang w:val="pt-PT"/>
        </w:rPr>
        <w:t>organização: “Bloco Schwarzer”</w:t>
      </w:r>
      <w:r w:rsidRPr="008253AC">
        <w:rPr>
          <w:rFonts w:ascii="Times New Roman" w:eastAsia="Calibri" w:hAnsi="Times New Roman" w:cs="Times New Roman"/>
          <w:color w:val="222222"/>
          <w:lang w:val="pt-PT"/>
        </w:rPr>
        <w:t xml:space="preserve"> (Black Bloc). Aliás, nada veio do próprio julgamento: o caso desmoronou, com as próprias autoridades admitindo que tal organização nunca existiu realmente. As acusações foram abandonadas e a investigação sobre a "organização criminosa" conhecida como o "Bloco Negro" foi encerrada...certamente não foi o fim do "Bloco Negro", ao contrário, ele prospera como uma das formas mais populares de militância anticapitalista em uso hoje.</w:t>
      </w:r>
      <w:r w:rsidRPr="008253AC">
        <w:rPr>
          <w:rFonts w:ascii="Times New Roman" w:eastAsia="Times New Roman" w:hAnsi="Times New Roman" w:cs="Times New Roman"/>
          <w:iCs/>
          <w:vertAlign w:val="superscript"/>
        </w:rPr>
        <w:footnoteReference w:id="76"/>
      </w:r>
    </w:p>
    <w:p w14:paraId="0FCF9F23" w14:textId="77777777" w:rsidR="008253AC" w:rsidRPr="008253AC" w:rsidRDefault="008253AC" w:rsidP="000D3779">
      <w:pPr>
        <w:spacing w:after="0" w:line="360" w:lineRule="auto"/>
        <w:ind w:firstLine="707"/>
        <w:jc w:val="both"/>
        <w:rPr>
          <w:rFonts w:ascii="Times New Roman" w:eastAsia="Calibri" w:hAnsi="Times New Roman" w:cs="Times New Roman"/>
          <w:sz w:val="24"/>
          <w:szCs w:val="24"/>
        </w:rPr>
      </w:pPr>
    </w:p>
    <w:p w14:paraId="2B18BF15" w14:textId="77777777" w:rsidR="008253AC" w:rsidRPr="008253AC" w:rsidRDefault="008253AC" w:rsidP="000D3779">
      <w:pPr>
        <w:spacing w:after="0" w:line="360" w:lineRule="auto"/>
        <w:ind w:firstLine="707"/>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Já na década de 1990, vale citar a tomada e construção de um estado autônomo na região de Chiapas, no México. O protagonismo desse feito foi do Exército Zapatista de Libertação Nacional (EZLN) mais exatamente no dia 1º de janeiro de 1994. Hilsenbeck Filho e Spinelli caracterizam da seguinte forma esse momento histórico:</w:t>
      </w:r>
    </w:p>
    <w:p w14:paraId="6F675966"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zapatismo logo se constituiu em força sindical aglutinadora dos descontentes com o neoliberalismo no México, atraindo a simpatia de </w:t>
      </w:r>
      <w:r w:rsidRPr="008253AC">
        <w:rPr>
          <w:rFonts w:ascii="Times New Roman" w:eastAsia="Calibri" w:hAnsi="Times New Roman" w:cs="Times New Roman"/>
        </w:rPr>
        <w:lastRenderedPageBreak/>
        <w:t xml:space="preserve">variados setores e classes. Tentou organizar um projeto comum entre desempregados, camponeses sem terra, movimentos indígenas, setores progressistas da Igreja católica, funcionários do Estado, estudantes, professores, ativistas, sindicatos e trabalhadores da cidade e do campo, cooperativas rurais, pequenos comerciantes e microempresários, todos contrários ao governo do Partido Revolucionário Institucional (PRI), uma máquina de institucionalização da vida política que ganhava eleições presidenciais desde os anos 30 (Hilsenbeck Filho; Spinelli, 2012: 244). </w:t>
      </w:r>
    </w:p>
    <w:p w14:paraId="6ADD96E9"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r>
    </w:p>
    <w:p w14:paraId="51F36866"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Os autores ainda complementam dizendo que</w:t>
      </w:r>
    </w:p>
    <w:p w14:paraId="01F8DF5C" w14:textId="77777777" w:rsidR="008253AC" w:rsidRPr="008253AC" w:rsidRDefault="008253AC" w:rsidP="000D3779">
      <w:pPr>
        <w:spacing w:after="0" w:line="240" w:lineRule="auto"/>
        <w:ind w:left="2410"/>
        <w:jc w:val="both"/>
        <w:rPr>
          <w:rFonts w:ascii="Times New Roman" w:eastAsia="Calibri" w:hAnsi="Times New Roman" w:cs="Times New Roman"/>
        </w:rPr>
      </w:pPr>
      <w:r w:rsidRPr="008253AC">
        <w:rPr>
          <w:rFonts w:ascii="Times New Roman" w:eastAsia="Calibri" w:hAnsi="Times New Roman" w:cs="Times New Roman"/>
        </w:rPr>
        <w:t xml:space="preserve">(...) o levante extrapolou as fileiras militares zapatistas, resultando em um boom de ocupações de terra no estado por organizações rurais não ligadas diretamente ao EZ. Uma rede de organizações políticas e produtivas (econômicas) atuantes no meio rural apoiou ativa e passivamente a insurreição, na medida em que se apropriaram da lei agrária revolucionária publicada pelo EZLN nos primeiros dias do conflito (Hilsenbeck Filho; Spinelli, 2012: 245-246). </w:t>
      </w:r>
    </w:p>
    <w:p w14:paraId="439D78C8" w14:textId="77777777" w:rsidR="008253AC" w:rsidRPr="008253AC" w:rsidRDefault="008253AC" w:rsidP="000D3779">
      <w:pPr>
        <w:spacing w:after="0" w:line="240" w:lineRule="auto"/>
        <w:jc w:val="both"/>
        <w:rPr>
          <w:rFonts w:ascii="Times New Roman" w:eastAsia="Calibri" w:hAnsi="Times New Roman" w:cs="Times New Roman"/>
        </w:rPr>
      </w:pPr>
    </w:p>
    <w:p w14:paraId="0B2F5885"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rPr>
        <w:tab/>
      </w:r>
      <w:r w:rsidRPr="008253AC">
        <w:rPr>
          <w:rFonts w:ascii="Times New Roman" w:eastAsia="Calibri" w:hAnsi="Times New Roman" w:cs="Times New Roman"/>
          <w:sz w:val="24"/>
          <w:szCs w:val="24"/>
        </w:rPr>
        <w:t>Assim, entendemos o conceito e a prática da ação direta que não abarca apenas o momento do agir coletivo e político, mas conta também com a construção e ressignificação política do local no qual a pauta é mobilizada em determinado tempo histórico. Afunilando o debate sobre os vários movimentos de ocupação que aconteceram no mundo recentemente, vale a contextualização de Peschanski dizendo que</w:t>
      </w:r>
    </w:p>
    <w:p w14:paraId="326391DA"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crítica dos “ocupas” é especialmente apropriada num contexto global em que a taxa de desemprego é crescente e a parcela da população economicamente vulnerável aumenta: de acordo com a Organização Internacional do Trabalho, a taxa global de desemprego atingiu níveis recordes nos últimos três anos. As “ocupas” pelo mundo, em particular os de Wall Street, Nova York, onde os protestos começaram em setembro e chegaram a reunir 15 mil pessoas, definem-se como a “mobilização dos 99%”, isto é, a parcela da população negativamente afetada pela desigualdade econômica (Perchanski, 2012: 28). </w:t>
      </w:r>
    </w:p>
    <w:p w14:paraId="30DF2021" w14:textId="77777777" w:rsidR="008253AC" w:rsidRPr="008253AC" w:rsidRDefault="008253AC" w:rsidP="000D3779">
      <w:pPr>
        <w:spacing w:after="0" w:line="240" w:lineRule="auto"/>
        <w:ind w:left="2268"/>
        <w:jc w:val="both"/>
        <w:rPr>
          <w:rFonts w:ascii="Times New Roman" w:eastAsia="Calibri" w:hAnsi="Times New Roman" w:cs="Times New Roman"/>
        </w:rPr>
      </w:pPr>
    </w:p>
    <w:p w14:paraId="7AE053D9"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Dentre autores que aprofundaram a investigação de tais recentes mobilizações, temos como referenciais teóricos: Manuel Castells (2012) que discorre sobre os movimentos que ocorreram desde a Primavera Árabe até os ocorridos na Europa e Estados Unidos;  o antropólogo David Graeber (2015) que analisa e faz uma narrativa sobre o movimento Occupy Wall Street, nos Estados Unidos e Wallace de Moraes (2018) que também acrescentará a contextualização teórica e prática sobre ações diretas, quando se propõe a implementação de uma narrativa anarquista do ano de 2013 no Brasil. </w:t>
      </w:r>
    </w:p>
    <w:p w14:paraId="0AFD9F13"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Manuel Castells (2017) faz uma narrativa e descrição interessante a respeito dos movimentos que ocorreram na Tunísia, Egito e da chamada Primavera Árabe (entre 2011 e 2012); A “Revolução das Panelas” na Islândia (entre 2008 e 2009); o Movimento dos Indignados na Espanha (2011); o movimento Occupy Wall Street nos Estados Unidos (2011); além de citações de mobilizações que aconteceram em 2013 no Brasil, Chile, México e Turquia. </w:t>
      </w:r>
    </w:p>
    <w:p w14:paraId="3ECC5D77"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O uso dos novos meios de comunicação e a questão da falta de representatividade da política institucional são dois dos principais fios condutores que o cientista social espanhol traça em comum com todos os movimentos citados anteriormente classificando-os como “Rede de Esperança e Indignação”, que deu origem ao título do livro de sua autoria.  </w:t>
      </w:r>
    </w:p>
    <w:p w14:paraId="412A7599"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Castells se utiliza de um conceito importante chamado contrapoder, como veremos abaixo:</w:t>
      </w:r>
    </w:p>
    <w:p w14:paraId="14EE407B"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Os movimentos sociais exercem o contrapoder, construindo-se, em primeiro lugar, mediante um processo de comunicação autônoma, livre do controle dos que detêm o poder institucional. Como os meios de comunicação de massa são amplamente controlados por governos e empresas de mídia, na sociedade em rede e autonomia de comunicação é basicamente construída nas redes da internet e nas plataformas de comunicação sem fio. As redes sociais digitais oferecem a possibilidade de deliberar sobre e coordenar as ações de forma amplamente desimpedida (Castells; 2017, 24). </w:t>
      </w:r>
    </w:p>
    <w:p w14:paraId="132C769E" w14:textId="77777777" w:rsidR="008253AC" w:rsidRPr="008253AC" w:rsidRDefault="008253AC" w:rsidP="000D3779">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w:t>
      </w:r>
    </w:p>
    <w:p w14:paraId="2BCF4D43"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Occupy Wall Street foi brilhantemente narrado por Graeber (2015). O antropólogo relata o antes, o durante e o depois do evento que ocorreu em Nova Iorque, em 2011, além de aprofundar a história da democracia nos Estados Unidos e o conceito político propriamente dito. Dentre tantos temas trabalhados pelo autor, a própria ocupação e construção do Occupy são exemplos de ação direta. </w:t>
      </w:r>
    </w:p>
    <w:p w14:paraId="4AD3D037"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Além disso, as reflexões de Graeber será fundamental para ajudar na análise das ocupações escolares através de conceitos e práticas políticas como a construção de consenso no movimento social pautado pela democracia direta, pelo papel que anarquistas desempenharam ao longo da história e a própria ampliação do conceito de democracia para além do senso comum e dos autores clássicos da ciência política (Graeber, 2015). </w:t>
      </w:r>
    </w:p>
    <w:p w14:paraId="3AE7B5C2"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Para debater a conjuntura de 2013 no Brasil – com foco no Rio de Janeiro – e as ações diretas promovidas nesse período, a</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obra de Wallace de Moraes (2018b) será central </w:t>
      </w:r>
      <w:r w:rsidRPr="008253AC">
        <w:rPr>
          <w:rFonts w:ascii="Times New Roman" w:eastAsia="Calibri" w:hAnsi="Times New Roman" w:cs="Times New Roman"/>
          <w:sz w:val="24"/>
          <w:szCs w:val="24"/>
        </w:rPr>
        <w:lastRenderedPageBreak/>
        <w:t xml:space="preserve">para resgatar fatos, contextos e ações que moldaram o acontecimento político mais importante das últimas décadas no Brasil. </w:t>
      </w:r>
    </w:p>
    <w:p w14:paraId="66349CE7"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Algumas ocupações aconteceram nesse período no Rio de Janeiro, como por exemplo, a Câmara dos Vereadores do Rio de Janeiro, entre 9 e 21 de agosto, e a Câmara dos Vereadores de Niterói entre 8 e 24 de agosto (Moraes, 2018b).</w:t>
      </w:r>
    </w:p>
    <w:p w14:paraId="0B744A6C" w14:textId="77777777" w:rsidR="00F1063A"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Em 2013, aconteceram também ocupações na frente da residência do Governador Sérgio Cabral (Ocupa Cabral)</w:t>
      </w:r>
      <w:r w:rsidRPr="008253AC">
        <w:rPr>
          <w:rFonts w:ascii="Times New Roman" w:eastAsia="Calibri" w:hAnsi="Times New Roman" w:cs="Times New Roman"/>
          <w:sz w:val="24"/>
          <w:szCs w:val="24"/>
          <w:vertAlign w:val="superscript"/>
        </w:rPr>
        <w:footnoteReference w:id="77"/>
      </w:r>
      <w:r w:rsidRPr="008253AC">
        <w:rPr>
          <w:rFonts w:ascii="Times New Roman" w:eastAsia="Calibri" w:hAnsi="Times New Roman" w:cs="Times New Roman"/>
          <w:sz w:val="24"/>
          <w:szCs w:val="24"/>
        </w:rPr>
        <w:t>, em frente ao terreno que foi instalado o campo de golfe (Ocupa Golfe)</w:t>
      </w:r>
      <w:r w:rsidRPr="008253AC">
        <w:rPr>
          <w:rFonts w:ascii="Times New Roman" w:eastAsia="Calibri" w:hAnsi="Times New Roman" w:cs="Times New Roman"/>
          <w:sz w:val="24"/>
          <w:szCs w:val="24"/>
          <w:vertAlign w:val="superscript"/>
        </w:rPr>
        <w:footnoteReference w:id="78"/>
      </w:r>
      <w:r w:rsidRPr="008253AC">
        <w:rPr>
          <w:rFonts w:ascii="Times New Roman" w:eastAsia="Calibri" w:hAnsi="Times New Roman" w:cs="Times New Roman"/>
          <w:sz w:val="24"/>
          <w:szCs w:val="24"/>
        </w:rPr>
        <w:t xml:space="preserve"> para as Olimpíadas de 2016 numa região de proteção ambiental na cidade do Rio de Janeiro.  </w:t>
      </w:r>
    </w:p>
    <w:p w14:paraId="0757D86C"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entendemos que as ações diretas realizadas nas ocupações escolares em 2015, em São Paulo e em 2016, no Rio de Janeiro, não podem ser apresentadas como novidades, pois fazem parte de um histórico de lutas e táticas que vão além da intermediação da política institucional e precisam ser historicizadas para que não sejam esquecidas. Tais ocupações estudantis </w:t>
      </w:r>
      <w:r w:rsidRPr="008253AC">
        <w:rPr>
          <w:rFonts w:ascii="Times New Roman" w:eastAsia="Times New Roman" w:hAnsi="Times New Roman" w:cs="Times New Roman"/>
          <w:sz w:val="24"/>
          <w:szCs w:val="24"/>
        </w:rPr>
        <w:t>influenciaram</w:t>
      </w:r>
      <w:r w:rsidRPr="008253AC">
        <w:rPr>
          <w:rFonts w:ascii="Times New Roman" w:eastAsia="Calibri" w:hAnsi="Times New Roman" w:cs="Times New Roman"/>
          <w:sz w:val="24"/>
          <w:szCs w:val="24"/>
        </w:rPr>
        <w:t xml:space="preserve"> tanto a expansão do movimento para outras escolas secundaristas em distintas unidades da federação nos meses e ano seguinte, quanto ações em universidades e movimentos sociais em geral.</w:t>
      </w:r>
    </w:p>
    <w:p w14:paraId="501649C7"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Nas palavras de Moraes,</w:t>
      </w:r>
    </w:p>
    <w:p w14:paraId="02192705" w14:textId="77777777" w:rsidR="008253AC" w:rsidRPr="008253AC" w:rsidRDefault="008253AC" w:rsidP="000D3779">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podemos elencar as ocupações de escolas e universidades em 2015 e 2016 como parte de um movimento de contestação das estruturas existentes na sociedade, que teve muita influência de 2013. No IFCS</w:t>
      </w:r>
      <w:r w:rsidRPr="008253AC">
        <w:rPr>
          <w:rFonts w:ascii="Times New Roman" w:eastAsia="Calibri" w:hAnsi="Times New Roman" w:cs="Times New Roman"/>
          <w:vertAlign w:val="superscript"/>
        </w:rPr>
        <w:footnoteReference w:id="79"/>
      </w:r>
      <w:r w:rsidRPr="008253AC">
        <w:rPr>
          <w:rFonts w:ascii="Times New Roman" w:eastAsia="Calibri" w:hAnsi="Times New Roman" w:cs="Times New Roman"/>
        </w:rPr>
        <w:t xml:space="preserve">, por exemplo, os estudantes conseguiram um feito histórico ao ocuparem o prédio e exigirem o restaurante universitário. Depois de muita ação direta e negociação, a luta foi vitoriosa e, até a publicação desse livro, </w:t>
      </w:r>
      <w:proofErr w:type="gramStart"/>
      <w:r w:rsidRPr="008253AC">
        <w:rPr>
          <w:rFonts w:ascii="Times New Roman" w:eastAsia="Calibri" w:hAnsi="Times New Roman" w:cs="Times New Roman"/>
        </w:rPr>
        <w:t>o “bandejão”</w:t>
      </w:r>
      <w:proofErr w:type="gramEnd"/>
      <w:r w:rsidRPr="008253AC">
        <w:rPr>
          <w:rFonts w:ascii="Times New Roman" w:eastAsia="Calibri" w:hAnsi="Times New Roman" w:cs="Times New Roman"/>
        </w:rPr>
        <w:t xml:space="preserve"> estava em pleno funcionamento, possibilitando a centenas de estudantes um alimento que lhes permitiria cumprir mais horas de estudo e convivência na Universidade (Moraes, 2018b: 328). </w:t>
      </w:r>
    </w:p>
    <w:p w14:paraId="19FAA87C"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p>
    <w:p w14:paraId="401E6355"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Afirmamos que todos os exemplos ao longo da história que enquadramos como ações diretas, tanto conceitualmente quanto na prática, buscaram ressignificar o espaço </w:t>
      </w:r>
      <w:r w:rsidRPr="008253AC">
        <w:rPr>
          <w:rFonts w:ascii="Times New Roman" w:eastAsia="Calibri" w:hAnsi="Times New Roman" w:cs="Times New Roman"/>
          <w:sz w:val="24"/>
          <w:szCs w:val="24"/>
        </w:rPr>
        <w:lastRenderedPageBreak/>
        <w:t xml:space="preserve">no qual reivindicaram suas pautas. Seja nas fábricas, nas praças públicas, em prédios, na zona rural, em universidades ou escolas. </w:t>
      </w:r>
    </w:p>
    <w:p w14:paraId="68D58CE4" w14:textId="77777777" w:rsidR="008253AC" w:rsidRPr="008253AC"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As ocupações escolares também são exemplos da ação direta sem intermediários com protagonismo de jovens de periferia ou de baixa renda que reinventaram o espaço escolar, um local historicamente hierárquico, cuja burocracia do Estado afasta estudantes e docentes da participação de processos decisórios. Consideramos que nesse fenômeno histórico houve uma quebra nas estruturas formais com o predomínio de outra lógica organizativa política e social implementada pela juventude durante alguns meses.</w:t>
      </w:r>
    </w:p>
    <w:p w14:paraId="638AFEF0" w14:textId="77777777" w:rsidR="00F1063A"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Em resumo, os estudantes se mobilizaram, propagaram suas ações, pautas e atividades políticas através de novas tecnologias e redes sociais.  Contudo, essas mobilizações – incluindo as ações estudantis em 2015 e 2016 que Castells descreve em sua obra - são exemplos de novas formas de mobilização dos movimentos sociais que não ficaram apenas nas redes. Elas aconteceram nas praças públicas, nas ações contra os poderes constituídos e na construção de formas de fazer política que transcenderam a política institucional, dentre outros fatores. Logo, a noção prática e teórica de ação direta dialoga com esses eventos históricos recentes.</w:t>
      </w:r>
    </w:p>
    <w:p w14:paraId="66631D8B" w14:textId="77777777" w:rsidR="008253AC" w:rsidRPr="00F1063A" w:rsidRDefault="008253AC" w:rsidP="000D3779">
      <w:pPr>
        <w:spacing w:after="0" w:line="360" w:lineRule="auto"/>
        <w:ind w:firstLine="708"/>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 xml:space="preserve">No Paraguai, em 2017, manifestantes </w:t>
      </w:r>
      <w:r w:rsidRPr="008253AC">
        <w:rPr>
          <w:rFonts w:ascii="Times New Roman" w:eastAsia="Times New Roman" w:hAnsi="Times New Roman" w:cs="Times New Roman"/>
          <w:sz w:val="24"/>
          <w:szCs w:val="24"/>
          <w:shd w:val="clear" w:color="auto" w:fill="FFFFFF"/>
        </w:rPr>
        <w:t xml:space="preserve">invadiram e atearam fogo no Congresso do país após senadores e partidários do presidente Horacio Cartes aprovarem, </w:t>
      </w:r>
      <w:proofErr w:type="gramStart"/>
      <w:r w:rsidRPr="008253AC">
        <w:rPr>
          <w:rFonts w:ascii="Times New Roman" w:eastAsia="Times New Roman" w:hAnsi="Times New Roman" w:cs="Times New Roman"/>
          <w:sz w:val="24"/>
          <w:szCs w:val="24"/>
          <w:shd w:val="clear" w:color="auto" w:fill="FFFFFF"/>
        </w:rPr>
        <w:t>à</w:t>
      </w:r>
      <w:proofErr w:type="gramEnd"/>
      <w:r w:rsidRPr="008253AC">
        <w:rPr>
          <w:rFonts w:ascii="Times New Roman" w:eastAsia="Times New Roman" w:hAnsi="Times New Roman" w:cs="Times New Roman"/>
          <w:sz w:val="24"/>
          <w:szCs w:val="24"/>
          <w:shd w:val="clear" w:color="auto" w:fill="FFFFFF"/>
        </w:rPr>
        <w:t xml:space="preserve"> portas fechadas, a reeleição presidencial. Podemos notar a prática de ação direta se sobrepondo aos modelos indiretos de eleição e representação política. </w:t>
      </w:r>
    </w:p>
    <w:p w14:paraId="03714DF8" w14:textId="77777777" w:rsidR="008253AC" w:rsidRPr="008253AC" w:rsidRDefault="008253AC" w:rsidP="000D3779">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outubro de 2019, a partir de medidas tomadas pelo presidente Lenin Moreno que tinha a intenção de aplicar um ajuste fiscal rigoroso, baseando-se no decreto 883 que tinha como cargo chefe o encarecimento do preço dos combustíveis– uma alta de 123% no preço na gasolina e diesel</w:t>
      </w:r>
      <w:r w:rsidRPr="008253AC">
        <w:rPr>
          <w:rFonts w:ascii="Times New Roman" w:eastAsia="Times New Roman" w:hAnsi="Times New Roman" w:cs="Times New Roman"/>
          <w:sz w:val="24"/>
          <w:szCs w:val="24"/>
          <w:vertAlign w:val="superscript"/>
        </w:rPr>
        <w:footnoteReference w:id="80"/>
      </w:r>
      <w:r w:rsidRPr="008253AC">
        <w:rPr>
          <w:rFonts w:ascii="Times New Roman" w:eastAsia="Times New Roman" w:hAnsi="Times New Roman" w:cs="Times New Roman"/>
          <w:sz w:val="24"/>
          <w:szCs w:val="24"/>
        </w:rPr>
        <w:t xml:space="preserve"> – o povo se insurgiu nas principais cidades do país. </w:t>
      </w:r>
    </w:p>
    <w:p w14:paraId="2CC8C8DC" w14:textId="77777777" w:rsidR="008253AC" w:rsidRPr="008253AC" w:rsidRDefault="008253AC" w:rsidP="000D3779">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Foram 11 dias de revoltas, trancamentos das principais vias de acesso aos centros urbanos, greve geral e o povo nas ruas. Até a mudança de sede da capital </w:t>
      </w:r>
      <w:proofErr w:type="gramStart"/>
      <w:r w:rsidRPr="008253AC">
        <w:rPr>
          <w:rFonts w:ascii="Times New Roman" w:eastAsia="Times New Roman" w:hAnsi="Times New Roman" w:cs="Times New Roman"/>
          <w:sz w:val="24"/>
          <w:szCs w:val="24"/>
        </w:rPr>
        <w:t>pra</w:t>
      </w:r>
      <w:proofErr w:type="gramEnd"/>
      <w:r w:rsidRPr="008253AC">
        <w:rPr>
          <w:rFonts w:ascii="Times New Roman" w:eastAsia="Times New Roman" w:hAnsi="Times New Roman" w:cs="Times New Roman"/>
          <w:sz w:val="24"/>
          <w:szCs w:val="24"/>
        </w:rPr>
        <w:t xml:space="preserve"> outra cidade os governantes tiveram que fazer por conta da rebelião popular. E vale ressaltar que acompanhando os acontecimentos percebemos que a presença de indígenas nos protestos foi fundamental em todo o processo. </w:t>
      </w:r>
    </w:p>
    <w:p w14:paraId="2DCE6861"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lastRenderedPageBreak/>
        <w:tab/>
        <w:t>Por conta do protagonismo da CONAIE (Confederação de Nacionalidades Indígenas do Equador), tiveram marchas com milhares de indígenas saindo do interior em direção a capital para participar das manifestações. De forma descentralizada, indígenas nas linhas de frente, sem uma liderança específica e que faz parte do espectro da esquerda institucional, mas com organização popular e pautas bem definidas contra as medidas do Estado, os equatorianos conseguiram após muita resistência fazer com que o governo recuasse e voltasse atrás no decreto 883</w:t>
      </w:r>
      <w:r w:rsidRPr="008253AC">
        <w:rPr>
          <w:rFonts w:ascii="Times New Roman" w:eastAsia="Times New Roman" w:hAnsi="Times New Roman" w:cs="Times New Roman"/>
          <w:sz w:val="24"/>
          <w:szCs w:val="24"/>
          <w:vertAlign w:val="superscript"/>
        </w:rPr>
        <w:footnoteReference w:id="81"/>
      </w:r>
      <w:r w:rsidRPr="008253AC">
        <w:rPr>
          <w:rFonts w:ascii="Times New Roman" w:eastAsia="Times New Roman" w:hAnsi="Times New Roman" w:cs="Times New Roman"/>
          <w:sz w:val="24"/>
          <w:szCs w:val="24"/>
        </w:rPr>
        <w:t>.</w:t>
      </w:r>
      <w:r w:rsidRPr="008253AC">
        <w:rPr>
          <w:rFonts w:ascii="Times New Roman" w:eastAsia="Times New Roman" w:hAnsi="Times New Roman" w:cs="Times New Roman"/>
          <w:color w:val="FF0000"/>
          <w:sz w:val="24"/>
          <w:szCs w:val="24"/>
        </w:rPr>
        <w:t xml:space="preserve"> </w:t>
      </w:r>
    </w:p>
    <w:p w14:paraId="62871D83" w14:textId="77777777" w:rsidR="008253AC" w:rsidRPr="008253AC" w:rsidRDefault="008253AC" w:rsidP="00F1063A">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w:t>
      </w:r>
      <w:r w:rsidRPr="008253AC">
        <w:rPr>
          <w:rFonts w:ascii="Times New Roman" w:eastAsia="Times New Roman" w:hAnsi="Times New Roman" w:cs="Times New Roman"/>
          <w:sz w:val="24"/>
          <w:szCs w:val="24"/>
          <w:shd w:val="clear" w:color="auto" w:fill="FFFFFF"/>
        </w:rPr>
        <w:t>onda de protestos iniciada contra o aumento dos preços dos combustíveis obrigou o governo a mudar a sede governamental da cidade de Quito</w:t>
      </w:r>
      <w:r w:rsidRPr="008253AC">
        <w:rPr>
          <w:rFonts w:ascii="Times New Roman" w:eastAsia="Times New Roman" w:hAnsi="Times New Roman" w:cs="Times New Roman"/>
          <w:b/>
          <w:bCs/>
          <w:sz w:val="24"/>
          <w:szCs w:val="24"/>
          <w:shd w:val="clear" w:color="auto" w:fill="FFFFFF"/>
        </w:rPr>
        <w:t> </w:t>
      </w:r>
      <w:r w:rsidRPr="008253AC">
        <w:rPr>
          <w:rFonts w:ascii="Times New Roman" w:eastAsia="Times New Roman" w:hAnsi="Times New Roman" w:cs="Times New Roman"/>
          <w:sz w:val="24"/>
          <w:szCs w:val="24"/>
          <w:shd w:val="clear" w:color="auto" w:fill="FFFFFF"/>
        </w:rPr>
        <w:t>para</w:t>
      </w:r>
      <w:r w:rsidRPr="008253AC">
        <w:rPr>
          <w:rFonts w:ascii="Times New Roman" w:eastAsia="Times New Roman" w:hAnsi="Times New Roman" w:cs="Times New Roman"/>
          <w:b/>
          <w:bCs/>
          <w:sz w:val="24"/>
          <w:szCs w:val="24"/>
          <w:shd w:val="clear" w:color="auto" w:fill="FFFFFF"/>
        </w:rPr>
        <w:t xml:space="preserve"> </w:t>
      </w:r>
      <w:r w:rsidRPr="008253AC">
        <w:rPr>
          <w:rFonts w:ascii="Times New Roman" w:eastAsia="Times New Roman" w:hAnsi="Times New Roman" w:cs="Times New Roman"/>
          <w:b/>
          <w:sz w:val="24"/>
          <w:szCs w:val="24"/>
          <w:shd w:val="clear" w:color="auto" w:fill="FFFFFF"/>
        </w:rPr>
        <w:t>G</w:t>
      </w:r>
      <w:r w:rsidRPr="008253AC">
        <w:rPr>
          <w:rFonts w:ascii="Times New Roman" w:eastAsia="Times New Roman" w:hAnsi="Times New Roman" w:cs="Times New Roman"/>
          <w:b/>
          <w:bCs/>
          <w:sz w:val="24"/>
          <w:szCs w:val="24"/>
          <w:shd w:val="clear" w:color="auto" w:fill="FFFFFF"/>
        </w:rPr>
        <w:t>uayaquil.</w:t>
      </w:r>
      <w:r w:rsidRPr="008253AC">
        <w:rPr>
          <w:rFonts w:ascii="Times New Roman" w:eastAsia="Times New Roman" w:hAnsi="Times New Roman" w:cs="Times New Roman"/>
          <w:sz w:val="24"/>
          <w:szCs w:val="24"/>
          <w:shd w:val="clear" w:color="auto" w:fill="FFFFFF"/>
        </w:rPr>
        <w:t xml:space="preserve"> Após protestos e ações diretas nas proximidades do Palácio de Carondelet, até antão sede do governo, a atuação dos povos indígenas e da população de forma geral ampliou o leque de reivindicações e questionou a própria legitimidade do governo.</w:t>
      </w:r>
    </w:p>
    <w:p w14:paraId="74842758" w14:textId="77777777" w:rsid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No próximo ponto do artigo abordaremos o conceito de teoria das ruas que embasa e dá forma a toda ideia que buscamos apresentar ao longo do texto, e condiz de forma direta e simplificada o quão esses fenômenos históricos têm a nos dizer enquanto prática política.</w:t>
      </w:r>
    </w:p>
    <w:p w14:paraId="0CE6455F" w14:textId="77777777" w:rsidR="007925E5" w:rsidRPr="007925E5" w:rsidRDefault="007925E5"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78FFFE49" w14:textId="77777777" w:rsid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P</w:t>
      </w:r>
      <w:r w:rsidR="000D3779">
        <w:rPr>
          <w:rFonts w:ascii="Times New Roman" w:eastAsia="Times New Roman" w:hAnsi="Times New Roman" w:cs="Times New Roman"/>
          <w:b/>
          <w:sz w:val="24"/>
          <w:szCs w:val="24"/>
        </w:rPr>
        <w:t xml:space="preserve">or uma Teoria das Ruas </w:t>
      </w:r>
    </w:p>
    <w:p w14:paraId="0FCB403E" w14:textId="77777777" w:rsidR="000D3779" w:rsidRPr="008253AC" w:rsidRDefault="000D3779"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036C389C"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Nossa intenção nessa parte do artigo é estabelecer uma relação entre os conceitos já mencionados caros a literatura anarquista e os acontecimentos históricos traçados. </w:t>
      </w:r>
    </w:p>
    <w:p w14:paraId="69C460FB" w14:textId="77777777" w:rsidR="008253AC" w:rsidRPr="008253AC" w:rsidRDefault="008253AC" w:rsidP="008253AC">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Buscamos ampliar a análise que Moraes (2018b) desenvolve em seu livro sobre as revoltas que ocorreram no ano de 2013 e 2014 no Brasil, em especial no Rio de Janeiro, que é o conceito de teoria das ruas. </w:t>
      </w:r>
    </w:p>
    <w:p w14:paraId="2DC972BF" w14:textId="77777777" w:rsidR="008253AC" w:rsidRPr="008253AC" w:rsidRDefault="008253AC" w:rsidP="008253AC">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Tanto os protagonistas destes eventos que se autointitularam anarquistas quanto os indivíduos ou grupos que se inspiraram nas suas ideias e conceitos, mas que não tenham materializado objetivamente nenhuma relação com o pensamento libertário, certamente valeram-se de seu modus operandi autogestionado e anti-estadolátrico, pautado na ação direta como instrumento de reivindicação política e social. </w:t>
      </w:r>
    </w:p>
    <w:p w14:paraId="2443E301"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lastRenderedPageBreak/>
        <w:tab/>
        <w:t xml:space="preserve">Segundo o autor, </w:t>
      </w:r>
    </w:p>
    <w:p w14:paraId="5B685A21" w14:textId="77777777" w:rsidR="008253AC" w:rsidRPr="008253AC" w:rsidRDefault="008253AC" w:rsidP="008253AC">
      <w:pPr>
        <w:spacing w:after="20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Uma teoria das ruas deve estar comprometida com os sinais emitidos por elas, problematizando-os, tentando decifrá-los. Diferente de outras perspectivas que almejam tutelar os governados, dizendo-lhes o que deveriam ter feito ou devem fazer; nós queremos entender seus sinais, que também são os nossos, pois somos parte desse povo. A primeira perspectiva parte de um plano pré-estabelecido; a nossa, ao contrário, deve aprender junto e construir coletivamente o novo mundo (Moraes, 2018b: 99) </w:t>
      </w:r>
    </w:p>
    <w:p w14:paraId="4D5689BE"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0BEF0B21"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É fundamental buscar entender que a realidade das conquistas de direitos ao longo da </w:t>
      </w:r>
      <w:proofErr w:type="gramStart"/>
      <w:r w:rsidRPr="008253AC">
        <w:rPr>
          <w:rFonts w:ascii="Times New Roman" w:eastAsia="Times New Roman" w:hAnsi="Times New Roman" w:cs="Times New Roman"/>
          <w:sz w:val="24"/>
          <w:szCs w:val="24"/>
        </w:rPr>
        <w:t>história da humanidade</w:t>
      </w:r>
      <w:proofErr w:type="gramEnd"/>
      <w:r w:rsidRPr="008253AC">
        <w:rPr>
          <w:rFonts w:ascii="Times New Roman" w:eastAsia="Times New Roman" w:hAnsi="Times New Roman" w:cs="Times New Roman"/>
          <w:sz w:val="24"/>
          <w:szCs w:val="24"/>
        </w:rPr>
        <w:t xml:space="preserve"> são frutos de mobilizações construídas de maneira coletiva, nas quais vários fatores e agentes participaram e ainda participam.</w:t>
      </w:r>
    </w:p>
    <w:p w14:paraId="6C8AA0F1"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Nesse sentido, Moraes reforça que</w:t>
      </w:r>
    </w:p>
    <w:p w14:paraId="1D4D20FC" w14:textId="77777777" w:rsidR="008253AC" w:rsidRPr="008253AC" w:rsidRDefault="008253AC" w:rsidP="008253AC">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o método anarquista baseia-se na ideia de que ação direta dos governados constitui-se enquanto motor da história, isto é, é o movimento popular autônomo tomando as ruas, fazendo greves, organizando-se coletivamente, autogerindo-se, que pode fazer mudanças substantivas para melhoria da qualidade de vida, como um verdadeiro processo de auto-instituição</w:t>
      </w:r>
      <w:r w:rsidRPr="008253AC">
        <w:rPr>
          <w:rFonts w:ascii="Times New Roman" w:eastAsia="Times New Roman" w:hAnsi="Times New Roman" w:cs="Times New Roman"/>
          <w:vertAlign w:val="superscript"/>
        </w:rPr>
        <w:footnoteReference w:id="82"/>
      </w:r>
      <w:r w:rsidRPr="008253AC">
        <w:rPr>
          <w:rFonts w:ascii="Times New Roman" w:eastAsia="Times New Roman" w:hAnsi="Times New Roman" w:cs="Times New Roman"/>
        </w:rPr>
        <w:t xml:space="preserve"> (Moraes, 2018b: 98-99). </w:t>
      </w:r>
    </w:p>
    <w:p w14:paraId="32F71886" w14:textId="77777777" w:rsidR="008253AC" w:rsidRPr="008253AC" w:rsidRDefault="008253AC" w:rsidP="008253AC">
      <w:pPr>
        <w:widowControl w:val="0"/>
        <w:autoSpaceDE w:val="0"/>
        <w:autoSpaceDN w:val="0"/>
        <w:spacing w:after="0" w:line="240" w:lineRule="auto"/>
        <w:ind w:right="110"/>
        <w:jc w:val="both"/>
        <w:rPr>
          <w:rFonts w:ascii="Times New Roman" w:eastAsia="Times New Roman" w:hAnsi="Times New Roman" w:cs="Times New Roman"/>
        </w:rPr>
      </w:pPr>
    </w:p>
    <w:p w14:paraId="4C749044"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p>
    <w:p w14:paraId="2ECF5466"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lente que tentamos estabelecer como paradigma teórico e político se constrói a partir de uma dialética de que teoria e prática não se separam, mas se complementam. Quando fazemos alusão aos diversos acontecimentos políticos citados no ponto anterior do trabalho, entendemos que todos eles se encaixam diretamente com o que Moraes (2018b) defende como uma teoria das ruas, sempre relacionando com conceitos e uma epistemologia de cunho político libertário.  </w:t>
      </w:r>
    </w:p>
    <w:p w14:paraId="62E5A2C5" w14:textId="77777777" w:rsidR="008253AC" w:rsidRPr="008253AC" w:rsidRDefault="008253AC" w:rsidP="008253AC">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Vejamos a relação que a teoria das ruas possui com as outras teorias estodolátricas, nas palavras de Moraes (2019):</w:t>
      </w:r>
    </w:p>
    <w:p w14:paraId="1EA257FB" w14:textId="77777777" w:rsidR="008253AC" w:rsidRPr="008253AC" w:rsidRDefault="008253AC" w:rsidP="008253AC">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Diferente de teorias estadolátricas, como a liberal, a marxista, a social-democrata e a fascista, a perspectiva anarquista pressupõe a derrubada do Estado, das hierarquias, dos preconceitos e das governanças sociais e institucionais. A filosofia anarquista buscar uma revolução social não por uma vã vaidade, mas como única forma de garantir o </w:t>
      </w:r>
      <w:r w:rsidRPr="008253AC">
        <w:rPr>
          <w:rFonts w:ascii="Times New Roman" w:eastAsia="Times New Roman" w:hAnsi="Times New Roman" w:cs="Times New Roman"/>
        </w:rPr>
        <w:lastRenderedPageBreak/>
        <w:t xml:space="preserve">autogoverno popular. Ao mesmo tempo, essa construção deve ser realizada de forma horizontal, sem imposição vertical dos donos das propriedades privadas ou pela vanguarda revolucionária, únicos possuidores do saber, da verdade e da razão, como rezam as cartilhas marxistas, leninistas, liberais e fascistas. Podem acusar os anarquistas de tudo, menos de tentar usurpar o poder popular. Aliás, quem tem que explicar a subordinação popular são aqueles que defendem a legitimidade do Estado, seja ele qual for, pois sua simples existência significa a materialização da usurpação dos que serão por ele geridos, controlados, massacrados, vigiados, aprisionados, torturados, perseguidos, em uma palavra, governados (Moraes, 2019). </w:t>
      </w:r>
    </w:p>
    <w:p w14:paraId="5515E7B0" w14:textId="77777777" w:rsidR="008253AC" w:rsidRPr="008253AC" w:rsidRDefault="008253AC" w:rsidP="008253AC">
      <w:pPr>
        <w:widowControl w:val="0"/>
        <w:autoSpaceDE w:val="0"/>
        <w:autoSpaceDN w:val="0"/>
        <w:spacing w:after="0" w:line="240" w:lineRule="auto"/>
        <w:ind w:left="2268" w:right="110"/>
        <w:jc w:val="both"/>
        <w:rPr>
          <w:rFonts w:ascii="Times New Roman" w:eastAsia="Times New Roman" w:hAnsi="Times New Roman" w:cs="Times New Roman"/>
        </w:rPr>
      </w:pPr>
    </w:p>
    <w:p w14:paraId="44662AEC"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p>
    <w:p w14:paraId="1E896D5D"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Portanto, romper a dicotomia Ordem/Desordem, aplicar e entender na teoria e na prática política as noções de ação direta e autogestão têm relações diretas com os princípios anarquistas e de uma teoria que se propõe ser das ruas e não “para as ruas”.</w:t>
      </w:r>
    </w:p>
    <w:p w14:paraId="19354328"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Defender a teoria das ruas é importante no sentido de fortalecer que o desenvolvimento de uma teoria e prática política do campo libertário necessita ter a sensibilidade de entender o que as ruas e as mobilizações populares nos dizem e, se possível, construir postulados teóricos que condizem diretamente com os fatos, amplamente conectados com as lutas dos governados. </w:t>
      </w:r>
    </w:p>
    <w:p w14:paraId="2B5E1C1E"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5469626B" w14:textId="77777777" w:rsid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b/>
          <w:bCs/>
          <w:sz w:val="24"/>
          <w:szCs w:val="24"/>
        </w:rPr>
      </w:pPr>
      <w:r w:rsidRPr="008253AC">
        <w:rPr>
          <w:rFonts w:ascii="Times New Roman" w:eastAsia="Times New Roman" w:hAnsi="Times New Roman" w:cs="Times New Roman"/>
          <w:b/>
          <w:bCs/>
          <w:sz w:val="24"/>
          <w:szCs w:val="24"/>
        </w:rPr>
        <w:t>C</w:t>
      </w:r>
      <w:r w:rsidR="000D3779">
        <w:rPr>
          <w:rFonts w:ascii="Times New Roman" w:eastAsia="Times New Roman" w:hAnsi="Times New Roman" w:cs="Times New Roman"/>
          <w:b/>
          <w:bCs/>
          <w:sz w:val="24"/>
          <w:szCs w:val="24"/>
        </w:rPr>
        <w:t xml:space="preserve">onclusão </w:t>
      </w:r>
    </w:p>
    <w:p w14:paraId="69F19390" w14:textId="77777777" w:rsidR="000D3779" w:rsidRPr="008253AC" w:rsidRDefault="000D3779" w:rsidP="008253AC">
      <w:pPr>
        <w:widowControl w:val="0"/>
        <w:autoSpaceDE w:val="0"/>
        <w:autoSpaceDN w:val="0"/>
        <w:spacing w:after="0" w:line="360" w:lineRule="auto"/>
        <w:ind w:right="110"/>
        <w:jc w:val="both"/>
        <w:rPr>
          <w:rFonts w:ascii="Times New Roman" w:eastAsia="Times New Roman" w:hAnsi="Times New Roman" w:cs="Times New Roman"/>
          <w:b/>
          <w:bCs/>
          <w:sz w:val="24"/>
          <w:szCs w:val="24"/>
        </w:rPr>
      </w:pPr>
    </w:p>
    <w:p w14:paraId="73B6DC58"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sz w:val="24"/>
          <w:szCs w:val="24"/>
          <w:highlight w:val="yellow"/>
        </w:rPr>
      </w:pPr>
      <w:r w:rsidRPr="008253AC">
        <w:rPr>
          <w:rFonts w:ascii="Times New Roman" w:eastAsia="Times New Roman" w:hAnsi="Times New Roman" w:cs="Times New Roman"/>
          <w:sz w:val="24"/>
          <w:szCs w:val="24"/>
        </w:rPr>
        <w:t xml:space="preserve">         Nossa tese sobre experenciarmos um mundo em chamas poderá, em breve, ser corroborada se incorporarmos alguns eventos recentes que ainda se encontram em curso e demandam um tempo mínimo para uma conclusão analítica definitiva em termos de tamanho, motivações e consequências desses atos de forma geral. </w:t>
      </w:r>
    </w:p>
    <w:p w14:paraId="492FFE6D"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No presente momento em que o trabalho foi redigido, verdadeiras rebeliões populares em diversos lugares podem ser observadas. Poderíamos ter incluído a onda de manifestações e o largo repertório de ações diretas por parte dos manifestantes denominados “Coletes Amarelos” na França, em 2018 e 2019, que pôs o governo do presidente </w:t>
      </w:r>
      <w:r w:rsidRPr="008253AC">
        <w:rPr>
          <w:rFonts w:ascii="Times New Roman" w:eastAsia="Times New Roman" w:hAnsi="Times New Roman" w:cs="Times New Roman"/>
          <w:sz w:val="24"/>
          <w:szCs w:val="24"/>
          <w:shd w:val="clear" w:color="auto" w:fill="FFFFFF"/>
        </w:rPr>
        <w:t xml:space="preserve">Emmanuel Macron em sérias dificuldades, porém, ainda é cedo para analisarmos quais os resultados destas ações. </w:t>
      </w:r>
    </w:p>
    <w:p w14:paraId="51406926"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Na mesma lógica, encontram-se as rebeliões que ocorrem concomitantemente ao </w:t>
      </w:r>
      <w:r w:rsidRPr="008253AC">
        <w:rPr>
          <w:rFonts w:ascii="Times New Roman" w:eastAsia="Times New Roman" w:hAnsi="Times New Roman" w:cs="Times New Roman"/>
          <w:sz w:val="24"/>
          <w:szCs w:val="24"/>
        </w:rPr>
        <w:lastRenderedPageBreak/>
        <w:t>levante francês no Haiti</w:t>
      </w:r>
      <w:r w:rsidRPr="008253AC">
        <w:rPr>
          <w:rFonts w:ascii="Times New Roman" w:eastAsia="Times New Roman" w:hAnsi="Times New Roman" w:cs="Times New Roman"/>
          <w:sz w:val="24"/>
          <w:szCs w:val="24"/>
          <w:vertAlign w:val="superscript"/>
        </w:rPr>
        <w:footnoteReference w:id="83"/>
      </w:r>
      <w:r w:rsidRPr="008253AC">
        <w:rPr>
          <w:rFonts w:ascii="Times New Roman" w:eastAsia="Times New Roman" w:hAnsi="Times New Roman" w:cs="Times New Roman"/>
          <w:sz w:val="24"/>
          <w:szCs w:val="24"/>
        </w:rPr>
        <w:t>, Chile</w:t>
      </w:r>
      <w:r w:rsidRPr="008253AC">
        <w:rPr>
          <w:rFonts w:ascii="Times New Roman" w:eastAsia="Times New Roman" w:hAnsi="Times New Roman" w:cs="Times New Roman"/>
          <w:sz w:val="24"/>
          <w:szCs w:val="24"/>
          <w:vertAlign w:val="superscript"/>
        </w:rPr>
        <w:footnoteReference w:id="84"/>
      </w:r>
      <w:r w:rsidRPr="008253AC">
        <w:rPr>
          <w:rFonts w:ascii="Times New Roman" w:eastAsia="Times New Roman" w:hAnsi="Times New Roman" w:cs="Times New Roman"/>
          <w:sz w:val="24"/>
          <w:szCs w:val="24"/>
        </w:rPr>
        <w:t>, Catalunha</w:t>
      </w:r>
      <w:r w:rsidRPr="008253AC">
        <w:rPr>
          <w:rFonts w:ascii="Times New Roman" w:eastAsia="Times New Roman" w:hAnsi="Times New Roman" w:cs="Times New Roman"/>
          <w:sz w:val="24"/>
          <w:szCs w:val="24"/>
          <w:vertAlign w:val="superscript"/>
        </w:rPr>
        <w:footnoteReference w:id="85"/>
      </w:r>
      <w:r w:rsidRPr="008253AC">
        <w:rPr>
          <w:rFonts w:ascii="Times New Roman" w:eastAsia="Times New Roman" w:hAnsi="Times New Roman" w:cs="Times New Roman"/>
          <w:sz w:val="24"/>
          <w:szCs w:val="24"/>
        </w:rPr>
        <w:t>, Colômbia</w:t>
      </w:r>
      <w:r w:rsidRPr="008253AC">
        <w:rPr>
          <w:rFonts w:ascii="Times New Roman" w:eastAsia="Times New Roman" w:hAnsi="Times New Roman" w:cs="Times New Roman"/>
          <w:sz w:val="24"/>
          <w:szCs w:val="24"/>
          <w:vertAlign w:val="superscript"/>
        </w:rPr>
        <w:footnoteReference w:id="86"/>
      </w:r>
      <w:r w:rsidRPr="008253AC">
        <w:rPr>
          <w:rFonts w:ascii="Times New Roman" w:eastAsia="Times New Roman" w:hAnsi="Times New Roman" w:cs="Times New Roman"/>
          <w:sz w:val="24"/>
          <w:szCs w:val="24"/>
        </w:rPr>
        <w:t xml:space="preserve"> e Líbano</w:t>
      </w:r>
      <w:r w:rsidRPr="008253AC">
        <w:rPr>
          <w:rFonts w:ascii="Times New Roman" w:eastAsia="Times New Roman" w:hAnsi="Times New Roman" w:cs="Times New Roman"/>
          <w:sz w:val="24"/>
          <w:szCs w:val="24"/>
          <w:vertAlign w:val="superscript"/>
        </w:rPr>
        <w:footnoteReference w:id="87"/>
      </w:r>
      <w:r w:rsidRPr="008253AC">
        <w:rPr>
          <w:rFonts w:ascii="Times New Roman" w:eastAsia="Times New Roman" w:hAnsi="Times New Roman" w:cs="Times New Roman"/>
          <w:sz w:val="24"/>
          <w:szCs w:val="24"/>
        </w:rPr>
        <w:t xml:space="preserve">. Cada um com suas particularidades e dinâmicas de luta, mas com semelhanças interessantes como a ausência de um partido político ou líderes políticos profissionais se destacando, multidões nas ruas com pautas contra abusos de governos locais e acima de tudo, com enfretamento da ordem e ocupação dos espaços públicos pelo povo. Cada ação em sua individualidade, </w:t>
      </w:r>
      <w:r w:rsidR="000D3779" w:rsidRPr="008253AC">
        <w:rPr>
          <w:rFonts w:ascii="Times New Roman" w:eastAsia="Times New Roman" w:hAnsi="Times New Roman" w:cs="Times New Roman"/>
          <w:sz w:val="24"/>
          <w:szCs w:val="24"/>
        </w:rPr>
        <w:t>prática</w:t>
      </w:r>
      <w:r w:rsidRPr="008253AC">
        <w:rPr>
          <w:rFonts w:ascii="Times New Roman" w:eastAsia="Times New Roman" w:hAnsi="Times New Roman" w:cs="Times New Roman"/>
          <w:sz w:val="24"/>
          <w:szCs w:val="24"/>
        </w:rPr>
        <w:t xml:space="preserve"> seus próprios repertórios de ações diretas contra as forças estadolátricas que vão mostrando-se cada vez mais falidas em termos representativo e sustentam-se no poder através de suas forças armadas e militares não democráticas. </w:t>
      </w:r>
    </w:p>
    <w:p w14:paraId="2F0EB092" w14:textId="77777777" w:rsidR="008253AC" w:rsidRPr="008253AC" w:rsidRDefault="008253AC" w:rsidP="008253AC">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Ao concluir o artigo, reforçamos que entendemos o exemplo contemporâneo das revoltas populares em diversos momentos e locais citados como dialógicos aos exemplos históricos mencionados e, principalmente, com a ideia de teoria das ruas. O povo se organizando a partir de suas demandas, busca avançar com suas pautas sem amos, chefes ou poder centralizado. Fazendo história, além de estar escrevendo mais um capítulo de conquistas e avanços contra o Estado e as instituições capitalistas. </w:t>
      </w:r>
    </w:p>
    <w:p w14:paraId="61989BBE"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369BA589" w14:textId="77777777" w:rsidR="008253AC" w:rsidRPr="008253AC" w:rsidRDefault="008253AC"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1098CEA6" w14:textId="513C6416" w:rsidR="002220E8" w:rsidRPr="001675AF" w:rsidRDefault="002220E8" w:rsidP="002220E8">
      <w:pPr>
        <w:pStyle w:val="Bibliography1"/>
        <w:jc w:val="both"/>
        <w:rPr>
          <w:rFonts w:ascii="Times New Roman" w:hAnsi="Times New Roman" w:cs="Times New Roman"/>
          <w:b/>
          <w:bCs/>
        </w:rPr>
      </w:pPr>
      <w:r>
        <w:rPr>
          <w:rFonts w:ascii="Times New Roman" w:eastAsia="Times New Roman" w:hAnsi="Times New Roman" w:cs="Times New Roman"/>
          <w:b/>
        </w:rPr>
        <w:t xml:space="preserve"> </w:t>
      </w:r>
      <w:r>
        <w:rPr>
          <w:rFonts w:ascii="Times New Roman" w:hAnsi="Times New Roman" w:cs="Times New Roman"/>
          <w:b/>
          <w:bCs/>
        </w:rPr>
        <w:t xml:space="preserve">Bibliografia </w:t>
      </w:r>
    </w:p>
    <w:p w14:paraId="4CE41109" w14:textId="77777777" w:rsidR="002150E8" w:rsidRPr="008253AC" w:rsidRDefault="002150E8" w:rsidP="008253AC">
      <w:pPr>
        <w:widowControl w:val="0"/>
        <w:autoSpaceDE w:val="0"/>
        <w:autoSpaceDN w:val="0"/>
        <w:spacing w:after="0" w:line="360" w:lineRule="auto"/>
        <w:ind w:right="110"/>
        <w:jc w:val="both"/>
        <w:rPr>
          <w:rFonts w:ascii="Times New Roman" w:eastAsia="Times New Roman" w:hAnsi="Times New Roman" w:cs="Times New Roman"/>
          <w:b/>
          <w:sz w:val="24"/>
          <w:szCs w:val="24"/>
        </w:rPr>
      </w:pPr>
    </w:p>
    <w:p w14:paraId="646E66DA"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BAKUNIN, Mikhail (2008). O princípio do Estado e outros ensaios (org. e trad. Plínio Augusto Coelho). São Paulo: Hedra. </w:t>
      </w:r>
    </w:p>
    <w:p w14:paraId="7A6C9833" w14:textId="77777777" w:rsidR="008253AC" w:rsidRPr="008253AC" w:rsidRDefault="008253AC" w:rsidP="008253AC">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CASTELLS, Manuel (2017). Redes de indignação e esperança: movimentos sociais na era da internet. Rio de Janeiro: Zahar.</w:t>
      </w:r>
    </w:p>
    <w:p w14:paraId="3317E905" w14:textId="77777777" w:rsidR="008253AC" w:rsidRPr="008253AC" w:rsidRDefault="008253AC" w:rsidP="008253AC">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CORRÊA, Erick; MHEREB, Maria Teresa (Org.) (2018). 68: como incendiar um país. São Paulo: Veneta (Coleção Baderna). </w:t>
      </w:r>
    </w:p>
    <w:p w14:paraId="37532E79" w14:textId="77777777" w:rsidR="008253AC" w:rsidRPr="008253AC" w:rsidRDefault="008253AC" w:rsidP="008253AC">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lastRenderedPageBreak/>
        <w:t xml:space="preserve">GALLO, Silvio (2007). Pedagogia libertária: anarquistas, anarquismos e educação. São Paulo: Imaginário: Editora da Universidade Federal do Amazonas. </w:t>
      </w:r>
    </w:p>
    <w:p w14:paraId="0D2AA0A4" w14:textId="77777777" w:rsidR="008253AC" w:rsidRPr="008253AC" w:rsidRDefault="008253AC" w:rsidP="008253AC">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GRAEBER, David (2015). Um projeto de democracia. São Paulo: Paz e Terra.</w:t>
      </w:r>
    </w:p>
    <w:p w14:paraId="37616E66" w14:textId="77777777" w:rsidR="008253AC" w:rsidRPr="008253AC" w:rsidRDefault="008253AC" w:rsidP="008253AC">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GRAEBER, David (s/d). O Anarquismo no século 21 e outros ensaios. Adaptado do e-book editado por Rizoma Editorial. </w:t>
      </w:r>
    </w:p>
    <w:p w14:paraId="2FD50916" w14:textId="77777777" w:rsidR="008253AC" w:rsidRPr="008253AC" w:rsidRDefault="008253AC" w:rsidP="008253AC">
      <w:pPr>
        <w:spacing w:after="24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HILSENBECK FILHO, Alexander; SPINELLI, Lucas Gebara (2012). Zapatismo: pedagogia da autonomia e prática da liberdade. In: RODRIGUES, Fabiana C.; NOVAES, Henrique T.; BATISTA, Eraldo L. São Paulo (orgs.). Movimentos Sociais, Trabalho Associado e Educação para além do Capital. São Paulo: Outras Expressões. </w:t>
      </w:r>
    </w:p>
    <w:p w14:paraId="1ACA5627" w14:textId="77777777" w:rsidR="008253AC" w:rsidRPr="008253AC" w:rsidRDefault="008253AC" w:rsidP="008253AC">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 xml:space="preserve">KROPOTKIN, Piotr (2005). </w:t>
      </w:r>
      <w:r w:rsidRPr="008253AC">
        <w:rPr>
          <w:rFonts w:ascii="Times New Roman" w:eastAsia="Calibri" w:hAnsi="Times New Roman" w:cs="Times New Roman"/>
          <w:bCs/>
          <w:color w:val="000000"/>
          <w:sz w:val="24"/>
          <w:szCs w:val="24"/>
        </w:rPr>
        <w:t>Palavras de um Revoltado</w:t>
      </w:r>
      <w:r w:rsidRPr="008253AC">
        <w:rPr>
          <w:rFonts w:ascii="Times New Roman" w:eastAsia="Calibri" w:hAnsi="Times New Roman" w:cs="Times New Roman"/>
          <w:color w:val="000000"/>
          <w:sz w:val="24"/>
          <w:szCs w:val="24"/>
        </w:rPr>
        <w:t>. São Paulo: Editora Imaginário.</w:t>
      </w:r>
    </w:p>
    <w:p w14:paraId="5F57E2BE" w14:textId="77777777" w:rsidR="008253AC" w:rsidRPr="008253AC" w:rsidRDefault="008253AC" w:rsidP="008253AC">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LENOIR, Hugues (2017). Autogestão pedagógica e educação popular: a contribuição dos anarquistas. São Paulo: Intermezzo Editorial. </w:t>
      </w:r>
    </w:p>
    <w:p w14:paraId="49A2854A" w14:textId="77777777" w:rsidR="008253AC" w:rsidRPr="008253AC" w:rsidRDefault="008253AC" w:rsidP="008253AC">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MAKHNO, Nestor; SKIRDA, Alexandre; BERKMAN, Alexandre (2001). Nestor Makhno e a Revolução Social na Ucrânia. São Paulo: Editora Imaginário. </w:t>
      </w:r>
    </w:p>
    <w:p w14:paraId="7AE041CB"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MINTZ, Frank (2006). O anarquismo social. São Paulo: Imaginário. </w:t>
      </w:r>
    </w:p>
    <w:p w14:paraId="084907C1"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2018a)</w:t>
      </w:r>
      <w:r w:rsidRPr="008253AC">
        <w:rPr>
          <w:rFonts w:ascii="Times New Roman" w:eastAsia="Times New Roman" w:hAnsi="Times New Roman" w:cs="Times New Roman"/>
          <w:sz w:val="24"/>
          <w:szCs w:val="24"/>
        </w:rPr>
        <w:t>. Governados por quem? Diferentes plutocracias nas histórias políticas de Brasil e Venezuela</w:t>
      </w:r>
      <w:r w:rsidRPr="008253AC">
        <w:rPr>
          <w:rFonts w:ascii="Times New Roman" w:eastAsia="Calibri" w:hAnsi="Times New Roman" w:cs="Times New Roman"/>
          <w:sz w:val="24"/>
          <w:szCs w:val="24"/>
        </w:rPr>
        <w:t>. Curitiba: Editora Prismas.</w:t>
      </w:r>
    </w:p>
    <w:p w14:paraId="74BB2617"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2018b)</w:t>
      </w:r>
      <w:r w:rsidRPr="008253AC">
        <w:rPr>
          <w:rFonts w:ascii="Times New Roman" w:eastAsia="Times New Roman" w:hAnsi="Times New Roman" w:cs="Times New Roman"/>
          <w:sz w:val="24"/>
          <w:szCs w:val="24"/>
        </w:rPr>
        <w:t xml:space="preserve">. </w:t>
      </w:r>
      <w:r w:rsidRPr="008253AC">
        <w:rPr>
          <w:rFonts w:ascii="Times New Roman" w:eastAsia="Calibri" w:hAnsi="Times New Roman" w:cs="Times New Roman"/>
          <w:sz w:val="24"/>
          <w:szCs w:val="24"/>
        </w:rPr>
        <w:t>2013 – Revolta dos Governados: ou, para quem esteve presente, revolta do vinagre. Rio de Janeiro: WSM Edições.</w:t>
      </w:r>
    </w:p>
    <w:p w14:paraId="4AB13C49"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w:t>
      </w:r>
      <w:proofErr w:type="gramStart"/>
      <w:r w:rsidRPr="008253AC">
        <w:rPr>
          <w:rFonts w:ascii="Times New Roman" w:eastAsia="Calibri" w:hAnsi="Times New Roman" w:cs="Times New Roman"/>
          <w:sz w:val="24"/>
          <w:szCs w:val="24"/>
        </w:rPr>
        <w:t>_(</w:t>
      </w:r>
      <w:proofErr w:type="gramEnd"/>
      <w:r w:rsidRPr="008253AC">
        <w:rPr>
          <w:rFonts w:ascii="Times New Roman" w:eastAsia="Calibri" w:hAnsi="Times New Roman" w:cs="Times New Roman"/>
          <w:sz w:val="24"/>
          <w:szCs w:val="24"/>
        </w:rPr>
        <w:t xml:space="preserve">2019) Você precisa ser governado? Uma crítica anarquista, quilombista e indigenista das bases centrais do colonialismo. Rio de Janeiro. WSM edições. No prelo. </w:t>
      </w:r>
    </w:p>
    <w:p w14:paraId="0C62A725" w14:textId="77777777" w:rsidR="008253AC" w:rsidRPr="008253AC" w:rsidRDefault="008253AC" w:rsidP="008253AC">
      <w:pPr>
        <w:tabs>
          <w:tab w:val="num" w:pos="567"/>
        </w:tabs>
        <w:spacing w:after="200" w:line="360" w:lineRule="auto"/>
        <w:ind w:right="566"/>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ÖCALAN, Abdullah (2016). </w:t>
      </w:r>
      <w:r w:rsidRPr="008253AC">
        <w:rPr>
          <w:rFonts w:ascii="Times New Roman" w:eastAsia="Calibri" w:hAnsi="Times New Roman" w:cs="Times New Roman"/>
          <w:iCs/>
          <w:sz w:val="24"/>
          <w:szCs w:val="24"/>
        </w:rPr>
        <w:t>Confederalismo Democrático</w:t>
      </w:r>
      <w:r w:rsidRPr="008253AC">
        <w:rPr>
          <w:rFonts w:ascii="Times New Roman" w:eastAsia="Calibri" w:hAnsi="Times New Roman" w:cs="Times New Roman"/>
          <w:sz w:val="24"/>
          <w:szCs w:val="24"/>
        </w:rPr>
        <w:t>. Rio de Janeiro: Rizoma.</w:t>
      </w:r>
    </w:p>
    <w:p w14:paraId="3FB2FC20"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PESCHANSKI, João Alexandre (2012). Os “ocupas” e a desigualdade econômica. In: HARVEY, David (Org.). Occupy: movimentos de protesto que tomaram as ruas. São Paulo: Boitempo: Carta Maior. </w:t>
      </w:r>
    </w:p>
    <w:p w14:paraId="507F2E9E" w14:textId="77777777" w:rsidR="008253AC" w:rsidRPr="008253AC" w:rsidRDefault="008253AC" w:rsidP="008253AC">
      <w:pPr>
        <w:widowControl w:val="0"/>
        <w:autoSpaceDE w:val="0"/>
        <w:autoSpaceDN w:val="0"/>
        <w:spacing w:before="120" w:after="0" w:line="36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RODRIGUES, Glauco Bruce (2004). Territórios libertários: a experiência anarquista de autogestão na cidade de Barcelona durante a guerra civil espanhola (1936 – 1939). In: CIDADES, Revista Científica/Grupo de Estudos Urbanos – Vol. 1, n. 1, 2004. Presidente Prudente: Grupo de Estudos Urbanos – v.9, n. 15. </w:t>
      </w:r>
    </w:p>
    <w:p w14:paraId="3A2C38D1" w14:textId="77777777" w:rsidR="008253AC" w:rsidRP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SILVA, Peterson Roberto da (2018). O Anarquismo e a Legitimidade: tensões pós-modernas. Dissertação de Mestrado do Programa de Pós-Graduação em Sociologia Política Universidade Federal de Santa Catarina (UFSC). </w:t>
      </w:r>
    </w:p>
    <w:p w14:paraId="4D8C8676" w14:textId="77777777" w:rsidR="008253AC" w:rsidRDefault="008253AC" w:rsidP="008253AC">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VASSILEV, Pano (2008). A ideia dos sovietes. São Paulo: Editora Imaginário. </w:t>
      </w:r>
    </w:p>
    <w:p w14:paraId="230F4339"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1B9299D5"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622435BA"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222E0700"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5ACF4A17"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5D5A2BF2"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6754C9B7"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3ACB536A"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254BCC7F"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67F0E672"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1FC59A1A" w14:textId="77777777" w:rsidR="00244AE1" w:rsidRDefault="00244AE1" w:rsidP="008253AC">
      <w:pPr>
        <w:spacing w:after="200" w:line="360" w:lineRule="auto"/>
        <w:ind w:right="-1"/>
        <w:jc w:val="both"/>
        <w:rPr>
          <w:rFonts w:ascii="Times New Roman" w:eastAsia="Calibri" w:hAnsi="Times New Roman" w:cs="Times New Roman"/>
          <w:sz w:val="24"/>
          <w:szCs w:val="24"/>
        </w:rPr>
      </w:pPr>
    </w:p>
    <w:p w14:paraId="7AB5A67E" w14:textId="77777777" w:rsidR="000D3779" w:rsidRDefault="000D3779" w:rsidP="008253AC">
      <w:pPr>
        <w:spacing w:after="200" w:line="360" w:lineRule="auto"/>
        <w:ind w:right="-1"/>
        <w:jc w:val="both"/>
        <w:rPr>
          <w:rFonts w:ascii="Times New Roman" w:eastAsia="Calibri" w:hAnsi="Times New Roman" w:cs="Times New Roman"/>
          <w:sz w:val="24"/>
          <w:szCs w:val="24"/>
        </w:rPr>
      </w:pPr>
    </w:p>
    <w:p w14:paraId="697DEFB4" w14:textId="145BEA5A" w:rsidR="00FF79A8" w:rsidRDefault="00FF79A8" w:rsidP="008253AC">
      <w:pPr>
        <w:spacing w:after="200" w:line="360" w:lineRule="auto"/>
        <w:ind w:right="-1"/>
        <w:jc w:val="both"/>
        <w:rPr>
          <w:rFonts w:ascii="Times New Roman" w:eastAsia="Calibri" w:hAnsi="Times New Roman" w:cs="Times New Roman"/>
          <w:sz w:val="24"/>
          <w:szCs w:val="24"/>
        </w:rPr>
      </w:pPr>
    </w:p>
    <w:p w14:paraId="551150F7" w14:textId="77777777" w:rsidR="00FF79A8" w:rsidRDefault="00FF79A8" w:rsidP="008253AC">
      <w:pPr>
        <w:spacing w:after="200" w:line="360" w:lineRule="auto"/>
        <w:ind w:right="-1"/>
        <w:jc w:val="both"/>
        <w:rPr>
          <w:rFonts w:ascii="Times New Roman" w:eastAsia="Calibri" w:hAnsi="Times New Roman" w:cs="Times New Roman"/>
          <w:sz w:val="24"/>
          <w:szCs w:val="24"/>
        </w:rPr>
      </w:pPr>
    </w:p>
    <w:p w14:paraId="306FC77F" w14:textId="66BAFF5D" w:rsidR="00E32DCE" w:rsidRDefault="00F1063A" w:rsidP="002220E8">
      <w:pPr>
        <w:spacing w:after="200" w:line="240" w:lineRule="auto"/>
        <w:ind w:right="-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 GENEALOGIA E AS RELAÇÕES DE CENTRO-PERIFERIA</w:t>
      </w:r>
    </w:p>
    <w:p w14:paraId="4B451885" w14:textId="77777777" w:rsidR="00E32DCE" w:rsidRPr="00E32DCE" w:rsidRDefault="00E32DCE" w:rsidP="00E32DCE">
      <w:pPr>
        <w:spacing w:after="0" w:line="240" w:lineRule="auto"/>
        <w:ind w:right="-1"/>
        <w:jc w:val="center"/>
        <w:rPr>
          <w:rFonts w:ascii="Times New Roman" w:eastAsia="Times New Roman" w:hAnsi="Times New Roman" w:cs="Times New Roman"/>
          <w:b/>
          <w:bCs/>
          <w:sz w:val="24"/>
          <w:szCs w:val="24"/>
          <w:lang w:val="en-US"/>
        </w:rPr>
      </w:pPr>
    </w:p>
    <w:p w14:paraId="34CA87CD" w14:textId="77777777" w:rsidR="00E32DCE" w:rsidRPr="00E32DCE" w:rsidRDefault="00E32DCE" w:rsidP="00E32DCE">
      <w:pPr>
        <w:spacing w:after="0" w:line="240"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b/>
          <w:bCs/>
          <w:i/>
          <w:iCs/>
          <w:color w:val="000000"/>
          <w:sz w:val="24"/>
          <w:szCs w:val="24"/>
          <w:lang w:eastAsia="pt-BR"/>
        </w:rPr>
        <w:t>Felipe Luiz</w:t>
      </w:r>
    </w:p>
    <w:p w14:paraId="58C88303" w14:textId="77777777" w:rsidR="00E32DCE" w:rsidRPr="00E32DCE" w:rsidRDefault="00E32DCE" w:rsidP="00FF79A8">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color w:val="000000"/>
          <w:sz w:val="24"/>
          <w:szCs w:val="24"/>
          <w:lang w:eastAsia="pt-BR"/>
        </w:rPr>
        <w:t>Mestrando em Filosofia pela Universidade Estadual Paulista (UNESP), Bacharel em Filosofia pela Faculdade de Filosofia e Ciências da Universidade Estadual Paulista (UNESP).</w:t>
      </w:r>
    </w:p>
    <w:p w14:paraId="1F56E521" w14:textId="77777777" w:rsidR="00244AE1" w:rsidRPr="00F1063A" w:rsidRDefault="00244AE1" w:rsidP="00244AE1">
      <w:pPr>
        <w:spacing w:after="200" w:line="360" w:lineRule="auto"/>
        <w:ind w:right="-1"/>
        <w:jc w:val="both"/>
        <w:rPr>
          <w:rFonts w:ascii="Times New Roman" w:eastAsia="Times New Roman" w:hAnsi="Times New Roman" w:cs="Times New Roman"/>
          <w:sz w:val="24"/>
          <w:szCs w:val="24"/>
          <w:lang w:val="en-US"/>
        </w:rPr>
      </w:pPr>
    </w:p>
    <w:p w14:paraId="63A0F110"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b/>
          <w:bCs/>
          <w:sz w:val="24"/>
          <w:szCs w:val="24"/>
        </w:rPr>
        <w:t>Resumo</w:t>
      </w:r>
      <w:r w:rsidRPr="00244AE1">
        <w:rPr>
          <w:rFonts w:ascii="Times New Roman" w:eastAsia="Times New Roman" w:hAnsi="Times New Roman" w:cs="Times New Roman"/>
          <w:sz w:val="24"/>
          <w:szCs w:val="24"/>
        </w:rPr>
        <w:t>: Há toda uma polêmica em torno da interpretação de Michel Foucault, e ela não se restringe aos temas por ele abordados, tocando mesmo o cerne de sua produção teórica, o método. Normalmente, aponta-se a coexistência de dois métodos distintos ao longo de seus trabalhos, o arqueológico e o genealógico, e as formas de apreender esta distinção também variam. Nosso intuito é aventar as possibilidades de uma leitura do método genealógico de Michel Foucault em um marco libertário, notadamente aproximando-o das noções de centro e periferia, que tem longa carreira, mas à moda de sua exposição pelo historiador neerlandês Rudolf de Jong, o qual desenvolveu certos pressupostos do pensamento de Malatesta, dentre outros anarquistas. Tentaremos argumentar acerca da possibilidade de uma interpretação dos trabalhos de Foucault nestes marcos, focando-se na inter-relação e reflexão sobre seus textos, e os correlacionando às noções de centro e de periferia.</w:t>
      </w:r>
    </w:p>
    <w:p w14:paraId="304CD6F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b/>
          <w:bCs/>
          <w:sz w:val="24"/>
          <w:szCs w:val="24"/>
        </w:rPr>
        <w:t xml:space="preserve">Palavras-chave: </w:t>
      </w:r>
      <w:r w:rsidRPr="00244AE1">
        <w:rPr>
          <w:rFonts w:ascii="Times New Roman" w:eastAsia="Times New Roman" w:hAnsi="Times New Roman" w:cs="Times New Roman"/>
          <w:sz w:val="24"/>
          <w:szCs w:val="24"/>
        </w:rPr>
        <w:t>Michel Foucault; genealogia; relações centro-periferia; Rudolf de Jong; anarquismo; filosofia política.</w:t>
      </w:r>
    </w:p>
    <w:p w14:paraId="0EE0A27F"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5AC69BE8"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b/>
          <w:bCs/>
          <w:sz w:val="24"/>
          <w:szCs w:val="24"/>
          <w:lang w:val="en-US"/>
        </w:rPr>
        <w:t>Abstract:</w:t>
      </w:r>
      <w:r w:rsidRPr="00244AE1">
        <w:rPr>
          <w:rFonts w:ascii="Times New Roman" w:eastAsia="Times New Roman" w:hAnsi="Times New Roman" w:cs="Times New Roman"/>
          <w:sz w:val="24"/>
          <w:szCs w:val="24"/>
          <w:lang w:val="en-US"/>
        </w:rPr>
        <w:t xml:space="preserve"> There is a discussion surrounding Michel Foucault’s interpretations, and it is not limited to the themes he approaches; it reaches the core of his theoretical production, his method. Normally, scholars say that there are two different methods in Foucault’s production, the archaeological and the genealogical, and there is dissent in the ways we should interpret the distinction. Our objective is to list the possible interpretations of the genealogical method in an anarchist way, approaching it to the notions of center and periphery as developed by the Dutch historian Rudolf De Jong, which has elaborated Malatesta’s vision and the visions of other anarchist authors. We will try to argue that we </w:t>
      </w:r>
      <w:r w:rsidRPr="00244AE1">
        <w:rPr>
          <w:rFonts w:ascii="Times New Roman" w:eastAsia="Times New Roman" w:hAnsi="Times New Roman" w:cs="Times New Roman"/>
          <w:sz w:val="24"/>
          <w:szCs w:val="24"/>
          <w:lang w:val="en-US"/>
        </w:rPr>
        <w:lastRenderedPageBreak/>
        <w:t xml:space="preserve">can approximate Foucault’s works to De Joung’s </w:t>
      </w:r>
      <w:proofErr w:type="gramStart"/>
      <w:r w:rsidRPr="00244AE1">
        <w:rPr>
          <w:rFonts w:ascii="Times New Roman" w:eastAsia="Times New Roman" w:hAnsi="Times New Roman" w:cs="Times New Roman"/>
          <w:sz w:val="24"/>
          <w:szCs w:val="24"/>
          <w:lang w:val="en-US"/>
        </w:rPr>
        <w:t>results</w:t>
      </w:r>
      <w:proofErr w:type="gramEnd"/>
      <w:r w:rsidRPr="00244AE1">
        <w:rPr>
          <w:rFonts w:ascii="Times New Roman" w:eastAsia="Times New Roman" w:hAnsi="Times New Roman" w:cs="Times New Roman"/>
          <w:sz w:val="24"/>
          <w:szCs w:val="24"/>
          <w:lang w:val="en-US"/>
        </w:rPr>
        <w:t xml:space="preserve"> and we will reflect about the ensemble.</w:t>
      </w:r>
    </w:p>
    <w:p w14:paraId="1057EED9" w14:textId="4AE0FF5A" w:rsidR="00244AE1" w:rsidRDefault="00244AE1" w:rsidP="00244AE1">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b/>
          <w:bCs/>
          <w:sz w:val="24"/>
          <w:szCs w:val="24"/>
          <w:lang w:val="en-US"/>
        </w:rPr>
        <w:t>Keywords</w:t>
      </w:r>
      <w:r w:rsidRPr="00244AE1">
        <w:rPr>
          <w:rFonts w:ascii="Times New Roman" w:eastAsia="Times New Roman" w:hAnsi="Times New Roman" w:cs="Times New Roman"/>
          <w:sz w:val="24"/>
          <w:szCs w:val="24"/>
          <w:lang w:val="en-US"/>
        </w:rPr>
        <w:t>: Michel Foucault; genealogy; center-periphery relations; Rudolf De Jong; Anarchism; political philosophy.</w:t>
      </w:r>
    </w:p>
    <w:p w14:paraId="34B10B71" w14:textId="77777777" w:rsidR="0051465F" w:rsidRPr="00244AE1" w:rsidRDefault="0051465F" w:rsidP="00244AE1">
      <w:pPr>
        <w:spacing w:after="200" w:line="360" w:lineRule="auto"/>
        <w:ind w:right="-1"/>
        <w:jc w:val="both"/>
        <w:rPr>
          <w:rFonts w:ascii="Times New Roman" w:eastAsia="Times New Roman" w:hAnsi="Times New Roman" w:cs="Times New Roman"/>
          <w:sz w:val="24"/>
          <w:szCs w:val="24"/>
          <w:lang w:val="en-US"/>
        </w:rPr>
      </w:pPr>
    </w:p>
    <w:p w14:paraId="1872ACF6" w14:textId="77777777" w:rsidR="00244AE1" w:rsidRPr="00244AE1" w:rsidRDefault="00244AE1" w:rsidP="00244AE1">
      <w:pPr>
        <w:numPr>
          <w:ilvl w:val="0"/>
          <w:numId w:val="1"/>
        </w:numPr>
        <w:spacing w:after="20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lang w:val="en-US"/>
        </w:rPr>
        <w:t>Introdução</w:t>
      </w:r>
    </w:p>
    <w:p w14:paraId="026220B4"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Variadas maneiras de compreensão do pensamento de Michel Foucault foram ensejadas ao longo dos anos. Citaremos três, duas centradas no método, uma na temática: a primeira compreende a existência de um projeto </w:t>
      </w:r>
      <w:r w:rsidRPr="00244AE1">
        <w:rPr>
          <w:rFonts w:ascii="Times New Roman" w:eastAsia="Times New Roman" w:hAnsi="Times New Roman" w:cs="Times New Roman"/>
          <w:i/>
          <w:iCs/>
          <w:sz w:val="24"/>
          <w:szCs w:val="24"/>
        </w:rPr>
        <w:t>arquegenealógico</w:t>
      </w:r>
      <w:r w:rsidRPr="00244AE1">
        <w:rPr>
          <w:rFonts w:ascii="Times New Roman" w:eastAsia="Times New Roman" w:hAnsi="Times New Roman" w:cs="Times New Roman"/>
          <w:sz w:val="24"/>
          <w:szCs w:val="24"/>
        </w:rPr>
        <w:t xml:space="preserve">, de modo que o </w:t>
      </w:r>
      <w:r w:rsidRPr="00244AE1">
        <w:rPr>
          <w:rFonts w:ascii="Times New Roman" w:eastAsia="Times New Roman" w:hAnsi="Times New Roman" w:cs="Times New Roman"/>
          <w:i/>
          <w:iCs/>
          <w:sz w:val="24"/>
          <w:szCs w:val="24"/>
        </w:rPr>
        <w:t>corpus</w:t>
      </w:r>
      <w:r w:rsidRPr="00244AE1">
        <w:rPr>
          <w:rFonts w:ascii="Times New Roman" w:eastAsia="Times New Roman" w:hAnsi="Times New Roman" w:cs="Times New Roman"/>
          <w:sz w:val="24"/>
          <w:szCs w:val="24"/>
        </w:rPr>
        <w:t xml:space="preserve"> foucaultiano formaria um todo mais ou menos coeso, englobando inclusive as diferenças metodológicas (Machado, 2001); outra enxerga uma cisão radical entre o primeiro e o segundo Foucault, tomando como base estas diferenças de método, primeiramente </w:t>
      </w:r>
      <w:r w:rsidRPr="00244AE1">
        <w:rPr>
          <w:rFonts w:ascii="Times New Roman" w:eastAsia="Times New Roman" w:hAnsi="Times New Roman" w:cs="Times New Roman"/>
          <w:i/>
          <w:iCs/>
          <w:sz w:val="24"/>
          <w:szCs w:val="24"/>
        </w:rPr>
        <w:t>arqueológico</w:t>
      </w:r>
      <w:r w:rsidRPr="00244AE1">
        <w:rPr>
          <w:rFonts w:ascii="Times New Roman" w:eastAsia="Times New Roman" w:hAnsi="Times New Roman" w:cs="Times New Roman"/>
          <w:sz w:val="24"/>
          <w:szCs w:val="24"/>
        </w:rPr>
        <w:t xml:space="preserve"> e, ulteriorrmente, </w:t>
      </w:r>
      <w:r w:rsidRPr="00244AE1">
        <w:rPr>
          <w:rFonts w:ascii="Times New Roman" w:eastAsia="Times New Roman" w:hAnsi="Times New Roman" w:cs="Times New Roman"/>
          <w:i/>
          <w:iCs/>
          <w:sz w:val="24"/>
          <w:szCs w:val="24"/>
        </w:rPr>
        <w:t>genealógico</w:t>
      </w:r>
      <w:r w:rsidRPr="00244AE1">
        <w:rPr>
          <w:rFonts w:ascii="Times New Roman" w:eastAsia="Times New Roman" w:hAnsi="Times New Roman" w:cs="Times New Roman"/>
          <w:sz w:val="24"/>
          <w:szCs w:val="24"/>
        </w:rPr>
        <w:t xml:space="preserve"> (Dosse, 1994); a terceira, enfim, focaliza três grandes fases de Foucault a partir de uma abordagem temática: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do saber</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 xml:space="preserve">genealogia do poder </w:t>
      </w:r>
      <w:r w:rsidRPr="00244AE1">
        <w:rPr>
          <w:rFonts w:ascii="Times New Roman" w:eastAsia="Times New Roman" w:hAnsi="Times New Roman" w:cs="Times New Roman"/>
          <w:sz w:val="24"/>
          <w:szCs w:val="24"/>
        </w:rPr>
        <w:t xml:space="preserve">e </w:t>
      </w:r>
      <w:r w:rsidRPr="00244AE1">
        <w:rPr>
          <w:rFonts w:ascii="Times New Roman" w:eastAsia="Times New Roman" w:hAnsi="Times New Roman" w:cs="Times New Roman"/>
          <w:i/>
          <w:iCs/>
          <w:sz w:val="24"/>
          <w:szCs w:val="24"/>
        </w:rPr>
        <w:t xml:space="preserve">genealogia da ética </w:t>
      </w:r>
      <w:r w:rsidRPr="00244AE1">
        <w:rPr>
          <w:rFonts w:ascii="Times New Roman" w:eastAsia="Times New Roman" w:hAnsi="Times New Roman" w:cs="Times New Roman"/>
          <w:sz w:val="24"/>
          <w:szCs w:val="24"/>
        </w:rPr>
        <w:t xml:space="preserve">(Pinto e  Silva, 2001). Esta é uma polêmica que vai longe, e não nos atreveremos a nos enveredar por ela. Faremos notar, contudo, que por volta de 1970, quando da redação d’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i/>
          <w:iCs/>
          <w:sz w:val="24"/>
          <w:szCs w:val="24"/>
          <w:vertAlign w:val="superscript"/>
        </w:rPr>
        <w:t xml:space="preserve"> </w:t>
      </w:r>
      <w:r w:rsidRPr="00244AE1">
        <w:rPr>
          <w:rFonts w:ascii="Times New Roman" w:eastAsia="Times New Roman" w:hAnsi="Times New Roman" w:cs="Times New Roman"/>
          <w:sz w:val="24"/>
          <w:szCs w:val="24"/>
          <w:vertAlign w:val="superscript"/>
        </w:rPr>
        <w:t>(Foucault, 2005a)</w:t>
      </w:r>
      <w:r w:rsidRPr="00244AE1">
        <w:rPr>
          <w:rFonts w:ascii="Times New Roman" w:eastAsia="Times New Roman" w:hAnsi="Times New Roman" w:cs="Times New Roman"/>
          <w:sz w:val="24"/>
          <w:szCs w:val="24"/>
        </w:rPr>
        <w:t xml:space="preserve">, Foucault progressivamente abandona suas pesquisas centradas em torno do </w:t>
      </w:r>
      <w:r w:rsidRPr="00244AE1">
        <w:rPr>
          <w:rFonts w:ascii="Times New Roman" w:eastAsia="Times New Roman" w:hAnsi="Times New Roman" w:cs="Times New Roman"/>
          <w:i/>
          <w:iCs/>
          <w:sz w:val="24"/>
          <w:szCs w:val="24"/>
        </w:rPr>
        <w:t>método arqueológico</w:t>
      </w:r>
      <w:r w:rsidRPr="00244AE1">
        <w:rPr>
          <w:rFonts w:ascii="Times New Roman" w:eastAsia="Times New Roman" w:hAnsi="Times New Roman" w:cs="Times New Roman"/>
          <w:sz w:val="24"/>
          <w:szCs w:val="24"/>
        </w:rPr>
        <w:t xml:space="preserve"> em benefício de outro método, o </w:t>
      </w:r>
      <w:r w:rsidRPr="00244AE1">
        <w:rPr>
          <w:rFonts w:ascii="Times New Roman" w:eastAsia="Times New Roman" w:hAnsi="Times New Roman" w:cs="Times New Roman"/>
          <w:i/>
          <w:iCs/>
          <w:sz w:val="24"/>
          <w:szCs w:val="24"/>
        </w:rPr>
        <w:t>genealógico</w:t>
      </w:r>
      <w:r w:rsidRPr="00244AE1">
        <w:rPr>
          <w:rFonts w:ascii="Times New Roman" w:eastAsia="Times New Roman" w:hAnsi="Times New Roman" w:cs="Times New Roman"/>
          <w:sz w:val="24"/>
          <w:szCs w:val="24"/>
        </w:rPr>
        <w:t xml:space="preserve">. Com isto, diferentes enfoques vêm à tona, outros são retomados e expandidos. É a chamada </w:t>
      </w:r>
      <w:r w:rsidRPr="00244AE1">
        <w:rPr>
          <w:rFonts w:ascii="Times New Roman" w:eastAsia="Times New Roman" w:hAnsi="Times New Roman" w:cs="Times New Roman"/>
          <w:i/>
          <w:iCs/>
          <w:sz w:val="24"/>
          <w:szCs w:val="24"/>
        </w:rPr>
        <w:t xml:space="preserve">virada </w:t>
      </w:r>
      <w:proofErr w:type="gramStart"/>
      <w:r w:rsidRPr="00244AE1">
        <w:rPr>
          <w:rFonts w:ascii="Times New Roman" w:eastAsia="Times New Roman" w:hAnsi="Times New Roman" w:cs="Times New Roman"/>
          <w:i/>
          <w:iCs/>
          <w:sz w:val="24"/>
          <w:szCs w:val="24"/>
        </w:rPr>
        <w:t>genealógica</w:t>
      </w:r>
      <w:r w:rsidRPr="00244AE1">
        <w:rPr>
          <w:rFonts w:ascii="Times New Roman" w:eastAsia="Times New Roman" w:hAnsi="Times New Roman" w:cs="Times New Roman"/>
          <w:sz w:val="24"/>
          <w:szCs w:val="24"/>
          <w:vertAlign w:val="superscript"/>
        </w:rPr>
        <w:t xml:space="preserve">  (</w:t>
      </w:r>
      <w:proofErr w:type="gramEnd"/>
      <w:r w:rsidRPr="00244AE1">
        <w:rPr>
          <w:rFonts w:ascii="Times New Roman" w:eastAsia="Times New Roman" w:hAnsi="Times New Roman" w:cs="Times New Roman"/>
          <w:sz w:val="24"/>
          <w:szCs w:val="24"/>
          <w:vertAlign w:val="superscript"/>
        </w:rPr>
        <w:t>Dosse, 1994: 281).</w:t>
      </w:r>
    </w:p>
    <w:p w14:paraId="098D49DF"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Foucault tornara-se, então, expoente de um movimento não organizado, mais amplo, que criticava a psiquiatria, engrossando o coro de Franco Basaglia, </w:t>
      </w:r>
      <w:r w:rsidRPr="00244AE1">
        <w:rPr>
          <w:rFonts w:ascii="Times New Roman" w:eastAsia="Times New Roman" w:hAnsi="Times New Roman" w:cs="Times New Roman"/>
          <w:i/>
          <w:iCs/>
          <w:sz w:val="24"/>
          <w:szCs w:val="24"/>
        </w:rPr>
        <w:t>exempli gratia</w:t>
      </w:r>
      <w:r w:rsidRPr="00244AE1">
        <w:rPr>
          <w:rFonts w:ascii="Times New Roman" w:eastAsia="Times New Roman" w:hAnsi="Times New Roman" w:cs="Times New Roman"/>
          <w:sz w:val="24"/>
          <w:szCs w:val="24"/>
        </w:rPr>
        <w:t xml:space="preserve">; e, no correr da década de setenta, seus trabalhos sobre o sistema prisional e sobre sexualidade o sagrarão clássico nestes respectivos campos, e em tantos outros, posto que, sob a égide da pesquisa genealógica, Foucault fez vir à tona problemáticas na filosofia política e de teoria das ciências humanas e, mesmo, biológicas, por exemplo. Embora essa proficuidade da genealogia, Foucault não lhe consagrou um tratamento aprofundado, tal qual fizera, primorosamente, com o </w:t>
      </w:r>
      <w:r w:rsidRPr="00244AE1">
        <w:rPr>
          <w:rFonts w:ascii="Times New Roman" w:eastAsia="Times New Roman" w:hAnsi="Times New Roman" w:cs="Times New Roman"/>
          <w:i/>
          <w:iCs/>
          <w:sz w:val="24"/>
          <w:szCs w:val="24"/>
        </w:rPr>
        <w:t>método arquelógico</w:t>
      </w:r>
      <w:r w:rsidRPr="00244AE1">
        <w:rPr>
          <w:rFonts w:ascii="Times New Roman" w:eastAsia="Times New Roman" w:hAnsi="Times New Roman" w:cs="Times New Roman"/>
          <w:sz w:val="24"/>
          <w:szCs w:val="24"/>
        </w:rPr>
        <w:t xml:space="preserve">, cujo escopo, estofo e fundo dera a saber livrescamente, quando de sua aproximação com o estruturalismo, então corrente </w:t>
      </w:r>
      <w:proofErr w:type="gramStart"/>
      <w:r w:rsidRPr="00244AE1">
        <w:rPr>
          <w:rFonts w:ascii="Times New Roman" w:eastAsia="Times New Roman" w:hAnsi="Times New Roman" w:cs="Times New Roman"/>
          <w:sz w:val="24"/>
          <w:szCs w:val="24"/>
        </w:rPr>
        <w:lastRenderedPageBreak/>
        <w:t>( Piaget</w:t>
      </w:r>
      <w:proofErr w:type="gramEnd"/>
      <w:r w:rsidRPr="00244AE1">
        <w:rPr>
          <w:rFonts w:ascii="Times New Roman" w:eastAsia="Times New Roman" w:hAnsi="Times New Roman" w:cs="Times New Roman"/>
          <w:sz w:val="24"/>
          <w:szCs w:val="24"/>
        </w:rPr>
        <w:t xml:space="preserve">, 1970 e Dosse, 1994). O </w:t>
      </w:r>
      <w:r w:rsidRPr="00244AE1">
        <w:rPr>
          <w:rFonts w:ascii="Times New Roman" w:eastAsia="Times New Roman" w:hAnsi="Times New Roman" w:cs="Times New Roman"/>
          <w:i/>
          <w:iCs/>
          <w:sz w:val="24"/>
          <w:szCs w:val="24"/>
        </w:rPr>
        <w:t>método genealógico</w:t>
      </w:r>
      <w:r w:rsidRPr="00244AE1">
        <w:rPr>
          <w:rFonts w:ascii="Times New Roman" w:eastAsia="Times New Roman" w:hAnsi="Times New Roman" w:cs="Times New Roman"/>
          <w:sz w:val="24"/>
          <w:szCs w:val="24"/>
        </w:rPr>
        <w:t xml:space="preserve">, a seu turno, encontra-se explicado em estilhaços: em artigos, cursos, rápidas </w:t>
      </w:r>
      <w:proofErr w:type="gramStart"/>
      <w:r w:rsidRPr="00244AE1">
        <w:rPr>
          <w:rFonts w:ascii="Times New Roman" w:eastAsia="Times New Roman" w:hAnsi="Times New Roman" w:cs="Times New Roman"/>
          <w:sz w:val="24"/>
          <w:szCs w:val="24"/>
        </w:rPr>
        <w:t>citações, etc.</w:t>
      </w:r>
      <w:proofErr w:type="gramEnd"/>
    </w:p>
    <w:p w14:paraId="0C57B780"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É exatamente no hiato de Foucault que buscaremos nos situar. Primeiramente, buscaremos recolher alguns desses cacos, objetivando dotar-lhes de alguma coerência argumentativa, no bojo de pesquisa que desenvolvemos, a fim de sintetizar a genealogia enquanto método. Tarefa esta feita, apresentaremos as noções de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tal como desenvolvidas por Rudolf de Jong, historiador holandês de menor fama, aparando arestas e precisando-as, visto sua larga utilização em outros campos, por exemplo, em teoria econômica. Por fim, cotejaremos estes resultados prévios intentando demonstrar a viabilidade e as problemáticas envoltas na utilização do </w:t>
      </w:r>
      <w:r w:rsidRPr="00244AE1">
        <w:rPr>
          <w:rFonts w:ascii="Times New Roman" w:eastAsia="Times New Roman" w:hAnsi="Times New Roman" w:cs="Times New Roman"/>
          <w:i/>
          <w:iCs/>
          <w:sz w:val="24"/>
          <w:szCs w:val="24"/>
        </w:rPr>
        <w:t>método genealógico</w:t>
      </w:r>
      <w:r w:rsidRPr="00244AE1">
        <w:rPr>
          <w:rFonts w:ascii="Times New Roman" w:eastAsia="Times New Roman" w:hAnsi="Times New Roman" w:cs="Times New Roman"/>
          <w:sz w:val="24"/>
          <w:szCs w:val="24"/>
        </w:rPr>
        <w:t xml:space="preserve"> enquanto analítica das relações entre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1C27588C"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p>
    <w:p w14:paraId="2C7CC024" w14:textId="77777777" w:rsidR="00244AE1" w:rsidRDefault="00244AE1" w:rsidP="00EF3D18">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O método genealógico</w:t>
      </w:r>
    </w:p>
    <w:p w14:paraId="48E3EA63" w14:textId="77777777" w:rsidR="00EF3D18" w:rsidRPr="00244AE1" w:rsidRDefault="00EF3D18" w:rsidP="00EF3D18">
      <w:pPr>
        <w:numPr>
          <w:ilvl w:val="0"/>
          <w:numId w:val="1"/>
        </w:numPr>
        <w:spacing w:after="0" w:line="360" w:lineRule="auto"/>
        <w:ind w:right="-1"/>
        <w:jc w:val="both"/>
        <w:rPr>
          <w:rFonts w:ascii="Times New Roman" w:eastAsia="Times New Roman" w:hAnsi="Times New Roman" w:cs="Times New Roman"/>
          <w:b/>
          <w:bCs/>
          <w:sz w:val="24"/>
          <w:szCs w:val="24"/>
        </w:rPr>
      </w:pPr>
    </w:p>
    <w:p w14:paraId="6AA3B27A"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Pouco depois de expor (em 1971)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Foucault falava da necessidade de elaborar uma dinástica do poder (Foucault, 2006a), em seguimento à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do saber; este é, com efeito, o tom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que apresenta diferenças muito nítidas em relação ao </w:t>
      </w:r>
      <w:r w:rsidRPr="00244AE1">
        <w:rPr>
          <w:rFonts w:ascii="Times New Roman" w:eastAsia="Times New Roman" w:hAnsi="Times New Roman" w:cs="Times New Roman"/>
          <w:i/>
          <w:iCs/>
          <w:sz w:val="24"/>
          <w:szCs w:val="24"/>
        </w:rPr>
        <w:t>método arqueológico</w:t>
      </w:r>
      <w:r w:rsidRPr="00244AE1">
        <w:rPr>
          <w:rFonts w:ascii="Times New Roman" w:eastAsia="Times New Roman" w:hAnsi="Times New Roman" w:cs="Times New Roman"/>
          <w:sz w:val="24"/>
          <w:szCs w:val="24"/>
        </w:rPr>
        <w:t xml:space="preserve">. Como se sabe, durante a maior parte da década de 60, Foucault trabalhou sob os auspícios deste último método, tendo se aproximado em maior ou menor medida do estruturalismo. Em termos gerais, 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baseia-se em uma recolocação na problemática histórica</w:t>
      </w:r>
      <w:r w:rsidRPr="00244AE1">
        <w:rPr>
          <w:rFonts w:ascii="Times New Roman" w:eastAsia="Times New Roman" w:hAnsi="Times New Roman" w:cs="Times New Roman"/>
          <w:sz w:val="24"/>
          <w:szCs w:val="24"/>
          <w:vertAlign w:val="superscript"/>
        </w:rPr>
        <w:footnoteReference w:id="88"/>
      </w:r>
      <w:r w:rsidRPr="00244AE1">
        <w:rPr>
          <w:rFonts w:ascii="Times New Roman" w:eastAsia="Times New Roman" w:hAnsi="Times New Roman" w:cs="Times New Roman"/>
          <w:sz w:val="24"/>
          <w:szCs w:val="24"/>
        </w:rPr>
        <w:t xml:space="preserve">, disciplina a qual, na França, em tempos de Foucault, passava por mutações epistemológicas diversas a partir dos trabalhos da </w:t>
      </w:r>
      <w:r w:rsidRPr="00244AE1">
        <w:rPr>
          <w:rFonts w:ascii="Times New Roman" w:eastAsia="Times New Roman" w:hAnsi="Times New Roman" w:cs="Times New Roman"/>
          <w:i/>
          <w:iCs/>
          <w:sz w:val="24"/>
          <w:szCs w:val="24"/>
        </w:rPr>
        <w:t>nouvelle histoire</w:t>
      </w:r>
      <w:r w:rsidRPr="00244AE1">
        <w:rPr>
          <w:rFonts w:ascii="Times New Roman" w:eastAsia="Times New Roman" w:hAnsi="Times New Roman" w:cs="Times New Roman"/>
          <w:sz w:val="24"/>
          <w:szCs w:val="24"/>
        </w:rPr>
        <w:t xml:space="preserve">, isto é, da chamada Escola dos </w:t>
      </w:r>
      <w:r w:rsidRPr="00244AE1">
        <w:rPr>
          <w:rFonts w:ascii="Times New Roman" w:eastAsia="Times New Roman" w:hAnsi="Times New Roman" w:cs="Times New Roman"/>
          <w:i/>
          <w:iCs/>
          <w:sz w:val="24"/>
          <w:szCs w:val="24"/>
        </w:rPr>
        <w:t>Annales</w:t>
      </w:r>
      <w:r w:rsidRPr="00244AE1">
        <w:rPr>
          <w:rFonts w:ascii="Times New Roman" w:eastAsia="Times New Roman" w:hAnsi="Times New Roman" w:cs="Times New Roman"/>
          <w:i/>
          <w:iCs/>
          <w:sz w:val="24"/>
          <w:szCs w:val="24"/>
          <w:vertAlign w:val="superscript"/>
        </w:rPr>
        <w:t xml:space="preserve"> (Burke, 1997)</w:t>
      </w:r>
      <w:r w:rsidRPr="00244AE1">
        <w:rPr>
          <w:rFonts w:ascii="Times New Roman" w:eastAsia="Times New Roman" w:hAnsi="Times New Roman" w:cs="Times New Roman"/>
          <w:sz w:val="24"/>
          <w:szCs w:val="24"/>
        </w:rPr>
        <w:t xml:space="preserve">, que muitos autores ligam a Foucault (Dosse, 1984); o campo historiográfico debatia-se então entre os problemas postos pelas distintas visões focadas na questão das estruturas (o estruturalismo, mas também Braudel), de um lado, e do devir, centrado na ênfase dos processos de mudança, posição esta afim ao marxismo. A </w:t>
      </w:r>
      <w:r w:rsidRPr="00244AE1">
        <w:rPr>
          <w:rFonts w:ascii="Times New Roman" w:eastAsia="Times New Roman" w:hAnsi="Times New Roman" w:cs="Times New Roman"/>
          <w:i/>
          <w:iCs/>
          <w:sz w:val="24"/>
          <w:szCs w:val="24"/>
        </w:rPr>
        <w:t>arqueologia</w:t>
      </w:r>
      <w:r w:rsidRPr="00244AE1">
        <w:rPr>
          <w:rFonts w:ascii="Times New Roman" w:eastAsia="Times New Roman" w:hAnsi="Times New Roman" w:cs="Times New Roman"/>
          <w:sz w:val="24"/>
          <w:szCs w:val="24"/>
        </w:rPr>
        <w:t xml:space="preserve"> propunha-se a ser </w:t>
      </w:r>
      <w:r w:rsidRPr="00244AE1">
        <w:rPr>
          <w:rFonts w:ascii="Times New Roman" w:eastAsia="Times New Roman" w:hAnsi="Times New Roman" w:cs="Times New Roman"/>
          <w:i/>
          <w:iCs/>
          <w:sz w:val="24"/>
          <w:szCs w:val="24"/>
        </w:rPr>
        <w:t>diagonal</w:t>
      </w:r>
      <w:r w:rsidRPr="00244AE1">
        <w:rPr>
          <w:rFonts w:ascii="Times New Roman" w:eastAsia="Times New Roman" w:hAnsi="Times New Roman" w:cs="Times New Roman"/>
          <w:sz w:val="24"/>
          <w:szCs w:val="24"/>
        </w:rPr>
        <w:t xml:space="preserve">, como diz Deleuze, na medida em que desloca o cerne dos problemas para as variáveis envoltas no </w:t>
      </w:r>
      <w:r w:rsidRPr="00244AE1">
        <w:rPr>
          <w:rFonts w:ascii="Times New Roman" w:eastAsia="Times New Roman" w:hAnsi="Times New Roman" w:cs="Times New Roman"/>
          <w:i/>
          <w:iCs/>
          <w:sz w:val="24"/>
          <w:szCs w:val="24"/>
        </w:rPr>
        <w:t>métier</w:t>
      </w:r>
      <w:r w:rsidRPr="00244AE1">
        <w:rPr>
          <w:rFonts w:ascii="Times New Roman" w:eastAsia="Times New Roman" w:hAnsi="Times New Roman" w:cs="Times New Roman"/>
          <w:sz w:val="24"/>
          <w:szCs w:val="24"/>
        </w:rPr>
        <w:t xml:space="preserve"> do historiador, em seu objeto de trabalho, o </w:t>
      </w:r>
      <w:r w:rsidRPr="00244AE1">
        <w:rPr>
          <w:rFonts w:ascii="Times New Roman" w:eastAsia="Times New Roman" w:hAnsi="Times New Roman" w:cs="Times New Roman"/>
          <w:i/>
          <w:iCs/>
          <w:sz w:val="24"/>
          <w:szCs w:val="24"/>
        </w:rPr>
        <w:t>documento</w:t>
      </w:r>
      <w:r w:rsidRPr="00244AE1">
        <w:rPr>
          <w:rFonts w:ascii="Times New Roman" w:eastAsia="Times New Roman" w:hAnsi="Times New Roman" w:cs="Times New Roman"/>
          <w:sz w:val="24"/>
          <w:szCs w:val="24"/>
        </w:rPr>
        <w:t xml:space="preserve">, mais </w:t>
      </w:r>
      <w:r w:rsidRPr="00244AE1">
        <w:rPr>
          <w:rFonts w:ascii="Times New Roman" w:eastAsia="Times New Roman" w:hAnsi="Times New Roman" w:cs="Times New Roman"/>
          <w:sz w:val="24"/>
          <w:szCs w:val="24"/>
        </w:rPr>
        <w:lastRenderedPageBreak/>
        <w:t xml:space="preserve">exatamente no </w:t>
      </w:r>
      <w:r w:rsidRPr="00244AE1">
        <w:rPr>
          <w:rFonts w:ascii="Times New Roman" w:eastAsia="Times New Roman" w:hAnsi="Times New Roman" w:cs="Times New Roman"/>
          <w:i/>
          <w:iCs/>
          <w:sz w:val="24"/>
          <w:szCs w:val="24"/>
        </w:rPr>
        <w:t>documento</w:t>
      </w:r>
      <w:r w:rsidRPr="00244AE1">
        <w:rPr>
          <w:rFonts w:ascii="Times New Roman" w:eastAsia="Times New Roman" w:hAnsi="Times New Roman" w:cs="Times New Roman"/>
          <w:sz w:val="24"/>
          <w:szCs w:val="24"/>
        </w:rPr>
        <w:t xml:space="preserve"> enquanto </w:t>
      </w:r>
      <w:r w:rsidRPr="00244AE1">
        <w:rPr>
          <w:rFonts w:ascii="Times New Roman" w:eastAsia="Times New Roman" w:hAnsi="Times New Roman" w:cs="Times New Roman"/>
          <w:i/>
          <w:iCs/>
          <w:sz w:val="24"/>
          <w:szCs w:val="24"/>
        </w:rPr>
        <w:t>acontecimento</w:t>
      </w:r>
      <w:r w:rsidRPr="00244AE1">
        <w:rPr>
          <w:rFonts w:ascii="Times New Roman" w:eastAsia="Times New Roman" w:hAnsi="Times New Roman" w:cs="Times New Roman"/>
          <w:sz w:val="24"/>
          <w:szCs w:val="24"/>
        </w:rPr>
        <w:t xml:space="preserve">, o </w:t>
      </w:r>
      <w:r w:rsidRPr="00244AE1">
        <w:rPr>
          <w:rFonts w:ascii="Times New Roman" w:eastAsia="Times New Roman" w:hAnsi="Times New Roman" w:cs="Times New Roman"/>
          <w:i/>
          <w:iCs/>
          <w:sz w:val="24"/>
          <w:szCs w:val="24"/>
        </w:rPr>
        <w:t>discurso</w:t>
      </w:r>
      <w:r w:rsidRPr="00244AE1">
        <w:rPr>
          <w:rFonts w:ascii="Times New Roman" w:eastAsia="Times New Roman" w:hAnsi="Times New Roman" w:cs="Times New Roman"/>
          <w:i/>
          <w:iCs/>
          <w:sz w:val="24"/>
          <w:szCs w:val="24"/>
          <w:vertAlign w:val="superscript"/>
        </w:rPr>
        <w:footnoteReference w:id="89"/>
      </w:r>
      <w:r w:rsidRPr="00244AE1">
        <w:rPr>
          <w:rFonts w:ascii="Times New Roman" w:eastAsia="Times New Roman" w:hAnsi="Times New Roman" w:cs="Times New Roman"/>
          <w:sz w:val="24"/>
          <w:szCs w:val="24"/>
        </w:rPr>
        <w:t xml:space="preserve">, e em sua parte constitutiva, o </w:t>
      </w:r>
      <w:r w:rsidRPr="00244AE1">
        <w:rPr>
          <w:rFonts w:ascii="Times New Roman" w:eastAsia="Times New Roman" w:hAnsi="Times New Roman" w:cs="Times New Roman"/>
          <w:i/>
          <w:iCs/>
          <w:sz w:val="24"/>
          <w:szCs w:val="24"/>
        </w:rPr>
        <w:t>enunciado</w:t>
      </w:r>
      <w:r w:rsidRPr="00244AE1">
        <w:rPr>
          <w:rFonts w:ascii="Times New Roman" w:eastAsia="Times New Roman" w:hAnsi="Times New Roman" w:cs="Times New Roman"/>
          <w:sz w:val="24"/>
          <w:szCs w:val="24"/>
        </w:rPr>
        <w:t xml:space="preserve">, no âmbito de uma economia do discurso, </w:t>
      </w:r>
      <w:r w:rsidRPr="00244AE1">
        <w:rPr>
          <w:rFonts w:ascii="Times New Roman" w:eastAsia="Times New Roman" w:hAnsi="Times New Roman" w:cs="Times New Roman"/>
          <w:i/>
          <w:iCs/>
          <w:sz w:val="24"/>
          <w:szCs w:val="24"/>
        </w:rPr>
        <w:t>id est</w:t>
      </w:r>
      <w:r w:rsidRPr="00244AE1">
        <w:rPr>
          <w:rFonts w:ascii="Times New Roman" w:eastAsia="Times New Roman" w:hAnsi="Times New Roman" w:cs="Times New Roman"/>
          <w:sz w:val="24"/>
          <w:szCs w:val="24"/>
        </w:rPr>
        <w:t>, nas suas formas de produção, circulação e consumo.</w:t>
      </w:r>
    </w:p>
    <w:p w14:paraId="2502DC59"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Os motivos que levaram Foucault a formular outra metodologia são múltiplos, e resolver esta problemática é entrar no cerne da questão de como entender os percalços de Foucault, tópico com o qual abrimos nossa discussão; e já demos ênfase que não será este nosso objeto. Apontaremos, de passagem, que no supracitado texto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sz w:val="24"/>
          <w:szCs w:val="24"/>
        </w:rPr>
        <w:t xml:space="preserve"> há elementos importantes que dão a saber esta mudança na medida em que, se Foucault recupera os elementos precedentes de sua reflexão arqueológica, ao mesmo tempo aponta para o futuro, formulando um programa de pesquisa, como outros que formulará, e dando a linha mestre de suas investigações vindouras. Pode-se dizer, em epígrafe, que há a passagem de uma economia do discurso para uma economia política do discurso, na medida que se tratará para o </w:t>
      </w:r>
      <w:r w:rsidRPr="00244AE1">
        <w:rPr>
          <w:rFonts w:ascii="Times New Roman" w:eastAsia="Times New Roman" w:hAnsi="Times New Roman" w:cs="Times New Roman"/>
          <w:i/>
          <w:iCs/>
          <w:sz w:val="24"/>
          <w:szCs w:val="24"/>
        </w:rPr>
        <w:t xml:space="preserve">método arqueológico </w:t>
      </w:r>
      <w:r w:rsidRPr="00244AE1">
        <w:rPr>
          <w:rFonts w:ascii="Times New Roman" w:eastAsia="Times New Roman" w:hAnsi="Times New Roman" w:cs="Times New Roman"/>
          <w:sz w:val="24"/>
          <w:szCs w:val="24"/>
        </w:rPr>
        <w:t xml:space="preserve">de pôr este discurso em um gradil de forças em luta; e Machado sintetiza com maestria ao afirmar que para a arqueologia tratava-se de responder o “como” conquanto que a genealogia terá sua </w:t>
      </w:r>
      <w:r w:rsidRPr="00244AE1">
        <w:rPr>
          <w:rFonts w:ascii="Times New Roman" w:eastAsia="Times New Roman" w:hAnsi="Times New Roman" w:cs="Times New Roman"/>
          <w:i/>
          <w:iCs/>
          <w:sz w:val="24"/>
          <w:szCs w:val="24"/>
        </w:rPr>
        <w:t>raison d’être</w:t>
      </w:r>
      <w:r w:rsidRPr="00244AE1">
        <w:rPr>
          <w:rFonts w:ascii="Times New Roman" w:eastAsia="Times New Roman" w:hAnsi="Times New Roman" w:cs="Times New Roman"/>
          <w:sz w:val="24"/>
          <w:szCs w:val="24"/>
        </w:rPr>
        <w:t xml:space="preserve"> na pergunta relativa ao “porquê”.</w:t>
      </w:r>
    </w:p>
    <w:p w14:paraId="79CBF6A1"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elaborou considerações importantes acerca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no famoso necrológio a Hypollite. Filiando-se explicitamente a Nietzsche, o grande formulador deste método, Foucault precisa os meandros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Para o mestre francês,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um método documentário de pesquisa que se opõe à busca por uma origem originária, uma essência que se desenrolaria na história, designada por Nietzsche sob o nome de </w:t>
      </w:r>
      <w:r w:rsidRPr="00244AE1">
        <w:rPr>
          <w:rFonts w:ascii="Times New Roman" w:eastAsia="Times New Roman" w:hAnsi="Times New Roman" w:cs="Times New Roman"/>
          <w:i/>
          <w:iCs/>
          <w:sz w:val="24"/>
          <w:szCs w:val="24"/>
        </w:rPr>
        <w:t>Ursprung</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princípio</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origem</w:t>
      </w:r>
      <w:r w:rsidRPr="00244AE1">
        <w:rPr>
          <w:rFonts w:ascii="Times New Roman" w:eastAsia="Times New Roman" w:hAnsi="Times New Roman" w:cs="Times New Roman"/>
          <w:sz w:val="24"/>
          <w:szCs w:val="24"/>
        </w:rPr>
        <w:t xml:space="preserve">; as pesquisas envoltas em uma busca pela </w:t>
      </w:r>
      <w:r w:rsidRPr="00244AE1">
        <w:rPr>
          <w:rFonts w:ascii="Times New Roman" w:eastAsia="Times New Roman" w:hAnsi="Times New Roman" w:cs="Times New Roman"/>
          <w:i/>
          <w:iCs/>
          <w:sz w:val="24"/>
          <w:szCs w:val="24"/>
        </w:rPr>
        <w:t>Ursprung</w:t>
      </w:r>
      <w:r w:rsidRPr="00244AE1">
        <w:rPr>
          <w:rFonts w:ascii="Times New Roman" w:eastAsia="Times New Roman" w:hAnsi="Times New Roman" w:cs="Times New Roman"/>
          <w:sz w:val="24"/>
          <w:szCs w:val="24"/>
        </w:rPr>
        <w:t xml:space="preserve"> de algo seriam metafísicas, pois buscariam a essência das coisas, mantida intocada frente aos acontecimentos externos.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partiria da asserção segundo a qual as coisas não têm esse gênero de essência, que esta se desenvolve paulatinamente em um campo de exterioridades: “o que se encontra no começo histórico das coisas não é a identidade ainda preservada da origem </w:t>
      </w:r>
      <w:r w:rsidRPr="00244AE1">
        <w:rPr>
          <w:rFonts w:ascii="Times New Roman" w:eastAsia="Times New Roman" w:hAnsi="Times New Roman" w:cs="Times New Roman"/>
          <w:i/>
          <w:iCs/>
          <w:sz w:val="24"/>
          <w:szCs w:val="24"/>
        </w:rPr>
        <w:t>—</w:t>
      </w:r>
      <w:r w:rsidRPr="00244AE1">
        <w:rPr>
          <w:rFonts w:ascii="Times New Roman" w:eastAsia="Times New Roman" w:hAnsi="Times New Roman" w:cs="Times New Roman"/>
          <w:sz w:val="24"/>
          <w:szCs w:val="24"/>
        </w:rPr>
        <w:t xml:space="preserve"> é a discórdia entre as coisas, é o disparate” (Foucault, 2001:18).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considera, antes, que “a história, com suas intensidades, seus desfalecimentos, seus furores secretos, suas grandes agitações febris como suas síncopes, </w:t>
      </w:r>
      <w:r w:rsidRPr="00244AE1">
        <w:rPr>
          <w:rFonts w:ascii="Times New Roman" w:eastAsia="Times New Roman" w:hAnsi="Times New Roman" w:cs="Times New Roman"/>
          <w:sz w:val="24"/>
          <w:szCs w:val="24"/>
        </w:rPr>
        <w:lastRenderedPageBreak/>
        <w:t>é o próprio corpo do devir” (Foucault, 2001: 20). Para o genealogista “É preciso ser metafísico para lhe procurar [nas coisas] uma alma na idealidade longínqua da origem” (Foucault, 2001:20).</w:t>
      </w:r>
    </w:p>
    <w:p w14:paraId="20C17673"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Enquanto método, a genealogia envolve um duplo movimento: de um lado a pesquisa de </w:t>
      </w:r>
      <w:r w:rsidRPr="00244AE1">
        <w:rPr>
          <w:rFonts w:ascii="Times New Roman" w:eastAsia="Times New Roman" w:hAnsi="Times New Roman" w:cs="Times New Roman"/>
          <w:i/>
          <w:iCs/>
          <w:sz w:val="24"/>
          <w:szCs w:val="24"/>
        </w:rPr>
        <w:t>Herkunft</w:t>
      </w:r>
      <w:r w:rsidRPr="00244AE1">
        <w:rPr>
          <w:rFonts w:ascii="Times New Roman" w:eastAsia="Times New Roman" w:hAnsi="Times New Roman" w:cs="Times New Roman"/>
          <w:sz w:val="24"/>
          <w:szCs w:val="24"/>
        </w:rPr>
        <w:t xml:space="preserve">, do outro a pesquisa de </w:t>
      </w:r>
      <w:r w:rsidRPr="00244AE1">
        <w:rPr>
          <w:rFonts w:ascii="Times New Roman" w:eastAsia="Times New Roman" w:hAnsi="Times New Roman" w:cs="Times New Roman"/>
          <w:i/>
          <w:iCs/>
          <w:sz w:val="24"/>
          <w:szCs w:val="24"/>
        </w:rPr>
        <w:t>Entstehung</w:t>
      </w:r>
      <w:r w:rsidRPr="00244AE1">
        <w:rPr>
          <w:rFonts w:ascii="Times New Roman" w:eastAsia="Times New Roman" w:hAnsi="Times New Roman" w:cs="Times New Roman"/>
          <w:i/>
          <w:iCs/>
          <w:sz w:val="24"/>
          <w:szCs w:val="24"/>
          <w:vertAlign w:val="superscript"/>
        </w:rPr>
        <w:footnoteReference w:id="90"/>
      </w:r>
      <w:r w:rsidRPr="00244AE1">
        <w:rPr>
          <w:rFonts w:ascii="Times New Roman" w:eastAsia="Times New Roman" w:hAnsi="Times New Roman" w:cs="Times New Roman"/>
          <w:sz w:val="24"/>
          <w:szCs w:val="24"/>
        </w:rPr>
        <w:t xml:space="preserve">. O primeiro, </w:t>
      </w:r>
      <w:r w:rsidRPr="00244AE1">
        <w:rPr>
          <w:rFonts w:ascii="Times New Roman" w:eastAsia="Times New Roman" w:hAnsi="Times New Roman" w:cs="Times New Roman"/>
          <w:i/>
          <w:iCs/>
          <w:sz w:val="24"/>
          <w:szCs w:val="24"/>
        </w:rPr>
        <w:t>proveniência</w:t>
      </w:r>
      <w:r w:rsidRPr="00244AE1">
        <w:rPr>
          <w:rFonts w:ascii="Times New Roman" w:eastAsia="Times New Roman" w:hAnsi="Times New Roman" w:cs="Times New Roman"/>
          <w:sz w:val="24"/>
          <w:szCs w:val="24"/>
        </w:rPr>
        <w:t xml:space="preserve">, indica o pertencimento a um grupo, tratando-se de uma pesquisa de começo e que é dissociativa, buscando reencontrar, hoje, aquilo que foi perdido; por meio da </w:t>
      </w:r>
      <w:r w:rsidRPr="00244AE1">
        <w:rPr>
          <w:rFonts w:ascii="Times New Roman" w:eastAsia="Times New Roman" w:hAnsi="Times New Roman" w:cs="Times New Roman"/>
          <w:i/>
          <w:iCs/>
          <w:sz w:val="24"/>
          <w:szCs w:val="24"/>
        </w:rPr>
        <w:t xml:space="preserve">Herkunft </w:t>
      </w:r>
      <w:r w:rsidRPr="00244AE1">
        <w:rPr>
          <w:rFonts w:ascii="Times New Roman" w:eastAsia="Times New Roman" w:hAnsi="Times New Roman" w:cs="Times New Roman"/>
          <w:sz w:val="24"/>
          <w:szCs w:val="24"/>
        </w:rPr>
        <w:t xml:space="preserve">se buscam os acontecimentos através dos quais um caráter ou conceito se formou. Não é pesquisa de evolução de uma espécie ou povo, mas é “descobrir que na raiz daquilo que nós conhecemos e daquilo que nós somos — não existem a verdade e o ser, mas a exterioridade do acidente” (Foucault, 2001:21). Foucault a define como uma pesquisa de herança, que vai mostrar a contingência e a heterogeneidade de fatores e acontecimentos coadunados naquilo que se toma por objeto, no corpo deste objeto, posto que a </w:t>
      </w:r>
      <w:r w:rsidRPr="00244AE1">
        <w:rPr>
          <w:rFonts w:ascii="Times New Roman" w:eastAsia="Times New Roman" w:hAnsi="Times New Roman" w:cs="Times New Roman"/>
          <w:i/>
          <w:iCs/>
          <w:sz w:val="24"/>
          <w:szCs w:val="24"/>
        </w:rPr>
        <w:t>Herkunft</w:t>
      </w:r>
      <w:r w:rsidRPr="00244AE1">
        <w:rPr>
          <w:rFonts w:ascii="Times New Roman" w:eastAsia="Times New Roman" w:hAnsi="Times New Roman" w:cs="Times New Roman"/>
          <w:sz w:val="24"/>
          <w:szCs w:val="24"/>
        </w:rPr>
        <w:t xml:space="preserve"> se situa na articulação entre corpo e história. Quanto a </w:t>
      </w:r>
      <w:r w:rsidRPr="00244AE1">
        <w:rPr>
          <w:rFonts w:ascii="Times New Roman" w:eastAsia="Times New Roman" w:hAnsi="Times New Roman" w:cs="Times New Roman"/>
          <w:i/>
          <w:iCs/>
          <w:sz w:val="24"/>
          <w:szCs w:val="24"/>
        </w:rPr>
        <w:t>Entstehung</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(no sentido de origem, de um ponto de surgimento), ela diz respeito ao aparecimento de algo, o momento onde deveio: “a genealogia restabelece os diversos sistemas de submissão: não a potência antecipadora de um sentido, mas o jogo casual das dominações [e é por isso que]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se produz sempre em um determinado estado de forças” (Foucault, 2001:23).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ocorre em um contexto de luta entre dominadores e dominados, visto que, historicamente, as formas de dominação se sucedem; ela não designa um </w:t>
      </w:r>
      <w:r w:rsidRPr="00244AE1">
        <w:rPr>
          <w:rFonts w:ascii="Times New Roman" w:eastAsia="Times New Roman" w:hAnsi="Times New Roman" w:cs="Times New Roman"/>
          <w:i/>
          <w:iCs/>
          <w:sz w:val="24"/>
          <w:szCs w:val="24"/>
        </w:rPr>
        <w:t>lócus</w:t>
      </w:r>
      <w:r w:rsidRPr="00244AE1">
        <w:rPr>
          <w:rFonts w:ascii="Times New Roman" w:eastAsia="Times New Roman" w:hAnsi="Times New Roman" w:cs="Times New Roman"/>
          <w:sz w:val="24"/>
          <w:szCs w:val="24"/>
        </w:rPr>
        <w:t xml:space="preserve"> de enfrentamento, mas um não lugar, uma distância, quer dizer, aquilo que separa, que diferencia as forças em luta.</w:t>
      </w:r>
    </w:p>
    <w:p w14:paraId="38E9EC46"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tem um sentido histórico. Seu objetivo é descontinuar, desfazer as unidades, mostrar os conflitos e acasos no corpo das coisas. Ela quer dissipar as unidades, posto que “as forças que se encontram em jogo na história não obedecem nem a uma destinação, nem a uma mecânica, mas ao acaso da luta” (Foucault, 2001: 28) e é no acontecimento que as forças se manifestam. O genealogista reconhece que “nos vivemos sem referências ou coordenadas originárias, em miríades de acontecimentos perdidos” (Foucault, 2001: 29). Paul Veyne, citando Deleuze, afirma que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não toma as coisas nem pelo princípio nem pelo termo, mas pelo meio (Veyne, 1982), quer dizer </w:t>
      </w:r>
      <w:r w:rsidRPr="00244AE1">
        <w:rPr>
          <w:rFonts w:ascii="Times New Roman" w:eastAsia="Times New Roman" w:hAnsi="Times New Roman" w:cs="Times New Roman"/>
          <w:sz w:val="24"/>
          <w:szCs w:val="24"/>
        </w:rPr>
        <w:lastRenderedPageBreak/>
        <w:t xml:space="preserve">fugindo tanto da noção de fundamento, enquanto ponto arquimediano cartesiano, como dos distintos pensamentos pautados em um </w:t>
      </w:r>
      <w:r w:rsidRPr="00244AE1">
        <w:rPr>
          <w:rFonts w:ascii="Times New Roman" w:eastAsia="Times New Roman" w:hAnsi="Times New Roman" w:cs="Times New Roman"/>
          <w:i/>
          <w:iCs/>
          <w:sz w:val="24"/>
          <w:szCs w:val="24"/>
        </w:rPr>
        <w:t>telos</w:t>
      </w:r>
      <w:r w:rsidRPr="00244AE1">
        <w:rPr>
          <w:rFonts w:ascii="Times New Roman" w:eastAsia="Times New Roman" w:hAnsi="Times New Roman" w:cs="Times New Roman"/>
          <w:sz w:val="24"/>
          <w:szCs w:val="24"/>
        </w:rPr>
        <w:t xml:space="preserv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tenta situar as coisas em uma correlação de forças, para mostrar a origem meramente política, interessada das coisas.</w:t>
      </w:r>
    </w:p>
    <w:p w14:paraId="011A12C0"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 “O método consiste então para Foucault em compreender que as coisas não passam das objetivações de práticas determinadas, cujas determinações devem ser expostas à luz já que a consciência não a concebe” (Veyne, 1982: 162). Veyne, um comentador privilegiado, visto as relações que entretinha com Foucault, considera que o filósofo francês está, assim, em um só golpe, se desfazendo de variados problemas metodológicos das humanidades (como o problema das intenções em um fato histórico, </w:t>
      </w:r>
      <w:r w:rsidRPr="00244AE1">
        <w:rPr>
          <w:rFonts w:ascii="Times New Roman" w:eastAsia="Times New Roman" w:hAnsi="Times New Roman" w:cs="Times New Roman"/>
          <w:i/>
          <w:iCs/>
          <w:sz w:val="24"/>
          <w:szCs w:val="24"/>
        </w:rPr>
        <w:t>c’est à dire</w:t>
      </w:r>
      <w:r w:rsidRPr="00244AE1">
        <w:rPr>
          <w:rFonts w:ascii="Times New Roman" w:eastAsia="Times New Roman" w:hAnsi="Times New Roman" w:cs="Times New Roman"/>
          <w:sz w:val="24"/>
          <w:szCs w:val="24"/>
        </w:rPr>
        <w:t>, das motivações do sujeito) e intentando constituir uma filosofia das relações; tomar as coisas pelo meio significa considerá-las enquanto práticas, e mesmo o discurso será entendido à moda de uma prática. Foucault teria querido escapar de uma filosofia do sujeito (a fenomenologia) sem cair em uma filosofia do objeto (o marxismo): elaborou assim uma filosofia das relações — evidentemente, sintetizamos bastante as coisas.</w:t>
      </w:r>
    </w:p>
    <w:p w14:paraId="604DF0A4"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Em fato, estes elementos estão postos na análise de Foucault. Ele não só quis escapar de uma centralidade do sujeito, nodal para variados filósofos, sobretudo a partir do </w:t>
      </w:r>
      <w:r w:rsidRPr="00244AE1">
        <w:rPr>
          <w:rFonts w:ascii="Times New Roman" w:eastAsia="Times New Roman" w:hAnsi="Times New Roman" w:cs="Times New Roman"/>
          <w:i/>
          <w:iCs/>
          <w:sz w:val="24"/>
          <w:szCs w:val="24"/>
        </w:rPr>
        <w:t>cogito</w:t>
      </w:r>
      <w:r w:rsidRPr="00244AE1">
        <w:rPr>
          <w:rFonts w:ascii="Times New Roman" w:eastAsia="Times New Roman" w:hAnsi="Times New Roman" w:cs="Times New Roman"/>
          <w:sz w:val="24"/>
          <w:szCs w:val="24"/>
        </w:rPr>
        <w:t xml:space="preserve"> cartesiano, como se esforçou para mostrar a constituição acidental do sujeito, com ele é fruto de relações de poder que o engendram por exemplo, (Foucault, 2005b) e (Foucault, 2006c). Ele não só quis escapar o marxismo — do materialismo dialético, da lógica dialética — como intentou mesmo, no mesmo movimento de explicação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constituir uma </w:t>
      </w:r>
      <w:r w:rsidRPr="00244AE1">
        <w:rPr>
          <w:rFonts w:ascii="Times New Roman" w:eastAsia="Times New Roman" w:hAnsi="Times New Roman" w:cs="Times New Roman"/>
          <w:i/>
          <w:iCs/>
          <w:sz w:val="24"/>
          <w:szCs w:val="24"/>
        </w:rPr>
        <w:t xml:space="preserve">lógica estratégica </w:t>
      </w:r>
      <w:r w:rsidRPr="00244AE1">
        <w:rPr>
          <w:rFonts w:ascii="Times New Roman" w:eastAsia="Times New Roman" w:hAnsi="Times New Roman" w:cs="Times New Roman"/>
          <w:sz w:val="24"/>
          <w:szCs w:val="24"/>
        </w:rPr>
        <w:t xml:space="preserve">(Foucault, 2008). </w:t>
      </w:r>
    </w:p>
    <w:p w14:paraId="2915B9D1"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No </w:t>
      </w:r>
      <w:proofErr w:type="gramStart"/>
      <w:r w:rsidRPr="00244AE1">
        <w:rPr>
          <w:rFonts w:ascii="Times New Roman" w:eastAsia="Times New Roman" w:hAnsi="Times New Roman" w:cs="Times New Roman"/>
          <w:sz w:val="24"/>
          <w:szCs w:val="24"/>
        </w:rPr>
        <w:t xml:space="preserve">curso </w:t>
      </w:r>
      <w:r w:rsidRPr="00244AE1">
        <w:rPr>
          <w:rFonts w:ascii="Times New Roman" w:eastAsia="Times New Roman" w:hAnsi="Times New Roman" w:cs="Times New Roman"/>
          <w:i/>
          <w:iCs/>
          <w:sz w:val="24"/>
          <w:szCs w:val="24"/>
        </w:rPr>
        <w:t>Em</w:t>
      </w:r>
      <w:proofErr w:type="gramEnd"/>
      <w:r w:rsidRPr="00244AE1">
        <w:rPr>
          <w:rFonts w:ascii="Times New Roman" w:eastAsia="Times New Roman" w:hAnsi="Times New Roman" w:cs="Times New Roman"/>
          <w:i/>
          <w:iCs/>
          <w:sz w:val="24"/>
          <w:szCs w:val="24"/>
        </w:rPr>
        <w:t xml:space="preserve"> defesa da sociedade</w:t>
      </w:r>
      <w:r w:rsidRPr="00244AE1">
        <w:rPr>
          <w:rFonts w:ascii="Times New Roman" w:eastAsia="Times New Roman" w:hAnsi="Times New Roman" w:cs="Times New Roman"/>
          <w:sz w:val="24"/>
          <w:szCs w:val="24"/>
        </w:rPr>
        <w:t xml:space="preserve"> Foucault empreende um balanço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até então, ao mesmo tempo em que busca dar-lhe uma grade teórica de maior amplitude. Para ele,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seria marcada pela união entre o saber erudito e os saberes sujeitados, aqueles saberes das lutas por vezes desclassificados no contexto de uma ordem do discurso, sempre belicosa, que define sujeitos, objetos e </w:t>
      </w:r>
      <w:r w:rsidRPr="00244AE1">
        <w:rPr>
          <w:rFonts w:ascii="Times New Roman" w:eastAsia="Times New Roman" w:hAnsi="Times New Roman" w:cs="Times New Roman"/>
          <w:i/>
          <w:iCs/>
          <w:sz w:val="24"/>
          <w:szCs w:val="24"/>
        </w:rPr>
        <w:t>lócus</w:t>
      </w:r>
      <w:r w:rsidRPr="00244AE1">
        <w:rPr>
          <w:rFonts w:ascii="Times New Roman" w:eastAsia="Times New Roman" w:hAnsi="Times New Roman" w:cs="Times New Roman"/>
          <w:sz w:val="24"/>
          <w:szCs w:val="24"/>
        </w:rPr>
        <w:t xml:space="preserve"> de fala. Anticiências, as genealogias visam mostrar como o presente é incerto e fruto de relações débeis, que devem ser situadas em uma correlação de forças e é notório que Foucault as explique como fruto de uma correlação, hodierna ao </w:t>
      </w:r>
      <w:r w:rsidRPr="00244AE1">
        <w:rPr>
          <w:rFonts w:ascii="Times New Roman" w:eastAsia="Times New Roman" w:hAnsi="Times New Roman" w:cs="Times New Roman"/>
          <w:i/>
          <w:iCs/>
          <w:sz w:val="24"/>
          <w:szCs w:val="24"/>
        </w:rPr>
        <w:t>l’esprit du soixante-huit</w:t>
      </w:r>
      <w:r w:rsidRPr="00244AE1">
        <w:rPr>
          <w:rFonts w:ascii="Times New Roman" w:eastAsia="Times New Roman" w:hAnsi="Times New Roman" w:cs="Times New Roman"/>
          <w:sz w:val="24"/>
          <w:szCs w:val="24"/>
        </w:rPr>
        <w:t xml:space="preserve">, cujo um dos efeitos é a criticabilidade geral das coisas; deste modo, ele escapa de qualquer imputação de metafísica a seu método: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resulta de embates de forças. Destarte o interesse </w:t>
      </w:r>
      <w:r w:rsidRPr="00244AE1">
        <w:rPr>
          <w:rFonts w:ascii="Times New Roman" w:eastAsia="Times New Roman" w:hAnsi="Times New Roman" w:cs="Times New Roman"/>
          <w:sz w:val="24"/>
          <w:szCs w:val="24"/>
        </w:rPr>
        <w:lastRenderedPageBreak/>
        <w:t xml:space="preserve">de Foucault orienta-se no sentido do problema da analítica das relações de poder, e não, exatamente, de uma substância poder. Com efeito, ele considera que as duas grandes matrizes analíticas do poder no Ocidente (a marxista e a liberal) incorrem em </w:t>
      </w:r>
      <w:r w:rsidRPr="00244AE1">
        <w:rPr>
          <w:rFonts w:ascii="Times New Roman" w:eastAsia="Times New Roman" w:hAnsi="Times New Roman" w:cs="Times New Roman"/>
          <w:i/>
          <w:iCs/>
          <w:sz w:val="24"/>
          <w:szCs w:val="24"/>
        </w:rPr>
        <w:t>economismo</w:t>
      </w:r>
      <w:r w:rsidRPr="00244AE1">
        <w:rPr>
          <w:rFonts w:ascii="Times New Roman" w:eastAsia="Times New Roman" w:hAnsi="Times New Roman" w:cs="Times New Roman"/>
          <w:sz w:val="24"/>
          <w:szCs w:val="24"/>
        </w:rPr>
        <w:t xml:space="preserve"> das relações de poder, a concepção liberal por tomar o poder como mercadoria, portanto, cedível, alienável, no exato passo em que um indivíduo cede sua parcela de poder para a constituição de uma soberania; e o marxismo que incorreria em </w:t>
      </w:r>
      <w:r w:rsidRPr="00244AE1">
        <w:rPr>
          <w:rFonts w:ascii="Times New Roman" w:eastAsia="Times New Roman" w:hAnsi="Times New Roman" w:cs="Times New Roman"/>
          <w:i/>
          <w:iCs/>
          <w:sz w:val="24"/>
          <w:szCs w:val="24"/>
        </w:rPr>
        <w:t>economismo</w:t>
      </w:r>
      <w:r w:rsidRPr="00244AE1">
        <w:rPr>
          <w:rFonts w:ascii="Times New Roman" w:eastAsia="Times New Roman" w:hAnsi="Times New Roman" w:cs="Times New Roman"/>
          <w:sz w:val="24"/>
          <w:szCs w:val="24"/>
        </w:rPr>
        <w:t xml:space="preserve"> na medida em que aponta uma </w:t>
      </w:r>
      <w:r w:rsidRPr="00244AE1">
        <w:rPr>
          <w:rFonts w:ascii="Times New Roman" w:eastAsia="Times New Roman" w:hAnsi="Times New Roman" w:cs="Times New Roman"/>
          <w:i/>
          <w:iCs/>
          <w:sz w:val="24"/>
          <w:szCs w:val="24"/>
        </w:rPr>
        <w:t>funcionalidade econômica</w:t>
      </w:r>
      <w:r w:rsidRPr="00244AE1">
        <w:rPr>
          <w:rFonts w:ascii="Times New Roman" w:eastAsia="Times New Roman" w:hAnsi="Times New Roman" w:cs="Times New Roman"/>
          <w:sz w:val="24"/>
          <w:szCs w:val="24"/>
        </w:rPr>
        <w:t xml:space="preserve"> do poder, ou seja, uma tal que o </w:t>
      </w:r>
      <w:r w:rsidRPr="00244AE1">
        <w:rPr>
          <w:rFonts w:ascii="Times New Roman" w:eastAsia="Times New Roman" w:hAnsi="Times New Roman" w:cs="Times New Roman"/>
          <w:i/>
          <w:iCs/>
          <w:sz w:val="24"/>
          <w:szCs w:val="24"/>
        </w:rPr>
        <w:t>leitmotiv</w:t>
      </w:r>
      <w:r w:rsidRPr="00244AE1">
        <w:rPr>
          <w:rFonts w:ascii="Times New Roman" w:eastAsia="Times New Roman" w:hAnsi="Times New Roman" w:cs="Times New Roman"/>
          <w:sz w:val="24"/>
          <w:szCs w:val="24"/>
        </w:rPr>
        <w:t xml:space="preserve"> das relações de poder seria a economia, mais exatamente, manter uma dominação de classe.</w:t>
      </w:r>
    </w:p>
    <w:p w14:paraId="41865DFE"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A seu turno, Foucault intenta escapar da referência a um fundamento, e já o dissemos. Assim, envereda na formulação do poder enquanto prática, a qual, por conseguinte, só existe enquanto praticada: o poder é um exercício sempre tenso. E um exercício tal que, a compreensão das relações de poder só pode se dar em uma analítica belicosa, enquanto, pois, guerra: “o poder é a guerra, é a guerra continuada por outros meios” (Foucault, 1999: 22). Surgido de relações bélicas, as relações de poder seguem em guerra, reconduzindo os resultados desta guerra em um investimento constante. </w:t>
      </w:r>
    </w:p>
    <w:p w14:paraId="5AD0B5A9"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O pensador francês propõe, na seqüência, algumas precauções de método quando da analítica das relações de poder, tais sejam, buscar o poder em sua materialidade no lado dos sujeitados; em vez de estudar as questões de soberania, “estudar os corpos periféricos e múltiplos, esses corpos constituídos pelos efeitos do poder, como súditos” (Foucault, 1999: 34); estudar a reticularidade pulsante das relações do poder; analisar o concreto do poder nas microrrelações para compreender como são possíveis as estratégias globais de dominação; e assumir que o exercício do poder gera uma correlata relação de saber.  O objetivo destas precauções seria fazer aparecer as técnicas de sujeição, em sua heterogeneidade e como estes operadores da dominação por vezes se apoiam, mas por vezes se negam em suas especificidades; o método serve para mostrar as condições de possibilidade das técnicas de dominação. </w:t>
      </w:r>
    </w:p>
    <w:p w14:paraId="13D5ECD0"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Ele compreende que, na exata medida em que é em uma correlação de forças que se mostra na organização de um corpo ou caráter, do mesmo modo não se pode compreender que o poder seria um bloco repressor, que serviria para desvirtuar desejos ou alterar relações essenciais, à moda do freudomarxismo; como o corpo e o caráter são organizados na história, o poder é produtivo, ele organiza estas relações. </w:t>
      </w:r>
    </w:p>
    <w:p w14:paraId="10EAA7EE"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Se bem seja em torno da problemática do poder que Foucault construa suas questões, ele não quer tomá-lo como uma problemática exatamente, posto que isto implicaria dar uma unidade a seus escritos a qual, por vezes ele se recusa, visto que um de seus alvos são as teorias totalitárias “envolventes e globais” (Foucault, 1999: 10). De todo modo, </w:t>
      </w:r>
      <w:proofErr w:type="gramStart"/>
      <w:r w:rsidRPr="00244AE1">
        <w:rPr>
          <w:rFonts w:ascii="Times New Roman" w:eastAsia="Times New Roman" w:hAnsi="Times New Roman" w:cs="Times New Roman"/>
          <w:sz w:val="24"/>
          <w:szCs w:val="24"/>
        </w:rPr>
        <w:t>Fica</w:t>
      </w:r>
      <w:proofErr w:type="gramEnd"/>
      <w:r w:rsidRPr="00244AE1">
        <w:rPr>
          <w:rFonts w:ascii="Times New Roman" w:eastAsia="Times New Roman" w:hAnsi="Times New Roman" w:cs="Times New Roman"/>
          <w:sz w:val="24"/>
          <w:szCs w:val="24"/>
        </w:rPr>
        <w:t xml:space="preserve"> explícito que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quer determinar os mecanismos, efeitos, relações e dispositivos de poder atuantes em níveis e campos diferentes da sociedade. Ela deve ser inscrita em um panorama de uma </w:t>
      </w:r>
      <w:r w:rsidRPr="00244AE1">
        <w:rPr>
          <w:rFonts w:ascii="Times New Roman" w:eastAsia="Times New Roman" w:hAnsi="Times New Roman" w:cs="Times New Roman"/>
          <w:i/>
          <w:iCs/>
          <w:sz w:val="24"/>
          <w:szCs w:val="24"/>
        </w:rPr>
        <w:t>lógica estratégia</w:t>
      </w:r>
      <w:r w:rsidRPr="00244AE1">
        <w:rPr>
          <w:rFonts w:ascii="Times New Roman" w:eastAsia="Times New Roman" w:hAnsi="Times New Roman" w:cs="Times New Roman"/>
          <w:sz w:val="24"/>
          <w:szCs w:val="24"/>
        </w:rPr>
        <w:t xml:space="preserve">: </w:t>
      </w:r>
    </w:p>
    <w:p w14:paraId="15390A10" w14:textId="77777777" w:rsidR="00244AE1" w:rsidRPr="00EF3D18" w:rsidRDefault="00244AE1" w:rsidP="00EF3D18">
      <w:pPr>
        <w:spacing w:before="240" w:after="0" w:line="240" w:lineRule="auto"/>
        <w:ind w:left="2124" w:right="-1"/>
        <w:jc w:val="both"/>
        <w:rPr>
          <w:rFonts w:ascii="Times New Roman" w:eastAsia="Times New Roman" w:hAnsi="Times New Roman" w:cs="Times New Roman"/>
          <w:sz w:val="24"/>
          <w:szCs w:val="24"/>
        </w:rPr>
      </w:pPr>
      <w:r w:rsidRPr="00EF3D18">
        <w:rPr>
          <w:rFonts w:ascii="Times New Roman" w:eastAsia="Times New Roman" w:hAnsi="Times New Roman" w:cs="Times New Roman"/>
          <w:sz w:val="24"/>
          <w:szCs w:val="24"/>
        </w:rPr>
        <w:t>“uma lógica da estratégia não faz valer termos contraditórios num elemento do homogêneo que promete sua resolução, [tal qual a lógica dialética]. A lógica da estratégia tem por função estabelecer quais são as conexões possíveis entre termos díspares e que permanecem díspares. A lógica da estratégia é a lógica da conexão do heterogêneo, não é a lógica da homogeinização do contraditório” (Foucault, 2008: 58).</w:t>
      </w:r>
    </w:p>
    <w:p w14:paraId="4843CEEB"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p>
    <w:p w14:paraId="6C65F5AB"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Há a olhos vistos uma oposição ao marxismo e, </w:t>
      </w:r>
      <w:proofErr w:type="gramStart"/>
      <w:r w:rsidRPr="00244AE1">
        <w:rPr>
          <w:rFonts w:ascii="Times New Roman" w:eastAsia="Times New Roman" w:hAnsi="Times New Roman" w:cs="Times New Roman"/>
          <w:sz w:val="24"/>
          <w:szCs w:val="24"/>
        </w:rPr>
        <w:t>bem dito</w:t>
      </w:r>
      <w:proofErr w:type="gramEnd"/>
      <w:r w:rsidRPr="00244AE1">
        <w:rPr>
          <w:rFonts w:ascii="Times New Roman" w:eastAsia="Times New Roman" w:hAnsi="Times New Roman" w:cs="Times New Roman"/>
          <w:sz w:val="24"/>
          <w:szCs w:val="24"/>
        </w:rPr>
        <w:t>, sua derivação, dependência ou relação com o pensamento hegeliano. Foucault a retoma em muitos momentos; de maneira geral, pode-se dizer que a crítica de Foucault aponta no sentido de que se deve abandonar uma lógica da contradição, posto que o real é isento de contradições; esta é uma categoria aplicável às proposições, mas não extensível ao conjunto do existente (Foucault, 2006a: 253-266); não nos cansamos de lembrar que Foucault considera que o discurso enquanto instância sofreu um achatamento</w:t>
      </w:r>
      <w:r w:rsidRPr="00244AE1">
        <w:rPr>
          <w:rFonts w:ascii="Times New Roman" w:eastAsia="Times New Roman" w:hAnsi="Times New Roman" w:cs="Times New Roman"/>
          <w:sz w:val="24"/>
          <w:szCs w:val="24"/>
          <w:vertAlign w:val="superscript"/>
        </w:rPr>
        <w:footnoteReference w:id="91"/>
      </w:r>
      <w:r w:rsidRPr="00244AE1">
        <w:rPr>
          <w:rFonts w:ascii="Times New Roman" w:eastAsia="Times New Roman" w:hAnsi="Times New Roman" w:cs="Times New Roman"/>
          <w:sz w:val="24"/>
          <w:szCs w:val="24"/>
        </w:rPr>
        <w:t>, e a lógica dialética, neste sentido, seguiria rasurando sua existência (Foucault, 2005a). Na visão de Foucault, a lógica dialética é reducionista: minoriza os distintos enfrentamentos a uma base comum, como se toda suprassunção fosse uma subsunção (Foucault, 2001). Em um horizonte foucaultiano, é mister, portanto, compreender dado caráter — por exemplo, a loucura na sociedade ocidental — em sua especificidade, que envolve disputas, combates; e somente então, após, buscar relacioná-la com outros caracteres; ou, para retomar uma terminologia d’</w:t>
      </w:r>
      <w:r w:rsidRPr="00244AE1">
        <w:rPr>
          <w:rFonts w:ascii="Times New Roman" w:eastAsia="Times New Roman" w:hAnsi="Times New Roman" w:cs="Times New Roman"/>
          <w:i/>
          <w:iCs/>
          <w:sz w:val="24"/>
          <w:szCs w:val="24"/>
        </w:rPr>
        <w:t>Arqueologia do saber</w:t>
      </w:r>
      <w:r w:rsidRPr="00244AE1">
        <w:rPr>
          <w:rFonts w:ascii="Times New Roman" w:eastAsia="Times New Roman" w:hAnsi="Times New Roman" w:cs="Times New Roman"/>
          <w:sz w:val="24"/>
          <w:szCs w:val="24"/>
        </w:rPr>
        <w:t xml:space="preserve">, primeiramente, elabora-se uma </w:t>
      </w:r>
      <w:r w:rsidRPr="00244AE1">
        <w:rPr>
          <w:rFonts w:ascii="Times New Roman" w:eastAsia="Times New Roman" w:hAnsi="Times New Roman" w:cs="Times New Roman"/>
          <w:i/>
          <w:iCs/>
          <w:sz w:val="24"/>
          <w:szCs w:val="24"/>
        </w:rPr>
        <w:t>série</w:t>
      </w:r>
      <w:r w:rsidRPr="00244AE1">
        <w:rPr>
          <w:rFonts w:ascii="Times New Roman" w:eastAsia="Times New Roman" w:hAnsi="Times New Roman" w:cs="Times New Roman"/>
          <w:sz w:val="24"/>
          <w:szCs w:val="24"/>
        </w:rPr>
        <w:t xml:space="preserve">, para, somente então, tentar elaborar um </w:t>
      </w:r>
      <w:r w:rsidRPr="00244AE1">
        <w:rPr>
          <w:rFonts w:ascii="Times New Roman" w:eastAsia="Times New Roman" w:hAnsi="Times New Roman" w:cs="Times New Roman"/>
          <w:i/>
          <w:iCs/>
          <w:sz w:val="24"/>
          <w:szCs w:val="24"/>
        </w:rPr>
        <w:t>quadro</w:t>
      </w:r>
      <w:r w:rsidRPr="00244AE1">
        <w:rPr>
          <w:rFonts w:ascii="Times New Roman" w:eastAsia="Times New Roman" w:hAnsi="Times New Roman" w:cs="Times New Roman"/>
          <w:sz w:val="24"/>
          <w:szCs w:val="24"/>
        </w:rPr>
        <w:t xml:space="preserve">, ou seja, uma </w:t>
      </w:r>
      <w:r w:rsidRPr="00244AE1">
        <w:rPr>
          <w:rFonts w:ascii="Times New Roman" w:eastAsia="Times New Roman" w:hAnsi="Times New Roman" w:cs="Times New Roman"/>
          <w:i/>
          <w:iCs/>
          <w:sz w:val="24"/>
          <w:szCs w:val="24"/>
        </w:rPr>
        <w:t>série</w:t>
      </w:r>
      <w:r w:rsidRPr="00244AE1">
        <w:rPr>
          <w:rFonts w:ascii="Times New Roman" w:eastAsia="Times New Roman" w:hAnsi="Times New Roman" w:cs="Times New Roman"/>
          <w:sz w:val="24"/>
          <w:szCs w:val="24"/>
        </w:rPr>
        <w:t xml:space="preserve"> das </w:t>
      </w:r>
      <w:r w:rsidRPr="00244AE1">
        <w:rPr>
          <w:rFonts w:ascii="Times New Roman" w:eastAsia="Times New Roman" w:hAnsi="Times New Roman" w:cs="Times New Roman"/>
          <w:i/>
          <w:iCs/>
          <w:sz w:val="24"/>
          <w:szCs w:val="24"/>
        </w:rPr>
        <w:t>séries</w:t>
      </w:r>
      <w:r w:rsidRPr="00244AE1">
        <w:rPr>
          <w:rFonts w:ascii="Times New Roman" w:eastAsia="Times New Roman" w:hAnsi="Times New Roman" w:cs="Times New Roman"/>
          <w:sz w:val="24"/>
          <w:szCs w:val="24"/>
        </w:rPr>
        <w:t>, no qual as distintas estratégias se encontram e formam grandes estratégias.</w:t>
      </w:r>
    </w:p>
    <w:p w14:paraId="1E8E9B55"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ab/>
        <w:t xml:space="preserve">Não se trata, portanto, “de interrogar os universais, utilizando como método crítico a história, mas partir da decisão da inexistência dos universais para indagar que história se pode fazer” (Foucault, 2008: 5-6). Ao invés de partir de abordar o objeto de análise com pressupostos como “trata-se de uma dominação de classe”, investigar os múltiplos conflitos que envolveram a </w:t>
      </w:r>
      <w:r w:rsidRPr="00244AE1">
        <w:rPr>
          <w:rFonts w:ascii="Times New Roman" w:eastAsia="Times New Roman" w:hAnsi="Times New Roman" w:cs="Times New Roman"/>
          <w:i/>
          <w:iCs/>
          <w:sz w:val="24"/>
          <w:szCs w:val="24"/>
        </w:rPr>
        <w:t>emergência</w:t>
      </w:r>
      <w:r w:rsidRPr="00244AE1">
        <w:rPr>
          <w:rFonts w:ascii="Times New Roman" w:eastAsia="Times New Roman" w:hAnsi="Times New Roman" w:cs="Times New Roman"/>
          <w:sz w:val="24"/>
          <w:szCs w:val="24"/>
        </w:rPr>
        <w:t xml:space="preserve"> deste objeto, ver sua </w:t>
      </w:r>
      <w:r w:rsidRPr="00244AE1">
        <w:rPr>
          <w:rFonts w:ascii="Times New Roman" w:eastAsia="Times New Roman" w:hAnsi="Times New Roman" w:cs="Times New Roman"/>
          <w:i/>
          <w:iCs/>
          <w:sz w:val="24"/>
          <w:szCs w:val="24"/>
        </w:rPr>
        <w:t>proveniência</w:t>
      </w:r>
      <w:r w:rsidRPr="00244AE1">
        <w:rPr>
          <w:rFonts w:ascii="Times New Roman" w:eastAsia="Times New Roman" w:hAnsi="Times New Roman" w:cs="Times New Roman"/>
          <w:sz w:val="24"/>
          <w:szCs w:val="24"/>
        </w:rPr>
        <w:t xml:space="preserve"> belicosa, situá-lo em um gradil de forças, mostrar como sua essência é organizada em um contexto de embates. Uma vez estabelecido, ver como esta determinada série, como as microrrelações de poder, ou, como o poder investe o corpo mesmo; analisar como estas relações podem ser correlacionadas com grandes estratégias de poder: como, por exemplo, o internamento dos loucos, o controle familiar, as mudanças na estrutura dos hospitais, como tudo isto se relaciona com a emergência da biopolítica; investigar como as mudanças nas práticas de governo tiveram origem em formas pastorais de poder, uma origem baixa, menor, etc.. Enfim, como a lógica do mundo não é a contradição de opostos, mas o fulgor dos combates, que presidem tudo, inclusive o método ele mesmo.</w:t>
      </w:r>
    </w:p>
    <w:p w14:paraId="5FE9C93E"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p>
    <w:p w14:paraId="26DA46A9" w14:textId="77777777" w:rsidR="00244AE1" w:rsidRDefault="00244AE1" w:rsidP="00EF3D18">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As relações de centro e periferia</w:t>
      </w:r>
    </w:p>
    <w:p w14:paraId="1ED593E5" w14:textId="77777777" w:rsidR="00EF3D18" w:rsidRPr="00244AE1" w:rsidRDefault="00EF3D18" w:rsidP="00EF3D18">
      <w:pPr>
        <w:numPr>
          <w:ilvl w:val="0"/>
          <w:numId w:val="1"/>
        </w:numPr>
        <w:spacing w:after="0" w:line="360" w:lineRule="auto"/>
        <w:ind w:right="-1"/>
        <w:jc w:val="both"/>
        <w:rPr>
          <w:rFonts w:ascii="Times New Roman" w:eastAsia="Times New Roman" w:hAnsi="Times New Roman" w:cs="Times New Roman"/>
          <w:b/>
          <w:bCs/>
          <w:sz w:val="24"/>
          <w:szCs w:val="24"/>
        </w:rPr>
      </w:pPr>
    </w:p>
    <w:p w14:paraId="02976B26"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É também com referências ao marxismo que De Jong constrói sua narrativa, buscando demonstrar, que o marxismo </w:t>
      </w:r>
      <w:r w:rsidRPr="00244AE1">
        <w:rPr>
          <w:rFonts w:ascii="Times New Roman" w:eastAsia="Times New Roman" w:hAnsi="Times New Roman" w:cs="Times New Roman"/>
          <w:i/>
          <w:iCs/>
          <w:sz w:val="24"/>
          <w:szCs w:val="24"/>
        </w:rPr>
        <w:t>in toto</w:t>
      </w:r>
      <w:r w:rsidRPr="00244AE1">
        <w:rPr>
          <w:rFonts w:ascii="Times New Roman" w:eastAsia="Times New Roman" w:hAnsi="Times New Roman" w:cs="Times New Roman"/>
          <w:sz w:val="24"/>
          <w:szCs w:val="24"/>
        </w:rPr>
        <w:t xml:space="preserve"> está comprometido com dada visão da mudança social a </w:t>
      </w:r>
      <w:proofErr w:type="gramStart"/>
      <w:r w:rsidRPr="00244AE1">
        <w:rPr>
          <w:rFonts w:ascii="Times New Roman" w:eastAsia="Times New Roman" w:hAnsi="Times New Roman" w:cs="Times New Roman"/>
          <w:sz w:val="24"/>
          <w:szCs w:val="24"/>
        </w:rPr>
        <w:t>qual,  em</w:t>
      </w:r>
      <w:proofErr w:type="gramEnd"/>
      <w:r w:rsidRPr="00244AE1">
        <w:rPr>
          <w:rFonts w:ascii="Times New Roman" w:eastAsia="Times New Roman" w:hAnsi="Times New Roman" w:cs="Times New Roman"/>
          <w:sz w:val="24"/>
          <w:szCs w:val="24"/>
        </w:rPr>
        <w:t xml:space="preserve"> último caso é incapaz de transformações efetivas nos marcos daquilo que se propõe fazer. O debate de Jong, contudo, contrariamente ao de Foucault, não é de ordem filosófica, embora nela resvale. Trata-se de, a partir de uma análise das posições marxistas, depreender seu caráter de teoria orientada para 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não para 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05F631B4"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A utilização desta terminologia impõe a necessidade de que limpemos o meio de campo, posto que ela tem larga recorrência em uma área que nos escapa, e há ressonância de sua utilização nestes outros campos no texto de De Jong. No interior da </w:t>
      </w:r>
      <w:r w:rsidRPr="00244AE1">
        <w:rPr>
          <w:rFonts w:ascii="Times New Roman" w:eastAsia="Times New Roman" w:hAnsi="Times New Roman" w:cs="Times New Roman"/>
          <w:i/>
          <w:iCs/>
          <w:sz w:val="24"/>
          <w:szCs w:val="24"/>
        </w:rPr>
        <w:t>teoria da dependência</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designam, respectivamente, os pólos de capitalismo avançado e dependente, um produtor, de maneira geral, de manufaturados de alto valor agregado e exportadores de capital, o outro exportador de matérias-primas e importador de capitais (Marini, 2005).</w:t>
      </w:r>
    </w:p>
    <w:p w14:paraId="50DD6FE7"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Estes debates tipicamente econômicos, que se impunha às ciências humanas em meados do século passado, sobretudo fruto dos intelectuais agrupados na CEPAL, fazem eco em De Jong. Para este autor, um centro é uma área que domina uma periferia e a periferia é uma área dominada por um centro, tendo a relação se principiando por iniciativa do centro. Podem ser consideradas periferias: 1. culturas ou sociedades completamente distintas do centro; 2.  áreas pertencentes </w:t>
      </w:r>
      <w:proofErr w:type="gramStart"/>
      <w:r w:rsidRPr="00244AE1">
        <w:rPr>
          <w:rFonts w:ascii="Times New Roman" w:eastAsia="Times New Roman" w:hAnsi="Times New Roman" w:cs="Times New Roman"/>
          <w:sz w:val="24"/>
          <w:szCs w:val="24"/>
        </w:rPr>
        <w:t>a mesma</w:t>
      </w:r>
      <w:proofErr w:type="gramEnd"/>
      <w:r w:rsidRPr="00244AE1">
        <w:rPr>
          <w:rFonts w:ascii="Times New Roman" w:eastAsia="Times New Roman" w:hAnsi="Times New Roman" w:cs="Times New Roman"/>
          <w:sz w:val="24"/>
          <w:szCs w:val="24"/>
        </w:rPr>
        <w:t xml:space="preserve"> estrutura social de um centro, mas que são ameaçadas em sua existência e identidade por este, posto serem tomadas como atrasadas ou subdesenvolvidas; 3. classes ou sistemas que foram outrora </w:t>
      </w:r>
      <w:proofErr w:type="gramStart"/>
      <w:r w:rsidRPr="00244AE1">
        <w:rPr>
          <w:rFonts w:ascii="Times New Roman" w:eastAsia="Times New Roman" w:hAnsi="Times New Roman" w:cs="Times New Roman"/>
          <w:sz w:val="24"/>
          <w:szCs w:val="24"/>
        </w:rPr>
        <w:t>centros</w:t>
      </w:r>
      <w:proofErr w:type="gramEnd"/>
      <w:r w:rsidRPr="00244AE1">
        <w:rPr>
          <w:rFonts w:ascii="Times New Roman" w:eastAsia="Times New Roman" w:hAnsi="Times New Roman" w:cs="Times New Roman"/>
          <w:sz w:val="24"/>
          <w:szCs w:val="24"/>
        </w:rPr>
        <w:t xml:space="preserve"> mas que passaram a uma posição periférica graças a desenvolvimentos tecnológicos ou sociais; 4. classes e grupos sociais que fazem parte do centro em um sentido econômico, mas são periféricos em um sentido social; 5. grupos sociais que não desempenham papel econômico ativo no centro; e 6. dominações de origem política intra ou interestatais.</w:t>
      </w:r>
    </w:p>
    <w:p w14:paraId="5A1AD383"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Vê-se, pois, que o debate resvala a instância econômica, e não poderia deixar de fazê-lo, seja porque o capitalismo é, </w:t>
      </w:r>
      <w:proofErr w:type="gramStart"/>
      <w:r w:rsidRPr="00244AE1">
        <w:rPr>
          <w:rFonts w:ascii="Times New Roman" w:eastAsia="Times New Roman" w:hAnsi="Times New Roman" w:cs="Times New Roman"/>
          <w:sz w:val="24"/>
          <w:szCs w:val="24"/>
        </w:rPr>
        <w:t>antes de mais nada</w:t>
      </w:r>
      <w:proofErr w:type="gramEnd"/>
      <w:r w:rsidRPr="00244AE1">
        <w:rPr>
          <w:rFonts w:ascii="Times New Roman" w:eastAsia="Times New Roman" w:hAnsi="Times New Roman" w:cs="Times New Roman"/>
          <w:sz w:val="24"/>
          <w:szCs w:val="24"/>
        </w:rPr>
        <w:t>, dada forma de produção de mercadorias — com tudo que disto decorre — seja pela centralidade da questão econômica no marxismo. Ao mesmo tempo, as noções de centro e periferia transbordam o meramente econômico e podem se referir a grupos sociais minoritários — como LGBT’s, indígenas e mulheres</w:t>
      </w:r>
      <w:r w:rsidRPr="00244AE1">
        <w:rPr>
          <w:rFonts w:ascii="Times New Roman" w:eastAsia="Times New Roman" w:hAnsi="Times New Roman" w:cs="Times New Roman"/>
          <w:sz w:val="24"/>
          <w:szCs w:val="24"/>
          <w:vertAlign w:val="superscript"/>
        </w:rPr>
        <w:footnoteReference w:id="92"/>
      </w:r>
      <w:r w:rsidRPr="00244AE1">
        <w:rPr>
          <w:rFonts w:ascii="Times New Roman" w:eastAsia="Times New Roman" w:hAnsi="Times New Roman" w:cs="Times New Roman"/>
          <w:sz w:val="24"/>
          <w:szCs w:val="24"/>
        </w:rPr>
        <w:t xml:space="preserve">. É fato que um campo periférico, se deve ser dominada por um centro, pode ser ao mesmo tempo centro em relação a outro campo mais periférico; </w:t>
      </w:r>
      <w:r w:rsidRPr="00244AE1">
        <w:rPr>
          <w:rFonts w:ascii="Times New Roman" w:eastAsia="Times New Roman" w:hAnsi="Times New Roman" w:cs="Times New Roman"/>
          <w:i/>
          <w:iCs/>
          <w:sz w:val="24"/>
          <w:szCs w:val="24"/>
        </w:rPr>
        <w:t>exempli gratia</w:t>
      </w:r>
      <w:r w:rsidRPr="00244AE1">
        <w:rPr>
          <w:rFonts w:ascii="Times New Roman" w:eastAsia="Times New Roman" w:hAnsi="Times New Roman" w:cs="Times New Roman"/>
          <w:sz w:val="24"/>
          <w:szCs w:val="24"/>
        </w:rPr>
        <w:t>, um trabalhador francês, periférico em relação a um burguês, mas centro em relação a um imigrante líbio; ou uma mulher rica, periférica em relação aos homens, centro em relação aos pobres.</w:t>
      </w:r>
    </w:p>
    <w:p w14:paraId="52313B01"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Para De Jong, seria traço constitutivo do anarquismo a luta contra o centro, e o processo revolucionário nos parâmetros anarquistas seria marcado pela destruição das relações que constituem o centro e o impedimento de sua reorganização; já no caso do marxismo (e De Jong não parece levar em conta marxistas como os do KAPD</w:t>
      </w:r>
      <w:r w:rsidRPr="00244AE1">
        <w:rPr>
          <w:rFonts w:ascii="Times New Roman" w:eastAsia="Times New Roman" w:hAnsi="Times New Roman" w:cs="Times New Roman"/>
          <w:sz w:val="24"/>
          <w:szCs w:val="24"/>
          <w:vertAlign w:val="superscript"/>
        </w:rPr>
        <w:footnoteReference w:id="93"/>
      </w:r>
      <w:r w:rsidRPr="00244AE1">
        <w:rPr>
          <w:rFonts w:ascii="Times New Roman" w:eastAsia="Times New Roman" w:hAnsi="Times New Roman" w:cs="Times New Roman"/>
          <w:sz w:val="24"/>
          <w:szCs w:val="24"/>
        </w:rPr>
        <w:t xml:space="preserve"> ou à moda </w:t>
      </w:r>
      <w:r w:rsidRPr="00244AE1">
        <w:rPr>
          <w:rFonts w:ascii="Times New Roman" w:eastAsia="Times New Roman" w:hAnsi="Times New Roman" w:cs="Times New Roman"/>
          <w:sz w:val="24"/>
          <w:szCs w:val="24"/>
        </w:rPr>
        <w:lastRenderedPageBreak/>
        <w:t>de Tragtenberg ou João Bernardo</w:t>
      </w:r>
      <w:r w:rsidRPr="00244AE1">
        <w:rPr>
          <w:rFonts w:ascii="Times New Roman" w:eastAsia="Times New Roman" w:hAnsi="Times New Roman" w:cs="Times New Roman"/>
          <w:sz w:val="24"/>
          <w:szCs w:val="24"/>
          <w:vertAlign w:val="superscript"/>
        </w:rPr>
        <w:footnoteReference w:id="94"/>
      </w:r>
      <w:r w:rsidRPr="00244AE1">
        <w:rPr>
          <w:rFonts w:ascii="Times New Roman" w:eastAsia="Times New Roman" w:hAnsi="Times New Roman" w:cs="Times New Roman"/>
          <w:sz w:val="24"/>
          <w:szCs w:val="24"/>
        </w:rPr>
        <w:t xml:space="preserve">) tratar-se-ia sempre de lutar por meio de um centro (o partido) para tomar um centro (o estado). Outros elementos aproximariam, ainda, o marxismo do centro, sendo eles: a necessidade do desenvolvimento (de um centro) que massacra as áreas periféricas; a centralidade em um centro, o operariado fabril, em detrimento das periferias ou mesmo desprezo destas; e a noção da necessidade de revoluções nos países centrais, desprezando, pois, os periféricos, isto no pensamento de Marx, segundo De Jong, ao passo que Bakunin, fundador </w:t>
      </w:r>
      <w:r w:rsidRPr="00244AE1">
        <w:rPr>
          <w:rFonts w:ascii="Times New Roman" w:eastAsia="Times New Roman" w:hAnsi="Times New Roman" w:cs="Times New Roman"/>
          <w:i/>
          <w:iCs/>
          <w:sz w:val="24"/>
          <w:szCs w:val="24"/>
        </w:rPr>
        <w:t>in facto</w:t>
      </w:r>
      <w:r w:rsidRPr="00244AE1">
        <w:rPr>
          <w:rFonts w:ascii="Times New Roman" w:eastAsia="Times New Roman" w:hAnsi="Times New Roman" w:cs="Times New Roman"/>
          <w:sz w:val="24"/>
          <w:szCs w:val="24"/>
        </w:rPr>
        <w:t xml:space="preserve"> do anarquismo, salientou as possibilidades revolucionárias dos países periféricos na Europa de meados do século XIX, como Rússia, Espanha e Itália, como é bem sabido.</w:t>
      </w:r>
    </w:p>
    <w:p w14:paraId="45B17D37"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No anarquismo contemporâneo, ao menos em algumas de suas vertentes (Farj, 2008)</w:t>
      </w:r>
      <w:r w:rsidRPr="00244AE1">
        <w:rPr>
          <w:rFonts w:ascii="Times New Roman" w:eastAsia="Times New Roman" w:hAnsi="Times New Roman" w:cs="Times New Roman"/>
          <w:sz w:val="24"/>
          <w:szCs w:val="24"/>
          <w:vertAlign w:val="superscript"/>
        </w:rPr>
        <w:footnoteReference w:id="95"/>
      </w:r>
      <w:r w:rsidRPr="00244AE1">
        <w:rPr>
          <w:rFonts w:ascii="Times New Roman" w:eastAsia="Times New Roman" w:hAnsi="Times New Roman" w:cs="Times New Roman"/>
          <w:sz w:val="24"/>
          <w:szCs w:val="24"/>
        </w:rPr>
        <w:t xml:space="preserve"> a noção de classe é, mesmo, alargada para ir além da mera classe operária tradicional, e englobar toda a sorte de individualidades, grupamentos, comportamentos ou culturas periféricas, implicando em uma considerável expansão da noção de luta de classes; já no marxismo se encontraria uma noção tradicional e estrutural de classe, ligada à posição em relação ao processo produtivo, contrastando, pois, com a noção prévia, de caráter sociológico. A classe oprimida não pode, pois, ser restringida ao proletariado urbano tradicional, e engloba: mulheres, LGBT’s, indígenas, o </w:t>
      </w:r>
      <w:r w:rsidRPr="00244AE1">
        <w:rPr>
          <w:rFonts w:ascii="Times New Roman" w:eastAsia="Times New Roman" w:hAnsi="Times New Roman" w:cs="Times New Roman"/>
          <w:i/>
          <w:iCs/>
          <w:sz w:val="24"/>
          <w:szCs w:val="24"/>
        </w:rPr>
        <w:t>lúmpenproletariado</w:t>
      </w:r>
      <w:r w:rsidRPr="00244AE1">
        <w:rPr>
          <w:rFonts w:ascii="Times New Roman" w:eastAsia="Times New Roman" w:hAnsi="Times New Roman" w:cs="Times New Roman"/>
          <w:sz w:val="24"/>
          <w:szCs w:val="24"/>
        </w:rPr>
        <w:t xml:space="preserve">, desempregados, trabalhadores </w:t>
      </w:r>
      <w:proofErr w:type="gramStart"/>
      <w:r w:rsidRPr="00244AE1">
        <w:rPr>
          <w:rFonts w:ascii="Times New Roman" w:eastAsia="Times New Roman" w:hAnsi="Times New Roman" w:cs="Times New Roman"/>
          <w:sz w:val="24"/>
          <w:szCs w:val="24"/>
        </w:rPr>
        <w:t>precarizados, etc.</w:t>
      </w:r>
      <w:proofErr w:type="gramEnd"/>
      <w:r w:rsidRPr="00244AE1">
        <w:rPr>
          <w:rFonts w:ascii="Times New Roman" w:eastAsia="Times New Roman" w:hAnsi="Times New Roman" w:cs="Times New Roman"/>
          <w:sz w:val="24"/>
          <w:szCs w:val="24"/>
        </w:rPr>
        <w:t xml:space="preserve"> Ademais esta última noção de classe, em se tratando de uma concepção eminentemente sociológica, e não estrutural, na medida em que 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são definidas por uma relação com o centro, e não pelo pertencimento a um elemento estruturante de uma dada formação social; esta concepção de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presta-se a utilizações mais amplas.</w:t>
      </w:r>
    </w:p>
    <w:p w14:paraId="451D7761"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Por esta afinidade prático-teórica com posições periféricas, De Jong salienta que se deu o anarquismo como pré-político, como ideologia típica de um momento onde o movimento operário estava se estruturando, não estava suficientemente maduro, conquanto o marxismo, e sua forma canônica no marxismo-leninismo, seria a ideologia típica, mesmo natural, do movimento operário, capaz, portanto, de orientá-lo da melhor maneira. Contudo, em áreas muito bem industrializadas, como a Catalunha, o anarquismo </w:t>
      </w:r>
      <w:r w:rsidRPr="00244AE1">
        <w:rPr>
          <w:rFonts w:ascii="Times New Roman" w:eastAsia="Times New Roman" w:hAnsi="Times New Roman" w:cs="Times New Roman"/>
          <w:sz w:val="24"/>
          <w:szCs w:val="24"/>
        </w:rPr>
        <w:lastRenderedPageBreak/>
        <w:t xml:space="preserve">teve expressiva força; e, hodiernamente, esta tese desfez-se, sobretudo após o reaparecimento do anarquismo no coração do capitalismo global, a França de 68.  </w:t>
      </w:r>
    </w:p>
    <w:p w14:paraId="16799A42" w14:textId="77777777" w:rsid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 Seria mais acertado, contudo, tomar que anarquismo e marxismo são estratégias opostas, e De Jong faz a analogia de que o anarquismo seria a luta de guerrilhas </w:t>
      </w:r>
      <w:proofErr w:type="gramStart"/>
      <w:r w:rsidRPr="00244AE1">
        <w:rPr>
          <w:rFonts w:ascii="Times New Roman" w:eastAsia="Times New Roman" w:hAnsi="Times New Roman" w:cs="Times New Roman"/>
          <w:sz w:val="24"/>
          <w:szCs w:val="24"/>
        </w:rPr>
        <w:t>enquanto que</w:t>
      </w:r>
      <w:proofErr w:type="gramEnd"/>
      <w:r w:rsidRPr="00244AE1">
        <w:rPr>
          <w:rFonts w:ascii="Times New Roman" w:eastAsia="Times New Roman" w:hAnsi="Times New Roman" w:cs="Times New Roman"/>
          <w:sz w:val="24"/>
          <w:szCs w:val="24"/>
        </w:rPr>
        <w:t xml:space="preserve"> o marxismo</w:t>
      </w:r>
      <w:r w:rsidRPr="00244AE1">
        <w:rPr>
          <w:rFonts w:ascii="Times New Roman" w:eastAsia="Times New Roman" w:hAnsi="Times New Roman" w:cs="Times New Roman"/>
          <w:sz w:val="24"/>
          <w:szCs w:val="24"/>
          <w:vertAlign w:val="superscript"/>
        </w:rPr>
        <w:footnoteReference w:id="96"/>
      </w:r>
      <w:r w:rsidRPr="00244AE1">
        <w:rPr>
          <w:rFonts w:ascii="Times New Roman" w:eastAsia="Times New Roman" w:hAnsi="Times New Roman" w:cs="Times New Roman"/>
          <w:sz w:val="24"/>
          <w:szCs w:val="24"/>
        </w:rPr>
        <w:t xml:space="preserve"> seria a guerra por meio de exércitos regulares. Para os anarquistas, ademais, o campo de luta seria mais amplo, compreendendo toda a sociedade, não somente a área econômica, incluindo, pois, as lutas antiautoritárias. Em fato, é bem conhecida a posição do estalinismo acerca da homossexualidade, e, também, a importância que se deu à psiquiatria na URSS, fato que Foucault salienta (Foucault, 2001) e (Tragtenberg, 2007) chega a dar a lista de opositores políticos psiquiatrizados sob o regime estalinista.</w:t>
      </w:r>
    </w:p>
    <w:p w14:paraId="521F9D88" w14:textId="77777777" w:rsidR="00851312" w:rsidRPr="00244AE1" w:rsidRDefault="00851312" w:rsidP="00EF3D18">
      <w:pPr>
        <w:spacing w:after="0" w:line="360" w:lineRule="auto"/>
        <w:ind w:right="-1"/>
        <w:jc w:val="both"/>
        <w:rPr>
          <w:rFonts w:ascii="Times New Roman" w:eastAsia="Times New Roman" w:hAnsi="Times New Roman" w:cs="Times New Roman"/>
          <w:sz w:val="24"/>
          <w:szCs w:val="24"/>
        </w:rPr>
      </w:pPr>
    </w:p>
    <w:p w14:paraId="21EB5628" w14:textId="77777777" w:rsidR="00244AE1" w:rsidRPr="00244AE1" w:rsidRDefault="00244AE1" w:rsidP="00EF3D18">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Genealogia e periferia</w:t>
      </w:r>
    </w:p>
    <w:p w14:paraId="5C54F7A6"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Como apontamos acima, Foucault se recusa a dar uma unidade a sua teoria, exatamente a unidade que buscamos dotá-la neste momento. Roberto Machado, um de seus comentadores, chega mesmo a afirmar que nem mesmo há uma teoria do poder em Foucault; e a expressão de que ele estaria lançando “flechas genealógicas” exemplifica bem esta questão. Contudo, fazemos notar que Salvo Vaccaro, em um texto já referido (</w:t>
      </w:r>
      <w:r w:rsidRPr="00244AE1">
        <w:rPr>
          <w:rFonts w:ascii="Times New Roman" w:eastAsia="Times New Roman" w:hAnsi="Times New Roman" w:cs="Times New Roman"/>
          <w:sz w:val="24"/>
          <w:szCs w:val="24"/>
          <w:lang w:val="es-ES"/>
        </w:rPr>
        <w:t>Vaccaro, s/d)</w:t>
      </w:r>
      <w:r w:rsidRPr="00244AE1">
        <w:rPr>
          <w:rFonts w:ascii="Times New Roman" w:eastAsia="Times New Roman" w:hAnsi="Times New Roman" w:cs="Times New Roman"/>
          <w:sz w:val="24"/>
          <w:szCs w:val="24"/>
        </w:rPr>
        <w:t xml:space="preserve">, no qual relaciona-se Foucault e anarquismo, fala de certo “uso anarquista do texto” que Foucault propugnou, referindo-se, com esta inventiva, ao conhecido fato do pouco apreço de Foucault por métodos de citação que chamaríamos, hoje, no Brasil, de normais e esperados de um texto dito científico. Esta “utilização anarquista do texto </w:t>
      </w:r>
      <w:proofErr w:type="gramStart"/>
      <w:r w:rsidRPr="00244AE1">
        <w:rPr>
          <w:rFonts w:ascii="Times New Roman" w:eastAsia="Times New Roman" w:hAnsi="Times New Roman" w:cs="Times New Roman"/>
          <w:sz w:val="24"/>
          <w:szCs w:val="24"/>
        </w:rPr>
        <w:t>“ empreendida</w:t>
      </w:r>
      <w:proofErr w:type="gramEnd"/>
      <w:r w:rsidRPr="00244AE1">
        <w:rPr>
          <w:rFonts w:ascii="Times New Roman" w:eastAsia="Times New Roman" w:hAnsi="Times New Roman" w:cs="Times New Roman"/>
          <w:sz w:val="24"/>
          <w:szCs w:val="24"/>
        </w:rPr>
        <w:t xml:space="preserve"> por Foucault põe, contudo, a questão: é foucaultiano ser foucaultiano? Ou, em outros termos, prestamos reverência a Foucault seguindo à risca seus escritos; ou nos valendo deles como bem nos aprouver, guardando o devido respeito e rigor, por óbvio, mas sem nos importarmos em obter as bênçãos do mestre? Somos foucaultianos fazendo um uso anarquista de seus textos ou o tornando santo, para usar a feliz expressão de Nietzsche em </w:t>
      </w:r>
      <w:r w:rsidRPr="00244AE1">
        <w:rPr>
          <w:rFonts w:ascii="Times New Roman" w:eastAsia="Times New Roman" w:hAnsi="Times New Roman" w:cs="Times New Roman"/>
          <w:i/>
          <w:iCs/>
          <w:sz w:val="24"/>
          <w:szCs w:val="24"/>
        </w:rPr>
        <w:t>Ecce homo</w:t>
      </w:r>
      <w:r w:rsidRPr="00244AE1">
        <w:rPr>
          <w:rFonts w:ascii="Times New Roman" w:eastAsia="Times New Roman" w:hAnsi="Times New Roman" w:cs="Times New Roman"/>
          <w:sz w:val="24"/>
          <w:szCs w:val="24"/>
        </w:rPr>
        <w:t xml:space="preserve">? A nosso ver, pois, a genealogia pode ser utilizada como instrumento analítico a serviço de uma estratégia bem definida, o anarquismo, mais especificamente o anarquismo de raiz malatestiana. </w:t>
      </w:r>
    </w:p>
    <w:p w14:paraId="42AD8135"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Nestes marcos, os termos em discussão não deixam dúvidas acerca da </w:t>
      </w:r>
      <w:r w:rsidRPr="00244AE1">
        <w:rPr>
          <w:rFonts w:ascii="Times New Roman" w:eastAsia="Times New Roman" w:hAnsi="Times New Roman" w:cs="Times New Roman"/>
          <w:i/>
          <w:iCs/>
          <w:sz w:val="24"/>
          <w:szCs w:val="24"/>
        </w:rPr>
        <w:t>possibilidade</w:t>
      </w:r>
      <w:r w:rsidRPr="00244AE1">
        <w:rPr>
          <w:rFonts w:ascii="Times New Roman" w:eastAsia="Times New Roman" w:hAnsi="Times New Roman" w:cs="Times New Roman"/>
          <w:sz w:val="24"/>
          <w:szCs w:val="24"/>
        </w:rPr>
        <w:t xml:space="preserve"> de se compreender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enquanto um método de análise da periferia. Foucault analisou fundamentalmente três campos periféricos distintos: o da loucura, o carcerário e o da sexualidade.  Nos textos onde isto foi empreendido, contudo, encontram-se apontamentos ou </w:t>
      </w:r>
      <w:r w:rsidRPr="00244AE1">
        <w:rPr>
          <w:rFonts w:ascii="Times New Roman" w:eastAsia="Times New Roman" w:hAnsi="Times New Roman" w:cs="Times New Roman"/>
          <w:i/>
          <w:iCs/>
          <w:sz w:val="24"/>
          <w:szCs w:val="24"/>
        </w:rPr>
        <w:t>petites</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genealogias</w:t>
      </w:r>
      <w:r w:rsidRPr="00244AE1">
        <w:rPr>
          <w:rFonts w:ascii="Times New Roman" w:eastAsia="Times New Roman" w:hAnsi="Times New Roman" w:cs="Times New Roman"/>
          <w:sz w:val="24"/>
          <w:szCs w:val="24"/>
        </w:rPr>
        <w:t xml:space="preserve">, concernentes, por exemplo, à escola e aos estudantes; à fábrica e ao </w:t>
      </w:r>
      <w:proofErr w:type="gramStart"/>
      <w:r w:rsidRPr="00244AE1">
        <w:rPr>
          <w:rFonts w:ascii="Times New Roman" w:eastAsia="Times New Roman" w:hAnsi="Times New Roman" w:cs="Times New Roman"/>
          <w:sz w:val="24"/>
          <w:szCs w:val="24"/>
        </w:rPr>
        <w:t>operariado, etc.</w:t>
      </w:r>
      <w:proofErr w:type="gramEnd"/>
      <w:r w:rsidRPr="00244AE1">
        <w:rPr>
          <w:rFonts w:ascii="Times New Roman" w:eastAsia="Times New Roman" w:hAnsi="Times New Roman" w:cs="Times New Roman"/>
          <w:sz w:val="24"/>
          <w:szCs w:val="24"/>
        </w:rPr>
        <w:t xml:space="preserve"> Mas há outros textos ainda. Foucault empreendeu a analítica das práticas de governo e do neoliberalismo, por exemplo; nestes casos, como resolver a equação, quer dizer, se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a analítica das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como compreender que se dê nestes casos a análise do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Ora, parece, pois, que ela se presta a esta dupla utilização, seja tomando o centro seja 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xml:space="preserve"> como objeto; ela analisa, portanto, as </w:t>
      </w:r>
      <w:r w:rsidRPr="00244AE1">
        <w:rPr>
          <w:rFonts w:ascii="Times New Roman" w:eastAsia="Times New Roman" w:hAnsi="Times New Roman" w:cs="Times New Roman"/>
          <w:i/>
          <w:iCs/>
          <w:sz w:val="24"/>
          <w:szCs w:val="24"/>
        </w:rPr>
        <w:t>relações centro-periferia</w:t>
      </w:r>
      <w:r w:rsidRPr="00244AE1">
        <w:rPr>
          <w:rFonts w:ascii="Times New Roman" w:eastAsia="Times New Roman" w:hAnsi="Times New Roman" w:cs="Times New Roman"/>
          <w:sz w:val="24"/>
          <w:szCs w:val="24"/>
        </w:rPr>
        <w:t>.</w:t>
      </w:r>
    </w:p>
    <w:p w14:paraId="1542A94B"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Parece-nos claro que estes campos supracitados possam ser tomados como periféricos. O carcerário, dominado pelos não presos, relação que ademais implica na instituição carcerária e, ademais, nos </w:t>
      </w:r>
      <w:proofErr w:type="gramStart"/>
      <w:r w:rsidRPr="00244AE1">
        <w:rPr>
          <w:rFonts w:ascii="Times New Roman" w:eastAsia="Times New Roman" w:hAnsi="Times New Roman" w:cs="Times New Roman"/>
          <w:sz w:val="24"/>
          <w:szCs w:val="24"/>
        </w:rPr>
        <w:t>tribunais, etc.</w:t>
      </w:r>
      <w:proofErr w:type="gramEnd"/>
      <w:r w:rsidRPr="00244AE1">
        <w:rPr>
          <w:rFonts w:ascii="Times New Roman" w:eastAsia="Times New Roman" w:hAnsi="Times New Roman" w:cs="Times New Roman"/>
          <w:sz w:val="24"/>
          <w:szCs w:val="24"/>
        </w:rPr>
        <w:t xml:space="preserve"> A relação não se principia pelos presos; o debate das reformas penais que redundariam na grande reforma penal na dobra do século das Luzes, na França, e na Europa de maneira mais geral, não se desenvolve entre os presidiários eles mesmos, e as mudanças, com a conseqüente implantação do maquinário do panóptico e a constituição da constelação carcerária, apreendem os presos em uma relação na qual eles não são o pólo dinâmico (Foucault, 2006c). A atuação de Foucault no Grupo de Informações sobre as Prisões e alguns textos escritos por esta ocasião (Foucault, 2006a) exemplificam bem as dificuldades de mobilização desta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w:t>
      </w:r>
    </w:p>
    <w:p w14:paraId="39657052"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Estas mesmas dificuldades encontrar-se-ão em outra grande </w:t>
      </w:r>
      <w:r w:rsidRPr="00244AE1">
        <w:rPr>
          <w:rFonts w:ascii="Times New Roman" w:eastAsia="Times New Roman" w:hAnsi="Times New Roman" w:cs="Times New Roman"/>
          <w:i/>
          <w:iCs/>
          <w:sz w:val="24"/>
          <w:szCs w:val="24"/>
        </w:rPr>
        <w:t>periferia</w:t>
      </w:r>
      <w:r w:rsidRPr="00244AE1">
        <w:rPr>
          <w:rFonts w:ascii="Times New Roman" w:eastAsia="Times New Roman" w:hAnsi="Times New Roman" w:cs="Times New Roman"/>
          <w:sz w:val="24"/>
          <w:szCs w:val="24"/>
        </w:rPr>
        <w:t>, com características muito similares à carcerária. O mundo psiquiátrico, especialmente aquele da psiquiatria policial, é eivado de dificuldades relativa aos “pacientes”, cujo contato reduzido com o mundo exterior é ademais mediado pela figura da doença e filtrado pelo aparato médico. É fato, contudo, pela marca mórbida que carrega, o doente mental encontra-se em situação ainda mais agravada que o presidiário, posto que, enquanto o presidiário cumpre pena por um ato cometido, o louco é enquadrado em uma relação muitas vezes apontada como orgânica, inescapável. De todo modo, trata-se de uma relação constituída entre os pólos da razão e desrazão (Foucault, 1972), esta desqualificada e, posteriormente inscrita em um horizonte médico (Foucault, 2006b).</w:t>
      </w:r>
    </w:p>
    <w:p w14:paraId="0392DDF9"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Do mesmo modo, a constituição do campo da sexualidade, e logo daquelas que infringem o dispositivo da aliança, como Foucault chama as sexualidades circunscritas às formas tradicionais — ligadas bem de perto ao aparato psiquiátrico</w:t>
      </w:r>
      <w:r w:rsidRPr="00244AE1">
        <w:rPr>
          <w:rFonts w:ascii="Times New Roman" w:eastAsia="Times New Roman" w:hAnsi="Times New Roman" w:cs="Times New Roman"/>
          <w:sz w:val="24"/>
          <w:szCs w:val="24"/>
          <w:vertAlign w:val="superscript"/>
        </w:rPr>
        <w:footnoteReference w:id="97"/>
      </w:r>
      <w:r w:rsidRPr="00244AE1">
        <w:rPr>
          <w:rFonts w:ascii="Times New Roman" w:eastAsia="Times New Roman" w:hAnsi="Times New Roman" w:cs="Times New Roman"/>
          <w:sz w:val="24"/>
          <w:szCs w:val="24"/>
        </w:rPr>
        <w:t xml:space="preserve"> — segue uma lógica parecida: a constituição de sujeitos periféricos, sua captura em relações de poder iniciadas pelas instituições, sua desqualificação, etc. (Foucault, 1997a). </w:t>
      </w:r>
    </w:p>
    <w:p w14:paraId="345A4750"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É mister lembrar que nesses casos, e de outras instituições, tratava-se da emergência de uma tecnologia de poder — a disciplina — que se presta a múltiplos usos, e, correlatamente, o aparecimento de uma forma de saber, o exame, também muito profícuo; ou senão, trata-se da emergência da biopolítica. Pode-se dizer, pois, que se tratava do surgimento de uma forma geral de captura e tratamento das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pelo </w:t>
      </w:r>
      <w:r w:rsidRPr="00244AE1">
        <w:rPr>
          <w:rFonts w:ascii="Times New Roman" w:eastAsia="Times New Roman" w:hAnsi="Times New Roman" w:cs="Times New Roman"/>
          <w:i/>
          <w:iCs/>
          <w:sz w:val="24"/>
          <w:szCs w:val="24"/>
        </w:rPr>
        <w:t>centro</w:t>
      </w:r>
      <w:r w:rsidRPr="00244AE1">
        <w:rPr>
          <w:rFonts w:ascii="Times New Roman" w:eastAsia="Times New Roman" w:hAnsi="Times New Roman" w:cs="Times New Roman"/>
          <w:sz w:val="24"/>
          <w:szCs w:val="24"/>
        </w:rPr>
        <w:t xml:space="preserve"> em se constituindo deste modo, forma esta que se viu aplicada nas fábricas, em empreendimentos coloniais, nas escolas, no exército, e, claro, na prisão, no hospital (e no hospital psiquiátrico em específico).</w:t>
      </w:r>
    </w:p>
    <w:p w14:paraId="066EA833"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No caso particular supracitado,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de grandes práticas de governo, como o neoliberalismo, argumentamos que a </w:t>
      </w:r>
      <w:r w:rsidRPr="00244AE1">
        <w:rPr>
          <w:rFonts w:ascii="Times New Roman" w:eastAsia="Times New Roman" w:hAnsi="Times New Roman" w:cs="Times New Roman"/>
          <w:i/>
          <w:iCs/>
          <w:sz w:val="24"/>
          <w:szCs w:val="24"/>
        </w:rPr>
        <w:t xml:space="preserve">relação centro-periferia </w:t>
      </w:r>
      <w:proofErr w:type="gramStart"/>
      <w:r w:rsidRPr="00244AE1">
        <w:rPr>
          <w:rFonts w:ascii="Times New Roman" w:eastAsia="Times New Roman" w:hAnsi="Times New Roman" w:cs="Times New Roman"/>
          <w:sz w:val="24"/>
          <w:szCs w:val="24"/>
        </w:rPr>
        <w:t>estabelece-se</w:t>
      </w:r>
      <w:proofErr w:type="gramEnd"/>
      <w:r w:rsidRPr="00244AE1">
        <w:rPr>
          <w:rFonts w:ascii="Times New Roman" w:eastAsia="Times New Roman" w:hAnsi="Times New Roman" w:cs="Times New Roman"/>
          <w:sz w:val="24"/>
          <w:szCs w:val="24"/>
        </w:rPr>
        <w:t xml:space="preserve"> entre elites econômicas e governados, uma relação deveras ampla, e, mesmo, frouxa, mas que permite, mesmo assim, o seu entendimento e estabelecimento. Em fato, os últimos trabalhos de Foucault são marcados pela analítica da proveniência do governo ele mesmo, nos conduzindo até a questão </w:t>
      </w:r>
      <w:proofErr w:type="gramStart"/>
      <w:r w:rsidRPr="00244AE1">
        <w:rPr>
          <w:rFonts w:ascii="Times New Roman" w:eastAsia="Times New Roman" w:hAnsi="Times New Roman" w:cs="Times New Roman"/>
          <w:sz w:val="24"/>
          <w:szCs w:val="24"/>
        </w:rPr>
        <w:t>pastoral, etc.</w:t>
      </w:r>
      <w:proofErr w:type="gramEnd"/>
      <w:r w:rsidRPr="00244AE1">
        <w:rPr>
          <w:rFonts w:ascii="Times New Roman" w:eastAsia="Times New Roman" w:hAnsi="Times New Roman" w:cs="Times New Roman"/>
          <w:sz w:val="24"/>
          <w:szCs w:val="24"/>
        </w:rPr>
        <w:t xml:space="preserve"> o que mostra a possibilidade das </w:t>
      </w:r>
      <w:r w:rsidRPr="00244AE1">
        <w:rPr>
          <w:rFonts w:ascii="Times New Roman" w:eastAsia="Times New Roman" w:hAnsi="Times New Roman" w:cs="Times New Roman"/>
          <w:i/>
          <w:iCs/>
          <w:sz w:val="24"/>
          <w:szCs w:val="24"/>
        </w:rPr>
        <w:t>genealogias</w:t>
      </w:r>
      <w:r w:rsidRPr="00244AE1">
        <w:rPr>
          <w:rFonts w:ascii="Times New Roman" w:eastAsia="Times New Roman" w:hAnsi="Times New Roman" w:cs="Times New Roman"/>
          <w:sz w:val="24"/>
          <w:szCs w:val="24"/>
        </w:rPr>
        <w:t xml:space="preserve">, apontando sua amplitude e força. </w:t>
      </w:r>
    </w:p>
    <w:p w14:paraId="5E3761BA"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p>
    <w:p w14:paraId="0DACF510" w14:textId="77777777" w:rsidR="00244AE1" w:rsidRDefault="00244AE1" w:rsidP="00EF3D18">
      <w:pPr>
        <w:numPr>
          <w:ilvl w:val="1"/>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Genealogia enquanto método de análise das relações centro-periferia: problemas</w:t>
      </w:r>
    </w:p>
    <w:p w14:paraId="3F422E25" w14:textId="77777777" w:rsidR="002150E8" w:rsidRPr="00244AE1" w:rsidRDefault="002150E8" w:rsidP="00EF3D18">
      <w:pPr>
        <w:numPr>
          <w:ilvl w:val="1"/>
          <w:numId w:val="1"/>
        </w:numPr>
        <w:spacing w:after="0" w:line="360" w:lineRule="auto"/>
        <w:ind w:right="-1"/>
        <w:jc w:val="both"/>
        <w:rPr>
          <w:rFonts w:ascii="Times New Roman" w:eastAsia="Times New Roman" w:hAnsi="Times New Roman" w:cs="Times New Roman"/>
          <w:b/>
          <w:bCs/>
          <w:sz w:val="24"/>
          <w:szCs w:val="24"/>
        </w:rPr>
      </w:pPr>
    </w:p>
    <w:p w14:paraId="68F11848"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Se estes elementos que arrolamos trabalham no sentido de nossas intenções, há outros que dificultam nossa empreitada. Primeiramente, deve-se sublinhar que há um desnível entre os elementos da discussão que ora travamos, posto que há um arcabouço filosófico por trás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conquanto que ele é pouco visível no texto de De Jong. </w:t>
      </w:r>
    </w:p>
    <w:p w14:paraId="043D7001"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Uma vez que buscamos encontrar o caráter heurístico da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as dificuldades são de outra ordem. Não há dúvidas que sujeitos e campos analisados por Foucault — o louco e o mundo manicomial, o preso e o mundo carcerário, por exemplo </w:t>
      </w:r>
      <w:r w:rsidRPr="00244AE1">
        <w:rPr>
          <w:rFonts w:ascii="Times New Roman" w:eastAsia="Times New Roman" w:hAnsi="Times New Roman" w:cs="Times New Roman"/>
          <w:sz w:val="24"/>
          <w:szCs w:val="24"/>
        </w:rPr>
        <w:lastRenderedPageBreak/>
        <w:t>— são periféricos; contudo, sua organização enquanto movimento político é deveras debilitada, por definição, e Foucault ele mesmo o aponta. Outros elementos analisados por Foucault, como o campo da sexualidade, são, contudo, isentos deste tipo de preocupação.</w:t>
      </w:r>
    </w:p>
    <w:p w14:paraId="43FE94C7"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Outra dificuldade, esta de monta, reside no seguinte: De Jong está vinculado a uma tradição anarquista explicitamente. Em Foucault esta vinculação é um pouco mais complexa.  Foucault diz já no fim de sua vida que “[entre] o anarquismo e o método que eu emprego é certo que existe qualquer coisa como uma relação; mas vocês vêem que as diferenças são igualmente claras. Em outras palavras, a posição que eu assumo não exclui absolutamente a anarquia” (Foucault, 2007b: 34) e, na seqüência, que era lícito se falar em uma </w:t>
      </w:r>
      <w:r w:rsidRPr="00244AE1">
        <w:rPr>
          <w:rFonts w:ascii="Times New Roman" w:eastAsia="Times New Roman" w:hAnsi="Times New Roman" w:cs="Times New Roman"/>
          <w:i/>
          <w:iCs/>
          <w:sz w:val="24"/>
          <w:szCs w:val="24"/>
        </w:rPr>
        <w:t>anarqueologia</w:t>
      </w:r>
      <w:r w:rsidRPr="00244AE1">
        <w:rPr>
          <w:rFonts w:ascii="Times New Roman" w:eastAsia="Times New Roman" w:hAnsi="Times New Roman" w:cs="Times New Roman"/>
          <w:sz w:val="24"/>
          <w:szCs w:val="24"/>
        </w:rPr>
        <w:t xml:space="preserve">.  Há um texto famoso que debate esta aproximação (Vaccaro, </w:t>
      </w:r>
      <w:r w:rsidRPr="00244AE1">
        <w:rPr>
          <w:rFonts w:ascii="Times New Roman" w:eastAsia="Times New Roman" w:hAnsi="Times New Roman" w:cs="Times New Roman"/>
          <w:sz w:val="24"/>
          <w:szCs w:val="24"/>
          <w:lang w:val="es-ES"/>
        </w:rPr>
        <w:t>s/d</w:t>
      </w:r>
      <w:r w:rsidRPr="00244AE1">
        <w:rPr>
          <w:rFonts w:ascii="Times New Roman" w:eastAsia="Times New Roman" w:hAnsi="Times New Roman" w:cs="Times New Roman"/>
          <w:sz w:val="24"/>
          <w:szCs w:val="24"/>
        </w:rPr>
        <w:t xml:space="preserve">), apontando os problemas, mas, contundo, passando longe do essencial; Vaccaro fez um levantamento, na bibliografia foucaultiana então disponível, das citações de Foucault de termos e autores anarquistas e, a julgar por seu resultado, seria vã a tentativa de estabelecimento de qualquer relação, posto que as referências não são nem muitas nem profundas. </w:t>
      </w:r>
    </w:p>
    <w:p w14:paraId="189E7BE6"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Há ainda outro problema. Foucault afirma muitas vezes que a genealogia abandona os universais da política para adotar um procedimento indutivo, indo do corpo aos grandes esquemas de poder, e não partindo dos universais (classes, soberania) ao corpo; o anarquismo, já, assume a existência destes universais, como classe social. Ora, aqui argumentamos, contudo, que se trata do corpo periférico, de individualidades inseridas em uma relação de desnível. Não se trata para Foucault de se desvencilhar dos “universais da política” ou de negar-lhes a existência — não se nega em nenhuma parte a existência dos universais. Se Foucault se afirma, especialmente na </w:t>
      </w:r>
      <w:r w:rsidRPr="00244AE1">
        <w:rPr>
          <w:rFonts w:ascii="Times New Roman" w:eastAsia="Times New Roman" w:hAnsi="Times New Roman" w:cs="Times New Roman"/>
          <w:i/>
          <w:iCs/>
          <w:sz w:val="24"/>
          <w:szCs w:val="24"/>
        </w:rPr>
        <w:t>Microfísica do poder</w:t>
      </w:r>
      <w:r w:rsidRPr="00244AE1">
        <w:rPr>
          <w:rFonts w:ascii="Times New Roman" w:eastAsia="Times New Roman" w:hAnsi="Times New Roman" w:cs="Times New Roman"/>
          <w:sz w:val="24"/>
          <w:szCs w:val="24"/>
        </w:rPr>
        <w:t>, nominalista, devemos lembrar que o nominalismo não diz que o universal não existe, embora Foucault ele mesmo diga que não existe, cometendo um erro teórico</w:t>
      </w:r>
      <w:r w:rsidRPr="00244AE1">
        <w:rPr>
          <w:rFonts w:ascii="Times New Roman" w:eastAsia="Times New Roman" w:hAnsi="Times New Roman" w:cs="Times New Roman"/>
          <w:sz w:val="24"/>
          <w:szCs w:val="24"/>
          <w:vertAlign w:val="superscript"/>
        </w:rPr>
        <w:footnoteReference w:id="98"/>
      </w:r>
      <w:r w:rsidRPr="00244AE1">
        <w:rPr>
          <w:rFonts w:ascii="Times New Roman" w:eastAsia="Times New Roman" w:hAnsi="Times New Roman" w:cs="Times New Roman"/>
          <w:sz w:val="24"/>
          <w:szCs w:val="24"/>
        </w:rPr>
        <w:t xml:space="preserve">, o qual citamos mais acima; a posição do nominalismo, no entanto, é que o universal existe como uma emissão vocal, como um nome. A classe social é real enquanto induzida das particularidades, é o nome de uma relação, mas não é real enquanto um sujeito que existe seja nas coisas seja separada deles, um sujeito como que autoconsciente, à moda de uma </w:t>
      </w:r>
      <w:r w:rsidRPr="00244AE1">
        <w:rPr>
          <w:rFonts w:ascii="Times New Roman" w:eastAsia="Times New Roman" w:hAnsi="Times New Roman" w:cs="Times New Roman"/>
          <w:sz w:val="24"/>
          <w:szCs w:val="24"/>
        </w:rPr>
        <w:lastRenderedPageBreak/>
        <w:t>Fenomenologia do Espírito ou como se encontra em muitos textos marxistas (“a burguesia fez isto ou aquilo”). Do mesmo modo, o corpo que ora chamamos de periférico existe em uma correlação e, se o inserimos em uma relação mais geral, isto não quer dizer que o anulamos, mas que, apenas, induzimos</w:t>
      </w:r>
      <w:r w:rsidRPr="00244AE1">
        <w:rPr>
          <w:rFonts w:ascii="Times New Roman" w:eastAsia="Times New Roman" w:hAnsi="Times New Roman" w:cs="Times New Roman"/>
          <w:sz w:val="24"/>
          <w:szCs w:val="24"/>
          <w:vertAlign w:val="superscript"/>
        </w:rPr>
        <w:footnoteReference w:id="99"/>
      </w:r>
      <w:r w:rsidRPr="00244AE1">
        <w:rPr>
          <w:rFonts w:ascii="Times New Roman" w:eastAsia="Times New Roman" w:hAnsi="Times New Roman" w:cs="Times New Roman"/>
          <w:sz w:val="24"/>
          <w:szCs w:val="24"/>
        </w:rPr>
        <w:t xml:space="preserve">. </w:t>
      </w:r>
    </w:p>
    <w:p w14:paraId="1303E5B9" w14:textId="77777777" w:rsidR="00244AE1" w:rsidRPr="00244AE1" w:rsidRDefault="00244AE1" w:rsidP="00EF3D18">
      <w:pPr>
        <w:spacing w:after="0" w:line="360" w:lineRule="auto"/>
        <w:ind w:right="-1" w:firstLine="708"/>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se opõe à fenomenologia seja porque esta é uma filosofia do sujeito seja porque assume um fundamento (digamos, uma </w:t>
      </w:r>
      <w:r w:rsidRPr="00244AE1">
        <w:rPr>
          <w:rFonts w:ascii="Times New Roman" w:eastAsia="Times New Roman" w:hAnsi="Times New Roman" w:cs="Times New Roman"/>
          <w:i/>
          <w:iCs/>
          <w:sz w:val="24"/>
          <w:szCs w:val="24"/>
        </w:rPr>
        <w:t>arché</w:t>
      </w:r>
      <w:r w:rsidRPr="00244AE1">
        <w:rPr>
          <w:rFonts w:ascii="Times New Roman" w:eastAsia="Times New Roman" w:hAnsi="Times New Roman" w:cs="Times New Roman"/>
          <w:sz w:val="24"/>
          <w:szCs w:val="24"/>
        </w:rPr>
        <w:t xml:space="preserve">) para a pesquisa, ao qual Foucault se opõe, a consciência eidética (ele quer uma </w:t>
      </w:r>
      <w:r w:rsidRPr="00244AE1">
        <w:rPr>
          <w:rFonts w:ascii="Times New Roman" w:eastAsia="Times New Roman" w:hAnsi="Times New Roman" w:cs="Times New Roman"/>
          <w:i/>
          <w:iCs/>
          <w:sz w:val="24"/>
          <w:szCs w:val="24"/>
        </w:rPr>
        <w:t>anarché</w:t>
      </w:r>
      <w:r w:rsidRPr="00244AE1">
        <w:rPr>
          <w:rFonts w:ascii="Times New Roman" w:eastAsia="Times New Roman" w:hAnsi="Times New Roman" w:cs="Times New Roman"/>
          <w:i/>
          <w:iCs/>
          <w:sz w:val="24"/>
          <w:szCs w:val="24"/>
          <w:vertAlign w:val="superscript"/>
        </w:rPr>
        <w:footnoteReference w:id="100"/>
      </w:r>
      <w:r w:rsidRPr="00244AE1">
        <w:rPr>
          <w:rFonts w:ascii="Times New Roman" w:eastAsia="Times New Roman" w:hAnsi="Times New Roman" w:cs="Times New Roman"/>
          <w:sz w:val="24"/>
          <w:szCs w:val="24"/>
        </w:rPr>
        <w:t xml:space="preserve">); e se opõe ao marxismo (à dialética), não porque não quer “um universal”, mas porque a lógica dialética não compreende que há uma lógica do mundo que ultrapassa os limites triádicos por ela estabelecidos, quer dizer, porque ela reduz os combates a uma forma esquemática, quando os combates que se desenvolvem a ultrapassam — eis o sentido da lógica estratégica. Portanto, trata-se de colocar o universal no centro dos combates, assumindo-o como disputante e em disputa, ao mesmo tempo que novos universais são constituídos (a disciplina, o </w:t>
      </w:r>
      <w:proofErr w:type="gramStart"/>
      <w:r w:rsidRPr="00244AE1">
        <w:rPr>
          <w:rFonts w:ascii="Times New Roman" w:eastAsia="Times New Roman" w:hAnsi="Times New Roman" w:cs="Times New Roman"/>
          <w:sz w:val="24"/>
          <w:szCs w:val="24"/>
        </w:rPr>
        <w:t>biopoder, etc.</w:t>
      </w:r>
      <w:proofErr w:type="gramEnd"/>
      <w:r w:rsidRPr="00244AE1">
        <w:rPr>
          <w:rFonts w:ascii="Times New Roman" w:eastAsia="Times New Roman" w:hAnsi="Times New Roman" w:cs="Times New Roman"/>
          <w:sz w:val="24"/>
          <w:szCs w:val="24"/>
        </w:rPr>
        <w:t xml:space="preserve">) a partir de um esquema indutivo, como o nome de uma </w:t>
      </w:r>
      <w:r w:rsidRPr="00244AE1">
        <w:rPr>
          <w:rFonts w:ascii="Times New Roman" w:eastAsia="Times New Roman" w:hAnsi="Times New Roman" w:cs="Times New Roman"/>
          <w:i/>
          <w:iCs/>
          <w:sz w:val="24"/>
          <w:szCs w:val="24"/>
        </w:rPr>
        <w:t>estratégia sem sujeito</w:t>
      </w:r>
      <w:r w:rsidRPr="00244AE1">
        <w:rPr>
          <w:rFonts w:ascii="Times New Roman" w:eastAsia="Times New Roman" w:hAnsi="Times New Roman" w:cs="Times New Roman"/>
          <w:sz w:val="24"/>
          <w:szCs w:val="24"/>
        </w:rPr>
        <w:t xml:space="preserve">. Em suma, não se nega o universal, se revê seu caráter e forma de constituição. </w:t>
      </w:r>
    </w:p>
    <w:p w14:paraId="1790A268"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Por trás disto, ainda, mais problemas se avolumam. A </w:t>
      </w:r>
      <w:r w:rsidRPr="00244AE1">
        <w:rPr>
          <w:rFonts w:ascii="Times New Roman" w:eastAsia="Times New Roman" w:hAnsi="Times New Roman" w:cs="Times New Roman"/>
          <w:i/>
          <w:iCs/>
          <w:sz w:val="24"/>
          <w:szCs w:val="24"/>
        </w:rPr>
        <w:t>genealogia</w:t>
      </w:r>
      <w:r w:rsidRPr="00244AE1">
        <w:rPr>
          <w:rFonts w:ascii="Times New Roman" w:eastAsia="Times New Roman" w:hAnsi="Times New Roman" w:cs="Times New Roman"/>
          <w:sz w:val="24"/>
          <w:szCs w:val="24"/>
        </w:rPr>
        <w:t xml:space="preserve"> é, sobremaneira, negativa; ela não se liga imediatamente a um programa positivo, posto que se presta a mostrar as relações de poder que engendraram tal ou qual objeto, mas não está ligada a uma estratégia em específico; ou, em outros termos, ela mostra a formação das estratégias sem dar, ela mesmo uma estratégia, e isto bem pode ser entendido como uma estratégia; para falar em termos de uma das vertentes do anarquismo contemporâneo, a contribuição de Foucault seria no campo da teoria, não da ideologia (Fau, 1972). Em fato, contudo, esta recusa de Foucault em elaborar um programa talvez possa ser ligada (Bruni, 1989) a uma recusa em, de um lado, representar alguém, deixando às </w:t>
      </w:r>
      <w:r w:rsidRPr="00244AE1">
        <w:rPr>
          <w:rFonts w:ascii="Times New Roman" w:eastAsia="Times New Roman" w:hAnsi="Times New Roman" w:cs="Times New Roman"/>
          <w:i/>
          <w:iCs/>
          <w:sz w:val="24"/>
          <w:szCs w:val="24"/>
        </w:rPr>
        <w:t>periferias</w:t>
      </w:r>
      <w:r w:rsidRPr="00244AE1">
        <w:rPr>
          <w:rFonts w:ascii="Times New Roman" w:eastAsia="Times New Roman" w:hAnsi="Times New Roman" w:cs="Times New Roman"/>
          <w:sz w:val="24"/>
          <w:szCs w:val="24"/>
        </w:rPr>
        <w:t xml:space="preserve"> o direito a determinar o próprio destino; de outro, deve-se ter em mente talvez uma recusa em </w:t>
      </w:r>
      <w:r w:rsidRPr="00244AE1">
        <w:rPr>
          <w:rFonts w:ascii="Times New Roman" w:eastAsia="Times New Roman" w:hAnsi="Times New Roman" w:cs="Times New Roman"/>
          <w:sz w:val="24"/>
          <w:szCs w:val="24"/>
        </w:rPr>
        <w:lastRenderedPageBreak/>
        <w:t xml:space="preserve">constituir um sujeito, visto que a genealogia mostra, exatamente, como as relações de poder, em se exercendo, constituem relações de saber, de modo que têm como correlato uma e outra; Foucault se recusava a participar deste jogo.  </w:t>
      </w:r>
    </w:p>
    <w:p w14:paraId="22B32C1A"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Ao mesmo tempo, em outros problemas ainda podem aparecer. Seria muito difícil pensar a grade genealógica em termos revolucionários posto que ela parece excluir a noção da revolução, este carnaval dos desvalidos, onde as relações postas seriam simplesmente invertidas e as dominações se desfariam sob os pés da história, e seriam, em um só golpe, desfeitas. Como ela busca se colocar fora de um horizonte do fundamento, inclusive para pensar o fundamento do poder, não há um ponto nodal a ser tomado para inverter a ordem das coisas</w:t>
      </w:r>
      <w:r w:rsidRPr="00244AE1">
        <w:rPr>
          <w:rFonts w:ascii="Times New Roman" w:eastAsia="Times New Roman" w:hAnsi="Times New Roman" w:cs="Times New Roman"/>
          <w:sz w:val="24"/>
          <w:szCs w:val="24"/>
          <w:vertAlign w:val="superscript"/>
        </w:rPr>
        <w:footnoteReference w:id="101"/>
      </w:r>
      <w:r w:rsidRPr="00244AE1">
        <w:rPr>
          <w:rFonts w:ascii="Times New Roman" w:eastAsia="Times New Roman" w:hAnsi="Times New Roman" w:cs="Times New Roman"/>
          <w:sz w:val="24"/>
          <w:szCs w:val="24"/>
        </w:rPr>
        <w:t>; as mudanças nas relações de poder, a constituição de sujeitos libertários e de instituições assim coadunadas passaria por um modelo de guerra — e é assim que Foucault chama seu modelo de análise das relações de poder (Foucault, 1999)</w:t>
      </w:r>
      <w:r w:rsidRPr="00244AE1">
        <w:rPr>
          <w:rFonts w:ascii="Times New Roman" w:eastAsia="Times New Roman" w:hAnsi="Times New Roman" w:cs="Times New Roman"/>
          <w:sz w:val="24"/>
          <w:szCs w:val="24"/>
          <w:vertAlign w:val="superscript"/>
        </w:rPr>
        <w:footnoteReference w:id="102"/>
      </w:r>
      <w:r w:rsidRPr="00244AE1">
        <w:rPr>
          <w:rFonts w:ascii="Times New Roman" w:eastAsia="Times New Roman" w:hAnsi="Times New Roman" w:cs="Times New Roman"/>
          <w:sz w:val="24"/>
          <w:szCs w:val="24"/>
        </w:rPr>
        <w:t xml:space="preserve">. Para utilizarmos a fórmula de Clausewitz, a guerra não se ganha em uma batalha; a mudança social em Foucault necessariamente passaria por uma luta prolongada, um processo de </w:t>
      </w:r>
      <w:proofErr w:type="gramStart"/>
      <w:r w:rsidRPr="00244AE1">
        <w:rPr>
          <w:rFonts w:ascii="Times New Roman" w:eastAsia="Times New Roman" w:hAnsi="Times New Roman" w:cs="Times New Roman"/>
          <w:sz w:val="24"/>
          <w:szCs w:val="24"/>
        </w:rPr>
        <w:t>acumulo</w:t>
      </w:r>
      <w:proofErr w:type="gramEnd"/>
      <w:r w:rsidRPr="00244AE1">
        <w:rPr>
          <w:rFonts w:ascii="Times New Roman" w:eastAsia="Times New Roman" w:hAnsi="Times New Roman" w:cs="Times New Roman"/>
          <w:sz w:val="24"/>
          <w:szCs w:val="24"/>
        </w:rPr>
        <w:t xml:space="preserve"> de forças que redundaria nas transformações almejadas. Assim, isto gera um descompasso entre seu pensamento e o anarquismo, ao menos em algumas de suas formas; note-se, contudo, que Malatesta, expoente do pensamento anarquista, aponta a salutariedade das reformas e seu papel positivo no movimento; pode-se ler nele a necessidade do acúmulo de força social para promover o processo revolucionário. Isto coaduna muito bem com aquilo que poderia ser pensado como uma mudança social no pensamento de Foucault. É claro, pois, que estas relações entre Foucault e o pensamento de Malatesta são possíveis, e devem ser empreendidas. Em fato no seguimento a este artigo, trabalharemos em algo desta ordem.</w:t>
      </w:r>
    </w:p>
    <w:p w14:paraId="4EAF9D63" w14:textId="77777777" w:rsidR="00244AE1" w:rsidRPr="00851312" w:rsidRDefault="00244AE1" w:rsidP="00EF3D18">
      <w:pPr>
        <w:numPr>
          <w:ilvl w:val="0"/>
          <w:numId w:val="1"/>
        </w:numPr>
        <w:spacing w:after="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t>Conclusão</w:t>
      </w:r>
    </w:p>
    <w:p w14:paraId="4235C4CB"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 xml:space="preserve">Em nosso entender a genealogia pode ser encarada como um método de análise das </w:t>
      </w:r>
      <w:r w:rsidRPr="00244AE1">
        <w:rPr>
          <w:rFonts w:ascii="Times New Roman" w:eastAsia="Times New Roman" w:hAnsi="Times New Roman" w:cs="Times New Roman"/>
          <w:i/>
          <w:iCs/>
          <w:sz w:val="24"/>
          <w:szCs w:val="24"/>
        </w:rPr>
        <w:t>relações entre centro e periferia</w:t>
      </w:r>
      <w:r w:rsidRPr="00244AE1">
        <w:rPr>
          <w:rFonts w:ascii="Times New Roman" w:eastAsia="Times New Roman" w:hAnsi="Times New Roman" w:cs="Times New Roman"/>
          <w:sz w:val="24"/>
          <w:szCs w:val="24"/>
        </w:rPr>
        <w:t xml:space="preserve"> (ou também como este método), cumprindo, pois, aprofundar as pesquisas e os paralelos, visto que as dificuldades não são poucas, como cremos ter mostrado. Buscamos explicitar que Foucault empreendeu a análise de algumas relações centro e periferia, tendo morrido quando seu escopo analítico </w:t>
      </w:r>
      <w:proofErr w:type="gramStart"/>
      <w:r w:rsidRPr="00244AE1">
        <w:rPr>
          <w:rFonts w:ascii="Times New Roman" w:eastAsia="Times New Roman" w:hAnsi="Times New Roman" w:cs="Times New Roman"/>
          <w:sz w:val="24"/>
          <w:szCs w:val="24"/>
        </w:rPr>
        <w:t>encontrava-se</w:t>
      </w:r>
      <w:proofErr w:type="gramEnd"/>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sz w:val="24"/>
          <w:szCs w:val="24"/>
        </w:rPr>
        <w:lastRenderedPageBreak/>
        <w:t>focado em uma hercúlea tarefa intelectual, a genealogia do governo ele mesmo. Se, de um lado, as genealogias concernentes às tantas periferias que existam podem ser elaboradas, esta é uma missão que compete a nós, contemporâneos, realizar, estando os instrumentos postos e o material — a realidade das relações de dominação — fartamente disponível. E, primeiramente, é mister aprofundar as pesquisas, com o fito de saber se esta relação é se sustenta em fato, ou se é mero “efeito de superfície”.</w:t>
      </w:r>
    </w:p>
    <w:p w14:paraId="23CB73D1" w14:textId="77777777" w:rsidR="00244AE1" w:rsidRPr="00244AE1" w:rsidRDefault="00244AE1" w:rsidP="00EF3D18">
      <w:pPr>
        <w:spacing w:after="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ab/>
        <w:t>Se há esta convergência metodológica, nós enveredamos no sentido de demonstrar as dificuldades políticas relativas a mescla entre Foucault e o pensamento libertário, especialmente pelo caráter negativo da genealogia, que não nos dota de nenhum programa político. Este caráter negativo não deve, contudo, ele mesmo ser encarado negativamente, visto que ele significa que aqueles que estão envoltos nas lutas são os responsáveis por constituir a estratégia que adotarão; quer dizer, que devem estabelecer seu próprio devir, assenhorear-se de seu próprio destino. Naquela entrevista sobre a geografia (Foucault, 2001), Foucault exaspera-se com o que compreende, à primeira vista, como um pedido dos geógrafos para que ele analise a geografia; a posição de Foucault é de que os geógrafos, eles mesmos, devem tomar a própria disciplina como problema, e não esperar que alguém lhes forneça a chave de seu futuro. Em fato, é caro ao anarquismo e ao pensamento libertário em geral a crítica a divisão entre intelectuais e base, quer dizer, entre quem manda e quem faz, encarada como crítica à divisão social do trabalho, mas mirando também à noção de vanguarda intelectual</w:t>
      </w:r>
      <w:r w:rsidRPr="00244AE1">
        <w:rPr>
          <w:rFonts w:ascii="Times New Roman" w:eastAsia="Times New Roman" w:hAnsi="Times New Roman" w:cs="Times New Roman"/>
          <w:sz w:val="24"/>
          <w:szCs w:val="24"/>
          <w:vertAlign w:val="superscript"/>
        </w:rPr>
        <w:footnoteReference w:id="103"/>
      </w:r>
      <w:r w:rsidRPr="00244AE1">
        <w:rPr>
          <w:rFonts w:ascii="Times New Roman" w:eastAsia="Times New Roman" w:hAnsi="Times New Roman" w:cs="Times New Roman"/>
          <w:sz w:val="24"/>
          <w:szCs w:val="24"/>
        </w:rPr>
        <w:t>, muito utilizada por certa tradição marxista. Esta via de entendimento nos conduz à conclusão de que Foucault, mesmo quando guardou silêncio, estava se posicionando a favor da liberdade do sujeito (Bruni, 1989); assim, em seu mutismo, foi mais anarquista do que muitos anarquistas, estes que crêem possuir a chave do real, o caminho da revolução e as sendas para o futuro.</w:t>
      </w:r>
    </w:p>
    <w:p w14:paraId="4F26EB1F" w14:textId="77777777" w:rsidR="00244AE1" w:rsidRDefault="00244AE1" w:rsidP="00244AE1">
      <w:pPr>
        <w:spacing w:after="200" w:line="360" w:lineRule="auto"/>
        <w:ind w:right="-1"/>
        <w:jc w:val="both"/>
        <w:rPr>
          <w:rFonts w:ascii="Times New Roman" w:eastAsia="Times New Roman" w:hAnsi="Times New Roman" w:cs="Times New Roman"/>
          <w:sz w:val="24"/>
          <w:szCs w:val="24"/>
        </w:rPr>
      </w:pPr>
    </w:p>
    <w:p w14:paraId="2316E811" w14:textId="77777777" w:rsidR="002150E8" w:rsidRDefault="002150E8" w:rsidP="00244AE1">
      <w:pPr>
        <w:spacing w:after="200" w:line="360" w:lineRule="auto"/>
        <w:ind w:right="-1"/>
        <w:jc w:val="both"/>
        <w:rPr>
          <w:rFonts w:ascii="Times New Roman" w:eastAsia="Times New Roman" w:hAnsi="Times New Roman" w:cs="Times New Roman"/>
          <w:sz w:val="24"/>
          <w:szCs w:val="24"/>
        </w:rPr>
      </w:pPr>
    </w:p>
    <w:p w14:paraId="40D1ABEB" w14:textId="77777777" w:rsidR="002150E8" w:rsidRDefault="002150E8" w:rsidP="00244AE1">
      <w:pPr>
        <w:spacing w:after="200" w:line="360" w:lineRule="auto"/>
        <w:ind w:right="-1"/>
        <w:jc w:val="both"/>
        <w:rPr>
          <w:rFonts w:ascii="Times New Roman" w:eastAsia="Times New Roman" w:hAnsi="Times New Roman" w:cs="Times New Roman"/>
          <w:sz w:val="24"/>
          <w:szCs w:val="24"/>
        </w:rPr>
      </w:pPr>
    </w:p>
    <w:p w14:paraId="46BD24BF" w14:textId="77777777" w:rsidR="002150E8" w:rsidRPr="00244AE1" w:rsidRDefault="002150E8" w:rsidP="00244AE1">
      <w:pPr>
        <w:spacing w:after="200" w:line="360" w:lineRule="auto"/>
        <w:ind w:right="-1"/>
        <w:jc w:val="both"/>
        <w:rPr>
          <w:rFonts w:ascii="Times New Roman" w:eastAsia="Times New Roman" w:hAnsi="Times New Roman" w:cs="Times New Roman"/>
          <w:sz w:val="24"/>
          <w:szCs w:val="24"/>
        </w:rPr>
      </w:pPr>
    </w:p>
    <w:p w14:paraId="61378D13" w14:textId="77777777" w:rsidR="00244AE1" w:rsidRPr="002150E8" w:rsidRDefault="00244AE1" w:rsidP="00244AE1">
      <w:pPr>
        <w:numPr>
          <w:ilvl w:val="0"/>
          <w:numId w:val="1"/>
        </w:numPr>
        <w:spacing w:after="200" w:line="360" w:lineRule="auto"/>
        <w:ind w:right="-1"/>
        <w:jc w:val="both"/>
        <w:rPr>
          <w:rFonts w:ascii="Times New Roman" w:eastAsia="Times New Roman" w:hAnsi="Times New Roman" w:cs="Times New Roman"/>
          <w:b/>
          <w:bCs/>
          <w:sz w:val="24"/>
          <w:szCs w:val="24"/>
        </w:rPr>
      </w:pPr>
      <w:r w:rsidRPr="00244AE1">
        <w:rPr>
          <w:rFonts w:ascii="Times New Roman" w:eastAsia="Times New Roman" w:hAnsi="Times New Roman" w:cs="Times New Roman"/>
          <w:b/>
          <w:bCs/>
          <w:sz w:val="24"/>
          <w:szCs w:val="24"/>
        </w:rPr>
        <w:lastRenderedPageBreak/>
        <w:t>Bibliografia</w:t>
      </w:r>
    </w:p>
    <w:p w14:paraId="2B2BFC0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BOITO JR., A.; O estado capitalista no centro: crítica ao conceito de poder de Michel Foucault,  2016, disponível em </w:t>
      </w:r>
      <w:hyperlink r:id="rId19" w:history="1">
        <w:r w:rsidRPr="00244AE1">
          <w:rPr>
            <w:rStyle w:val="Hyperlink"/>
            <w:rFonts w:ascii="Times New Roman" w:eastAsia="Times New Roman" w:hAnsi="Times New Roman" w:cs="Times New Roman"/>
            <w:sz w:val="24"/>
            <w:szCs w:val="24"/>
          </w:rPr>
          <w:t>http://www.grabois.org.br/portal/artigos/153040/2016-09-16/o-estado-capitalista-no-centro-critica-ao-conceito-de-poder-de-michel-foucault</w:t>
        </w:r>
      </w:hyperlink>
      <w:r w:rsidRPr="00244AE1">
        <w:rPr>
          <w:rFonts w:ascii="Times New Roman" w:eastAsia="Times New Roman" w:hAnsi="Times New Roman" w:cs="Times New Roman"/>
          <w:sz w:val="24"/>
          <w:szCs w:val="24"/>
        </w:rPr>
        <w:t xml:space="preserve"> acessado em 06 de novembro de 2016.</w:t>
      </w:r>
    </w:p>
    <w:p w14:paraId="516F6DA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BRUNI, J.C. (1989). </w:t>
      </w:r>
      <w:r w:rsidRPr="00244AE1">
        <w:rPr>
          <w:rFonts w:ascii="Times New Roman" w:eastAsia="Times New Roman" w:hAnsi="Times New Roman" w:cs="Times New Roman"/>
          <w:i/>
          <w:iCs/>
          <w:sz w:val="24"/>
          <w:szCs w:val="24"/>
        </w:rPr>
        <w:t>Foucault: o silêncio dos sujeitos</w:t>
      </w:r>
      <w:r w:rsidRPr="00244AE1">
        <w:rPr>
          <w:rFonts w:ascii="Times New Roman" w:eastAsia="Times New Roman" w:hAnsi="Times New Roman" w:cs="Times New Roman"/>
          <w:sz w:val="24"/>
          <w:szCs w:val="24"/>
        </w:rPr>
        <w:t xml:space="preserve">, SP: Revista Tempo Social, v.1., n. </w:t>
      </w:r>
      <w:proofErr w:type="gramStart"/>
      <w:r w:rsidRPr="00244AE1">
        <w:rPr>
          <w:rFonts w:ascii="Times New Roman" w:eastAsia="Times New Roman" w:hAnsi="Times New Roman" w:cs="Times New Roman"/>
          <w:sz w:val="24"/>
          <w:szCs w:val="24"/>
        </w:rPr>
        <w:t>1,  pp.</w:t>
      </w:r>
      <w:proofErr w:type="gramEnd"/>
      <w:r w:rsidRPr="00244AE1">
        <w:rPr>
          <w:rFonts w:ascii="Times New Roman" w:eastAsia="Times New Roman" w:hAnsi="Times New Roman" w:cs="Times New Roman"/>
          <w:sz w:val="24"/>
          <w:szCs w:val="24"/>
        </w:rPr>
        <w:t>199-207.</w:t>
      </w:r>
    </w:p>
    <w:p w14:paraId="3ACDAD54"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BURKE, P. (1997). </w:t>
      </w:r>
      <w:r w:rsidRPr="00244AE1">
        <w:rPr>
          <w:rFonts w:ascii="Times New Roman" w:eastAsia="Times New Roman" w:hAnsi="Times New Roman" w:cs="Times New Roman"/>
          <w:i/>
          <w:iCs/>
          <w:sz w:val="24"/>
          <w:szCs w:val="24"/>
        </w:rPr>
        <w:t>A escola dos Annales (1929-1989)</w:t>
      </w:r>
      <w:r w:rsidRPr="00244AE1">
        <w:rPr>
          <w:rFonts w:ascii="Times New Roman" w:eastAsia="Times New Roman" w:hAnsi="Times New Roman" w:cs="Times New Roman"/>
          <w:sz w:val="24"/>
          <w:szCs w:val="24"/>
        </w:rPr>
        <w:t>, SP: EDUNESP</w:t>
      </w:r>
    </w:p>
    <w:p w14:paraId="7F7F424F"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CASTRO, E. (2009). </w:t>
      </w:r>
      <w:r w:rsidRPr="00244AE1">
        <w:rPr>
          <w:rFonts w:ascii="Times New Roman" w:eastAsia="Times New Roman" w:hAnsi="Times New Roman" w:cs="Times New Roman"/>
          <w:i/>
          <w:iCs/>
          <w:sz w:val="24"/>
          <w:szCs w:val="24"/>
        </w:rPr>
        <w:t>Vocabulário de Foucault</w:t>
      </w:r>
      <w:r w:rsidRPr="00244AE1">
        <w:rPr>
          <w:rFonts w:ascii="Times New Roman" w:eastAsia="Times New Roman" w:hAnsi="Times New Roman" w:cs="Times New Roman"/>
          <w:sz w:val="24"/>
          <w:szCs w:val="24"/>
        </w:rPr>
        <w:t>, BH: Autêntica</w:t>
      </w:r>
    </w:p>
    <w:p w14:paraId="501FC5E3"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COELHO, E.P (s/d). </w:t>
      </w:r>
      <w:r w:rsidRPr="00244AE1">
        <w:rPr>
          <w:rFonts w:ascii="Times New Roman" w:eastAsia="Times New Roman" w:hAnsi="Times New Roman" w:cs="Times New Roman"/>
          <w:i/>
          <w:iCs/>
          <w:sz w:val="24"/>
          <w:szCs w:val="24"/>
        </w:rPr>
        <w:t>Estruturalismo: antologia de textos teóricos</w:t>
      </w:r>
      <w:r w:rsidRPr="00244AE1">
        <w:rPr>
          <w:rFonts w:ascii="Times New Roman" w:eastAsia="Times New Roman" w:hAnsi="Times New Roman" w:cs="Times New Roman"/>
          <w:sz w:val="24"/>
          <w:szCs w:val="24"/>
        </w:rPr>
        <w:t>, Lisboa: Portugália</w:t>
      </w:r>
    </w:p>
    <w:p w14:paraId="6DF77299"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CORRÊA, F. (2008). </w:t>
      </w:r>
      <w:r w:rsidRPr="00244AE1">
        <w:rPr>
          <w:rFonts w:ascii="Times New Roman" w:eastAsia="Times New Roman" w:hAnsi="Times New Roman" w:cs="Times New Roman"/>
          <w:i/>
          <w:iCs/>
          <w:sz w:val="24"/>
          <w:szCs w:val="24"/>
        </w:rPr>
        <w:t>Da periferia para o centro: sujeito revolucionário e transformação social</w:t>
      </w:r>
      <w:r w:rsidRPr="00244AE1">
        <w:rPr>
          <w:rFonts w:ascii="Times New Roman" w:eastAsia="Times New Roman" w:hAnsi="Times New Roman" w:cs="Times New Roman"/>
          <w:sz w:val="24"/>
          <w:szCs w:val="24"/>
        </w:rPr>
        <w:t xml:space="preserve"> in DE JONG, R.; </w:t>
      </w:r>
      <w:r w:rsidRPr="00244AE1">
        <w:rPr>
          <w:rFonts w:ascii="Times New Roman" w:eastAsia="Times New Roman" w:hAnsi="Times New Roman" w:cs="Times New Roman"/>
          <w:i/>
          <w:iCs/>
          <w:sz w:val="24"/>
          <w:szCs w:val="24"/>
        </w:rPr>
        <w:t>A concepção libertária da transformação social revolucionária</w:t>
      </w:r>
      <w:r w:rsidRPr="00244AE1">
        <w:rPr>
          <w:rFonts w:ascii="Times New Roman" w:eastAsia="Times New Roman" w:hAnsi="Times New Roman" w:cs="Times New Roman"/>
          <w:sz w:val="24"/>
          <w:szCs w:val="24"/>
        </w:rPr>
        <w:t>, SP/RJ: Faísca/FARJ</w:t>
      </w:r>
    </w:p>
    <w:p w14:paraId="48F44F5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DE JONG, R. (2008). </w:t>
      </w:r>
      <w:r w:rsidRPr="00244AE1">
        <w:rPr>
          <w:rFonts w:ascii="Times New Roman" w:eastAsia="Times New Roman" w:hAnsi="Times New Roman" w:cs="Times New Roman"/>
          <w:i/>
          <w:iCs/>
          <w:sz w:val="24"/>
          <w:szCs w:val="24"/>
        </w:rPr>
        <w:t>A concepção libertária da transformação social revolucionária</w:t>
      </w:r>
      <w:r w:rsidRPr="00244AE1">
        <w:rPr>
          <w:rFonts w:ascii="Times New Roman" w:eastAsia="Times New Roman" w:hAnsi="Times New Roman" w:cs="Times New Roman"/>
          <w:sz w:val="24"/>
          <w:szCs w:val="24"/>
        </w:rPr>
        <w:t xml:space="preserve">, SP/RJ: Faísca/FARJ, </w:t>
      </w:r>
    </w:p>
    <w:p w14:paraId="5F93BA74"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DOSSE, F. (1994). </w:t>
      </w:r>
      <w:r w:rsidRPr="00244AE1">
        <w:rPr>
          <w:rFonts w:ascii="Times New Roman" w:eastAsia="Times New Roman" w:hAnsi="Times New Roman" w:cs="Times New Roman"/>
          <w:i/>
          <w:iCs/>
          <w:sz w:val="24"/>
          <w:szCs w:val="24"/>
        </w:rPr>
        <w:t>História do estruturalismo volume 2 — o canto do cisne: de 1967 aos nossos dias</w:t>
      </w:r>
      <w:r w:rsidRPr="00244AE1">
        <w:rPr>
          <w:rFonts w:ascii="Times New Roman" w:eastAsia="Times New Roman" w:hAnsi="Times New Roman" w:cs="Times New Roman"/>
          <w:sz w:val="24"/>
          <w:szCs w:val="24"/>
        </w:rPr>
        <w:t>, Campinas: Ensaio</w:t>
      </w:r>
    </w:p>
    <w:p w14:paraId="4164E0C9"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FEDERAÇÃO ANARQUISTA DO RIO DE JANEIRO (FARJ) (2008). </w:t>
      </w:r>
      <w:r w:rsidRPr="00244AE1">
        <w:rPr>
          <w:rFonts w:ascii="Times New Roman" w:eastAsia="Times New Roman" w:hAnsi="Times New Roman" w:cs="Times New Roman"/>
          <w:i/>
          <w:iCs/>
          <w:sz w:val="24"/>
          <w:szCs w:val="24"/>
        </w:rPr>
        <w:t>Anarquismo social e organização</w:t>
      </w:r>
      <w:r w:rsidRPr="00244AE1">
        <w:rPr>
          <w:rFonts w:ascii="Times New Roman" w:eastAsia="Times New Roman" w:hAnsi="Times New Roman" w:cs="Times New Roman"/>
          <w:sz w:val="24"/>
          <w:szCs w:val="24"/>
        </w:rPr>
        <w:t>, RJ: FARJ</w:t>
      </w:r>
    </w:p>
    <w:p w14:paraId="56106765"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FEDERAÇÃO ANARQUISTA URUGUAIA (FAU) (1972).</w:t>
      </w:r>
      <w:r w:rsidRPr="00244AE1">
        <w:rPr>
          <w:rFonts w:ascii="Times New Roman" w:eastAsia="Times New Roman" w:hAnsi="Times New Roman" w:cs="Times New Roman"/>
          <w:i/>
          <w:iCs/>
          <w:sz w:val="24"/>
          <w:szCs w:val="24"/>
        </w:rPr>
        <w:t xml:space="preserve"> Huerta grande: a importância da teoria</w:t>
      </w:r>
      <w:r w:rsidRPr="00244AE1">
        <w:rPr>
          <w:rFonts w:ascii="Times New Roman" w:eastAsia="Times New Roman" w:hAnsi="Times New Roman" w:cs="Times New Roman"/>
          <w:sz w:val="24"/>
          <w:szCs w:val="24"/>
        </w:rPr>
        <w:t xml:space="preserve">, s/l, disponível em </w:t>
      </w:r>
      <w:hyperlink r:id="rId20" w:history="1">
        <w:r w:rsidRPr="00244AE1">
          <w:rPr>
            <w:rStyle w:val="Hyperlink"/>
            <w:rFonts w:ascii="Times New Roman" w:eastAsia="Times New Roman" w:hAnsi="Times New Roman" w:cs="Times New Roman"/>
            <w:sz w:val="24"/>
            <w:szCs w:val="24"/>
          </w:rPr>
          <w:t>https://anarquismorj.wordpress.com/textos-e-documentos/teoria-e-debate/huerta-grande-a-importancia-da-teoria-fau/</w:t>
        </w:r>
      </w:hyperlink>
      <w:r w:rsidRPr="00244AE1">
        <w:rPr>
          <w:rFonts w:ascii="Times New Roman" w:eastAsia="Times New Roman" w:hAnsi="Times New Roman" w:cs="Times New Roman"/>
          <w:sz w:val="24"/>
          <w:szCs w:val="24"/>
        </w:rPr>
        <w:t xml:space="preserve"> acessado em 06/11/2016</w:t>
      </w:r>
    </w:p>
    <w:p w14:paraId="4E5B688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FOUCAULT, M. (2007a). </w:t>
      </w:r>
      <w:r w:rsidRPr="00244AE1">
        <w:rPr>
          <w:rFonts w:ascii="Times New Roman" w:eastAsia="Times New Roman" w:hAnsi="Times New Roman" w:cs="Times New Roman"/>
          <w:i/>
          <w:iCs/>
          <w:sz w:val="24"/>
          <w:szCs w:val="24"/>
        </w:rPr>
        <w:t>A arqueologia do saber</w:t>
      </w:r>
      <w:r w:rsidRPr="00244AE1">
        <w:rPr>
          <w:rFonts w:ascii="Times New Roman" w:eastAsia="Times New Roman" w:hAnsi="Times New Roman" w:cs="Times New Roman"/>
          <w:sz w:val="24"/>
          <w:szCs w:val="24"/>
        </w:rPr>
        <w:t>, 7</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Forense Universitária</w:t>
      </w:r>
    </w:p>
    <w:p w14:paraId="23C4FC66"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(2005a). </w:t>
      </w:r>
      <w:r w:rsidRPr="00244AE1">
        <w:rPr>
          <w:rFonts w:ascii="Times New Roman" w:eastAsia="Times New Roman" w:hAnsi="Times New Roman" w:cs="Times New Roman"/>
          <w:i/>
          <w:iCs/>
          <w:sz w:val="24"/>
          <w:szCs w:val="24"/>
        </w:rPr>
        <w:t>A ordem do discurso</w:t>
      </w:r>
      <w:r w:rsidRPr="00244AE1">
        <w:rPr>
          <w:rFonts w:ascii="Times New Roman" w:eastAsia="Times New Roman" w:hAnsi="Times New Roman" w:cs="Times New Roman"/>
          <w:sz w:val="24"/>
          <w:szCs w:val="24"/>
        </w:rPr>
        <w:t xml:space="preserve">, SP: Loyola, </w:t>
      </w:r>
    </w:p>
    <w:p w14:paraId="57139F3C"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(2005b). </w:t>
      </w:r>
      <w:r w:rsidRPr="00244AE1">
        <w:rPr>
          <w:rFonts w:ascii="Times New Roman" w:eastAsia="Times New Roman" w:hAnsi="Times New Roman" w:cs="Times New Roman"/>
          <w:i/>
          <w:iCs/>
          <w:sz w:val="24"/>
          <w:szCs w:val="24"/>
        </w:rPr>
        <w:t>A verdade e as formas jurídicas</w:t>
      </w:r>
      <w:r w:rsidRPr="00244AE1">
        <w:rPr>
          <w:rFonts w:ascii="Times New Roman" w:eastAsia="Times New Roman" w:hAnsi="Times New Roman" w:cs="Times New Roman"/>
          <w:sz w:val="24"/>
          <w:szCs w:val="24"/>
        </w:rPr>
        <w:t>, 3</w:t>
      </w:r>
      <w:r w:rsidRPr="00244AE1">
        <w:rPr>
          <w:rFonts w:ascii="Times New Roman" w:eastAsia="Times New Roman" w:hAnsi="Times New Roman" w:cs="Times New Roman"/>
          <w:sz w:val="24"/>
          <w:szCs w:val="24"/>
          <w:vertAlign w:val="superscript"/>
        </w:rPr>
        <w:t xml:space="preserve">a </w:t>
      </w:r>
      <w:r w:rsidRPr="00244AE1">
        <w:rPr>
          <w:rFonts w:ascii="Times New Roman" w:eastAsia="Times New Roman" w:hAnsi="Times New Roman" w:cs="Times New Roman"/>
          <w:sz w:val="24"/>
          <w:szCs w:val="24"/>
        </w:rPr>
        <w:t>ed., RJ: NAU,</w:t>
      </w:r>
    </w:p>
    <w:p w14:paraId="26D093E5"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______________ (2006a); </w:t>
      </w:r>
      <w:proofErr w:type="gramStart"/>
      <w:r w:rsidRPr="00244AE1">
        <w:rPr>
          <w:rFonts w:ascii="Times New Roman" w:eastAsia="Times New Roman" w:hAnsi="Times New Roman" w:cs="Times New Roman"/>
          <w:i/>
          <w:iCs/>
          <w:sz w:val="24"/>
          <w:szCs w:val="24"/>
        </w:rPr>
        <w:t>Ditos</w:t>
      </w:r>
      <w:proofErr w:type="gramEnd"/>
      <w:r w:rsidRPr="00244AE1">
        <w:rPr>
          <w:rFonts w:ascii="Times New Roman" w:eastAsia="Times New Roman" w:hAnsi="Times New Roman" w:cs="Times New Roman"/>
          <w:i/>
          <w:iCs/>
          <w:sz w:val="24"/>
          <w:szCs w:val="24"/>
        </w:rPr>
        <w:t xml:space="preserve"> e escritos V — Estratégia, poder, saber</w:t>
      </w:r>
      <w:r w:rsidRPr="00244AE1">
        <w:rPr>
          <w:rFonts w:ascii="Times New Roman" w:eastAsia="Times New Roman" w:hAnsi="Times New Roman" w:cs="Times New Roman"/>
          <w:sz w:val="24"/>
          <w:szCs w:val="24"/>
        </w:rPr>
        <w:t>, 2</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Forense Universitária</w:t>
      </w:r>
    </w:p>
    <w:p w14:paraId="2AC67C87"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(2007b). </w:t>
      </w:r>
      <w:r w:rsidRPr="00244AE1">
        <w:rPr>
          <w:rFonts w:ascii="Times New Roman" w:eastAsia="Times New Roman" w:hAnsi="Times New Roman" w:cs="Times New Roman"/>
          <w:i/>
          <w:iCs/>
          <w:sz w:val="24"/>
          <w:szCs w:val="24"/>
        </w:rPr>
        <w:t>Do governo dos vivos</w:t>
      </w:r>
      <w:r w:rsidRPr="00244AE1">
        <w:rPr>
          <w:rFonts w:ascii="Times New Roman" w:eastAsia="Times New Roman" w:hAnsi="Times New Roman" w:cs="Times New Roman"/>
          <w:sz w:val="24"/>
          <w:szCs w:val="24"/>
        </w:rPr>
        <w:t xml:space="preserve">, SP: Centro de Cultura Social </w:t>
      </w:r>
    </w:p>
    <w:p w14:paraId="1BA413B2"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(s/d). </w:t>
      </w:r>
      <w:r w:rsidRPr="00244AE1">
        <w:rPr>
          <w:rFonts w:ascii="Times New Roman" w:eastAsia="Times New Roman" w:hAnsi="Times New Roman" w:cs="Times New Roman"/>
          <w:i/>
          <w:iCs/>
          <w:sz w:val="24"/>
          <w:szCs w:val="24"/>
        </w:rPr>
        <w:t>Entrevista de Michel Foucault à Quinzaine Littéraire</w:t>
      </w:r>
      <w:r w:rsidRPr="00244AE1">
        <w:rPr>
          <w:rFonts w:ascii="Times New Roman" w:eastAsia="Times New Roman" w:hAnsi="Times New Roman" w:cs="Times New Roman"/>
          <w:sz w:val="24"/>
          <w:szCs w:val="24"/>
        </w:rPr>
        <w:t xml:space="preserve"> in COELHO, E.P.; </w:t>
      </w:r>
      <w:r w:rsidRPr="00244AE1">
        <w:rPr>
          <w:rFonts w:ascii="Times New Roman" w:eastAsia="Times New Roman" w:hAnsi="Times New Roman" w:cs="Times New Roman"/>
          <w:i/>
          <w:iCs/>
          <w:sz w:val="24"/>
          <w:szCs w:val="24"/>
        </w:rPr>
        <w:t>Estruturalismo: antologia de textos teóricos</w:t>
      </w:r>
      <w:r w:rsidRPr="00244AE1">
        <w:rPr>
          <w:rFonts w:ascii="Times New Roman" w:eastAsia="Times New Roman" w:hAnsi="Times New Roman" w:cs="Times New Roman"/>
          <w:sz w:val="24"/>
          <w:szCs w:val="24"/>
        </w:rPr>
        <w:t>, Lisboa: Portugália, s/d</w:t>
      </w:r>
    </w:p>
    <w:p w14:paraId="0094668A"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(1972). </w:t>
      </w:r>
      <w:r w:rsidRPr="00244AE1">
        <w:rPr>
          <w:rFonts w:ascii="Times New Roman" w:eastAsia="Times New Roman" w:hAnsi="Times New Roman" w:cs="Times New Roman"/>
          <w:i/>
          <w:iCs/>
          <w:sz w:val="24"/>
          <w:szCs w:val="24"/>
        </w:rPr>
        <w:t>Histoire de la folie à l’âge classique</w:t>
      </w:r>
      <w:r w:rsidRPr="00244AE1">
        <w:rPr>
          <w:rFonts w:ascii="Times New Roman" w:eastAsia="Times New Roman" w:hAnsi="Times New Roman" w:cs="Times New Roman"/>
          <w:sz w:val="24"/>
          <w:szCs w:val="24"/>
        </w:rPr>
        <w:t>, Paris: Gallimard</w:t>
      </w:r>
    </w:p>
    <w:p w14:paraId="582E6B90"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(1997a). </w:t>
      </w:r>
      <w:r w:rsidRPr="00244AE1">
        <w:rPr>
          <w:rFonts w:ascii="Times New Roman" w:eastAsia="Times New Roman" w:hAnsi="Times New Roman" w:cs="Times New Roman"/>
          <w:i/>
          <w:iCs/>
          <w:sz w:val="24"/>
          <w:szCs w:val="24"/>
        </w:rPr>
        <w:t>A história da sexualidade I: a vontade de saber</w:t>
      </w:r>
      <w:r w:rsidRPr="00244AE1">
        <w:rPr>
          <w:rFonts w:ascii="Times New Roman" w:eastAsia="Times New Roman" w:hAnsi="Times New Roman" w:cs="Times New Roman"/>
          <w:sz w:val="24"/>
          <w:szCs w:val="24"/>
        </w:rPr>
        <w:t xml:space="preserve">, RJ: Graal, </w:t>
      </w:r>
    </w:p>
    <w:p w14:paraId="07E14C55"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(2001). </w:t>
      </w:r>
      <w:r w:rsidRPr="00244AE1">
        <w:rPr>
          <w:rFonts w:ascii="Times New Roman" w:eastAsia="Times New Roman" w:hAnsi="Times New Roman" w:cs="Times New Roman"/>
          <w:i/>
          <w:iCs/>
          <w:sz w:val="24"/>
          <w:szCs w:val="24"/>
        </w:rPr>
        <w:t>A microfísica do poder</w:t>
      </w:r>
      <w:r w:rsidRPr="00244AE1">
        <w:rPr>
          <w:rFonts w:ascii="Times New Roman" w:eastAsia="Times New Roman" w:hAnsi="Times New Roman" w:cs="Times New Roman"/>
          <w:sz w:val="24"/>
          <w:szCs w:val="24"/>
        </w:rPr>
        <w:t>, 16</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693A0FB9"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(1999). </w:t>
      </w:r>
      <w:r w:rsidRPr="00244AE1">
        <w:rPr>
          <w:rFonts w:ascii="Times New Roman" w:eastAsia="Times New Roman" w:hAnsi="Times New Roman" w:cs="Times New Roman"/>
          <w:i/>
          <w:iCs/>
          <w:sz w:val="24"/>
          <w:szCs w:val="24"/>
        </w:rPr>
        <w:t>Em defesa da sociedade</w:t>
      </w:r>
      <w:r w:rsidRPr="00244AE1">
        <w:rPr>
          <w:rFonts w:ascii="Times New Roman" w:eastAsia="Times New Roman" w:hAnsi="Times New Roman" w:cs="Times New Roman"/>
          <w:sz w:val="24"/>
          <w:szCs w:val="24"/>
        </w:rPr>
        <w:t>, SP: Martins Fontes</w:t>
      </w:r>
    </w:p>
    <w:p w14:paraId="737A2AE8"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(2008). </w:t>
      </w:r>
      <w:r w:rsidRPr="00244AE1">
        <w:rPr>
          <w:rFonts w:ascii="Times New Roman" w:eastAsia="Times New Roman" w:hAnsi="Times New Roman" w:cs="Times New Roman"/>
          <w:i/>
          <w:iCs/>
          <w:sz w:val="24"/>
          <w:szCs w:val="24"/>
        </w:rPr>
        <w:t>Nascimento da biopolítica</w:t>
      </w:r>
      <w:r w:rsidRPr="00244AE1">
        <w:rPr>
          <w:rFonts w:ascii="Times New Roman" w:eastAsia="Times New Roman" w:hAnsi="Times New Roman" w:cs="Times New Roman"/>
          <w:sz w:val="24"/>
          <w:szCs w:val="24"/>
        </w:rPr>
        <w:t>, SP: Martins Fontes</w:t>
      </w:r>
    </w:p>
    <w:p w14:paraId="30CD0C67"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(2006b). </w:t>
      </w:r>
      <w:r w:rsidRPr="00244AE1">
        <w:rPr>
          <w:rFonts w:ascii="Times New Roman" w:eastAsia="Times New Roman" w:hAnsi="Times New Roman" w:cs="Times New Roman"/>
          <w:i/>
          <w:iCs/>
          <w:sz w:val="24"/>
          <w:szCs w:val="24"/>
        </w:rPr>
        <w:t>O poder psiquiátrico</w:t>
      </w:r>
      <w:r w:rsidRPr="00244AE1">
        <w:rPr>
          <w:rFonts w:ascii="Times New Roman" w:eastAsia="Times New Roman" w:hAnsi="Times New Roman" w:cs="Times New Roman"/>
          <w:sz w:val="24"/>
          <w:szCs w:val="24"/>
        </w:rPr>
        <w:t>, SP: Martins Fontes</w:t>
      </w:r>
    </w:p>
    <w:p w14:paraId="4561AAA7"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(1997b). </w:t>
      </w:r>
      <w:r w:rsidRPr="00244AE1">
        <w:rPr>
          <w:rFonts w:ascii="Times New Roman" w:eastAsia="Times New Roman" w:hAnsi="Times New Roman" w:cs="Times New Roman"/>
          <w:i/>
          <w:iCs/>
          <w:sz w:val="24"/>
          <w:szCs w:val="24"/>
        </w:rPr>
        <w:t>Resumo dos cursos no Collège de France: 1970-1982</w:t>
      </w:r>
      <w:r w:rsidRPr="00244AE1">
        <w:rPr>
          <w:rFonts w:ascii="Times New Roman" w:eastAsia="Times New Roman" w:hAnsi="Times New Roman" w:cs="Times New Roman"/>
          <w:sz w:val="24"/>
          <w:szCs w:val="24"/>
        </w:rPr>
        <w:t>, RJ: Zahar</w:t>
      </w:r>
    </w:p>
    <w:p w14:paraId="4EDC9D56"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(2006c). </w:t>
      </w:r>
      <w:r w:rsidRPr="00244AE1">
        <w:rPr>
          <w:rFonts w:ascii="Times New Roman" w:eastAsia="Times New Roman" w:hAnsi="Times New Roman" w:cs="Times New Roman"/>
          <w:i/>
          <w:iCs/>
          <w:sz w:val="24"/>
          <w:szCs w:val="24"/>
        </w:rPr>
        <w:t>Vigiar e Punir — Nascimento da prisão</w:t>
      </w:r>
      <w:r w:rsidRPr="00244AE1">
        <w:rPr>
          <w:rFonts w:ascii="Times New Roman" w:eastAsia="Times New Roman" w:hAnsi="Times New Roman" w:cs="Times New Roman"/>
          <w:sz w:val="24"/>
          <w:szCs w:val="24"/>
        </w:rPr>
        <w:t>, 31</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Petrópolis: Vozes</w:t>
      </w:r>
    </w:p>
    <w:p w14:paraId="008CCFD3"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GOLDSCHMIDT, V. (1963). </w:t>
      </w:r>
      <w:r w:rsidRPr="00244AE1">
        <w:rPr>
          <w:rFonts w:ascii="Times New Roman" w:eastAsia="Times New Roman" w:hAnsi="Times New Roman" w:cs="Times New Roman"/>
          <w:i/>
          <w:iCs/>
          <w:sz w:val="24"/>
          <w:szCs w:val="24"/>
        </w:rPr>
        <w:t>A religião de Platão</w:t>
      </w:r>
      <w:r w:rsidRPr="00244AE1">
        <w:rPr>
          <w:rFonts w:ascii="Times New Roman" w:eastAsia="Times New Roman" w:hAnsi="Times New Roman" w:cs="Times New Roman"/>
          <w:sz w:val="24"/>
          <w:szCs w:val="24"/>
        </w:rPr>
        <w:t>, SP: Difel</w:t>
      </w:r>
    </w:p>
    <w:p w14:paraId="350D947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_________________ (1963). </w:t>
      </w:r>
      <w:r w:rsidRPr="00244AE1">
        <w:rPr>
          <w:rFonts w:ascii="Times New Roman" w:eastAsia="Times New Roman" w:hAnsi="Times New Roman" w:cs="Times New Roman"/>
          <w:i/>
          <w:iCs/>
          <w:sz w:val="24"/>
          <w:szCs w:val="24"/>
        </w:rPr>
        <w:t>Tempo histórico e tempo lógico na interpretação dos sistemas filosóficos</w:t>
      </w:r>
      <w:r w:rsidRPr="00244AE1">
        <w:rPr>
          <w:rFonts w:ascii="Times New Roman" w:eastAsia="Times New Roman" w:hAnsi="Times New Roman" w:cs="Times New Roman"/>
          <w:sz w:val="24"/>
          <w:szCs w:val="24"/>
        </w:rPr>
        <w:t xml:space="preserve"> in GOLDSCHMIDT, V.; </w:t>
      </w:r>
      <w:r w:rsidRPr="00244AE1">
        <w:rPr>
          <w:rFonts w:ascii="Times New Roman" w:eastAsia="Times New Roman" w:hAnsi="Times New Roman" w:cs="Times New Roman"/>
          <w:i/>
          <w:iCs/>
          <w:sz w:val="24"/>
          <w:szCs w:val="24"/>
        </w:rPr>
        <w:t>A religião de Platão</w:t>
      </w:r>
      <w:r w:rsidRPr="00244AE1">
        <w:rPr>
          <w:rFonts w:ascii="Times New Roman" w:eastAsia="Times New Roman" w:hAnsi="Times New Roman" w:cs="Times New Roman"/>
          <w:sz w:val="24"/>
          <w:szCs w:val="24"/>
        </w:rPr>
        <w:t>, SP: Difel, 1963</w:t>
      </w:r>
    </w:p>
    <w:p w14:paraId="65065A26"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LUIZ, F. (2010). Foucault genealogista: a guerra como modelo analítico das relações de poder Campinas: IFCH, </w:t>
      </w:r>
      <w:r w:rsidRPr="00244AE1">
        <w:rPr>
          <w:rFonts w:ascii="Times New Roman" w:eastAsia="Times New Roman" w:hAnsi="Times New Roman" w:cs="Times New Roman"/>
          <w:i/>
          <w:iCs/>
          <w:sz w:val="24"/>
          <w:szCs w:val="24"/>
        </w:rPr>
        <w:t>Cadernos da Graduação</w:t>
      </w:r>
      <w:r w:rsidRPr="00244AE1">
        <w:rPr>
          <w:rFonts w:ascii="Times New Roman" w:eastAsia="Times New Roman" w:hAnsi="Times New Roman" w:cs="Times New Roman"/>
          <w:sz w:val="24"/>
          <w:szCs w:val="24"/>
        </w:rPr>
        <w:t xml:space="preserve">, v. 1, pp. 145-152,, disponível em </w:t>
      </w:r>
      <w:hyperlink r:id="rId21" w:history="1">
        <w:r w:rsidRPr="00244AE1">
          <w:rPr>
            <w:rStyle w:val="Hyperlink"/>
            <w:rFonts w:ascii="Times New Roman" w:eastAsia="Times New Roman" w:hAnsi="Times New Roman" w:cs="Times New Roman"/>
            <w:sz w:val="24"/>
            <w:szCs w:val="24"/>
          </w:rPr>
          <w:t>http://www.ifch.unicamp.br/ojs/index.php/cadernosgraduacao/article/view/538</w:t>
        </w:r>
      </w:hyperlink>
      <w:r w:rsidRPr="00244AE1">
        <w:rPr>
          <w:rFonts w:ascii="Times New Roman" w:eastAsia="Times New Roman" w:hAnsi="Times New Roman" w:cs="Times New Roman"/>
          <w:sz w:val="24"/>
          <w:szCs w:val="24"/>
        </w:rPr>
        <w:t xml:space="preserve"> acessado em 06/11/2016</w:t>
      </w:r>
    </w:p>
    <w:p w14:paraId="3FBD47DF"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 (2010). O conceito de saber na epistemologia política de Michel Foucault, </w:t>
      </w:r>
      <w:r w:rsidRPr="00244AE1">
        <w:rPr>
          <w:rFonts w:ascii="Times New Roman" w:eastAsia="Times New Roman" w:hAnsi="Times New Roman" w:cs="Times New Roman"/>
          <w:i/>
          <w:iCs/>
          <w:sz w:val="24"/>
          <w:szCs w:val="24"/>
        </w:rPr>
        <w:t>Revista de Iniciação Científica da FFC</w:t>
      </w:r>
      <w:r w:rsidRPr="00244AE1">
        <w:rPr>
          <w:rFonts w:ascii="Times New Roman" w:eastAsia="Times New Roman" w:hAnsi="Times New Roman" w:cs="Times New Roman"/>
          <w:sz w:val="24"/>
          <w:szCs w:val="24"/>
        </w:rPr>
        <w:t xml:space="preserve">, v. 10, n. 2, 2010, disponível em </w:t>
      </w:r>
      <w:hyperlink r:id="rId22" w:history="1">
        <w:r w:rsidRPr="00244AE1">
          <w:rPr>
            <w:rStyle w:val="Hyperlink"/>
            <w:rFonts w:ascii="Times New Roman" w:eastAsia="Times New Roman" w:hAnsi="Times New Roman" w:cs="Times New Roman"/>
            <w:sz w:val="24"/>
            <w:szCs w:val="24"/>
          </w:rPr>
          <w:t>http://www2.marilia.unesp.br/revistas/index.php/ric/article/view/331</w:t>
        </w:r>
      </w:hyperlink>
      <w:r w:rsidRPr="00244AE1">
        <w:rPr>
          <w:rFonts w:ascii="Times New Roman" w:eastAsia="Times New Roman" w:hAnsi="Times New Roman" w:cs="Times New Roman"/>
          <w:sz w:val="24"/>
          <w:szCs w:val="24"/>
        </w:rPr>
        <w:t xml:space="preserve"> acessado em 06/11/2016</w:t>
      </w:r>
    </w:p>
    <w:p w14:paraId="5B7B12EC"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MACHADO, R. (1988). </w:t>
      </w:r>
      <w:r w:rsidRPr="00244AE1">
        <w:rPr>
          <w:rFonts w:ascii="Times New Roman" w:eastAsia="Times New Roman" w:hAnsi="Times New Roman" w:cs="Times New Roman"/>
          <w:i/>
          <w:iCs/>
          <w:sz w:val="24"/>
          <w:szCs w:val="24"/>
        </w:rPr>
        <w:t>Ciência e saber: a trajetória da arqueologia de Michel Foucault</w:t>
      </w:r>
      <w:r w:rsidRPr="00244AE1">
        <w:rPr>
          <w:rFonts w:ascii="Times New Roman" w:eastAsia="Times New Roman" w:hAnsi="Times New Roman" w:cs="Times New Roman"/>
          <w:sz w:val="24"/>
          <w:szCs w:val="24"/>
        </w:rPr>
        <w:t>, 2</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1B91CA9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 (2001). </w:t>
      </w:r>
      <w:r w:rsidRPr="00244AE1">
        <w:rPr>
          <w:rFonts w:ascii="Times New Roman" w:eastAsia="Times New Roman" w:hAnsi="Times New Roman" w:cs="Times New Roman"/>
          <w:i/>
          <w:iCs/>
          <w:sz w:val="24"/>
          <w:szCs w:val="24"/>
        </w:rPr>
        <w:t>Por uma genealogia do poder</w:t>
      </w:r>
      <w:r w:rsidRPr="00244AE1">
        <w:rPr>
          <w:rFonts w:ascii="Times New Roman" w:eastAsia="Times New Roman" w:hAnsi="Times New Roman" w:cs="Times New Roman"/>
          <w:sz w:val="24"/>
          <w:szCs w:val="24"/>
        </w:rPr>
        <w:t xml:space="preserve"> in FOUCAULT, M; </w:t>
      </w:r>
      <w:r w:rsidRPr="00244AE1">
        <w:rPr>
          <w:rFonts w:ascii="Times New Roman" w:eastAsia="Times New Roman" w:hAnsi="Times New Roman" w:cs="Times New Roman"/>
          <w:i/>
          <w:iCs/>
          <w:sz w:val="24"/>
          <w:szCs w:val="24"/>
        </w:rPr>
        <w:t>A microfísica do poder</w:t>
      </w:r>
      <w:r w:rsidRPr="00244AE1">
        <w:rPr>
          <w:rFonts w:ascii="Times New Roman" w:eastAsia="Times New Roman" w:hAnsi="Times New Roman" w:cs="Times New Roman"/>
          <w:sz w:val="24"/>
          <w:szCs w:val="24"/>
        </w:rPr>
        <w:t>, 16</w:t>
      </w:r>
      <w:r w:rsidRPr="00244AE1">
        <w:rPr>
          <w:rFonts w:ascii="Times New Roman" w:eastAsia="Times New Roman" w:hAnsi="Times New Roman" w:cs="Times New Roman"/>
          <w:sz w:val="24"/>
          <w:szCs w:val="24"/>
          <w:vertAlign w:val="superscript"/>
        </w:rPr>
        <w:t>a</w:t>
      </w:r>
      <w:r w:rsidRPr="00244AE1">
        <w:rPr>
          <w:rFonts w:ascii="Times New Roman" w:eastAsia="Times New Roman" w:hAnsi="Times New Roman" w:cs="Times New Roman"/>
          <w:sz w:val="24"/>
          <w:szCs w:val="24"/>
        </w:rPr>
        <w:t xml:space="preserve"> ed., RJ: Graal</w:t>
      </w:r>
    </w:p>
    <w:p w14:paraId="4314E68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MALATESTA, E. (s/d). </w:t>
      </w:r>
      <w:r w:rsidRPr="00244AE1">
        <w:rPr>
          <w:rFonts w:ascii="Times New Roman" w:eastAsia="Times New Roman" w:hAnsi="Times New Roman" w:cs="Times New Roman"/>
          <w:i/>
          <w:iCs/>
          <w:sz w:val="24"/>
          <w:szCs w:val="24"/>
        </w:rPr>
        <w:t>Anarcocomunismo italiano</w:t>
      </w:r>
      <w:r w:rsidRPr="00244AE1">
        <w:rPr>
          <w:rFonts w:ascii="Times New Roman" w:eastAsia="Times New Roman" w:hAnsi="Times New Roman" w:cs="Times New Roman"/>
          <w:sz w:val="24"/>
          <w:szCs w:val="24"/>
        </w:rPr>
        <w:t>, SP: Luta Libertária</w:t>
      </w:r>
    </w:p>
    <w:p w14:paraId="13DDB32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_______________ (2009). </w:t>
      </w:r>
      <w:r w:rsidRPr="00244AE1">
        <w:rPr>
          <w:rFonts w:ascii="Times New Roman" w:eastAsia="Times New Roman" w:hAnsi="Times New Roman" w:cs="Times New Roman"/>
          <w:i/>
          <w:iCs/>
          <w:sz w:val="24"/>
          <w:szCs w:val="24"/>
        </w:rPr>
        <w:t>Anarquismo e anarquia</w:t>
      </w:r>
      <w:r w:rsidRPr="00244AE1">
        <w:rPr>
          <w:rFonts w:ascii="Times New Roman" w:eastAsia="Times New Roman" w:hAnsi="Times New Roman" w:cs="Times New Roman"/>
          <w:sz w:val="24"/>
          <w:szCs w:val="24"/>
        </w:rPr>
        <w:t>¸SP: Faísca</w:t>
      </w:r>
    </w:p>
    <w:p w14:paraId="3B2F73C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MARINI, R.M. (2005). </w:t>
      </w:r>
      <w:r w:rsidRPr="00244AE1">
        <w:rPr>
          <w:rFonts w:ascii="Times New Roman" w:eastAsia="Times New Roman" w:hAnsi="Times New Roman" w:cs="Times New Roman"/>
          <w:i/>
          <w:iCs/>
          <w:sz w:val="24"/>
          <w:szCs w:val="24"/>
        </w:rPr>
        <w:t>Desenvolvimento e dependência</w:t>
      </w:r>
      <w:r w:rsidRPr="00244AE1">
        <w:rPr>
          <w:rFonts w:ascii="Times New Roman" w:eastAsia="Times New Roman" w:hAnsi="Times New Roman" w:cs="Times New Roman"/>
          <w:sz w:val="24"/>
          <w:szCs w:val="24"/>
        </w:rPr>
        <w:t xml:space="preserve"> in TRASPADINI, R., STÉDILE, J.P.; </w:t>
      </w:r>
      <w:r w:rsidRPr="00244AE1">
        <w:rPr>
          <w:rFonts w:ascii="Times New Roman" w:eastAsia="Times New Roman" w:hAnsi="Times New Roman" w:cs="Times New Roman"/>
          <w:i/>
          <w:iCs/>
          <w:sz w:val="24"/>
          <w:szCs w:val="24"/>
        </w:rPr>
        <w:t>Ruy Mauro Marini — vida e obra</w:t>
      </w:r>
      <w:r w:rsidRPr="00244AE1">
        <w:rPr>
          <w:rFonts w:ascii="Times New Roman" w:eastAsia="Times New Roman" w:hAnsi="Times New Roman" w:cs="Times New Roman"/>
          <w:sz w:val="24"/>
          <w:szCs w:val="24"/>
        </w:rPr>
        <w:t>, SP: Expressão Popular</w:t>
      </w:r>
    </w:p>
    <w:p w14:paraId="267A70F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MAZZONI, M. (2016). </w:t>
      </w:r>
      <w:r w:rsidRPr="00244AE1">
        <w:rPr>
          <w:rFonts w:ascii="Times New Roman" w:eastAsia="Times New Roman" w:hAnsi="Times New Roman" w:cs="Times New Roman"/>
          <w:i/>
          <w:iCs/>
          <w:sz w:val="24"/>
          <w:szCs w:val="24"/>
        </w:rPr>
        <w:t>O anarquismo segundo duas abordagens contemporâneas</w:t>
      </w:r>
      <w:r w:rsidRPr="00244AE1">
        <w:rPr>
          <w:rFonts w:ascii="Times New Roman" w:eastAsia="Times New Roman" w:hAnsi="Times New Roman" w:cs="Times New Roman"/>
          <w:sz w:val="24"/>
          <w:szCs w:val="24"/>
        </w:rPr>
        <w:t xml:space="preserve"> s/l: ITHA, 2016, disponível em </w:t>
      </w:r>
      <w:hyperlink r:id="rId23" w:history="1">
        <w:r w:rsidRPr="00244AE1">
          <w:rPr>
            <w:rStyle w:val="Hyperlink"/>
            <w:rFonts w:ascii="Times New Roman" w:eastAsia="Times New Roman" w:hAnsi="Times New Roman" w:cs="Times New Roman"/>
            <w:sz w:val="24"/>
            <w:szCs w:val="24"/>
          </w:rPr>
          <w:t>https://ithanarquista.files.wordpress.com/2016/08/marcelo-de-marchi-mazzoni-o-anarquismo-segundo-duas-abordagens-contemporaneas.pdf</w:t>
        </w:r>
      </w:hyperlink>
      <w:r w:rsidRPr="00244AE1">
        <w:rPr>
          <w:rFonts w:ascii="Times New Roman" w:eastAsia="Times New Roman" w:hAnsi="Times New Roman" w:cs="Times New Roman"/>
          <w:sz w:val="24"/>
          <w:szCs w:val="24"/>
        </w:rPr>
        <w:t xml:space="preserve"> acessado em 06/11/2016</w:t>
      </w:r>
    </w:p>
    <w:p w14:paraId="424D7AD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NIETZSCHE, F. (1999). </w:t>
      </w:r>
      <w:r w:rsidRPr="00244AE1">
        <w:rPr>
          <w:rFonts w:ascii="Times New Roman" w:eastAsia="Times New Roman" w:hAnsi="Times New Roman" w:cs="Times New Roman"/>
          <w:i/>
          <w:iCs/>
          <w:sz w:val="24"/>
          <w:szCs w:val="24"/>
        </w:rPr>
        <w:t>Ecce homo</w:t>
      </w:r>
      <w:r w:rsidRPr="00244AE1">
        <w:rPr>
          <w:rFonts w:ascii="Times New Roman" w:eastAsia="Times New Roman" w:hAnsi="Times New Roman" w:cs="Times New Roman"/>
          <w:sz w:val="24"/>
          <w:szCs w:val="24"/>
        </w:rPr>
        <w:t xml:space="preserve"> </w:t>
      </w:r>
      <w:r w:rsidRPr="00244AE1">
        <w:rPr>
          <w:rFonts w:ascii="Times New Roman" w:eastAsia="Times New Roman" w:hAnsi="Times New Roman" w:cs="Times New Roman"/>
          <w:i/>
          <w:iCs/>
          <w:sz w:val="24"/>
          <w:szCs w:val="24"/>
        </w:rPr>
        <w:t>— como alguém se torna o que é</w:t>
      </w:r>
      <w:r w:rsidRPr="00244AE1">
        <w:rPr>
          <w:rFonts w:ascii="Times New Roman" w:eastAsia="Times New Roman" w:hAnsi="Times New Roman" w:cs="Times New Roman"/>
          <w:sz w:val="24"/>
          <w:szCs w:val="24"/>
        </w:rPr>
        <w:t>, SP: Cia das Letras</w:t>
      </w:r>
    </w:p>
    <w:p w14:paraId="316F7223"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PIAGET, J (1970). </w:t>
      </w:r>
      <w:r w:rsidRPr="00244AE1">
        <w:rPr>
          <w:rFonts w:ascii="Times New Roman" w:eastAsia="Times New Roman" w:hAnsi="Times New Roman" w:cs="Times New Roman"/>
          <w:i/>
          <w:iCs/>
          <w:sz w:val="24"/>
          <w:szCs w:val="24"/>
        </w:rPr>
        <w:t>O estruturalismo</w:t>
      </w:r>
      <w:r w:rsidRPr="00244AE1">
        <w:rPr>
          <w:rFonts w:ascii="Times New Roman" w:eastAsia="Times New Roman" w:hAnsi="Times New Roman" w:cs="Times New Roman"/>
          <w:sz w:val="24"/>
          <w:szCs w:val="24"/>
        </w:rPr>
        <w:t>, SP: DIFEL</w:t>
      </w:r>
    </w:p>
    <w:p w14:paraId="1B7A7A3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PINTO E SILVA, E. (2001). Ética, loucura e normalização, </w:t>
      </w:r>
      <w:r w:rsidRPr="00244AE1">
        <w:rPr>
          <w:rFonts w:ascii="Times New Roman" w:eastAsia="Times New Roman" w:hAnsi="Times New Roman" w:cs="Times New Roman"/>
          <w:i/>
          <w:iCs/>
          <w:sz w:val="24"/>
          <w:szCs w:val="24"/>
        </w:rPr>
        <w:t>Revista Psicologia Ciência e Profissão</w:t>
      </w:r>
      <w:r w:rsidRPr="00244AE1">
        <w:rPr>
          <w:rFonts w:ascii="Times New Roman" w:eastAsia="Times New Roman" w:hAnsi="Times New Roman" w:cs="Times New Roman"/>
          <w:sz w:val="24"/>
          <w:szCs w:val="24"/>
        </w:rPr>
        <w:t>, 21 (4), pp. 16-25</w:t>
      </w:r>
    </w:p>
    <w:p w14:paraId="44B0419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lang w:val="en-US"/>
        </w:rPr>
      </w:pPr>
      <w:r w:rsidRPr="00244AE1">
        <w:rPr>
          <w:rFonts w:ascii="Times New Roman" w:eastAsia="Times New Roman" w:hAnsi="Times New Roman" w:cs="Times New Roman"/>
          <w:sz w:val="24"/>
          <w:szCs w:val="24"/>
          <w:lang w:val="en-US"/>
        </w:rPr>
        <w:t xml:space="preserve">PORPHYRIUS (1947). </w:t>
      </w:r>
      <w:r w:rsidRPr="00244AE1">
        <w:rPr>
          <w:rFonts w:ascii="Times New Roman" w:eastAsia="Times New Roman" w:hAnsi="Times New Roman" w:cs="Times New Roman"/>
          <w:i/>
          <w:iCs/>
          <w:sz w:val="24"/>
          <w:szCs w:val="24"/>
          <w:lang w:val="en-US"/>
        </w:rPr>
        <w:t>Isagoge</w:t>
      </w:r>
      <w:r w:rsidRPr="00244AE1">
        <w:rPr>
          <w:rFonts w:ascii="Times New Roman" w:eastAsia="Times New Roman" w:hAnsi="Times New Roman" w:cs="Times New Roman"/>
          <w:sz w:val="24"/>
          <w:szCs w:val="24"/>
          <w:lang w:val="en-US"/>
        </w:rPr>
        <w:t>, Paris: Vrin</w:t>
      </w:r>
    </w:p>
    <w:p w14:paraId="38D1FA8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lang w:val="es-ES"/>
        </w:rPr>
        <w:t xml:space="preserve">RICHARD, V. (org.) (2007). </w:t>
      </w:r>
      <w:r w:rsidRPr="00244AE1">
        <w:rPr>
          <w:rFonts w:ascii="Times New Roman" w:eastAsia="Times New Roman" w:hAnsi="Times New Roman" w:cs="Times New Roman"/>
          <w:i/>
          <w:iCs/>
          <w:sz w:val="24"/>
          <w:szCs w:val="24"/>
          <w:lang w:val="es-ES"/>
        </w:rPr>
        <w:t>Malatesta — pensamiento y acción revolucionários</w:t>
      </w:r>
      <w:r w:rsidRPr="00244AE1">
        <w:rPr>
          <w:rFonts w:ascii="Times New Roman" w:eastAsia="Times New Roman" w:hAnsi="Times New Roman" w:cs="Times New Roman"/>
          <w:sz w:val="24"/>
          <w:szCs w:val="24"/>
          <w:lang w:val="es-ES"/>
        </w:rPr>
        <w:t>, Buenos Aires: Tupac</w:t>
      </w:r>
    </w:p>
    <w:p w14:paraId="6A83F1D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lang w:val="es-ES"/>
        </w:rPr>
        <w:t xml:space="preserve">TRAGTENBERG, M (2007). </w:t>
      </w:r>
      <w:r w:rsidRPr="00244AE1">
        <w:rPr>
          <w:rFonts w:ascii="Times New Roman" w:eastAsia="Times New Roman" w:hAnsi="Times New Roman" w:cs="Times New Roman"/>
          <w:i/>
          <w:iCs/>
          <w:sz w:val="24"/>
          <w:szCs w:val="24"/>
          <w:lang w:val="es-ES"/>
        </w:rPr>
        <w:t>A revolução russa, EDUNESP</w:t>
      </w:r>
    </w:p>
    <w:p w14:paraId="62E2A4AB"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TRASPADINI, R., STÉDILE, J.P. (2005). </w:t>
      </w:r>
      <w:r w:rsidRPr="00244AE1">
        <w:rPr>
          <w:rFonts w:ascii="Times New Roman" w:eastAsia="Times New Roman" w:hAnsi="Times New Roman" w:cs="Times New Roman"/>
          <w:i/>
          <w:iCs/>
          <w:sz w:val="24"/>
          <w:szCs w:val="24"/>
        </w:rPr>
        <w:t>Ruy Mauro Marini — vida e obra</w:t>
      </w:r>
      <w:r w:rsidRPr="00244AE1">
        <w:rPr>
          <w:rFonts w:ascii="Times New Roman" w:eastAsia="Times New Roman" w:hAnsi="Times New Roman" w:cs="Times New Roman"/>
          <w:sz w:val="24"/>
          <w:szCs w:val="24"/>
        </w:rPr>
        <w:t>, SP: Expressão Popular</w:t>
      </w:r>
    </w:p>
    <w:p w14:paraId="2BD417DA"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lastRenderedPageBreak/>
        <w:t xml:space="preserve">VACCARO, S. (s/d). </w:t>
      </w:r>
      <w:r w:rsidRPr="00244AE1">
        <w:rPr>
          <w:rFonts w:ascii="Times New Roman" w:eastAsia="Times New Roman" w:hAnsi="Times New Roman" w:cs="Times New Roman"/>
          <w:i/>
          <w:iCs/>
          <w:sz w:val="24"/>
          <w:szCs w:val="24"/>
        </w:rPr>
        <w:t>Foucault e o anarquismo</w:t>
      </w:r>
      <w:r w:rsidRPr="00244AE1">
        <w:rPr>
          <w:rFonts w:ascii="Times New Roman" w:eastAsia="Times New Roman" w:hAnsi="Times New Roman" w:cs="Times New Roman"/>
          <w:sz w:val="24"/>
          <w:szCs w:val="24"/>
        </w:rPr>
        <w:t xml:space="preserve"> disponível em </w:t>
      </w:r>
      <w:hyperlink r:id="rId24" w:history="1">
        <w:r w:rsidRPr="00244AE1">
          <w:rPr>
            <w:rStyle w:val="Hyperlink"/>
            <w:rFonts w:ascii="Times New Roman" w:eastAsia="Times New Roman" w:hAnsi="Times New Roman" w:cs="Times New Roman"/>
            <w:sz w:val="24"/>
            <w:szCs w:val="24"/>
          </w:rPr>
          <w:t>www.sabotagem.cjb.net</w:t>
        </w:r>
      </w:hyperlink>
      <w:r w:rsidRPr="00244AE1">
        <w:rPr>
          <w:rFonts w:ascii="Times New Roman" w:eastAsia="Times New Roman" w:hAnsi="Times New Roman" w:cs="Times New Roman"/>
          <w:sz w:val="24"/>
          <w:szCs w:val="24"/>
        </w:rPr>
        <w:t xml:space="preserve"> acessado em 31de outubro de 2016.</w:t>
      </w:r>
    </w:p>
    <w:p w14:paraId="02A3D6F9"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r w:rsidRPr="00244AE1">
        <w:rPr>
          <w:rFonts w:ascii="Times New Roman" w:eastAsia="Times New Roman" w:hAnsi="Times New Roman" w:cs="Times New Roman"/>
          <w:sz w:val="24"/>
          <w:szCs w:val="24"/>
        </w:rPr>
        <w:t xml:space="preserve">VEYNE, P. (1982); </w:t>
      </w:r>
      <w:proofErr w:type="gramStart"/>
      <w:r w:rsidRPr="00244AE1">
        <w:rPr>
          <w:rFonts w:ascii="Times New Roman" w:eastAsia="Times New Roman" w:hAnsi="Times New Roman" w:cs="Times New Roman"/>
          <w:i/>
          <w:iCs/>
          <w:sz w:val="24"/>
          <w:szCs w:val="24"/>
        </w:rPr>
        <w:t>Como</w:t>
      </w:r>
      <w:proofErr w:type="gramEnd"/>
      <w:r w:rsidRPr="00244AE1">
        <w:rPr>
          <w:rFonts w:ascii="Times New Roman" w:eastAsia="Times New Roman" w:hAnsi="Times New Roman" w:cs="Times New Roman"/>
          <w:i/>
          <w:iCs/>
          <w:sz w:val="24"/>
          <w:szCs w:val="24"/>
        </w:rPr>
        <w:t xml:space="preserve"> se escreve a história/Foucault revoluciona a história</w:t>
      </w:r>
      <w:r w:rsidRPr="00244AE1">
        <w:rPr>
          <w:rFonts w:ascii="Times New Roman" w:eastAsia="Times New Roman" w:hAnsi="Times New Roman" w:cs="Times New Roman"/>
          <w:sz w:val="24"/>
          <w:szCs w:val="24"/>
        </w:rPr>
        <w:t>, Brasília: EDUnB</w:t>
      </w:r>
    </w:p>
    <w:p w14:paraId="627ABA97"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19550C2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6EC0D23E"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764E81B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3CD2562B"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6C4074A1"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7FC7297D"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168F9AEC" w14:textId="77777777" w:rsidR="00244AE1" w:rsidRPr="00244AE1" w:rsidRDefault="00244AE1" w:rsidP="00244AE1">
      <w:pPr>
        <w:spacing w:after="200" w:line="360" w:lineRule="auto"/>
        <w:ind w:right="-1"/>
        <w:jc w:val="both"/>
        <w:rPr>
          <w:rFonts w:ascii="Times New Roman" w:eastAsia="Times New Roman" w:hAnsi="Times New Roman" w:cs="Times New Roman"/>
          <w:sz w:val="24"/>
          <w:szCs w:val="24"/>
        </w:rPr>
      </w:pPr>
    </w:p>
    <w:p w14:paraId="1E37029D" w14:textId="77777777" w:rsidR="00244AE1" w:rsidRDefault="00244AE1" w:rsidP="00244AE1">
      <w:pPr>
        <w:spacing w:after="200" w:line="360" w:lineRule="auto"/>
        <w:ind w:right="-1"/>
        <w:jc w:val="both"/>
        <w:rPr>
          <w:rFonts w:ascii="Times New Roman" w:eastAsia="Times New Roman" w:hAnsi="Times New Roman" w:cs="Times New Roman"/>
          <w:sz w:val="24"/>
          <w:szCs w:val="24"/>
        </w:rPr>
      </w:pPr>
    </w:p>
    <w:p w14:paraId="3F6C0153" w14:textId="77777777" w:rsidR="00851312" w:rsidRDefault="00851312" w:rsidP="00244AE1">
      <w:pPr>
        <w:spacing w:after="200" w:line="360" w:lineRule="auto"/>
        <w:ind w:right="-1"/>
        <w:jc w:val="both"/>
        <w:rPr>
          <w:rFonts w:ascii="Times New Roman" w:eastAsia="Times New Roman" w:hAnsi="Times New Roman" w:cs="Times New Roman"/>
          <w:sz w:val="24"/>
          <w:szCs w:val="24"/>
        </w:rPr>
      </w:pPr>
    </w:p>
    <w:p w14:paraId="2D7BA126" w14:textId="77777777" w:rsidR="00851312" w:rsidRDefault="00851312" w:rsidP="00244AE1">
      <w:pPr>
        <w:spacing w:after="200" w:line="360" w:lineRule="auto"/>
        <w:ind w:right="-1"/>
        <w:jc w:val="both"/>
        <w:rPr>
          <w:rFonts w:ascii="Times New Roman" w:eastAsia="Times New Roman" w:hAnsi="Times New Roman" w:cs="Times New Roman"/>
          <w:sz w:val="24"/>
          <w:szCs w:val="24"/>
        </w:rPr>
      </w:pPr>
    </w:p>
    <w:p w14:paraId="7AE1FA08" w14:textId="77777777" w:rsidR="00851312" w:rsidRDefault="00851312" w:rsidP="00244AE1">
      <w:pPr>
        <w:spacing w:after="200" w:line="360" w:lineRule="auto"/>
        <w:ind w:right="-1"/>
        <w:jc w:val="both"/>
        <w:rPr>
          <w:rFonts w:ascii="Times New Roman" w:eastAsia="Times New Roman" w:hAnsi="Times New Roman" w:cs="Times New Roman"/>
          <w:sz w:val="24"/>
          <w:szCs w:val="24"/>
        </w:rPr>
      </w:pPr>
    </w:p>
    <w:p w14:paraId="4A41ECD5" w14:textId="77777777" w:rsidR="002150E8" w:rsidRDefault="002150E8" w:rsidP="00244AE1">
      <w:pPr>
        <w:spacing w:after="200" w:line="360" w:lineRule="auto"/>
        <w:ind w:right="-1"/>
        <w:jc w:val="both"/>
        <w:rPr>
          <w:rFonts w:ascii="Times New Roman" w:eastAsia="Times New Roman" w:hAnsi="Times New Roman" w:cs="Times New Roman"/>
          <w:sz w:val="24"/>
          <w:szCs w:val="24"/>
        </w:rPr>
      </w:pPr>
    </w:p>
    <w:p w14:paraId="5E277ED2" w14:textId="77777777" w:rsidR="002150E8" w:rsidRDefault="002150E8" w:rsidP="00244AE1">
      <w:pPr>
        <w:spacing w:after="200" w:line="360" w:lineRule="auto"/>
        <w:ind w:right="-1"/>
        <w:jc w:val="both"/>
        <w:rPr>
          <w:rFonts w:ascii="Times New Roman" w:eastAsia="Times New Roman" w:hAnsi="Times New Roman" w:cs="Times New Roman"/>
          <w:sz w:val="24"/>
          <w:szCs w:val="24"/>
        </w:rPr>
      </w:pPr>
    </w:p>
    <w:p w14:paraId="2C391728" w14:textId="77777777" w:rsidR="002150E8" w:rsidRDefault="002150E8" w:rsidP="00244AE1">
      <w:pPr>
        <w:spacing w:after="200" w:line="360" w:lineRule="auto"/>
        <w:ind w:right="-1"/>
        <w:jc w:val="both"/>
        <w:rPr>
          <w:rFonts w:ascii="Times New Roman" w:eastAsia="Times New Roman" w:hAnsi="Times New Roman" w:cs="Times New Roman"/>
          <w:sz w:val="24"/>
          <w:szCs w:val="24"/>
        </w:rPr>
      </w:pPr>
    </w:p>
    <w:p w14:paraId="253A1D58" w14:textId="2EE38F51" w:rsidR="002150E8" w:rsidRDefault="002150E8" w:rsidP="00244AE1">
      <w:pPr>
        <w:spacing w:after="200" w:line="360" w:lineRule="auto"/>
        <w:ind w:right="-1"/>
        <w:jc w:val="both"/>
        <w:rPr>
          <w:rFonts w:ascii="Times New Roman" w:eastAsia="Times New Roman" w:hAnsi="Times New Roman" w:cs="Times New Roman"/>
          <w:sz w:val="24"/>
          <w:szCs w:val="24"/>
        </w:rPr>
      </w:pPr>
    </w:p>
    <w:p w14:paraId="6AFDEBEB" w14:textId="2A5079E1" w:rsidR="002220E8" w:rsidRDefault="002220E8" w:rsidP="00244AE1">
      <w:pPr>
        <w:spacing w:after="200" w:line="360" w:lineRule="auto"/>
        <w:ind w:right="-1"/>
        <w:jc w:val="both"/>
        <w:rPr>
          <w:rFonts w:ascii="Times New Roman" w:eastAsia="Times New Roman" w:hAnsi="Times New Roman" w:cs="Times New Roman"/>
          <w:sz w:val="24"/>
          <w:szCs w:val="24"/>
        </w:rPr>
      </w:pPr>
    </w:p>
    <w:p w14:paraId="6C60689B" w14:textId="4999E12B" w:rsidR="002220E8" w:rsidRDefault="002220E8" w:rsidP="00244AE1">
      <w:pPr>
        <w:spacing w:after="200" w:line="360" w:lineRule="auto"/>
        <w:ind w:right="-1"/>
        <w:jc w:val="both"/>
        <w:rPr>
          <w:rFonts w:ascii="Times New Roman" w:eastAsia="Times New Roman" w:hAnsi="Times New Roman" w:cs="Times New Roman"/>
          <w:sz w:val="24"/>
          <w:szCs w:val="24"/>
        </w:rPr>
      </w:pPr>
    </w:p>
    <w:p w14:paraId="2F6006F6" w14:textId="77777777" w:rsidR="002220E8" w:rsidRPr="00244AE1" w:rsidRDefault="002220E8" w:rsidP="00244AE1">
      <w:pPr>
        <w:spacing w:after="200" w:line="360" w:lineRule="auto"/>
        <w:ind w:right="-1"/>
        <w:jc w:val="both"/>
        <w:rPr>
          <w:rFonts w:ascii="Times New Roman" w:eastAsia="Times New Roman" w:hAnsi="Times New Roman" w:cs="Times New Roman"/>
          <w:sz w:val="24"/>
          <w:szCs w:val="24"/>
        </w:rPr>
      </w:pPr>
    </w:p>
    <w:p w14:paraId="41847B35" w14:textId="77777777" w:rsidR="00244AE1" w:rsidRPr="00244AE1" w:rsidRDefault="00244AE1" w:rsidP="00851312">
      <w:pPr>
        <w:spacing w:after="200" w:line="360" w:lineRule="auto"/>
        <w:ind w:firstLine="708"/>
        <w:jc w:val="center"/>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t>IMIGRAÇÃO E ANARQUISMO NO MOVIMENTO OPERÁRIO DURANTE A PRIMEIRA REPÚBLICA</w:t>
      </w:r>
      <w:r w:rsidRPr="00244AE1">
        <w:rPr>
          <w:rFonts w:ascii="Times New Roman" w:eastAsia="Times New Roman" w:hAnsi="Times New Roman" w:cs="Times New Roman"/>
          <w:b/>
          <w:color w:val="000000"/>
          <w:sz w:val="24"/>
          <w:szCs w:val="24"/>
          <w:vertAlign w:val="superscript"/>
          <w:lang w:eastAsia="pt-BR"/>
        </w:rPr>
        <w:footnoteReference w:id="104"/>
      </w:r>
    </w:p>
    <w:p w14:paraId="1277699D" w14:textId="77777777" w:rsidR="00E32DCE" w:rsidRPr="00E32DCE" w:rsidRDefault="00E32DCE" w:rsidP="00E32DCE">
      <w:pPr>
        <w:spacing w:after="0" w:line="240" w:lineRule="auto"/>
        <w:rPr>
          <w:rFonts w:ascii="Times New Roman" w:eastAsia="Times New Roman" w:hAnsi="Times New Roman" w:cs="Times New Roman"/>
          <w:sz w:val="24"/>
          <w:szCs w:val="24"/>
          <w:lang w:eastAsia="pt-BR"/>
        </w:rPr>
      </w:pPr>
    </w:p>
    <w:p w14:paraId="0A1B58D9" w14:textId="77777777" w:rsidR="00E32DCE" w:rsidRPr="00E32DCE" w:rsidRDefault="00E32DCE" w:rsidP="004C69B7">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b/>
          <w:bCs/>
          <w:i/>
          <w:iCs/>
          <w:color w:val="000000"/>
          <w:sz w:val="24"/>
          <w:szCs w:val="24"/>
          <w:lang w:eastAsia="pt-BR"/>
        </w:rPr>
        <w:t>Hamilton Santos</w:t>
      </w:r>
    </w:p>
    <w:p w14:paraId="562C21C5" w14:textId="77777777" w:rsidR="00E32DCE" w:rsidRPr="00E32DCE" w:rsidRDefault="00E32DCE" w:rsidP="004C69B7">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color w:val="000000"/>
          <w:sz w:val="24"/>
          <w:szCs w:val="24"/>
          <w:lang w:eastAsia="pt-BR"/>
        </w:rPr>
        <w:t>Doutorando em História Comparada pela UFRJ e membro pesquisador do Observatório do Trabalho na América Latina da UFRJ (OTAL-UFRJ). Mestre em História pela UNIVERSO. Pós-graduado em Ciências da Religião. Professor de História da Rede Estadual do Rio de Janeiro (SEEDUC-RJ). Publicou sua dissertação de mestrado sob o título “Anarquismo e a formação do Partido Comunista do Brasil”</w:t>
      </w:r>
    </w:p>
    <w:p w14:paraId="76187175" w14:textId="77777777" w:rsidR="002150E8" w:rsidRPr="00244AE1" w:rsidRDefault="002150E8" w:rsidP="00244AE1">
      <w:pPr>
        <w:spacing w:after="200" w:line="360" w:lineRule="auto"/>
        <w:jc w:val="right"/>
        <w:rPr>
          <w:rFonts w:ascii="Times New Roman" w:eastAsia="Times New Roman" w:hAnsi="Times New Roman" w:cs="Times New Roman"/>
          <w:color w:val="000000"/>
          <w:sz w:val="24"/>
          <w:szCs w:val="24"/>
          <w:lang w:eastAsia="pt-BR"/>
        </w:rPr>
      </w:pPr>
    </w:p>
    <w:p w14:paraId="22C58F1D" w14:textId="77777777" w:rsidR="00244AE1" w:rsidRPr="002150E8" w:rsidRDefault="00244AE1" w:rsidP="002150E8">
      <w:pPr>
        <w:spacing w:after="200" w:line="360" w:lineRule="auto"/>
        <w:jc w:val="both"/>
        <w:rPr>
          <w:rFonts w:ascii="Times New Roman" w:eastAsia="Times New Roman" w:hAnsi="Times New Roman" w:cs="Times New Roman"/>
          <w:b/>
          <w:color w:val="000000"/>
          <w:sz w:val="24"/>
          <w:szCs w:val="24"/>
          <w:lang w:eastAsia="pt-BR"/>
        </w:rPr>
      </w:pPr>
      <w:proofErr w:type="gramStart"/>
      <w:r w:rsidRPr="00244AE1">
        <w:rPr>
          <w:rFonts w:ascii="Times New Roman" w:eastAsia="Times New Roman" w:hAnsi="Times New Roman" w:cs="Times New Roman"/>
          <w:b/>
          <w:color w:val="000000"/>
          <w:sz w:val="24"/>
          <w:szCs w:val="24"/>
          <w:lang w:eastAsia="pt-BR"/>
        </w:rPr>
        <w:t>R</w:t>
      </w:r>
      <w:r w:rsidR="002150E8">
        <w:rPr>
          <w:rFonts w:ascii="Times New Roman" w:eastAsia="Times New Roman" w:hAnsi="Times New Roman" w:cs="Times New Roman"/>
          <w:b/>
          <w:color w:val="000000"/>
          <w:sz w:val="24"/>
          <w:szCs w:val="24"/>
          <w:lang w:eastAsia="pt-BR"/>
        </w:rPr>
        <w:t>esumo :</w:t>
      </w:r>
      <w:proofErr w:type="gramEnd"/>
      <w:r w:rsidR="002150E8">
        <w:rPr>
          <w:rFonts w:ascii="Times New Roman" w:eastAsia="Times New Roman" w:hAnsi="Times New Roman" w:cs="Times New Roman"/>
          <w:b/>
          <w:color w:val="000000"/>
          <w:sz w:val="24"/>
          <w:szCs w:val="24"/>
          <w:lang w:eastAsia="pt-BR"/>
        </w:rPr>
        <w:t xml:space="preserve"> </w:t>
      </w:r>
      <w:r w:rsidRPr="00244AE1">
        <w:rPr>
          <w:rFonts w:ascii="Times New Roman" w:eastAsia="Times New Roman" w:hAnsi="Times New Roman" w:cs="Times New Roman"/>
          <w:color w:val="000000"/>
          <w:sz w:val="24"/>
          <w:szCs w:val="24"/>
          <w:lang w:eastAsia="pt-BR"/>
        </w:rPr>
        <w:t xml:space="preserve">O objetivo do presente artigo é analisar a influência da imigração europeia na formação do movimento operário brasileiro durante as primeiras décadas da Primeira República. Parte dos imigrantes europeus trouxe as ideias anarquistas de organização operária para o Brasil. A força do anarquismo no movimento operário brasileiro foi intensa. Setores mais combativos do movimento operário eram formados por militantes que, em sua maioria, eram oriundos do anarquismo, da tendência do sindicalismo revolucionário. O </w:t>
      </w:r>
      <w:r w:rsidRPr="00244AE1">
        <w:rPr>
          <w:rFonts w:ascii="Times New Roman" w:eastAsia="Times New Roman" w:hAnsi="Times New Roman" w:cs="Times New Roman"/>
          <w:sz w:val="24"/>
          <w:szCs w:val="24"/>
          <w:lang w:eastAsia="pt-BR"/>
        </w:rPr>
        <w:t xml:space="preserve">sindicalismo revolucionário foi a principal força sindical de resistência à opressão oriunda </w:t>
      </w:r>
      <w:r w:rsidRPr="00244AE1">
        <w:rPr>
          <w:rFonts w:ascii="Times New Roman" w:eastAsia="Times New Roman" w:hAnsi="Times New Roman" w:cs="Times New Roman"/>
          <w:color w:val="000000"/>
          <w:sz w:val="24"/>
          <w:szCs w:val="24"/>
          <w:lang w:eastAsia="pt-BR"/>
        </w:rPr>
        <w:t xml:space="preserve">do incipiente capitalismo no Brasil. É importante conhecermos os alicerces do movimento sindical em nosso país, suas influências, através do estudo da formação da classe operária brasileira e suas estratégias de atuação. </w:t>
      </w:r>
    </w:p>
    <w:p w14:paraId="10101DE2" w14:textId="77777777" w:rsidR="00244AE1" w:rsidRPr="00244AE1" w:rsidRDefault="00244AE1" w:rsidP="00244AE1">
      <w:pPr>
        <w:spacing w:after="200" w:line="360" w:lineRule="auto"/>
        <w:ind w:firstLine="708"/>
        <w:jc w:val="both"/>
        <w:rPr>
          <w:rFonts w:ascii="Times New Roman" w:eastAsia="Times New Roman" w:hAnsi="Times New Roman" w:cs="Times New Roman"/>
          <w:color w:val="000000"/>
          <w:sz w:val="24"/>
          <w:szCs w:val="24"/>
          <w:lang w:eastAsia="pt-BR"/>
        </w:rPr>
      </w:pPr>
    </w:p>
    <w:p w14:paraId="5557327A" w14:textId="77777777" w:rsidR="00244AE1" w:rsidRPr="00244AE1" w:rsidRDefault="00244AE1" w:rsidP="00447EBC">
      <w:pPr>
        <w:spacing w:after="200" w:line="360" w:lineRule="auto"/>
        <w:jc w:val="both"/>
        <w:rPr>
          <w:rFonts w:ascii="Times New Roman" w:eastAsia="Times New Roman" w:hAnsi="Times New Roman" w:cs="Times New Roman"/>
          <w:b/>
          <w:color w:val="000000"/>
          <w:sz w:val="24"/>
          <w:szCs w:val="24"/>
          <w:lang w:val="en-US" w:eastAsia="pt-BR"/>
        </w:rPr>
      </w:pPr>
      <w:r w:rsidRPr="00244AE1">
        <w:rPr>
          <w:rFonts w:ascii="Times New Roman" w:eastAsia="Times New Roman" w:hAnsi="Times New Roman" w:cs="Times New Roman"/>
          <w:b/>
          <w:color w:val="000000"/>
          <w:sz w:val="24"/>
          <w:szCs w:val="24"/>
          <w:lang w:val="en-US" w:eastAsia="pt-BR"/>
        </w:rPr>
        <w:t>IMMIGRATION AND ANARCHISM IN THE WORKERS’ MOVEMENT DURING FIRST REPUBLIC</w:t>
      </w:r>
    </w:p>
    <w:p w14:paraId="4801A233" w14:textId="7A3ED543" w:rsidR="00244AE1" w:rsidRPr="00BE56FE" w:rsidRDefault="00244AE1" w:rsidP="00BE56FE">
      <w:pPr>
        <w:spacing w:after="200" w:line="360" w:lineRule="auto"/>
        <w:jc w:val="both"/>
        <w:rPr>
          <w:rFonts w:ascii="Times New Roman" w:eastAsia="Times New Roman" w:hAnsi="Times New Roman" w:cs="Times New Roman"/>
          <w:b/>
          <w:color w:val="000000"/>
          <w:sz w:val="24"/>
          <w:szCs w:val="24"/>
          <w:lang w:val="en-US" w:eastAsia="pt-BR"/>
        </w:rPr>
      </w:pPr>
      <w:proofErr w:type="gramStart"/>
      <w:r w:rsidRPr="00244AE1">
        <w:rPr>
          <w:rFonts w:ascii="Times New Roman" w:eastAsia="Times New Roman" w:hAnsi="Times New Roman" w:cs="Times New Roman"/>
          <w:b/>
          <w:color w:val="000000"/>
          <w:sz w:val="24"/>
          <w:szCs w:val="24"/>
          <w:lang w:val="en-US" w:eastAsia="pt-BR"/>
        </w:rPr>
        <w:t>A</w:t>
      </w:r>
      <w:r w:rsidR="00447EBC">
        <w:rPr>
          <w:rFonts w:ascii="Times New Roman" w:eastAsia="Times New Roman" w:hAnsi="Times New Roman" w:cs="Times New Roman"/>
          <w:b/>
          <w:color w:val="000000"/>
          <w:sz w:val="24"/>
          <w:szCs w:val="24"/>
          <w:lang w:val="en-US" w:eastAsia="pt-BR"/>
        </w:rPr>
        <w:t>bstract</w:t>
      </w:r>
      <w:r w:rsidR="00BE56FE">
        <w:rPr>
          <w:rFonts w:ascii="Times New Roman" w:eastAsia="Times New Roman" w:hAnsi="Times New Roman" w:cs="Times New Roman"/>
          <w:b/>
          <w:color w:val="000000"/>
          <w:sz w:val="24"/>
          <w:szCs w:val="24"/>
          <w:lang w:val="en-US" w:eastAsia="pt-BR"/>
        </w:rPr>
        <w:t xml:space="preserve"> :</w:t>
      </w:r>
      <w:proofErr w:type="gramEnd"/>
      <w:r w:rsidR="00BE56FE">
        <w:rPr>
          <w:rFonts w:ascii="Times New Roman" w:eastAsia="Times New Roman" w:hAnsi="Times New Roman" w:cs="Times New Roman"/>
          <w:b/>
          <w:color w:val="000000"/>
          <w:sz w:val="24"/>
          <w:szCs w:val="24"/>
          <w:lang w:val="en-US" w:eastAsia="pt-BR"/>
        </w:rPr>
        <w:t xml:space="preserve"> </w:t>
      </w:r>
      <w:r w:rsidRPr="00244AE1">
        <w:rPr>
          <w:rFonts w:ascii="Times New Roman" w:eastAsia="Times New Roman" w:hAnsi="Times New Roman" w:cs="Times New Roman"/>
          <w:color w:val="000000"/>
          <w:sz w:val="24"/>
          <w:szCs w:val="24"/>
          <w:lang w:val="en-US" w:eastAsia="pt-BR"/>
        </w:rPr>
        <w:t xml:space="preserve">This article aims to analyze the influence of the european immigration in the formation of the brazilian labor movement during the first decades of the First Republic. Part of the european immigrants brought the anarchist ideas of workers’ organization to Brazil. The strength of anarchism in the brazilian labor movement was intense. The most militant sectors of the labor movement were formed by militants who were mostly from </w:t>
      </w:r>
      <w:r w:rsidRPr="00244AE1">
        <w:rPr>
          <w:rFonts w:ascii="Times New Roman" w:eastAsia="Times New Roman" w:hAnsi="Times New Roman" w:cs="Times New Roman"/>
          <w:color w:val="000000"/>
          <w:sz w:val="24"/>
          <w:szCs w:val="24"/>
          <w:lang w:val="en-US" w:eastAsia="pt-BR"/>
        </w:rPr>
        <w:lastRenderedPageBreak/>
        <w:t>anarchism, from the tendency of revolutionary syndicalism. Revolutionary syndicalism was th</w:t>
      </w:r>
      <w:r w:rsidRPr="00244AE1">
        <w:rPr>
          <w:rFonts w:ascii="Times New Roman" w:eastAsia="Times New Roman" w:hAnsi="Times New Roman" w:cs="Times New Roman"/>
          <w:sz w:val="24"/>
          <w:szCs w:val="24"/>
          <w:lang w:val="en-US" w:eastAsia="pt-BR"/>
        </w:rPr>
        <w:t>e main trade union resistance force against oppression</w:t>
      </w:r>
      <w:r w:rsidRPr="00244AE1">
        <w:rPr>
          <w:rFonts w:ascii="Times New Roman" w:eastAsia="Times New Roman" w:hAnsi="Times New Roman" w:cs="Times New Roman"/>
          <w:color w:val="FF0000"/>
          <w:sz w:val="24"/>
          <w:szCs w:val="24"/>
          <w:lang w:val="en-US" w:eastAsia="pt-BR"/>
        </w:rPr>
        <w:t xml:space="preserve"> </w:t>
      </w:r>
      <w:r w:rsidRPr="00244AE1">
        <w:rPr>
          <w:rFonts w:ascii="Times New Roman" w:eastAsia="Times New Roman" w:hAnsi="Times New Roman" w:cs="Times New Roman"/>
          <w:sz w:val="24"/>
          <w:szCs w:val="24"/>
          <w:lang w:val="en-US" w:eastAsia="pt-BR"/>
        </w:rPr>
        <w:t>that arose from</w:t>
      </w:r>
      <w:r w:rsidRPr="00244AE1">
        <w:rPr>
          <w:rFonts w:ascii="Times New Roman" w:eastAsia="Times New Roman" w:hAnsi="Times New Roman" w:cs="Times New Roman"/>
          <w:color w:val="000000"/>
          <w:sz w:val="24"/>
          <w:szCs w:val="24"/>
          <w:lang w:val="en-US" w:eastAsia="pt-BR"/>
        </w:rPr>
        <w:t xml:space="preserve"> incipient capitalism in Brazil. It is important to know the foundations of the trade union movement in our country, its influences, through the study of the formation of the brazilian working class and its strategies of action.</w:t>
      </w:r>
    </w:p>
    <w:p w14:paraId="01B8512D" w14:textId="77777777" w:rsidR="00244AE1" w:rsidRPr="00244AE1" w:rsidRDefault="00244AE1" w:rsidP="008545B0">
      <w:pPr>
        <w:spacing w:after="200" w:line="360" w:lineRule="auto"/>
        <w:rPr>
          <w:rFonts w:ascii="Times New Roman" w:eastAsia="Times New Roman" w:hAnsi="Times New Roman" w:cs="Times New Roman"/>
          <w:color w:val="000000"/>
          <w:sz w:val="24"/>
          <w:szCs w:val="24"/>
          <w:lang w:eastAsia="pt-BR"/>
        </w:rPr>
      </w:pPr>
      <w:r w:rsidRPr="004C69B7">
        <w:rPr>
          <w:rFonts w:ascii="Times New Roman" w:eastAsia="Times New Roman" w:hAnsi="Times New Roman" w:cs="Times New Roman"/>
          <w:b/>
          <w:bCs/>
          <w:color w:val="000000"/>
          <w:sz w:val="24"/>
          <w:szCs w:val="24"/>
          <w:lang w:eastAsia="pt-BR"/>
        </w:rPr>
        <w:t>Palavres-chave</w:t>
      </w:r>
      <w:r w:rsidRPr="00244AE1">
        <w:rPr>
          <w:rFonts w:ascii="Times New Roman" w:eastAsia="Times New Roman" w:hAnsi="Times New Roman" w:cs="Times New Roman"/>
          <w:color w:val="000000"/>
          <w:sz w:val="24"/>
          <w:szCs w:val="24"/>
          <w:lang w:eastAsia="pt-BR"/>
        </w:rPr>
        <w:t>: imigração, anarquismo e movimento operário.</w:t>
      </w:r>
    </w:p>
    <w:p w14:paraId="170EEC3D" w14:textId="77777777" w:rsidR="00244AE1" w:rsidRPr="00244AE1" w:rsidRDefault="00244AE1" w:rsidP="002220E8">
      <w:pPr>
        <w:spacing w:after="200" w:line="360" w:lineRule="auto"/>
        <w:contextualSpacing/>
        <w:jc w:val="both"/>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t>I</w:t>
      </w:r>
      <w:r w:rsidR="002150E8">
        <w:rPr>
          <w:rFonts w:ascii="Times New Roman" w:eastAsia="Times New Roman" w:hAnsi="Times New Roman" w:cs="Times New Roman"/>
          <w:b/>
          <w:color w:val="000000"/>
          <w:sz w:val="24"/>
          <w:szCs w:val="24"/>
          <w:lang w:eastAsia="pt-BR"/>
        </w:rPr>
        <w:t>ntrodução</w:t>
      </w:r>
    </w:p>
    <w:p w14:paraId="32899F2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presente artigo tem o objetivo de analisar a influência da imigração europeia no movimento operário brasileiro durante as primeiras décadas da Primeira República, especificamente no Rio de Janeiro. A força do anarquismo no movimento operário brasileiro foi intensa. Setores mais combativos do movimento operário eram formados por militantes que em sua maioria eram oriundos do anarquismo, da tendência do sindicalismo revolucionário. O sindicalismo revolucionário foi a mais combativa e atuante estratégia do anarquismo no Brasil, a principal força sindical de resistência ao incipiente capitalismo em nosso país. </w:t>
      </w:r>
    </w:p>
    <w:p w14:paraId="64AC68F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Esboçaremos uma análise da formação da classe operária brasileira, para que possamos identificar os motivos que levaram muitos trabalhadores a apoiar e atuar a combativa concepção do sindicalismo revolucionário. Para alcançarmos tal entendimento será preciso analisar o surgimento das primeiras atividades industriais no Rio de Janeiro, ainda no século XIX. Da mesma forma não podemos ignorar o peso de séculos de escravidão enquanto obstáculo para a implementação de um incipiente modo de produção capitalista no Brasil e consequentemente na formação da classe operária brasileira.</w:t>
      </w:r>
    </w:p>
    <w:p w14:paraId="4543FA50" w14:textId="77777777" w:rsidR="00244AE1" w:rsidRPr="00244AE1" w:rsidRDefault="00244AE1" w:rsidP="002150E8">
      <w:pPr>
        <w:spacing w:after="0" w:line="360" w:lineRule="auto"/>
        <w:ind w:firstLine="709"/>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No Brasil, as primeiras indústrias surgiram nos anos finais do governo de D. Pedro II. Algumas incipientes fábricas surgiram no início do século XIX e tiveram curto tempo de vida e com elas surgiram também os primeiros operários. A formação do proletariado brasileiro diferiu do modelo clássico de formação de classe operária nas sociedades europeias, particularmente do proletariado inglês, analisado por Thompson em </w:t>
      </w:r>
      <w:r w:rsidRPr="00244AE1">
        <w:rPr>
          <w:rFonts w:ascii="Times New Roman" w:eastAsia="Times New Roman" w:hAnsi="Times New Roman" w:cs="Times New Roman"/>
          <w:i/>
          <w:color w:val="000000"/>
          <w:sz w:val="24"/>
          <w:szCs w:val="24"/>
          <w:lang w:eastAsia="pt-BR"/>
        </w:rPr>
        <w:t>A formação da classe operária inglesa</w:t>
      </w:r>
      <w:r w:rsidRPr="00244AE1">
        <w:rPr>
          <w:rFonts w:ascii="Times New Roman" w:eastAsia="Times New Roman" w:hAnsi="Times New Roman" w:cs="Times New Roman"/>
          <w:i/>
          <w:color w:val="000000"/>
          <w:sz w:val="24"/>
          <w:szCs w:val="24"/>
          <w:vertAlign w:val="superscript"/>
          <w:lang w:eastAsia="pt-BR"/>
        </w:rPr>
        <w:footnoteReference w:id="105"/>
      </w:r>
      <w:r w:rsidRPr="00244AE1">
        <w:rPr>
          <w:rFonts w:ascii="Times New Roman" w:eastAsia="Times New Roman" w:hAnsi="Times New Roman" w:cs="Times New Roman"/>
          <w:color w:val="000000"/>
          <w:sz w:val="24"/>
          <w:szCs w:val="24"/>
          <w:lang w:eastAsia="pt-BR"/>
        </w:rPr>
        <w:t xml:space="preserve">. </w:t>
      </w:r>
    </w:p>
    <w:p w14:paraId="5BE6B17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Em meados do século XVIII, a Inglaterra foi o primeiro país a realizar sua Revolução Industrial, seguida de Bélgica e França, que consolidou seu processo industrial no início do século XIX e depois a Alemanha, que iniciou sua industrialização meio século após os ingleses. Um mundo novo estava surgindo na Europa e os europeus se esforçaram para entendê-lo com os meios de análise que dispunham na época. Gradativamente foram sendo desenvolvidas as primeiras análises a respeito da sociedade capitalista e nelas era notória a diferenciação entre os proprietários dos meios de produção, os burgueses, e aqueles que dispunham unicamente da sua própria força de trabalho para vendê-la e assim alcançar a sobrevivência, o proletariado. </w:t>
      </w:r>
    </w:p>
    <w:p w14:paraId="3C3228D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Nos países que se industrializaram, foi notório o processo de enriquecimento da minoria que possuía os meios de produção em contraste com a grande massa de trabalhadores que vivia na miséria absoluta, intensamente explorados, obrigados a trabalhar 16 horas por dia em ambientes sem a mínima condição de higiene, escuros e insalubres, em que o risco à integridade física era uma constante. Dentro desse contexto de relação de produção, o único legislador do trabalho era o próprio patrão. </w:t>
      </w:r>
    </w:p>
    <w:p w14:paraId="6B55DCC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p>
    <w:p w14:paraId="5803B73A" w14:textId="77777777" w:rsidR="00244AE1" w:rsidRPr="00244AE1" w:rsidRDefault="00244AE1" w:rsidP="002220E8">
      <w:pPr>
        <w:spacing w:after="0" w:line="360" w:lineRule="auto"/>
        <w:jc w:val="both"/>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t>F</w:t>
      </w:r>
      <w:r w:rsidR="002150E8">
        <w:rPr>
          <w:rFonts w:ascii="Times New Roman" w:eastAsia="Times New Roman" w:hAnsi="Times New Roman" w:cs="Times New Roman"/>
          <w:b/>
          <w:color w:val="000000"/>
          <w:sz w:val="24"/>
          <w:szCs w:val="24"/>
          <w:lang w:eastAsia="pt-BR"/>
        </w:rPr>
        <w:t>ormação do Movimento Operário Brasileiro</w:t>
      </w:r>
    </w:p>
    <w:p w14:paraId="21990C8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Diferentemente da industrialização europeia, o processo de industrialização no Brasil foi gerado nas entranhas de uma sociedade escravista. O capital adquirido pela venda do café para o mercado internacional, explorando a mão de obra escrava, gerou capital suficiente para que os cafeicultores estimulassem o desenvolvimento das primeiras indústrias, que vão surgir aqui mais de um século após a Revolução Industrial na Inglaterra. </w:t>
      </w:r>
    </w:p>
    <w:p w14:paraId="078181F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Assim a formação do proletariado brasileiro foi um processo singular, resultado do surgimento e existência das primeiras fábricas no século XIX. Essa formação representou um processo gradativo de transição econômica pela qual o país estava passando. </w:t>
      </w:r>
    </w:p>
    <w:p w14:paraId="0E629C3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Os séculos de escravidão em nosso país influenciaram a formação e o comportamento dos trabalhadores brasileiros. Após o fim da escravidão, o comportamento do trabalhador continuou influenciado pelas relações geradas por ela. Exigir melhorias trabalhistas teria como consequência a possibilidade de ser violentamente punido pelos patrões. </w:t>
      </w:r>
    </w:p>
    <w:p w14:paraId="780EF2F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Outro desdobramento da escravidão para o trabalhador assalariado brasileiro foi a marginalização do trabalho. O mercado de trabalho no Brasil se desenvolveu entendendo-se o trabalho como uma atividade negativa e penosa. Dentro dessa realidade, era difícil para o trabalhador desenvolver alguma forma de conhecimento. Filho de trabalhador não estudava, trabalhava. Aqueles que não aceitassem trabalhar sem qualquer tipo de regulação do trabalho, caíam na marginalidade. Eram as únicas alternativas: aceitar a opressão trabalhista do incipiente sistema capitalista no Brasil ou ficar à margem da sociedade. O trabalhador brasileiro entrou, por isso, em um processo de alienação, não desenvolvendo consciência de classe necessária para lutar por seus direitos. </w:t>
      </w:r>
    </w:p>
    <w:p w14:paraId="708CE96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O Brasil viveu o sistema econômico da escravidão durante quase três séculos, fato que alicerçou o crescimento de uma sociedade capitalista com graves desequilíbrios sociais e econômicos. Nosso país, em meados do século XIX, ainda tinha sua produção baseada na exploração do trabalho escravo, do latifúndio de culturas agrícolas extensivas, com seus produtos destinados à exportação, sem centros urbanos desenvolvidos, nem população industrial ativa, com alto grau de adesão ao catolicismo e com altíssimo índice de analfabetismo da população brasileira. Dentro desse contexto, complexas ideias socialistas poderiam criar raízes e se desenvolver, como ideias revolucionárias - o anarquismo ou o marxismo, por exemplo - poderiam levar os trabalhadores brasileiros a se entender enquanto classe social explorada dentro de um sistema capitalista mundial.</w:t>
      </w:r>
    </w:p>
    <w:p w14:paraId="68E2898D"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Na segunda metade do século XIX, os países latino-americanos já haviam deixado de utilizar mão de obra escrava há dezenas de anos. Com exceção de Cuba e Haiti, o trabalho escravo nunca foi a base da produção dos países de colonização espanhola e francesa. O Brasil manteve a escravidão enquanto pôde, </w:t>
      </w:r>
      <w:proofErr w:type="gramStart"/>
      <w:r w:rsidRPr="00244AE1">
        <w:rPr>
          <w:rFonts w:ascii="Times New Roman" w:eastAsia="Times New Roman" w:hAnsi="Times New Roman" w:cs="Times New Roman"/>
          <w:color w:val="000000"/>
          <w:sz w:val="24"/>
          <w:szCs w:val="24"/>
          <w:lang w:eastAsia="pt-BR"/>
        </w:rPr>
        <w:t>porém</w:t>
      </w:r>
      <w:proofErr w:type="gramEnd"/>
      <w:r w:rsidRPr="00244AE1">
        <w:rPr>
          <w:rFonts w:ascii="Times New Roman" w:eastAsia="Times New Roman" w:hAnsi="Times New Roman" w:cs="Times New Roman"/>
          <w:color w:val="000000"/>
          <w:sz w:val="24"/>
          <w:szCs w:val="24"/>
          <w:lang w:eastAsia="pt-BR"/>
        </w:rPr>
        <w:t xml:space="preserve"> a abolição da escravidão era questão de tempo, estando o Brasil inserido em um mundo capitalista, que não abria mais espaço para a manutenção de relações de produção baseadas na escravidão. Antes da abolição, a intensidade da imigração de trabalhadores europeus que vieram trabalhar em nosso país foi pequena, bem menor do que o que o período após a proclamação da República. </w:t>
      </w:r>
    </w:p>
    <w:p w14:paraId="55C3D98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trabalhador brasileiro gradativamente desenvolveu uma consciência de classe necessária para o surgimento de um incipiente movimento operário. A ideologia católica era muito forte entre a população, mas assim como na história do movimento operário francês, o catolicismo não foi um empecilho para o desenvolvimento de uma consciência </w:t>
      </w:r>
      <w:r w:rsidRPr="00244AE1">
        <w:rPr>
          <w:rFonts w:ascii="Times New Roman" w:eastAsia="Times New Roman" w:hAnsi="Times New Roman" w:cs="Times New Roman"/>
          <w:color w:val="000000"/>
          <w:sz w:val="24"/>
          <w:szCs w:val="24"/>
          <w:lang w:eastAsia="pt-BR"/>
        </w:rPr>
        <w:lastRenderedPageBreak/>
        <w:t xml:space="preserve">de classe dos trabalhadores brasileiros.  Em algumas regiões isoladas dos sertões do Brasil, trabalhadores camponeses desenvolveram uma espécie de catolicismo popular que lhes permitiu interpretar o mundo, enfrentar o incipiente capitalismo e o governo republicano. Foram os episódios de Canudos na Bahia, as cidades santas do Contestado no Paraná e Santa Catarina, o Caldeirão no Ceará, entre outros. Entretanto, tais enfrentamentos contra o </w:t>
      </w:r>
      <w:r w:rsidRPr="00244AE1">
        <w:rPr>
          <w:rFonts w:ascii="Times New Roman" w:eastAsia="Times New Roman" w:hAnsi="Times New Roman" w:cs="Times New Roman"/>
          <w:i/>
          <w:color w:val="000000"/>
          <w:sz w:val="24"/>
          <w:szCs w:val="24"/>
          <w:lang w:eastAsia="pt-BR"/>
        </w:rPr>
        <w:t>status quo</w:t>
      </w:r>
      <w:r w:rsidRPr="00244AE1">
        <w:rPr>
          <w:rFonts w:ascii="Times New Roman" w:eastAsia="Times New Roman" w:hAnsi="Times New Roman" w:cs="Times New Roman"/>
          <w:color w:val="000000"/>
          <w:sz w:val="24"/>
          <w:szCs w:val="24"/>
          <w:lang w:eastAsia="pt-BR"/>
        </w:rPr>
        <w:t xml:space="preserve"> foram focos isolados em regiões distantes dos grandes centros urbanos brasileiros. Além do que eles não criaram condições para o desenvolvimento de uma consciência de classe do trabalhador brasileiro, principalmente por envolver camponeses excluídos e marginalizados. </w:t>
      </w:r>
    </w:p>
    <w:p w14:paraId="557D4B8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Dentro do gradativo processo de transição para uma sociedade capitalista, surgiram algumas poucas e efêmeras fábricas, baseadas em manufaturas, que não utilizavam trabalhadores assalariados, mas apenas trabalhadores escravos.</w:t>
      </w:r>
      <w:r w:rsidRPr="00244AE1">
        <w:rPr>
          <w:rFonts w:ascii="Times New Roman" w:eastAsia="Times New Roman" w:hAnsi="Times New Roman" w:cs="Times New Roman"/>
          <w:color w:val="000000"/>
          <w:sz w:val="24"/>
          <w:szCs w:val="24"/>
          <w:vertAlign w:val="superscript"/>
          <w:lang w:eastAsia="pt-BR"/>
        </w:rPr>
        <w:footnoteReference w:id="106"/>
      </w:r>
      <w:r w:rsidRPr="00244AE1">
        <w:rPr>
          <w:rFonts w:ascii="Times New Roman" w:eastAsia="Times New Roman" w:hAnsi="Times New Roman" w:cs="Times New Roman"/>
          <w:color w:val="000000"/>
          <w:sz w:val="24"/>
          <w:szCs w:val="24"/>
          <w:lang w:eastAsia="pt-BR"/>
        </w:rPr>
        <w:t xml:space="preserve"> No Rio de Janeiro existiu uma fábrica de velas que até 1857 só utilizou escravos. Depois empregou alguns trabalhadores imigrantes que recebiam a mesma alimentação e alojamento destinados aos escravos. </w:t>
      </w:r>
    </w:p>
    <w:p w14:paraId="42C6CC4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Alguns escravos chegaram a desenvolver alguma especialização em seu ofício.</w:t>
      </w:r>
      <w:r w:rsidRPr="00244AE1">
        <w:rPr>
          <w:rFonts w:ascii="Times New Roman" w:eastAsia="Times New Roman" w:hAnsi="Times New Roman" w:cs="Times New Roman"/>
          <w:color w:val="000000"/>
          <w:sz w:val="24"/>
          <w:szCs w:val="24"/>
          <w:vertAlign w:val="superscript"/>
          <w:lang w:eastAsia="pt-BR"/>
        </w:rPr>
        <w:footnoteReference w:id="107"/>
      </w:r>
      <w:r w:rsidRPr="00244AE1">
        <w:rPr>
          <w:rFonts w:ascii="Times New Roman" w:eastAsia="Times New Roman" w:hAnsi="Times New Roman" w:cs="Times New Roman"/>
          <w:color w:val="000000"/>
          <w:sz w:val="24"/>
          <w:szCs w:val="24"/>
          <w:lang w:eastAsia="pt-BR"/>
        </w:rPr>
        <w:t xml:space="preserve"> Tal fato representa justamente o processo gradativo de transição do modo de produção escravista para o capitalista.</w:t>
      </w:r>
    </w:p>
    <w:p w14:paraId="5F9700DA"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Também no século XIX existiram algumas poucas fábricas onde trabalhadores assalariados e escravos trabalharam juntos. Essas fábricas utilizavam os operários livres apenas para tarefas que necessitavam de trabalhadores especializados. Assim, em algumas poucas fábricas que surgiram no referido período, o trabalho pesado ainda era feito por escravos. Tal prática era comum em fábricas pertencentes a grupos nacionais ou estrangeiros no século XIX. A fábrica St. John del Rey Mining Co., constituída com capitais ingleses em 1830, utilizava escravos para trabalhos de perfuração de galerias de propriedade da referida empresa. Na Fábrica São Miguel, em Minas Gerais, 150 escravos trabalhavam com fundição em fornos e forjas no ano de 1867.</w:t>
      </w:r>
      <w:r w:rsidRPr="00244AE1">
        <w:rPr>
          <w:rFonts w:ascii="Times New Roman" w:eastAsia="Times New Roman" w:hAnsi="Times New Roman" w:cs="Times New Roman"/>
          <w:color w:val="000000"/>
          <w:sz w:val="24"/>
          <w:szCs w:val="24"/>
          <w:vertAlign w:val="superscript"/>
          <w:lang w:eastAsia="pt-BR"/>
        </w:rPr>
        <w:footnoteReference w:id="108"/>
      </w:r>
      <w:r w:rsidRPr="00244AE1">
        <w:rPr>
          <w:rFonts w:ascii="Times New Roman" w:eastAsia="Times New Roman" w:hAnsi="Times New Roman" w:cs="Times New Roman"/>
          <w:color w:val="000000"/>
          <w:sz w:val="24"/>
          <w:szCs w:val="24"/>
          <w:lang w:eastAsia="pt-BR"/>
        </w:rPr>
        <w:t xml:space="preserve"> A convivência de trabalhadores assalariados ao lado de escravos, que não recebiam salários por sua força </w:t>
      </w:r>
      <w:r w:rsidRPr="00244AE1">
        <w:rPr>
          <w:rFonts w:ascii="Times New Roman" w:eastAsia="Times New Roman" w:hAnsi="Times New Roman" w:cs="Times New Roman"/>
          <w:color w:val="000000"/>
          <w:sz w:val="24"/>
          <w:szCs w:val="24"/>
          <w:lang w:eastAsia="pt-BR"/>
        </w:rPr>
        <w:lastRenderedPageBreak/>
        <w:t>de trabalho e nem sequer possuíam a liberdade perante a lei, possibilitava a construção de uma luta operária por melhores condições de trabalho. Inicialmente alguns dos primeiros proletários brasileiros conviveram com trabalhadores escravizados que não recebiam pagamento pela exploração de sua força de trabalho.</w:t>
      </w:r>
    </w:p>
    <w:p w14:paraId="3F08953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Algumas das primeiras associações operárias tiveram relevante participação na luta abolicionista, pois a manutenção da escravidão no Brasil era um obstáculo para o proletariado lutar por suas reivindicações. Em 1853 a Imperial Associação Tipográfica Fluminense</w:t>
      </w:r>
      <w:r w:rsidRPr="00244AE1">
        <w:rPr>
          <w:rFonts w:ascii="Times New Roman" w:eastAsia="Times New Roman" w:hAnsi="Times New Roman" w:cs="Times New Roman"/>
          <w:color w:val="000000"/>
          <w:sz w:val="24"/>
          <w:szCs w:val="24"/>
          <w:vertAlign w:val="superscript"/>
          <w:lang w:eastAsia="pt-BR"/>
        </w:rPr>
        <w:footnoteReference w:id="109"/>
      </w:r>
      <w:r w:rsidRPr="00244AE1">
        <w:rPr>
          <w:rFonts w:ascii="Times New Roman" w:eastAsia="Times New Roman" w:hAnsi="Times New Roman" w:cs="Times New Roman"/>
          <w:color w:val="000000"/>
          <w:sz w:val="24"/>
          <w:szCs w:val="24"/>
          <w:lang w:eastAsia="pt-BR"/>
        </w:rPr>
        <w:t xml:space="preserve"> lutou pela libertação de um escravo tipógrafo do Rio de Janeiro.</w:t>
      </w:r>
      <w:r w:rsidRPr="00244AE1">
        <w:rPr>
          <w:rFonts w:ascii="Times New Roman" w:eastAsia="Times New Roman" w:hAnsi="Times New Roman" w:cs="Times New Roman"/>
          <w:color w:val="000000"/>
          <w:sz w:val="24"/>
          <w:szCs w:val="24"/>
          <w:vertAlign w:val="superscript"/>
          <w:lang w:eastAsia="pt-BR"/>
        </w:rPr>
        <w:footnoteReference w:id="110"/>
      </w:r>
      <w:r w:rsidRPr="00244AE1">
        <w:rPr>
          <w:rFonts w:ascii="Times New Roman" w:eastAsia="Times New Roman" w:hAnsi="Times New Roman" w:cs="Times New Roman"/>
          <w:color w:val="000000"/>
          <w:sz w:val="24"/>
          <w:szCs w:val="24"/>
          <w:lang w:eastAsia="pt-BR"/>
        </w:rPr>
        <w:t xml:space="preserve"> Fatos como esse aconteceram em diversas regiões do Brasil. </w:t>
      </w:r>
    </w:p>
    <w:p w14:paraId="4751600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grande maioria das primeiras indústrias no Brasil utilizava apenas trabalhadores assalariados. A companhia construtora de estradas de rodagens, pertencente a Mariano Procópio não utilizava escravos. Os trabalhadores dessa empresa que estavam na construção da estrada União e Indústria, ligando Petrópolis a Juiz de Fora, entre 1856 e 1861, foram imigrantes portugueses e alemães. Os contratos de produção da estrada proibiam a utilização da mão de obra escrava. </w:t>
      </w:r>
    </w:p>
    <w:p w14:paraId="17DCFE5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 construção de ferrovias ao longo do século XIX utilizou trabalhadores assalariados, pois em 1852 foi criada a lei que proibia a utilização de escravos na construção de ferrovias. Assim, os milhares de quilômetros de ferrovias, ligando diferentes regiões economicamente estratégicas, utilizaram o trabalho assalariado.</w:t>
      </w:r>
    </w:p>
    <w:p w14:paraId="14158894" w14:textId="77777777" w:rsidR="00244AE1" w:rsidRPr="00244AE1" w:rsidRDefault="00244AE1" w:rsidP="002150E8">
      <w:pPr>
        <w:spacing w:after="0" w:line="360" w:lineRule="auto"/>
        <w:ind w:firstLine="360"/>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No Brasil, as primeiras manifestações de organização dos trabalhadores aconteceram ainda na época do Império. Na década de 1830 surgiram as primeiras associações de trabalhadores influenciadas pelo mutualismo. Nelas os trabalhadores passaram a se organizar por conta própria, praticando ajuda mútua. Essas associações mutualistas foram surgindo em várias regiões do território nacional. </w:t>
      </w:r>
    </w:p>
    <w:p w14:paraId="192541C0"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1833 surgiu a Sociedade de Oficiais e Empregados da Marinha. Também surgiram a Sociedade Mecânica Aperfeiçoadora das Artes Beneficentes (1836), Sociedade de Auxílio Mútuo dos Empregados da Alfândega (1838), Associação Tipográfica Fluminense (1853), a Sociedade de Bem-Estar dos Cocheiros (1856), a </w:t>
      </w:r>
      <w:r w:rsidRPr="00244AE1">
        <w:rPr>
          <w:rFonts w:ascii="Times New Roman" w:eastAsia="Times New Roman" w:hAnsi="Times New Roman" w:cs="Times New Roman"/>
          <w:color w:val="000000"/>
          <w:sz w:val="24"/>
          <w:szCs w:val="24"/>
          <w:lang w:eastAsia="pt-BR"/>
        </w:rPr>
        <w:lastRenderedPageBreak/>
        <w:t>Associação Protetora dos Caixeiros (1858), a Associação de Auxílio Mútuo dos Empregados da Tipografia Nacional (1873) e a União Beneficente dos Operários da Construção Naval (1884).</w:t>
      </w:r>
      <w:r w:rsidRPr="00244AE1">
        <w:rPr>
          <w:rFonts w:ascii="Times New Roman" w:eastAsia="Times New Roman" w:hAnsi="Times New Roman" w:cs="Times New Roman"/>
          <w:color w:val="000000"/>
          <w:sz w:val="24"/>
          <w:szCs w:val="24"/>
          <w:vertAlign w:val="superscript"/>
          <w:lang w:eastAsia="pt-BR"/>
        </w:rPr>
        <w:footnoteReference w:id="111"/>
      </w:r>
    </w:p>
    <w:p w14:paraId="45582E2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As organizações mutualistas atuavam através da ajuda mútua entre seus associados, auxílio aos necessitados, socorro mútuo em caso de doenças e de acidentes, ajuda financeira na velhice ou em enterros de parentes próximos ao associado. Eram objetivos muito mais econômicos do que políticos. Essas primeiras organizações operárias inauguraram um longo e gradual processo de desenvolvimento como classe, embora não fosse seu objetivo primordial. Faltava a elas uma ideologia que organizasse a mobilização dos trabalhadores, proporcionasse uma interpretação do mundo ao qual estavam inseridos e lhes fornecesse uma estratégia de luta. </w:t>
      </w:r>
    </w:p>
    <w:p w14:paraId="62EE777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Organizações mutualistas também se desenvolveram na Europa. Surgiram como as primeiras formas de organização dos trabalhadores do Velho Mundo. O tipógrafo e pensador anarquista, o francês Pierre Proudhon, desenvolveu uma forma de mutualismo na qual os trabalhadores deveriam se organizar, ajudando-se mutuamente e utilizando essas associações de ajuda mútua como mecanismos de organização da sociedade. </w:t>
      </w:r>
    </w:p>
    <w:p w14:paraId="716AC58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 partir da década de 1870 surgiram as Ligas Operárias, uma nova forma de organização que se desenvolveu visando a resistência dos trabalhadores frente a seus patrões. Também ficaram conhecidas como associações de resistência. A ajuda mútua deixava de ser o foco principal dos trabalhadores, era necessário organizar-se coletivamente para reivindicar melhores condições de trabalho. Os trabalhadores começaram a paralisar suas atividades até que suas reivindicações fossem atendidas. Em outras palavras, passaram a fazer greve. Algumas associações mutualistas passaram a agir conforme as associações de resistência e essas duas formas de organização operária atuaram juntas durante todo o século XIX</w:t>
      </w:r>
      <w:r w:rsidRPr="00244AE1">
        <w:rPr>
          <w:rFonts w:ascii="Times New Roman" w:eastAsia="Times New Roman" w:hAnsi="Times New Roman" w:cs="Times New Roman"/>
          <w:color w:val="000000"/>
          <w:sz w:val="24"/>
          <w:szCs w:val="24"/>
          <w:vertAlign w:val="superscript"/>
          <w:lang w:eastAsia="pt-BR"/>
        </w:rPr>
        <w:footnoteReference w:id="112"/>
      </w:r>
      <w:r w:rsidRPr="00244AE1">
        <w:rPr>
          <w:rFonts w:ascii="Times New Roman" w:eastAsia="Times New Roman" w:hAnsi="Times New Roman" w:cs="Times New Roman"/>
          <w:color w:val="000000"/>
          <w:sz w:val="24"/>
          <w:szCs w:val="24"/>
          <w:lang w:eastAsia="pt-BR"/>
        </w:rPr>
        <w:t>. Os trabalhadores europeus também se organizavam através de associações de resistência, nova concepção de organização do anarquista russo Mikhail Bakunin.</w:t>
      </w:r>
    </w:p>
    <w:p w14:paraId="2828EB6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1857, trabalhadores acendedores de lampião no Rio de Janeiro tentaram se mobilizar para realizar um movimento grevista. Porém a primeira greve operária que se </w:t>
      </w:r>
      <w:r w:rsidRPr="00244AE1">
        <w:rPr>
          <w:rFonts w:ascii="Times New Roman" w:eastAsia="Times New Roman" w:hAnsi="Times New Roman" w:cs="Times New Roman"/>
          <w:color w:val="000000"/>
          <w:sz w:val="24"/>
          <w:szCs w:val="24"/>
          <w:lang w:eastAsia="pt-BR"/>
        </w:rPr>
        <w:lastRenderedPageBreak/>
        <w:t xml:space="preserve">tem registro no Brasil foi realizada pelos gráficos de três jornais do Rio de Janeiro, em 1858. Os trabalhadores do </w:t>
      </w:r>
      <w:r w:rsidRPr="00244AE1">
        <w:rPr>
          <w:rFonts w:ascii="Times New Roman" w:eastAsia="Times New Roman" w:hAnsi="Times New Roman" w:cs="Times New Roman"/>
          <w:i/>
          <w:color w:val="000000"/>
          <w:sz w:val="24"/>
          <w:szCs w:val="24"/>
          <w:lang w:eastAsia="pt-BR"/>
        </w:rPr>
        <w:t>Correio Mercantil</w:t>
      </w:r>
      <w:r w:rsidRPr="00244AE1">
        <w:rPr>
          <w:rFonts w:ascii="Times New Roman" w:eastAsia="Times New Roman" w:hAnsi="Times New Roman" w:cs="Times New Roman"/>
          <w:color w:val="000000"/>
          <w:sz w:val="24"/>
          <w:szCs w:val="24"/>
          <w:lang w:eastAsia="pt-BR"/>
        </w:rPr>
        <w:t xml:space="preserve">, </w:t>
      </w:r>
      <w:r w:rsidRPr="00244AE1">
        <w:rPr>
          <w:rFonts w:ascii="Times New Roman" w:eastAsia="Times New Roman" w:hAnsi="Times New Roman" w:cs="Times New Roman"/>
          <w:i/>
          <w:color w:val="000000"/>
          <w:sz w:val="24"/>
          <w:szCs w:val="24"/>
          <w:lang w:eastAsia="pt-BR"/>
        </w:rPr>
        <w:t>Jornal do Comércio</w:t>
      </w:r>
      <w:r w:rsidRPr="00244AE1">
        <w:rPr>
          <w:rFonts w:ascii="Times New Roman" w:eastAsia="Times New Roman" w:hAnsi="Times New Roman" w:cs="Times New Roman"/>
          <w:color w:val="000000"/>
          <w:sz w:val="24"/>
          <w:szCs w:val="24"/>
          <w:lang w:eastAsia="pt-BR"/>
        </w:rPr>
        <w:t xml:space="preserve"> e </w:t>
      </w:r>
      <w:r w:rsidRPr="00244AE1">
        <w:rPr>
          <w:rFonts w:ascii="Times New Roman" w:eastAsia="Times New Roman" w:hAnsi="Times New Roman" w:cs="Times New Roman"/>
          <w:i/>
          <w:color w:val="000000"/>
          <w:sz w:val="24"/>
          <w:szCs w:val="24"/>
          <w:lang w:eastAsia="pt-BR"/>
        </w:rPr>
        <w:t>Diário do Rio de Janeiro</w:t>
      </w:r>
      <w:r w:rsidRPr="00244AE1">
        <w:rPr>
          <w:rFonts w:ascii="Times New Roman" w:eastAsia="Times New Roman" w:hAnsi="Times New Roman" w:cs="Times New Roman"/>
          <w:color w:val="000000"/>
          <w:sz w:val="24"/>
          <w:szCs w:val="24"/>
          <w:lang w:eastAsia="pt-BR"/>
        </w:rPr>
        <w:t xml:space="preserve"> eram obrigados a trabalhar até quinze horas por dia nas oficinas dos referidos jornais, em condições inóspitas de trabalho. Os galpões onde funcionavam as gráficas eram mal iluminados, prejudicando a visão dos trabalhadores que exerciam seu ofício durante a noite e os salários eram baixos para o alto custo de vida. Exigiram aumento </w:t>
      </w:r>
      <w:proofErr w:type="gramStart"/>
      <w:r w:rsidRPr="00244AE1">
        <w:rPr>
          <w:rFonts w:ascii="Times New Roman" w:eastAsia="Times New Roman" w:hAnsi="Times New Roman" w:cs="Times New Roman"/>
          <w:color w:val="000000"/>
          <w:sz w:val="24"/>
          <w:szCs w:val="24"/>
          <w:lang w:eastAsia="pt-BR"/>
        </w:rPr>
        <w:t>salarial</w:t>
      </w:r>
      <w:proofErr w:type="gramEnd"/>
      <w:r w:rsidRPr="00244AE1">
        <w:rPr>
          <w:rFonts w:ascii="Times New Roman" w:eastAsia="Times New Roman" w:hAnsi="Times New Roman" w:cs="Times New Roman"/>
          <w:color w:val="000000"/>
          <w:sz w:val="24"/>
          <w:szCs w:val="24"/>
          <w:lang w:eastAsia="pt-BR"/>
        </w:rPr>
        <w:t xml:space="preserve"> mas não foram atendidos, sendo que não recebiam aumento há anos. No dia 9 de janeiro os gráficos dos três jornais cruzaram os braços. Durante os dias de greve, o único jornal que circulou no Rio de Janeiro foi o </w:t>
      </w:r>
      <w:r w:rsidRPr="00244AE1">
        <w:rPr>
          <w:rFonts w:ascii="Times New Roman" w:eastAsia="Times New Roman" w:hAnsi="Times New Roman" w:cs="Times New Roman"/>
          <w:i/>
          <w:color w:val="000000"/>
          <w:sz w:val="24"/>
          <w:szCs w:val="24"/>
          <w:lang w:eastAsia="pt-BR"/>
        </w:rPr>
        <w:t>Jornal dos Tipógrafos,</w:t>
      </w:r>
      <w:r w:rsidRPr="00244AE1">
        <w:rPr>
          <w:rFonts w:ascii="Times New Roman" w:eastAsia="Times New Roman" w:hAnsi="Times New Roman" w:cs="Times New Roman"/>
          <w:color w:val="000000"/>
          <w:sz w:val="24"/>
          <w:szCs w:val="24"/>
          <w:lang w:eastAsia="pt-BR"/>
        </w:rPr>
        <w:t xml:space="preserve"> utilizado pelos grevistas para explicar a população fluminense os motivos da paralisação</w:t>
      </w:r>
      <w:r w:rsidRPr="00244AE1">
        <w:rPr>
          <w:rFonts w:ascii="Times New Roman" w:eastAsia="Times New Roman" w:hAnsi="Times New Roman" w:cs="Times New Roman"/>
          <w:color w:val="000000"/>
          <w:sz w:val="24"/>
          <w:szCs w:val="24"/>
          <w:vertAlign w:val="superscript"/>
          <w:lang w:eastAsia="pt-BR"/>
        </w:rPr>
        <w:footnoteReference w:id="113"/>
      </w:r>
      <w:r w:rsidRPr="00244AE1">
        <w:rPr>
          <w:rFonts w:ascii="Times New Roman" w:eastAsia="Times New Roman" w:hAnsi="Times New Roman" w:cs="Times New Roman"/>
          <w:color w:val="000000"/>
          <w:sz w:val="24"/>
          <w:szCs w:val="24"/>
          <w:lang w:eastAsia="pt-BR"/>
        </w:rPr>
        <w:t xml:space="preserve">. </w:t>
      </w:r>
    </w:p>
    <w:p w14:paraId="44DC28D5"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w:t>
      </w:r>
      <w:r w:rsidRPr="00244AE1">
        <w:rPr>
          <w:rFonts w:ascii="Times New Roman" w:eastAsia="Times New Roman" w:hAnsi="Times New Roman" w:cs="Times New Roman"/>
          <w:i/>
          <w:color w:val="000000"/>
          <w:sz w:val="24"/>
          <w:szCs w:val="24"/>
          <w:lang w:eastAsia="pt-BR"/>
        </w:rPr>
        <w:t>Associação Tipográfica Fluminense</w:t>
      </w:r>
      <w:r w:rsidRPr="00244AE1">
        <w:rPr>
          <w:rFonts w:ascii="Times New Roman" w:eastAsia="Times New Roman" w:hAnsi="Times New Roman" w:cs="Times New Roman"/>
          <w:color w:val="000000"/>
          <w:sz w:val="24"/>
          <w:szCs w:val="24"/>
          <w:lang w:eastAsia="pt-BR"/>
        </w:rPr>
        <w:t xml:space="preserve"> apoiou o movimento e os patrões recorreram à polícia para pôr fim à greve. O ministro da Fazenda, Souza Franco, colocou as oficinas da Imprensa Nacional à disposição dos donos dos jornais paralisados, mas os operários gráficos do jornal governamental se recusaram a imprimi-los em solidariedade aos grevistas. Apesar de ter envolvido oitenta operários, o movimento não alcançou sucesso.</w:t>
      </w:r>
    </w:p>
    <w:p w14:paraId="4D175FBA"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1863 houve uma greve dos ferroviários na </w:t>
      </w:r>
      <w:r w:rsidRPr="00244AE1">
        <w:rPr>
          <w:rFonts w:ascii="Times New Roman" w:eastAsia="Times New Roman" w:hAnsi="Times New Roman" w:cs="Times New Roman"/>
          <w:i/>
          <w:color w:val="000000"/>
          <w:sz w:val="24"/>
          <w:szCs w:val="24"/>
          <w:lang w:eastAsia="pt-BR"/>
        </w:rPr>
        <w:t>Estrada de Ferro Pedro II,</w:t>
      </w:r>
      <w:r w:rsidRPr="00244AE1">
        <w:rPr>
          <w:rFonts w:ascii="Times New Roman" w:eastAsia="Times New Roman" w:hAnsi="Times New Roman" w:cs="Times New Roman"/>
          <w:color w:val="000000"/>
          <w:sz w:val="24"/>
          <w:szCs w:val="24"/>
          <w:lang w:eastAsia="pt-BR"/>
        </w:rPr>
        <w:t xml:space="preserve"> no Rio de Janeiro. Em Barra do Piraí, operários que trabalhavam na construção da referida ferrovia aderiram à greve que ganhou tamanha amplitude que o governo enviou para a cidade quatrocentos soldados da Guarda Nacional para acabar com o movimento.</w:t>
      </w:r>
    </w:p>
    <w:p w14:paraId="14C02F1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movimento operário desenvolveu inúmeras ferramentas para atrair e conscientizar os trabalhadores sobre a necessidade do desenvolvimento da consciência de classe </w:t>
      </w:r>
      <w:proofErr w:type="gramStart"/>
      <w:r w:rsidRPr="00244AE1">
        <w:rPr>
          <w:rFonts w:ascii="Times New Roman" w:eastAsia="Times New Roman" w:hAnsi="Times New Roman" w:cs="Times New Roman"/>
          <w:color w:val="000000"/>
          <w:sz w:val="24"/>
          <w:szCs w:val="24"/>
          <w:lang w:eastAsia="pt-BR"/>
        </w:rPr>
        <w:t>e também</w:t>
      </w:r>
      <w:proofErr w:type="gramEnd"/>
      <w:r w:rsidRPr="00244AE1">
        <w:rPr>
          <w:rFonts w:ascii="Times New Roman" w:eastAsia="Times New Roman" w:hAnsi="Times New Roman" w:cs="Times New Roman"/>
          <w:color w:val="000000"/>
          <w:sz w:val="24"/>
          <w:szCs w:val="24"/>
          <w:lang w:eastAsia="pt-BR"/>
        </w:rPr>
        <w:t xml:space="preserve"> a respeito das condições de trabalho a que eram submetidos.</w:t>
      </w:r>
    </w:p>
    <w:p w14:paraId="2BDAB0D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principal veículo de propaganda do movimento operário nesses primeiros anos foram os jornais. Uma quantidade relevante de jornais operários começou a circular. Os principais deles, que circularam no Rio de Janeiro nas décadas seguintes à greve de 1858 foram: </w:t>
      </w:r>
      <w:r w:rsidRPr="00244AE1">
        <w:rPr>
          <w:rFonts w:ascii="Times New Roman" w:eastAsia="Times New Roman" w:hAnsi="Times New Roman" w:cs="Times New Roman"/>
          <w:i/>
          <w:color w:val="000000"/>
          <w:sz w:val="24"/>
          <w:szCs w:val="24"/>
          <w:lang w:eastAsia="pt-BR"/>
        </w:rPr>
        <w:t>Echo dos Artistas</w:t>
      </w:r>
      <w:r w:rsidRPr="00244AE1">
        <w:rPr>
          <w:rFonts w:ascii="Times New Roman" w:eastAsia="Times New Roman" w:hAnsi="Times New Roman" w:cs="Times New Roman"/>
          <w:color w:val="000000"/>
          <w:sz w:val="24"/>
          <w:szCs w:val="24"/>
          <w:lang w:eastAsia="pt-BR"/>
        </w:rPr>
        <w:t xml:space="preserve"> (1861), </w:t>
      </w:r>
      <w:r w:rsidRPr="00244AE1">
        <w:rPr>
          <w:rFonts w:ascii="Times New Roman" w:eastAsia="Times New Roman" w:hAnsi="Times New Roman" w:cs="Times New Roman"/>
          <w:i/>
          <w:color w:val="000000"/>
          <w:sz w:val="24"/>
          <w:szCs w:val="24"/>
          <w:lang w:eastAsia="pt-BR"/>
        </w:rPr>
        <w:t>Revista Tipográfica</w:t>
      </w:r>
      <w:r w:rsidRPr="00244AE1">
        <w:rPr>
          <w:rFonts w:ascii="Times New Roman" w:eastAsia="Times New Roman" w:hAnsi="Times New Roman" w:cs="Times New Roman"/>
          <w:color w:val="000000"/>
          <w:sz w:val="24"/>
          <w:szCs w:val="24"/>
          <w:lang w:eastAsia="pt-BR"/>
        </w:rPr>
        <w:t xml:space="preserve"> (1864), </w:t>
      </w:r>
      <w:r w:rsidRPr="00244AE1">
        <w:rPr>
          <w:rFonts w:ascii="Times New Roman" w:eastAsia="Times New Roman" w:hAnsi="Times New Roman" w:cs="Times New Roman"/>
          <w:i/>
          <w:color w:val="000000"/>
          <w:sz w:val="24"/>
          <w:szCs w:val="24"/>
          <w:lang w:eastAsia="pt-BR"/>
        </w:rPr>
        <w:t>Gazeta dos Operários</w:t>
      </w:r>
      <w:r w:rsidRPr="00244AE1">
        <w:rPr>
          <w:rFonts w:ascii="Times New Roman" w:eastAsia="Times New Roman" w:hAnsi="Times New Roman" w:cs="Times New Roman"/>
          <w:color w:val="000000"/>
          <w:sz w:val="24"/>
          <w:szCs w:val="24"/>
          <w:lang w:eastAsia="pt-BR"/>
        </w:rPr>
        <w:t xml:space="preserve"> (1875) e </w:t>
      </w:r>
      <w:r w:rsidRPr="00244AE1">
        <w:rPr>
          <w:rFonts w:ascii="Times New Roman" w:eastAsia="Times New Roman" w:hAnsi="Times New Roman" w:cs="Times New Roman"/>
          <w:i/>
          <w:color w:val="000000"/>
          <w:sz w:val="24"/>
          <w:szCs w:val="24"/>
          <w:lang w:eastAsia="pt-BR"/>
        </w:rPr>
        <w:t>O Proletário</w:t>
      </w:r>
      <w:r w:rsidRPr="00244AE1">
        <w:rPr>
          <w:rFonts w:ascii="Times New Roman" w:eastAsia="Times New Roman" w:hAnsi="Times New Roman" w:cs="Times New Roman"/>
          <w:color w:val="000000"/>
          <w:sz w:val="24"/>
          <w:szCs w:val="24"/>
          <w:lang w:eastAsia="pt-BR"/>
        </w:rPr>
        <w:t xml:space="preserve"> (1878). Eram jornais pequenos, com tiragem reduzida e curto tempo de </w:t>
      </w:r>
      <w:proofErr w:type="gramStart"/>
      <w:r w:rsidRPr="00244AE1">
        <w:rPr>
          <w:rFonts w:ascii="Times New Roman" w:eastAsia="Times New Roman" w:hAnsi="Times New Roman" w:cs="Times New Roman"/>
          <w:color w:val="000000"/>
          <w:sz w:val="24"/>
          <w:szCs w:val="24"/>
          <w:lang w:eastAsia="pt-BR"/>
        </w:rPr>
        <w:t>circulação</w:t>
      </w:r>
      <w:proofErr w:type="gramEnd"/>
      <w:r w:rsidRPr="00244AE1">
        <w:rPr>
          <w:rFonts w:ascii="Times New Roman" w:eastAsia="Times New Roman" w:hAnsi="Times New Roman" w:cs="Times New Roman"/>
          <w:color w:val="000000"/>
          <w:sz w:val="24"/>
          <w:szCs w:val="24"/>
          <w:lang w:eastAsia="pt-BR"/>
        </w:rPr>
        <w:t xml:space="preserve"> mas sua importância não pode ser desprezada.</w:t>
      </w:r>
    </w:p>
    <w:p w14:paraId="7FBEDFC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Apesar da predominância do mutualismo nos anos iniciais de formação do proletariado brasileiro, havia também as Ligas Operárias de Resistência, ligadas ao proletariado mundial. Em 1871 surgiu a </w:t>
      </w:r>
      <w:r w:rsidRPr="00244AE1">
        <w:rPr>
          <w:rFonts w:ascii="Times New Roman" w:eastAsia="Times New Roman" w:hAnsi="Times New Roman" w:cs="Times New Roman"/>
          <w:i/>
          <w:color w:val="000000"/>
          <w:sz w:val="24"/>
          <w:szCs w:val="24"/>
          <w:lang w:eastAsia="pt-BR"/>
        </w:rPr>
        <w:t>Liga Operária do Rio de Janeiro</w:t>
      </w:r>
      <w:r w:rsidRPr="00244AE1">
        <w:rPr>
          <w:rFonts w:ascii="Times New Roman" w:eastAsia="Times New Roman" w:hAnsi="Times New Roman" w:cs="Times New Roman"/>
          <w:color w:val="000000"/>
          <w:sz w:val="24"/>
          <w:szCs w:val="24"/>
          <w:lang w:eastAsia="pt-BR"/>
        </w:rPr>
        <w:t>, que se tornou uma sociedade mutualista em 1878.</w:t>
      </w:r>
      <w:r w:rsidRPr="00244AE1">
        <w:rPr>
          <w:rFonts w:ascii="Times New Roman" w:eastAsia="Times New Roman" w:hAnsi="Times New Roman" w:cs="Times New Roman"/>
          <w:color w:val="000000"/>
          <w:sz w:val="24"/>
          <w:szCs w:val="24"/>
          <w:vertAlign w:val="superscript"/>
          <w:lang w:eastAsia="pt-BR"/>
        </w:rPr>
        <w:footnoteReference w:id="114"/>
      </w:r>
      <w:r w:rsidRPr="00244AE1">
        <w:rPr>
          <w:rFonts w:ascii="Times New Roman" w:eastAsia="Times New Roman" w:hAnsi="Times New Roman" w:cs="Times New Roman"/>
          <w:color w:val="000000"/>
          <w:sz w:val="24"/>
          <w:szCs w:val="24"/>
          <w:lang w:eastAsia="pt-BR"/>
        </w:rPr>
        <w:t xml:space="preserve"> Surgem outros jornais operários nesse período, porém o processo de formação da classe operária, antes de 1888, se desenvolvia muito lentamente. </w:t>
      </w:r>
    </w:p>
    <w:p w14:paraId="589BAD8F"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p>
    <w:p w14:paraId="675E1FE3" w14:textId="11F7EB21" w:rsidR="005931F0" w:rsidRDefault="00244AE1" w:rsidP="002220E8">
      <w:pPr>
        <w:spacing w:after="0" w:line="360" w:lineRule="auto"/>
        <w:jc w:val="both"/>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t>A I</w:t>
      </w:r>
      <w:r w:rsidR="005931F0">
        <w:rPr>
          <w:rFonts w:ascii="Times New Roman" w:eastAsia="Times New Roman" w:hAnsi="Times New Roman" w:cs="Times New Roman"/>
          <w:b/>
          <w:color w:val="000000"/>
          <w:sz w:val="24"/>
          <w:szCs w:val="24"/>
          <w:lang w:eastAsia="pt-BR"/>
        </w:rPr>
        <w:t>migração e o Anarquismo no Brasil</w:t>
      </w:r>
    </w:p>
    <w:p w14:paraId="6F0409B5" w14:textId="77777777" w:rsidR="002220E8" w:rsidRPr="005931F0" w:rsidRDefault="002220E8" w:rsidP="002220E8">
      <w:pPr>
        <w:spacing w:after="0" w:line="360" w:lineRule="auto"/>
        <w:jc w:val="both"/>
        <w:rPr>
          <w:rFonts w:ascii="Times New Roman" w:eastAsia="Times New Roman" w:hAnsi="Times New Roman" w:cs="Times New Roman"/>
          <w:b/>
          <w:color w:val="000000"/>
          <w:sz w:val="24"/>
          <w:szCs w:val="24"/>
          <w:lang w:eastAsia="pt-BR"/>
        </w:rPr>
      </w:pPr>
    </w:p>
    <w:p w14:paraId="02144130" w14:textId="2DE8DD9D" w:rsidR="00244AE1" w:rsidRPr="00244AE1" w:rsidRDefault="00244AE1" w:rsidP="00E06658">
      <w:pPr>
        <w:spacing w:after="0" w:line="360" w:lineRule="auto"/>
        <w:ind w:firstLine="708"/>
        <w:jc w:val="both"/>
        <w:rPr>
          <w:rFonts w:ascii="Times New Roman" w:eastAsia="Times New Roman" w:hAnsi="Times New Roman" w:cs="Times New Roman"/>
          <w:color w:val="000000"/>
          <w:sz w:val="24"/>
          <w:szCs w:val="24"/>
          <w:lang w:eastAsia="pt-BR"/>
        </w:rPr>
      </w:pPr>
      <w:r w:rsidRPr="00E06658">
        <w:rPr>
          <w:rFonts w:ascii="Times New Roman" w:eastAsia="Times New Roman" w:hAnsi="Times New Roman" w:cs="Times New Roman"/>
          <w:color w:val="000000"/>
          <w:sz w:val="24"/>
          <w:szCs w:val="24"/>
          <w:lang w:eastAsia="pt-BR"/>
        </w:rPr>
        <w:t>Volto a lembrar que o trabalhador no Brasil era intensamente explorado e o governo italiano alertava seus conterrâneos sobre essas difíceis condições. Assim que os imigrantes desembarcavam no Brasil, recebiam nos portos de chegada um guia chamado “</w:t>
      </w:r>
      <w:r w:rsidRPr="00E06658">
        <w:rPr>
          <w:rFonts w:ascii="Times New Roman" w:eastAsia="Times New Roman" w:hAnsi="Times New Roman" w:cs="Times New Roman"/>
          <w:i/>
          <w:color w:val="000000"/>
          <w:sz w:val="24"/>
          <w:szCs w:val="24"/>
          <w:lang w:eastAsia="pt-BR"/>
        </w:rPr>
        <w:t>Avvertenze per l’emigrante italiano</w:t>
      </w:r>
      <w:r w:rsidRPr="00E06658">
        <w:rPr>
          <w:rFonts w:ascii="Times New Roman" w:eastAsia="Times New Roman" w:hAnsi="Times New Roman" w:cs="Times New Roman"/>
          <w:color w:val="000000"/>
          <w:sz w:val="24"/>
          <w:szCs w:val="24"/>
          <w:lang w:eastAsia="pt-BR"/>
        </w:rPr>
        <w:t xml:space="preserve">”, de dezesseis páginas, produzidos pelo </w:t>
      </w:r>
      <w:r w:rsidRPr="00E06658">
        <w:rPr>
          <w:rFonts w:ascii="Times New Roman" w:eastAsia="Times New Roman" w:hAnsi="Times New Roman" w:cs="Times New Roman"/>
          <w:i/>
          <w:color w:val="000000"/>
          <w:sz w:val="24"/>
          <w:szCs w:val="24"/>
          <w:lang w:eastAsia="pt-BR"/>
        </w:rPr>
        <w:t>Commissariato Generale dell’Emigrazione</w:t>
      </w:r>
      <w:r w:rsidRPr="00E06658">
        <w:rPr>
          <w:rFonts w:ascii="Times New Roman" w:eastAsia="Times New Roman" w:hAnsi="Times New Roman" w:cs="Times New Roman"/>
          <w:color w:val="000000"/>
          <w:sz w:val="24"/>
          <w:szCs w:val="24"/>
          <w:lang w:eastAsia="pt-BR"/>
        </w:rPr>
        <w:t xml:space="preserve">. Em suas primeiras páginas, alertava os conterrâneos sobre os perigos que os rondava em terras brasileiras. Nele havia uma lista de representações diplomáticas italianas em diversas regiões do Brasil e mundo afora: “Mantenha sua dignidade de trabalhador e de italiano: não aceite ocupação humilde demais ou pagamento inferior ao do trabalhador em nosso país”. (Magalhães, 2012:34). </w:t>
      </w:r>
    </w:p>
    <w:p w14:paraId="5E15852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março de 1902 o governo italiano proibiu a imigração de seus cidadãos para o Brasil, através do Decreto Primitti, alegando maus tratos aos seus cidadãos, por parte de patrões e cafeicultores brasileiros. Tal proibição se deu após muitas queixas de imigrantes italianos </w:t>
      </w:r>
      <w:proofErr w:type="gramStart"/>
      <w:r w:rsidRPr="00244AE1">
        <w:rPr>
          <w:rFonts w:ascii="Times New Roman" w:eastAsia="Times New Roman" w:hAnsi="Times New Roman" w:cs="Times New Roman"/>
          <w:color w:val="000000"/>
          <w:sz w:val="24"/>
          <w:szCs w:val="24"/>
          <w:lang w:eastAsia="pt-BR"/>
        </w:rPr>
        <w:t>e também</w:t>
      </w:r>
      <w:proofErr w:type="gramEnd"/>
      <w:r w:rsidRPr="00244AE1">
        <w:rPr>
          <w:rFonts w:ascii="Times New Roman" w:eastAsia="Times New Roman" w:hAnsi="Times New Roman" w:cs="Times New Roman"/>
          <w:color w:val="000000"/>
          <w:sz w:val="24"/>
          <w:szCs w:val="24"/>
          <w:lang w:eastAsia="pt-BR"/>
        </w:rPr>
        <w:t xml:space="preserve"> da percepção de que o governo brasileiro em nada se esforçava para frear a intensa exploração a que estavam submetidos os trabalhadores estrangeiros.</w:t>
      </w:r>
      <w:r w:rsidRPr="00244AE1">
        <w:rPr>
          <w:rFonts w:ascii="Times New Roman" w:eastAsia="Times New Roman" w:hAnsi="Times New Roman" w:cs="Times New Roman"/>
          <w:color w:val="000000"/>
          <w:sz w:val="24"/>
          <w:szCs w:val="24"/>
          <w:vertAlign w:val="superscript"/>
          <w:lang w:eastAsia="pt-BR"/>
        </w:rPr>
        <w:footnoteReference w:id="115"/>
      </w:r>
    </w:p>
    <w:p w14:paraId="7AA15A1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Tal fato nos permite entender como os trabalhadores eram tratados no Brasil. Esse tratamento criou as condições para o surgimento de um forte movimento anarquista, principalmente através da vertente do sindicalismo revolucionário, nas duas primeiras décadas do século XX. Entender esse período é fundamental para a compreensão sobre o </w:t>
      </w:r>
      <w:r w:rsidRPr="00244AE1">
        <w:rPr>
          <w:rFonts w:ascii="Times New Roman" w:eastAsia="Times New Roman" w:hAnsi="Times New Roman" w:cs="Times New Roman"/>
          <w:color w:val="000000"/>
          <w:sz w:val="24"/>
          <w:szCs w:val="24"/>
          <w:lang w:eastAsia="pt-BR"/>
        </w:rPr>
        <w:lastRenderedPageBreak/>
        <w:t>surgimento do Partido Comunista do Brasil em março de 1922, justamente no início da década que se seguiu às duas décadas de apogeu do movimento libertário.</w:t>
      </w:r>
    </w:p>
    <w:p w14:paraId="1B0B2FE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Esse foi o contexto político, econômico e social no qual a classe operária brasileira estava se formando. Analisando-o é possível entender como o anarquismo ganhou grande força e se tornou a principal ideologia proletária. No entanto não podemos cair na armadilha de considerar o anarquismo como a única ideologia capaz de unir o proletariado brasileiro. Podemos sim entender como ele se tornou tão forte no Brasil a ponto de assombrar as autoridades que temiam a emancipação dos trabalhadores.</w:t>
      </w:r>
    </w:p>
    <w:p w14:paraId="17398644" w14:textId="77777777" w:rsidR="00244AE1" w:rsidRPr="00244AE1" w:rsidRDefault="00244AE1" w:rsidP="002150E8">
      <w:pPr>
        <w:spacing w:after="0" w:line="360" w:lineRule="auto"/>
        <w:ind w:firstLine="360"/>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No Brasil, na segunda metade do século XIX, ainda durante a escravidão, a imigração estrangeira foi baixa, pois as denúncias que chegavam à Europa falavam das difíceis condições de trabalho e da escravidão que continuava existindo em nosso país. Preferiam reconstruir suas vidas em outros países latino-americanos e principalmente nos Estados Unidos da América. </w:t>
      </w:r>
    </w:p>
    <w:p w14:paraId="14E08DE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 Inglaterra se esforçou para sufocar a escravidão no Brasil, através da imposição do fim do Tráfico Negreiro, o que só se deu depois da Lei Eusébio de Queiróz em 1850. A Inglaterra pretendia conquistar novos mercados consumidores ao redor do mundo. Após a abolição da escravidão no Brasil em 1888, o número de trabalhadores imigrantes que vieram para o Brasil aumentou consideravelmente, pois havia necessidade de mão de obra. Houve também uma expressiva expansão urbana. Desta forma, os imigrantes foram substituindo os antigos escravos nas diversas atividades econômicas, até mesmo nas mais árduas, e os antigos cativos ficaram à margem da sociedade capitalista, pois careciam de especialização e conhecimento.</w:t>
      </w:r>
    </w:p>
    <w:p w14:paraId="05B0E7C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Vários dos contratos firmados na Europa para a vinda de trabalhadores imigrantes tinham entre outras cláusulas a indicação para trabalhar nas cidades, principalmente em obras públicas. Era preciso manter os escravos na lavoura, que passava por um período de escassez de capitais e de mão de obra, de acordo com o Congresso Agrícola de 1878.</w:t>
      </w:r>
      <w:r w:rsidRPr="00244AE1">
        <w:rPr>
          <w:rFonts w:ascii="Times New Roman" w:eastAsia="Times New Roman" w:hAnsi="Times New Roman" w:cs="Times New Roman"/>
          <w:color w:val="000000"/>
          <w:sz w:val="24"/>
          <w:szCs w:val="24"/>
          <w:vertAlign w:val="superscript"/>
          <w:lang w:eastAsia="pt-BR"/>
        </w:rPr>
        <w:footnoteReference w:id="116"/>
      </w:r>
    </w:p>
    <w:p w14:paraId="6EB7B53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Inicialmente as elites brasileiras preferiram trazer trabalhadores imigrantes provenientes da Itália, Portugal e Espanha devido à facilidade de aclimatação, facilidade com o idioma e religião católica em comum. Outro fator foi a necessidade, por parte das autoridades brasileiras, de embranquecer a população, inspiradas nas teorias racistas da </w:t>
      </w:r>
      <w:r w:rsidRPr="00244AE1">
        <w:rPr>
          <w:rFonts w:ascii="Times New Roman" w:eastAsia="Times New Roman" w:hAnsi="Times New Roman" w:cs="Times New Roman"/>
          <w:color w:val="000000"/>
          <w:sz w:val="24"/>
          <w:szCs w:val="24"/>
          <w:lang w:eastAsia="pt-BR"/>
        </w:rPr>
        <w:lastRenderedPageBreak/>
        <w:t xml:space="preserve">época. Em muitos países da América houve tentativas similares. No processo de imigração também vieram trabalhadores de outros países europeus, porém não tiveram tanta representatividade quanto italianos, portugueses e espanhóis. </w:t>
      </w:r>
    </w:p>
    <w:p w14:paraId="18B02AF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Entre 1871 e 1920, por aqui chegaram 3.390.000 imigrantes. Desse grupo 1.373.000 eram italianos, 901 mil eram portugueses e 500 mil eram espanhóis.</w:t>
      </w:r>
      <w:r w:rsidRPr="00244AE1">
        <w:rPr>
          <w:rFonts w:ascii="Times New Roman" w:eastAsia="Times New Roman" w:hAnsi="Times New Roman" w:cs="Times New Roman"/>
          <w:color w:val="000000"/>
          <w:sz w:val="24"/>
          <w:szCs w:val="24"/>
          <w:vertAlign w:val="superscript"/>
          <w:lang w:eastAsia="pt-BR"/>
        </w:rPr>
        <w:footnoteReference w:id="117"/>
      </w:r>
      <w:r w:rsidRPr="00244AE1">
        <w:rPr>
          <w:rFonts w:ascii="Times New Roman" w:eastAsia="Times New Roman" w:hAnsi="Times New Roman" w:cs="Times New Roman"/>
          <w:color w:val="000000"/>
          <w:sz w:val="24"/>
          <w:szCs w:val="24"/>
          <w:lang w:eastAsia="pt-BR"/>
        </w:rPr>
        <w:t xml:space="preserve"> De acordo com os dados fornecidos pelos censos realizados no Rio de Janeiro, de 1838 a 1920, a população de imigrantes estrangeiros cresceu consideravelmente capital da República. O número desses imigrantes, em 1838, foi de 9.530 em uma população de 137.078 pessoas, ou seja: apenas 6,9% da população carioca. Em 1872 eram 73.310 trabalhadores imigrantes, em uma população de 152.723 brasileiros livres na capital e 48.939 indivíduos escravizados. Os estrangeiros já eram quase a metade da população. Em 1890 o número de trabalhadores estrangeiros foi de 155.202 em uma população de 522.651. Esses dados demonstram que a população estrangeira no Rio de Janeiro havia duplicado. Em 1906 o número de imigrantes chegou a 210.515 indivíduos em uma população de 811.443 habitantes. De acordo com os dados fornecidos pelo censo de 1907, os imigrantes eram 25% da população do Rio de Janeiro. Um índice alto levando-se em conta as proibições de emigração para o país e a expulsão de estrangeiros indesejáveis. Em 1920 a população de estrangeiros na capital chegou a 239.129 pessoas em um total de 1.157.873 habitantes</w:t>
      </w:r>
      <w:r w:rsidRPr="00244AE1">
        <w:rPr>
          <w:rFonts w:ascii="Times New Roman" w:eastAsia="Times New Roman" w:hAnsi="Times New Roman" w:cs="Times New Roman"/>
          <w:color w:val="000000"/>
          <w:sz w:val="24"/>
          <w:szCs w:val="24"/>
          <w:vertAlign w:val="superscript"/>
          <w:lang w:eastAsia="pt-BR"/>
        </w:rPr>
        <w:footnoteReference w:id="118"/>
      </w:r>
      <w:r w:rsidRPr="00244AE1">
        <w:rPr>
          <w:rFonts w:ascii="Times New Roman" w:eastAsia="Times New Roman" w:hAnsi="Times New Roman" w:cs="Times New Roman"/>
          <w:color w:val="000000"/>
          <w:sz w:val="24"/>
          <w:szCs w:val="24"/>
          <w:lang w:eastAsia="pt-BR"/>
        </w:rPr>
        <w:t xml:space="preserve">. </w:t>
      </w:r>
    </w:p>
    <w:p w14:paraId="396C344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Durante todo o período imperial, a capital consolidou-se como o centro da vida política do país. Nos primeiros anos da República, o Rio de Janeiro era a capital da República e referência para as demais cidades do país. Nela viviam 500 mil habitantes. Era a capital política, econômica e cultural do país. O Rio de Janeiro como capital da República conheceu um intenso fluxo de indivíduos oriundos de diversas regiões do país e do exterior. Aumentou o número de habitantes e a composição étnica e cada vez chegavam mais trabalhadores imigrantes europeus à capital da República.</w:t>
      </w:r>
      <w:r w:rsidRPr="00244AE1">
        <w:rPr>
          <w:rFonts w:ascii="Times New Roman" w:eastAsia="Times New Roman" w:hAnsi="Times New Roman" w:cs="Times New Roman"/>
          <w:color w:val="000000"/>
          <w:sz w:val="24"/>
          <w:szCs w:val="24"/>
          <w:vertAlign w:val="superscript"/>
          <w:lang w:eastAsia="pt-BR"/>
        </w:rPr>
        <w:footnoteReference w:id="119"/>
      </w:r>
      <w:r w:rsidRPr="00244AE1">
        <w:rPr>
          <w:rFonts w:ascii="Times New Roman" w:eastAsia="Times New Roman" w:hAnsi="Times New Roman" w:cs="Times New Roman"/>
          <w:color w:val="000000"/>
          <w:sz w:val="24"/>
          <w:szCs w:val="24"/>
          <w:lang w:eastAsia="pt-BR"/>
        </w:rPr>
        <w:t xml:space="preserve"> Com isso </w:t>
      </w:r>
      <w:r w:rsidRPr="00244AE1">
        <w:rPr>
          <w:rFonts w:ascii="Times New Roman" w:eastAsia="Times New Roman" w:hAnsi="Times New Roman" w:cs="Times New Roman"/>
          <w:color w:val="000000"/>
          <w:sz w:val="24"/>
          <w:szCs w:val="24"/>
          <w:lang w:eastAsia="pt-BR"/>
        </w:rPr>
        <w:lastRenderedPageBreak/>
        <w:t>surgiu também uma massa de subempregados e desempregados, criando um exército industrial de reserva.</w:t>
      </w:r>
      <w:r w:rsidRPr="00244AE1">
        <w:rPr>
          <w:rFonts w:ascii="Times New Roman" w:eastAsia="Times New Roman" w:hAnsi="Times New Roman" w:cs="Times New Roman"/>
          <w:color w:val="000000"/>
          <w:sz w:val="24"/>
          <w:szCs w:val="24"/>
          <w:vertAlign w:val="superscript"/>
          <w:lang w:eastAsia="pt-BR"/>
        </w:rPr>
        <w:footnoteReference w:id="120"/>
      </w:r>
    </w:p>
    <w:p w14:paraId="071F0BC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Indivíduos sobreviviam de pequenos serviços, sem vínculos empregatícios permanentes. Em 1890, na capital, a quantidade de trabalhadores com ocupações mal definidas chegava a mais de 100 mil pessoas. Muitas delas viviam entre os mundos da legalidade e da ilegalidade. Em 1906 esse número chegou a mais de 200 mil. Eram desempregados, ladrões, ambulantes, prostitutas, jornaleiros, criados, serventes de repartições públicas, desertores do Exército, da Marinha, de navios estrangeiros, engraxates, bicheiros, crianças de rua que já praticavam pequenos furtos, receptadores, capoeiristas etc.</w:t>
      </w:r>
      <w:r w:rsidRPr="00244AE1">
        <w:rPr>
          <w:rFonts w:ascii="Times New Roman" w:eastAsia="Times New Roman" w:hAnsi="Times New Roman" w:cs="Times New Roman"/>
          <w:color w:val="000000"/>
          <w:sz w:val="24"/>
          <w:szCs w:val="24"/>
          <w:vertAlign w:val="superscript"/>
          <w:lang w:eastAsia="pt-BR"/>
        </w:rPr>
        <w:footnoteReference w:id="121"/>
      </w:r>
    </w:p>
    <w:p w14:paraId="4D144FD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Essas pessoas viviam, atuavam e trabalhavam nas principais ruas do centro da capital. Eram constantemente incriminados nas estatísticas da época. Geralmente incriminados sob acusações de desordem, embriaguez, jogo e vadiagem. Essas acusações condenaram 60% dos detidos na Casa de Detenção em 1890.</w:t>
      </w:r>
      <w:r w:rsidRPr="00244AE1">
        <w:rPr>
          <w:rFonts w:ascii="Times New Roman" w:eastAsia="Times New Roman" w:hAnsi="Times New Roman" w:cs="Times New Roman"/>
          <w:color w:val="000000"/>
          <w:sz w:val="24"/>
          <w:szCs w:val="24"/>
          <w:vertAlign w:val="superscript"/>
          <w:lang w:eastAsia="pt-BR"/>
        </w:rPr>
        <w:footnoteReference w:id="122"/>
      </w:r>
    </w:p>
    <w:p w14:paraId="1F472CC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Acompanhando o desenvolvimento da classe operária surgiram as primeiras tentativas de organização. A luta dos trabalhadores fluminenses contra a intensa exploração econômica e consequente miséria que os afligiam ganhava visibilidade no restante do país, pois no Rio de Janeiro o comportamento político da população terminava por refletir em todo país, sendo referência para diferentes regiões.</w:t>
      </w:r>
      <w:r w:rsidRPr="00244AE1">
        <w:rPr>
          <w:rFonts w:ascii="Times New Roman" w:eastAsia="Times New Roman" w:hAnsi="Times New Roman" w:cs="Times New Roman"/>
          <w:color w:val="000000"/>
          <w:sz w:val="24"/>
          <w:szCs w:val="24"/>
          <w:vertAlign w:val="superscript"/>
          <w:lang w:eastAsia="pt-BR"/>
        </w:rPr>
        <w:footnoteReference w:id="123"/>
      </w:r>
    </w:p>
    <w:p w14:paraId="088D3040"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grande maioria dos trabalhadores pobres, estrangeiros ou não, carregava consigo o sonho de uma vida melhor, a possibilidade de fugir da pobreza. Os progressos realizados no Rio de Janeiro, em processo de industrialização, no final do século XIX, transformaram a capital da República em um possível alvo de imigrantes que tentavam melhorar de vida, mesmo que tivessem de deixar sua terra natal e a família para trás. O </w:t>
      </w:r>
      <w:r w:rsidRPr="00244AE1">
        <w:rPr>
          <w:rFonts w:ascii="Times New Roman" w:eastAsia="Times New Roman" w:hAnsi="Times New Roman" w:cs="Times New Roman"/>
          <w:color w:val="000000"/>
          <w:sz w:val="24"/>
          <w:szCs w:val="24"/>
          <w:lang w:eastAsia="pt-BR"/>
        </w:rPr>
        <w:lastRenderedPageBreak/>
        <w:t xml:space="preserve">desenvolvimento na área de transportes, principalmente com a navegação a vapor e o transporte ferroviário se deu anteriormente pela necessidade de suprir e distribuir a produção. Foram diminuídas as distâncias, facilitando o acesso para o Distrito Federal e o local se tornou uma opção para os trabalhadores imigrantes. </w:t>
      </w:r>
    </w:p>
    <w:p w14:paraId="2B80C0F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O governo brasileiro empenhava-se em criar uma falsa visão romântica de que o Brasil era um paraíso a ser explorado por trabalhadores estrangeiros. Entre 1884 e 1903, chegaram ao Brasil mais de um milhão de imigrantes italianos. Esse número é superior à soma dos demais trabalhadores imigrantes do período que vieram trabalhar no Brasil na mesma época.</w:t>
      </w:r>
      <w:r w:rsidRPr="00244AE1">
        <w:rPr>
          <w:rFonts w:ascii="Times New Roman" w:eastAsia="Times New Roman" w:hAnsi="Times New Roman" w:cs="Times New Roman"/>
          <w:color w:val="000000"/>
          <w:sz w:val="24"/>
          <w:szCs w:val="24"/>
          <w:vertAlign w:val="superscript"/>
          <w:lang w:eastAsia="pt-BR"/>
        </w:rPr>
        <w:footnoteReference w:id="124"/>
      </w:r>
      <w:r w:rsidRPr="00244AE1">
        <w:rPr>
          <w:rFonts w:ascii="Times New Roman" w:eastAsia="Times New Roman" w:hAnsi="Times New Roman" w:cs="Times New Roman"/>
          <w:color w:val="000000"/>
          <w:sz w:val="24"/>
          <w:szCs w:val="24"/>
          <w:lang w:eastAsia="pt-BR"/>
        </w:rPr>
        <w:t xml:space="preserve"> Partiram da Itália fugindo de inóspitas condições de vida, principalmente da região sul daquele país, que era agrária e empobrecida. No Distrito Federal, o grupo de trabalhadores estrangeiros majoritário era de portugueses.</w:t>
      </w:r>
    </w:p>
    <w:p w14:paraId="0576D883" w14:textId="77777777" w:rsidR="00244AE1" w:rsidRPr="00244AE1" w:rsidRDefault="00244AE1" w:rsidP="002150E8">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b/>
        <w:t>Alguns imigrantes vieram diretamente de seus países de origem, para trabalhar nas primeiras indústrias</w:t>
      </w:r>
      <w:r w:rsidRPr="00244AE1">
        <w:rPr>
          <w:rFonts w:ascii="Times New Roman" w:eastAsia="Times New Roman" w:hAnsi="Times New Roman" w:cs="Times New Roman"/>
          <w:color w:val="000000"/>
          <w:sz w:val="24"/>
          <w:szCs w:val="24"/>
          <w:vertAlign w:val="superscript"/>
          <w:lang w:eastAsia="pt-BR"/>
        </w:rPr>
        <w:footnoteReference w:id="125"/>
      </w:r>
      <w:r w:rsidRPr="00244AE1">
        <w:rPr>
          <w:rFonts w:ascii="Times New Roman" w:eastAsia="Times New Roman" w:hAnsi="Times New Roman" w:cs="Times New Roman"/>
          <w:color w:val="000000"/>
          <w:sz w:val="24"/>
          <w:szCs w:val="24"/>
          <w:lang w:eastAsia="pt-BR"/>
        </w:rPr>
        <w:t xml:space="preserve"> brasileiras. Outros já viviam no Brasil, desiludidos com as péssimas condições de vida e de trabalho nas fazendas de café. Embora inicialmente a imigração europeia tivesse o objetivo de substituição gradativa da mão de obra escrava, principalmente nas fazendas de café, a imigração urbana também aconteceu nesses primeiros anos. No Rio de Janeiro, capital da República, o mercado livre de trabalho aumentou desde a implementação da Lei Eusébio de Queiróz. </w:t>
      </w:r>
      <w:r w:rsidRPr="00244AE1">
        <w:rPr>
          <w:rFonts w:ascii="Times New Roman" w:eastAsia="Times New Roman" w:hAnsi="Times New Roman" w:cs="Times New Roman"/>
          <w:color w:val="000000"/>
          <w:sz w:val="24"/>
          <w:szCs w:val="24"/>
          <w:vertAlign w:val="superscript"/>
          <w:lang w:eastAsia="pt-BR"/>
        </w:rPr>
        <w:footnoteReference w:id="126"/>
      </w:r>
    </w:p>
    <w:p w14:paraId="3B5CCFD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Para entendermos a importância do trabalhador imigrante europeu na economia nacional do referido período, no ano de 1900, em São Paulo, 90 por cento do proletariado local era composto de trabalhadores estrangeiros.</w:t>
      </w:r>
      <w:r w:rsidRPr="00244AE1">
        <w:rPr>
          <w:rFonts w:ascii="Times New Roman" w:eastAsia="Times New Roman" w:hAnsi="Times New Roman" w:cs="Times New Roman"/>
          <w:color w:val="000000"/>
          <w:sz w:val="24"/>
          <w:szCs w:val="24"/>
          <w:vertAlign w:val="superscript"/>
          <w:lang w:eastAsia="pt-BR"/>
        </w:rPr>
        <w:footnoteReference w:id="127"/>
      </w:r>
      <w:r w:rsidRPr="00244AE1">
        <w:rPr>
          <w:rFonts w:ascii="Times New Roman" w:eastAsia="Times New Roman" w:hAnsi="Times New Roman" w:cs="Times New Roman"/>
          <w:color w:val="000000"/>
          <w:sz w:val="24"/>
          <w:szCs w:val="24"/>
          <w:lang w:eastAsia="pt-BR"/>
        </w:rPr>
        <w:t xml:space="preserve"> No Rio de Janeiro capital da República os portugueses eram 72% dos imigrantes. Os italianos eram 9% e os espanhóis 8%.  Muitos deles trouxeram seus sonhos de uma vida melhor </w:t>
      </w:r>
      <w:proofErr w:type="gramStart"/>
      <w:r w:rsidRPr="00244AE1">
        <w:rPr>
          <w:rFonts w:ascii="Times New Roman" w:eastAsia="Times New Roman" w:hAnsi="Times New Roman" w:cs="Times New Roman"/>
          <w:color w:val="000000"/>
          <w:sz w:val="24"/>
          <w:szCs w:val="24"/>
          <w:lang w:eastAsia="pt-BR"/>
        </w:rPr>
        <w:t>e também</w:t>
      </w:r>
      <w:proofErr w:type="gramEnd"/>
      <w:r w:rsidRPr="00244AE1">
        <w:rPr>
          <w:rFonts w:ascii="Times New Roman" w:eastAsia="Times New Roman" w:hAnsi="Times New Roman" w:cs="Times New Roman"/>
          <w:color w:val="000000"/>
          <w:sz w:val="24"/>
          <w:szCs w:val="24"/>
          <w:lang w:eastAsia="pt-BR"/>
        </w:rPr>
        <w:t xml:space="preserve"> as ideias anarquistas propagadas principalmente por Piotr Kropotkin (1842-1921) e Errico Malatesta (1853-1932).</w:t>
      </w:r>
    </w:p>
    <w:p w14:paraId="729E320F"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Vários fatores impulsionaram portugueses a saírem de Portugal para tentar uma nova vida, entre eles: mudanças no tradicional modo de vida de famílias rurais portuguesas, alterações em preços de mercadorias, aumento dos tributos, assim como a decrepitude da indústria artesanal. Outro importante fator que impulsionou o processo migratório português para o Brasil foi a destruição da indústria vinícola do norte de Portugal, principalmente da província do Douro. A imigração para o Brasil acabou se tornando uma possibilidade de sair da miséria em que muitos portugueses se encontravam. Muitos portugueses ouviam falar da melhoria de vida que conterrâneos alcançaram trabalhando no Brasil. Mesmo as notícias das dificuldades que portugueses passavam no Brasil não diminuíram a esperança de melhorar de vida trabalhando aqui.</w:t>
      </w:r>
      <w:r w:rsidRPr="00244AE1">
        <w:rPr>
          <w:rFonts w:ascii="Times New Roman" w:eastAsia="Times New Roman" w:hAnsi="Times New Roman" w:cs="Times New Roman"/>
          <w:color w:val="000000"/>
          <w:sz w:val="24"/>
          <w:szCs w:val="24"/>
          <w:vertAlign w:val="superscript"/>
          <w:lang w:eastAsia="pt-BR"/>
        </w:rPr>
        <w:footnoteReference w:id="128"/>
      </w:r>
    </w:p>
    <w:p w14:paraId="39F36A2D"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O Rio de Janeiro recebeu imigrantes portugueses naturais principalmente das províncias do norte, especificamente de Minho, Douro, Tras-os-Montes. Também chegaram à capital imigrantes das cidades de Viana do Castelo, Braga, Guimarães, Vila Real, ou então camponeses pobres de Vila Nova de Foz Coa e Moimenta da Beira. Os portugueses trabalharam em diversas áreas, contribuindo para o crescimento e desenvolvimento da capital da República. Pouco mais de três séculos fizeram com que eles deixassem de ser encarados como colonizadores e passassem a ser vistos como um estrangeiro trabalhador em busca de uma vida melhor.</w:t>
      </w:r>
      <w:r w:rsidRPr="00244AE1">
        <w:rPr>
          <w:rFonts w:ascii="Times New Roman" w:eastAsia="Times New Roman" w:hAnsi="Times New Roman" w:cs="Times New Roman"/>
          <w:color w:val="000000"/>
          <w:sz w:val="24"/>
          <w:szCs w:val="24"/>
          <w:vertAlign w:val="superscript"/>
          <w:lang w:eastAsia="pt-BR"/>
        </w:rPr>
        <w:footnoteReference w:id="129"/>
      </w:r>
    </w:p>
    <w:p w14:paraId="4A3D1C9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No final do século XIX, os italianos tinham plena liberdade para imigrar. A maioria dos imigrantes italianos eram oriundos de áreas rurais do sul da Itália, principalmente das regiões de Cosenza, Potenza e Salerno. De 1872 a 1890, o número de imigrantes italianos no Rio de Janeiro cresceu de 1.738 indivíduos para 17.789. Chegaram a 20.000 imigrantes italianos no início do século XX. Muitos deles trabalharam como vendedores ambulantes e vendiam de tudo, legumes, peixes, verduras, aves, vassouras, jornais, frutas etc. Representaram a substituição do escravo de ganho que desempenhava justamente esse ofício nos centros urbanos brasileiros. Italianos também desempenharam outras atividades profissionais humildes e, além do comércio ambulante, trabalharam de engraxates, jornaleiros, amoladores, sapateiros, varredores de ruas, pedreiros, alfaiates, barbeiros etc. Dedicavam-se a profissões humildes e a subempregos com a esperança de </w:t>
      </w:r>
      <w:r w:rsidRPr="00244AE1">
        <w:rPr>
          <w:rFonts w:ascii="Times New Roman" w:eastAsia="Times New Roman" w:hAnsi="Times New Roman" w:cs="Times New Roman"/>
          <w:color w:val="000000"/>
          <w:sz w:val="24"/>
          <w:szCs w:val="24"/>
          <w:lang w:eastAsia="pt-BR"/>
        </w:rPr>
        <w:lastRenderedPageBreak/>
        <w:t xml:space="preserve">alcançar uma vida melhor. Alguns se dedicavam </w:t>
      </w:r>
      <w:proofErr w:type="gramStart"/>
      <w:r w:rsidRPr="00244AE1">
        <w:rPr>
          <w:rFonts w:ascii="Times New Roman" w:eastAsia="Times New Roman" w:hAnsi="Times New Roman" w:cs="Times New Roman"/>
          <w:color w:val="000000"/>
          <w:sz w:val="24"/>
          <w:szCs w:val="24"/>
          <w:lang w:eastAsia="pt-BR"/>
        </w:rPr>
        <w:t>à</w:t>
      </w:r>
      <w:proofErr w:type="gramEnd"/>
      <w:r w:rsidRPr="00244AE1">
        <w:rPr>
          <w:rFonts w:ascii="Times New Roman" w:eastAsia="Times New Roman" w:hAnsi="Times New Roman" w:cs="Times New Roman"/>
          <w:color w:val="000000"/>
          <w:sz w:val="24"/>
          <w:szCs w:val="24"/>
          <w:lang w:eastAsia="pt-BR"/>
        </w:rPr>
        <w:t xml:space="preserve"> atividades marginais. Os italianos provenientes do sul da Itália eram vítimas do preconceito ao imigrante italiano dessa região, pois alguns eram considerados membros da máfia. A máfia italiana surgira justamente no sul da Itália e alguns imigrantes de lá saíram para cruzar o atlântico e desenvolver atividades mafiosas principalmente nos Estados Unidos da </w:t>
      </w:r>
      <w:proofErr w:type="gramStart"/>
      <w:r w:rsidRPr="00244AE1">
        <w:rPr>
          <w:rFonts w:ascii="Times New Roman" w:eastAsia="Times New Roman" w:hAnsi="Times New Roman" w:cs="Times New Roman"/>
          <w:color w:val="000000"/>
          <w:sz w:val="24"/>
          <w:szCs w:val="24"/>
          <w:lang w:eastAsia="pt-BR"/>
        </w:rPr>
        <w:t>América..</w:t>
      </w:r>
      <w:proofErr w:type="gramEnd"/>
      <w:r w:rsidRPr="00244AE1">
        <w:rPr>
          <w:rFonts w:ascii="Times New Roman" w:eastAsia="Times New Roman" w:hAnsi="Times New Roman" w:cs="Times New Roman"/>
          <w:color w:val="000000"/>
          <w:sz w:val="24"/>
          <w:szCs w:val="24"/>
          <w:vertAlign w:val="superscript"/>
          <w:lang w:eastAsia="pt-BR"/>
        </w:rPr>
        <w:footnoteReference w:id="130"/>
      </w:r>
    </w:p>
    <w:p w14:paraId="257E70F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Entre os imigrantes espanhóis, os grupos de maior expressão eram oriundos de regiões da Galícia, da qual fazem parte as cidades de La Coruña, Orense e Corrinha.  Em 1890 eram 10.750 imigrantes. Em 1906, os espanhóis duplicaram seu contingente, chegando a 20.699 indivíduos. Trabalharam principalmente no comércio, armazéns, restaurantes realizando o ofício de copeiros e garçons. Também trabalharam na exploração de pedreiras, construção civil, marcenaria, alfaiataria, fabricação de sapatos etc. Os galegos, espanhóis naturais da Galícia, trabalharam em muitos armazéns na capital da República. Imigrantes portugueses e espanhóis sofreram no Rio de Janeiro, os mesmos preconceitos e discriminações de que eram vítimas do outro lado do Atlântico. Os galegos eram discriminados pelos portugueses que residiam na capital do Brasil, assim como em Portugal. Apesar de se referir ao espanhol da Galícia, no Brasil o termo “galego” ganhou uma conotação pejorativa, significando indivíduo rude, sem cultura, ignorante que aceitava as atividades profissionais mais degradantes, laboriosas, aceitando qualquer tipo de remuneração. Esse rótulo terminou por atingir trabalhadores imigrantes que aqui tentavam ganhar a vida, inclusive os portugueses, pois os brasileiros não diferenciavam galegos de portugueses, devido à semelhança da língua, física, cultural, proximidade geográfica.</w:t>
      </w:r>
      <w:r w:rsidRPr="00244AE1">
        <w:rPr>
          <w:rFonts w:ascii="Times New Roman" w:eastAsia="Times New Roman" w:hAnsi="Times New Roman" w:cs="Times New Roman"/>
          <w:color w:val="000000"/>
          <w:sz w:val="24"/>
          <w:szCs w:val="24"/>
          <w:vertAlign w:val="superscript"/>
          <w:lang w:eastAsia="pt-BR"/>
        </w:rPr>
        <w:footnoteReference w:id="131"/>
      </w:r>
    </w:p>
    <w:p w14:paraId="7EC0C90F"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Entre 1870 a 1920 imigrantes de outras nacionalidades também passaram a viver na capital da República. Ingleses e alemães aqui viviam desde as últimas décadas do Império. Já nos primeiros anos da República, vieram para à capital imigrantes russos, argentinos, uruguaios e turcos</w:t>
      </w:r>
      <w:r w:rsidRPr="00244AE1">
        <w:rPr>
          <w:rFonts w:ascii="Times New Roman" w:eastAsia="Times New Roman" w:hAnsi="Times New Roman" w:cs="Times New Roman"/>
          <w:color w:val="000000"/>
          <w:sz w:val="24"/>
          <w:szCs w:val="24"/>
          <w:vertAlign w:val="superscript"/>
          <w:lang w:eastAsia="pt-BR"/>
        </w:rPr>
        <w:footnoteReference w:id="132"/>
      </w:r>
      <w:r w:rsidRPr="00244AE1">
        <w:rPr>
          <w:rFonts w:ascii="Times New Roman" w:eastAsia="Times New Roman" w:hAnsi="Times New Roman" w:cs="Times New Roman"/>
          <w:color w:val="000000"/>
          <w:sz w:val="24"/>
          <w:szCs w:val="24"/>
          <w:lang w:eastAsia="pt-BR"/>
        </w:rPr>
        <w:t xml:space="preserve">. Entre 1850 a 1890, os franceses eram o segundo grupo de imigrantes na capital. A imigração francesa na capital estava relacionada aos setores ligados à moda e empreendimentos ligados ao lazer. Muitos franceses abriram suas lojas na Rua do Ouvidor, ligadas à indústria da moda e também </w:t>
      </w:r>
      <w:proofErr w:type="gramStart"/>
      <w:r w:rsidRPr="00244AE1">
        <w:rPr>
          <w:rFonts w:ascii="Times New Roman" w:eastAsia="Times New Roman" w:hAnsi="Times New Roman" w:cs="Times New Roman"/>
          <w:color w:val="000000"/>
          <w:sz w:val="24"/>
          <w:szCs w:val="24"/>
          <w:lang w:eastAsia="pt-BR"/>
        </w:rPr>
        <w:t>voltaram-se</w:t>
      </w:r>
      <w:proofErr w:type="gramEnd"/>
      <w:r w:rsidRPr="00244AE1">
        <w:rPr>
          <w:rFonts w:ascii="Times New Roman" w:eastAsia="Times New Roman" w:hAnsi="Times New Roman" w:cs="Times New Roman"/>
          <w:color w:val="000000"/>
          <w:sz w:val="24"/>
          <w:szCs w:val="24"/>
          <w:lang w:eastAsia="pt-BR"/>
        </w:rPr>
        <w:t xml:space="preserve"> para o comércio </w:t>
      </w:r>
      <w:r w:rsidRPr="00244AE1">
        <w:rPr>
          <w:rFonts w:ascii="Times New Roman" w:eastAsia="Times New Roman" w:hAnsi="Times New Roman" w:cs="Times New Roman"/>
          <w:color w:val="000000"/>
          <w:sz w:val="24"/>
          <w:szCs w:val="24"/>
          <w:lang w:eastAsia="pt-BR"/>
        </w:rPr>
        <w:lastRenderedPageBreak/>
        <w:t xml:space="preserve">ligado à vida noturna do Rio de Janeiro. Algumas francesas trabalharam como prostitutas na boemia carioca e ficaram conhecidas como “especialistas na arte do amor”. Chegaram ao topo da hierarquia da prostituição carioca do período, na qual as mulheres polacas eram a base. A imigração francesa teve relevante participação no desenvolvimento da capital republicana, porém estava restrita a espaços específicos distantes de setores ligados ao incipiente proletariado carioca. Os franceses jamais perderam o domínio nos espaços de luxo e sofisticação da capital, que tradicionalmente eram relacionados à cultura francesa. Como os principais espaços ocupados pela imigração francesa eram tipicamente femininos, entende-se o número superior de mulheres entre os imigrantes franceses na capital. Esse fato distinguiu a imigração francesa dos demais grupos de imigrantes europeus do período, formado em sua maioria por homens, que viviam sozinhos. Na passagem do século XIX para XX, a imigração francesa caiu para o quarto lugar. Entre 1906 até 1920 tornaram-se o quinto grupo de imigrantes no Rio de Janeiro. No Censo de 1920, viviam 3.538 franceses no Rio de Janeiro. Desse grupo, as mulheres eram a maioria, representando 64,7%. </w:t>
      </w:r>
      <w:r w:rsidRPr="00244AE1">
        <w:rPr>
          <w:rFonts w:ascii="Times New Roman" w:eastAsia="Times New Roman" w:hAnsi="Times New Roman" w:cs="Times New Roman"/>
          <w:color w:val="000000"/>
          <w:sz w:val="24"/>
          <w:szCs w:val="24"/>
          <w:vertAlign w:val="superscript"/>
          <w:lang w:eastAsia="pt-BR"/>
        </w:rPr>
        <w:footnoteReference w:id="133"/>
      </w:r>
    </w:p>
    <w:p w14:paraId="44EE450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Porém esses grupos imigrantes não fazem parte do nosso objeto de pesquisa, pois não tiveram uma relevante participação no processo de formação e luta da classe operária no Rio de Janeiro.</w:t>
      </w:r>
    </w:p>
    <w:p w14:paraId="03DAEBB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imigração europeia, particularmente de portugueses, italianos e espanhóis foi de grande importância na formação e desenvolvimento da classe operária no Brasil, particularmente no Rio de Janeiro. A incipiente classe operária brasileira organizou-se também através do sindicalismo revolucionário de inspiração anarquista para defender os interesses proletários, protagonizando o setor mais combativo do sindicalismo do referido período. </w:t>
      </w:r>
    </w:p>
    <w:p w14:paraId="0090D07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referência do Centro Galego para os trabalhadores brasileiros representou a relevância e influência dos trabalhadores imigrantes na formação da classe operária. Foi o local do I Congresso Operário Brasileiro (1906), na Rua da Constituição n° 30 e 32, no Centro do Rio. Muitos imigrantes estrangeiros que vieram trabalhar no Brasil trouxeram uma consciência de classe desenvolvida em seus países de origem. Outros imigrantes desenvolveram-na aqui. Nem todos eram anarquistas, embora muitos fossem. Ao chegar </w:t>
      </w:r>
      <w:r w:rsidRPr="00244AE1">
        <w:rPr>
          <w:rFonts w:ascii="Times New Roman" w:eastAsia="Times New Roman" w:hAnsi="Times New Roman" w:cs="Times New Roman"/>
          <w:color w:val="000000"/>
          <w:sz w:val="24"/>
          <w:szCs w:val="24"/>
          <w:lang w:eastAsia="pt-BR"/>
        </w:rPr>
        <w:lastRenderedPageBreak/>
        <w:t xml:space="preserve">ao Brasil, nas décadas finais do século XIX, muitos anarquistas tentaram se organizar para combater a exploração capitalista, participando das organizações sindicais que já existiam e criando outras organizações operárias. Partindo do princípio da necessidade de organização da classe operária brasileira para lutar contra as inóspitas relações de produção, grupos anarquistas ligados à vertente do sindicalismo revolucionário, desenvolveram </w:t>
      </w:r>
      <w:proofErr w:type="gramStart"/>
      <w:r w:rsidRPr="00244AE1">
        <w:rPr>
          <w:rFonts w:ascii="Times New Roman" w:eastAsia="Times New Roman" w:hAnsi="Times New Roman" w:cs="Times New Roman"/>
          <w:color w:val="000000"/>
          <w:sz w:val="24"/>
          <w:szCs w:val="24"/>
          <w:lang w:eastAsia="pt-BR"/>
        </w:rPr>
        <w:t>uma importante</w:t>
      </w:r>
      <w:proofErr w:type="gramEnd"/>
      <w:r w:rsidRPr="00244AE1">
        <w:rPr>
          <w:rFonts w:ascii="Times New Roman" w:eastAsia="Times New Roman" w:hAnsi="Times New Roman" w:cs="Times New Roman"/>
          <w:color w:val="000000"/>
          <w:sz w:val="24"/>
          <w:szCs w:val="24"/>
          <w:lang w:eastAsia="pt-BR"/>
        </w:rPr>
        <w:t xml:space="preserve"> e frutífera relação com o já referido Centro Galego do Rio de Janeiro. O espaço era cedido para diversas programações sindicais e sociais organizadas pelos anarquistas. </w:t>
      </w:r>
    </w:p>
    <w:p w14:paraId="4E999BE0"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Muitos trabalhadores estrangeiros tentavam reconstruir suas vidas em países do Novo Mundo. Se alguns queriam escapar das miseráveis condições de vida que levavam em seus países de origem, outros tinham alguma condição </w:t>
      </w:r>
      <w:proofErr w:type="gramStart"/>
      <w:r w:rsidRPr="00244AE1">
        <w:rPr>
          <w:rFonts w:ascii="Times New Roman" w:eastAsia="Times New Roman" w:hAnsi="Times New Roman" w:cs="Times New Roman"/>
          <w:color w:val="000000"/>
          <w:sz w:val="24"/>
          <w:szCs w:val="24"/>
          <w:lang w:eastAsia="pt-BR"/>
        </w:rPr>
        <w:t>financeira</w:t>
      </w:r>
      <w:proofErr w:type="gramEnd"/>
      <w:r w:rsidRPr="00244AE1">
        <w:rPr>
          <w:rFonts w:ascii="Times New Roman" w:eastAsia="Times New Roman" w:hAnsi="Times New Roman" w:cs="Times New Roman"/>
          <w:color w:val="000000"/>
          <w:sz w:val="24"/>
          <w:szCs w:val="24"/>
          <w:lang w:eastAsia="pt-BR"/>
        </w:rPr>
        <w:t xml:space="preserve"> mas vislumbravam a possibilidade de prosperar em melhores condições do que as que estavam submetidos em seus países. Alguns poucos imigrantes conseguiram se tornar empresários </w:t>
      </w:r>
      <w:proofErr w:type="gramStart"/>
      <w:r w:rsidRPr="00244AE1">
        <w:rPr>
          <w:rFonts w:ascii="Times New Roman" w:eastAsia="Times New Roman" w:hAnsi="Times New Roman" w:cs="Times New Roman"/>
          <w:color w:val="000000"/>
          <w:sz w:val="24"/>
          <w:szCs w:val="24"/>
          <w:lang w:eastAsia="pt-BR"/>
        </w:rPr>
        <w:t>bem sucedidos</w:t>
      </w:r>
      <w:proofErr w:type="gramEnd"/>
      <w:r w:rsidRPr="00244AE1">
        <w:rPr>
          <w:rFonts w:ascii="Times New Roman" w:eastAsia="Times New Roman" w:hAnsi="Times New Roman" w:cs="Times New Roman"/>
          <w:color w:val="000000"/>
          <w:sz w:val="24"/>
          <w:szCs w:val="24"/>
          <w:lang w:eastAsia="pt-BR"/>
        </w:rPr>
        <w:t xml:space="preserve">. </w:t>
      </w:r>
    </w:p>
    <w:p w14:paraId="75FDC0E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Trabalhadores nacionais conviviam com trabalhadores estrangeiros dentro das mesmas indústrias. Com a chegada dos imigrantes europeus novas maneiras de interpretar o mundo por aqui chegaram, ideologias utilizadas na Europa para lutar contra a opressão do sistema capitalista que se espalhava por todo o mundo.</w:t>
      </w:r>
    </w:p>
    <w:p w14:paraId="22DD819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No final do século XIX cresceu muito o número de trabalhadores urbanos livres no Rio de Janeiro. A cidade tinha o porto mais importante do país, que exportava principalmente café; era a sede da Monarquia e reunia muitos bancos e negociantes estrangeiros. Por conseguinte, na capital do Brasil foram criadas condições para o surgimento e desenvolvimento das primeiras fábricas, embora tenham surgido fábricas em diferentes regiões do território nacional. O Rio de Janeiro concentrava capitais provenientes da cafeicultura e do comércio exterior. Muitos latifundiários que enriqueceram com o comércio internacional do café passaram a investir parte do capital acumulado na instalação de pequenas indústrias na capital e nas principais cidades do Brasil. Empresas estrangeiras também instalaram pequenas fábricas em território nacional. As novas possibilidades de lucro através da industrialização transformaram a economia nacional.</w:t>
      </w:r>
    </w:p>
    <w:p w14:paraId="26C1F98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Em 1826, no Rio de Janeiro, surgiu no Andaraí Pequeno, atual bairro da Tijuca, uma estamparia que desapareceu em 1848</w:t>
      </w:r>
      <w:r w:rsidRPr="00244AE1">
        <w:rPr>
          <w:rFonts w:ascii="Times New Roman" w:eastAsia="Times New Roman" w:hAnsi="Times New Roman" w:cs="Times New Roman"/>
          <w:color w:val="000000"/>
          <w:sz w:val="24"/>
          <w:szCs w:val="24"/>
          <w:vertAlign w:val="superscript"/>
          <w:lang w:eastAsia="pt-BR"/>
        </w:rPr>
        <w:footnoteReference w:id="134"/>
      </w:r>
      <w:r w:rsidRPr="00244AE1">
        <w:rPr>
          <w:rFonts w:ascii="Times New Roman" w:eastAsia="Times New Roman" w:hAnsi="Times New Roman" w:cs="Times New Roman"/>
          <w:color w:val="000000"/>
          <w:sz w:val="24"/>
          <w:szCs w:val="24"/>
          <w:lang w:eastAsia="pt-BR"/>
        </w:rPr>
        <w:t>. Em 1841 surgiu uma fábrica de tecidos, também no bairro do Andaraí Pequeno, cujo dono era Frederico Guilherme. Essa fábrica empregou 22 operários assalariados, possuía maquinário movido a energia hidráulica e desapareceu em 1865. Seu maquinário foi utilizado na instalação da Fábrica de Santa Tereza, localizada na cidade de Parati. Essa fábrica empregou 47 operários, entre eles 30 crianças. Produzia 500.000 metros de tecidos anualmente.</w:t>
      </w:r>
      <w:r w:rsidRPr="00244AE1">
        <w:rPr>
          <w:rFonts w:ascii="Times New Roman" w:eastAsia="Times New Roman" w:hAnsi="Times New Roman" w:cs="Times New Roman"/>
          <w:color w:val="000000"/>
          <w:sz w:val="24"/>
          <w:szCs w:val="24"/>
          <w:vertAlign w:val="superscript"/>
          <w:lang w:eastAsia="pt-BR"/>
        </w:rPr>
        <w:footnoteReference w:id="135"/>
      </w:r>
    </w:p>
    <w:p w14:paraId="7A8F01FD"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Em Petrópolis surgiu a Fábrica São Pedro de Alcântara, de propriedade de Joaquim Diogo Hartley. Essa fábrica utilizava energia a vapor em 1852. Na mesma cidade surgiu também uma fábrica de meias em 1851 de propriedade de Alfredo Solier Gand. A partir de 1850 o número de fábricas no território nacional passou a crescer. Na referida data existiam apenas cinquenta fábricas no país e em 1866 havia nove fábricas de tecidos em todo o Brasil. Nesse mesmo período, nos Estados Unidos da América existiam 1000 fábricas de tecidos. Em 1882 surgiram 36 novas fábricas de tecidos no Brasil e onze delas estavam instaladas no Rio de Janeiro, capital imperial.</w:t>
      </w:r>
      <w:r w:rsidRPr="00244AE1">
        <w:rPr>
          <w:rFonts w:ascii="Times New Roman" w:eastAsia="Times New Roman" w:hAnsi="Times New Roman" w:cs="Times New Roman"/>
          <w:color w:val="000000"/>
          <w:sz w:val="24"/>
          <w:szCs w:val="24"/>
          <w:vertAlign w:val="superscript"/>
          <w:lang w:eastAsia="pt-BR"/>
        </w:rPr>
        <w:footnoteReference w:id="136"/>
      </w:r>
    </w:p>
    <w:p w14:paraId="5B4C457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Na mesma época as indústrias metalúrgicas eram pequenas empresas. A primeira fundição do Rio de Janeiro pertenceu a Theodoro de Macedo Freire em 1815. Oficinas do governo também atuavam no ramo da metalurgia, como foi o caso do Arsenal da Marinha e a Estrada de Ferro Pedro II, ambas no Rio de Janeiro.</w:t>
      </w:r>
      <w:r w:rsidRPr="00244AE1">
        <w:rPr>
          <w:rFonts w:ascii="Times New Roman" w:eastAsia="Times New Roman" w:hAnsi="Times New Roman" w:cs="Times New Roman"/>
          <w:color w:val="000000"/>
          <w:sz w:val="24"/>
          <w:szCs w:val="24"/>
          <w:vertAlign w:val="superscript"/>
          <w:lang w:eastAsia="pt-BR"/>
        </w:rPr>
        <w:footnoteReference w:id="137"/>
      </w:r>
    </w:p>
    <w:p w14:paraId="1811B821"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No ramo de calçados a maior fábrica no capital do Império empregava cem trabalhadores. Pertencia ao Sr. Moriame e tinha a produção de aproximadamente 50.000 pares de sapatos por ano.</w:t>
      </w:r>
      <w:r w:rsidRPr="00244AE1">
        <w:rPr>
          <w:rFonts w:ascii="Times New Roman" w:eastAsia="Times New Roman" w:hAnsi="Times New Roman" w:cs="Times New Roman"/>
          <w:color w:val="000000"/>
          <w:sz w:val="24"/>
          <w:szCs w:val="24"/>
          <w:vertAlign w:val="superscript"/>
          <w:lang w:eastAsia="pt-BR"/>
        </w:rPr>
        <w:footnoteReference w:id="138"/>
      </w:r>
      <w:r w:rsidRPr="00244AE1">
        <w:rPr>
          <w:rFonts w:ascii="Times New Roman" w:eastAsia="Times New Roman" w:hAnsi="Times New Roman" w:cs="Times New Roman"/>
          <w:color w:val="000000"/>
          <w:sz w:val="24"/>
          <w:szCs w:val="24"/>
          <w:lang w:eastAsia="pt-BR"/>
        </w:rPr>
        <w:t xml:space="preserve"> Nesse ramo a produção se dava através da utilização de máquinas e do trabalho artesanal tradicional do ramo no período.</w:t>
      </w:r>
      <w:r w:rsidRPr="00244AE1">
        <w:rPr>
          <w:rFonts w:ascii="Times New Roman" w:eastAsia="Times New Roman" w:hAnsi="Times New Roman" w:cs="Times New Roman"/>
          <w:color w:val="000000"/>
          <w:sz w:val="24"/>
          <w:szCs w:val="24"/>
          <w:vertAlign w:val="superscript"/>
          <w:lang w:eastAsia="pt-BR"/>
        </w:rPr>
        <w:footnoteReference w:id="139"/>
      </w:r>
    </w:p>
    <w:p w14:paraId="7AD191E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partir de 1870, o número de fábricas aumentou ainda mais em todo território nacional e a produção passou a alcançar maior importância na economia. Com a abolição </w:t>
      </w:r>
      <w:r w:rsidRPr="00244AE1">
        <w:rPr>
          <w:rFonts w:ascii="Times New Roman" w:eastAsia="Times New Roman" w:hAnsi="Times New Roman" w:cs="Times New Roman"/>
          <w:color w:val="000000"/>
          <w:sz w:val="24"/>
          <w:szCs w:val="24"/>
          <w:lang w:eastAsia="pt-BR"/>
        </w:rPr>
        <w:lastRenderedPageBreak/>
        <w:t>da escravidão em 1888, a relevância e crescimento das fábricas brasileiras cresceu bastante e alguns historiadores chamaram esse decênio de “primeiro surto industrial brasileiro”.</w:t>
      </w:r>
      <w:r w:rsidRPr="00244AE1">
        <w:rPr>
          <w:rFonts w:ascii="Times New Roman" w:eastAsia="Times New Roman" w:hAnsi="Times New Roman" w:cs="Times New Roman"/>
          <w:color w:val="000000"/>
          <w:sz w:val="24"/>
          <w:szCs w:val="24"/>
          <w:vertAlign w:val="superscript"/>
          <w:lang w:eastAsia="pt-BR"/>
        </w:rPr>
        <w:footnoteReference w:id="140"/>
      </w:r>
    </w:p>
    <w:p w14:paraId="54D7CC9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 proclamação da República não incluiu a participação do cidadão na atividade política. Deveria ter como pré-requisito a consideração legal de que todos os indivíduos seriam cidadãos e estariam incluídos de quaisquer benefícios do regime político. O Império era uma máquina estatal decrépita, enferrujada, que não atendia mais as necessidades governamentais brasileiras nesse período de transição da escravidão para o modo de produção capitalista. </w:t>
      </w:r>
    </w:p>
    <w:p w14:paraId="75D0D68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governo brasileiro gastou grandes quantias financeiras para remodelar seus principais centros urbanos, adaptar as estruturas econômicas do país para ajustá-las às demandas internacionais. A República foi proclamada um ano após indivíduos terem sido libertos dos grilhões do modo de produção escravista. A capital da incipiente República foi idealizada e transformada para materializar esse projeto republicano. Escravos eram mercadorias no ano anterior e não se tornaram cidadãos apenas porque o governo brasileiro colocou uma pá de cal no sistema escravagista. Os antigos escravos eram desprezados até mesmo como mão de obra. Já os imigrantes deveriam ocupar o espaço aberto pela ausência de mão de obra </w:t>
      </w:r>
      <w:proofErr w:type="gramStart"/>
      <w:r w:rsidRPr="00244AE1">
        <w:rPr>
          <w:rFonts w:ascii="Times New Roman" w:eastAsia="Times New Roman" w:hAnsi="Times New Roman" w:cs="Times New Roman"/>
          <w:color w:val="000000"/>
          <w:sz w:val="24"/>
          <w:szCs w:val="24"/>
          <w:lang w:eastAsia="pt-BR"/>
        </w:rPr>
        <w:t>e também</w:t>
      </w:r>
      <w:proofErr w:type="gramEnd"/>
      <w:r w:rsidRPr="00244AE1">
        <w:rPr>
          <w:rFonts w:ascii="Times New Roman" w:eastAsia="Times New Roman" w:hAnsi="Times New Roman" w:cs="Times New Roman"/>
          <w:color w:val="000000"/>
          <w:sz w:val="24"/>
          <w:szCs w:val="24"/>
          <w:lang w:eastAsia="pt-BR"/>
        </w:rPr>
        <w:t xml:space="preserve"> não eram considerados cidadãos, dentro do conceito de cidadania inerente a uma República. </w:t>
      </w:r>
    </w:p>
    <w:p w14:paraId="67C30E2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Criou-se um contexto político, social e econômico extremamente fértil para o surgimento de ideologias que defendessem os interesses de pessoas exploradas economicamente e excluídas de uma cidadania plena. Dentro desse contexto, não é surpresa nenhuma o florescimento e desenvolvimento de ideologias que lutassem por uma sociedade igualitária, em que todos seriam iguais, com participação política na organização social, sem miséria e com a inexistência de um estado opressor que atende unicamente aos interesses econômicos e políticos da classe dominante.</w:t>
      </w:r>
    </w:p>
    <w:p w14:paraId="4102B3A0"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Brasil em fins do século XIX e início do século XX estava em um lento e gradual processo de industrialização e consequentemente urbanização. Os operários brasileiros, desprotegidos e sem ter a quem recorrer, reagiram violentamente contra seus supervisores, contramestres e patrões. Gradativamente foram deixando essas reações </w:t>
      </w:r>
      <w:r w:rsidRPr="00244AE1">
        <w:rPr>
          <w:rFonts w:ascii="Times New Roman" w:eastAsia="Times New Roman" w:hAnsi="Times New Roman" w:cs="Times New Roman"/>
          <w:color w:val="000000"/>
          <w:sz w:val="24"/>
          <w:szCs w:val="24"/>
          <w:lang w:eastAsia="pt-BR"/>
        </w:rPr>
        <w:lastRenderedPageBreak/>
        <w:t xml:space="preserve">isoladas e passaram a pensar coletivamente. Sentiam a necessidade de se organizar enquanto classe, para lutar por direitos básicos. </w:t>
      </w:r>
    </w:p>
    <w:p w14:paraId="1FB1E99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p>
    <w:p w14:paraId="075A8E30" w14:textId="77777777" w:rsidR="00244AE1" w:rsidRPr="008C7806" w:rsidRDefault="00244AE1" w:rsidP="008C7806">
      <w:pPr>
        <w:spacing w:after="0" w:line="240" w:lineRule="auto"/>
        <w:ind w:left="1418"/>
        <w:jc w:val="both"/>
        <w:rPr>
          <w:rFonts w:ascii="Times New Roman" w:eastAsia="Times New Roman" w:hAnsi="Times New Roman" w:cs="Times New Roman"/>
          <w:color w:val="000000"/>
          <w:lang w:eastAsia="pt-BR"/>
        </w:rPr>
      </w:pPr>
      <w:r w:rsidRPr="008C7806">
        <w:rPr>
          <w:rFonts w:ascii="Times New Roman" w:eastAsia="Times New Roman" w:hAnsi="Times New Roman" w:cs="Times New Roman"/>
          <w:color w:val="000000"/>
          <w:lang w:eastAsia="pt-BR"/>
        </w:rPr>
        <w:t>... “Cada fábrica tinha um aspecto fosco e hostil de presídio, com seus guardas de portão fardados e armados, operários e operárias submetidos a vexatórias revistas e humilhantes observações, quando não recebiam ameaças de toda a sorte”. (Dias, 1962:212).</w:t>
      </w:r>
    </w:p>
    <w:p w14:paraId="380D7C7D"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p>
    <w:p w14:paraId="786D91F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Nesse período, a organização dos trabalhadores como classe social estava apenas começando. A consciência de classe do proletariado nacional ainda era incipiente. Alguns fatos demonstram o gradativo processo do desenvolvimento da organização dos trabalhadores e consequentemente de sua consciência de classe. Para um melhor entendimento do nosso objeto de estudo, precisamos entender as especificidades do movimento operário do período analisado. Acreditamos que as organizações operárias de inspiração anarquista, foram os principais instrumentos de luta dos trabalhadores por melhores condições de trabalho e consequentemente de sobrevivência. </w:t>
      </w:r>
    </w:p>
    <w:p w14:paraId="1E85804F"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Não podemos analisar a organização de trabalhadores em meados do século XIX, tentando encaixá-los dentro dos padrões sindicais e trabalhistas do século XX e XXI. Nos dias atuais, a grande maioria dos sindicatos encontram-se aparelhados por partidos políticos que se apresentam como organizações políticas progressistas. No entanto, utilizam-se dessa importante ferramenta de luta operária para alcançar seus mesquinhos objetivos políticos: fazer cadeiras no parlamento burguês, alcançar o poder executivo e usufruir os privilégios políticos e materiais concedidos aos membros </w:t>
      </w:r>
      <w:proofErr w:type="gramStart"/>
      <w:r w:rsidRPr="00244AE1">
        <w:rPr>
          <w:rFonts w:ascii="Times New Roman" w:eastAsia="Times New Roman" w:hAnsi="Times New Roman" w:cs="Times New Roman"/>
          <w:color w:val="000000"/>
          <w:sz w:val="24"/>
          <w:szCs w:val="24"/>
          <w:lang w:eastAsia="pt-BR"/>
        </w:rPr>
        <w:t>dos executivo</w:t>
      </w:r>
      <w:proofErr w:type="gramEnd"/>
      <w:r w:rsidRPr="00244AE1">
        <w:rPr>
          <w:rFonts w:ascii="Times New Roman" w:eastAsia="Times New Roman" w:hAnsi="Times New Roman" w:cs="Times New Roman"/>
          <w:color w:val="000000"/>
          <w:sz w:val="24"/>
          <w:szCs w:val="24"/>
          <w:lang w:eastAsia="pt-BR"/>
        </w:rPr>
        <w:t xml:space="preserve"> e legislativo.</w:t>
      </w:r>
    </w:p>
    <w:p w14:paraId="02980695"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Dentro do contexto econômico industrial brasileiro do respectivo período, que proporcionava exploração, miséria e violência contra o trabalhador, não foi surpresa o surgimento de trabalhadores indignados e insatisfeitos com suas condições de trabalho, que assimilaram as ideias anarquistas e as propagaram em diversas regiões do país, principalmente na Capital da República. No Brasil, a luta de classes terminou se manifestando de diferentes formas durante o processo de industrialização brasileira. Os patrões, capitalistas, pertencentes à elite do país, proporcionavam privilégios a funcionários federais para que estes trabalhassem de acordo com os interesses da classe </w:t>
      </w:r>
      <w:r w:rsidRPr="00244AE1">
        <w:rPr>
          <w:rFonts w:ascii="Times New Roman" w:eastAsia="Times New Roman" w:hAnsi="Times New Roman" w:cs="Times New Roman"/>
          <w:color w:val="000000"/>
          <w:sz w:val="24"/>
          <w:szCs w:val="24"/>
          <w:lang w:eastAsia="pt-BR"/>
        </w:rPr>
        <w:lastRenderedPageBreak/>
        <w:t xml:space="preserve">dominante. A máquina estatal, com seus tentáculos, existia para defender os interesses da burguesia, favorecendo a intensa exploração do proletariado. </w:t>
      </w:r>
    </w:p>
    <w:p w14:paraId="1D41383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convívio desses trabalhadores em episódios de socialização num mesmo bairro ou fábrica fez com que fossem ouvidas ideias que defendiam a luta do proletariado contra a exploração capitalista. Ouviram ideias anarquistas e socialistas que os operários imigrantes traziam consigo de seus países de origem. Jornais anarquistas e encontros sociais também foram ferramentas de fundamental importância para espalhar as ideias libertárias entre os trabalhadores brasileiros. </w:t>
      </w:r>
    </w:p>
    <w:p w14:paraId="6A16E874"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Assim como no sul do continente europeu, o anarquismo encontrou terreno fértil entre os trabalhadores do Brasil e dos países sul americanos. Inicialmente, no Brasil, o anarquismo ganhou muito mais adeptos do que o socialismo. Nas primeiras fábricas brasileiras, principalmente as de tecidos no Rio de Janeiro e em São Paulo, os trabalhadores, entre eles muitas mulheres, imigrantes e crianças, trabalhavam por horas intermináveis, sendo ameaçados por seus patrões, surrados e sem qualquer legislação trabalhista. O anarquismo oferecia aos trabalhadores brasileiros justiça social, o fim da exploração, da miséria, da fome, uma vida com dignidade conforme as necessidades de cada um, liberdade e autonomia individual, combate ao governo, a Igreja, à propriedade privada e aos partidos políticos.</w:t>
      </w:r>
    </w:p>
    <w:p w14:paraId="0BE0A3C1" w14:textId="77777777" w:rsidR="00244AE1" w:rsidRPr="00244AE1" w:rsidRDefault="00244AE1" w:rsidP="002150E8">
      <w:pPr>
        <w:spacing w:after="0" w:line="360" w:lineRule="auto"/>
        <w:ind w:firstLine="708"/>
        <w:jc w:val="both"/>
        <w:rPr>
          <w:rFonts w:ascii="Times New Roman" w:eastAsia="Times New Roman" w:hAnsi="Times New Roman" w:cs="Times New Roman"/>
          <w:i/>
          <w:color w:val="000000"/>
          <w:sz w:val="24"/>
          <w:szCs w:val="24"/>
          <w:lang w:eastAsia="pt-BR"/>
        </w:rPr>
      </w:pPr>
    </w:p>
    <w:p w14:paraId="43F6CF05" w14:textId="77777777" w:rsidR="00244AE1" w:rsidRPr="008C7806" w:rsidRDefault="00244AE1" w:rsidP="008C7806">
      <w:pPr>
        <w:spacing w:after="0" w:line="240" w:lineRule="auto"/>
        <w:ind w:left="1418"/>
        <w:jc w:val="both"/>
        <w:rPr>
          <w:rFonts w:ascii="Times New Roman" w:eastAsia="Times New Roman" w:hAnsi="Times New Roman" w:cs="Times New Roman"/>
          <w:i/>
          <w:color w:val="000000"/>
          <w:lang w:eastAsia="pt-BR"/>
        </w:rPr>
      </w:pPr>
      <w:r w:rsidRPr="008C7806">
        <w:rPr>
          <w:rFonts w:ascii="Times New Roman" w:eastAsia="Times New Roman" w:hAnsi="Times New Roman" w:cs="Times New Roman"/>
          <w:color w:val="000000"/>
          <w:lang w:eastAsia="pt-BR"/>
        </w:rPr>
        <w:t>“Sendo os meios de produção obra coletiva da humanidade, devem regressar à coletividade humana. A apropriação pessoal não é justa nem proveitosa. Tudo é de todos, visto que todos precisam de tudo, visto que todos tem trabalhado na medida de suas forças, e que é materialmente impossível determinar a parte que poderia pertencer a cada um na produção atual das riquezas” (Kropotkin, 2011:24).</w:t>
      </w:r>
    </w:p>
    <w:p w14:paraId="6E70DD96" w14:textId="77777777" w:rsidR="00244AE1" w:rsidRPr="00244AE1" w:rsidRDefault="00244AE1" w:rsidP="002150E8">
      <w:pPr>
        <w:spacing w:after="0" w:line="360" w:lineRule="auto"/>
        <w:jc w:val="both"/>
        <w:rPr>
          <w:rFonts w:ascii="Times New Roman" w:eastAsia="Times New Roman" w:hAnsi="Times New Roman" w:cs="Times New Roman"/>
          <w:color w:val="000000"/>
          <w:sz w:val="24"/>
          <w:szCs w:val="24"/>
          <w:lang w:eastAsia="pt-BR"/>
        </w:rPr>
      </w:pPr>
    </w:p>
    <w:p w14:paraId="7AF1BD7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Os trabalhadores imigrantes chegavam ao Brasil, se instalavam e começavam a ganhar a vida percebendo que o Brasil estava longe de ser o país das oportunidades, em que poderiam melhorar de vida e ajudar suas famílias. As condições de trabalho dos imigrantes e ex-escravos nas fábricas</w:t>
      </w:r>
      <w:r w:rsidRPr="00244AE1">
        <w:rPr>
          <w:rFonts w:ascii="Times New Roman" w:eastAsia="Times New Roman" w:hAnsi="Times New Roman" w:cs="Times New Roman"/>
          <w:color w:val="000000"/>
          <w:sz w:val="24"/>
          <w:szCs w:val="24"/>
          <w:vertAlign w:val="superscript"/>
          <w:lang w:eastAsia="pt-BR"/>
        </w:rPr>
        <w:footnoteReference w:id="141"/>
      </w:r>
      <w:r w:rsidRPr="00244AE1">
        <w:rPr>
          <w:rFonts w:ascii="Times New Roman" w:eastAsia="Times New Roman" w:hAnsi="Times New Roman" w:cs="Times New Roman"/>
          <w:color w:val="000000"/>
          <w:sz w:val="24"/>
          <w:szCs w:val="24"/>
          <w:lang w:eastAsia="pt-BR"/>
        </w:rPr>
        <w:t xml:space="preserve"> eram tão ruins que não foram poucas as queixas de trabalhadores estrangeiros a seus governos sobre as inóspitas condições de vida no Brasil em fins do século XIX e início do século XX. </w:t>
      </w:r>
    </w:p>
    <w:p w14:paraId="26FEC01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Foram os trabalhadores do sul da Europa, da Espanha, Itália e Portugal que trouxeram a ideologia anarquista consigo. Nos seus países de origem, entre os operários europeus, o anarquismo era mais representativo do que o marxismo na luta por um mundo mais justo. </w:t>
      </w:r>
    </w:p>
    <w:p w14:paraId="161B48C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Os governos dos países de onde vinha a grande maioria dos trabalhadores imigrantes consideravam as ideias anarquistas perigosas e viam com bons olhos a possibilidade de se ver livres desses indivíduos agitadores que influenciavam e revolucionavam os trabalhadores locais. Alguns anarquistas europeus, inspirados pelo lema “propaganda pelo fato”, participaram ativamente da organização do proletariado local, de greves, de insurreições armadas, revoltas de trabalhadores, dando vida ao sindicalismo revolucionário, em seus respectivos países. </w:t>
      </w:r>
    </w:p>
    <w:p w14:paraId="2FC3FD1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 principal temor das elites europeias era que revoltas de trabalhadores pudessem se transformar em uma revolução. Portanto, o êxodo de trabalhadores para os países da América, entre eles militantes anarquistas, foi estimulado e praticado por alguns governos europeus, o que resolvia também a questão do crescimento demográfico dentro de suas fronteiras. </w:t>
      </w:r>
    </w:p>
    <w:p w14:paraId="0CD24749"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Na Inglaterra e Alemanha o socialismo era mais forte. Já Barcelona, a maior cidade industrial da Espanha, era conhecida como a “capital do anarquismo”.</w:t>
      </w:r>
      <w:r w:rsidRPr="00244AE1">
        <w:rPr>
          <w:rFonts w:ascii="Times New Roman" w:eastAsia="Times New Roman" w:hAnsi="Times New Roman" w:cs="Times New Roman"/>
          <w:color w:val="000000"/>
          <w:sz w:val="24"/>
          <w:szCs w:val="24"/>
          <w:vertAlign w:val="superscript"/>
          <w:lang w:eastAsia="pt-BR"/>
        </w:rPr>
        <w:footnoteReference w:id="142"/>
      </w:r>
    </w:p>
    <w:p w14:paraId="7A0577C2"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Famosos militantes anarquistas espanhóis, portugueses e italianos vieram tentar ganhar a vida nos países da América, muitos deles foram expulsos pelos governos de seus países. O importante militante anarquista italiano Errico Malatesta saiu da Itália em 1878 rumo ao Egito, fruto da intensa vigilância e perseguição policial, após amargar anos de confinamento por causa de suas atividades revolucionárias em solo italiano. De 1885 até 1889 viveu na Argentina, sobrevivendo com o trabalho em uma oficina mecânica. Nesses anos em que viveu na América continuou sua militância anarquista publicando jornais na língua italiana e espanhola com o objetivo de propagar a ideologia libertária no país portenho. Não chegou a viver no Brasil. Malatesta foi um dos mais destacados militantes libertários e o fixar moradia por tantos anos no continente americano mostra a importância do continente americano na vida desses imigrantes </w:t>
      </w:r>
    </w:p>
    <w:p w14:paraId="3ED04F2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Outro militante anarquista italiano que desempenhou importante papel em solo latino-americano foi Oreste Ristori. Uma importante fonte de estudo sobre a vida de Ristori e consequentemente de parte do movimento anarquista é a biografia </w:t>
      </w:r>
      <w:r w:rsidRPr="00244AE1">
        <w:rPr>
          <w:rFonts w:ascii="Times New Roman" w:eastAsia="Times New Roman" w:hAnsi="Times New Roman" w:cs="Times New Roman"/>
          <w:i/>
          <w:color w:val="000000"/>
          <w:sz w:val="24"/>
          <w:szCs w:val="24"/>
          <w:lang w:eastAsia="pt-BR"/>
        </w:rPr>
        <w:t>“Oreste Ristori, uma aventura anarquista”</w:t>
      </w:r>
      <w:r w:rsidRPr="00244AE1">
        <w:rPr>
          <w:rFonts w:ascii="Times New Roman" w:eastAsia="Times New Roman" w:hAnsi="Times New Roman" w:cs="Times New Roman"/>
          <w:color w:val="000000"/>
          <w:sz w:val="24"/>
          <w:szCs w:val="24"/>
          <w:lang w:eastAsia="pt-BR"/>
        </w:rPr>
        <w:t xml:space="preserve"> de autoria de Carlo Romani. Assim como Malatesta, foi para a Argentina inicialmente, depois para o Uruguai e dali seguiu para o Brasil. Em São Paulo, criou em 1904 o jornal em italiano </w:t>
      </w:r>
      <w:r w:rsidRPr="00244AE1">
        <w:rPr>
          <w:rFonts w:ascii="Times New Roman" w:eastAsia="Times New Roman" w:hAnsi="Times New Roman" w:cs="Times New Roman"/>
          <w:i/>
          <w:color w:val="000000"/>
          <w:sz w:val="24"/>
          <w:szCs w:val="24"/>
          <w:lang w:eastAsia="pt-BR"/>
        </w:rPr>
        <w:t>La Battaglia</w:t>
      </w:r>
      <w:r w:rsidRPr="00244AE1">
        <w:rPr>
          <w:rFonts w:ascii="Times New Roman" w:eastAsia="Times New Roman" w:hAnsi="Times New Roman" w:cs="Times New Roman"/>
          <w:color w:val="000000"/>
          <w:sz w:val="24"/>
          <w:szCs w:val="24"/>
          <w:lang w:eastAsia="pt-BR"/>
        </w:rPr>
        <w:t xml:space="preserve">, com objetivo de expor suas ideias libertárias. Participou de inúmeras conferências por todo o Brasil, expondo o anarquismo, mobilizando e agitando os trabalhadores. Era excelente orador e homem pronto para ação. Em 1911, Ristori usou o referido semanário para analisar a situação do trabalhador em terras brasileiras: </w:t>
      </w:r>
    </w:p>
    <w:p w14:paraId="587A5B5F" w14:textId="77777777" w:rsidR="00244AE1" w:rsidRPr="008C7806" w:rsidRDefault="00244AE1" w:rsidP="008C7806">
      <w:pPr>
        <w:spacing w:after="0" w:line="240" w:lineRule="auto"/>
        <w:ind w:firstLine="708"/>
        <w:jc w:val="both"/>
        <w:rPr>
          <w:rFonts w:ascii="Times New Roman" w:eastAsia="Times New Roman" w:hAnsi="Times New Roman" w:cs="Times New Roman"/>
          <w:i/>
          <w:color w:val="000000"/>
          <w:lang w:eastAsia="pt-BR"/>
        </w:rPr>
      </w:pPr>
    </w:p>
    <w:p w14:paraId="6910262C" w14:textId="77777777" w:rsidR="00244AE1" w:rsidRPr="008C7806" w:rsidRDefault="00244AE1" w:rsidP="008C7806">
      <w:pPr>
        <w:spacing w:after="0" w:line="240" w:lineRule="auto"/>
        <w:ind w:left="1418"/>
        <w:jc w:val="both"/>
        <w:rPr>
          <w:rFonts w:ascii="Times New Roman" w:eastAsia="Times New Roman" w:hAnsi="Times New Roman" w:cs="Times New Roman"/>
          <w:color w:val="000000"/>
          <w:lang w:eastAsia="pt-BR"/>
        </w:rPr>
      </w:pPr>
      <w:r w:rsidRPr="008C7806">
        <w:rPr>
          <w:rFonts w:ascii="Times New Roman" w:eastAsia="Times New Roman" w:hAnsi="Times New Roman" w:cs="Times New Roman"/>
          <w:color w:val="000000"/>
          <w:lang w:eastAsia="pt-BR"/>
        </w:rPr>
        <w:t>“A jornada de trabalho, aqui, como em qualquer país, vai de 10 a 13 ou 14 horas por dia; os salários não são melhores do que os da Europa, quando se considera os preços dos gêneros e da moradia é aqui mais alto. A vida horrorosa, infernal das fazendas é desconhecida na Europa. O trabalhador dos campos aqui trabalha quatorze a quinze horas por dia e vive em imundas pocilgas de barro”. (Dulles, 1977:20).</w:t>
      </w:r>
    </w:p>
    <w:p w14:paraId="2B955DF2" w14:textId="77777777" w:rsidR="00244AE1" w:rsidRPr="008C7806" w:rsidRDefault="00244AE1" w:rsidP="008C7806">
      <w:pPr>
        <w:spacing w:after="0" w:line="240" w:lineRule="auto"/>
        <w:ind w:firstLine="708"/>
        <w:jc w:val="both"/>
        <w:rPr>
          <w:rFonts w:ascii="Times New Roman" w:eastAsia="Times New Roman" w:hAnsi="Times New Roman" w:cs="Times New Roman"/>
          <w:i/>
          <w:color w:val="000000"/>
          <w:lang w:eastAsia="pt-BR"/>
        </w:rPr>
      </w:pPr>
    </w:p>
    <w:p w14:paraId="1C41DF5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Tal análise feita pelo imigrante italiano Oreste Ristori, nos permite encontrar algumas semelhanças entre a intensa exploração que o trabalhador estava submetido nos países do sul da Europa, com aquela que o anarquista encontrou no Brasil. Assim como nos países europeus de origem de muitos militantes anarquistas o anarquismo no Brasil também criou raízes e se desenvolveu, tornando-se a principal e mais combativa ideologia a defender os interesses dos trabalhadores que tentavam sobreviver. </w:t>
      </w:r>
    </w:p>
    <w:p w14:paraId="2621B89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1889, chegou em terras brasileiras, ainda jovem, outro imigrante italiano, que seria um dos mais importantes militantes anarquistas no Brasil: Gigi Damiani, que já havia amargado penas de prisão na Itália. Ficou seis anos no Paraná, onde exerceu o ofício de pintor. Fundou em Curitiba o jornal proletário </w:t>
      </w:r>
      <w:r w:rsidRPr="00244AE1">
        <w:rPr>
          <w:rFonts w:ascii="Times New Roman" w:eastAsia="Times New Roman" w:hAnsi="Times New Roman" w:cs="Times New Roman"/>
          <w:i/>
          <w:color w:val="000000"/>
          <w:sz w:val="24"/>
          <w:szCs w:val="24"/>
          <w:lang w:eastAsia="pt-BR"/>
        </w:rPr>
        <w:t xml:space="preserve">O Direito </w:t>
      </w:r>
      <w:r w:rsidRPr="00244AE1">
        <w:rPr>
          <w:rFonts w:ascii="Times New Roman" w:eastAsia="Times New Roman" w:hAnsi="Times New Roman" w:cs="Times New Roman"/>
          <w:color w:val="000000"/>
          <w:sz w:val="24"/>
          <w:szCs w:val="24"/>
          <w:lang w:eastAsia="pt-BR"/>
        </w:rPr>
        <w:t xml:space="preserve">com objetivo de influenciar os trabalhadores curitibanos, em sua grande maioria de origem alemã e polonesa. Foi depois para São Paulo, onde, durante vários anos, colaborou com Ristori em seu jornal </w:t>
      </w:r>
      <w:r w:rsidRPr="00244AE1">
        <w:rPr>
          <w:rFonts w:ascii="Times New Roman" w:eastAsia="Times New Roman" w:hAnsi="Times New Roman" w:cs="Times New Roman"/>
          <w:i/>
          <w:color w:val="000000"/>
          <w:sz w:val="24"/>
          <w:szCs w:val="24"/>
          <w:lang w:eastAsia="pt-BR"/>
        </w:rPr>
        <w:t>La Battaglia</w:t>
      </w:r>
      <w:r w:rsidRPr="00244AE1">
        <w:rPr>
          <w:rFonts w:ascii="Times New Roman" w:eastAsia="Times New Roman" w:hAnsi="Times New Roman" w:cs="Times New Roman"/>
          <w:color w:val="000000"/>
          <w:sz w:val="24"/>
          <w:szCs w:val="24"/>
          <w:lang w:eastAsia="pt-BR"/>
        </w:rPr>
        <w:t>, e com outros semanários anarquistas. Foi um homem conhecido por suas poucas palavras e intensa atividade militante.</w:t>
      </w:r>
    </w:p>
    <w:p w14:paraId="76B3443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Everardo Dias e Florentino de Carvalho (pseudônimo de Primitivo Raimundo Soares) foram dois importantes imigrantes espanhóis, que chegaram no Brasil ainda crianças e aqui tornaram-se destacados militantes libertários. Em 1887, Everardo Dias </w:t>
      </w:r>
      <w:r w:rsidRPr="00244AE1">
        <w:rPr>
          <w:rFonts w:ascii="Times New Roman" w:eastAsia="Times New Roman" w:hAnsi="Times New Roman" w:cs="Times New Roman"/>
          <w:color w:val="000000"/>
          <w:sz w:val="24"/>
          <w:szCs w:val="24"/>
          <w:lang w:eastAsia="pt-BR"/>
        </w:rPr>
        <w:lastRenderedPageBreak/>
        <w:t>tinha apenas dois anos de idade quando chegou no Brasil. Ao constatarmos a tenra idade de ambos quando chegaram às terras brasileiras fica evidente que adotaram o anarquismo aqui no Brasil. Tal fato demonstra que o anarquismo encontrou aqui condições específicas para se desenvolver ao ponto de se tornar uma ideologia de enorme combatividade na luta da defesa dos interesses do proletariado. Não é demais ressaltar que nem todos os imigrantes que vieram para o Brasil eram anarquistas.</w:t>
      </w:r>
    </w:p>
    <w:p w14:paraId="564D814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Florentino de Carvalho chegou bem novo e cresceu no Brasil. Alistou-se na Força Pública de São Paulo, na qual chegou a cabo. Encontrou por acaso, em uma livraria de São Paulo, um exemplar do livro </w:t>
      </w:r>
      <w:r w:rsidRPr="00244AE1">
        <w:rPr>
          <w:rFonts w:ascii="Times New Roman" w:eastAsia="Times New Roman" w:hAnsi="Times New Roman" w:cs="Times New Roman"/>
          <w:i/>
          <w:color w:val="000000"/>
          <w:sz w:val="24"/>
          <w:szCs w:val="24"/>
          <w:lang w:eastAsia="pt-BR"/>
        </w:rPr>
        <w:t xml:space="preserve">A Conquista do Pão, </w:t>
      </w:r>
      <w:r w:rsidRPr="00244AE1">
        <w:rPr>
          <w:rFonts w:ascii="Times New Roman" w:eastAsia="Times New Roman" w:hAnsi="Times New Roman" w:cs="Times New Roman"/>
          <w:color w:val="000000"/>
          <w:sz w:val="24"/>
          <w:szCs w:val="24"/>
          <w:lang w:eastAsia="pt-BR"/>
        </w:rPr>
        <w:t xml:space="preserve">de Kropotkin. O livro influenciou a sua vida a ponto de pedir baixa na Força Pública e ir trabalhar nas docas como estivador </w:t>
      </w:r>
      <w:proofErr w:type="gramStart"/>
      <w:r w:rsidRPr="00244AE1">
        <w:rPr>
          <w:rFonts w:ascii="Times New Roman" w:eastAsia="Times New Roman" w:hAnsi="Times New Roman" w:cs="Times New Roman"/>
          <w:color w:val="000000"/>
          <w:sz w:val="24"/>
          <w:szCs w:val="24"/>
          <w:lang w:eastAsia="pt-BR"/>
        </w:rPr>
        <w:t>e também</w:t>
      </w:r>
      <w:proofErr w:type="gramEnd"/>
      <w:r w:rsidRPr="00244AE1">
        <w:rPr>
          <w:rFonts w:ascii="Times New Roman" w:eastAsia="Times New Roman" w:hAnsi="Times New Roman" w:cs="Times New Roman"/>
          <w:color w:val="000000"/>
          <w:sz w:val="24"/>
          <w:szCs w:val="24"/>
          <w:lang w:eastAsia="pt-BR"/>
        </w:rPr>
        <w:t xml:space="preserve"> como tipógrafo, como Proudhon. Tornou-se um importante líder anarquista, sindicalista, intensamente perseguido pela polícia. A ligação desses imigrantes anarquistas com o Brasil foi tão intensa que mesmo depois de terem sido expulsos pelo governo brasileiro, considerados perigosos agitadores, regressaram para o Brasil, como foi o caso de Oreste Ristori, Gigi Damiani, Everardo Dias e Florentino de Carvalho </w:t>
      </w:r>
    </w:p>
    <w:p w14:paraId="76660FC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Enquanto os militantes anarquistas tentavam organizar o proletariado nas duas principais cidades do país, Rio de Janeiro e São Paulo, um grupo de imigrantes italianos tentou criar uma colônia anarquista no interior do Paraná, em 1890. Nesse período não existia uma presença significativa de anarquistas nas cidades brasileiras. Ainda na Itália, o anarquista italiano Giovanni Rossi solicitou ao governo de D. Pedro II uma autorização para que um grupo de imigrantes italianos colonizassem terras no interior do Paraná. O governo brasileiro permitiu a empreitada. A experiência de colonização anarquista na referida região ficou conhecida como Colônia Cecília. Em 20 de janeiro de 1890, partiu do porto de Gênova o navio </w:t>
      </w:r>
      <w:r w:rsidRPr="00244AE1">
        <w:rPr>
          <w:rFonts w:ascii="Times New Roman" w:eastAsia="Times New Roman" w:hAnsi="Times New Roman" w:cs="Times New Roman"/>
          <w:i/>
          <w:color w:val="000000"/>
          <w:sz w:val="24"/>
          <w:szCs w:val="24"/>
          <w:lang w:eastAsia="pt-BR"/>
        </w:rPr>
        <w:t>Cittá di Roma</w:t>
      </w:r>
      <w:r w:rsidRPr="00244AE1">
        <w:rPr>
          <w:rFonts w:ascii="Times New Roman" w:eastAsia="Times New Roman" w:hAnsi="Times New Roman" w:cs="Times New Roman"/>
          <w:color w:val="000000"/>
          <w:sz w:val="24"/>
          <w:szCs w:val="24"/>
          <w:lang w:eastAsia="pt-BR"/>
        </w:rPr>
        <w:t>, com vários imigrantes. Foram liderados por Giovanni Rossi, agrônomo de 35 anos e tiveram por objetivo de criar uma comunidade anarquista no interior do Brasil. O navio, ao entrar nas águas do Rio de Janeiro, causou bela impressão a eles:</w:t>
      </w:r>
    </w:p>
    <w:p w14:paraId="447951D0" w14:textId="77777777" w:rsidR="00244AE1" w:rsidRPr="00244AE1" w:rsidRDefault="00244AE1" w:rsidP="008C7806">
      <w:pPr>
        <w:spacing w:after="0" w:line="240" w:lineRule="auto"/>
        <w:ind w:left="1418"/>
        <w:jc w:val="both"/>
        <w:rPr>
          <w:rFonts w:ascii="Times New Roman" w:eastAsia="Times New Roman" w:hAnsi="Times New Roman" w:cs="Times New Roman"/>
          <w:color w:val="000000"/>
          <w:sz w:val="24"/>
          <w:szCs w:val="24"/>
          <w:lang w:eastAsia="pt-BR"/>
        </w:rPr>
      </w:pPr>
      <w:r w:rsidRPr="008C7806">
        <w:rPr>
          <w:rFonts w:ascii="Times New Roman" w:eastAsia="Times New Roman" w:hAnsi="Times New Roman" w:cs="Times New Roman"/>
          <w:color w:val="000000"/>
          <w:lang w:eastAsia="pt-BR"/>
        </w:rPr>
        <w:t>“Entramos na baía majestosa do Rio de Janeiro. O espetáculo é tão imponente pela elevada cadeia de montanhas que rodeia o espelho amplo das águas, tão pitoresco em virtude das belas construções espalhadas sobre as costas e nas pequenas ilhas, tão gentil por todos matizes de verde que oferecem à vista os morros ornados por elegantes palmeiras, tão</w:t>
      </w:r>
      <w:r w:rsidRPr="00244AE1">
        <w:rPr>
          <w:rFonts w:ascii="Times New Roman" w:eastAsia="Times New Roman" w:hAnsi="Times New Roman" w:cs="Times New Roman"/>
          <w:color w:val="000000"/>
          <w:sz w:val="24"/>
          <w:szCs w:val="24"/>
          <w:lang w:eastAsia="pt-BR"/>
        </w:rPr>
        <w:t xml:space="preserve"> fulgurantes graças ao sol que resplandece entre o azul do céu e o verde claro do mar, tão eloquente em </w:t>
      </w:r>
      <w:r w:rsidRPr="008C7806">
        <w:rPr>
          <w:rFonts w:ascii="Times New Roman" w:eastAsia="Times New Roman" w:hAnsi="Times New Roman" w:cs="Times New Roman"/>
          <w:color w:val="000000"/>
          <w:lang w:eastAsia="pt-BR"/>
        </w:rPr>
        <w:lastRenderedPageBreak/>
        <w:t>sua linguagem universal que cada passageiro, seja qual for sua condição e cultura, levanta o rosto e exclama: -Ah! Como é lindo!” (Lopes, 2013:23).</w:t>
      </w:r>
    </w:p>
    <w:p w14:paraId="7D447BB0"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p>
    <w:p w14:paraId="474A1B0E"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Errico Malatesta desaprovou esse tipo de experiência libertária, e em uma carta enviada ao amigo Vito Panzacchi, escreveu: </w:t>
      </w:r>
    </w:p>
    <w:p w14:paraId="00FCB557" w14:textId="77777777" w:rsidR="00244AE1" w:rsidRPr="00244AE1" w:rsidRDefault="00244AE1" w:rsidP="002150E8">
      <w:pPr>
        <w:spacing w:after="0" w:line="360" w:lineRule="auto"/>
        <w:ind w:left="1416"/>
        <w:jc w:val="both"/>
        <w:rPr>
          <w:rFonts w:ascii="Times New Roman" w:eastAsia="Times New Roman" w:hAnsi="Times New Roman" w:cs="Times New Roman"/>
          <w:color w:val="000000"/>
          <w:sz w:val="24"/>
          <w:szCs w:val="24"/>
          <w:lang w:eastAsia="pt-BR"/>
        </w:rPr>
      </w:pPr>
    </w:p>
    <w:p w14:paraId="79C5887E" w14:textId="77777777" w:rsidR="00244AE1" w:rsidRPr="008C7806" w:rsidRDefault="00244AE1" w:rsidP="008C7806">
      <w:pPr>
        <w:spacing w:after="0" w:line="240" w:lineRule="auto"/>
        <w:ind w:left="1418"/>
        <w:jc w:val="both"/>
        <w:rPr>
          <w:rFonts w:ascii="Times New Roman" w:eastAsia="Times New Roman" w:hAnsi="Times New Roman" w:cs="Times New Roman"/>
          <w:color w:val="000000"/>
          <w:lang w:eastAsia="pt-BR"/>
        </w:rPr>
      </w:pPr>
      <w:r w:rsidRPr="008C7806">
        <w:rPr>
          <w:rFonts w:ascii="Times New Roman" w:eastAsia="Times New Roman" w:hAnsi="Times New Roman" w:cs="Times New Roman"/>
          <w:color w:val="000000"/>
          <w:lang w:eastAsia="pt-BR"/>
        </w:rPr>
        <w:t xml:space="preserve">“Quanto à empresa de Rossi, eu a deploro, porque oferece aos oprimidos a vã esperança de se emanciparem sem a necessidade de revolução, Se Rossi quer fazer sua experiência, que a faça, mas deixe em paz os revolucionários, recolha os trabalhadores mais pobres, em embrutecidos, e faça a nobre tentativa de elevá-los à dignidade. Vá, portanto, Rossi ao Brasil repetir tardiamente, quando o problema </w:t>
      </w:r>
      <w:proofErr w:type="gramStart"/>
      <w:r w:rsidRPr="008C7806">
        <w:rPr>
          <w:rFonts w:ascii="Times New Roman" w:eastAsia="Times New Roman" w:hAnsi="Times New Roman" w:cs="Times New Roman"/>
          <w:color w:val="000000"/>
          <w:lang w:eastAsia="pt-BR"/>
        </w:rPr>
        <w:t>tornou-se</w:t>
      </w:r>
      <w:proofErr w:type="gramEnd"/>
      <w:r w:rsidRPr="008C7806">
        <w:rPr>
          <w:rFonts w:ascii="Times New Roman" w:eastAsia="Times New Roman" w:hAnsi="Times New Roman" w:cs="Times New Roman"/>
          <w:color w:val="000000"/>
          <w:lang w:eastAsia="pt-BR"/>
        </w:rPr>
        <w:t xml:space="preserve"> gigante e reclama soluções urgentes, a experiência de diletantes com as quais precursores do socialismo encheram a primeira metade do século. Os revolucionários continuem em seu posto de luta”.</w:t>
      </w:r>
      <w:r w:rsidRPr="008C7806">
        <w:rPr>
          <w:rFonts w:ascii="Times New Roman" w:eastAsia="Times New Roman" w:hAnsi="Times New Roman" w:cs="Times New Roman"/>
          <w:color w:val="000000"/>
          <w:vertAlign w:val="superscript"/>
          <w:lang w:eastAsia="pt-BR"/>
        </w:rPr>
        <w:footnoteReference w:id="143"/>
      </w:r>
    </w:p>
    <w:p w14:paraId="2A124B54" w14:textId="77777777" w:rsidR="00244AE1" w:rsidRPr="00244AE1" w:rsidRDefault="00244AE1" w:rsidP="002150E8">
      <w:pPr>
        <w:spacing w:after="0" w:line="360" w:lineRule="auto"/>
        <w:ind w:left="1418"/>
        <w:jc w:val="both"/>
        <w:rPr>
          <w:rFonts w:ascii="Times New Roman" w:eastAsia="Times New Roman" w:hAnsi="Times New Roman" w:cs="Times New Roman"/>
          <w:color w:val="000000"/>
          <w:sz w:val="24"/>
          <w:szCs w:val="24"/>
          <w:lang w:eastAsia="pt-BR"/>
        </w:rPr>
      </w:pPr>
    </w:p>
    <w:p w14:paraId="1AE096C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Imigrantes anarquistas portugueses também desempenharam importante papel no Brasil. O principal deles foi Neno Vasco (Gregório Nazianzeno Moreira de Queirós e Vasconcelos). Formado advogado pela Universidade de Coimbra e filho de pai rico, chegou no Brasil em 1901 e logo se juntou a um grupo de anarquistas italianos que viviam em São Paulo. Em 1902 dirigiu o jornal anarquista </w:t>
      </w:r>
      <w:r w:rsidRPr="00244AE1">
        <w:rPr>
          <w:rFonts w:ascii="Times New Roman" w:eastAsia="Times New Roman" w:hAnsi="Times New Roman" w:cs="Times New Roman"/>
          <w:i/>
          <w:color w:val="000000"/>
          <w:sz w:val="24"/>
          <w:szCs w:val="24"/>
          <w:lang w:eastAsia="pt-BR"/>
        </w:rPr>
        <w:t>O Amigo do Povo,</w:t>
      </w:r>
      <w:r w:rsidRPr="00244AE1">
        <w:rPr>
          <w:rFonts w:ascii="Times New Roman" w:eastAsia="Times New Roman" w:hAnsi="Times New Roman" w:cs="Times New Roman"/>
          <w:color w:val="000000"/>
          <w:sz w:val="24"/>
          <w:szCs w:val="24"/>
          <w:lang w:eastAsia="pt-BR"/>
        </w:rPr>
        <w:t xml:space="preserve"> publicado quase todo em português, com uma página em italiano para a qual Gigi Damiani colaborava do Paraná.</w:t>
      </w:r>
    </w:p>
    <w:p w14:paraId="35053226"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Além de dirigir o jornal </w:t>
      </w:r>
      <w:r w:rsidRPr="00244AE1">
        <w:rPr>
          <w:rFonts w:ascii="Times New Roman" w:eastAsia="Times New Roman" w:hAnsi="Times New Roman" w:cs="Times New Roman"/>
          <w:i/>
          <w:color w:val="000000"/>
          <w:sz w:val="24"/>
          <w:szCs w:val="24"/>
          <w:lang w:eastAsia="pt-BR"/>
        </w:rPr>
        <w:t>O Amigo do Povo,</w:t>
      </w:r>
      <w:r w:rsidRPr="00244AE1">
        <w:rPr>
          <w:rFonts w:ascii="Times New Roman" w:eastAsia="Times New Roman" w:hAnsi="Times New Roman" w:cs="Times New Roman"/>
          <w:color w:val="000000"/>
          <w:sz w:val="24"/>
          <w:szCs w:val="24"/>
          <w:lang w:eastAsia="pt-BR"/>
        </w:rPr>
        <w:t xml:space="preserve"> Neno Vasco fundou e dirigiu o jornal </w:t>
      </w:r>
      <w:r w:rsidRPr="00244AE1">
        <w:rPr>
          <w:rFonts w:ascii="Times New Roman" w:eastAsia="Times New Roman" w:hAnsi="Times New Roman" w:cs="Times New Roman"/>
          <w:i/>
          <w:color w:val="000000"/>
          <w:sz w:val="24"/>
          <w:szCs w:val="24"/>
          <w:lang w:eastAsia="pt-BR"/>
        </w:rPr>
        <w:t xml:space="preserve">A Terra Livre </w:t>
      </w:r>
      <w:r w:rsidRPr="00244AE1">
        <w:rPr>
          <w:rFonts w:ascii="Times New Roman" w:eastAsia="Times New Roman" w:hAnsi="Times New Roman" w:cs="Times New Roman"/>
          <w:color w:val="000000"/>
          <w:sz w:val="24"/>
          <w:szCs w:val="24"/>
          <w:lang w:eastAsia="pt-BR"/>
        </w:rPr>
        <w:t>ao lado de Manoel Moscoso e Edgard Leuenroth</w:t>
      </w:r>
      <w:r w:rsidRPr="00244AE1">
        <w:rPr>
          <w:rFonts w:ascii="Times New Roman" w:eastAsia="Times New Roman" w:hAnsi="Times New Roman" w:cs="Times New Roman"/>
          <w:i/>
          <w:color w:val="000000"/>
          <w:sz w:val="24"/>
          <w:szCs w:val="24"/>
          <w:lang w:eastAsia="pt-BR"/>
        </w:rPr>
        <w:t>,</w:t>
      </w:r>
      <w:r w:rsidRPr="00244AE1">
        <w:rPr>
          <w:rFonts w:ascii="Times New Roman" w:eastAsia="Times New Roman" w:hAnsi="Times New Roman" w:cs="Times New Roman"/>
          <w:color w:val="000000"/>
          <w:sz w:val="24"/>
          <w:szCs w:val="24"/>
          <w:lang w:eastAsia="pt-BR"/>
        </w:rPr>
        <w:t xml:space="preserve"> publicou uma revista chamada </w:t>
      </w:r>
      <w:r w:rsidRPr="00244AE1">
        <w:rPr>
          <w:rFonts w:ascii="Times New Roman" w:eastAsia="Times New Roman" w:hAnsi="Times New Roman" w:cs="Times New Roman"/>
          <w:i/>
          <w:color w:val="000000"/>
          <w:sz w:val="24"/>
          <w:szCs w:val="24"/>
          <w:lang w:eastAsia="pt-BR"/>
        </w:rPr>
        <w:t xml:space="preserve">Aurora </w:t>
      </w:r>
      <w:r w:rsidRPr="00244AE1">
        <w:rPr>
          <w:rFonts w:ascii="Times New Roman" w:eastAsia="Times New Roman" w:hAnsi="Times New Roman" w:cs="Times New Roman"/>
          <w:color w:val="000000"/>
          <w:sz w:val="24"/>
          <w:szCs w:val="24"/>
          <w:lang w:eastAsia="pt-BR"/>
        </w:rPr>
        <w:t xml:space="preserve">e escreveu peças teatrais. É o autor da letra em português de </w:t>
      </w:r>
      <w:r w:rsidRPr="00244AE1">
        <w:rPr>
          <w:rFonts w:ascii="Times New Roman" w:eastAsia="Times New Roman" w:hAnsi="Times New Roman" w:cs="Times New Roman"/>
          <w:i/>
          <w:color w:val="000000"/>
          <w:sz w:val="24"/>
          <w:szCs w:val="24"/>
          <w:lang w:eastAsia="pt-BR"/>
        </w:rPr>
        <w:t>A Internacional</w:t>
      </w:r>
      <w:r w:rsidRPr="00244AE1">
        <w:rPr>
          <w:rFonts w:ascii="Times New Roman" w:eastAsia="Times New Roman" w:hAnsi="Times New Roman" w:cs="Times New Roman"/>
          <w:color w:val="000000"/>
          <w:sz w:val="24"/>
          <w:szCs w:val="24"/>
          <w:lang w:eastAsia="pt-BR"/>
        </w:rPr>
        <w:t xml:space="preserve">. Sua produção literária e militância política lhe renderam a fama de ser o anarquista mais culto do Brasil. Seu jornal </w:t>
      </w:r>
      <w:r w:rsidRPr="00244AE1">
        <w:rPr>
          <w:rFonts w:ascii="Times New Roman" w:eastAsia="Times New Roman" w:hAnsi="Times New Roman" w:cs="Times New Roman"/>
          <w:i/>
          <w:color w:val="000000"/>
          <w:sz w:val="24"/>
          <w:szCs w:val="24"/>
          <w:lang w:eastAsia="pt-BR"/>
        </w:rPr>
        <w:t xml:space="preserve">A Terra Livre </w:t>
      </w:r>
      <w:r w:rsidRPr="00244AE1">
        <w:rPr>
          <w:rFonts w:ascii="Times New Roman" w:eastAsia="Times New Roman" w:hAnsi="Times New Roman" w:cs="Times New Roman"/>
          <w:color w:val="000000"/>
          <w:sz w:val="24"/>
          <w:szCs w:val="24"/>
          <w:lang w:eastAsia="pt-BR"/>
        </w:rPr>
        <w:t>circulou entre 1905 até 1910, primeiramente em São Paulo e depois no Rio de Janeiro e novamente em São Paulo. Quando Neno Vasco voltou para sua terra natal, o jornal deixou de circular.</w:t>
      </w:r>
    </w:p>
    <w:p w14:paraId="2361BE30" w14:textId="77777777" w:rsidR="00244AE1" w:rsidRPr="00244AE1" w:rsidRDefault="00244AE1" w:rsidP="002150E8">
      <w:pPr>
        <w:spacing w:after="0" w:line="360" w:lineRule="auto"/>
        <w:jc w:val="both"/>
        <w:rPr>
          <w:rFonts w:ascii="Times New Roman" w:eastAsia="Times New Roman" w:hAnsi="Times New Roman" w:cs="Times New Roman"/>
          <w:color w:val="000000"/>
          <w:sz w:val="24"/>
          <w:szCs w:val="24"/>
          <w:lang w:eastAsia="pt-BR"/>
        </w:rPr>
      </w:pPr>
    </w:p>
    <w:p w14:paraId="6D139CC3" w14:textId="77777777" w:rsidR="008C7806" w:rsidRDefault="008C7806" w:rsidP="002150E8">
      <w:pPr>
        <w:spacing w:after="0" w:line="360" w:lineRule="auto"/>
        <w:ind w:firstLine="708"/>
        <w:jc w:val="both"/>
        <w:rPr>
          <w:rFonts w:ascii="Times New Roman" w:eastAsia="Times New Roman" w:hAnsi="Times New Roman" w:cs="Times New Roman"/>
          <w:b/>
          <w:color w:val="000000"/>
          <w:sz w:val="24"/>
          <w:szCs w:val="24"/>
          <w:lang w:eastAsia="pt-BR"/>
        </w:rPr>
      </w:pPr>
    </w:p>
    <w:p w14:paraId="25386B14" w14:textId="77777777" w:rsidR="002220E8" w:rsidRDefault="002220E8" w:rsidP="002150E8">
      <w:pPr>
        <w:spacing w:after="0" w:line="360" w:lineRule="auto"/>
        <w:ind w:firstLine="708"/>
        <w:jc w:val="both"/>
        <w:rPr>
          <w:rFonts w:ascii="Times New Roman" w:eastAsia="Times New Roman" w:hAnsi="Times New Roman" w:cs="Times New Roman"/>
          <w:b/>
          <w:color w:val="000000"/>
          <w:sz w:val="24"/>
          <w:szCs w:val="24"/>
          <w:lang w:eastAsia="pt-BR"/>
        </w:rPr>
      </w:pPr>
    </w:p>
    <w:p w14:paraId="77C9FDDE" w14:textId="1D321410" w:rsidR="00244AE1" w:rsidRPr="00244AE1" w:rsidRDefault="00244AE1" w:rsidP="002220E8">
      <w:pPr>
        <w:spacing w:after="0" w:line="360" w:lineRule="auto"/>
        <w:jc w:val="both"/>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lastRenderedPageBreak/>
        <w:t>C</w:t>
      </w:r>
      <w:r w:rsidR="005931F0">
        <w:rPr>
          <w:rFonts w:ascii="Times New Roman" w:eastAsia="Times New Roman" w:hAnsi="Times New Roman" w:cs="Times New Roman"/>
          <w:b/>
          <w:color w:val="000000"/>
          <w:sz w:val="24"/>
          <w:szCs w:val="24"/>
          <w:lang w:eastAsia="pt-BR"/>
        </w:rPr>
        <w:t xml:space="preserve">onclusão </w:t>
      </w:r>
    </w:p>
    <w:p w14:paraId="7AC789DB" w14:textId="77777777" w:rsidR="002220E8" w:rsidRDefault="002220E8" w:rsidP="002220E8">
      <w:pPr>
        <w:spacing w:after="0" w:line="360" w:lineRule="auto"/>
        <w:jc w:val="both"/>
        <w:rPr>
          <w:rFonts w:ascii="Times New Roman" w:eastAsia="Times New Roman" w:hAnsi="Times New Roman" w:cs="Times New Roman"/>
          <w:color w:val="000000"/>
          <w:sz w:val="24"/>
          <w:szCs w:val="24"/>
          <w:lang w:eastAsia="pt-BR"/>
        </w:rPr>
      </w:pPr>
    </w:p>
    <w:p w14:paraId="1B1D23F6" w14:textId="007099C3" w:rsidR="00244AE1" w:rsidRPr="00244AE1" w:rsidRDefault="00244AE1" w:rsidP="00222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É comum associarmos o anarquismo à imigração europeia. Consideramos os heterogêneos contingentes de trabalhadores imigrantes europeus como vetores de entrada da ideologia anarquista em nosso território. No entanto, não podemos cair em alguns erros que consideram todos os imigrantes europeus como militantes anarquistas. É uma análise superficial sobre a entrada do anarquismo no Brasil, pois nem todos imigrantes eram militantes libertários. </w:t>
      </w:r>
    </w:p>
    <w:p w14:paraId="47F9670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Grande parte desses contingentes procurava alcançar uma vida melhor, estavam fugindo da miséria e da ausência de perspectivas de vida que lhes eram impostas em seus países de origem. Outra característica importante dos trabalhadores imigrantes europeus no Brasil, é que alguns eram socialistas e atuaram efetivamente para construir organizações socialistas em nosso país. Publicaram importantes periódicos socialistas, como foi o caso do jornal </w:t>
      </w:r>
      <w:proofErr w:type="gramStart"/>
      <w:r w:rsidRPr="00244AE1">
        <w:rPr>
          <w:rFonts w:ascii="Times New Roman" w:eastAsia="Times New Roman" w:hAnsi="Times New Roman" w:cs="Times New Roman"/>
          <w:i/>
          <w:color w:val="000000"/>
          <w:sz w:val="24"/>
          <w:szCs w:val="24"/>
          <w:lang w:eastAsia="pt-BR"/>
        </w:rPr>
        <w:t>Avanti!</w:t>
      </w:r>
      <w:r w:rsidRPr="00244AE1">
        <w:rPr>
          <w:rFonts w:ascii="Times New Roman" w:eastAsia="Times New Roman" w:hAnsi="Times New Roman" w:cs="Times New Roman"/>
          <w:color w:val="000000"/>
          <w:sz w:val="24"/>
          <w:szCs w:val="24"/>
          <w:lang w:eastAsia="pt-BR"/>
        </w:rPr>
        <w:t>.</w:t>
      </w:r>
      <w:proofErr w:type="gramEnd"/>
      <w:r w:rsidRPr="00244AE1">
        <w:rPr>
          <w:rFonts w:ascii="Times New Roman" w:eastAsia="Times New Roman" w:hAnsi="Times New Roman" w:cs="Times New Roman"/>
          <w:color w:val="000000"/>
          <w:sz w:val="24"/>
          <w:szCs w:val="24"/>
          <w:lang w:eastAsia="pt-BR"/>
        </w:rPr>
        <w:t xml:space="preserve"> Sua publicação era no idioma italiano e foi o veículo de propaganda do Partido Socialista Brasileiro, fundado em 1902. Foi editado por destacados militantes socialistas, entre eles Antonio Piccarolo. Alcançou a circulação e duração de quinze anos. Mesmo com breves interrupções, é considerado um dos principais instrumentos de propaganda socialista no início do século XX no Brasil. O jornalista italiano Vicente Varcica também dirigiu o referido periódico.</w:t>
      </w:r>
      <w:r w:rsidRPr="00244AE1">
        <w:rPr>
          <w:rFonts w:ascii="Times New Roman" w:eastAsia="Times New Roman" w:hAnsi="Times New Roman" w:cs="Times New Roman"/>
          <w:color w:val="000000"/>
          <w:sz w:val="24"/>
          <w:szCs w:val="24"/>
          <w:vertAlign w:val="superscript"/>
          <w:lang w:eastAsia="pt-BR"/>
        </w:rPr>
        <w:footnoteReference w:id="144"/>
      </w:r>
    </w:p>
    <w:p w14:paraId="45F1C557"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Vários trabalhadores imigrantes buscavam apenas melhores condições de vida. Apenas fugiam das inóspitas condições materiais de sobrevivência em seus países de origem. Não eram militantes anarquistas ou socialistas infiltrados no país para propagar uma ideologia específica, ou para organizar trabalhadores brasileiros desorganizados e dóceis às incipientes relações de produção capitalistas em nosso território. Muitas vezes o anarquismo foi associado à imigração italiana. Como se todos os italianos fossem anarquistas. Não eram. Muitos imigrantes portugueses e espanhóis se organizavam politicamente através do anarquismo e </w:t>
      </w:r>
      <w:proofErr w:type="gramStart"/>
      <w:r w:rsidRPr="00244AE1">
        <w:rPr>
          <w:rFonts w:ascii="Times New Roman" w:eastAsia="Times New Roman" w:hAnsi="Times New Roman" w:cs="Times New Roman"/>
          <w:color w:val="000000"/>
          <w:sz w:val="24"/>
          <w:szCs w:val="24"/>
          <w:lang w:eastAsia="pt-BR"/>
        </w:rPr>
        <w:t>haviam</w:t>
      </w:r>
      <w:proofErr w:type="gramEnd"/>
      <w:r w:rsidRPr="00244AE1">
        <w:rPr>
          <w:rFonts w:ascii="Times New Roman" w:eastAsia="Times New Roman" w:hAnsi="Times New Roman" w:cs="Times New Roman"/>
          <w:color w:val="000000"/>
          <w:sz w:val="24"/>
          <w:szCs w:val="24"/>
          <w:lang w:eastAsia="pt-BR"/>
        </w:rPr>
        <w:t xml:space="preserve"> aqueles que não se interessavam pelas ideias libertárias. Alguns trabalhadores europeus se tornaram pequenos comerciantes no </w:t>
      </w:r>
      <w:r w:rsidRPr="00244AE1">
        <w:rPr>
          <w:rFonts w:ascii="Times New Roman" w:eastAsia="Times New Roman" w:hAnsi="Times New Roman" w:cs="Times New Roman"/>
          <w:color w:val="000000"/>
          <w:sz w:val="24"/>
          <w:szCs w:val="24"/>
          <w:lang w:eastAsia="pt-BR"/>
        </w:rPr>
        <w:lastRenderedPageBreak/>
        <w:t>decorrer dos anos no Brasil. Tornaram-se donos de lojas e de pousadas e não retornaram para os seus países de origem.</w:t>
      </w:r>
    </w:p>
    <w:p w14:paraId="672C7FFB" w14:textId="77777777" w:rsidR="00244AE1" w:rsidRPr="00244AE1" w:rsidRDefault="00244AE1" w:rsidP="005931F0">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Em um país distante encontravam diversas dificuldades de adaptação e de sobrevivência. </w:t>
      </w:r>
      <w:r w:rsidRPr="00244AE1">
        <w:rPr>
          <w:rFonts w:ascii="Times New Roman" w:eastAsia="Calibri" w:hAnsi="Times New Roman" w:cs="Times New Roman"/>
          <w:color w:val="000000"/>
          <w:sz w:val="24"/>
          <w:szCs w:val="24"/>
          <w:lang w:eastAsia="pt-BR"/>
        </w:rPr>
        <w:t xml:space="preserve">Seus dois principais objetivos eram trabalho, moradia e consequentemente melhores condições de vida. </w:t>
      </w:r>
      <w:r w:rsidRPr="00244AE1">
        <w:rPr>
          <w:rFonts w:ascii="Times New Roman" w:eastAsia="Times New Roman" w:hAnsi="Times New Roman" w:cs="Times New Roman"/>
          <w:color w:val="000000"/>
          <w:sz w:val="24"/>
          <w:szCs w:val="24"/>
          <w:lang w:eastAsia="pt-BR"/>
        </w:rPr>
        <w:t xml:space="preserve">Muitos perceberam que o sonho de uma vida melhor no Brasil era uma ilusão e enquanto trabalhadores explorados, ao lado dos brasileiros, não restava </w:t>
      </w:r>
      <w:proofErr w:type="gramStart"/>
      <w:r w:rsidRPr="00244AE1">
        <w:rPr>
          <w:rFonts w:ascii="Times New Roman" w:eastAsia="Times New Roman" w:hAnsi="Times New Roman" w:cs="Times New Roman"/>
          <w:color w:val="000000"/>
          <w:sz w:val="24"/>
          <w:szCs w:val="24"/>
          <w:lang w:eastAsia="pt-BR"/>
        </w:rPr>
        <w:t>outra alternativa</w:t>
      </w:r>
      <w:proofErr w:type="gramEnd"/>
      <w:r w:rsidRPr="00244AE1">
        <w:rPr>
          <w:rFonts w:ascii="Times New Roman" w:eastAsia="Times New Roman" w:hAnsi="Times New Roman" w:cs="Times New Roman"/>
          <w:color w:val="000000"/>
          <w:sz w:val="24"/>
          <w:szCs w:val="24"/>
          <w:lang w:eastAsia="pt-BR"/>
        </w:rPr>
        <w:t xml:space="preserve"> a não ser lutar por melhores condições de trabalho e de vida. Aí a ideologia era encarada como uma importante ferramenta de luta contra as inóspitas relações de produção as quais estavam submetidos. </w:t>
      </w:r>
      <w:r w:rsidRPr="00244AE1">
        <w:rPr>
          <w:rFonts w:ascii="Times New Roman" w:eastAsia="Calibri" w:hAnsi="Times New Roman" w:cs="Times New Roman"/>
          <w:color w:val="000000"/>
          <w:sz w:val="24"/>
          <w:szCs w:val="24"/>
          <w:lang w:eastAsia="pt-BR"/>
        </w:rPr>
        <w:t xml:space="preserve">Precisavam fugir da miséria e superar as relações de produção do incipiente capitalismo brasileiro. </w:t>
      </w:r>
    </w:p>
    <w:p w14:paraId="3136B72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Outro erro crasso é considerar que os trabalhadores brasileiros não fossem capazes de criar organizações e estratégias de enfrentamento ao capitalismo. Portanto precisariam da liderança, experiência dos trabalhadores europeus para construir os sindicatos revolucionários e assim organizar o proletariado brasileiro através da ideologia ácrata. Trabalhadores brasileiros protagonizaram diversos episódios de enfrentamento à ordem social vigente. Sindicatos revolucionários, inúmeros periódicos foram criados e desenvolvidos por trabalhadores brasileiros. </w:t>
      </w:r>
    </w:p>
    <w:p w14:paraId="1B1DD78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A imprensa operária foi uma importante estratégia de propagação de ideias sobre a necessidade de luta proletária contra a opressão capitalista em nosso território. Tais periódicos acusavam a inóspita realidade material imposta aos trabalhadores. O período que abrange a segunda metade do século XIX até os anos finais da Primeira República foi de grande publicação e circulação de jornais operários. Foram 343 títulos entre 1858 a 1927. Desse expressivo número, sessenta foram publicados em língua estrangeira. Tal fato demonstra o expressivo quantitativo de jornais na língua local. Claro que os portugueses eram o maior contingente imigrante europeu na Capital da República. Em 1923 circularam 94 jornais operários publicados em português em São Paulo e 97 no Rio de Janeiro.</w:t>
      </w:r>
      <w:r w:rsidRPr="00244AE1">
        <w:rPr>
          <w:rFonts w:ascii="Times New Roman" w:eastAsia="Times New Roman" w:hAnsi="Times New Roman" w:cs="Times New Roman"/>
          <w:color w:val="000000"/>
          <w:sz w:val="24"/>
          <w:szCs w:val="24"/>
          <w:vertAlign w:val="superscript"/>
          <w:lang w:eastAsia="pt-BR"/>
        </w:rPr>
        <w:footnoteReference w:id="145"/>
      </w:r>
      <w:r w:rsidRPr="00244AE1">
        <w:rPr>
          <w:rFonts w:ascii="Times New Roman" w:eastAsia="Times New Roman" w:hAnsi="Times New Roman" w:cs="Times New Roman"/>
          <w:color w:val="000000"/>
          <w:sz w:val="24"/>
          <w:szCs w:val="24"/>
          <w:lang w:eastAsia="pt-BR"/>
        </w:rPr>
        <w:t xml:space="preserve"> </w:t>
      </w:r>
    </w:p>
    <w:p w14:paraId="62E2D10D"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O mais famoso e prolífico editor de jornais anarquistas no Brasil foi Edgard Frederico Leuenroth</w:t>
      </w:r>
      <w:r w:rsidRPr="00244AE1">
        <w:rPr>
          <w:rFonts w:ascii="Times New Roman" w:eastAsia="Times New Roman" w:hAnsi="Times New Roman" w:cs="Times New Roman"/>
          <w:color w:val="000000"/>
          <w:sz w:val="24"/>
          <w:szCs w:val="24"/>
          <w:vertAlign w:val="superscript"/>
          <w:lang w:eastAsia="pt-BR"/>
        </w:rPr>
        <w:footnoteReference w:id="146"/>
      </w:r>
      <w:r w:rsidRPr="00244AE1">
        <w:rPr>
          <w:rFonts w:ascii="Times New Roman" w:eastAsia="Times New Roman" w:hAnsi="Times New Roman" w:cs="Times New Roman"/>
          <w:color w:val="000000"/>
          <w:sz w:val="24"/>
          <w:szCs w:val="24"/>
          <w:lang w:eastAsia="pt-BR"/>
        </w:rPr>
        <w:t xml:space="preserve"> (1881-1968). Era brasileiro, nascido em Mogi Morim em São Paulo. Publicou sete jornais operários em língua portuguesa. O segundo maior editor de jornais operários foi Antonio Bernardo Canellas</w:t>
      </w:r>
      <w:r w:rsidRPr="00244AE1">
        <w:rPr>
          <w:rFonts w:ascii="Times New Roman" w:eastAsia="Times New Roman" w:hAnsi="Times New Roman" w:cs="Times New Roman"/>
          <w:color w:val="000000"/>
          <w:sz w:val="24"/>
          <w:szCs w:val="24"/>
          <w:vertAlign w:val="superscript"/>
          <w:lang w:eastAsia="pt-BR"/>
        </w:rPr>
        <w:footnoteReference w:id="147"/>
      </w:r>
      <w:r w:rsidRPr="00244AE1">
        <w:rPr>
          <w:rFonts w:ascii="Times New Roman" w:eastAsia="Times New Roman" w:hAnsi="Times New Roman" w:cs="Times New Roman"/>
          <w:color w:val="000000"/>
          <w:sz w:val="24"/>
          <w:szCs w:val="24"/>
          <w:lang w:eastAsia="pt-BR"/>
        </w:rPr>
        <w:t xml:space="preserve"> (1898-?), nascido em Niterói no Rio de Janeiro. Publicou seis periódicos em língua portuguesa.</w:t>
      </w:r>
      <w:r w:rsidRPr="00244AE1">
        <w:rPr>
          <w:rFonts w:ascii="Times New Roman" w:eastAsia="Times New Roman" w:hAnsi="Times New Roman" w:cs="Times New Roman"/>
          <w:color w:val="000000"/>
          <w:sz w:val="24"/>
          <w:szCs w:val="24"/>
          <w:vertAlign w:val="superscript"/>
          <w:lang w:eastAsia="pt-BR"/>
        </w:rPr>
        <w:footnoteReference w:id="148"/>
      </w:r>
      <w:r w:rsidRPr="00244AE1">
        <w:rPr>
          <w:rFonts w:ascii="Times New Roman" w:eastAsia="Times New Roman" w:hAnsi="Times New Roman" w:cs="Times New Roman"/>
          <w:color w:val="000000"/>
          <w:sz w:val="24"/>
          <w:szCs w:val="24"/>
          <w:lang w:eastAsia="pt-BR"/>
        </w:rPr>
        <w:t xml:space="preserve"> Importantes lideranças anarquistas eram brasileiras, como o caso de Fábio Luz, Maria Lacerda de Moura, Domingo Passos, José Oiticica etc. O militante Domingo Passos chegou a ganhar a alcunha de “Bakunin brasileiro” em referência à sua ativa militância no movimento operário. Se fossemos abordar historicamente importantes esses importantes militantes anarquistas brasileiros, seriam necessárias as publicações de vários livros.</w:t>
      </w:r>
    </w:p>
    <w:p w14:paraId="327ACC98"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Existiram imigrantes europeus que chegaram ainda crianças no Brasil e não se envolveram inicialmente com a militância </w:t>
      </w:r>
      <w:proofErr w:type="gramStart"/>
      <w:r w:rsidRPr="00244AE1">
        <w:rPr>
          <w:rFonts w:ascii="Times New Roman" w:eastAsia="Times New Roman" w:hAnsi="Times New Roman" w:cs="Times New Roman"/>
          <w:color w:val="000000"/>
          <w:sz w:val="24"/>
          <w:szCs w:val="24"/>
          <w:lang w:eastAsia="pt-BR"/>
        </w:rPr>
        <w:t>operária .</w:t>
      </w:r>
      <w:proofErr w:type="gramEnd"/>
      <w:r w:rsidRPr="00244AE1">
        <w:rPr>
          <w:rFonts w:ascii="Times New Roman" w:eastAsia="Times New Roman" w:hAnsi="Times New Roman" w:cs="Times New Roman"/>
          <w:color w:val="000000"/>
          <w:sz w:val="24"/>
          <w:szCs w:val="24"/>
          <w:lang w:eastAsia="pt-BR"/>
        </w:rPr>
        <w:t xml:space="preserve"> Ou seja, se tornaram anarquistas em nosso país, quando alcançaram a idade adulta, provavelmente por causa de dolorosas experiências materiais proporcionadas pelos seus envolvimentos no mundo do trabalho ou na experiência do cotidiano urbano. Um exemplo desse processo de desenvolvimento político foi o famoso caso do anarquista espanhol Primitivo Raymundo Soares, que possuía o pseudônimo Florentino de Carvalho. Chegou ainda criança em nosso país, trabalhava como sargento da Força Pública do Estado de São Paulo. Em 1901 entrou em uma livraria e pegou o livro </w:t>
      </w:r>
      <w:r w:rsidRPr="00244AE1">
        <w:rPr>
          <w:rFonts w:ascii="Times New Roman" w:eastAsia="Times New Roman" w:hAnsi="Times New Roman" w:cs="Times New Roman"/>
          <w:i/>
          <w:color w:val="000000"/>
          <w:sz w:val="24"/>
          <w:szCs w:val="24"/>
          <w:lang w:eastAsia="pt-BR"/>
        </w:rPr>
        <w:t>A Conquista do Pão</w:t>
      </w:r>
      <w:r w:rsidRPr="00244AE1">
        <w:rPr>
          <w:rFonts w:ascii="Times New Roman" w:eastAsia="Times New Roman" w:hAnsi="Times New Roman" w:cs="Times New Roman"/>
          <w:i/>
          <w:color w:val="000000"/>
          <w:sz w:val="24"/>
          <w:szCs w:val="24"/>
          <w:vertAlign w:val="superscript"/>
          <w:lang w:eastAsia="pt-BR"/>
        </w:rPr>
        <w:footnoteReference w:id="149"/>
      </w:r>
      <w:r w:rsidRPr="00244AE1">
        <w:rPr>
          <w:rFonts w:ascii="Times New Roman" w:eastAsia="Times New Roman" w:hAnsi="Times New Roman" w:cs="Times New Roman"/>
          <w:color w:val="000000"/>
          <w:sz w:val="24"/>
          <w:szCs w:val="24"/>
          <w:lang w:eastAsia="pt-BR"/>
        </w:rPr>
        <w:t xml:space="preserve"> de autoria do geógrafo anarquista russo Piotr Kropotkin. Em seguida pediu baixa da Força Pública e tornou-se estivador nas docas de Santos. Em seguida tornou-se tipógrafo, mesma profissão do anarquista francês Pierre-Joseph Proudhon (1809-1865). Desenvolveu importante militância libertária entre o movimento operário brasileiro. </w:t>
      </w:r>
    </w:p>
    <w:p w14:paraId="2C07BA23"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Através da análise desses referidos dados estatísticos, é possível afirmar que o movimento operário brasileiro não era liderado e nem protagonizado por militantes </w:t>
      </w:r>
      <w:r w:rsidRPr="00244AE1">
        <w:rPr>
          <w:rFonts w:ascii="Times New Roman" w:eastAsia="Times New Roman" w:hAnsi="Times New Roman" w:cs="Times New Roman"/>
          <w:color w:val="000000"/>
          <w:sz w:val="24"/>
          <w:szCs w:val="24"/>
          <w:lang w:eastAsia="pt-BR"/>
        </w:rPr>
        <w:lastRenderedPageBreak/>
        <w:t>imigrantes. O fato é que trabalhadores brasileiros e imigrantes trabalharam juntos na construção de organismos de resistência e sindicatos revolucionários de enfrentamento e superação do modo de produção capitalista. Os dois maiores editores de jornais anarquistas no Brasil foram dois brasileiros.</w:t>
      </w:r>
    </w:p>
    <w:p w14:paraId="3F7C9F2A"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Além do que, no Brasil, existe um complexo de inferioridade civilizatória. Esse complexo é constantemente estimulado e manipulado pelas elites para domesticar a população e assim manter a propriedade privada dos meios de produção em suas mãos. A origem desse complexo está em nossa História, pois nossa sociedade foi construída sobre os alicerces da colonização portuguesa. Assim foi construído um imaginário, baseados em ideias que consideravam a Europa enquanto referência de desenvolvimento e o nosso país como sinônimo de inferioridade civilizatória. Durante os séculos de domínio português sobre o Brasil, fomos obrigados a aceitar as políticas administrativas metropolitanas que impediram que fossemos capazes de trilhar nossa própria história. </w:t>
      </w:r>
    </w:p>
    <w:p w14:paraId="2AF2EEEB"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Assim foi forjada a ideia de que a Europa era o centro do mundo, um continente com países realmente desenvolvidos, no qual Portugal nos impunha o que consumir, o que pensar e como nos organizar. No decorrer dos séculos tudo o que era oriundo da Europa ganhava um verniz de glamour, era valorizado, visto com fruto de uma cultura superior. </w:t>
      </w:r>
    </w:p>
    <w:p w14:paraId="44C46CFC" w14:textId="77777777" w:rsidR="00244AE1" w:rsidRPr="00244AE1" w:rsidRDefault="00244AE1" w:rsidP="002150E8">
      <w:pPr>
        <w:spacing w:after="0" w:line="360" w:lineRule="auto"/>
        <w:ind w:firstLine="708"/>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Esse modelo de pensamento foi utilizado pelas elites e autoridades para criminalizar a combatividade do movimento operário brasileiro na Primeira República. Assim foi forjada a ideia de que o anarquismo era uma planta exótica prestes a desvirtuar a cordialidade e bondade dos trabalhadores brasileiros. Os imigrantes anarquistas europeus seriam indivíduos desajustados com ideias absurdas, que deveriam ser aprisionados e expulsos do país, pois eles lideravam esse enfrentamento classista contra os patrões. Como se os trabalhadores brasileiros fossem incapazes de organização, de protagonizarem a luta contra todo peso da exploração capitalista nas primeiras décadas do século XX. Claro que existia um objetivo nefasto na propagação desse tipo de pensamento, pois o brasileiro não seria capaz de organizar a luta contra sua exploração. Pois tal enfrentamento seria uma atitude sem sentido, protagonizada por pessoas estrangeiras, estranhas, diferentes e desajustadas.</w:t>
      </w:r>
    </w:p>
    <w:p w14:paraId="3E95E18E" w14:textId="77777777" w:rsidR="00244AE1" w:rsidRPr="00244AE1" w:rsidRDefault="00244AE1" w:rsidP="00244AE1">
      <w:pPr>
        <w:spacing w:after="200" w:line="360" w:lineRule="auto"/>
        <w:rPr>
          <w:rFonts w:ascii="Times New Roman" w:eastAsia="Calibri" w:hAnsi="Times New Roman" w:cs="Times New Roman"/>
          <w:color w:val="000000"/>
          <w:sz w:val="24"/>
          <w:szCs w:val="24"/>
          <w:lang w:eastAsia="pt-BR"/>
        </w:rPr>
      </w:pPr>
    </w:p>
    <w:p w14:paraId="16FACE8B" w14:textId="5400835B" w:rsidR="00244AE1" w:rsidRDefault="00244AE1" w:rsidP="00244AE1">
      <w:pPr>
        <w:spacing w:after="0" w:line="360" w:lineRule="auto"/>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b/>
          <w:color w:val="000000"/>
          <w:sz w:val="24"/>
          <w:szCs w:val="24"/>
          <w:lang w:eastAsia="pt-BR"/>
        </w:rPr>
        <w:lastRenderedPageBreak/>
        <w:t>B</w:t>
      </w:r>
      <w:r w:rsidR="008C7806">
        <w:rPr>
          <w:rFonts w:ascii="Times New Roman" w:eastAsia="Times New Roman" w:hAnsi="Times New Roman" w:cs="Times New Roman"/>
          <w:b/>
          <w:color w:val="000000"/>
          <w:sz w:val="24"/>
          <w:szCs w:val="24"/>
          <w:lang w:eastAsia="pt-BR"/>
        </w:rPr>
        <w:t xml:space="preserve">ibliografia </w:t>
      </w:r>
    </w:p>
    <w:p w14:paraId="32BC158C" w14:textId="77777777" w:rsidR="002220E8" w:rsidRPr="00244AE1" w:rsidRDefault="002220E8" w:rsidP="00244AE1">
      <w:pPr>
        <w:spacing w:after="0" w:line="360" w:lineRule="auto"/>
        <w:rPr>
          <w:rFonts w:ascii="Times New Roman" w:eastAsia="Times New Roman" w:hAnsi="Times New Roman" w:cs="Times New Roman"/>
          <w:b/>
          <w:color w:val="000000"/>
          <w:sz w:val="24"/>
          <w:szCs w:val="24"/>
          <w:lang w:eastAsia="pt-BR"/>
        </w:rPr>
      </w:pPr>
    </w:p>
    <w:p w14:paraId="2ED268B0"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ADDOR, Carlos Augusto. (1986), </w:t>
      </w:r>
      <w:r w:rsidRPr="00244AE1">
        <w:rPr>
          <w:rFonts w:ascii="Times New Roman" w:eastAsia="Times New Roman" w:hAnsi="Times New Roman" w:cs="Times New Roman"/>
          <w:b/>
          <w:color w:val="000000"/>
          <w:sz w:val="24"/>
          <w:szCs w:val="24"/>
          <w:lang w:eastAsia="pt-BR"/>
        </w:rPr>
        <w:t>A insurreição anarquista no Rio de Janeiro</w:t>
      </w:r>
      <w:r w:rsidRPr="00244AE1">
        <w:rPr>
          <w:rFonts w:ascii="Times New Roman" w:eastAsia="Times New Roman" w:hAnsi="Times New Roman" w:cs="Times New Roman"/>
          <w:color w:val="000000"/>
          <w:sz w:val="24"/>
          <w:szCs w:val="24"/>
          <w:lang w:eastAsia="pt-BR"/>
        </w:rPr>
        <w:t>. Rio de Janeiro: Ed. Dois Pontos.</w:t>
      </w:r>
    </w:p>
    <w:p w14:paraId="5906F8A2"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 e Deminicis, Rafael (organizadores). (2009), </w:t>
      </w:r>
      <w:r w:rsidRPr="00244AE1">
        <w:rPr>
          <w:rFonts w:ascii="Times New Roman" w:eastAsia="Times New Roman" w:hAnsi="Times New Roman" w:cs="Times New Roman"/>
          <w:b/>
          <w:color w:val="000000"/>
          <w:sz w:val="24"/>
          <w:szCs w:val="24"/>
          <w:lang w:eastAsia="pt-BR"/>
        </w:rPr>
        <w:t>História do anarquismo no Brasil (2° volume)</w:t>
      </w:r>
      <w:r w:rsidRPr="00244AE1">
        <w:rPr>
          <w:rFonts w:ascii="Times New Roman" w:eastAsia="Times New Roman" w:hAnsi="Times New Roman" w:cs="Times New Roman"/>
          <w:color w:val="000000"/>
          <w:sz w:val="24"/>
          <w:szCs w:val="24"/>
          <w:lang w:eastAsia="pt-BR"/>
        </w:rPr>
        <w:t>. Rio de Janeiro: Achiamé.</w:t>
      </w:r>
    </w:p>
    <w:p w14:paraId="7B7D50BD"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ARENDT, Hannah. (1990), </w:t>
      </w:r>
      <w:r w:rsidRPr="00244AE1">
        <w:rPr>
          <w:rFonts w:ascii="Times New Roman" w:eastAsia="Times New Roman" w:hAnsi="Times New Roman" w:cs="Times New Roman"/>
          <w:b/>
          <w:color w:val="000000"/>
          <w:sz w:val="24"/>
          <w:szCs w:val="24"/>
          <w:lang w:eastAsia="pt-BR"/>
        </w:rPr>
        <w:t>Da revolução</w:t>
      </w:r>
      <w:r w:rsidRPr="00244AE1">
        <w:rPr>
          <w:rFonts w:ascii="Times New Roman" w:eastAsia="Times New Roman" w:hAnsi="Times New Roman" w:cs="Times New Roman"/>
          <w:color w:val="000000"/>
          <w:sz w:val="24"/>
          <w:szCs w:val="24"/>
          <w:lang w:eastAsia="pt-BR"/>
        </w:rPr>
        <w:t>. Brasília: EDUNB/Ed. Ática.</w:t>
      </w:r>
    </w:p>
    <w:tbl>
      <w:tblPr>
        <w:tblW w:w="8610" w:type="dxa"/>
        <w:tblInd w:w="-13" w:type="dxa"/>
        <w:tblLayout w:type="fixed"/>
        <w:tblLook w:val="04A0" w:firstRow="1" w:lastRow="0" w:firstColumn="1" w:lastColumn="0" w:noHBand="0" w:noVBand="1"/>
      </w:tblPr>
      <w:tblGrid>
        <w:gridCol w:w="8374"/>
        <w:gridCol w:w="236"/>
      </w:tblGrid>
      <w:tr w:rsidR="00244AE1" w:rsidRPr="00244AE1" w14:paraId="3C801004" w14:textId="77777777" w:rsidTr="00244AE1">
        <w:tc>
          <w:tcPr>
            <w:tcW w:w="8526" w:type="dxa"/>
            <w:vAlign w:val="center"/>
            <w:hideMark/>
          </w:tcPr>
          <w:p w14:paraId="118F6676"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rPr>
            </w:pPr>
            <w:r w:rsidRPr="00244AE1">
              <w:rPr>
                <w:rFonts w:ascii="Times New Roman" w:eastAsia="Times New Roman" w:hAnsi="Times New Roman" w:cs="Times New Roman"/>
                <w:color w:val="000000"/>
                <w:sz w:val="24"/>
                <w:szCs w:val="24"/>
              </w:rPr>
              <w:t xml:space="preserve">BANDEIRA JÚNIOR, Antonio Francisco. (1901), </w:t>
            </w:r>
            <w:r w:rsidRPr="00244AE1">
              <w:rPr>
                <w:rFonts w:ascii="Times New Roman" w:eastAsia="Times New Roman" w:hAnsi="Times New Roman" w:cs="Times New Roman"/>
                <w:b/>
                <w:color w:val="000000"/>
                <w:sz w:val="24"/>
                <w:szCs w:val="24"/>
              </w:rPr>
              <w:t>A indústria no estado de São Paulo</w:t>
            </w:r>
            <w:r w:rsidRPr="00244AE1">
              <w:rPr>
                <w:rFonts w:ascii="Times New Roman" w:eastAsia="Times New Roman" w:hAnsi="Times New Roman" w:cs="Times New Roman"/>
                <w:color w:val="000000"/>
                <w:sz w:val="24"/>
                <w:szCs w:val="24"/>
              </w:rPr>
              <w:t>. São Paulo: Editora Typ. Do Diário Official.</w:t>
            </w:r>
          </w:p>
        </w:tc>
        <w:tc>
          <w:tcPr>
            <w:tcW w:w="81" w:type="dxa"/>
            <w:vAlign w:val="center"/>
          </w:tcPr>
          <w:p w14:paraId="455A83D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rPr>
            </w:pPr>
          </w:p>
        </w:tc>
      </w:tr>
    </w:tbl>
    <w:p w14:paraId="17F3458B"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BAKUNIN, Michael Alexandrovich. (2014), </w:t>
      </w:r>
      <w:r w:rsidRPr="00244AE1">
        <w:rPr>
          <w:rFonts w:ascii="Times New Roman" w:eastAsia="Times New Roman" w:hAnsi="Times New Roman" w:cs="Times New Roman"/>
          <w:b/>
          <w:color w:val="000000"/>
          <w:sz w:val="24"/>
          <w:szCs w:val="24"/>
          <w:lang w:eastAsia="pt-BR"/>
        </w:rPr>
        <w:t xml:space="preserve">Textos anarquistas. </w:t>
      </w:r>
      <w:r w:rsidRPr="00244AE1">
        <w:rPr>
          <w:rFonts w:ascii="Times New Roman" w:eastAsia="Times New Roman" w:hAnsi="Times New Roman" w:cs="Times New Roman"/>
          <w:color w:val="000000"/>
          <w:sz w:val="24"/>
          <w:szCs w:val="24"/>
          <w:lang w:eastAsia="pt-BR"/>
        </w:rPr>
        <w:t>Porto Alegre: L&amp;PM.</w:t>
      </w:r>
    </w:p>
    <w:p w14:paraId="6ABFA209"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BANDEIRA, Moniz. (2004), </w:t>
      </w:r>
      <w:r w:rsidRPr="00244AE1">
        <w:rPr>
          <w:rFonts w:ascii="Times New Roman" w:eastAsia="Times New Roman" w:hAnsi="Times New Roman" w:cs="Times New Roman"/>
          <w:b/>
          <w:color w:val="000000"/>
          <w:sz w:val="24"/>
          <w:szCs w:val="24"/>
          <w:lang w:eastAsia="pt-BR"/>
        </w:rPr>
        <w:t>O ano vermelho.</w:t>
      </w:r>
      <w:r w:rsidRPr="00244AE1">
        <w:rPr>
          <w:rFonts w:ascii="Times New Roman" w:eastAsia="Times New Roman" w:hAnsi="Times New Roman" w:cs="Times New Roman"/>
          <w:color w:val="000000"/>
          <w:sz w:val="24"/>
          <w:szCs w:val="24"/>
          <w:lang w:eastAsia="pt-BR"/>
        </w:rPr>
        <w:t xml:space="preserve"> São Paulo: Expressão Popular.</w:t>
      </w:r>
    </w:p>
    <w:p w14:paraId="54B82A7B"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BATALHA, Cláudio H. M. (2009), </w:t>
      </w:r>
      <w:r w:rsidRPr="00244AE1">
        <w:rPr>
          <w:rFonts w:ascii="Times New Roman" w:eastAsia="Times New Roman" w:hAnsi="Times New Roman" w:cs="Times New Roman"/>
          <w:b/>
          <w:color w:val="000000"/>
          <w:sz w:val="24"/>
          <w:szCs w:val="24"/>
          <w:lang w:eastAsia="pt-BR"/>
        </w:rPr>
        <w:t>Dicionário do movimento operário.</w:t>
      </w:r>
      <w:r w:rsidRPr="00244AE1">
        <w:rPr>
          <w:rFonts w:ascii="Times New Roman" w:eastAsia="Times New Roman" w:hAnsi="Times New Roman" w:cs="Times New Roman"/>
          <w:color w:val="000000"/>
          <w:sz w:val="24"/>
          <w:szCs w:val="24"/>
          <w:lang w:eastAsia="pt-BR"/>
        </w:rPr>
        <w:t xml:space="preserve"> São Paulo: Perseu Abramo.</w:t>
      </w:r>
    </w:p>
    <w:p w14:paraId="38428A26"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 (2000), </w:t>
      </w:r>
      <w:r w:rsidRPr="00244AE1">
        <w:rPr>
          <w:rFonts w:ascii="Times New Roman" w:eastAsia="Times New Roman" w:hAnsi="Times New Roman" w:cs="Times New Roman"/>
          <w:b/>
          <w:color w:val="000000"/>
          <w:sz w:val="24"/>
          <w:szCs w:val="24"/>
          <w:lang w:eastAsia="pt-BR"/>
        </w:rPr>
        <w:t>O movimento operário na Primeira República</w:t>
      </w:r>
      <w:r w:rsidRPr="00244AE1">
        <w:rPr>
          <w:rFonts w:ascii="Times New Roman" w:eastAsia="Times New Roman" w:hAnsi="Times New Roman" w:cs="Times New Roman"/>
          <w:color w:val="000000"/>
          <w:sz w:val="24"/>
          <w:szCs w:val="24"/>
          <w:lang w:eastAsia="pt-BR"/>
        </w:rPr>
        <w:t xml:space="preserve">. Rio de Janeiro: Jorge Zahar </w:t>
      </w:r>
      <w:proofErr w:type="gramStart"/>
      <w:r w:rsidRPr="00244AE1">
        <w:rPr>
          <w:rFonts w:ascii="Times New Roman" w:eastAsia="Times New Roman" w:hAnsi="Times New Roman" w:cs="Times New Roman"/>
          <w:color w:val="000000"/>
          <w:sz w:val="24"/>
          <w:szCs w:val="24"/>
          <w:lang w:eastAsia="pt-BR"/>
        </w:rPr>
        <w:t>Ed..</w:t>
      </w:r>
      <w:proofErr w:type="gramEnd"/>
    </w:p>
    <w:p w14:paraId="6BBAA8FF"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BLOCH, Marc. (2001), </w:t>
      </w:r>
      <w:r w:rsidRPr="00244AE1">
        <w:rPr>
          <w:rFonts w:ascii="Times New Roman" w:eastAsia="Times New Roman" w:hAnsi="Times New Roman" w:cs="Times New Roman"/>
          <w:b/>
          <w:color w:val="000000"/>
          <w:sz w:val="24"/>
          <w:szCs w:val="24"/>
          <w:lang w:eastAsia="pt-BR"/>
        </w:rPr>
        <w:t>Apologia da História ou o ofício do historiador</w:t>
      </w:r>
      <w:r w:rsidRPr="00244AE1">
        <w:rPr>
          <w:rFonts w:ascii="Times New Roman" w:eastAsia="Times New Roman" w:hAnsi="Times New Roman" w:cs="Times New Roman"/>
          <w:color w:val="000000"/>
          <w:sz w:val="24"/>
          <w:szCs w:val="24"/>
          <w:lang w:eastAsia="pt-BR"/>
        </w:rPr>
        <w:t>. Rio de Janeiro: Jorge Zahar Editores.</w:t>
      </w:r>
    </w:p>
    <w:p w14:paraId="72F22CA1"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BOBBIO, Noberto; MATTEUCCI, N. e PASQUINO G. (1986), </w:t>
      </w:r>
      <w:r w:rsidRPr="00244AE1">
        <w:rPr>
          <w:rFonts w:ascii="Times New Roman" w:eastAsia="Times New Roman" w:hAnsi="Times New Roman" w:cs="Times New Roman"/>
          <w:b/>
          <w:color w:val="000000"/>
          <w:sz w:val="24"/>
          <w:szCs w:val="24"/>
          <w:lang w:eastAsia="pt-BR"/>
        </w:rPr>
        <w:t>Dicionário de política</w:t>
      </w:r>
      <w:r w:rsidRPr="00244AE1">
        <w:rPr>
          <w:rFonts w:ascii="Times New Roman" w:eastAsia="Times New Roman" w:hAnsi="Times New Roman" w:cs="Times New Roman"/>
          <w:color w:val="000000"/>
          <w:sz w:val="24"/>
          <w:szCs w:val="24"/>
          <w:lang w:eastAsia="pt-BR"/>
        </w:rPr>
        <w:t>. Brasília: Editora Universidade de Brasília.</w:t>
      </w:r>
    </w:p>
    <w:p w14:paraId="4FA70F34"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BOSI, Alfredo. (1992), </w:t>
      </w:r>
      <w:r w:rsidRPr="00244AE1">
        <w:rPr>
          <w:rFonts w:ascii="Times New Roman" w:eastAsia="Times New Roman" w:hAnsi="Times New Roman" w:cs="Times New Roman"/>
          <w:b/>
          <w:color w:val="000000"/>
          <w:sz w:val="24"/>
          <w:szCs w:val="24"/>
          <w:lang w:eastAsia="pt-BR"/>
        </w:rPr>
        <w:t>Dialética da colonização</w:t>
      </w:r>
      <w:r w:rsidRPr="00244AE1">
        <w:rPr>
          <w:rFonts w:ascii="Times New Roman" w:eastAsia="Times New Roman" w:hAnsi="Times New Roman" w:cs="Times New Roman"/>
          <w:color w:val="000000"/>
          <w:sz w:val="24"/>
          <w:szCs w:val="24"/>
          <w:lang w:eastAsia="pt-BR"/>
        </w:rPr>
        <w:t>. São Paulo: Companhia das Letras.</w:t>
      </w:r>
    </w:p>
    <w:p w14:paraId="56FF1B53"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BOTTOMORE, Tom. (1988), </w:t>
      </w:r>
      <w:r w:rsidRPr="00244AE1">
        <w:rPr>
          <w:rFonts w:ascii="Times New Roman" w:eastAsia="Times New Roman" w:hAnsi="Times New Roman" w:cs="Times New Roman"/>
          <w:b/>
          <w:color w:val="000000"/>
          <w:sz w:val="24"/>
          <w:szCs w:val="24"/>
          <w:lang w:eastAsia="pt-BR"/>
        </w:rPr>
        <w:t>Dicionário do pensamento marxista</w:t>
      </w:r>
      <w:r w:rsidRPr="00244AE1">
        <w:rPr>
          <w:rFonts w:ascii="Times New Roman" w:eastAsia="Times New Roman" w:hAnsi="Times New Roman" w:cs="Times New Roman"/>
          <w:color w:val="000000"/>
          <w:sz w:val="24"/>
          <w:szCs w:val="24"/>
          <w:lang w:eastAsia="pt-BR"/>
        </w:rPr>
        <w:t>. Rio de Janeiro: Jorge Zahar Editor.</w:t>
      </w:r>
    </w:p>
    <w:p w14:paraId="13C82C67"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BRENER, Jayme. (1998), </w:t>
      </w:r>
      <w:r w:rsidRPr="00244AE1">
        <w:rPr>
          <w:rFonts w:ascii="Times New Roman" w:eastAsia="Times New Roman" w:hAnsi="Times New Roman" w:cs="Times New Roman"/>
          <w:b/>
          <w:color w:val="000000"/>
          <w:sz w:val="24"/>
          <w:szCs w:val="24"/>
          <w:lang w:eastAsia="pt-BR"/>
        </w:rPr>
        <w:t>O jornal do século XX</w:t>
      </w:r>
      <w:r w:rsidRPr="00244AE1">
        <w:rPr>
          <w:rFonts w:ascii="Times New Roman" w:eastAsia="Times New Roman" w:hAnsi="Times New Roman" w:cs="Times New Roman"/>
          <w:color w:val="000000"/>
          <w:sz w:val="24"/>
          <w:szCs w:val="24"/>
          <w:lang w:eastAsia="pt-BR"/>
        </w:rPr>
        <w:t>. São Paulo: Ed. Moderna.</w:t>
      </w:r>
    </w:p>
    <w:p w14:paraId="015C1874"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CANELLAS, Antonio Bernardo. (1920), </w:t>
      </w:r>
      <w:r w:rsidRPr="00244AE1">
        <w:rPr>
          <w:rFonts w:ascii="Times New Roman" w:eastAsia="Times New Roman" w:hAnsi="Times New Roman" w:cs="Times New Roman"/>
          <w:b/>
          <w:color w:val="000000"/>
          <w:sz w:val="24"/>
          <w:szCs w:val="24"/>
          <w:lang w:eastAsia="pt-BR"/>
        </w:rPr>
        <w:t xml:space="preserve">Viagem à Europa em missão da Federação de Resistência das Classes Trabalhadoras de Pernambuco, 21 de janeiro a 6 de setembro de 1919. </w:t>
      </w:r>
      <w:r w:rsidRPr="00244AE1">
        <w:rPr>
          <w:rFonts w:ascii="Times New Roman" w:eastAsia="Times New Roman" w:hAnsi="Times New Roman" w:cs="Times New Roman"/>
          <w:color w:val="000000"/>
          <w:sz w:val="24"/>
          <w:szCs w:val="24"/>
          <w:lang w:eastAsia="pt-BR"/>
        </w:rPr>
        <w:t>Pernambuco.</w:t>
      </w:r>
    </w:p>
    <w:p w14:paraId="4522D3FC"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___________________________. (1923), </w:t>
      </w:r>
      <w:r w:rsidRPr="00244AE1">
        <w:rPr>
          <w:rFonts w:ascii="Times New Roman" w:eastAsia="Times New Roman" w:hAnsi="Times New Roman" w:cs="Times New Roman"/>
          <w:b/>
          <w:color w:val="000000"/>
          <w:sz w:val="24"/>
          <w:szCs w:val="24"/>
          <w:lang w:eastAsia="pt-BR"/>
        </w:rPr>
        <w:t xml:space="preserve">Relatório da delegacia à Rússia como representante do Partido Comunista do Brasil, acompanhado de uma exposição dos </w:t>
      </w:r>
      <w:r w:rsidRPr="00244AE1">
        <w:rPr>
          <w:rFonts w:ascii="Times New Roman" w:eastAsia="Times New Roman" w:hAnsi="Times New Roman" w:cs="Times New Roman"/>
          <w:b/>
          <w:color w:val="000000"/>
          <w:sz w:val="24"/>
          <w:szCs w:val="24"/>
          <w:lang w:eastAsia="pt-BR"/>
        </w:rPr>
        <w:lastRenderedPageBreak/>
        <w:t>motivos que determinaram a minha demissão do C.C.E. do Partido</w:t>
      </w:r>
      <w:r w:rsidRPr="00244AE1">
        <w:rPr>
          <w:rFonts w:ascii="Times New Roman" w:eastAsia="Times New Roman" w:hAnsi="Times New Roman" w:cs="Times New Roman"/>
          <w:color w:val="000000"/>
          <w:sz w:val="24"/>
          <w:szCs w:val="24"/>
          <w:lang w:eastAsia="pt-BR"/>
        </w:rPr>
        <w:t xml:space="preserve">. Rio de </w:t>
      </w:r>
      <w:proofErr w:type="gramStart"/>
      <w:r w:rsidRPr="00244AE1">
        <w:rPr>
          <w:rFonts w:ascii="Times New Roman" w:eastAsia="Times New Roman" w:hAnsi="Times New Roman" w:cs="Times New Roman"/>
          <w:color w:val="000000"/>
          <w:sz w:val="24"/>
          <w:szCs w:val="24"/>
          <w:lang w:eastAsia="pt-BR"/>
        </w:rPr>
        <w:t>Janeiro :</w:t>
      </w:r>
      <w:proofErr w:type="gramEnd"/>
      <w:r w:rsidRPr="00244AE1">
        <w:rPr>
          <w:rFonts w:ascii="Times New Roman" w:eastAsia="Times New Roman" w:hAnsi="Times New Roman" w:cs="Times New Roman"/>
          <w:color w:val="000000"/>
          <w:sz w:val="24"/>
          <w:szCs w:val="24"/>
          <w:lang w:eastAsia="pt-BR"/>
        </w:rPr>
        <w:t xml:space="preserve"> [s.n.].</w:t>
      </w:r>
    </w:p>
    <w:p w14:paraId="642B4D14"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CARONE, Edgard. </w:t>
      </w:r>
      <w:r w:rsidRPr="00244AE1">
        <w:rPr>
          <w:rFonts w:ascii="Times New Roman" w:eastAsia="Times New Roman" w:hAnsi="Times New Roman" w:cs="Times New Roman"/>
          <w:b/>
          <w:color w:val="000000"/>
          <w:sz w:val="24"/>
          <w:szCs w:val="24"/>
          <w:lang w:eastAsia="pt-BR"/>
        </w:rPr>
        <w:t>O PCB – 1922/1943 (1° volume)</w:t>
      </w:r>
      <w:r w:rsidRPr="00244AE1">
        <w:rPr>
          <w:rFonts w:ascii="Times New Roman" w:eastAsia="Times New Roman" w:hAnsi="Times New Roman" w:cs="Times New Roman"/>
          <w:color w:val="000000"/>
          <w:sz w:val="24"/>
          <w:szCs w:val="24"/>
          <w:lang w:eastAsia="pt-BR"/>
        </w:rPr>
        <w:t>. Ed. Bertrand Brasil: São Paulo, 1ª Edição</w:t>
      </w:r>
    </w:p>
    <w:p w14:paraId="6C38D819"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 (1989), </w:t>
      </w:r>
      <w:r w:rsidRPr="00244AE1">
        <w:rPr>
          <w:rFonts w:ascii="Times New Roman" w:eastAsia="Times New Roman" w:hAnsi="Times New Roman" w:cs="Times New Roman"/>
          <w:b/>
          <w:color w:val="000000"/>
          <w:sz w:val="24"/>
          <w:szCs w:val="24"/>
          <w:lang w:eastAsia="pt-BR"/>
        </w:rPr>
        <w:t>Classes sociais e movimento operário</w:t>
      </w:r>
      <w:r w:rsidRPr="00244AE1">
        <w:rPr>
          <w:rFonts w:ascii="Times New Roman" w:eastAsia="Times New Roman" w:hAnsi="Times New Roman" w:cs="Times New Roman"/>
          <w:color w:val="000000"/>
          <w:sz w:val="24"/>
          <w:szCs w:val="24"/>
          <w:lang w:eastAsia="pt-BR"/>
        </w:rPr>
        <w:t>. São Paulo: Ed. Ática.</w:t>
      </w:r>
    </w:p>
    <w:p w14:paraId="5BC71D22" w14:textId="77777777" w:rsidR="00244AE1" w:rsidRPr="00244AE1" w:rsidRDefault="00244AE1" w:rsidP="00244AE1">
      <w:pPr>
        <w:spacing w:after="0" w:line="360" w:lineRule="auto"/>
        <w:jc w:val="both"/>
        <w:rPr>
          <w:rFonts w:ascii="Times New Roman" w:eastAsia="Times New Roman" w:hAnsi="Times New Roman" w:cs="Times New Roman"/>
          <w:b/>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 (1982), </w:t>
      </w:r>
      <w:r w:rsidRPr="00244AE1">
        <w:rPr>
          <w:rFonts w:ascii="Times New Roman" w:eastAsia="Times New Roman" w:hAnsi="Times New Roman" w:cs="Times New Roman"/>
          <w:b/>
          <w:color w:val="000000"/>
          <w:sz w:val="24"/>
          <w:szCs w:val="24"/>
          <w:lang w:eastAsia="pt-BR"/>
        </w:rPr>
        <w:t>Movimento operário no Brasil (1877-1944</w:t>
      </w:r>
      <w:proofErr w:type="gramStart"/>
      <w:r w:rsidRPr="00244AE1">
        <w:rPr>
          <w:rFonts w:ascii="Times New Roman" w:eastAsia="Times New Roman" w:hAnsi="Times New Roman" w:cs="Times New Roman"/>
          <w:b/>
          <w:color w:val="000000"/>
          <w:sz w:val="24"/>
          <w:szCs w:val="24"/>
          <w:lang w:eastAsia="pt-BR"/>
        </w:rPr>
        <w:t>).</w:t>
      </w:r>
      <w:r w:rsidRPr="00244AE1">
        <w:rPr>
          <w:rFonts w:ascii="Times New Roman" w:eastAsia="Times New Roman" w:hAnsi="Times New Roman" w:cs="Times New Roman"/>
          <w:color w:val="000000"/>
          <w:sz w:val="24"/>
          <w:szCs w:val="24"/>
          <w:lang w:eastAsia="pt-BR"/>
        </w:rPr>
        <w:t>São</w:t>
      </w:r>
      <w:proofErr w:type="gramEnd"/>
      <w:r w:rsidRPr="00244AE1">
        <w:rPr>
          <w:rFonts w:ascii="Times New Roman" w:eastAsia="Times New Roman" w:hAnsi="Times New Roman" w:cs="Times New Roman"/>
          <w:color w:val="000000"/>
          <w:sz w:val="24"/>
          <w:szCs w:val="24"/>
          <w:lang w:eastAsia="pt-BR"/>
        </w:rPr>
        <w:t xml:space="preserve"> Paulo: Ed. DIFEL.</w:t>
      </w:r>
    </w:p>
    <w:p w14:paraId="00B58A7B"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CARR, Edward Hallett. (1981), </w:t>
      </w:r>
      <w:r w:rsidRPr="00244AE1">
        <w:rPr>
          <w:rFonts w:ascii="Times New Roman" w:eastAsia="Times New Roman" w:hAnsi="Times New Roman" w:cs="Times New Roman"/>
          <w:b/>
          <w:color w:val="000000"/>
          <w:sz w:val="24"/>
          <w:szCs w:val="24"/>
          <w:lang w:eastAsia="pt-BR"/>
        </w:rPr>
        <w:t>A Revolução Russa de Lênin a Stalin (1917-1929)</w:t>
      </w:r>
      <w:r w:rsidRPr="00244AE1">
        <w:rPr>
          <w:rFonts w:ascii="Times New Roman" w:eastAsia="Times New Roman" w:hAnsi="Times New Roman" w:cs="Times New Roman"/>
          <w:color w:val="000000"/>
          <w:sz w:val="24"/>
          <w:szCs w:val="24"/>
          <w:lang w:eastAsia="pt-BR"/>
        </w:rPr>
        <w:t>. Rio de Janeiro, Zahar Editores.</w:t>
      </w:r>
    </w:p>
    <w:p w14:paraId="4F8E3E17"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 (1996), </w:t>
      </w:r>
      <w:r w:rsidRPr="00244AE1">
        <w:rPr>
          <w:rFonts w:ascii="Times New Roman" w:eastAsia="Times New Roman" w:hAnsi="Times New Roman" w:cs="Times New Roman"/>
          <w:b/>
          <w:color w:val="000000"/>
          <w:sz w:val="24"/>
          <w:szCs w:val="24"/>
          <w:lang w:eastAsia="pt-BR"/>
        </w:rPr>
        <w:t xml:space="preserve">O que é </w:t>
      </w:r>
      <w:proofErr w:type="gramStart"/>
      <w:r w:rsidRPr="00244AE1">
        <w:rPr>
          <w:rFonts w:ascii="Times New Roman" w:eastAsia="Times New Roman" w:hAnsi="Times New Roman" w:cs="Times New Roman"/>
          <w:b/>
          <w:color w:val="000000"/>
          <w:sz w:val="24"/>
          <w:szCs w:val="24"/>
          <w:lang w:eastAsia="pt-BR"/>
        </w:rPr>
        <w:t>História ?</w:t>
      </w:r>
      <w:proofErr w:type="gramEnd"/>
      <w:r w:rsidRPr="00244AE1">
        <w:rPr>
          <w:rFonts w:ascii="Times New Roman" w:eastAsia="Times New Roman" w:hAnsi="Times New Roman" w:cs="Times New Roman"/>
          <w:color w:val="000000"/>
          <w:sz w:val="24"/>
          <w:szCs w:val="24"/>
          <w:lang w:eastAsia="pt-BR"/>
        </w:rPr>
        <w:t xml:space="preserve"> São Paulo: Ed. Paz e Terra.</w:t>
      </w:r>
    </w:p>
    <w:p w14:paraId="1EF0D50C"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CARVALHO, José Murilo de. (1987), </w:t>
      </w:r>
      <w:r w:rsidRPr="00244AE1">
        <w:rPr>
          <w:rFonts w:ascii="Times New Roman" w:eastAsia="Times New Roman" w:hAnsi="Times New Roman" w:cs="Times New Roman"/>
          <w:b/>
          <w:color w:val="000000"/>
          <w:sz w:val="24"/>
          <w:szCs w:val="24"/>
          <w:lang w:eastAsia="pt-BR"/>
        </w:rPr>
        <w:t>Os bestializados: O Rio de Janeiro e a República que não foi</w:t>
      </w:r>
      <w:r w:rsidRPr="00244AE1">
        <w:rPr>
          <w:rFonts w:ascii="Times New Roman" w:eastAsia="Times New Roman" w:hAnsi="Times New Roman" w:cs="Times New Roman"/>
          <w:color w:val="000000"/>
          <w:sz w:val="24"/>
          <w:szCs w:val="24"/>
          <w:lang w:eastAsia="pt-BR"/>
        </w:rPr>
        <w:t>. São Paulo: Companhia da Letras.</w:t>
      </w:r>
    </w:p>
    <w:p w14:paraId="1829E06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CHACON, Vamireh. (1981), </w:t>
      </w:r>
      <w:r w:rsidRPr="00244AE1">
        <w:rPr>
          <w:rFonts w:ascii="Times New Roman" w:eastAsia="Times New Roman" w:hAnsi="Times New Roman" w:cs="Times New Roman"/>
          <w:b/>
          <w:color w:val="000000"/>
          <w:sz w:val="24"/>
          <w:szCs w:val="24"/>
          <w:lang w:eastAsia="pt-BR"/>
        </w:rPr>
        <w:t>História dos partidos políticos</w:t>
      </w:r>
      <w:r w:rsidRPr="00244AE1">
        <w:rPr>
          <w:rFonts w:ascii="Times New Roman" w:eastAsia="Times New Roman" w:hAnsi="Times New Roman" w:cs="Times New Roman"/>
          <w:color w:val="000000"/>
          <w:sz w:val="24"/>
          <w:szCs w:val="24"/>
          <w:lang w:eastAsia="pt-BR"/>
        </w:rPr>
        <w:t>. Brasília: Ed. Universidade de Brasília.</w:t>
      </w:r>
    </w:p>
    <w:p w14:paraId="1992043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CHILCOTE, M. (1982), </w:t>
      </w:r>
      <w:r w:rsidRPr="00244AE1">
        <w:rPr>
          <w:rFonts w:ascii="Times New Roman" w:eastAsia="Times New Roman" w:hAnsi="Times New Roman" w:cs="Times New Roman"/>
          <w:b/>
          <w:color w:val="000000"/>
          <w:sz w:val="24"/>
          <w:szCs w:val="24"/>
          <w:lang w:eastAsia="pt-BR"/>
        </w:rPr>
        <w:t>Partido Comunista Brasileiro.</w:t>
      </w:r>
      <w:r w:rsidRPr="00244AE1">
        <w:rPr>
          <w:rFonts w:ascii="Times New Roman" w:eastAsia="Times New Roman" w:hAnsi="Times New Roman" w:cs="Times New Roman"/>
          <w:color w:val="000000"/>
          <w:sz w:val="24"/>
          <w:szCs w:val="24"/>
          <w:lang w:eastAsia="pt-BR"/>
        </w:rPr>
        <w:t xml:space="preserve"> Rio de Janeiro: Ed. Graal. </w:t>
      </w:r>
    </w:p>
    <w:p w14:paraId="11B7978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CORRÊA, Felipe. (2011), </w:t>
      </w:r>
      <w:r w:rsidRPr="00244AE1">
        <w:rPr>
          <w:rFonts w:ascii="Times New Roman" w:eastAsia="Times New Roman" w:hAnsi="Times New Roman" w:cs="Times New Roman"/>
          <w:b/>
          <w:color w:val="000000"/>
          <w:sz w:val="24"/>
          <w:szCs w:val="24"/>
          <w:lang w:eastAsia="pt-BR"/>
        </w:rPr>
        <w:t>Ideologia e estratégia: anarquismo, movimentos sociais e poder popular.</w:t>
      </w:r>
      <w:r w:rsidRPr="00244AE1">
        <w:rPr>
          <w:rFonts w:ascii="Times New Roman" w:eastAsia="Times New Roman" w:hAnsi="Times New Roman" w:cs="Times New Roman"/>
          <w:color w:val="000000"/>
          <w:sz w:val="24"/>
          <w:szCs w:val="24"/>
          <w:lang w:eastAsia="pt-BR"/>
        </w:rPr>
        <w:t xml:space="preserve"> São Paulo: Faísca Publicações Libertárias.</w:t>
      </w:r>
    </w:p>
    <w:p w14:paraId="4B3DEE90"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DEL PIORE, Mary (organizadora). (2007), </w:t>
      </w:r>
      <w:r w:rsidRPr="00244AE1">
        <w:rPr>
          <w:rFonts w:ascii="Times New Roman" w:eastAsia="Times New Roman" w:hAnsi="Times New Roman" w:cs="Times New Roman"/>
          <w:b/>
          <w:color w:val="000000"/>
          <w:sz w:val="24"/>
          <w:szCs w:val="24"/>
          <w:lang w:eastAsia="pt-BR"/>
        </w:rPr>
        <w:t>História das mulheres no Brasil.</w:t>
      </w:r>
      <w:r w:rsidRPr="00244AE1">
        <w:rPr>
          <w:rFonts w:ascii="Times New Roman" w:eastAsia="Times New Roman" w:hAnsi="Times New Roman" w:cs="Times New Roman"/>
          <w:color w:val="000000"/>
          <w:sz w:val="24"/>
          <w:szCs w:val="24"/>
          <w:lang w:eastAsia="pt-BR"/>
        </w:rPr>
        <w:t xml:space="preserve"> São Paulo: Editora Contexto.</w:t>
      </w:r>
    </w:p>
    <w:p w14:paraId="21F5EB32"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DIAS, Everardo. (1977), </w:t>
      </w:r>
      <w:r w:rsidRPr="00244AE1">
        <w:rPr>
          <w:rFonts w:ascii="Times New Roman" w:eastAsia="Times New Roman" w:hAnsi="Times New Roman" w:cs="Times New Roman"/>
          <w:b/>
          <w:color w:val="000000"/>
          <w:sz w:val="24"/>
          <w:szCs w:val="24"/>
          <w:lang w:eastAsia="pt-BR"/>
        </w:rPr>
        <w:t xml:space="preserve">História das lutas sociais no Brasil. </w:t>
      </w:r>
      <w:r w:rsidRPr="00244AE1">
        <w:rPr>
          <w:rFonts w:ascii="Times New Roman" w:eastAsia="Times New Roman" w:hAnsi="Times New Roman" w:cs="Times New Roman"/>
          <w:color w:val="000000"/>
          <w:sz w:val="24"/>
          <w:szCs w:val="24"/>
          <w:lang w:eastAsia="pt-BR"/>
        </w:rPr>
        <w:t>São Paulo: Editora Alfa-Omega.</w:t>
      </w:r>
    </w:p>
    <w:p w14:paraId="724CB1A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DULLES, John W. F. (1977), </w:t>
      </w:r>
      <w:r w:rsidRPr="00244AE1">
        <w:rPr>
          <w:rFonts w:ascii="Times New Roman" w:eastAsia="Times New Roman" w:hAnsi="Times New Roman" w:cs="Times New Roman"/>
          <w:b/>
          <w:color w:val="000000"/>
          <w:sz w:val="24"/>
          <w:szCs w:val="24"/>
          <w:lang w:eastAsia="pt-BR"/>
        </w:rPr>
        <w:t>Anarquistas e comunistas no Brasil: 1900-1935.</w:t>
      </w:r>
      <w:r w:rsidRPr="00244AE1">
        <w:rPr>
          <w:rFonts w:ascii="Times New Roman" w:eastAsia="Times New Roman" w:hAnsi="Times New Roman" w:cs="Times New Roman"/>
          <w:color w:val="000000"/>
          <w:sz w:val="24"/>
          <w:szCs w:val="24"/>
          <w:lang w:eastAsia="pt-BR"/>
        </w:rPr>
        <w:t xml:space="preserve"> Rio de Janeiro: Nova Fronteira.</w:t>
      </w:r>
    </w:p>
    <w:p w14:paraId="03495C39"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FAUSTO, Boris. (2002), </w:t>
      </w:r>
      <w:r w:rsidRPr="00244AE1">
        <w:rPr>
          <w:rFonts w:ascii="Times New Roman" w:eastAsia="Times New Roman" w:hAnsi="Times New Roman" w:cs="Times New Roman"/>
          <w:b/>
          <w:color w:val="000000"/>
          <w:sz w:val="24"/>
          <w:szCs w:val="24"/>
          <w:lang w:eastAsia="pt-BR"/>
        </w:rPr>
        <w:t>História concisa do Brasil</w:t>
      </w:r>
      <w:r w:rsidRPr="00244AE1">
        <w:rPr>
          <w:rFonts w:ascii="Times New Roman" w:eastAsia="Times New Roman" w:hAnsi="Times New Roman" w:cs="Times New Roman"/>
          <w:color w:val="000000"/>
          <w:sz w:val="24"/>
          <w:szCs w:val="24"/>
          <w:lang w:eastAsia="pt-BR"/>
        </w:rPr>
        <w:t>. São Paulo: Edusp.</w:t>
      </w:r>
    </w:p>
    <w:p w14:paraId="30639B80"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 (1976), </w:t>
      </w:r>
      <w:r w:rsidRPr="00244AE1">
        <w:rPr>
          <w:rFonts w:ascii="Times New Roman" w:eastAsia="Times New Roman" w:hAnsi="Times New Roman" w:cs="Times New Roman"/>
          <w:b/>
          <w:color w:val="000000"/>
          <w:sz w:val="24"/>
          <w:szCs w:val="24"/>
          <w:lang w:eastAsia="pt-BR"/>
        </w:rPr>
        <w:t>Trabalho urbano e conflito social.</w:t>
      </w:r>
      <w:r w:rsidRPr="00244AE1">
        <w:rPr>
          <w:rFonts w:ascii="Times New Roman" w:eastAsia="Times New Roman" w:hAnsi="Times New Roman" w:cs="Times New Roman"/>
          <w:color w:val="000000"/>
          <w:sz w:val="24"/>
          <w:szCs w:val="24"/>
          <w:lang w:eastAsia="pt-BR"/>
        </w:rPr>
        <w:t xml:space="preserve"> São Paulo: Difel.</w:t>
      </w:r>
    </w:p>
    <w:p w14:paraId="78513818"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FERREIRA, Jorge e DELGADO, Lucília Neves. (2004), </w:t>
      </w:r>
      <w:r w:rsidRPr="00244AE1">
        <w:rPr>
          <w:rFonts w:ascii="Times New Roman" w:eastAsia="Times New Roman" w:hAnsi="Times New Roman" w:cs="Times New Roman"/>
          <w:b/>
          <w:color w:val="000000"/>
          <w:sz w:val="24"/>
          <w:szCs w:val="24"/>
          <w:lang w:eastAsia="pt-BR"/>
        </w:rPr>
        <w:t>O Brasil republicano (4° volume)</w:t>
      </w:r>
      <w:r w:rsidRPr="00244AE1">
        <w:rPr>
          <w:rFonts w:ascii="Times New Roman" w:eastAsia="Times New Roman" w:hAnsi="Times New Roman" w:cs="Times New Roman"/>
          <w:color w:val="000000"/>
          <w:sz w:val="24"/>
          <w:szCs w:val="24"/>
          <w:lang w:eastAsia="pt-BR"/>
        </w:rPr>
        <w:t xml:space="preserve">. Rio de Janeiro: Ed. Civilização Brasileira. </w:t>
      </w:r>
    </w:p>
    <w:p w14:paraId="5EE1E335"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FERREIRA, Maria Nazareth. (1978), </w:t>
      </w:r>
      <w:r w:rsidRPr="00244AE1">
        <w:rPr>
          <w:rFonts w:ascii="Times New Roman" w:eastAsia="Times New Roman" w:hAnsi="Times New Roman" w:cs="Times New Roman"/>
          <w:b/>
          <w:color w:val="000000"/>
          <w:sz w:val="24"/>
          <w:szCs w:val="24"/>
          <w:lang w:eastAsia="pt-BR"/>
        </w:rPr>
        <w:t xml:space="preserve">A imprensa operária no Brasil, 1880-1920. </w:t>
      </w:r>
      <w:r w:rsidRPr="00244AE1">
        <w:rPr>
          <w:rFonts w:ascii="Times New Roman" w:eastAsia="Times New Roman" w:hAnsi="Times New Roman" w:cs="Times New Roman"/>
          <w:color w:val="000000"/>
          <w:sz w:val="24"/>
          <w:szCs w:val="24"/>
          <w:lang w:eastAsia="pt-BR"/>
        </w:rPr>
        <w:t>Petrópolis: Editora Vozes.</w:t>
      </w:r>
    </w:p>
    <w:p w14:paraId="1AD6571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FERRO, Marc. (1984), </w:t>
      </w:r>
      <w:r w:rsidRPr="00244AE1">
        <w:rPr>
          <w:rFonts w:ascii="Times New Roman" w:eastAsia="Times New Roman" w:hAnsi="Times New Roman" w:cs="Times New Roman"/>
          <w:b/>
          <w:color w:val="000000"/>
          <w:sz w:val="24"/>
          <w:szCs w:val="24"/>
          <w:lang w:eastAsia="pt-BR"/>
        </w:rPr>
        <w:t>O Ocidente diante da revolução soviética.</w:t>
      </w:r>
      <w:r w:rsidRPr="00244AE1">
        <w:rPr>
          <w:rFonts w:ascii="Times New Roman" w:eastAsia="Times New Roman" w:hAnsi="Times New Roman" w:cs="Times New Roman"/>
          <w:color w:val="000000"/>
          <w:sz w:val="24"/>
          <w:szCs w:val="24"/>
          <w:lang w:eastAsia="pt-BR"/>
        </w:rPr>
        <w:t xml:space="preserve"> São Paulo: Ed. Brasiliense.</w:t>
      </w:r>
    </w:p>
    <w:p w14:paraId="2BD7402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FÜCHTNER, Hans. (1980), </w:t>
      </w:r>
      <w:proofErr w:type="gramStart"/>
      <w:r w:rsidRPr="00244AE1">
        <w:rPr>
          <w:rFonts w:ascii="Times New Roman" w:eastAsia="Times New Roman" w:hAnsi="Times New Roman" w:cs="Times New Roman"/>
          <w:b/>
          <w:color w:val="000000"/>
          <w:sz w:val="24"/>
          <w:szCs w:val="24"/>
          <w:lang w:eastAsia="pt-BR"/>
        </w:rPr>
        <w:t>Os</w:t>
      </w:r>
      <w:proofErr w:type="gramEnd"/>
      <w:r w:rsidRPr="00244AE1">
        <w:rPr>
          <w:rFonts w:ascii="Times New Roman" w:eastAsia="Times New Roman" w:hAnsi="Times New Roman" w:cs="Times New Roman"/>
          <w:b/>
          <w:color w:val="000000"/>
          <w:sz w:val="24"/>
          <w:szCs w:val="24"/>
          <w:lang w:eastAsia="pt-BR"/>
        </w:rPr>
        <w:t xml:space="preserve"> sindicatos brasileiros.</w:t>
      </w:r>
      <w:r w:rsidRPr="00244AE1">
        <w:rPr>
          <w:rFonts w:ascii="Times New Roman" w:eastAsia="Times New Roman" w:hAnsi="Times New Roman" w:cs="Times New Roman"/>
          <w:color w:val="000000"/>
          <w:sz w:val="24"/>
          <w:szCs w:val="24"/>
          <w:lang w:eastAsia="pt-BR"/>
        </w:rPr>
        <w:t xml:space="preserve"> Rio de Janeiro: Editora Graal.</w:t>
      </w:r>
    </w:p>
    <w:p w14:paraId="7BC5FB1A"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FURTADO, Celso. (1985), </w:t>
      </w:r>
      <w:r w:rsidRPr="00244AE1">
        <w:rPr>
          <w:rFonts w:ascii="Times New Roman" w:eastAsia="Times New Roman" w:hAnsi="Times New Roman" w:cs="Times New Roman"/>
          <w:b/>
          <w:color w:val="000000"/>
          <w:sz w:val="24"/>
          <w:szCs w:val="24"/>
          <w:lang w:eastAsia="pt-BR"/>
        </w:rPr>
        <w:t>Formação econômica do Brasil</w:t>
      </w:r>
      <w:r w:rsidRPr="00244AE1">
        <w:rPr>
          <w:rFonts w:ascii="Times New Roman" w:eastAsia="Times New Roman" w:hAnsi="Times New Roman" w:cs="Times New Roman"/>
          <w:color w:val="000000"/>
          <w:sz w:val="24"/>
          <w:szCs w:val="24"/>
          <w:lang w:eastAsia="pt-BR"/>
        </w:rPr>
        <w:t>. São Paulo: Ed. Nacional.</w:t>
      </w:r>
    </w:p>
    <w:p w14:paraId="753EFED7"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GARAUDY, Roger. (1949), </w:t>
      </w:r>
      <w:r w:rsidRPr="00244AE1">
        <w:rPr>
          <w:rFonts w:ascii="Times New Roman" w:eastAsia="Times New Roman" w:hAnsi="Times New Roman" w:cs="Times New Roman"/>
          <w:b/>
          <w:color w:val="000000"/>
          <w:sz w:val="24"/>
          <w:szCs w:val="24"/>
          <w:lang w:eastAsia="pt-BR"/>
        </w:rPr>
        <w:t>Les sources françaises du socialisme scientifique</w:t>
      </w:r>
      <w:r w:rsidRPr="00244AE1">
        <w:rPr>
          <w:rFonts w:ascii="Times New Roman" w:eastAsia="Times New Roman" w:hAnsi="Times New Roman" w:cs="Times New Roman"/>
          <w:color w:val="000000"/>
          <w:sz w:val="24"/>
          <w:szCs w:val="24"/>
          <w:lang w:eastAsia="pt-BR"/>
        </w:rPr>
        <w:t>. Paris: Editeurs Réunis.</w:t>
      </w:r>
    </w:p>
    <w:p w14:paraId="0CC37B9D"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GATTAI, Zélia. (1988), </w:t>
      </w:r>
      <w:r w:rsidRPr="00244AE1">
        <w:rPr>
          <w:rFonts w:ascii="Times New Roman" w:eastAsia="Times New Roman" w:hAnsi="Times New Roman" w:cs="Times New Roman"/>
          <w:b/>
          <w:color w:val="000000"/>
          <w:sz w:val="24"/>
          <w:szCs w:val="24"/>
          <w:lang w:eastAsia="pt-BR"/>
        </w:rPr>
        <w:t>Anarquistas, graças a Deus</w:t>
      </w:r>
      <w:r w:rsidRPr="00244AE1">
        <w:rPr>
          <w:rFonts w:ascii="Times New Roman" w:eastAsia="Times New Roman" w:hAnsi="Times New Roman" w:cs="Times New Roman"/>
          <w:color w:val="000000"/>
          <w:sz w:val="24"/>
          <w:szCs w:val="24"/>
          <w:lang w:eastAsia="pt-BR"/>
        </w:rPr>
        <w:t>. Rio de Janeiro: Ed. Record.</w:t>
      </w:r>
    </w:p>
    <w:p w14:paraId="4269F31A"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GRAMSCI, Antonio. (1968), </w:t>
      </w:r>
      <w:r w:rsidRPr="00244AE1">
        <w:rPr>
          <w:rFonts w:ascii="Times New Roman" w:eastAsia="Times New Roman" w:hAnsi="Times New Roman" w:cs="Times New Roman"/>
          <w:b/>
          <w:color w:val="000000"/>
          <w:sz w:val="24"/>
          <w:szCs w:val="24"/>
          <w:lang w:eastAsia="pt-BR"/>
        </w:rPr>
        <w:t>Maquiavel: a política e o estado moderno</w:t>
      </w:r>
      <w:r w:rsidRPr="00244AE1">
        <w:rPr>
          <w:rFonts w:ascii="Times New Roman" w:eastAsia="Times New Roman" w:hAnsi="Times New Roman" w:cs="Times New Roman"/>
          <w:color w:val="000000"/>
          <w:sz w:val="24"/>
          <w:szCs w:val="24"/>
          <w:lang w:eastAsia="pt-BR"/>
        </w:rPr>
        <w:t>. Rio de Janeiro: Ed. Civilização Brasileira.</w:t>
      </w:r>
    </w:p>
    <w:p w14:paraId="75A007B4"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HARDMAN, Francisco Foot. (2002), </w:t>
      </w:r>
      <w:r w:rsidRPr="00244AE1">
        <w:rPr>
          <w:rFonts w:ascii="Times New Roman" w:eastAsia="Times New Roman" w:hAnsi="Times New Roman" w:cs="Times New Roman"/>
          <w:b/>
          <w:color w:val="000000"/>
          <w:sz w:val="24"/>
          <w:szCs w:val="24"/>
          <w:lang w:eastAsia="pt-BR"/>
        </w:rPr>
        <w:t xml:space="preserve">Nem pátria, nem </w:t>
      </w:r>
      <w:proofErr w:type="gramStart"/>
      <w:r w:rsidRPr="00244AE1">
        <w:rPr>
          <w:rFonts w:ascii="Times New Roman" w:eastAsia="Times New Roman" w:hAnsi="Times New Roman" w:cs="Times New Roman"/>
          <w:b/>
          <w:color w:val="000000"/>
          <w:sz w:val="24"/>
          <w:szCs w:val="24"/>
          <w:lang w:eastAsia="pt-BR"/>
        </w:rPr>
        <w:t>patrão!.</w:t>
      </w:r>
      <w:proofErr w:type="gramEnd"/>
      <w:r w:rsidRPr="00244AE1">
        <w:rPr>
          <w:rFonts w:ascii="Times New Roman" w:eastAsia="Times New Roman" w:hAnsi="Times New Roman" w:cs="Times New Roman"/>
          <w:b/>
          <w:color w:val="000000"/>
          <w:sz w:val="24"/>
          <w:szCs w:val="24"/>
          <w:lang w:eastAsia="pt-BR"/>
        </w:rPr>
        <w:t xml:space="preserve"> </w:t>
      </w:r>
      <w:r w:rsidRPr="00244AE1">
        <w:rPr>
          <w:rFonts w:ascii="Times New Roman" w:eastAsia="Times New Roman" w:hAnsi="Times New Roman" w:cs="Times New Roman"/>
          <w:color w:val="000000"/>
          <w:sz w:val="24"/>
          <w:szCs w:val="24"/>
          <w:lang w:eastAsia="pt-BR"/>
        </w:rPr>
        <w:t>São Paulo: Ed. UNESP.</w:t>
      </w:r>
    </w:p>
    <w:p w14:paraId="17548DBD"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_______________________ e LEONARDI, Victor. (1991),</w:t>
      </w:r>
      <w:r w:rsidRPr="00244AE1">
        <w:rPr>
          <w:rFonts w:ascii="Times New Roman" w:eastAsia="Times New Roman" w:hAnsi="Times New Roman" w:cs="Times New Roman"/>
          <w:b/>
          <w:color w:val="000000"/>
          <w:sz w:val="24"/>
          <w:szCs w:val="24"/>
          <w:lang w:eastAsia="pt-BR"/>
        </w:rPr>
        <w:t xml:space="preserve"> História da indústria e do trabalho no Brasil: das origens aos anos 20</w:t>
      </w:r>
      <w:r w:rsidRPr="00244AE1">
        <w:rPr>
          <w:rFonts w:ascii="Times New Roman" w:eastAsia="Times New Roman" w:hAnsi="Times New Roman" w:cs="Times New Roman"/>
          <w:color w:val="000000"/>
          <w:sz w:val="24"/>
          <w:szCs w:val="24"/>
          <w:lang w:eastAsia="pt-BR"/>
        </w:rPr>
        <w:t>. Rio de Janeiro: Ed. Ática.</w:t>
      </w:r>
    </w:p>
    <w:p w14:paraId="21CE3D3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HOBSBAWM, Eric. (1995), </w:t>
      </w:r>
      <w:r w:rsidRPr="00244AE1">
        <w:rPr>
          <w:rFonts w:ascii="Times New Roman" w:eastAsia="Times New Roman" w:hAnsi="Times New Roman" w:cs="Times New Roman"/>
          <w:b/>
          <w:color w:val="000000"/>
          <w:sz w:val="24"/>
          <w:szCs w:val="24"/>
          <w:lang w:eastAsia="pt-BR"/>
        </w:rPr>
        <w:t>A era dos extremos</w:t>
      </w:r>
      <w:r w:rsidRPr="00244AE1">
        <w:rPr>
          <w:rFonts w:ascii="Times New Roman" w:eastAsia="Times New Roman" w:hAnsi="Times New Roman" w:cs="Times New Roman"/>
          <w:color w:val="000000"/>
          <w:sz w:val="24"/>
          <w:szCs w:val="24"/>
          <w:lang w:eastAsia="pt-BR"/>
        </w:rPr>
        <w:t>. São Paulo: Ed. Companhia das Letras.</w:t>
      </w:r>
    </w:p>
    <w:p w14:paraId="000E36C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b/>
          <w:color w:val="000000"/>
          <w:sz w:val="24"/>
          <w:szCs w:val="24"/>
          <w:lang w:eastAsia="pt-BR"/>
        </w:rPr>
        <w:t>________________</w:t>
      </w:r>
      <w:r w:rsidRPr="00244AE1">
        <w:rPr>
          <w:rFonts w:ascii="Times New Roman" w:eastAsia="Times New Roman" w:hAnsi="Times New Roman" w:cs="Times New Roman"/>
          <w:color w:val="000000"/>
          <w:sz w:val="24"/>
          <w:szCs w:val="24"/>
          <w:lang w:eastAsia="pt-BR"/>
        </w:rPr>
        <w:t>. (1983),</w:t>
      </w:r>
      <w:r w:rsidRPr="00244AE1">
        <w:rPr>
          <w:rFonts w:ascii="Times New Roman" w:eastAsia="Times New Roman" w:hAnsi="Times New Roman" w:cs="Times New Roman"/>
          <w:b/>
          <w:color w:val="000000"/>
          <w:sz w:val="24"/>
          <w:szCs w:val="24"/>
          <w:lang w:eastAsia="pt-BR"/>
        </w:rPr>
        <w:t xml:space="preserve"> História do marxismo I: o marxismo no tempo de Marx</w:t>
      </w:r>
      <w:r w:rsidRPr="00244AE1">
        <w:rPr>
          <w:rFonts w:ascii="Times New Roman" w:eastAsia="Times New Roman" w:hAnsi="Times New Roman" w:cs="Times New Roman"/>
          <w:color w:val="000000"/>
          <w:sz w:val="24"/>
          <w:szCs w:val="24"/>
          <w:lang w:eastAsia="pt-BR"/>
        </w:rPr>
        <w:t>. São Paulo: Ed. Paz e Terra.</w:t>
      </w:r>
    </w:p>
    <w:p w14:paraId="3C57353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 (1982), </w:t>
      </w:r>
      <w:r w:rsidRPr="00244AE1">
        <w:rPr>
          <w:rFonts w:ascii="Times New Roman" w:eastAsia="Times New Roman" w:hAnsi="Times New Roman" w:cs="Times New Roman"/>
          <w:b/>
          <w:color w:val="000000"/>
          <w:sz w:val="24"/>
          <w:szCs w:val="24"/>
          <w:lang w:eastAsia="pt-BR"/>
        </w:rPr>
        <w:t>História do marxismo II: o marxismo na época da Segunda Internacional</w:t>
      </w:r>
      <w:r w:rsidRPr="00244AE1">
        <w:rPr>
          <w:rFonts w:ascii="Times New Roman" w:eastAsia="Times New Roman" w:hAnsi="Times New Roman" w:cs="Times New Roman"/>
          <w:color w:val="000000"/>
          <w:sz w:val="24"/>
          <w:szCs w:val="24"/>
          <w:lang w:eastAsia="pt-BR"/>
        </w:rPr>
        <w:t>. São Paulo: Ed. Paz e Terra.</w:t>
      </w:r>
    </w:p>
    <w:p w14:paraId="78A0AA0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 (1982), </w:t>
      </w:r>
      <w:r w:rsidRPr="00244AE1">
        <w:rPr>
          <w:rFonts w:ascii="Times New Roman" w:eastAsia="Times New Roman" w:hAnsi="Times New Roman" w:cs="Times New Roman"/>
          <w:b/>
          <w:color w:val="000000"/>
          <w:sz w:val="24"/>
          <w:szCs w:val="24"/>
          <w:lang w:eastAsia="pt-BR"/>
        </w:rPr>
        <w:t>História do marxismo III: o marxismo da Terceira Internacional</w:t>
      </w:r>
      <w:r w:rsidRPr="00244AE1">
        <w:rPr>
          <w:rFonts w:ascii="Times New Roman" w:eastAsia="Times New Roman" w:hAnsi="Times New Roman" w:cs="Times New Roman"/>
          <w:color w:val="000000"/>
          <w:sz w:val="24"/>
          <w:szCs w:val="24"/>
          <w:lang w:eastAsia="pt-BR"/>
        </w:rPr>
        <w:t>. São Paulo: Ed. Paz e Terra.</w:t>
      </w:r>
    </w:p>
    <w:p w14:paraId="46A71D5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JÚNIOR, Caio Prado. (1966), </w:t>
      </w:r>
      <w:r w:rsidRPr="00244AE1">
        <w:rPr>
          <w:rFonts w:ascii="Times New Roman" w:eastAsia="Times New Roman" w:hAnsi="Times New Roman" w:cs="Times New Roman"/>
          <w:b/>
          <w:color w:val="000000"/>
          <w:sz w:val="24"/>
          <w:szCs w:val="24"/>
          <w:lang w:eastAsia="pt-BR"/>
        </w:rPr>
        <w:t>A revolução brasileira</w:t>
      </w:r>
      <w:r w:rsidRPr="00244AE1">
        <w:rPr>
          <w:rFonts w:ascii="Times New Roman" w:eastAsia="Times New Roman" w:hAnsi="Times New Roman" w:cs="Times New Roman"/>
          <w:color w:val="000000"/>
          <w:sz w:val="24"/>
          <w:szCs w:val="24"/>
          <w:lang w:eastAsia="pt-BR"/>
        </w:rPr>
        <w:t xml:space="preserve">. São Paulo: Ed. Brasiliense. </w:t>
      </w:r>
    </w:p>
    <w:p w14:paraId="141C796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KONDER. Leandro. (2002), </w:t>
      </w:r>
      <w:r w:rsidRPr="00244AE1">
        <w:rPr>
          <w:rFonts w:ascii="Times New Roman" w:eastAsia="Times New Roman" w:hAnsi="Times New Roman" w:cs="Times New Roman"/>
          <w:b/>
          <w:color w:val="000000"/>
          <w:sz w:val="24"/>
          <w:szCs w:val="24"/>
          <w:lang w:eastAsia="pt-BR"/>
        </w:rPr>
        <w:t>A questão da Ideologia.</w:t>
      </w:r>
      <w:r w:rsidRPr="00244AE1">
        <w:rPr>
          <w:rFonts w:ascii="Times New Roman" w:eastAsia="Times New Roman" w:hAnsi="Times New Roman" w:cs="Times New Roman"/>
          <w:color w:val="000000"/>
          <w:sz w:val="24"/>
          <w:szCs w:val="24"/>
          <w:lang w:eastAsia="pt-BR"/>
        </w:rPr>
        <w:t xml:space="preserve"> São Paulo: Ed. Companhia das Letras.</w:t>
      </w:r>
    </w:p>
    <w:p w14:paraId="2369469F"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KROPOTKIN, Piotr Alexeyevich. (2011), </w:t>
      </w:r>
      <w:r w:rsidRPr="00244AE1">
        <w:rPr>
          <w:rFonts w:ascii="Times New Roman" w:eastAsia="Times New Roman" w:hAnsi="Times New Roman" w:cs="Times New Roman"/>
          <w:b/>
          <w:color w:val="000000"/>
          <w:sz w:val="24"/>
          <w:szCs w:val="24"/>
          <w:lang w:eastAsia="pt-BR"/>
        </w:rPr>
        <w:t>A conquista do pão.</w:t>
      </w:r>
      <w:r w:rsidRPr="00244AE1">
        <w:rPr>
          <w:rFonts w:ascii="Times New Roman" w:eastAsia="Times New Roman" w:hAnsi="Times New Roman" w:cs="Times New Roman"/>
          <w:color w:val="000000"/>
          <w:sz w:val="24"/>
          <w:szCs w:val="24"/>
          <w:lang w:eastAsia="pt-BR"/>
        </w:rPr>
        <w:t xml:space="preserve"> Rio de Janeiro: Ed. Achiamé.</w:t>
      </w:r>
    </w:p>
    <w:p w14:paraId="18C7071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LEVAL, Gaston. (2009), </w:t>
      </w:r>
      <w:r w:rsidRPr="00244AE1">
        <w:rPr>
          <w:rFonts w:ascii="Times New Roman" w:eastAsia="Times New Roman" w:hAnsi="Times New Roman" w:cs="Times New Roman"/>
          <w:b/>
          <w:color w:val="000000"/>
          <w:sz w:val="24"/>
          <w:szCs w:val="24"/>
          <w:lang w:eastAsia="pt-BR"/>
        </w:rPr>
        <w:t>Bakunin: fundador do sindicalismo revolucionário.</w:t>
      </w:r>
      <w:r w:rsidRPr="00244AE1">
        <w:rPr>
          <w:rFonts w:ascii="Times New Roman" w:eastAsia="Times New Roman" w:hAnsi="Times New Roman" w:cs="Times New Roman"/>
          <w:color w:val="000000"/>
          <w:sz w:val="24"/>
          <w:szCs w:val="24"/>
          <w:lang w:eastAsia="pt-BR"/>
        </w:rPr>
        <w:t xml:space="preserve"> São Paulo: Imaginário/Faísca.</w:t>
      </w:r>
    </w:p>
    <w:p w14:paraId="2667180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LINHARES, Hermínio. (1977), </w:t>
      </w:r>
      <w:r w:rsidRPr="00244AE1">
        <w:rPr>
          <w:rFonts w:ascii="Times New Roman" w:eastAsia="Times New Roman" w:hAnsi="Times New Roman" w:cs="Times New Roman"/>
          <w:b/>
          <w:color w:val="000000"/>
          <w:sz w:val="24"/>
          <w:szCs w:val="24"/>
          <w:lang w:eastAsia="pt-BR"/>
        </w:rPr>
        <w:t>Contribuição à história das lutas operárias no Brasil</w:t>
      </w:r>
      <w:r w:rsidRPr="00244AE1">
        <w:rPr>
          <w:rFonts w:ascii="Times New Roman" w:eastAsia="Times New Roman" w:hAnsi="Times New Roman" w:cs="Times New Roman"/>
          <w:color w:val="000000"/>
          <w:sz w:val="24"/>
          <w:szCs w:val="24"/>
          <w:lang w:eastAsia="pt-BR"/>
        </w:rPr>
        <w:t>. São Paulo: Ed. Alfa-Omega.</w:t>
      </w:r>
    </w:p>
    <w:p w14:paraId="5C1294BF"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LINHARES, Maria Yedda (organizadora). (1990), </w:t>
      </w:r>
      <w:r w:rsidRPr="00244AE1">
        <w:rPr>
          <w:rFonts w:ascii="Times New Roman" w:eastAsia="Times New Roman" w:hAnsi="Times New Roman" w:cs="Times New Roman"/>
          <w:b/>
          <w:color w:val="000000"/>
          <w:sz w:val="24"/>
          <w:szCs w:val="24"/>
          <w:lang w:eastAsia="pt-BR"/>
        </w:rPr>
        <w:t>História geral do Brasil</w:t>
      </w:r>
      <w:r w:rsidRPr="00244AE1">
        <w:rPr>
          <w:rFonts w:ascii="Times New Roman" w:eastAsia="Times New Roman" w:hAnsi="Times New Roman" w:cs="Times New Roman"/>
          <w:color w:val="000000"/>
          <w:sz w:val="24"/>
          <w:szCs w:val="24"/>
          <w:lang w:eastAsia="pt-BR"/>
        </w:rPr>
        <w:t>. Rio de Janeiro: Ed. Campus.</w:t>
      </w:r>
    </w:p>
    <w:p w14:paraId="4FE13E0D"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LOPES, Milton. (2013), </w:t>
      </w:r>
      <w:r w:rsidRPr="00244AE1">
        <w:rPr>
          <w:rFonts w:ascii="Times New Roman" w:eastAsia="Times New Roman" w:hAnsi="Times New Roman" w:cs="Times New Roman"/>
          <w:b/>
          <w:color w:val="000000"/>
          <w:sz w:val="24"/>
          <w:szCs w:val="24"/>
          <w:lang w:eastAsia="pt-BR"/>
        </w:rPr>
        <w:t>Crônica dos primeiros anarquistas no Rio de Janeiro (1888-1900)</w:t>
      </w:r>
      <w:r w:rsidRPr="00244AE1">
        <w:rPr>
          <w:rFonts w:ascii="Times New Roman" w:eastAsia="Times New Roman" w:hAnsi="Times New Roman" w:cs="Times New Roman"/>
          <w:color w:val="000000"/>
          <w:sz w:val="24"/>
          <w:szCs w:val="24"/>
          <w:lang w:eastAsia="pt-BR"/>
        </w:rPr>
        <w:t>. Rio de Janeiro: Ed. Achiamé.</w:t>
      </w:r>
    </w:p>
    <w:p w14:paraId="0F164A5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LOWY, Michael (organizador.). (1999), </w:t>
      </w:r>
      <w:r w:rsidRPr="00244AE1">
        <w:rPr>
          <w:rFonts w:ascii="Times New Roman" w:eastAsia="Times New Roman" w:hAnsi="Times New Roman" w:cs="Times New Roman"/>
          <w:b/>
          <w:color w:val="000000"/>
          <w:sz w:val="24"/>
          <w:szCs w:val="24"/>
          <w:lang w:eastAsia="pt-BR"/>
        </w:rPr>
        <w:t>O marxismo na América Latina: uma antologia de 1909 aos nossos dias</w:t>
      </w:r>
      <w:r w:rsidRPr="00244AE1">
        <w:rPr>
          <w:rFonts w:ascii="Times New Roman" w:eastAsia="Times New Roman" w:hAnsi="Times New Roman" w:cs="Times New Roman"/>
          <w:color w:val="000000"/>
          <w:sz w:val="24"/>
          <w:szCs w:val="24"/>
          <w:lang w:eastAsia="pt-BR"/>
        </w:rPr>
        <w:t>. São Paulo: Ed. Fundação Perseu Abramo.</w:t>
      </w:r>
    </w:p>
    <w:p w14:paraId="652DFE35"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MALATESTA, Errico. (2009), </w:t>
      </w:r>
      <w:r w:rsidRPr="00244AE1">
        <w:rPr>
          <w:rFonts w:ascii="Times New Roman" w:eastAsia="Times New Roman" w:hAnsi="Times New Roman" w:cs="Times New Roman"/>
          <w:b/>
          <w:color w:val="000000"/>
          <w:sz w:val="24"/>
          <w:szCs w:val="24"/>
          <w:lang w:eastAsia="pt-BR"/>
        </w:rPr>
        <w:t>Entre camponeses</w:t>
      </w:r>
      <w:r w:rsidRPr="00244AE1">
        <w:rPr>
          <w:rFonts w:ascii="Times New Roman" w:eastAsia="Times New Roman" w:hAnsi="Times New Roman" w:cs="Times New Roman"/>
          <w:color w:val="000000"/>
          <w:sz w:val="24"/>
          <w:szCs w:val="24"/>
          <w:lang w:eastAsia="pt-BR"/>
        </w:rPr>
        <w:t>. São Paulo: Hedra.</w:t>
      </w:r>
    </w:p>
    <w:p w14:paraId="307E2FF7"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 (1989), </w:t>
      </w:r>
      <w:proofErr w:type="gramStart"/>
      <w:r w:rsidRPr="00244AE1">
        <w:rPr>
          <w:rFonts w:ascii="Times New Roman" w:eastAsia="Times New Roman" w:hAnsi="Times New Roman" w:cs="Times New Roman"/>
          <w:b/>
          <w:color w:val="000000"/>
          <w:sz w:val="24"/>
          <w:szCs w:val="24"/>
          <w:lang w:eastAsia="pt-BR"/>
        </w:rPr>
        <w:t>Escritos</w:t>
      </w:r>
      <w:proofErr w:type="gramEnd"/>
      <w:r w:rsidRPr="00244AE1">
        <w:rPr>
          <w:rFonts w:ascii="Times New Roman" w:eastAsia="Times New Roman" w:hAnsi="Times New Roman" w:cs="Times New Roman"/>
          <w:b/>
          <w:color w:val="000000"/>
          <w:sz w:val="24"/>
          <w:szCs w:val="24"/>
          <w:lang w:eastAsia="pt-BR"/>
        </w:rPr>
        <w:t xml:space="preserve"> revolucionários</w:t>
      </w:r>
      <w:r w:rsidRPr="00244AE1">
        <w:rPr>
          <w:rFonts w:ascii="Times New Roman" w:eastAsia="Times New Roman" w:hAnsi="Times New Roman" w:cs="Times New Roman"/>
          <w:color w:val="000000"/>
          <w:sz w:val="24"/>
          <w:szCs w:val="24"/>
          <w:lang w:eastAsia="pt-BR"/>
        </w:rPr>
        <w:t>. São Paulo: Novos Tempos Editora.</w:t>
      </w:r>
    </w:p>
    <w:p w14:paraId="7402E21B"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MARAM, Sheldon Leslie. (1979), </w:t>
      </w:r>
      <w:r w:rsidRPr="00244AE1">
        <w:rPr>
          <w:rFonts w:ascii="Times New Roman" w:eastAsia="Times New Roman" w:hAnsi="Times New Roman" w:cs="Times New Roman"/>
          <w:b/>
          <w:color w:val="000000"/>
          <w:sz w:val="24"/>
          <w:szCs w:val="24"/>
          <w:lang w:eastAsia="pt-BR"/>
        </w:rPr>
        <w:t>Anarquistas, imigrantes e o movimento operário brasileiro (1890-1920)</w:t>
      </w:r>
      <w:r w:rsidRPr="00244AE1">
        <w:rPr>
          <w:rFonts w:ascii="Times New Roman" w:eastAsia="Times New Roman" w:hAnsi="Times New Roman" w:cs="Times New Roman"/>
          <w:color w:val="000000"/>
          <w:sz w:val="24"/>
          <w:szCs w:val="24"/>
          <w:lang w:eastAsia="pt-BR"/>
        </w:rPr>
        <w:t>. Rio de Janeiro: Ed. Paz e Terra.</w:t>
      </w:r>
    </w:p>
    <w:p w14:paraId="2DA91BAC"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MARX, Karl e ENGELS, Friedrich. (1997), </w:t>
      </w:r>
      <w:r w:rsidRPr="00244AE1">
        <w:rPr>
          <w:rFonts w:ascii="Times New Roman" w:eastAsia="Times New Roman" w:hAnsi="Times New Roman" w:cs="Times New Roman"/>
          <w:b/>
          <w:color w:val="000000"/>
          <w:sz w:val="24"/>
          <w:szCs w:val="24"/>
          <w:lang w:eastAsia="pt-BR"/>
        </w:rPr>
        <w:t>O manifesto comunista: 150 anos depois</w:t>
      </w:r>
      <w:r w:rsidRPr="00244AE1">
        <w:rPr>
          <w:rFonts w:ascii="Times New Roman" w:eastAsia="Times New Roman" w:hAnsi="Times New Roman" w:cs="Times New Roman"/>
          <w:color w:val="000000"/>
          <w:sz w:val="24"/>
          <w:szCs w:val="24"/>
          <w:lang w:eastAsia="pt-BR"/>
        </w:rPr>
        <w:t>. São Paulo: Ed. Contraponto.</w:t>
      </w:r>
    </w:p>
    <w:p w14:paraId="4B9764AF"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_____________________________. (2002), </w:t>
      </w:r>
      <w:r w:rsidRPr="00244AE1">
        <w:rPr>
          <w:rFonts w:ascii="Times New Roman" w:eastAsia="Times New Roman" w:hAnsi="Times New Roman" w:cs="Times New Roman"/>
          <w:b/>
          <w:color w:val="000000"/>
          <w:sz w:val="24"/>
          <w:szCs w:val="24"/>
          <w:lang w:eastAsia="pt-BR"/>
        </w:rPr>
        <w:t xml:space="preserve">A ideologia alemã. </w:t>
      </w:r>
      <w:r w:rsidRPr="00244AE1">
        <w:rPr>
          <w:rFonts w:ascii="Times New Roman" w:eastAsia="Times New Roman" w:hAnsi="Times New Roman" w:cs="Times New Roman"/>
          <w:color w:val="000000"/>
          <w:sz w:val="24"/>
          <w:szCs w:val="24"/>
          <w:lang w:eastAsia="pt-BR"/>
        </w:rPr>
        <w:t>São Paulo: Editora Martins Fontes.</w:t>
      </w:r>
    </w:p>
    <w:p w14:paraId="09FE673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MENEZES, Lená Medeiros de. (1996), </w:t>
      </w:r>
      <w:r w:rsidRPr="00244AE1">
        <w:rPr>
          <w:rFonts w:ascii="Times New Roman" w:eastAsia="Times New Roman" w:hAnsi="Times New Roman" w:cs="Times New Roman"/>
          <w:b/>
          <w:color w:val="000000"/>
          <w:sz w:val="24"/>
          <w:szCs w:val="24"/>
          <w:lang w:eastAsia="pt-BR"/>
        </w:rPr>
        <w:t>Os indesejáveis: desclassificados da modernidade.</w:t>
      </w:r>
      <w:r w:rsidRPr="00244AE1">
        <w:rPr>
          <w:rFonts w:ascii="Times New Roman" w:eastAsia="Times New Roman" w:hAnsi="Times New Roman" w:cs="Times New Roman"/>
          <w:color w:val="000000"/>
          <w:sz w:val="24"/>
          <w:szCs w:val="24"/>
          <w:lang w:eastAsia="pt-BR"/>
        </w:rPr>
        <w:t xml:space="preserve"> Rio de Janeiro: edUERJ.</w:t>
      </w:r>
    </w:p>
    <w:p w14:paraId="7FC97F90"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OITICICA, José. (1983), </w:t>
      </w:r>
      <w:r w:rsidRPr="00244AE1">
        <w:rPr>
          <w:rFonts w:ascii="Times New Roman" w:eastAsia="Times New Roman" w:hAnsi="Times New Roman" w:cs="Times New Roman"/>
          <w:b/>
          <w:color w:val="000000"/>
          <w:sz w:val="24"/>
          <w:szCs w:val="24"/>
          <w:lang w:eastAsia="pt-BR"/>
        </w:rPr>
        <w:t>A doutrina anarquista ao alcance de todos</w:t>
      </w:r>
      <w:r w:rsidRPr="00244AE1">
        <w:rPr>
          <w:rFonts w:ascii="Times New Roman" w:eastAsia="Times New Roman" w:hAnsi="Times New Roman" w:cs="Times New Roman"/>
          <w:color w:val="000000"/>
          <w:sz w:val="24"/>
          <w:szCs w:val="24"/>
          <w:lang w:eastAsia="pt-BR"/>
        </w:rPr>
        <w:t>. São Paulo: Editora Econômica.</w:t>
      </w:r>
    </w:p>
    <w:p w14:paraId="702FC36D"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PEREIRA, Astrojildo. (1924), </w:t>
      </w:r>
      <w:r w:rsidRPr="00244AE1">
        <w:rPr>
          <w:rFonts w:ascii="Times New Roman" w:eastAsia="Times New Roman" w:hAnsi="Times New Roman" w:cs="Times New Roman"/>
          <w:b/>
          <w:color w:val="000000"/>
          <w:sz w:val="24"/>
          <w:szCs w:val="24"/>
          <w:lang w:eastAsia="pt-BR"/>
        </w:rPr>
        <w:t>O processo de um traidor</w:t>
      </w:r>
      <w:r w:rsidRPr="00244AE1">
        <w:rPr>
          <w:rFonts w:ascii="Times New Roman" w:eastAsia="Times New Roman" w:hAnsi="Times New Roman" w:cs="Times New Roman"/>
          <w:color w:val="000000"/>
          <w:sz w:val="24"/>
          <w:szCs w:val="24"/>
          <w:lang w:eastAsia="pt-BR"/>
        </w:rPr>
        <w:t xml:space="preserve">. Rio de Janeiro: PCB.  </w:t>
      </w:r>
    </w:p>
    <w:p w14:paraId="73692036"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 (2012), </w:t>
      </w:r>
      <w:r w:rsidRPr="00244AE1">
        <w:rPr>
          <w:rFonts w:ascii="Times New Roman" w:eastAsia="Times New Roman" w:hAnsi="Times New Roman" w:cs="Times New Roman"/>
          <w:b/>
          <w:color w:val="000000"/>
          <w:sz w:val="24"/>
          <w:szCs w:val="24"/>
          <w:lang w:eastAsia="pt-BR"/>
        </w:rPr>
        <w:t>Formação do PCB</w:t>
      </w:r>
      <w:r w:rsidRPr="00244AE1">
        <w:rPr>
          <w:rFonts w:ascii="Times New Roman" w:eastAsia="Times New Roman" w:hAnsi="Times New Roman" w:cs="Times New Roman"/>
          <w:color w:val="000000"/>
          <w:sz w:val="24"/>
          <w:szCs w:val="24"/>
          <w:lang w:eastAsia="pt-BR"/>
        </w:rPr>
        <w:t>. 3ª Ed., São Paulo: Anita Garibaldi.</w:t>
      </w:r>
    </w:p>
    <w:p w14:paraId="23059BF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 (1923), </w:t>
      </w:r>
      <w:r w:rsidRPr="00244AE1">
        <w:rPr>
          <w:rFonts w:ascii="Times New Roman" w:eastAsia="Times New Roman" w:hAnsi="Times New Roman" w:cs="Times New Roman"/>
          <w:b/>
          <w:color w:val="000000"/>
          <w:sz w:val="24"/>
          <w:szCs w:val="24"/>
          <w:lang w:eastAsia="pt-BR"/>
        </w:rPr>
        <w:t>Resolução sobre o relatório do delegado do P.C.B. ao IV Congresso da I.C., adotada em seção do 6.6.1923.</w:t>
      </w:r>
      <w:r w:rsidRPr="00244AE1">
        <w:rPr>
          <w:rFonts w:ascii="Times New Roman" w:eastAsia="Times New Roman" w:hAnsi="Times New Roman" w:cs="Times New Roman"/>
          <w:color w:val="000000"/>
          <w:sz w:val="24"/>
          <w:szCs w:val="24"/>
          <w:lang w:eastAsia="pt-BR"/>
        </w:rPr>
        <w:t xml:space="preserve"> Rio de Janeiro: PCB.</w:t>
      </w:r>
    </w:p>
    <w:p w14:paraId="293C7526"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PROUDHON, Pierre Joseph</w:t>
      </w:r>
      <w:r w:rsidRPr="00244AE1">
        <w:rPr>
          <w:rFonts w:ascii="Times New Roman" w:eastAsia="Times New Roman" w:hAnsi="Times New Roman" w:cs="Times New Roman"/>
          <w:b/>
          <w:color w:val="000000"/>
          <w:sz w:val="24"/>
          <w:szCs w:val="24"/>
          <w:lang w:eastAsia="pt-BR"/>
        </w:rPr>
        <w:t xml:space="preserve">. </w:t>
      </w:r>
      <w:r w:rsidRPr="00244AE1">
        <w:rPr>
          <w:rFonts w:ascii="Times New Roman" w:eastAsia="Times New Roman" w:hAnsi="Times New Roman" w:cs="Times New Roman"/>
          <w:color w:val="000000"/>
          <w:sz w:val="24"/>
          <w:szCs w:val="24"/>
          <w:lang w:eastAsia="pt-BR"/>
        </w:rPr>
        <w:t>(1988),</w:t>
      </w:r>
      <w:r w:rsidRPr="00244AE1">
        <w:rPr>
          <w:rFonts w:ascii="Times New Roman" w:eastAsia="Times New Roman" w:hAnsi="Times New Roman" w:cs="Times New Roman"/>
          <w:b/>
          <w:color w:val="000000"/>
          <w:sz w:val="24"/>
          <w:szCs w:val="24"/>
          <w:lang w:eastAsia="pt-BR"/>
        </w:rPr>
        <w:t xml:space="preserve"> A propriedade é um roubo. </w:t>
      </w:r>
      <w:r w:rsidRPr="00244AE1">
        <w:rPr>
          <w:rFonts w:ascii="Times New Roman" w:eastAsia="Times New Roman" w:hAnsi="Times New Roman" w:cs="Times New Roman"/>
          <w:color w:val="000000"/>
          <w:sz w:val="24"/>
          <w:szCs w:val="24"/>
          <w:lang w:eastAsia="pt-BR"/>
        </w:rPr>
        <w:t>Porto Alegre</w:t>
      </w:r>
      <w:r w:rsidRPr="00244AE1">
        <w:rPr>
          <w:rFonts w:ascii="Times New Roman" w:eastAsia="Times New Roman" w:hAnsi="Times New Roman" w:cs="Times New Roman"/>
          <w:b/>
          <w:color w:val="000000"/>
          <w:sz w:val="24"/>
          <w:szCs w:val="24"/>
          <w:lang w:eastAsia="pt-BR"/>
        </w:rPr>
        <w:t xml:space="preserve">: </w:t>
      </w:r>
      <w:r w:rsidRPr="00244AE1">
        <w:rPr>
          <w:rFonts w:ascii="Times New Roman" w:eastAsia="Times New Roman" w:hAnsi="Times New Roman" w:cs="Times New Roman"/>
          <w:color w:val="000000"/>
          <w:sz w:val="24"/>
          <w:szCs w:val="24"/>
          <w:lang w:eastAsia="pt-BR"/>
        </w:rPr>
        <w:t>L&amp;PM.</w:t>
      </w:r>
    </w:p>
    <w:p w14:paraId="0F66EB4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 (1997), </w:t>
      </w:r>
      <w:r w:rsidRPr="00244AE1">
        <w:rPr>
          <w:rFonts w:ascii="Times New Roman" w:eastAsia="Times New Roman" w:hAnsi="Times New Roman" w:cs="Times New Roman"/>
          <w:b/>
          <w:color w:val="000000"/>
          <w:sz w:val="24"/>
          <w:szCs w:val="24"/>
          <w:lang w:eastAsia="pt-BR"/>
        </w:rPr>
        <w:t xml:space="preserve">O que é a </w:t>
      </w:r>
      <w:proofErr w:type="gramStart"/>
      <w:r w:rsidRPr="00244AE1">
        <w:rPr>
          <w:rFonts w:ascii="Times New Roman" w:eastAsia="Times New Roman" w:hAnsi="Times New Roman" w:cs="Times New Roman"/>
          <w:b/>
          <w:color w:val="000000"/>
          <w:sz w:val="24"/>
          <w:szCs w:val="24"/>
          <w:lang w:eastAsia="pt-BR"/>
        </w:rPr>
        <w:t>propriedade?.</w:t>
      </w:r>
      <w:proofErr w:type="gramEnd"/>
      <w:r w:rsidRPr="00244AE1">
        <w:rPr>
          <w:rFonts w:ascii="Times New Roman" w:eastAsia="Times New Roman" w:hAnsi="Times New Roman" w:cs="Times New Roman"/>
          <w:color w:val="000000"/>
          <w:sz w:val="24"/>
          <w:szCs w:val="24"/>
          <w:lang w:eastAsia="pt-BR"/>
        </w:rPr>
        <w:t xml:space="preserve"> Lisboa: Estampa.</w:t>
      </w:r>
    </w:p>
    <w:p w14:paraId="7A5DC129"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REIS FILHO, Daniel Aarão. (1991), </w:t>
      </w:r>
      <w:r w:rsidRPr="00244AE1">
        <w:rPr>
          <w:rFonts w:ascii="Times New Roman" w:eastAsia="Times New Roman" w:hAnsi="Times New Roman" w:cs="Times New Roman"/>
          <w:b/>
          <w:color w:val="000000"/>
          <w:sz w:val="24"/>
          <w:szCs w:val="24"/>
          <w:lang w:eastAsia="pt-BR"/>
        </w:rPr>
        <w:t>História do marxismo no Brasil</w:t>
      </w:r>
      <w:r w:rsidRPr="00244AE1">
        <w:rPr>
          <w:rFonts w:ascii="Times New Roman" w:eastAsia="Times New Roman" w:hAnsi="Times New Roman" w:cs="Times New Roman"/>
          <w:color w:val="000000"/>
          <w:sz w:val="24"/>
          <w:szCs w:val="24"/>
          <w:lang w:eastAsia="pt-BR"/>
        </w:rPr>
        <w:t>. Rio de Janeiro: Ed. Paz e Terra.</w:t>
      </w:r>
    </w:p>
    <w:p w14:paraId="79C83A14"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 e DEMICINIS, Rafael Borges (organizadores). (2006), </w:t>
      </w:r>
      <w:r w:rsidRPr="00244AE1">
        <w:rPr>
          <w:rFonts w:ascii="Times New Roman" w:eastAsia="Times New Roman" w:hAnsi="Times New Roman" w:cs="Times New Roman"/>
          <w:b/>
          <w:color w:val="000000"/>
          <w:sz w:val="24"/>
          <w:szCs w:val="24"/>
          <w:lang w:eastAsia="pt-BR"/>
        </w:rPr>
        <w:t>História do anarquismo no Brasil. (1º volume).</w:t>
      </w:r>
      <w:r w:rsidRPr="00244AE1">
        <w:rPr>
          <w:rFonts w:ascii="Times New Roman" w:eastAsia="Times New Roman" w:hAnsi="Times New Roman" w:cs="Times New Roman"/>
          <w:color w:val="000000"/>
          <w:sz w:val="24"/>
          <w:szCs w:val="24"/>
          <w:lang w:eastAsia="pt-BR"/>
        </w:rPr>
        <w:t xml:space="preserve"> Niterói: </w:t>
      </w:r>
      <w:proofErr w:type="gramStart"/>
      <w:r w:rsidRPr="00244AE1">
        <w:rPr>
          <w:rFonts w:ascii="Times New Roman" w:eastAsia="Times New Roman" w:hAnsi="Times New Roman" w:cs="Times New Roman"/>
          <w:color w:val="000000"/>
          <w:sz w:val="24"/>
          <w:szCs w:val="24"/>
          <w:lang w:eastAsia="pt-BR"/>
        </w:rPr>
        <w:t>edUFF :</w:t>
      </w:r>
      <w:proofErr w:type="gramEnd"/>
      <w:r w:rsidRPr="00244AE1">
        <w:rPr>
          <w:rFonts w:ascii="Times New Roman" w:eastAsia="Times New Roman" w:hAnsi="Times New Roman" w:cs="Times New Roman"/>
          <w:color w:val="000000"/>
          <w:sz w:val="24"/>
          <w:szCs w:val="24"/>
          <w:lang w:eastAsia="pt-BR"/>
        </w:rPr>
        <w:t xml:space="preserve"> Rio de Janeiro: MAUAD.</w:t>
      </w:r>
    </w:p>
    <w:p w14:paraId="1168F898"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_______________________ e MORAES, João Quartim de (organizadores). (2003), </w:t>
      </w:r>
      <w:r w:rsidRPr="00244AE1">
        <w:rPr>
          <w:rFonts w:ascii="Times New Roman" w:eastAsia="Times New Roman" w:hAnsi="Times New Roman" w:cs="Times New Roman"/>
          <w:b/>
          <w:color w:val="000000"/>
          <w:sz w:val="24"/>
          <w:szCs w:val="24"/>
          <w:lang w:eastAsia="pt-BR"/>
        </w:rPr>
        <w:t xml:space="preserve">História do marxismo no Brasil: o impacto das revoluções (1° volume). </w:t>
      </w:r>
      <w:r w:rsidRPr="00244AE1">
        <w:rPr>
          <w:rFonts w:ascii="Times New Roman" w:eastAsia="Times New Roman" w:hAnsi="Times New Roman" w:cs="Times New Roman"/>
          <w:color w:val="000000"/>
          <w:sz w:val="24"/>
          <w:szCs w:val="24"/>
          <w:lang w:eastAsia="pt-BR"/>
        </w:rPr>
        <w:t>Campinas: Editora da UNICAMP.</w:t>
      </w:r>
    </w:p>
    <w:p w14:paraId="0315A548"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RÉMOND, René. (1981), </w:t>
      </w:r>
      <w:r w:rsidRPr="00244AE1">
        <w:rPr>
          <w:rFonts w:ascii="Times New Roman" w:eastAsia="Times New Roman" w:hAnsi="Times New Roman" w:cs="Times New Roman"/>
          <w:b/>
          <w:color w:val="000000"/>
          <w:sz w:val="24"/>
          <w:szCs w:val="24"/>
          <w:lang w:eastAsia="pt-BR"/>
        </w:rPr>
        <w:t>O século XX: de 1914 aos nossos dias</w:t>
      </w:r>
      <w:r w:rsidRPr="00244AE1">
        <w:rPr>
          <w:rFonts w:ascii="Times New Roman" w:eastAsia="Times New Roman" w:hAnsi="Times New Roman" w:cs="Times New Roman"/>
          <w:color w:val="000000"/>
          <w:sz w:val="24"/>
          <w:szCs w:val="24"/>
          <w:lang w:eastAsia="pt-BR"/>
        </w:rPr>
        <w:t>. São Paulo: Ed. Cultrix.</w:t>
      </w:r>
    </w:p>
    <w:p w14:paraId="7072684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RODRIGUES, Edgard. (1969), </w:t>
      </w:r>
      <w:r w:rsidRPr="00244AE1">
        <w:rPr>
          <w:rFonts w:ascii="Times New Roman" w:eastAsia="Times New Roman" w:hAnsi="Times New Roman" w:cs="Times New Roman"/>
          <w:b/>
          <w:color w:val="000000"/>
          <w:sz w:val="24"/>
          <w:szCs w:val="24"/>
          <w:lang w:eastAsia="pt-BR"/>
        </w:rPr>
        <w:t>Socialismo e sindicalismo no Brasil</w:t>
      </w:r>
      <w:r w:rsidRPr="00244AE1">
        <w:rPr>
          <w:rFonts w:ascii="Times New Roman" w:eastAsia="Times New Roman" w:hAnsi="Times New Roman" w:cs="Times New Roman"/>
          <w:color w:val="000000"/>
          <w:sz w:val="24"/>
          <w:szCs w:val="24"/>
          <w:lang w:eastAsia="pt-BR"/>
        </w:rPr>
        <w:t>. Rio de Janeiro: Ed. Laemmert.</w:t>
      </w:r>
    </w:p>
    <w:p w14:paraId="7016B984"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 (1987), </w:t>
      </w:r>
      <w:r w:rsidRPr="00244AE1">
        <w:rPr>
          <w:rFonts w:ascii="Times New Roman" w:eastAsia="Times New Roman" w:hAnsi="Times New Roman" w:cs="Times New Roman"/>
          <w:b/>
          <w:color w:val="000000"/>
          <w:sz w:val="24"/>
          <w:szCs w:val="24"/>
          <w:lang w:eastAsia="pt-BR"/>
        </w:rPr>
        <w:t>ABC do sindicalismo revolucionário</w:t>
      </w:r>
      <w:r w:rsidRPr="00244AE1">
        <w:rPr>
          <w:rFonts w:ascii="Times New Roman" w:eastAsia="Times New Roman" w:hAnsi="Times New Roman" w:cs="Times New Roman"/>
          <w:color w:val="000000"/>
          <w:sz w:val="24"/>
          <w:szCs w:val="24"/>
          <w:lang w:eastAsia="pt-BR"/>
        </w:rPr>
        <w:t>. Rio de Janeiro: Ed. Achiamé.</w:t>
      </w:r>
    </w:p>
    <w:p w14:paraId="32D7F25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___________________. (1979), </w:t>
      </w:r>
      <w:r w:rsidRPr="00244AE1">
        <w:rPr>
          <w:rFonts w:ascii="Times New Roman" w:eastAsia="Times New Roman" w:hAnsi="Times New Roman" w:cs="Times New Roman"/>
          <w:b/>
          <w:color w:val="000000"/>
          <w:sz w:val="24"/>
          <w:szCs w:val="24"/>
          <w:lang w:eastAsia="pt-BR"/>
        </w:rPr>
        <w:t>Novos rumos</w:t>
      </w:r>
      <w:r w:rsidRPr="00244AE1">
        <w:rPr>
          <w:rFonts w:ascii="Times New Roman" w:eastAsia="Times New Roman" w:hAnsi="Times New Roman" w:cs="Times New Roman"/>
          <w:color w:val="000000"/>
          <w:sz w:val="24"/>
          <w:szCs w:val="24"/>
          <w:lang w:eastAsia="pt-BR"/>
        </w:rPr>
        <w:t>. Rio de Janeiro: Ed. Mundo Livre.</w:t>
      </w:r>
    </w:p>
    <w:p w14:paraId="2179CBE7"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 (1979), </w:t>
      </w:r>
      <w:r w:rsidRPr="00244AE1">
        <w:rPr>
          <w:rFonts w:ascii="Times New Roman" w:eastAsia="Times New Roman" w:hAnsi="Times New Roman" w:cs="Times New Roman"/>
          <w:b/>
          <w:color w:val="000000"/>
          <w:sz w:val="24"/>
          <w:szCs w:val="24"/>
          <w:lang w:eastAsia="pt-BR"/>
        </w:rPr>
        <w:t>Alvorada operária.</w:t>
      </w:r>
      <w:r w:rsidRPr="00244AE1">
        <w:rPr>
          <w:rFonts w:ascii="Times New Roman" w:eastAsia="Times New Roman" w:hAnsi="Times New Roman" w:cs="Times New Roman"/>
          <w:color w:val="000000"/>
          <w:sz w:val="24"/>
          <w:szCs w:val="24"/>
          <w:lang w:eastAsia="pt-BR"/>
        </w:rPr>
        <w:t xml:space="preserve"> Rio de Janeiro: Ed. Mundo Livre.</w:t>
      </w:r>
    </w:p>
    <w:p w14:paraId="589028E5"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 (1980), </w:t>
      </w:r>
      <w:r w:rsidRPr="00244AE1">
        <w:rPr>
          <w:rFonts w:ascii="Times New Roman" w:eastAsia="Times New Roman" w:hAnsi="Times New Roman" w:cs="Times New Roman"/>
          <w:b/>
          <w:color w:val="000000"/>
          <w:sz w:val="24"/>
          <w:szCs w:val="24"/>
          <w:lang w:eastAsia="pt-BR"/>
        </w:rPr>
        <w:t>Socialismo, uma visão alfabética.</w:t>
      </w:r>
      <w:r w:rsidRPr="00244AE1">
        <w:rPr>
          <w:rFonts w:ascii="Times New Roman" w:eastAsia="Times New Roman" w:hAnsi="Times New Roman" w:cs="Times New Roman"/>
          <w:color w:val="000000"/>
          <w:sz w:val="24"/>
          <w:szCs w:val="24"/>
          <w:lang w:eastAsia="pt-BR"/>
        </w:rPr>
        <w:t xml:space="preserve">  Rio de Janeiro:  Ed. Porta Aberta.</w:t>
      </w:r>
    </w:p>
    <w:p w14:paraId="2D7DBA13"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ROMANI, Carlo. (2002), </w:t>
      </w:r>
      <w:r w:rsidRPr="00244AE1">
        <w:rPr>
          <w:rFonts w:ascii="Times New Roman" w:eastAsia="Times New Roman" w:hAnsi="Times New Roman" w:cs="Times New Roman"/>
          <w:b/>
          <w:color w:val="000000"/>
          <w:sz w:val="24"/>
          <w:szCs w:val="24"/>
          <w:lang w:eastAsia="pt-BR"/>
        </w:rPr>
        <w:t>Oreste Ristori: uma aventura anarquista.</w:t>
      </w:r>
      <w:r w:rsidRPr="00244AE1">
        <w:rPr>
          <w:rFonts w:ascii="Times New Roman" w:eastAsia="Times New Roman" w:hAnsi="Times New Roman" w:cs="Times New Roman"/>
          <w:color w:val="000000"/>
          <w:sz w:val="24"/>
          <w:szCs w:val="24"/>
          <w:lang w:eastAsia="pt-BR"/>
        </w:rPr>
        <w:t xml:space="preserve"> São Paulo: Annablume.</w:t>
      </w:r>
    </w:p>
    <w:p w14:paraId="4B583F6C"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SALLES, Iza. (2005), </w:t>
      </w:r>
      <w:proofErr w:type="gramStart"/>
      <w:r w:rsidRPr="00244AE1">
        <w:rPr>
          <w:rFonts w:ascii="Times New Roman" w:eastAsia="Times New Roman" w:hAnsi="Times New Roman" w:cs="Times New Roman"/>
          <w:b/>
          <w:color w:val="000000"/>
          <w:sz w:val="24"/>
          <w:szCs w:val="24"/>
          <w:lang w:eastAsia="pt-BR"/>
        </w:rPr>
        <w:t>Um</w:t>
      </w:r>
      <w:proofErr w:type="gramEnd"/>
      <w:r w:rsidRPr="00244AE1">
        <w:rPr>
          <w:rFonts w:ascii="Times New Roman" w:eastAsia="Times New Roman" w:hAnsi="Times New Roman" w:cs="Times New Roman"/>
          <w:b/>
          <w:color w:val="000000"/>
          <w:sz w:val="24"/>
          <w:szCs w:val="24"/>
          <w:lang w:eastAsia="pt-BR"/>
        </w:rPr>
        <w:t xml:space="preserve"> cadáver ao sol. </w:t>
      </w:r>
      <w:r w:rsidRPr="00244AE1">
        <w:rPr>
          <w:rFonts w:ascii="Times New Roman" w:eastAsia="Times New Roman" w:hAnsi="Times New Roman" w:cs="Times New Roman"/>
          <w:color w:val="000000"/>
          <w:sz w:val="24"/>
          <w:szCs w:val="24"/>
          <w:lang w:eastAsia="pt-BR"/>
        </w:rPr>
        <w:t>Rio de Janeiro: Ediouro.</w:t>
      </w:r>
    </w:p>
    <w:p w14:paraId="1385E7E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SAMIS, Alexandre. (2002), </w:t>
      </w:r>
      <w:r w:rsidRPr="00244AE1">
        <w:rPr>
          <w:rFonts w:ascii="Times New Roman" w:eastAsia="Times New Roman" w:hAnsi="Times New Roman" w:cs="Times New Roman"/>
          <w:b/>
          <w:color w:val="000000"/>
          <w:sz w:val="24"/>
          <w:szCs w:val="24"/>
          <w:lang w:eastAsia="pt-BR"/>
        </w:rPr>
        <w:t>Clevelândia: anarquismo, sindicalismo e repressão política no Brasil.</w:t>
      </w:r>
      <w:r w:rsidRPr="00244AE1">
        <w:rPr>
          <w:rFonts w:ascii="Times New Roman" w:eastAsia="Times New Roman" w:hAnsi="Times New Roman" w:cs="Times New Roman"/>
          <w:color w:val="000000"/>
          <w:sz w:val="24"/>
          <w:szCs w:val="24"/>
          <w:lang w:eastAsia="pt-BR"/>
        </w:rPr>
        <w:t xml:space="preserve"> São Paulo: Ed. Imaginário.</w:t>
      </w:r>
    </w:p>
    <w:p w14:paraId="131D6DD2"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 (2009), </w:t>
      </w:r>
      <w:proofErr w:type="gramStart"/>
      <w:r w:rsidRPr="00244AE1">
        <w:rPr>
          <w:rFonts w:ascii="Times New Roman" w:eastAsia="Times New Roman" w:hAnsi="Times New Roman" w:cs="Times New Roman"/>
          <w:b/>
          <w:color w:val="000000"/>
          <w:sz w:val="24"/>
          <w:szCs w:val="24"/>
          <w:lang w:eastAsia="pt-BR"/>
        </w:rPr>
        <w:t>Minha</w:t>
      </w:r>
      <w:proofErr w:type="gramEnd"/>
      <w:r w:rsidRPr="00244AE1">
        <w:rPr>
          <w:rFonts w:ascii="Times New Roman" w:eastAsia="Times New Roman" w:hAnsi="Times New Roman" w:cs="Times New Roman"/>
          <w:b/>
          <w:color w:val="000000"/>
          <w:sz w:val="24"/>
          <w:szCs w:val="24"/>
          <w:lang w:eastAsia="pt-BR"/>
        </w:rPr>
        <w:t xml:space="preserve"> pátria é o mundo inteiro: Neno Vasco, o anarquismo e o sindicalismo revolucionário em dois mundos.</w:t>
      </w:r>
      <w:r w:rsidRPr="00244AE1">
        <w:rPr>
          <w:rFonts w:ascii="Times New Roman" w:eastAsia="Times New Roman" w:hAnsi="Times New Roman" w:cs="Times New Roman"/>
          <w:color w:val="000000"/>
          <w:sz w:val="24"/>
          <w:szCs w:val="24"/>
          <w:lang w:eastAsia="pt-BR"/>
        </w:rPr>
        <w:t xml:space="preserve"> Lisboa: Letra Livre.</w:t>
      </w:r>
    </w:p>
    <w:p w14:paraId="6B0AC4EA"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 e RAMOS, Renato. (2009), </w:t>
      </w:r>
      <w:r w:rsidRPr="00244AE1">
        <w:rPr>
          <w:rFonts w:ascii="Times New Roman" w:eastAsia="Times New Roman" w:hAnsi="Times New Roman" w:cs="Times New Roman"/>
          <w:b/>
          <w:color w:val="000000"/>
          <w:sz w:val="24"/>
          <w:szCs w:val="24"/>
          <w:lang w:eastAsia="pt-BR"/>
        </w:rPr>
        <w:t>Domingos Passos: o Bakunin brasileiro.</w:t>
      </w:r>
      <w:r w:rsidRPr="00244AE1">
        <w:rPr>
          <w:rFonts w:ascii="Times New Roman" w:eastAsia="Times New Roman" w:hAnsi="Times New Roman" w:cs="Times New Roman"/>
          <w:color w:val="000000"/>
          <w:sz w:val="24"/>
          <w:szCs w:val="24"/>
          <w:lang w:eastAsia="pt-BR"/>
        </w:rPr>
        <w:t xml:space="preserve"> São Paulo: Faísca Publicações Libertárias.</w:t>
      </w:r>
    </w:p>
    <w:p w14:paraId="1731249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SANTANA, Marco Aurélio. (2001), </w:t>
      </w:r>
      <w:r w:rsidRPr="00244AE1">
        <w:rPr>
          <w:rFonts w:ascii="Times New Roman" w:eastAsia="Times New Roman" w:hAnsi="Times New Roman" w:cs="Times New Roman"/>
          <w:b/>
          <w:color w:val="000000"/>
          <w:sz w:val="24"/>
          <w:szCs w:val="24"/>
          <w:lang w:eastAsia="pt-BR"/>
        </w:rPr>
        <w:t>Homens partidos</w:t>
      </w:r>
      <w:r w:rsidRPr="00244AE1">
        <w:rPr>
          <w:rFonts w:ascii="Times New Roman" w:eastAsia="Times New Roman" w:hAnsi="Times New Roman" w:cs="Times New Roman"/>
          <w:color w:val="000000"/>
          <w:sz w:val="24"/>
          <w:szCs w:val="24"/>
          <w:lang w:eastAsia="pt-BR"/>
        </w:rPr>
        <w:t>. São Paulo: Boitempo Editorial.</w:t>
      </w:r>
    </w:p>
    <w:p w14:paraId="5356928C" w14:textId="77777777" w:rsidR="00244AE1" w:rsidRPr="00244AE1" w:rsidRDefault="00244AE1" w:rsidP="00244AE1">
      <w:pPr>
        <w:spacing w:after="200" w:line="360" w:lineRule="auto"/>
        <w:jc w:val="both"/>
        <w:rPr>
          <w:rFonts w:ascii="Times New Roman" w:eastAsia="Calibri" w:hAnsi="Times New Roman" w:cs="Times New Roman"/>
          <w:color w:val="000000"/>
          <w:sz w:val="24"/>
          <w:szCs w:val="24"/>
          <w:lang w:eastAsia="pt-BR"/>
        </w:rPr>
      </w:pPr>
      <w:r w:rsidRPr="00244AE1">
        <w:rPr>
          <w:rFonts w:ascii="Times New Roman" w:eastAsia="Calibri" w:hAnsi="Times New Roman" w:cs="Times New Roman"/>
          <w:color w:val="000000"/>
          <w:sz w:val="24"/>
          <w:szCs w:val="24"/>
          <w:lang w:eastAsia="pt-BR"/>
        </w:rPr>
        <w:t xml:space="preserve">SANTOS, Hamilton Moraes Theodoro dos. (2017), </w:t>
      </w:r>
      <w:r w:rsidRPr="00244AE1">
        <w:rPr>
          <w:rFonts w:ascii="Times New Roman" w:eastAsia="Calibri" w:hAnsi="Times New Roman" w:cs="Times New Roman"/>
          <w:b/>
          <w:color w:val="000000"/>
          <w:sz w:val="24"/>
          <w:szCs w:val="24"/>
          <w:lang w:eastAsia="pt-BR"/>
        </w:rPr>
        <w:t>Anarquismo e a formação do Partido Comunista do Brasil</w:t>
      </w:r>
      <w:r w:rsidRPr="00244AE1">
        <w:rPr>
          <w:rFonts w:ascii="Times New Roman" w:eastAsia="Calibri" w:hAnsi="Times New Roman" w:cs="Times New Roman"/>
          <w:color w:val="000000"/>
          <w:sz w:val="24"/>
          <w:szCs w:val="24"/>
          <w:lang w:eastAsia="pt-BR"/>
        </w:rPr>
        <w:t xml:space="preserve">. Rio de Janeiro: Rizoma Editorial. </w:t>
      </w:r>
    </w:p>
    <w:p w14:paraId="3B40D3D6" w14:textId="77777777" w:rsidR="00244AE1" w:rsidRPr="00244AE1" w:rsidRDefault="00244AE1" w:rsidP="00244AE1">
      <w:pPr>
        <w:spacing w:after="200" w:line="360" w:lineRule="auto"/>
        <w:jc w:val="both"/>
        <w:rPr>
          <w:rFonts w:ascii="Times New Roman" w:eastAsia="Calibri" w:hAnsi="Times New Roman" w:cs="Times New Roman"/>
          <w:color w:val="000000"/>
          <w:sz w:val="24"/>
          <w:szCs w:val="24"/>
          <w:lang w:eastAsia="pt-BR"/>
        </w:rPr>
      </w:pPr>
      <w:r w:rsidRPr="00244AE1">
        <w:rPr>
          <w:rFonts w:ascii="Times New Roman" w:eastAsia="Calibri" w:hAnsi="Times New Roman" w:cs="Times New Roman"/>
          <w:color w:val="000000"/>
          <w:sz w:val="24"/>
          <w:szCs w:val="24"/>
          <w:lang w:eastAsia="pt-BR"/>
        </w:rPr>
        <w:t xml:space="preserve">SANTOS, Kauan Willian dos e Silva, Rafael Viana da (organizadores). (2018), </w:t>
      </w:r>
      <w:r w:rsidRPr="00244AE1">
        <w:rPr>
          <w:rFonts w:ascii="Times New Roman" w:eastAsia="Calibri" w:hAnsi="Times New Roman" w:cs="Times New Roman"/>
          <w:b/>
          <w:color w:val="000000"/>
          <w:sz w:val="24"/>
          <w:szCs w:val="24"/>
          <w:lang w:eastAsia="pt-BR"/>
        </w:rPr>
        <w:t xml:space="preserve">História do anarquismo e do sindicalismo de intenção revolucionária. </w:t>
      </w:r>
      <w:r w:rsidRPr="00244AE1">
        <w:rPr>
          <w:rFonts w:ascii="Times New Roman" w:eastAsia="Calibri" w:hAnsi="Times New Roman" w:cs="Times New Roman"/>
          <w:color w:val="000000"/>
          <w:sz w:val="24"/>
          <w:szCs w:val="24"/>
          <w:lang w:eastAsia="pt-BR"/>
        </w:rPr>
        <w:t>Curitiba: Editora Prismas.</w:t>
      </w:r>
    </w:p>
    <w:p w14:paraId="410B7D74"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val="en-US" w:eastAsia="pt-BR"/>
        </w:rPr>
        <w:t xml:space="preserve">SCHMIDT, Michael e VAN DER WALT, Lucien. (2009), </w:t>
      </w:r>
      <w:r w:rsidRPr="00244AE1">
        <w:rPr>
          <w:rFonts w:ascii="Times New Roman" w:eastAsia="Times New Roman" w:hAnsi="Times New Roman" w:cs="Times New Roman"/>
          <w:b/>
          <w:color w:val="000000"/>
          <w:sz w:val="24"/>
          <w:szCs w:val="24"/>
          <w:lang w:val="en-US" w:eastAsia="pt-BR"/>
        </w:rPr>
        <w:t>BlackFlame: the revolutionary class politics of anarchism and syndicalism</w:t>
      </w:r>
      <w:r w:rsidRPr="00244AE1">
        <w:rPr>
          <w:rFonts w:ascii="Times New Roman" w:eastAsia="Times New Roman" w:hAnsi="Times New Roman" w:cs="Times New Roman"/>
          <w:color w:val="000000"/>
          <w:sz w:val="24"/>
          <w:szCs w:val="24"/>
          <w:lang w:val="en-US" w:eastAsia="pt-BR"/>
        </w:rPr>
        <w:t xml:space="preserve">. </w:t>
      </w:r>
      <w:r w:rsidRPr="00244AE1">
        <w:rPr>
          <w:rFonts w:ascii="Times New Roman" w:eastAsia="Times New Roman" w:hAnsi="Times New Roman" w:cs="Times New Roman"/>
          <w:color w:val="000000"/>
          <w:sz w:val="24"/>
          <w:szCs w:val="24"/>
          <w:lang w:eastAsia="pt-BR"/>
        </w:rPr>
        <w:t>Oakland: Ak Press.</w:t>
      </w:r>
    </w:p>
    <w:p w14:paraId="70D89445"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SODRÉ, Nelson Werneck. (1966), </w:t>
      </w:r>
      <w:r w:rsidRPr="00244AE1">
        <w:rPr>
          <w:rFonts w:ascii="Times New Roman" w:eastAsia="Times New Roman" w:hAnsi="Times New Roman" w:cs="Times New Roman"/>
          <w:b/>
          <w:color w:val="000000"/>
          <w:sz w:val="24"/>
          <w:szCs w:val="24"/>
          <w:lang w:eastAsia="pt-BR"/>
        </w:rPr>
        <w:t>A História da imprensa no Brasil.</w:t>
      </w:r>
      <w:r w:rsidRPr="00244AE1">
        <w:rPr>
          <w:rFonts w:ascii="Times New Roman" w:eastAsia="Times New Roman" w:hAnsi="Times New Roman" w:cs="Times New Roman"/>
          <w:color w:val="000000"/>
          <w:sz w:val="24"/>
          <w:szCs w:val="24"/>
          <w:lang w:eastAsia="pt-BR"/>
        </w:rPr>
        <w:t xml:space="preserve"> Rio de Janeiro: Editora Civilização Brasileira.</w:t>
      </w:r>
    </w:p>
    <w:p w14:paraId="3FBCFFB2" w14:textId="77777777" w:rsidR="00244AE1" w:rsidRPr="00244AE1" w:rsidRDefault="00244AE1" w:rsidP="00244AE1">
      <w:pPr>
        <w:spacing w:after="20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 (1968), </w:t>
      </w:r>
      <w:r w:rsidRPr="00244AE1">
        <w:rPr>
          <w:rFonts w:ascii="Times New Roman" w:eastAsia="Times New Roman" w:hAnsi="Times New Roman" w:cs="Times New Roman"/>
          <w:b/>
          <w:color w:val="000000"/>
          <w:sz w:val="24"/>
          <w:szCs w:val="24"/>
          <w:lang w:eastAsia="pt-BR"/>
        </w:rPr>
        <w:t>Fundamentos do materialismo histórico</w:t>
      </w:r>
      <w:r w:rsidRPr="00244AE1">
        <w:rPr>
          <w:rFonts w:ascii="Times New Roman" w:eastAsia="Times New Roman" w:hAnsi="Times New Roman" w:cs="Times New Roman"/>
          <w:color w:val="000000"/>
          <w:sz w:val="24"/>
          <w:szCs w:val="24"/>
          <w:lang w:eastAsia="pt-BR"/>
        </w:rPr>
        <w:t>. Rio de Janeiro: Editora Civilização Brasileira.</w:t>
      </w:r>
    </w:p>
    <w:p w14:paraId="50AA2768"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______________________. (1968), </w:t>
      </w:r>
      <w:r w:rsidRPr="00244AE1">
        <w:rPr>
          <w:rFonts w:ascii="Times New Roman" w:eastAsia="Times New Roman" w:hAnsi="Times New Roman" w:cs="Times New Roman"/>
          <w:b/>
          <w:color w:val="000000"/>
          <w:sz w:val="24"/>
          <w:szCs w:val="24"/>
          <w:lang w:eastAsia="pt-BR"/>
        </w:rPr>
        <w:t>Fundamentos do materialismo dialético</w:t>
      </w:r>
      <w:r w:rsidRPr="00244AE1">
        <w:rPr>
          <w:rFonts w:ascii="Times New Roman" w:eastAsia="Times New Roman" w:hAnsi="Times New Roman" w:cs="Times New Roman"/>
          <w:color w:val="000000"/>
          <w:sz w:val="24"/>
          <w:szCs w:val="24"/>
          <w:lang w:eastAsia="pt-BR"/>
        </w:rPr>
        <w:t>. Rio de Janeiro: Ed. Civilização Brasileira.</w:t>
      </w:r>
    </w:p>
    <w:p w14:paraId="2AB68F28"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THOMPSON, Edward Palmer. (1987), </w:t>
      </w:r>
      <w:r w:rsidRPr="00244AE1">
        <w:rPr>
          <w:rFonts w:ascii="Times New Roman" w:eastAsia="Times New Roman" w:hAnsi="Times New Roman" w:cs="Times New Roman"/>
          <w:b/>
          <w:color w:val="000000"/>
          <w:sz w:val="24"/>
          <w:szCs w:val="24"/>
          <w:lang w:eastAsia="pt-BR"/>
        </w:rPr>
        <w:t>A Formação da Classe Operária Inglesa: A Árvore da Liberdade.</w:t>
      </w:r>
      <w:r w:rsidRPr="00244AE1">
        <w:rPr>
          <w:rFonts w:ascii="Times New Roman" w:eastAsia="Times New Roman" w:hAnsi="Times New Roman" w:cs="Times New Roman"/>
          <w:color w:val="000000"/>
          <w:sz w:val="24"/>
          <w:szCs w:val="24"/>
          <w:lang w:eastAsia="pt-BR"/>
        </w:rPr>
        <w:t xml:space="preserve"> Rio de Janeiro: Ed. Paz e Terra.</w:t>
      </w:r>
    </w:p>
    <w:p w14:paraId="389ECB39"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lastRenderedPageBreak/>
        <w:t xml:space="preserve">TOLEDO, Edilene. (2004), </w:t>
      </w:r>
      <w:r w:rsidRPr="00244AE1">
        <w:rPr>
          <w:rFonts w:ascii="Times New Roman" w:eastAsia="Times New Roman" w:hAnsi="Times New Roman" w:cs="Times New Roman"/>
          <w:b/>
          <w:color w:val="000000"/>
          <w:sz w:val="24"/>
          <w:szCs w:val="24"/>
          <w:lang w:eastAsia="pt-BR"/>
        </w:rPr>
        <w:t>Anarquismo e sindicalismo revolucionário: trabalhadores e militantes em São Paulo na Primeira República</w:t>
      </w:r>
      <w:r w:rsidRPr="00244AE1">
        <w:rPr>
          <w:rFonts w:ascii="Times New Roman" w:eastAsia="Times New Roman" w:hAnsi="Times New Roman" w:cs="Times New Roman"/>
          <w:color w:val="000000"/>
          <w:sz w:val="24"/>
          <w:szCs w:val="24"/>
          <w:lang w:eastAsia="pt-BR"/>
        </w:rPr>
        <w:t>. São Paulo: Ed. Perseu Abramo.</w:t>
      </w:r>
    </w:p>
    <w:p w14:paraId="3EE70D71"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ULAM, Adam B. (1976), </w:t>
      </w:r>
      <w:proofErr w:type="gramStart"/>
      <w:r w:rsidRPr="00244AE1">
        <w:rPr>
          <w:rFonts w:ascii="Times New Roman" w:eastAsia="Times New Roman" w:hAnsi="Times New Roman" w:cs="Times New Roman"/>
          <w:b/>
          <w:color w:val="000000"/>
          <w:sz w:val="24"/>
          <w:szCs w:val="24"/>
          <w:lang w:eastAsia="pt-BR"/>
        </w:rPr>
        <w:t>Os</w:t>
      </w:r>
      <w:proofErr w:type="gramEnd"/>
      <w:r w:rsidRPr="00244AE1">
        <w:rPr>
          <w:rFonts w:ascii="Times New Roman" w:eastAsia="Times New Roman" w:hAnsi="Times New Roman" w:cs="Times New Roman"/>
          <w:b/>
          <w:color w:val="000000"/>
          <w:sz w:val="24"/>
          <w:szCs w:val="24"/>
          <w:lang w:eastAsia="pt-BR"/>
        </w:rPr>
        <w:t xml:space="preserve"> bolcheviques</w:t>
      </w:r>
      <w:r w:rsidRPr="00244AE1">
        <w:rPr>
          <w:rFonts w:ascii="Times New Roman" w:eastAsia="Times New Roman" w:hAnsi="Times New Roman" w:cs="Times New Roman"/>
          <w:color w:val="000000"/>
          <w:sz w:val="24"/>
          <w:szCs w:val="24"/>
          <w:lang w:eastAsia="pt-BR"/>
        </w:rPr>
        <w:t>. Rio de Janeiro: Ed. Nova Fronteira.</w:t>
      </w:r>
    </w:p>
    <w:p w14:paraId="40FB89AF"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Vários autores. (1998), </w:t>
      </w:r>
      <w:r w:rsidRPr="00244AE1">
        <w:rPr>
          <w:rFonts w:ascii="Times New Roman" w:eastAsia="Times New Roman" w:hAnsi="Times New Roman" w:cs="Times New Roman"/>
          <w:b/>
          <w:color w:val="000000"/>
          <w:sz w:val="24"/>
          <w:szCs w:val="24"/>
          <w:lang w:eastAsia="pt-BR"/>
        </w:rPr>
        <w:t>História da vida privada no Brasil: contrastes da intimidade contemporânea (4° volume)</w:t>
      </w:r>
      <w:r w:rsidRPr="00244AE1">
        <w:rPr>
          <w:rFonts w:ascii="Times New Roman" w:eastAsia="Times New Roman" w:hAnsi="Times New Roman" w:cs="Times New Roman"/>
          <w:color w:val="000000"/>
          <w:sz w:val="24"/>
          <w:szCs w:val="24"/>
          <w:lang w:eastAsia="pt-BR"/>
        </w:rPr>
        <w:t>. São Paulo: Ed. Companhia das Letras.</w:t>
      </w:r>
    </w:p>
    <w:p w14:paraId="0CDDCC0E" w14:textId="77777777" w:rsidR="00244AE1" w:rsidRP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VINHAS, Maurício. (1970), </w:t>
      </w:r>
      <w:r w:rsidRPr="00244AE1">
        <w:rPr>
          <w:rFonts w:ascii="Times New Roman" w:eastAsia="Times New Roman" w:hAnsi="Times New Roman" w:cs="Times New Roman"/>
          <w:b/>
          <w:color w:val="000000"/>
          <w:sz w:val="24"/>
          <w:szCs w:val="24"/>
          <w:lang w:eastAsia="pt-BR"/>
        </w:rPr>
        <w:t>Estudos sobre o proletariado brasileiro</w:t>
      </w:r>
      <w:r w:rsidRPr="00244AE1">
        <w:rPr>
          <w:rFonts w:ascii="Times New Roman" w:eastAsia="Times New Roman" w:hAnsi="Times New Roman" w:cs="Times New Roman"/>
          <w:color w:val="000000"/>
          <w:sz w:val="24"/>
          <w:szCs w:val="24"/>
          <w:lang w:eastAsia="pt-BR"/>
        </w:rPr>
        <w:t>. Rio de Janeiro: Ed. Civilização Brasileira.</w:t>
      </w:r>
    </w:p>
    <w:p w14:paraId="33E9E185" w14:textId="77777777" w:rsidR="00244AE1" w:rsidRDefault="00244AE1" w:rsidP="00244AE1">
      <w:pPr>
        <w:spacing w:after="0" w:line="360" w:lineRule="auto"/>
        <w:jc w:val="both"/>
        <w:rPr>
          <w:rFonts w:ascii="Times New Roman" w:eastAsia="Times New Roman" w:hAnsi="Times New Roman" w:cs="Times New Roman"/>
          <w:color w:val="000000"/>
          <w:sz w:val="24"/>
          <w:szCs w:val="24"/>
          <w:lang w:eastAsia="pt-BR"/>
        </w:rPr>
      </w:pPr>
      <w:r w:rsidRPr="00244AE1">
        <w:rPr>
          <w:rFonts w:ascii="Times New Roman" w:eastAsia="Times New Roman" w:hAnsi="Times New Roman" w:cs="Times New Roman"/>
          <w:color w:val="000000"/>
          <w:sz w:val="24"/>
          <w:szCs w:val="24"/>
          <w:lang w:eastAsia="pt-BR"/>
        </w:rPr>
        <w:t xml:space="preserve">WOODCOK, Geroge. (2002), </w:t>
      </w:r>
      <w:r w:rsidRPr="00244AE1">
        <w:rPr>
          <w:rFonts w:ascii="Times New Roman" w:eastAsia="Times New Roman" w:hAnsi="Times New Roman" w:cs="Times New Roman"/>
          <w:b/>
          <w:color w:val="000000"/>
          <w:sz w:val="24"/>
          <w:szCs w:val="24"/>
          <w:lang w:eastAsia="pt-BR"/>
        </w:rPr>
        <w:t>História das ideias e dos movimentos anarquistas.</w:t>
      </w:r>
      <w:r w:rsidRPr="00244AE1">
        <w:rPr>
          <w:rFonts w:ascii="Times New Roman" w:eastAsia="Times New Roman" w:hAnsi="Times New Roman" w:cs="Times New Roman"/>
          <w:color w:val="000000"/>
          <w:sz w:val="24"/>
          <w:szCs w:val="24"/>
          <w:lang w:eastAsia="pt-BR"/>
        </w:rPr>
        <w:t xml:space="preserve"> Porto Alegre: L&amp;PM.</w:t>
      </w:r>
    </w:p>
    <w:p w14:paraId="2E7D7A24"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1EC39437"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5019D35A"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09CE0794"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4005711D"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2BD12FCA" w14:textId="77777777"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13233273"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485325FE"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38E54E4D"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4FF9AF52"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38C7C457"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62C4187E" w14:textId="77777777" w:rsidR="008545B0" w:rsidRDefault="008545B0" w:rsidP="00244AE1">
      <w:pPr>
        <w:spacing w:after="0" w:line="360" w:lineRule="auto"/>
        <w:jc w:val="both"/>
        <w:rPr>
          <w:rFonts w:ascii="Times New Roman" w:eastAsia="Times New Roman" w:hAnsi="Times New Roman" w:cs="Times New Roman"/>
          <w:color w:val="000000"/>
          <w:sz w:val="24"/>
          <w:szCs w:val="24"/>
          <w:lang w:eastAsia="pt-BR"/>
        </w:rPr>
      </w:pPr>
    </w:p>
    <w:p w14:paraId="17EC8047" w14:textId="2A0198B5"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1A4C107A" w14:textId="7320DF0D"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4F19E18B" w14:textId="2EEE7A06"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0DCBFA92" w14:textId="655863F7"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0AFFEC07" w14:textId="170E6E3C"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1FA7B549" w14:textId="7FE281EA"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2F9EEA64" w14:textId="7E92C5E2"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5FBE5AD9" w14:textId="24B01877"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12A75AB6" w14:textId="394FA48D"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3F68840C" w14:textId="77777777" w:rsidR="008C7806" w:rsidRDefault="008C7806" w:rsidP="00244AE1">
      <w:pPr>
        <w:spacing w:after="0" w:line="360" w:lineRule="auto"/>
        <w:jc w:val="both"/>
        <w:rPr>
          <w:rFonts w:ascii="Times New Roman" w:eastAsia="Times New Roman" w:hAnsi="Times New Roman" w:cs="Times New Roman"/>
          <w:color w:val="000000"/>
          <w:sz w:val="24"/>
          <w:szCs w:val="24"/>
          <w:lang w:eastAsia="pt-BR"/>
        </w:rPr>
      </w:pPr>
    </w:p>
    <w:p w14:paraId="6701E9D9" w14:textId="74936D61" w:rsidR="00E32DCE"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56D8140E" w14:textId="77777777" w:rsidR="002220E8" w:rsidRDefault="002220E8" w:rsidP="00244AE1">
      <w:pPr>
        <w:spacing w:after="0" w:line="360" w:lineRule="auto"/>
        <w:jc w:val="both"/>
        <w:rPr>
          <w:rFonts w:ascii="Times New Roman" w:eastAsia="Times New Roman" w:hAnsi="Times New Roman" w:cs="Times New Roman"/>
          <w:color w:val="000000"/>
          <w:sz w:val="24"/>
          <w:szCs w:val="24"/>
          <w:lang w:eastAsia="pt-BR"/>
        </w:rPr>
      </w:pPr>
    </w:p>
    <w:p w14:paraId="0B0CE283" w14:textId="4784C6BA" w:rsidR="008C7806" w:rsidRPr="00E32DCE" w:rsidRDefault="008C7806" w:rsidP="00E32DCE">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 CASA AO LADO: A SITUAÇÃO DOS REFUGIADOS PALESTINOS QUE HABITAM O LIBANO</w:t>
      </w:r>
    </w:p>
    <w:p w14:paraId="5BE617EF" w14:textId="77777777" w:rsidR="00E32DCE" w:rsidRPr="00E32DCE" w:rsidRDefault="00E32DCE" w:rsidP="00E32DCE">
      <w:pPr>
        <w:spacing w:after="0" w:line="240" w:lineRule="auto"/>
        <w:rPr>
          <w:rFonts w:ascii="Times New Roman" w:eastAsia="Times New Roman" w:hAnsi="Times New Roman" w:cs="Times New Roman"/>
          <w:sz w:val="24"/>
          <w:szCs w:val="24"/>
          <w:lang w:eastAsia="pt-BR"/>
        </w:rPr>
      </w:pPr>
    </w:p>
    <w:p w14:paraId="25310A3C" w14:textId="77777777" w:rsidR="00E32DCE" w:rsidRPr="00E32DCE" w:rsidRDefault="00E32DCE" w:rsidP="004C69B7">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b/>
          <w:bCs/>
          <w:i/>
          <w:iCs/>
          <w:color w:val="000000"/>
          <w:sz w:val="24"/>
          <w:szCs w:val="24"/>
          <w:lang w:eastAsia="pt-BR"/>
        </w:rPr>
        <w:t>Karime Ahmad Borraschi Cheaito</w:t>
      </w:r>
    </w:p>
    <w:p w14:paraId="6562748A" w14:textId="77777777" w:rsidR="00E32DCE" w:rsidRPr="00E32DCE" w:rsidRDefault="00E32DCE" w:rsidP="004C69B7">
      <w:pPr>
        <w:spacing w:after="0" w:line="276" w:lineRule="auto"/>
        <w:jc w:val="right"/>
        <w:rPr>
          <w:rFonts w:ascii="Times New Roman" w:eastAsia="Times New Roman" w:hAnsi="Times New Roman" w:cs="Times New Roman"/>
          <w:sz w:val="24"/>
          <w:szCs w:val="24"/>
          <w:lang w:eastAsia="pt-BR"/>
        </w:rPr>
      </w:pPr>
      <w:r w:rsidRPr="00E32DCE">
        <w:rPr>
          <w:rFonts w:ascii="Times New Roman" w:eastAsia="Times New Roman" w:hAnsi="Times New Roman" w:cs="Times New Roman"/>
          <w:color w:val="000000"/>
          <w:sz w:val="24"/>
          <w:szCs w:val="24"/>
          <w:lang w:eastAsia="pt-BR"/>
        </w:rPr>
        <w:t>Graduanda em Ciências Sociais pela Universidade Estadual Paulista (UNESP), com área de concentração em Ciência Política.</w:t>
      </w:r>
    </w:p>
    <w:p w14:paraId="0D1DBCAF" w14:textId="44D633D0" w:rsidR="00447EBC" w:rsidRDefault="00447EBC" w:rsidP="00E32DCE">
      <w:pPr>
        <w:spacing w:after="0" w:line="360" w:lineRule="auto"/>
        <w:jc w:val="right"/>
        <w:rPr>
          <w:rFonts w:ascii="Times New Roman" w:eastAsia="Calibri" w:hAnsi="Times New Roman" w:cs="Times New Roman"/>
          <w:sz w:val="24"/>
          <w:szCs w:val="28"/>
        </w:rPr>
      </w:pPr>
    </w:p>
    <w:p w14:paraId="688E9BAF" w14:textId="77777777" w:rsidR="00BE56FE" w:rsidRPr="00E32DCE" w:rsidRDefault="00BE56FE" w:rsidP="00E32DCE">
      <w:pPr>
        <w:spacing w:after="0" w:line="360" w:lineRule="auto"/>
        <w:jc w:val="right"/>
        <w:rPr>
          <w:rFonts w:ascii="Times New Roman" w:eastAsia="Calibri" w:hAnsi="Times New Roman" w:cs="Times New Roman"/>
          <w:sz w:val="24"/>
          <w:szCs w:val="28"/>
        </w:rPr>
      </w:pPr>
    </w:p>
    <w:p w14:paraId="4534A5FF" w14:textId="731A5C0E" w:rsidR="00E32DCE" w:rsidRPr="00BE56FE" w:rsidRDefault="00E32DCE" w:rsidP="00E32DCE">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Resumo</w:t>
      </w:r>
      <w:r w:rsidR="00BE56FE">
        <w:rPr>
          <w:rFonts w:ascii="Times New Roman" w:eastAsia="Calibri" w:hAnsi="Times New Roman" w:cs="Times New Roman"/>
          <w:b/>
          <w:sz w:val="24"/>
          <w:szCs w:val="24"/>
        </w:rPr>
        <w:t xml:space="preserve">: </w:t>
      </w:r>
      <w:r w:rsidRPr="00E32DCE">
        <w:rPr>
          <w:rFonts w:ascii="Times New Roman" w:eastAsia="Calibri" w:hAnsi="Times New Roman" w:cs="Times New Roman"/>
          <w:sz w:val="24"/>
          <w:szCs w:val="24"/>
        </w:rPr>
        <w:t xml:space="preserve">O presente artigo visa analisar a situação dos refugiados palestinos que migraram para o Líbano a partir dos anos 1940, em busca de compreender a relação existente entre o sistema político libanês, pautado no Confessionalismo, e a forma como os refugiados foram tratados pelas autoridades libanesas e pelas forças militares. Para analisar essa relação conflituosa, têm-se como foco do estudo as violências praticadas pelo Exército Nacional Libanês contra os campos de refugiados palestinos durante os anos 1960 e 1970. A metodologia empregada na realização da pesquisa tem como referência uma “concepção instrumental”, que consiste em analisar as manifestações militares a partir de interesses de classes, considerando a interação civil-militar que reflete nas ações do Exército. Para seu desenvolvimento, recorreu-se a técnicas histórico-documentais, realizando levantamento e análise de bibliografias referentes à temática e estudo de documentos oficiais, além da coleta de dados em campo.  </w:t>
      </w:r>
    </w:p>
    <w:p w14:paraId="0FD0FCAF"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p>
    <w:p w14:paraId="5F7A7F44" w14:textId="77777777" w:rsidR="00E32DCE" w:rsidRPr="00E32DCE" w:rsidRDefault="00E32DCE" w:rsidP="00E32DCE">
      <w:pPr>
        <w:spacing w:after="0" w:line="360" w:lineRule="auto"/>
        <w:jc w:val="both"/>
        <w:rPr>
          <w:rFonts w:ascii="Times New Roman" w:eastAsia="Calibri" w:hAnsi="Times New Roman" w:cs="Times New Roman"/>
          <w:sz w:val="24"/>
          <w:szCs w:val="24"/>
          <w:lang w:val="en-US"/>
        </w:rPr>
      </w:pPr>
      <w:r w:rsidRPr="00E32DCE">
        <w:rPr>
          <w:rFonts w:ascii="Times New Roman" w:eastAsia="Calibri" w:hAnsi="Times New Roman" w:cs="Times New Roman"/>
          <w:b/>
          <w:sz w:val="24"/>
          <w:szCs w:val="24"/>
        </w:rPr>
        <w:t xml:space="preserve">Palavras-chave: </w:t>
      </w:r>
      <w:r w:rsidRPr="00E32DCE">
        <w:rPr>
          <w:rFonts w:ascii="Times New Roman" w:eastAsia="Calibri" w:hAnsi="Times New Roman" w:cs="Times New Roman"/>
          <w:sz w:val="24"/>
          <w:szCs w:val="24"/>
        </w:rPr>
        <w:t xml:space="preserve">Palestinos. Líbano. Confessionalismo. </w:t>
      </w:r>
      <w:r w:rsidRPr="00E32DCE">
        <w:rPr>
          <w:rFonts w:ascii="Times New Roman" w:eastAsia="Calibri" w:hAnsi="Times New Roman" w:cs="Times New Roman"/>
          <w:sz w:val="24"/>
          <w:szCs w:val="24"/>
          <w:lang w:val="en-US"/>
        </w:rPr>
        <w:t>Exército Nacional Libanês. Refugiados.</w:t>
      </w:r>
    </w:p>
    <w:p w14:paraId="79714EA8" w14:textId="77777777" w:rsidR="00E32DCE" w:rsidRPr="00E32DCE" w:rsidRDefault="00E32DCE" w:rsidP="00E32DCE">
      <w:pPr>
        <w:spacing w:after="0" w:line="360" w:lineRule="auto"/>
        <w:jc w:val="both"/>
        <w:rPr>
          <w:rFonts w:ascii="Times New Roman" w:eastAsia="Calibri" w:hAnsi="Times New Roman" w:cs="Times New Roman"/>
          <w:sz w:val="24"/>
          <w:szCs w:val="24"/>
          <w:lang w:val="en-US"/>
        </w:rPr>
      </w:pPr>
    </w:p>
    <w:p w14:paraId="5598C1AF" w14:textId="7A55B38D" w:rsidR="00E32DCE" w:rsidRPr="00BE56FE" w:rsidRDefault="00E32DCE" w:rsidP="00E32DCE">
      <w:pPr>
        <w:spacing w:after="0" w:line="360" w:lineRule="auto"/>
        <w:jc w:val="both"/>
        <w:rPr>
          <w:rFonts w:ascii="Times New Roman" w:eastAsia="Calibri" w:hAnsi="Times New Roman" w:cs="Times New Roman"/>
          <w:b/>
          <w:sz w:val="24"/>
          <w:szCs w:val="24"/>
          <w:lang w:val="en-US"/>
        </w:rPr>
      </w:pPr>
      <w:r w:rsidRPr="00E32DCE">
        <w:rPr>
          <w:rFonts w:ascii="Times New Roman" w:eastAsia="Calibri" w:hAnsi="Times New Roman" w:cs="Times New Roman"/>
          <w:b/>
          <w:sz w:val="24"/>
          <w:szCs w:val="24"/>
          <w:lang w:val="en-US"/>
        </w:rPr>
        <w:t>Abstract</w:t>
      </w:r>
      <w:r w:rsidR="00BE56FE">
        <w:rPr>
          <w:rFonts w:ascii="Times New Roman" w:eastAsia="Calibri" w:hAnsi="Times New Roman" w:cs="Times New Roman"/>
          <w:b/>
          <w:sz w:val="24"/>
          <w:szCs w:val="24"/>
          <w:lang w:val="en-US"/>
        </w:rPr>
        <w:t xml:space="preserve"> : </w:t>
      </w:r>
      <w:r w:rsidRPr="00E32DCE">
        <w:rPr>
          <w:rFonts w:ascii="Times New Roman" w:eastAsia="Calibri" w:hAnsi="Times New Roman" w:cs="Times New Roman"/>
          <w:sz w:val="24"/>
          <w:szCs w:val="24"/>
          <w:lang w:val="en-US"/>
        </w:rPr>
        <w:t xml:space="preserve">This article aims to analyze the situation of the Palestinian refugees who have migrated to Lebanon since the 1940s, in order to understand the possible existence of a relationship between the Lebanese political system based on Confessionalism and the way refugees were treated by Lebanese authorities and the military. In order to analyze this conflicting relationship, the study focuses on the violence practiced by the Lebanese National Army against the Palestinian camps during the 1960s and 1970s. The methodology used in the research is based on an “instrumental conception”, which consists in analyzing the military manifestations through class interests, considering the </w:t>
      </w:r>
      <w:r w:rsidRPr="00E32DCE">
        <w:rPr>
          <w:rFonts w:ascii="Times New Roman" w:eastAsia="Calibri" w:hAnsi="Times New Roman" w:cs="Times New Roman"/>
          <w:sz w:val="24"/>
          <w:szCs w:val="24"/>
          <w:lang w:val="en-US"/>
        </w:rPr>
        <w:lastRenderedPageBreak/>
        <w:t>existence of a civil-military interaction that reflects in the actions of the Army. For its development, we used historical-documentary techniques, performing a survey and an analysis of bibliographies referring to the thematic and a study of official documents, as well as data collection in the field.</w:t>
      </w:r>
    </w:p>
    <w:p w14:paraId="604B30F0" w14:textId="77777777" w:rsidR="00E32DCE" w:rsidRPr="00E32DCE" w:rsidRDefault="00E32DCE" w:rsidP="00E32DCE">
      <w:pPr>
        <w:spacing w:after="0" w:line="360" w:lineRule="auto"/>
        <w:jc w:val="both"/>
        <w:rPr>
          <w:rFonts w:ascii="Times New Roman" w:eastAsia="Calibri" w:hAnsi="Times New Roman" w:cs="Times New Roman"/>
          <w:sz w:val="24"/>
          <w:szCs w:val="24"/>
          <w:lang w:val="en-US"/>
        </w:rPr>
      </w:pPr>
    </w:p>
    <w:p w14:paraId="3FA14346" w14:textId="77777777" w:rsidR="00E32DCE" w:rsidRDefault="00E32DCE" w:rsidP="00E32DCE">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b/>
          <w:sz w:val="24"/>
          <w:szCs w:val="24"/>
          <w:lang w:val="en-US"/>
        </w:rPr>
        <w:t>Keywords</w:t>
      </w:r>
      <w:r w:rsidRPr="00E32DCE">
        <w:rPr>
          <w:rFonts w:ascii="Times New Roman" w:eastAsia="Calibri" w:hAnsi="Times New Roman" w:cs="Times New Roman"/>
          <w:sz w:val="24"/>
          <w:szCs w:val="24"/>
          <w:lang w:val="en-US"/>
        </w:rPr>
        <w:t xml:space="preserve">: Palestinians. Lebanon. Confessionalism. Lebanese National Army. </w:t>
      </w:r>
      <w:r w:rsidRPr="00E32DCE">
        <w:rPr>
          <w:rFonts w:ascii="Times New Roman" w:eastAsia="Calibri" w:hAnsi="Times New Roman" w:cs="Times New Roman"/>
          <w:sz w:val="24"/>
          <w:szCs w:val="24"/>
        </w:rPr>
        <w:t>Refugees.</w:t>
      </w:r>
    </w:p>
    <w:p w14:paraId="289EB756" w14:textId="77777777" w:rsidR="00E32DCE" w:rsidRDefault="00E32DCE" w:rsidP="00E32DCE">
      <w:pPr>
        <w:spacing w:after="0" w:line="360" w:lineRule="auto"/>
        <w:jc w:val="both"/>
        <w:rPr>
          <w:rFonts w:ascii="Times New Roman" w:eastAsia="Calibri" w:hAnsi="Times New Roman" w:cs="Times New Roman"/>
          <w:sz w:val="24"/>
          <w:szCs w:val="24"/>
        </w:rPr>
      </w:pPr>
    </w:p>
    <w:p w14:paraId="6BEC2F16" w14:textId="77777777" w:rsidR="00E32DCE" w:rsidRPr="00E32DCE" w:rsidRDefault="00E32DCE" w:rsidP="00E32DCE">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b/>
          <w:sz w:val="24"/>
          <w:szCs w:val="24"/>
        </w:rPr>
        <w:t>Introdução</w:t>
      </w:r>
    </w:p>
    <w:p w14:paraId="5ED75ED1"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Compreender os conflitos que se estendem pelo Oriente Médio está para além de uma visão simplista que considera em sua análise apenas os fatores religiosos. Em uma região onde a maioria dos Estados unem oficialmente política e religião, os motivos que levaram a diversos confrontos, principalmente no século XX e XXI, nunca foram por causa, exclusivamente, de disputa entre valores religiosos. No caso do Líbano, por exemplo, a religião a qual o indivíduo se insere ao nascer define não só sua crença e sua comunidade religiosa, mas determina também a posição social a qual ele ocupa e os cargos políticos e militares que poderá exercer. Sendo assim, os conflitos que se estenderam no Líbano estão para além de lutas religiosas, pois representam também uma luta entre classes. </w:t>
      </w:r>
    </w:p>
    <w:p w14:paraId="075D73A3"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Atualmente, um assunto que vem sendo bastante discutido, não só nos espaços acadêmicos, mas nas mídias de forma geral, são os movimentos migratórios de refugiados, que se estenderam para diversos países em proporções alarmantes. Ao buscar compreender, nesse artigo, as condições de vida dos refugiados palestinos que habitam o Líbano e suas relações com o governo libanês, foi possível notar que essa denominada crise de refugiados, repercutida atualmente, na realidade não é um problema atual. Observa-se que, desde o século XX, a questão das migrações de refugiados está para além do movimento de saída do país de origem em si, que apresenta causas diversas, mas abarca também a discussão sobre o país de destino desses refugiados: como será essa recepção; como será o tratamento dentro do país; quais consequências sociais, econômicas e políticas que esse movimento pode acarretar; existe ou não alguma assistência governamental aos refugiados, etc. Essas são algumas das questões que se colocam e que são pertinentes para analisar, no estudo do caso aqui proposto, os </w:t>
      </w:r>
      <w:r w:rsidRPr="00E32DCE">
        <w:rPr>
          <w:rFonts w:ascii="Times New Roman" w:eastAsia="Calibri" w:hAnsi="Times New Roman" w:cs="Times New Roman"/>
          <w:sz w:val="24"/>
          <w:szCs w:val="24"/>
        </w:rPr>
        <w:lastRenderedPageBreak/>
        <w:t xml:space="preserve">movimentos de palestinos que migraram para o Líbano e as consequências que deles vieram.  </w:t>
      </w:r>
    </w:p>
    <w:p w14:paraId="2729E36C"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Para isso, tornou-se necessário o estabelecimento de algumas relações para que fosse possível compreender as correlações de poder e as disputas políticas que se estenderam na primeira metade do século XX. Dentre as análises que se tornaram necessárias, está a do Confessionalismo, sistema político libanês legitimado a partir do Pacto Nacional Libanês de 1943, o qual foi elaborado no processo de independência do país. Esse regime político, que consiste na divisão dos poderes políticos e institucionais entre as comunidades religiosas oficiais do Líbano, determinou que os principais cargos políticos e militares deveriam ser ocupados, obrigatoriamente, pelos cristãos maronitas. Essa decisão não pode ser analisada sem antes considerar a forte influência da dominação francesa no país, que perdurou por 23 anos e atribuiu privilégios políticos e econômicos aos cristãos maronitas, como uma forma de garantir uma base de apoio na região que facilitasse a penetração das potências imperialistas europeias no local. Dessa forma, o Confessionalismo moldou o governo libanês e suas características, onde os interesses privados das comunidades cristãs detinham uma primazia sobre os interesses dos grupos muçulmanos. Por esse motivo, para estudar a presença dos refugiados palestinos no Líbano e os confrontos que se estenderam entre a Organização pela Libertação da Palestina (OLP) e o Exército Nacional, visto aqui como um instrumento utilizado pelo Estado, é necessário relacionar esses conflitos com as consequências sociais e políticas que resultaram do Confessionalismo enquanto um frágil e instável sistema político.   </w:t>
      </w:r>
    </w:p>
    <w:p w14:paraId="0D066A59"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Como obra central do artigo, recorreu-se ao trabalho de Domingo del Pino, intitulado </w:t>
      </w:r>
      <w:r w:rsidRPr="00E32DCE">
        <w:rPr>
          <w:rFonts w:ascii="Times New Roman" w:eastAsia="Calibri" w:hAnsi="Times New Roman" w:cs="Times New Roman"/>
          <w:i/>
          <w:sz w:val="24"/>
          <w:szCs w:val="24"/>
        </w:rPr>
        <w:t xml:space="preserve">A Tragédia do Líbano: retrato de uma Guerra Civil, </w:t>
      </w:r>
      <w:r w:rsidRPr="00E32DCE">
        <w:rPr>
          <w:rFonts w:ascii="Times New Roman" w:eastAsia="Calibri" w:hAnsi="Times New Roman" w:cs="Times New Roman"/>
          <w:sz w:val="24"/>
          <w:szCs w:val="24"/>
        </w:rPr>
        <w:t>no qual o jornalista descreveu as características centrais do Confessionalismo e analisou as consequências sociais e políticas que resultaram desse sistema, exemplificando com a Guerra Civil de 1958 e a Guerra Civil de 1975, abrangendo em seus estudos a questão da presença palestina no território e a força política que eles representavam.</w:t>
      </w:r>
    </w:p>
    <w:p w14:paraId="4A2A9014"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Foi exatamente essa força que a Resistência Palestina simbolizava que instigou o desenvolvimento da hipótese desse trabalho, a qual, através de uma análise crítica, se buscou observar como a presença palestina no Líbano foi identificada, pelos cristãos, como uma ameaça à manutenção da ordem confessional que fundamentava o governo, que era composto majoritariamente por cristãos maronitas que haviam ascendido politica </w:t>
      </w:r>
      <w:r w:rsidRPr="00E32DCE">
        <w:rPr>
          <w:rFonts w:ascii="Times New Roman" w:eastAsia="Calibri" w:hAnsi="Times New Roman" w:cs="Times New Roman"/>
          <w:sz w:val="24"/>
          <w:szCs w:val="24"/>
        </w:rPr>
        <w:lastRenderedPageBreak/>
        <w:t xml:space="preserve">e economicamente no país através de privilégios atribuídos pela França durante a execução de seu mandato. A partir de então, pressupõem-se que os palestinos, organizados politicamente, foram capazes de fortalecer os movimentos muçulmanos que se sentiam injustiçados pela lógica política que vigorava no território. Por esse motivo, a presença palestina foi vista como uma ameaça às autoridades libanesas, já que ela poderia incentivar e fortalecer os movimentos de oposição ao governo e à classe dominante cristã. </w:t>
      </w:r>
    </w:p>
    <w:p w14:paraId="5DE62E7F" w14:textId="77777777" w:rsidR="00E32DCE" w:rsidRPr="00E32DCE" w:rsidRDefault="00E32DCE" w:rsidP="00E32DCE">
      <w:pPr>
        <w:spacing w:after="0" w:line="240" w:lineRule="auto"/>
        <w:ind w:left="2268"/>
        <w:jc w:val="both"/>
        <w:rPr>
          <w:rFonts w:ascii="Times New Roman" w:eastAsia="Calibri" w:hAnsi="Times New Roman" w:cs="Times New Roman"/>
          <w:sz w:val="20"/>
          <w:szCs w:val="20"/>
        </w:rPr>
      </w:pPr>
    </w:p>
    <w:p w14:paraId="6292B92B" w14:textId="77777777" w:rsidR="00E32DCE" w:rsidRPr="00E32DCE" w:rsidRDefault="00E32DCE" w:rsidP="00E32DCE">
      <w:pPr>
        <w:spacing w:after="0" w:line="240" w:lineRule="auto"/>
        <w:ind w:left="2268"/>
        <w:jc w:val="both"/>
        <w:rPr>
          <w:rFonts w:ascii="Times New Roman" w:eastAsia="Calibri" w:hAnsi="Times New Roman" w:cs="Times New Roman"/>
        </w:rPr>
      </w:pPr>
      <w:r w:rsidRPr="00E32DCE">
        <w:rPr>
          <w:rFonts w:ascii="Times New Roman" w:eastAsia="Calibri" w:hAnsi="Times New Roman" w:cs="Times New Roman"/>
        </w:rPr>
        <w:t>A legalização da ação palestina em solo libanês fez com que as tensões internas entre os grupos confessionais do país crescessem nos anos seguintes, motivadas, sobretudo, pelo apoio e rejeição que os diferentes grupos políticos do Líbano mantinham em relação à presença e atuação da Organização para Libertação da Palestina (OLP) em seu território. (...) criando um Estado libanês enfraquecido por uma crise interna de comando. (MEIHY, 2016:  66).</w:t>
      </w:r>
    </w:p>
    <w:p w14:paraId="31D68A34" w14:textId="77777777" w:rsidR="00E32DCE" w:rsidRPr="00E32DCE" w:rsidRDefault="00E32DCE" w:rsidP="00E32DCE">
      <w:pPr>
        <w:spacing w:after="0" w:line="360" w:lineRule="auto"/>
        <w:ind w:firstLine="709"/>
        <w:contextualSpacing/>
        <w:jc w:val="both"/>
        <w:rPr>
          <w:rFonts w:ascii="Times New Roman" w:eastAsia="Calibri" w:hAnsi="Times New Roman" w:cs="Times New Roman"/>
        </w:rPr>
      </w:pPr>
    </w:p>
    <w:p w14:paraId="0E80AFBB" w14:textId="77777777" w:rsidR="00E32DCE" w:rsidRPr="00E32DCE" w:rsidRDefault="00E32DCE" w:rsidP="00E32DCE">
      <w:pPr>
        <w:spacing w:after="0" w:line="360" w:lineRule="auto"/>
        <w:ind w:firstLine="709"/>
        <w:jc w:val="both"/>
        <w:rPr>
          <w:rFonts w:ascii="Times New Roman" w:eastAsia="Arial" w:hAnsi="Times New Roman" w:cs="Times New Roman"/>
          <w:sz w:val="24"/>
          <w:szCs w:val="24"/>
        </w:rPr>
      </w:pPr>
      <w:r w:rsidRPr="00E32DCE">
        <w:rPr>
          <w:rFonts w:ascii="Times New Roman" w:eastAsia="Times New Roman" w:hAnsi="Times New Roman" w:cs="Times New Roman"/>
          <w:sz w:val="24"/>
          <w:szCs w:val="24"/>
        </w:rPr>
        <w:t xml:space="preserve">Dessa forma, torna-se essencial compreender a importância, naquela conjuntura, do Exército Nacional Libanês e de suas ações realizadas nos anos 1960 e 1970, pois, segundo a análise aqui proposta, a força militar foi utilizada pelas classes dominantes cristãs como um instrumento para garantir a manutenção de seu poder no país, rompendo com os ideais de uma instituição nacional que, na teoria, deveria servir ao povo e garantir sua segurança. Por isso, a metodologia utilizada </w:t>
      </w:r>
      <w:r w:rsidRPr="00E32DCE">
        <w:rPr>
          <w:rFonts w:ascii="Times New Roman" w:eastAsia="Arial" w:hAnsi="Times New Roman" w:cs="Times New Roman"/>
          <w:sz w:val="24"/>
          <w:szCs w:val="24"/>
        </w:rPr>
        <w:t>fundamenta-se em uma “</w:t>
      </w:r>
      <w:r w:rsidRPr="00E32DCE">
        <w:rPr>
          <w:rFonts w:ascii="Times New Roman" w:eastAsia="Arial" w:hAnsi="Times New Roman" w:cs="Times New Roman"/>
          <w:i/>
          <w:iCs/>
          <w:sz w:val="24"/>
          <w:szCs w:val="24"/>
        </w:rPr>
        <w:t>Concepção instrumental</w:t>
      </w:r>
      <w:r w:rsidRPr="00E32DCE">
        <w:rPr>
          <w:rFonts w:ascii="Times New Roman" w:eastAsia="Arial" w:hAnsi="Times New Roman" w:cs="Times New Roman"/>
          <w:sz w:val="24"/>
          <w:szCs w:val="24"/>
        </w:rPr>
        <w:t xml:space="preserve">” de estudo do Exército, que considera, enquanto pressuposto, a existência da interação civil-militar (ROUQUIÉ, 1980). Nessa perspectiva, entende-se que os </w:t>
      </w:r>
      <w:r w:rsidRPr="00E32DCE">
        <w:rPr>
          <w:rFonts w:ascii="Times New Roman" w:eastAsia="Times New Roman" w:hAnsi="Times New Roman" w:cs="Times New Roman"/>
          <w:sz w:val="24"/>
          <w:szCs w:val="24"/>
        </w:rPr>
        <w:t>motivos das manifestações militares estão vinculados aos interesses de classes, grupos, forças políticas e correntes de opinião presentes. A partir desta leitura, as ações militares sempre favorecem um grupo ou uma classe específica, a qual busca o poder e o controle do Estado.</w:t>
      </w:r>
      <w:r w:rsidRPr="00E32DCE">
        <w:rPr>
          <w:rFonts w:ascii="Times New Roman" w:eastAsia="Arial" w:hAnsi="Times New Roman" w:cs="Times New Roman"/>
          <w:sz w:val="24"/>
          <w:szCs w:val="24"/>
        </w:rPr>
        <w:t xml:space="preserve"> No estudo de caso, observou-se a determinante influência dos cristãos e do Confessionalismo nas atuações do Exército, a partir do levantamento de bibliografias referentes ao tema e análise de documentos do período estudado em questão, assumindo, o estudo, um caráter histórico-documental.</w:t>
      </w:r>
    </w:p>
    <w:p w14:paraId="79E24D4E"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Embora o levantamento bibliográfico e documental tivesse sido realizado diversas vezes durante a pesquisa, </w:t>
      </w:r>
      <w:proofErr w:type="gramStart"/>
      <w:r w:rsidRPr="00E32DCE">
        <w:rPr>
          <w:rFonts w:ascii="Times New Roman" w:eastAsia="Calibri" w:hAnsi="Times New Roman" w:cs="Times New Roman"/>
          <w:sz w:val="24"/>
          <w:szCs w:val="24"/>
        </w:rPr>
        <w:t>a mesma</w:t>
      </w:r>
      <w:proofErr w:type="gramEnd"/>
      <w:r w:rsidRPr="00E32DCE">
        <w:rPr>
          <w:rFonts w:ascii="Times New Roman" w:eastAsia="Calibri" w:hAnsi="Times New Roman" w:cs="Times New Roman"/>
          <w:sz w:val="24"/>
          <w:szCs w:val="24"/>
        </w:rPr>
        <w:t xml:space="preserve"> ainda possui diversas limitações, devido à lacuna ainda existente nessa área de estudos, que acaba limitando o acesso a informações e as pesquisas realizadas se concentram em algumas fontes específicas. Por esse motivo, justifica-se também o interesse em realizar esse artigo, visto que </w:t>
      </w:r>
      <w:proofErr w:type="gramStart"/>
      <w:r w:rsidRPr="00E32DCE">
        <w:rPr>
          <w:rFonts w:ascii="Times New Roman" w:eastAsia="Calibri" w:hAnsi="Times New Roman" w:cs="Times New Roman"/>
          <w:sz w:val="24"/>
          <w:szCs w:val="24"/>
        </w:rPr>
        <w:t>o mesmo</w:t>
      </w:r>
      <w:proofErr w:type="gramEnd"/>
      <w:r w:rsidRPr="00E32DCE">
        <w:rPr>
          <w:rFonts w:ascii="Times New Roman" w:eastAsia="Calibri" w:hAnsi="Times New Roman" w:cs="Times New Roman"/>
          <w:sz w:val="24"/>
          <w:szCs w:val="24"/>
        </w:rPr>
        <w:t xml:space="preserve"> pode contribuir para </w:t>
      </w:r>
      <w:r w:rsidRPr="00E32DCE">
        <w:rPr>
          <w:rFonts w:ascii="Times New Roman" w:eastAsia="Calibri" w:hAnsi="Times New Roman" w:cs="Times New Roman"/>
          <w:sz w:val="24"/>
          <w:szCs w:val="24"/>
        </w:rPr>
        <w:lastRenderedPageBreak/>
        <w:t xml:space="preserve">expansão dessa área de conhecimento tão pouco estudada nos ambientes acadêmicos. Além disso, entende-se que estudar a complexa história política, econômica e social é do Líbano é fundamental para se compreender os movimentos anti-imperialistas do Oriente Médio, tanto no século XX, como no tempo atual. </w:t>
      </w:r>
    </w:p>
    <w:p w14:paraId="79BCA843" w14:textId="77777777" w:rsidR="00E32DCE" w:rsidRPr="00E32DCE" w:rsidRDefault="00E32DCE" w:rsidP="00E32DCE">
      <w:pPr>
        <w:spacing w:after="0" w:line="360" w:lineRule="auto"/>
        <w:ind w:firstLine="709"/>
        <w:contextualSpacing/>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Sendo assim, a importância de estudar essa temática consiste em romper com paradigmas ocidentais aliados aos ideais das potências imperialistas europeias que impõe e difundem um olhar sobre o Oriente Médio que é responsável por reforçar ações xenofóbicas, islamofóbicas e racistas. Desse modo, o presente artigo visa trazer outro olhar sobre os conflitos libaneses e sobre a questão dos refugiados palestinos, compreendendo a força política e social que eles representam. Além disso, destaca-se, mais uma vez, a importância de relacionar a questão palestina no Líbano com o governo do país, pois essa relação é primordial para se compreender grande parte dos confrontos que se seguiram no território durante o século XX. </w:t>
      </w:r>
    </w:p>
    <w:p w14:paraId="55900727" w14:textId="77777777" w:rsidR="00E32DCE" w:rsidRDefault="00E32DCE" w:rsidP="00447EBC">
      <w:pPr>
        <w:spacing w:after="0" w:line="360" w:lineRule="auto"/>
        <w:ind w:firstLine="709"/>
        <w:jc w:val="both"/>
        <w:rPr>
          <w:rFonts w:ascii="Times New Roman" w:eastAsia="Arial" w:hAnsi="Times New Roman" w:cs="Times New Roman"/>
          <w:sz w:val="24"/>
          <w:szCs w:val="24"/>
        </w:rPr>
      </w:pPr>
      <w:r w:rsidRPr="00E32DCE">
        <w:rPr>
          <w:rFonts w:ascii="Times New Roman" w:eastAsia="Times New Roman" w:hAnsi="Times New Roman" w:cs="Times New Roman"/>
          <w:sz w:val="24"/>
          <w:szCs w:val="24"/>
        </w:rPr>
        <w:t xml:space="preserve">Em síntese, para compreender essa relação entre o governo libanês e os grupos palestinos, o objetivo do estudo consiste em analisar, a partir de uma perspectiva crítica, os confrontos que se estabeleceram entre o Exército Libanês e a OLP nos anos 1960 e 1970, buscando os motivos que levaram a manifestação militar de ataque aos palestinos e as correlações de forças envolvidas. A partir do estudo desse caso, torna-se possível compreender a forma como os refugiados palestinos eram vistos pelas autoridades libanesas e os motivos da sua situação de extrema miserabilidade no país até os dias atuais. </w:t>
      </w:r>
    </w:p>
    <w:p w14:paraId="49777976" w14:textId="77777777" w:rsidR="002220E8" w:rsidRDefault="002220E8" w:rsidP="002220E8">
      <w:pPr>
        <w:spacing w:after="0" w:line="360" w:lineRule="auto"/>
        <w:jc w:val="both"/>
        <w:rPr>
          <w:rFonts w:ascii="Times New Roman" w:eastAsia="Arial" w:hAnsi="Times New Roman" w:cs="Times New Roman"/>
          <w:sz w:val="24"/>
          <w:szCs w:val="24"/>
        </w:rPr>
      </w:pPr>
    </w:p>
    <w:p w14:paraId="748CBB7F" w14:textId="3A8633A1" w:rsidR="00E32DCE" w:rsidRPr="00E32DCE" w:rsidRDefault="00E32DCE" w:rsidP="002220E8">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O sistema político confessional</w:t>
      </w:r>
    </w:p>
    <w:p w14:paraId="5601FB62"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Com a queda do Império Otomano após a Primeira Guerra Mundial, as regiões que antes compunham o Império foram divididas entre duas potências ocidentais, a França e a Inglaterra, tendo como fundamento o acordo Sykes-Picot</w:t>
      </w:r>
      <w:r w:rsidRPr="00E32DCE">
        <w:rPr>
          <w:rFonts w:ascii="Times New Roman" w:eastAsia="Calibri" w:hAnsi="Times New Roman" w:cs="Times New Roman"/>
          <w:sz w:val="24"/>
          <w:szCs w:val="24"/>
          <w:vertAlign w:val="superscript"/>
        </w:rPr>
        <w:footnoteReference w:id="150"/>
      </w:r>
      <w:r w:rsidRPr="00E32DCE">
        <w:rPr>
          <w:rFonts w:ascii="Times New Roman" w:eastAsia="Calibri" w:hAnsi="Times New Roman" w:cs="Times New Roman"/>
          <w:sz w:val="24"/>
          <w:szCs w:val="24"/>
        </w:rPr>
        <w:t xml:space="preserve">, elaborado em 1916 entre os dois países que manifestavam interesses políticos e econômicos naquela </w:t>
      </w:r>
      <w:r w:rsidRPr="00E32DCE">
        <w:rPr>
          <w:rFonts w:ascii="Times New Roman" w:eastAsia="Calibri" w:hAnsi="Times New Roman" w:cs="Times New Roman"/>
          <w:sz w:val="24"/>
          <w:szCs w:val="24"/>
        </w:rPr>
        <w:lastRenderedPageBreak/>
        <w:t xml:space="preserve">região </w:t>
      </w:r>
      <w:r w:rsidRPr="00E32DCE">
        <w:rPr>
          <w:rFonts w:ascii="Times New Roman" w:eastAsia="Times New Roman" w:hAnsi="Times New Roman" w:cs="Times New Roman"/>
          <w:sz w:val="24"/>
          <w:szCs w:val="24"/>
        </w:rPr>
        <w:t>(CARDOZO, 2012)</w:t>
      </w:r>
      <w:r w:rsidRPr="00E32DCE">
        <w:rPr>
          <w:rFonts w:ascii="Times New Roman" w:eastAsia="Calibri" w:hAnsi="Times New Roman" w:cs="Times New Roman"/>
          <w:sz w:val="24"/>
          <w:szCs w:val="24"/>
        </w:rPr>
        <w:t>. Nessa separação, o Líbano passou ao domínio francês, que exerceu um tipo de protetorado no país até 1943. Com a Segunda Guerra Mundial, diversos movimentos pela independência começaram a se manifestar no Oriente Médio e na África, e o Líbano se incluiu nessa luta por sua emancipação, principalmente após o cenário de extremo autoritarismo e repressão que a França havia instalado no país. Em 1943, desse modo, a França não suportou as pressões realizadas e o Líbano conquistou sua independência. Através de um acordo entre diferentes grupos religiosos que coexistiam no país, elaborou-se o Pacto Nacional Libanês de 1943, o qual reorganizou e estruturou os poderes dos novos grupos políticos. O Pacto não foi escrito constitucionalmente e nem formalizado em um texto público, sendo considerado, então, apenas o seu pronunciamento. Foi a partir desse acordo que se consolidou o Confessionalismo como sistema político do Estado libanês.</w:t>
      </w:r>
    </w:p>
    <w:p w14:paraId="2515CF5F"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O Confessionalismo é um sistema político fundamentado na união entre política e religião. Em sua organização, os cargos políticos e administrativos do Estado são divididos entre as comunidades religiosas oficiais do país, seguindo uma lógica proporcional. No caso do Líbano, para definir a proporcionalidade que seria adotada, baseou-se em um censo demográfico realizado pela França em 1932, no qual os cristãos apareceram como a maioria populacional. Desse modo, a proporção adotada tanto na composição do Parlamento, como para todos os cargos do funcionalismo militar, judiciário e civil foi a de 6:5, ou seja, seis cristãos para cada cinco muçulmanos, impondo, como obrigatoriedade, que os cargos políticos-administrativos mais elevados de cada instituição fossem ocupados pelos cristãos maronitas</w:t>
      </w:r>
      <w:r w:rsidRPr="00E32DCE">
        <w:rPr>
          <w:rFonts w:ascii="Times New Roman" w:eastAsia="Calibri" w:hAnsi="Times New Roman" w:cs="Times New Roman"/>
          <w:sz w:val="24"/>
          <w:szCs w:val="24"/>
          <w:vertAlign w:val="superscript"/>
        </w:rPr>
        <w:footnoteReference w:id="151"/>
      </w:r>
      <w:r w:rsidRPr="00E32DCE">
        <w:rPr>
          <w:rFonts w:ascii="Times New Roman" w:eastAsia="Calibri" w:hAnsi="Times New Roman" w:cs="Times New Roman"/>
          <w:sz w:val="24"/>
          <w:szCs w:val="24"/>
        </w:rPr>
        <w:t xml:space="preserve">. A França, durante a execução de seu mandato, atribuiu cargos políticos de alto escalão aos maronitas e fez alianças com essa comunidade, para que tivesse, em troca, uma base de apoio que facilitasse a penetração dos países ocidentais no Oriente Médio. Dessa forma, o Sistema Político Confessional, ou Confessionalismo, foi visto como o modelo ideal para que os cristãos conseguissem manter sua dominação no território, já que essa comunidade, como </w:t>
      </w:r>
      <w:r w:rsidRPr="00E32DCE">
        <w:rPr>
          <w:rFonts w:ascii="Times New Roman" w:eastAsia="Calibri" w:hAnsi="Times New Roman" w:cs="Times New Roman"/>
          <w:sz w:val="24"/>
          <w:szCs w:val="24"/>
        </w:rPr>
        <w:lastRenderedPageBreak/>
        <w:t xml:space="preserve">demonstrado, havia ascendido política e economicamente através de privilégios que foram atribuídos pelos franceses.  </w:t>
      </w:r>
    </w:p>
    <w:p w14:paraId="50C13126"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Assim que se estabeleceu o Pacto (que passou a ser visto como uma extensão da Constituição), a lógica confessional determinou que o cargo de Presidente da República pertenceria obrigatoriamente a um maronita; a Presidência do Conselho de Ministros (Primeiro-Ministro) pertenceria aos sunitas; e a Presidência do Parlamento a um muçulmano xiita. Esse modelo de organização política foi aprovado pelas potências ocidentais, sendo considerado, inclusive, como um modelo de excelência no interior do Oriente Médio. Essa aprovação vinda dos países europeus demonstrava o contentamento dessas potências em se ter, como obrigatoriedade, um cristão maronita ocupando o cargo de Presidente do Líbano, pois havia grandes possibilidades </w:t>
      </w:r>
      <w:proofErr w:type="gramStart"/>
      <w:r w:rsidRPr="00E32DCE">
        <w:rPr>
          <w:rFonts w:ascii="Times New Roman" w:eastAsia="Calibri" w:hAnsi="Times New Roman" w:cs="Times New Roman"/>
          <w:sz w:val="24"/>
          <w:szCs w:val="24"/>
        </w:rPr>
        <w:t>deste</w:t>
      </w:r>
      <w:proofErr w:type="gramEnd"/>
      <w:r w:rsidRPr="00E32DCE">
        <w:rPr>
          <w:rFonts w:ascii="Times New Roman" w:eastAsia="Calibri" w:hAnsi="Times New Roman" w:cs="Times New Roman"/>
          <w:sz w:val="24"/>
          <w:szCs w:val="24"/>
        </w:rPr>
        <w:t xml:space="preserve"> ser um aliado aos seus interesses, diferente do posicionamento político dos muçulmanos, que se opunham ao domínio europeu na região.</w:t>
      </w:r>
    </w:p>
    <w:p w14:paraId="1E875D24" w14:textId="77777777" w:rsidR="00E32DCE" w:rsidRPr="00E32DCE" w:rsidRDefault="00E32DCE" w:rsidP="00E32DCE">
      <w:pPr>
        <w:spacing w:after="0" w:line="240" w:lineRule="auto"/>
        <w:ind w:left="2268"/>
        <w:jc w:val="both"/>
        <w:rPr>
          <w:rFonts w:ascii="Times New Roman" w:eastAsia="Calibri" w:hAnsi="Times New Roman" w:cs="Times New Roman"/>
          <w:sz w:val="20"/>
          <w:szCs w:val="20"/>
        </w:rPr>
      </w:pPr>
    </w:p>
    <w:p w14:paraId="4A0CFBDA" w14:textId="77777777" w:rsidR="00E32DCE" w:rsidRPr="00E32DCE" w:rsidRDefault="00E32DCE" w:rsidP="00E32DCE">
      <w:pPr>
        <w:spacing w:after="0" w:line="240" w:lineRule="auto"/>
        <w:ind w:left="2268"/>
        <w:jc w:val="both"/>
        <w:rPr>
          <w:rFonts w:ascii="Times New Roman" w:eastAsia="Calibri" w:hAnsi="Times New Roman" w:cs="Times New Roman"/>
        </w:rPr>
      </w:pPr>
      <w:r w:rsidRPr="00E32DCE">
        <w:rPr>
          <w:rFonts w:ascii="Times New Roman" w:eastAsia="Calibri" w:hAnsi="Times New Roman" w:cs="Times New Roman"/>
        </w:rPr>
        <w:t>(...) mesmo que a proposta de distribuição de cargos políticos por grupos confessionais tentasse equilibrar o peso político de setores distintos da sociedade libanesa, ao destinar as funções políticas mais importantes à maronitas e sunitas, reforçava o domínio desses dois grupos no cerne do Estado libanês recém-construído. (MEIHY, 2016: 62).</w:t>
      </w:r>
    </w:p>
    <w:p w14:paraId="6F26C8DD"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p>
    <w:p w14:paraId="3DF4AAFD"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No entanto, desde seu estabelecimento, o Pacto demonstrou suas fragilidades e instabilidades, pois </w:t>
      </w:r>
      <w:proofErr w:type="gramStart"/>
      <w:r w:rsidRPr="00E32DCE">
        <w:rPr>
          <w:rFonts w:ascii="Times New Roman" w:eastAsia="Calibri" w:hAnsi="Times New Roman" w:cs="Times New Roman"/>
          <w:sz w:val="24"/>
          <w:szCs w:val="24"/>
        </w:rPr>
        <w:t>o mesmo</w:t>
      </w:r>
      <w:proofErr w:type="gramEnd"/>
      <w:r w:rsidRPr="00E32DCE">
        <w:rPr>
          <w:rFonts w:ascii="Times New Roman" w:eastAsia="Calibri" w:hAnsi="Times New Roman" w:cs="Times New Roman"/>
          <w:sz w:val="24"/>
          <w:szCs w:val="24"/>
        </w:rPr>
        <w:t xml:space="preserve"> não considerava em sua elaboração as mudanças demográficas que poderiam ocorrer. Logo após ser estabelecido em 1943, evidenciou-se que os cristãos não representavam mais a maioria do país, como havia sido constatado pelo censo demográfico em 1932, devido o crescimento da população muçulmana no território libanês. Com essa perda da primazia cristã, criou-se o mito da maioria maronita (FISK, 2007), que representou a tentativa dessa classe dominante de legitimar seu status e sua dominação política, econômica e militar. Estima-se que naquele momento os cristãos representavam 40% da população, sendo 23% dessa porcentagem maronitas. Enquanto os muçulmanos passaram a representar 60% da população, sendo 27% dessa porcentagem xiitas (PINO, 1989).</w:t>
      </w:r>
    </w:p>
    <w:p w14:paraId="6E508A8B"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No interior dessa nova conjuntura que se manifestava, os muçulmanos passaram a exigir que um novo censo demográfico fosse realizado e que o sistema Confessional passasse por reformas que contemplasse a nova realidade social evidenciada, </w:t>
      </w:r>
      <w:r w:rsidRPr="00E32DCE">
        <w:rPr>
          <w:rFonts w:ascii="Times New Roman" w:eastAsia="Calibri" w:hAnsi="Times New Roman" w:cs="Times New Roman"/>
          <w:sz w:val="24"/>
          <w:szCs w:val="24"/>
        </w:rPr>
        <w:lastRenderedPageBreak/>
        <w:t>considerando ilegítimo um sistema político que privilegiava os cristãos em detrimento das comunidades muçulmanas, que passaram a representar a maioria populacional.</w:t>
      </w:r>
    </w:p>
    <w:p w14:paraId="22DFE026" w14:textId="77777777" w:rsidR="00E32DCE" w:rsidRPr="00E32DCE" w:rsidRDefault="00E32DCE" w:rsidP="00E32DCE">
      <w:pPr>
        <w:spacing w:after="0" w:line="240" w:lineRule="auto"/>
        <w:ind w:left="2268"/>
        <w:jc w:val="both"/>
        <w:rPr>
          <w:rFonts w:ascii="Times New Roman" w:eastAsia="Calibri" w:hAnsi="Times New Roman" w:cs="Times New Roman"/>
          <w:sz w:val="20"/>
          <w:szCs w:val="20"/>
        </w:rPr>
      </w:pPr>
    </w:p>
    <w:p w14:paraId="01A6C9C8" w14:textId="77777777" w:rsidR="00E32DCE" w:rsidRPr="00E32DCE" w:rsidRDefault="00E32DCE" w:rsidP="00E32DCE">
      <w:pPr>
        <w:spacing w:after="0" w:line="240" w:lineRule="auto"/>
        <w:ind w:left="2268"/>
        <w:jc w:val="both"/>
        <w:rPr>
          <w:rFonts w:ascii="Times New Roman" w:eastAsia="Calibri" w:hAnsi="Times New Roman" w:cs="Times New Roman"/>
        </w:rPr>
      </w:pPr>
      <w:r w:rsidRPr="00E32DCE">
        <w:rPr>
          <w:rFonts w:ascii="Times New Roman" w:eastAsia="Calibri" w:hAnsi="Times New Roman" w:cs="Times New Roman"/>
        </w:rPr>
        <w:t>Cada vez que os muçulmanos falavam da necessidade de que se levasse a cabo um novo censo populacional, os cristãos respondiam que nesse caso era necessário levar em conta os libaneses emigrados, ate a terceira geração, que se supunha serem majoritariamente cristãos. A União Cultural e Libanesa Mundial (UCLM), celebrava todos os anos festivais para emigrados em Baalbeck, criada pelos cristãos como um laço de união entre eles e seus emigrados, sustentava então que os libaneses distribuídos pelo mundo eram mais de quatro milhões. (PINO, 1989: 56).</w:t>
      </w:r>
    </w:p>
    <w:p w14:paraId="7697A511"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p>
    <w:p w14:paraId="32A46BD9"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A esquerda libanesa</w:t>
      </w:r>
      <w:r w:rsidRPr="00E32DCE">
        <w:rPr>
          <w:rFonts w:ascii="Times New Roman" w:eastAsia="Calibri" w:hAnsi="Times New Roman" w:cs="Times New Roman"/>
          <w:sz w:val="24"/>
          <w:szCs w:val="24"/>
          <w:vertAlign w:val="superscript"/>
        </w:rPr>
        <w:footnoteReference w:id="152"/>
      </w:r>
      <w:r w:rsidRPr="00E32DCE">
        <w:rPr>
          <w:rFonts w:ascii="Times New Roman" w:eastAsia="Calibri" w:hAnsi="Times New Roman" w:cs="Times New Roman"/>
          <w:sz w:val="24"/>
          <w:szCs w:val="24"/>
        </w:rPr>
        <w:t>, nesse momento, representava as reinvindicações que objetivavam uma distribuição realista do poder, que considerasse as bases numéricas confessionais atualizadas; a distribuição igualitária e planificada dos recursos para o desenvolvimento; a participação solidária do Líbano nas discussões dos problemas do mundo árabe e a promulgação de uma reforma fiscal que visasse eliminar as grandes desigualdades sociais e econômicas do país (PINO, 1989).</w:t>
      </w:r>
    </w:p>
    <w:p w14:paraId="68CA2DC9"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A importância, nesse primeiro momento, de se compreender o Confessionalismo enquanto um sistema político imposto que gerou consequências e instabilidades nas relações sociais e de poder no Líbano, é fundamental para analisar os debates e os posicionamentos políticos que foram adotados posteriormente em relação à presença palestina no território. A consolidação desse sistema confessional intensificou os embates entre os cristãos e os muçulmanos devido às condições de desigualdades que ocorriam entre essas duas comunidades que passaram a ser legitimadas por esse acordo. A presença palestina, somada a essa rivalidade existente, intensificou os conflitos entre esses dois grupos devido à divergência de ideias e de posicionamentos apresentados acerca da questão palestina e o que representava aquela comunidade no país para cada um.</w:t>
      </w:r>
    </w:p>
    <w:p w14:paraId="25EEAD4F" w14:textId="77777777" w:rsidR="002220E8" w:rsidRDefault="002220E8" w:rsidP="002220E8">
      <w:pPr>
        <w:spacing w:after="0" w:line="360" w:lineRule="auto"/>
        <w:jc w:val="both"/>
        <w:rPr>
          <w:rFonts w:ascii="Times New Roman" w:eastAsia="Calibri" w:hAnsi="Times New Roman" w:cs="Times New Roman"/>
          <w:sz w:val="24"/>
          <w:szCs w:val="24"/>
        </w:rPr>
      </w:pPr>
    </w:p>
    <w:p w14:paraId="792B4419" w14:textId="077B72C5" w:rsidR="00E32DCE" w:rsidRPr="00E32DCE" w:rsidRDefault="00E32DCE" w:rsidP="002220E8">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As migrações palestinas para o Líbano</w:t>
      </w:r>
    </w:p>
    <w:p w14:paraId="0BE064FA"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Analisa-se nesse artigo os movimentos migratórios palestinos em três períodos históricos: em 1947 e 1948; em 1967; e em 1970 e 1971. A primeira migração palestina </w:t>
      </w:r>
      <w:r w:rsidRPr="00E32DCE">
        <w:rPr>
          <w:rFonts w:ascii="Times New Roman" w:eastAsia="Calibri" w:hAnsi="Times New Roman" w:cs="Times New Roman"/>
          <w:sz w:val="24"/>
          <w:szCs w:val="24"/>
        </w:rPr>
        <w:lastRenderedPageBreak/>
        <w:t>em massa ocorreu entre 1947 e 1948, quando o Estado da Palestina foi dividido em dois Estados, um judeu e outro árabe. Essa primeira divisão resultou, em 1948, na criação oficial do Estado de Israel, o qual gerou a expulsão de diversas famílias palestinas de suas casas devido aos conflitos que se estabeleceram no local. No entanto, uma das problemáticas que envolvem a Questão Palestina é justamente esse movimento de saída dos palestinos de suas residências com a expectativa de um dia retornarem às suas terras. Porém, esse movimento de retorno, na maioria dos casos, foi proibido de ocorrer.</w:t>
      </w:r>
    </w:p>
    <w:p w14:paraId="3A8E81E5"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O segundo movimento migratório analisado aqui ocorreu em 1967, durante a Guerra dos Seis Dias ou Guerra Árabe-Israelense. Esse confronto representou a resposta mais consistente dos países árabes à criação de Israel, que se posicionaram contrários ao estabelecimento </w:t>
      </w:r>
      <w:proofErr w:type="gramStart"/>
      <w:r w:rsidRPr="00E32DCE">
        <w:rPr>
          <w:rFonts w:ascii="Times New Roman" w:eastAsia="Calibri" w:hAnsi="Times New Roman" w:cs="Times New Roman"/>
          <w:sz w:val="24"/>
          <w:szCs w:val="24"/>
        </w:rPr>
        <w:t>do mesmo</w:t>
      </w:r>
      <w:proofErr w:type="gramEnd"/>
      <w:r w:rsidRPr="00E32DCE">
        <w:rPr>
          <w:rFonts w:ascii="Times New Roman" w:eastAsia="Calibri" w:hAnsi="Times New Roman" w:cs="Times New Roman"/>
          <w:sz w:val="24"/>
          <w:szCs w:val="24"/>
        </w:rPr>
        <w:t xml:space="preserve">. Nesse período, grande parte dos imigrantes palestinos se refugiou no Líbano, concentrando-se em Beirute, que se tornou não só a capital cultural do movimento palestino como também a sede do quartel-general da Organização para a Libertação da Palestina (OLP), sendo vista pelos israelenses, a partir de então, como uma capital inimiga (FISK, 2007). </w:t>
      </w:r>
    </w:p>
    <w:p w14:paraId="0819F514"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Quando chegaram ao Líbano, inicialmente, foram bem recebidos pelas comunidades xiitas que habitavam a região sul e que representavam a classe dos subproletariados e dos camponeses mais pobres (KARAM, 2010). A sua chegada, juntamente com as forças armadas palestinas – concentradas principalmente na OLP – representou para esses muçulmanos a oportunidade de fortalecer os movimentos de resistência contra o governo e contra a imposição de suas políticas, que lhes eram prejudiciais. Como mencionado anteriormente, a estrutura confessional do governo libanês já era motivo de revoltas por parte dos muçulmanos. A chegada dos palestinos ao país, organizados politicamente, favoreceu e fortaleceu os movimentos muçulmanos de oposição à estrutura do Confessionalismo e às injustiças advindas desse sistema, que privilegiava os cristãos. </w:t>
      </w:r>
    </w:p>
    <w:p w14:paraId="66DBAD4C"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Por fim, a terceira migração palestina ocorreu entre 1970 e 1971, no confronto que ficou conhecido como </w:t>
      </w:r>
      <w:proofErr w:type="gramStart"/>
      <w:r w:rsidRPr="00E32DCE">
        <w:rPr>
          <w:rFonts w:ascii="Times New Roman" w:eastAsia="Calibri" w:hAnsi="Times New Roman" w:cs="Times New Roman"/>
          <w:sz w:val="24"/>
          <w:szCs w:val="24"/>
        </w:rPr>
        <w:t>Setembro</w:t>
      </w:r>
      <w:proofErr w:type="gramEnd"/>
      <w:r w:rsidRPr="00E32DCE">
        <w:rPr>
          <w:rFonts w:ascii="Times New Roman" w:eastAsia="Calibri" w:hAnsi="Times New Roman" w:cs="Times New Roman"/>
          <w:sz w:val="24"/>
          <w:szCs w:val="24"/>
        </w:rPr>
        <w:t xml:space="preserve"> Negro. Nesse conflito, embates violentos entre o Exército jordaniano e a OLP fizeram com que os palestinos fossem massacrados e expulsos da Jordânia e, mais uma vez, migrassem para o Líbano. Beirute, que já concentrava grande parte das aglomerações de refugiados palestinos, tornou-se um centro de informações e estabeleceu instituições de estudos sobre a Palestina. Além da </w:t>
      </w:r>
      <w:r w:rsidRPr="00E32DCE">
        <w:rPr>
          <w:rFonts w:ascii="Times New Roman" w:eastAsia="Calibri" w:hAnsi="Times New Roman" w:cs="Times New Roman"/>
          <w:sz w:val="24"/>
          <w:szCs w:val="24"/>
        </w:rPr>
        <w:lastRenderedPageBreak/>
        <w:t xml:space="preserve">concentração na capital, muitos desses palestinos refugiados se aglomeraram na região sul do país, que era negligenciada pelos governos cristãos por conter majoritariamente uma população xiita. Dessa forma, essa chegada massiva de palestinos armados e combativos a partir dos anos 1970 no </w:t>
      </w:r>
      <w:proofErr w:type="gramStart"/>
      <w:r w:rsidRPr="00E32DCE">
        <w:rPr>
          <w:rFonts w:ascii="Times New Roman" w:eastAsia="Calibri" w:hAnsi="Times New Roman" w:cs="Times New Roman"/>
          <w:sz w:val="24"/>
          <w:szCs w:val="24"/>
        </w:rPr>
        <w:t>sul</w:t>
      </w:r>
      <w:proofErr w:type="gramEnd"/>
      <w:r w:rsidRPr="00E32DCE">
        <w:rPr>
          <w:rFonts w:ascii="Times New Roman" w:eastAsia="Calibri" w:hAnsi="Times New Roman" w:cs="Times New Roman"/>
          <w:sz w:val="24"/>
          <w:szCs w:val="24"/>
        </w:rPr>
        <w:t xml:space="preserve"> resultou em diversos desequilíbrios sociais, agravando a situação econômica da região (COSTA, 2006).</w:t>
      </w:r>
    </w:p>
    <w:p w14:paraId="2C755A88" w14:textId="77777777" w:rsidR="002220E8" w:rsidRDefault="002220E8" w:rsidP="002220E8">
      <w:pPr>
        <w:spacing w:after="0" w:line="360" w:lineRule="auto"/>
        <w:jc w:val="both"/>
        <w:rPr>
          <w:rFonts w:ascii="Times New Roman" w:eastAsia="Calibri" w:hAnsi="Times New Roman" w:cs="Times New Roman"/>
          <w:sz w:val="24"/>
          <w:szCs w:val="24"/>
        </w:rPr>
      </w:pPr>
    </w:p>
    <w:p w14:paraId="11226076" w14:textId="507B7CF3" w:rsidR="00E32DCE" w:rsidRPr="00E32DCE" w:rsidRDefault="00E32DCE" w:rsidP="002220E8">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Relação dos refugiados palestinos com o governo libanês</w:t>
      </w:r>
    </w:p>
    <w:p w14:paraId="6EDB3CDF"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 partir de 1967, a presença dos palestinos e o estabelecimento de suas organizações políticas e militares no território libanês fez com que esse grupo fosse identificado pelas comunidades cristãs e pelas autoridades libanesas como uma ameaça à soberania nacional, devido o início dos ataques constantes de Israel ao sul do Líbano, que era onde se concentravam os maiores campos de refugiados palestinos. No entanto, nota-se que esse discurso propagado pelos cristãos, tanto pelas comunidades como pelas autoridades políticas, na realidade manifestava a análise realizada pelos maronitas de que a presença palestina no país manifestava um caráter subversivo, a qual possuía a capacidade de incentivar as massas muçulmanas a se oporem ao governo libanês e ameaçar o status de dominação cristã vigente até aquele momento (DUTRA JÚNIOR, 2014). </w:t>
      </w:r>
    </w:p>
    <w:p w14:paraId="6BBB2514"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Nota-se, então, como a chegada dos palestinos no Líbano foi vista como uma ameaça à dominação cristã, que era legitimada pelo Pacto Nacional de 1943 e executada através do Confessionalismo. As forças palestinas exaltaram as massas muçulmanas, que já se encontravam insatisfeitas com as condições políticas e sociais impostas, e forneceram apoio aos movimentos de oposição ao governo. Nessa conjuntura, os cristãos perceberam que precisavam utilizar recursos para defender a ordem confessional vigente que lhes beneficiava, passando a acusar a Resistência Palestina</w:t>
      </w:r>
      <w:r w:rsidRPr="00E32DCE">
        <w:rPr>
          <w:rFonts w:ascii="Times New Roman" w:eastAsia="Calibri" w:hAnsi="Times New Roman" w:cs="Times New Roman"/>
          <w:sz w:val="24"/>
          <w:szCs w:val="24"/>
          <w:vertAlign w:val="superscript"/>
        </w:rPr>
        <w:footnoteReference w:id="153"/>
      </w:r>
      <w:r w:rsidRPr="00E32DCE">
        <w:rPr>
          <w:rFonts w:ascii="Times New Roman" w:eastAsia="Calibri" w:hAnsi="Times New Roman" w:cs="Times New Roman"/>
          <w:sz w:val="24"/>
          <w:szCs w:val="24"/>
        </w:rPr>
        <w:t xml:space="preserve"> de invadir o Líbano e ameaçar a soberania nacional com o estabelecimento de suas forças armadas no país (PINO, 1989).</w:t>
      </w:r>
    </w:p>
    <w:p w14:paraId="058A6A07"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 partir dos anos 1960, se instalou um clima de tensões entre a OLP e o governo libanês, devido os ataques aos campos de refugiados palestinos vindos de Israel e as </w:t>
      </w:r>
      <w:r w:rsidRPr="00E32DCE">
        <w:rPr>
          <w:rFonts w:ascii="Times New Roman" w:eastAsia="Calibri" w:hAnsi="Times New Roman" w:cs="Times New Roman"/>
          <w:sz w:val="24"/>
          <w:szCs w:val="24"/>
        </w:rPr>
        <w:lastRenderedPageBreak/>
        <w:t>ofensivas realizadas pelos falangistas libaneses</w:t>
      </w:r>
      <w:r w:rsidRPr="00E32DCE">
        <w:rPr>
          <w:rFonts w:ascii="Times New Roman" w:eastAsia="Calibri" w:hAnsi="Times New Roman" w:cs="Times New Roman"/>
          <w:sz w:val="24"/>
          <w:szCs w:val="24"/>
          <w:vertAlign w:val="superscript"/>
        </w:rPr>
        <w:footnoteReference w:id="154"/>
      </w:r>
      <w:r w:rsidRPr="00E32DCE">
        <w:rPr>
          <w:rFonts w:ascii="Times New Roman" w:eastAsia="Calibri" w:hAnsi="Times New Roman" w:cs="Times New Roman"/>
          <w:sz w:val="24"/>
          <w:szCs w:val="24"/>
        </w:rPr>
        <w:t xml:space="preserve"> também contra os palestinos. Na tentativa de estabelecer uma estabilidade política, o governo optou por conceder permissão aos palestinos para que eles pudessem desenvolver suas atividades políticas no território, desde que não executassem ações de cunho militar (DUTRA JÚNIOR, 2014). No discurso propagado por essas autoridades, no entanto, dizia-se que os palestinos eram os culpados pelas desigualdades e pelos problemas políticos e econômicos que o país estava enfrentando, afirmando, inclusive, que eram os palestinos que estavam destruindo as liberdades democráticas do Líbano (FISK, 2007). Em uma análise crítica desse discurso, observa-se que os cristãos não realizavam uma distinção dos problemas que eram conjunturais, como os ataques de Israel e a presença palestina no local, dos problemas que eram estruturais, ou seja, aqueles que advinham do Pacto Nacional Libanês de 1943 e do estabelecimento do Confessionalismo, que resultaram nos primeiros confrontos entre as comunidades religiosas e consolidaram um sistema de desigualdades pautado na religião, já que a comunidade religiosa a qual o individuo pertencia definia os cargos sociais, políticos e militares os quais ele poderia exercer. </w:t>
      </w:r>
    </w:p>
    <w:p w14:paraId="2A124877"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Como reação ao discurso cristão que se difundia entre as comunidades maronitas, os muçulmanos, aliados aos ideais pan-arabistas</w:t>
      </w:r>
      <w:r w:rsidRPr="00E32DCE">
        <w:rPr>
          <w:rFonts w:ascii="Times New Roman" w:eastAsia="Calibri" w:hAnsi="Times New Roman" w:cs="Times New Roman"/>
          <w:sz w:val="24"/>
          <w:szCs w:val="24"/>
          <w:vertAlign w:val="superscript"/>
        </w:rPr>
        <w:footnoteReference w:id="155"/>
      </w:r>
      <w:r w:rsidRPr="00E32DCE">
        <w:rPr>
          <w:rFonts w:ascii="Times New Roman" w:eastAsia="Calibri" w:hAnsi="Times New Roman" w:cs="Times New Roman"/>
          <w:sz w:val="24"/>
          <w:szCs w:val="24"/>
        </w:rPr>
        <w:t>, formaram uma frente de oposição às medidas políticas que estavam sendo adotadas pelos governantes em relação aos palestinos no país, com o apoio dos grupos armados palestinos. Temendo o fortalecimento dessa oposição, os grupos cristãos começaram a se armar e a treinar com o apoio e auxílio oferecido pelo governo, que passou a ter como objetivo eliminar qualquer oposição palestina que ameaçasse seu poder e incentivasse movimentos muçulmanos a se rebelarem contra a ordem vigente.</w:t>
      </w:r>
    </w:p>
    <w:p w14:paraId="1A72C05E"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p>
    <w:p w14:paraId="3F4AA666" w14:textId="77777777" w:rsidR="00E32DCE" w:rsidRPr="00E32DCE" w:rsidRDefault="00E32DCE" w:rsidP="00E32DCE">
      <w:pPr>
        <w:spacing w:after="0" w:line="240" w:lineRule="auto"/>
        <w:ind w:left="2268"/>
        <w:jc w:val="both"/>
        <w:rPr>
          <w:rFonts w:ascii="Times New Roman" w:eastAsia="Calibri" w:hAnsi="Times New Roman" w:cs="Times New Roman"/>
        </w:rPr>
      </w:pPr>
      <w:r w:rsidRPr="00E32DCE">
        <w:rPr>
          <w:rFonts w:ascii="Times New Roman" w:eastAsia="Calibri" w:hAnsi="Times New Roman" w:cs="Times New Roman"/>
        </w:rPr>
        <w:t xml:space="preserve">Os superiores [cristãos] recordavam ao presidente que ele havia jurado defender a Constituição, salvaguardar a soberania nacional e a segurança do território, e lhe recomendavam que não cedesse em nada às reinvindicações que naqueles dias eram feitas pela esquerda até que tivesse sido restabelecida a soberania do Estado e sua autoridade de fato sobre todo o território, o que em bom árabe libanês significava: até que </w:t>
      </w:r>
      <w:r w:rsidRPr="00E32DCE">
        <w:rPr>
          <w:rFonts w:ascii="Times New Roman" w:eastAsia="Calibri" w:hAnsi="Times New Roman" w:cs="Times New Roman"/>
        </w:rPr>
        <w:lastRenderedPageBreak/>
        <w:t>não tivesse sido expulsa a Resistência palestina. (PINO, 1989: 28, comentário nosso).</w:t>
      </w:r>
    </w:p>
    <w:p w14:paraId="2DDE5F23"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p>
    <w:p w14:paraId="46F49183"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Devido essa instabilidade social, o Estado se tornou cada vez mais frágil e impotente diante os ataques e represálias que ocorriam entre os guerrilheiros da OLP no Líbano e Israel (COSTA, 2006). A conjuntura interna estava conturbada enquanto a relação entre Líbano e Israel também se agravava.</w:t>
      </w:r>
    </w:p>
    <w:p w14:paraId="16B4193C" w14:textId="77777777" w:rsidR="002220E8" w:rsidRDefault="002220E8" w:rsidP="002220E8">
      <w:pPr>
        <w:spacing w:after="0" w:line="360" w:lineRule="auto"/>
        <w:jc w:val="both"/>
        <w:rPr>
          <w:rFonts w:ascii="Times New Roman" w:eastAsia="Calibri" w:hAnsi="Times New Roman" w:cs="Times New Roman"/>
          <w:sz w:val="24"/>
          <w:szCs w:val="24"/>
        </w:rPr>
      </w:pPr>
    </w:p>
    <w:p w14:paraId="3ED11804" w14:textId="2D1EEE98" w:rsidR="00E32DCE" w:rsidRPr="00E32DCE" w:rsidRDefault="00E32DCE" w:rsidP="002220E8">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Confrontos entre os palestinos e o Exército Nacional Libanês</w:t>
      </w:r>
    </w:p>
    <w:p w14:paraId="76933A33"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 partir dos anos 1950, os muçulmanos já demonstravam suas tendências em estabelecer alianças e em se solidarizar com as causas palestinas, sendo esse um dos motivos de receio dos governantes maronitas que desejavam manter sua posição de dominação do poder. Importante ressaltar que o temor que a presença palestina causava aos governantes se deve ao fato de, naquele momento, aquela população representar 10% da população total do Líbano, um número significativo e elevado, que, somado às comunidades muçulmanas libanesas, poderia ser uma ameaça concreta a ordem confessional e aos cristãos que ocupavam o poder. O acúmulo de tensões que se manifestaram entre os anos 1950 e 1960, resultou em diversos confrontos entre as comunidades religiosas e entre o governo e os palestinos. </w:t>
      </w:r>
    </w:p>
    <w:p w14:paraId="092CB430"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Temendo uma revolta contra a ordem, o governo libanês solicitou ao Exército Nacional Libanês que exercesse um controle sobre a vida dos refugiados palestinos no país. A forma como o Estado começou a lidar com a presença palestina gerou um incômodo na população libanesa, principalmente entre os muçulmanos que viviam nas periferias das cidades e tinham um contato mais próximo com aquelas comunidades. Segundo Dutra Júnior (2014), a forma como os refugiados foram tratados pelos governantes libaneses serviu como incentivo para que, a partir da década de 1960, os palestinos optassem pela adesão à luta armada, pois foi a única forma que encontraram de lutarem para que seus direitos fossem respeitados dentro do país.</w:t>
      </w:r>
    </w:p>
    <w:p w14:paraId="13093A15"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Enquanto a conjuntura libanesa apresentava esses conflitos internos entre os governantes cristãos e os palestinos aliados às comunidades muçulmanas, as forças armadas de Israel continuaram realizando ataques contra as forças palestinas que haviam se concentrado no </w:t>
      </w:r>
      <w:proofErr w:type="gramStart"/>
      <w:r w:rsidRPr="00E32DCE">
        <w:rPr>
          <w:rFonts w:ascii="Times New Roman" w:eastAsia="Calibri" w:hAnsi="Times New Roman" w:cs="Times New Roman"/>
          <w:sz w:val="24"/>
          <w:szCs w:val="24"/>
        </w:rPr>
        <w:t>sul</w:t>
      </w:r>
      <w:proofErr w:type="gramEnd"/>
      <w:r w:rsidRPr="00E32DCE">
        <w:rPr>
          <w:rFonts w:ascii="Times New Roman" w:eastAsia="Calibri" w:hAnsi="Times New Roman" w:cs="Times New Roman"/>
          <w:sz w:val="24"/>
          <w:szCs w:val="24"/>
        </w:rPr>
        <w:t xml:space="preserve"> Líbano. No entanto, os ataques de retaliação realizados do interior do Líbano à Israel pela Resistência Palestina passaram a ser fortemente reprimidos pelo </w:t>
      </w:r>
      <w:r w:rsidRPr="00E32DCE">
        <w:rPr>
          <w:rFonts w:ascii="Times New Roman" w:eastAsia="Calibri" w:hAnsi="Times New Roman" w:cs="Times New Roman"/>
          <w:sz w:val="24"/>
          <w:szCs w:val="24"/>
        </w:rPr>
        <w:lastRenderedPageBreak/>
        <w:t>Exército Libanês, que se tornou responsável por comandar a força militar do país desde a chegada de Fuad Chehab, ex comandante do Exército, ao poder presidencial em 1958. Até que, Khalal Kauash, membro do comando palestino, foi preso pelo Exército e encarcerado, morrendo na prisão vítima de tortura. Esse acontecimento intensificou os confrontos e a rebelião interna dos palestinos e muçulmanos contra o governo (PINO, 1989).</w:t>
      </w:r>
    </w:p>
    <w:p w14:paraId="6405E449"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De 1968 a 1969 ocorreu o primeiro confronto direto entre a OLP e o Exército Libanês, devido à insatisfação apresentada pelos palestinos com o governo e com a violência que estava sendo praticada pelo Exército. A OLP contou com o apoio do Partido Comunista Libanês e dos demais partidos de esquerda do país, que eram compostos majoritariamente por muçulmanos. Diante esses confrontos, as comunidades muçulmanas passaram a identificar o Exército como uma instituição que representava os interesses das classes dominantes cristãs, as quais não eram favoráveis à presença palestina no país. A denominação atribuída pelos muçulmanos à força militar foi de Exército Cristão (PINO, 1989), já que seus ataques aos palestinos representavam os interesses da classe dominante que buscavam garantir a manutenção do sistema político confessional. A instituição militar pode ser identificada, dessa forma, como um instrumento que foi utilizado pelos governantes para representar seus interesses e garantir a manutenção daquela ordem vigente.</w:t>
      </w:r>
    </w:p>
    <w:p w14:paraId="5113A840"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O ano de 1969 se caracterizou pela onda de protestos e confrontos que se estenderam por todo o país. As críticas feitas pelos muçulmanos ao Exército Nacional se intensificaram, e, consequentemente, intensificaram-se também as críticas feitas ao Pacto de 1943, que permitia com que o posto de comandante da instituição estivesse sempre ocupado por um cristão maronita. Os confrontos estavam atingindo proporções preocupantes para o governo, fazendo com que Charles Helou, presidente do Líbano a partir de 1964, desejasse retaliar de forma violenta qualquer ação que viesse dos palestinos no país, que, além de ameaçar a ordem confessional, possuía inclinações pan-arabistas. O Primeiro-ministro da época, Rashi Karami, se posicionou de forma contrária à decisão do presidente, não autorizando os ataques aos campos de refugiados palestinos, pois, segundo a visão de Karami, o mesmo representava um projeto particular dos cristãos maronitas, que estavam buscando formas de garantir sua manutenção no poder eliminando toda e qualquer fonte de ameaça. </w:t>
      </w:r>
    </w:p>
    <w:p w14:paraId="7A2A7005"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lastRenderedPageBreak/>
        <w:t xml:space="preserve">Ao fim de 1969, após um ano de confrontos, o governo optou por realizar uma negociação entre a OLP e o Exército Nacional, na tentativa de organizar a convivência da organização e da instituição militar no país. Essa negociação originou o Acordo do Cairo de 1969, que foi assinado no Egito entre Emile Bustany, como representante do Exército, e Yasser Arafat, presidente da OLP, mediado por Gamal Abdel Nasser, presidente do Egito. O documento regularizou a presença palestina e a movimentação dos comandos armados palestinos no Líbano, simbolizando uma conquista para os palestinos, que passaram a possuir uma relativa liberdade e autonomia no interior do país já que a OLP se tornou responsável pelos campos de refugiados, que antes eram controlados pelo Exército (PINO, 1989; MEIHY, 2016). As concentrações palestinas foram consideradas um tipo de extraterritorialidade no país, sendo identificadas como um Estado dentro do Estado (COSTA, 2006). </w:t>
      </w:r>
    </w:p>
    <w:p w14:paraId="491868AD"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Segundo Costa (2006), como consequência do que foi acordado, a soberania do Líbano ficou comprometida, pois o país ficou suscetível a uma intensificação dos ataques vindos de Israel. Esse acordo e, consequentemente, a legalização da ação e da presença palestina no território libanês, aumentou as tensões entre os grupos confessionais, que se dividiram em apoio ou rejeição à presença palestina. Os cristãos, e, principalmente, os partidos cristãos de direita, criticaram e questionaram o Acordo, enquanto a esquerda muçulmana se manteve aliada a OLP.</w:t>
      </w:r>
    </w:p>
    <w:p w14:paraId="48748E3D"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O Falange, durante essas tensões e confrontos que se estenderam pelos anos de 1960, passou a representar cada vez mais os interesses dos grupos cristãos maronitas, que se mostravam insatisfeitos e temerosos com a ascensão dos grupos guerrilheiros palestinos no Líbano (DUTRA JÚNIOR, 2014). Mesmo com o apoio desse grupo cristão, considerado um dos mais fortes e bem equipados grupo armado do Líbano, as comunidades maronitas exigiram também que o governo utilizasse das forças do Exército Nacional para conter os avanços e as ofensivas que eram realizadas pela OLP, antes que esta fortalecesse ainda mais os movimentos muçulmanos e favorecesse a rebelião contra o sistema político libanês. Na tentativa de legitimar os ataques realizados contra os palestinos, Pino (1989) menciona que em 1975, no diário Al Amal</w:t>
      </w:r>
      <w:r w:rsidRPr="00E32DCE">
        <w:rPr>
          <w:rFonts w:ascii="Times New Roman" w:eastAsia="Calibri" w:hAnsi="Times New Roman" w:cs="Times New Roman"/>
          <w:sz w:val="24"/>
          <w:szCs w:val="24"/>
          <w:vertAlign w:val="superscript"/>
        </w:rPr>
        <w:footnoteReference w:id="156"/>
      </w:r>
      <w:r w:rsidRPr="00E32DCE">
        <w:rPr>
          <w:rFonts w:ascii="Times New Roman" w:eastAsia="Calibri" w:hAnsi="Times New Roman" w:cs="Times New Roman"/>
          <w:sz w:val="24"/>
          <w:szCs w:val="24"/>
        </w:rPr>
        <w:t xml:space="preserve">, os maronitas do Falange chegaram a afirmar que, sem a presença palestina no país, as massas muçulmanas </w:t>
      </w:r>
      <w:r w:rsidRPr="00E32DCE">
        <w:rPr>
          <w:rFonts w:ascii="Times New Roman" w:eastAsia="Calibri" w:hAnsi="Times New Roman" w:cs="Times New Roman"/>
          <w:sz w:val="24"/>
          <w:szCs w:val="24"/>
        </w:rPr>
        <w:lastRenderedPageBreak/>
        <w:t>não teriam podido se rebelar, reforçando o argumento que culpabiliza os palestinos pelos problemas que o Líbano enfrentava e não reconhecendo que estes problemas eram estruturais.</w:t>
      </w:r>
    </w:p>
    <w:p w14:paraId="3A818863"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Após esse conjunto de conflitos que se estenderam durante os anos de 1960, os quais envolveram muçulmanos libaneses, palestinos e cristãos, a partir de 1970 explicitou-se um enfraquecimento do poder maronita sobre o Líbano, devido às críticas muçulmanas que afirmavam ser aquele um poder exercido de forma ilegítima no país, devido à nova composição demográfica que se apresentava, onde a maioria populacional era composta por muçulmanos, xiita e sunitas, radicalizados em torno da questão palestina (MEIHY, 2016). Novamente, a questão palestina e a discussão em torno dessa pauta </w:t>
      </w:r>
      <w:proofErr w:type="gramStart"/>
      <w:r w:rsidRPr="00E32DCE">
        <w:rPr>
          <w:rFonts w:ascii="Times New Roman" w:eastAsia="Calibri" w:hAnsi="Times New Roman" w:cs="Times New Roman"/>
          <w:sz w:val="24"/>
          <w:szCs w:val="24"/>
        </w:rPr>
        <w:t>levou</w:t>
      </w:r>
      <w:proofErr w:type="gramEnd"/>
      <w:r w:rsidRPr="00E32DCE">
        <w:rPr>
          <w:rFonts w:ascii="Times New Roman" w:eastAsia="Calibri" w:hAnsi="Times New Roman" w:cs="Times New Roman"/>
          <w:sz w:val="24"/>
          <w:szCs w:val="24"/>
        </w:rPr>
        <w:t xml:space="preserve"> as comunidades religiosas nos anos de 1970 a novos debates e confrontos. </w:t>
      </w:r>
    </w:p>
    <w:p w14:paraId="165A09B8"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Em 1973, os ataques vindos de Israel se intensificaram, assim como os conflitos internos que se estendiam para todas as regiões do país. Temendo as ações do governo e dos grupos armados cristãos, os partidos de esquerda, concentrados no </w:t>
      </w:r>
      <w:proofErr w:type="gramStart"/>
      <w:r w:rsidRPr="00E32DCE">
        <w:rPr>
          <w:rFonts w:ascii="Times New Roman" w:eastAsia="Calibri" w:hAnsi="Times New Roman" w:cs="Times New Roman"/>
          <w:sz w:val="24"/>
          <w:szCs w:val="24"/>
        </w:rPr>
        <w:t>sul</w:t>
      </w:r>
      <w:proofErr w:type="gramEnd"/>
      <w:r w:rsidRPr="00E32DCE">
        <w:rPr>
          <w:rFonts w:ascii="Times New Roman" w:eastAsia="Calibri" w:hAnsi="Times New Roman" w:cs="Times New Roman"/>
          <w:sz w:val="24"/>
          <w:szCs w:val="24"/>
        </w:rPr>
        <w:t xml:space="preserve"> e aliados das forças palestinas, criaram os primeiros comitês de autodefesa, os quais foram vistos como uma ameaça aos partidos de direita cristãos, que temiam mudanças no poder político do país. Naquele mesmo ano, três importantes líderes da Al Fatah</w:t>
      </w:r>
      <w:r w:rsidRPr="00E32DCE">
        <w:rPr>
          <w:rFonts w:ascii="Times New Roman" w:eastAsia="Calibri" w:hAnsi="Times New Roman" w:cs="Times New Roman"/>
          <w:sz w:val="24"/>
          <w:szCs w:val="24"/>
          <w:vertAlign w:val="superscript"/>
        </w:rPr>
        <w:footnoteReference w:id="157"/>
      </w:r>
      <w:r w:rsidRPr="00E32DCE">
        <w:rPr>
          <w:rFonts w:ascii="Times New Roman" w:eastAsia="Calibri" w:hAnsi="Times New Roman" w:cs="Times New Roman"/>
          <w:sz w:val="24"/>
          <w:szCs w:val="24"/>
        </w:rPr>
        <w:t xml:space="preserve"> foram assassinados pelo comando israelense, agravando ainda mais as tensões entre os palestinos e o Exército Nacional, o qual fora acusado pela OLP de ter permitido com que os agentes israelenses que cometeram os assassinatos escapassem (PINO, 1989).</w:t>
      </w:r>
    </w:p>
    <w:p w14:paraId="1733A3D3"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Com a retomada dos conflitos entre os palestinos e a instituição militar, desrespeitou-se tudo aquilo que havia sido previsto e acordado no Acordo do Cairo de 1969. Aproveitando-se dessa situação e da instabilidade interna a qual se encontrava o Líbano, o Exército de Israel passou a realizar ataques mais agressivos às cidades da região sul do território, visando eliminar os focos de resistência palestina (KARAM, 2010). Diante a conjuntura política libanesa e o posicionamento do governo diante a presença palestina no país, o governo da Síria optou por fechar suas fronteiras com o Líbano e acusou o presidente Suleiman Franjieh de participar do complô externo destinado a liquidar a resistência palestina (PINO, 1989). Com isso, a população muçulmana xiita que habitava o </w:t>
      </w:r>
      <w:proofErr w:type="gramStart"/>
      <w:r w:rsidRPr="00E32DCE">
        <w:rPr>
          <w:rFonts w:ascii="Times New Roman" w:eastAsia="Calibri" w:hAnsi="Times New Roman" w:cs="Times New Roman"/>
          <w:sz w:val="24"/>
          <w:szCs w:val="24"/>
        </w:rPr>
        <w:t>sul</w:t>
      </w:r>
      <w:proofErr w:type="gramEnd"/>
      <w:r w:rsidRPr="00E32DCE">
        <w:rPr>
          <w:rFonts w:ascii="Times New Roman" w:eastAsia="Calibri" w:hAnsi="Times New Roman" w:cs="Times New Roman"/>
          <w:sz w:val="24"/>
          <w:szCs w:val="24"/>
        </w:rPr>
        <w:t xml:space="preserve"> foi a que mais sofreu com os ataques internos, vindos do Exército, do </w:t>
      </w:r>
      <w:r w:rsidRPr="00E32DCE">
        <w:rPr>
          <w:rFonts w:ascii="Times New Roman" w:eastAsia="Calibri" w:hAnsi="Times New Roman" w:cs="Times New Roman"/>
          <w:sz w:val="24"/>
          <w:szCs w:val="24"/>
        </w:rPr>
        <w:lastRenderedPageBreak/>
        <w:t>Governo e dos grupos armados cristãos, e dos externos, vindos de Israel. Ambos os ataques tinham como objetivo atingir as populações palestinas e enfraquecer qualquer movimento muçulmano.</w:t>
      </w:r>
    </w:p>
    <w:p w14:paraId="3320902C"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Desse modo, aumentou-se a solidariedade e a união entre os muçulmanos libaneses e os palestinos, visto os interesses de forças internas e externas em desestruturar através de confrontos armados qualquer movimento de oposição ao governo libanês e qualquer movimento palestino. Com a intensificação dos confrontos entre a OLP e o Exército, os muçulmanos passaram a exigir a aplicação do Acordo do Cairo, já que os direitos que haviam sido conquistados por aquele povo estavam sendo desrespeitados pela força militar. Tentou-se, então, realizar uma nova negociação entre a instituição militar e os guerrilheiros palestinos, no qual o primeiro-ministro Amin el Hafes optou por mediar um possível acordo entre as duas forças. Porém, antes do mesmo se realizar, o Exército cercou os dois principais campos de refugiados palestinos, localizados no sul de Beirute, e realizou ataques violentos, que permaneceram durante semanas, contra aqueles combatentes (PINO, 1989).</w:t>
      </w:r>
    </w:p>
    <w:p w14:paraId="0347BC82"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Em 1987 o Acordo do Cairo foi revogado pelo Parlamento libanês, durante a Guerra Civil que havia se iniciado em 1975 e o governo de Bashir Gemayel, representante da extrema-direita libanesa que caracterizou seu mandato pelos privilégios atribuídos apenas à sua comunidade religiosa e seus aliados, o que gerou ainda mais revolta dos muçulmanos que eram favoráveis à questão palestina e se encontravam negligenciados pelas autoridades políticas, vivendo em condições precárias e de pobreza. A revogação do Acordo demarcou o fim das liberdades e dos direitos dos palestinos que habitavam o Líbano (KARAM, 2010; COSTA, 2006).</w:t>
      </w:r>
    </w:p>
    <w:p w14:paraId="1B6BB97C" w14:textId="77777777" w:rsidR="002220E8" w:rsidRDefault="002220E8" w:rsidP="002220E8">
      <w:pPr>
        <w:tabs>
          <w:tab w:val="left" w:pos="6660"/>
        </w:tabs>
        <w:spacing w:after="0" w:line="360" w:lineRule="auto"/>
        <w:jc w:val="both"/>
        <w:rPr>
          <w:rFonts w:ascii="Times New Roman" w:eastAsia="Calibri" w:hAnsi="Times New Roman" w:cs="Times New Roman"/>
          <w:sz w:val="24"/>
          <w:szCs w:val="24"/>
        </w:rPr>
      </w:pPr>
    </w:p>
    <w:p w14:paraId="092A2450" w14:textId="1638C860" w:rsidR="00E32DCE" w:rsidRDefault="00E32DCE" w:rsidP="002220E8">
      <w:pPr>
        <w:tabs>
          <w:tab w:val="left" w:pos="6660"/>
        </w:tabs>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A atual situação dos refugiados palestinos no Líbano</w:t>
      </w:r>
      <w:r>
        <w:rPr>
          <w:rFonts w:ascii="Times New Roman" w:eastAsia="Calibri" w:hAnsi="Times New Roman" w:cs="Times New Roman"/>
          <w:b/>
          <w:sz w:val="24"/>
          <w:szCs w:val="24"/>
        </w:rPr>
        <w:tab/>
      </w:r>
    </w:p>
    <w:p w14:paraId="30BFB567" w14:textId="77777777" w:rsidR="00E32DCE" w:rsidRPr="00E32DCE" w:rsidRDefault="00E32DCE" w:rsidP="00E32DCE">
      <w:pPr>
        <w:tabs>
          <w:tab w:val="left" w:pos="6660"/>
        </w:tabs>
        <w:spacing w:after="0" w:line="360" w:lineRule="auto"/>
        <w:ind w:firstLine="709"/>
        <w:jc w:val="both"/>
        <w:rPr>
          <w:rFonts w:ascii="Times New Roman" w:eastAsia="Calibri" w:hAnsi="Times New Roman" w:cs="Times New Roman"/>
          <w:b/>
          <w:sz w:val="24"/>
          <w:szCs w:val="24"/>
        </w:rPr>
      </w:pPr>
    </w:p>
    <w:p w14:paraId="459F0DEE"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 </w:t>
      </w:r>
      <w:r w:rsidRPr="00E32DCE">
        <w:rPr>
          <w:rFonts w:ascii="Times New Roman" w:eastAsia="Calibri" w:hAnsi="Times New Roman" w:cs="Times New Roman"/>
          <w:color w:val="222222"/>
          <w:sz w:val="24"/>
          <w:szCs w:val="24"/>
          <w:shd w:val="clear" w:color="auto" w:fill="FFFFFF"/>
        </w:rPr>
        <w:t>Agência das Nações Unidas de Assistência aos Refugiados da Palestina (UNRWA) estima que existam atualmente cerca de 5,34 milhões de refugiados palestinos no mundo.</w:t>
      </w:r>
      <w:r w:rsidRPr="00E32DCE">
        <w:rPr>
          <w:rFonts w:ascii="Times New Roman" w:eastAsia="Calibri" w:hAnsi="Times New Roman" w:cs="Times New Roman"/>
          <w:sz w:val="24"/>
          <w:szCs w:val="24"/>
        </w:rPr>
        <w:t xml:space="preserve"> No Líbano, existem doze campos de refugiados e 156 aglomerações palestinas, ambos concentrados, principalmente, na região sul. Devido suas extensões e densidade demográfica, alguns campos são considerados bairros dentro das cidades libanesas.</w:t>
      </w:r>
    </w:p>
    <w:p w14:paraId="01E63151"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lastRenderedPageBreak/>
        <w:t xml:space="preserve">De acordo com os dados apresentados pela Agência, 70,8% dos palestinos que residem no território libanês estão abaixo da linha da pobreza, vivendo com US$208/mês. Além disso, 23,2% se encontram hoje desempregados e apenas 14% possuem emprego no setor formal da economia. Esses dados mostram que, desde os anos de 1960 e 1970, período estudado nesse trabalho, até os dias atuais, o governo libanês continuou negligenciando os palestinos no país, os quais continuaram em situações de extrema pobreza e não inseridos, de fato, na sociedade libanesa. Como exemplo dessa exclusão, cabe mencionar que os palestinos foram proibidos pelo governo de exercerem até vinte profissões no interior do país, incluindo medicina, direito e engenharia. Essa proibição serviu para agravar, ainda mais, os índices de desemprego entre os refugiados. </w:t>
      </w:r>
    </w:p>
    <w:p w14:paraId="76FE9955"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Ein el Hilweh é o maior campo de refugiados palestinos do Líbano, o qual fica localizado na cidade de Saïda, ao sul do país, e possui uma forte dependência financeira dos Estados Unidos e das agências da ONU que atuam no Líbano, principalmente da UNRWA. No entanto, desde 2018, as condições estruturais e os recursos básicos utilizados no campo, como saúde e educação, têm sofrido um processo gradual de precarização e sucateamento, devido o corte financeiro anunciado por Donald Trump, atual Presidente dos Estados Unidos, de 80% da verba que era destinada especificamente aos trabalhos desenvolvidos pela UNRWA, agência que é responsável por ajudar financeiramente e oferecer oportunidades de empregos e serviços àquela comunidade, auxiliando mais da metade dos palestinos que habitam Ein el Hilweh. O corte promovido e anunciado pelo governo de Trump, em uma análise crítica das propostas e dos discursos propagados pelo presidente estadunidense, pode ser entendido como uma forma de punir os grupos de refugiados palestinos que moram no Líbano que se recusaram a negociar qualquer acordo com o governo de Israel, aliado da potência estadunidense. </w:t>
      </w:r>
    </w:p>
    <w:p w14:paraId="204D58D4"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Em relação ao posicionamento do governo libanês acerca da presença palestina no país em tempos atuais, no ano de 2003, Rafic Rariri, Primeiro-Ministro do Líbano, esteve em uma visita oficial ao Brasil, onde afirmou que se mantinha contrário à integração dos refugiados ao país, pois a mesma agravaria os problemas sociais, políticos e econômicos do Estado. Observa-se, a partir desse discurso, como os problemas estruturais do Líbano ainda são atribuídos a presença palestina no território. As autoridades libanesas continuam não reconhecendo que a forma como o Confessionalismo foi </w:t>
      </w:r>
      <w:proofErr w:type="gramStart"/>
      <w:r w:rsidRPr="00E32DCE">
        <w:rPr>
          <w:rFonts w:ascii="Times New Roman" w:eastAsia="Calibri" w:hAnsi="Times New Roman" w:cs="Times New Roman"/>
          <w:sz w:val="24"/>
          <w:szCs w:val="24"/>
        </w:rPr>
        <w:t>estruturado</w:t>
      </w:r>
      <w:proofErr w:type="gramEnd"/>
      <w:r w:rsidRPr="00E32DCE">
        <w:rPr>
          <w:rFonts w:ascii="Times New Roman" w:eastAsia="Calibri" w:hAnsi="Times New Roman" w:cs="Times New Roman"/>
          <w:sz w:val="24"/>
          <w:szCs w:val="24"/>
        </w:rPr>
        <w:t xml:space="preserve"> no Líbano consolidou e aprofundou os problemas de </w:t>
      </w:r>
      <w:r w:rsidRPr="00E32DCE">
        <w:rPr>
          <w:rFonts w:ascii="Times New Roman" w:eastAsia="Calibri" w:hAnsi="Times New Roman" w:cs="Times New Roman"/>
          <w:sz w:val="24"/>
          <w:szCs w:val="24"/>
        </w:rPr>
        <w:lastRenderedPageBreak/>
        <w:t xml:space="preserve">desigualdades econômicas e sociais do país, já que o regime imposto não condiz e nem é legítimo visto a composição social atual, ou seja, um sistema político que não representa a maioria da população libanesa. Por esse motivo, a presença dos palestinos não pode ser culpabilizada pelos problemas enfrentados pelo Estado Libanês, já que o cerne desses problemas </w:t>
      </w:r>
      <w:proofErr w:type="gramStart"/>
      <w:r w:rsidRPr="00E32DCE">
        <w:rPr>
          <w:rFonts w:ascii="Times New Roman" w:eastAsia="Calibri" w:hAnsi="Times New Roman" w:cs="Times New Roman"/>
          <w:sz w:val="24"/>
          <w:szCs w:val="24"/>
        </w:rPr>
        <w:t>esta</w:t>
      </w:r>
      <w:proofErr w:type="gramEnd"/>
      <w:r w:rsidRPr="00E32DCE">
        <w:rPr>
          <w:rFonts w:ascii="Times New Roman" w:eastAsia="Calibri" w:hAnsi="Times New Roman" w:cs="Times New Roman"/>
          <w:sz w:val="24"/>
          <w:szCs w:val="24"/>
        </w:rPr>
        <w:t xml:space="preserve"> na própria organização política e social do Líbano. </w:t>
      </w:r>
    </w:p>
    <w:p w14:paraId="52558CAA"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Embora o posicionamento de Rariri represente o sentimento antipalestino que ainda se reproduz em esferas da política e em parcelas da sociedade libanesa, sentimento esse que rejeita a naturalização dos mesmos ao Líbano, ao fim de sua fala, o Primeiro-Ministro completa afirmando que deseja ver os palestinos retornarem às suas terras, na Palestina, afirmando o apoio do governo libanês à reinvindicação dos grupos palestinos que lutam, desde 1948, pela possibilidade de retornar as suas terras e suas casas. </w:t>
      </w:r>
    </w:p>
    <w:p w14:paraId="370232D2"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  Com a Guerra Civil na Síria, retornou-se esse mesmo debate acerca da presença palestina no país, já que, com a guerra, muitos refugiados palestinos que habitavam a Síria migraram para o Líbano, gerando um aumento na superlotação dos campos. Em 2017, o governo optou por realizar o primeiro censo oficial da população palestina no Líbano, constatando uma população de 174 mil refugiados – número inferior às estimativas realizadas até então por órgãos não oficiais, que pressupunham uma população de 500 mil refugiados. </w:t>
      </w:r>
    </w:p>
    <w:p w14:paraId="6A646CB1"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Como foi demonstrado, durante os anos 50, 60 e 70, os grupos palestinos foram identificados pela classe dominante cristã libanesa como uma ameaça à manutenção do seu poder político e econômico, que era garantido e legalizado através do Pacto Nacional de 1943 e do Confessionalismo. A presença palestina no território libanês fortaleceu e incentivou as massas muçulmanas a se revoltarem contra as injustiças de um sistema político que agravava as desigualdades sociais do país. No entanto, nota-se que a situação dos refugiados palestinos na atualidade é diferente daquele que caracterizou a primeira metade do século XX.</w:t>
      </w:r>
    </w:p>
    <w:p w14:paraId="29AAAA4E"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Depois da Guerra Civil de 1975, ocorreram, novamente, diversos debates e divergências acerca da presença palestina no território libanês. O que se diferencia do período anterior à Guerra é que, nesse segundo momento, algumas parcelas das comunidades muçulmanas passaram a se posicionar também contrárias à presença dos palestinos no país.  Com isso, a resistência antipalestina se fortaleceu após 1975 e ganhou </w:t>
      </w:r>
      <w:r w:rsidRPr="00E32DCE">
        <w:rPr>
          <w:rFonts w:ascii="Times New Roman" w:eastAsia="Calibri" w:hAnsi="Times New Roman" w:cs="Times New Roman"/>
          <w:sz w:val="24"/>
          <w:szCs w:val="24"/>
        </w:rPr>
        <w:lastRenderedPageBreak/>
        <w:t xml:space="preserve">apoio, demonstrando que a rejeição aos palestinos não é mais uma exclusividade dos grupos cristãos do Líbano (CHEAITO, 2019). </w:t>
      </w:r>
    </w:p>
    <w:p w14:paraId="13542A4F"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Analisa-se, a partir de então, que durante o século XX, os grupos palestinos que habitavam o Líbano enfrentaram diversos confrontos com o Exército Nacional, que representava o poder do Estado, e com os grupos armados cristãos, principalmente com o Falange, que tinha como intuito eliminar os palestinos do país. No entanto, o século XXI tem se caracterizado por uma mudança no cenário libanês, pois se estabeleceram novos confrontos com novos sujeitos. Agora, os conflitos que se estendem entre os grupos palestinos são internos, nos próprios campos de refugiados, e acontecem entre diferentes facções que coexistem naquele espaço. No campo de Ein el Hilweh, por exemplo, estima-se que cerca de vinte facções diferentes estejam em conflito atualmente. Esse fato demonstra que os campos de refugiados palestinos se tornaram redutos para muitos militantes do extremismo islâmico, alguns com inspirações na Al Qaeda e outros no Estado Islâmico, demonstrando que aqueles espaços se tornaram locais de trânsito dos conhecidos jihadistas sírios</w:t>
      </w:r>
      <w:r w:rsidRPr="00E32DCE">
        <w:rPr>
          <w:rFonts w:ascii="Times New Roman" w:eastAsia="Calibri" w:hAnsi="Times New Roman" w:cs="Times New Roman"/>
          <w:sz w:val="24"/>
          <w:szCs w:val="24"/>
          <w:vertAlign w:val="superscript"/>
        </w:rPr>
        <w:footnoteReference w:id="158"/>
      </w:r>
      <w:r w:rsidRPr="00E32DCE">
        <w:rPr>
          <w:rFonts w:ascii="Times New Roman" w:eastAsia="Calibri" w:hAnsi="Times New Roman" w:cs="Times New Roman"/>
          <w:sz w:val="24"/>
          <w:szCs w:val="24"/>
        </w:rPr>
        <w:t xml:space="preserve">, e as violências que são praticadas naqueles locais explicitam um caráter político e religioso. </w:t>
      </w:r>
    </w:p>
    <w:p w14:paraId="1EE7E67A"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Os motivos que levaram os grupos extremistas que penetraram o Líbano a adentrarem aos campos de refugiados, que já lidavam com condições de extrema miserabilidade e superlotação, consistem no fato de que, segundo as observações feitas, mesmo com a revogação do Acordo do Cairo, o Exército permanece não adentrando naqueles espaços. Ou seja, embora na teoria o Acordo tenha sido revogado nos anos 80, na prática as autoridades libanesas e as forças militares continuaram não interferindo nos assuntos e nos problemas internos dos campos, respeitando a extraterritorialidade e a autonomia dos palestinos no interior daqueles espaços, como havia sodo acordado em 1969. Como as autoridades do governo e o Exército não interviam nos acontecimentos internos dos campos, aqueles se tornaram terrenos férteis para a propagação de radicalismos e para que grupos extremistas pudessem atuar sem a repressão estatal (CHEAITO, 2019).</w:t>
      </w:r>
    </w:p>
    <w:p w14:paraId="41819EA0"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lastRenderedPageBreak/>
        <w:t xml:space="preserve">Como força de oposição </w:t>
      </w:r>
      <w:proofErr w:type="gramStart"/>
      <w:r w:rsidRPr="00E32DCE">
        <w:rPr>
          <w:rFonts w:ascii="Times New Roman" w:eastAsia="Calibri" w:hAnsi="Times New Roman" w:cs="Times New Roman"/>
          <w:sz w:val="24"/>
          <w:szCs w:val="24"/>
        </w:rPr>
        <w:t>à</w:t>
      </w:r>
      <w:proofErr w:type="gramEnd"/>
      <w:r w:rsidRPr="00E32DCE">
        <w:rPr>
          <w:rFonts w:ascii="Times New Roman" w:eastAsia="Calibri" w:hAnsi="Times New Roman" w:cs="Times New Roman"/>
          <w:sz w:val="24"/>
          <w:szCs w:val="24"/>
        </w:rPr>
        <w:t xml:space="preserve"> esses grupos radicais, palestinos e sírios, que penetraram no Líbano e passaram a atuar nos campos de refugiados, surgem novos grupos, que possuem como objetivo frear o avanço dessas ações de cunho extremista. O Hamas</w:t>
      </w:r>
      <w:r w:rsidRPr="00E32DCE">
        <w:rPr>
          <w:rFonts w:ascii="Times New Roman" w:eastAsia="Calibri" w:hAnsi="Times New Roman" w:cs="Times New Roman"/>
          <w:sz w:val="24"/>
          <w:szCs w:val="24"/>
          <w:vertAlign w:val="superscript"/>
        </w:rPr>
        <w:footnoteReference w:id="159"/>
      </w:r>
      <w:r w:rsidRPr="00E32DCE">
        <w:rPr>
          <w:rFonts w:ascii="Times New Roman" w:eastAsia="Calibri" w:hAnsi="Times New Roman" w:cs="Times New Roman"/>
          <w:sz w:val="24"/>
          <w:szCs w:val="24"/>
        </w:rPr>
        <w:t xml:space="preserve"> e o Fatah</w:t>
      </w:r>
      <w:r w:rsidRPr="00E32DCE">
        <w:rPr>
          <w:rFonts w:ascii="Times New Roman" w:eastAsia="Calibri" w:hAnsi="Times New Roman" w:cs="Times New Roman"/>
          <w:sz w:val="24"/>
          <w:szCs w:val="24"/>
          <w:vertAlign w:val="superscript"/>
        </w:rPr>
        <w:footnoteReference w:id="160"/>
      </w:r>
      <w:r w:rsidRPr="00E32DCE">
        <w:rPr>
          <w:rFonts w:ascii="Times New Roman" w:eastAsia="Calibri" w:hAnsi="Times New Roman" w:cs="Times New Roman"/>
          <w:sz w:val="24"/>
          <w:szCs w:val="24"/>
        </w:rPr>
        <w:t xml:space="preserve"> são os exemplos mais conhecidos e de maior atuação na luta contra as facções aliadas aos ideais radicais que executam suas ações no interior dos campos de refugiados palestinos contra os próprios palestinos.</w:t>
      </w:r>
    </w:p>
    <w:p w14:paraId="24AF44D5"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Acerca da relação atual entre o Exército Libanês e os grupos palestinos, observa-se que hoje a força militar é responsável apenas por cercar os campos e impedir que os confrontos que se estabeleceram em seu interior, como mencionado, não se estendam para as cidades libanesas, controlando a entrada e a saída daqueles espaços. Sendo assim, embora não esteja mais em vigor, na prática o Acordo do Cairo se mostra presente e a extraterritorialidade dos campos foi mantida.</w:t>
      </w:r>
    </w:p>
    <w:p w14:paraId="303A90A5" w14:textId="77777777" w:rsidR="002220E8" w:rsidRDefault="002220E8" w:rsidP="002220E8">
      <w:pPr>
        <w:spacing w:after="0" w:line="360" w:lineRule="auto"/>
        <w:jc w:val="both"/>
        <w:rPr>
          <w:rFonts w:ascii="Times New Roman" w:eastAsia="Calibri" w:hAnsi="Times New Roman" w:cs="Times New Roman"/>
          <w:sz w:val="24"/>
          <w:szCs w:val="24"/>
        </w:rPr>
      </w:pPr>
    </w:p>
    <w:p w14:paraId="095F64F5" w14:textId="0EB77CC7" w:rsidR="00E32DCE" w:rsidRPr="00E32DCE" w:rsidRDefault="00E32DCE" w:rsidP="002220E8">
      <w:pPr>
        <w:spacing w:after="0" w:line="360" w:lineRule="auto"/>
        <w:jc w:val="both"/>
        <w:rPr>
          <w:rFonts w:ascii="Times New Roman" w:eastAsia="Calibri" w:hAnsi="Times New Roman" w:cs="Times New Roman"/>
          <w:b/>
          <w:sz w:val="24"/>
          <w:szCs w:val="24"/>
        </w:rPr>
      </w:pPr>
      <w:r w:rsidRPr="00E32DCE">
        <w:rPr>
          <w:rFonts w:ascii="Times New Roman" w:eastAsia="Calibri" w:hAnsi="Times New Roman" w:cs="Times New Roman"/>
          <w:b/>
          <w:sz w:val="24"/>
          <w:szCs w:val="24"/>
        </w:rPr>
        <w:t>Considerações finais</w:t>
      </w:r>
    </w:p>
    <w:p w14:paraId="2BB0C2FA"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Nota-se, dessa forma, como o Pacto Nacional Libanês e todo o suporte atribuído às lideranças maronitas serviram para reforçar o sectarismo existente entre as comunidades religiosas do país, tornando sua convivência e coexistência no território cada vez mais delicada e instável. Mesmo com o estabelecimento de um regime democrático, observa-se como essa democracia se assemelha a um caráter restrito, já que as decisões políticas eram tomadas por uma parcela mínima da sociedade, representada pelos cristãos maronitas. Os muçulmanos, principalmente os xiitas, se sentiam injustiçados nesse sistema político, que legitimou e aprofundou todo um sistema de desigualdades sociais, políticas e econômicas que havia se iniciado no Império Otomano e se consolidado com o protetorado francês a partir de 1920.</w:t>
      </w:r>
    </w:p>
    <w:p w14:paraId="3734BE99"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 partir dos anos 40, iniciou-se um movimento intenso de migração de palestinos, o qual muitos migraram para o Líbano em busca de refúgio. Mesmo com anos de debates e conflitos, que se estenderam durante os anos 60 e 70, os cristãos e os muçulmanos não </w:t>
      </w:r>
      <w:r w:rsidRPr="00E32DCE">
        <w:rPr>
          <w:rFonts w:ascii="Times New Roman" w:eastAsia="Calibri" w:hAnsi="Times New Roman" w:cs="Times New Roman"/>
          <w:sz w:val="24"/>
          <w:szCs w:val="24"/>
        </w:rPr>
        <w:lastRenderedPageBreak/>
        <w:t xml:space="preserve">chegaram a um consenso acerca do posicionamento que deveria ser adotado em relação à presença palestina no país. Os muçulmanos seguiram oferecendo apoio e solidariedade aos movimentos palestinos, porque sua presença no território fortalecia os partidos de esquerda e os movimentos que se opunham ao sistema político confessional da maneira como ele era estruturado. Enquanto isso, os cristãos maronitas mantinham seu posicionamento contrário à presença palestina no Líbano, argumentando que </w:t>
      </w:r>
      <w:proofErr w:type="gramStart"/>
      <w:r w:rsidRPr="00E32DCE">
        <w:rPr>
          <w:rFonts w:ascii="Times New Roman" w:eastAsia="Calibri" w:hAnsi="Times New Roman" w:cs="Times New Roman"/>
          <w:sz w:val="24"/>
          <w:szCs w:val="24"/>
        </w:rPr>
        <w:t>os mesmos</w:t>
      </w:r>
      <w:proofErr w:type="gramEnd"/>
      <w:r w:rsidRPr="00E32DCE">
        <w:rPr>
          <w:rFonts w:ascii="Times New Roman" w:eastAsia="Calibri" w:hAnsi="Times New Roman" w:cs="Times New Roman"/>
          <w:sz w:val="24"/>
          <w:szCs w:val="24"/>
        </w:rPr>
        <w:t xml:space="preserve"> ofereciam um risco a soberania do Líbano e estavam gerando diversos problemas sociais e políticos. Porém, a análise realizada nesse artigo percebe que, como pano de fundo, esse grupo, na realidade, representava uma ameaça à manutenção da classe dominante cristã nas instâncias de poder.</w:t>
      </w:r>
    </w:p>
    <w:p w14:paraId="7D80BBE2"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Temendo a perca de seu poder e a mudança do sistema confessional, que lhes era benéfico e garantia seus privilégios, os cristãos maronitas optaram por utilizar as forças do Exército Libanês para atacar e enfraquecer os movimentos palestinos. Observa-se, a partir desses confrontos, como o Exército se mostrou empenhado em eliminar os focos de resistência palestina instalados no país, contrariando os interesses defendidos pelos muçulmanos, que representavam a maioria populacional, e agindo de acordo com os interesses das classes dominantes cristãs. Nessa perspectiva, a instituição militar não simbolizava uma instituição vinculada aos interesses nacionais e do seu conjunto de cidadãos, mas estava aliada a interesses particulares de um grupo específico dessa sociedade civil, que, naquele momento, representava a minoria populacional. Dessa forma, analisa-se nesse artigo a força militar como um instrumento utilizado pelas classes dominantes para garantir a manutenção da ordem e de seu poder.</w:t>
      </w:r>
    </w:p>
    <w:p w14:paraId="4EB4D82B"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Por fim, ao estabelecer uma análise da situação dos refugiados durante os anos 60 e 70 e </w:t>
      </w:r>
      <w:proofErr w:type="gramStart"/>
      <w:r w:rsidRPr="00E32DCE">
        <w:rPr>
          <w:rFonts w:ascii="Times New Roman" w:eastAsia="Calibri" w:hAnsi="Times New Roman" w:cs="Times New Roman"/>
          <w:sz w:val="24"/>
          <w:szCs w:val="24"/>
        </w:rPr>
        <w:t>nos dias atuais</w:t>
      </w:r>
      <w:proofErr w:type="gramEnd"/>
      <w:r w:rsidRPr="00E32DCE">
        <w:rPr>
          <w:rFonts w:ascii="Times New Roman" w:eastAsia="Calibri" w:hAnsi="Times New Roman" w:cs="Times New Roman"/>
          <w:sz w:val="24"/>
          <w:szCs w:val="24"/>
        </w:rPr>
        <w:t xml:space="preserve">, observa-se que a trágica realidade dos campos palestinos, descrita anteriormente, permanece até o tempo presente. Situações de extrema pobreza, superlotação dos campos, crises de desemprego e precariedade nas condições estruturais e de </w:t>
      </w:r>
      <w:proofErr w:type="gramStart"/>
      <w:r w:rsidRPr="00E32DCE">
        <w:rPr>
          <w:rFonts w:ascii="Times New Roman" w:eastAsia="Calibri" w:hAnsi="Times New Roman" w:cs="Times New Roman"/>
          <w:sz w:val="24"/>
          <w:szCs w:val="24"/>
        </w:rPr>
        <w:t>infraestrutura  continuaram</w:t>
      </w:r>
      <w:proofErr w:type="gramEnd"/>
      <w:r w:rsidRPr="00E32DCE">
        <w:rPr>
          <w:rFonts w:ascii="Times New Roman" w:eastAsia="Calibri" w:hAnsi="Times New Roman" w:cs="Times New Roman"/>
          <w:sz w:val="24"/>
          <w:szCs w:val="24"/>
        </w:rPr>
        <w:t xml:space="preserve"> se reproduzindo por mais de 50 anos, com pouco interesse das autoridades libanesas em modificar esses quadros (CHEAITO, 2019).</w:t>
      </w:r>
    </w:p>
    <w:p w14:paraId="0AD5C842" w14:textId="77777777" w:rsidR="00E32DCE" w:rsidRPr="00E32DCE" w:rsidRDefault="00E32DCE" w:rsidP="00E32DCE">
      <w:pPr>
        <w:spacing w:after="0" w:line="360" w:lineRule="auto"/>
        <w:ind w:firstLine="709"/>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Analisar e compreender a história libanesa e os confrontos que ocorreram naquele país, envolve um estudo minucioso sobre as forças políticas e religiosas envolvidas, assim como a alteração nas correlações de força que ocorreram em diversos períodos. Sendo assim, torna-se necessário observar as diversas relações que se manifestaram na realidade </w:t>
      </w:r>
      <w:r w:rsidRPr="00E32DCE">
        <w:rPr>
          <w:rFonts w:ascii="Times New Roman" w:eastAsia="Calibri" w:hAnsi="Times New Roman" w:cs="Times New Roman"/>
          <w:sz w:val="24"/>
          <w:szCs w:val="24"/>
        </w:rPr>
        <w:lastRenderedPageBreak/>
        <w:t xml:space="preserve">histórica concreta, não sendo possível um estudo simplista e reducionista da complexidade e das particularidades que permeiam o território libanês. Seu sistema político confessional, os grupos religiosos que coexistem no local, a presença palestina, seus conflitos internos e externos, somados a uma luta antiimperialista, destacam a importância de se estudar o Líbano em sua totalidade, onde </w:t>
      </w:r>
      <w:proofErr w:type="gramStart"/>
      <w:r w:rsidRPr="00E32DCE">
        <w:rPr>
          <w:rFonts w:ascii="Times New Roman" w:eastAsia="Calibri" w:hAnsi="Times New Roman" w:cs="Times New Roman"/>
          <w:sz w:val="24"/>
          <w:szCs w:val="24"/>
        </w:rPr>
        <w:t>uma rede de correlações se explicitam e demonstram</w:t>
      </w:r>
      <w:proofErr w:type="gramEnd"/>
      <w:r w:rsidRPr="00E32DCE">
        <w:rPr>
          <w:rFonts w:ascii="Times New Roman" w:eastAsia="Calibri" w:hAnsi="Times New Roman" w:cs="Times New Roman"/>
          <w:sz w:val="24"/>
          <w:szCs w:val="24"/>
        </w:rPr>
        <w:t xml:space="preserve"> a importância do estudo em questão. </w:t>
      </w:r>
    </w:p>
    <w:p w14:paraId="46704F43" w14:textId="77777777" w:rsidR="00E32DCE" w:rsidRPr="00E32DCE" w:rsidRDefault="00E32DCE" w:rsidP="00E32DCE">
      <w:pPr>
        <w:spacing w:after="0" w:line="360" w:lineRule="auto"/>
        <w:ind w:left="1069"/>
        <w:jc w:val="both"/>
        <w:rPr>
          <w:rFonts w:ascii="Times New Roman" w:eastAsia="Calibri" w:hAnsi="Times New Roman" w:cs="Times New Roman"/>
          <w:sz w:val="24"/>
          <w:szCs w:val="24"/>
        </w:rPr>
      </w:pPr>
    </w:p>
    <w:p w14:paraId="5D9D9B86" w14:textId="77777777" w:rsidR="00E32DCE" w:rsidRPr="00E32DCE" w:rsidRDefault="00E32DCE" w:rsidP="00E32DCE">
      <w:pPr>
        <w:spacing w:after="0" w:line="360" w:lineRule="auto"/>
        <w:jc w:val="both"/>
        <w:rPr>
          <w:rFonts w:ascii="Times New Roman" w:eastAsia="Calibri" w:hAnsi="Times New Roman" w:cs="Times New Roman"/>
          <w:b/>
          <w:sz w:val="24"/>
          <w:szCs w:val="24"/>
        </w:rPr>
      </w:pPr>
    </w:p>
    <w:p w14:paraId="356C6224" w14:textId="1A994DCD" w:rsidR="002220E8" w:rsidRDefault="002220E8" w:rsidP="002220E8">
      <w:pPr>
        <w:pStyle w:val="Bibliography1"/>
        <w:jc w:val="both"/>
        <w:rPr>
          <w:rFonts w:ascii="Times New Roman" w:hAnsi="Times New Roman" w:cs="Times New Roman"/>
          <w:b/>
          <w:bCs/>
        </w:rPr>
      </w:pPr>
      <w:r>
        <w:rPr>
          <w:rFonts w:ascii="Times New Roman" w:hAnsi="Times New Roman" w:cs="Times New Roman"/>
          <w:b/>
          <w:bCs/>
        </w:rPr>
        <w:t xml:space="preserve">Bibliografia </w:t>
      </w:r>
    </w:p>
    <w:p w14:paraId="064A7F41" w14:textId="77777777" w:rsidR="002220E8" w:rsidRPr="002220E8" w:rsidRDefault="002220E8" w:rsidP="002220E8">
      <w:pPr>
        <w:pStyle w:val="Bibliography1"/>
        <w:jc w:val="both"/>
        <w:rPr>
          <w:rFonts w:ascii="Times New Roman" w:hAnsi="Times New Roman" w:cs="Times New Roman"/>
          <w:b/>
          <w:bCs/>
        </w:rPr>
      </w:pPr>
    </w:p>
    <w:p w14:paraId="5C7333A6" w14:textId="77777777" w:rsidR="00E32DCE" w:rsidRPr="00E32DCE" w:rsidRDefault="00E32DCE" w:rsidP="002220E8">
      <w:pPr>
        <w:spacing w:after="0" w:line="360" w:lineRule="auto"/>
        <w:jc w:val="both"/>
        <w:rPr>
          <w:rFonts w:ascii="Times New Roman" w:eastAsia="Calibri" w:hAnsi="Times New Roman" w:cs="Times New Roman"/>
          <w:sz w:val="24"/>
          <w:szCs w:val="24"/>
          <w:lang w:eastAsia="pt-BR"/>
        </w:rPr>
      </w:pPr>
      <w:r w:rsidRPr="00E32DCE">
        <w:rPr>
          <w:rFonts w:ascii="Times New Roman" w:eastAsia="Calibri" w:hAnsi="Times New Roman" w:cs="Times New Roman"/>
          <w:color w:val="000000"/>
          <w:sz w:val="24"/>
          <w:szCs w:val="24"/>
          <w:lang w:eastAsia="pt-BR"/>
        </w:rPr>
        <w:t xml:space="preserve">CARDOZO, Poliana Fabíula (2012). </w:t>
      </w:r>
      <w:r w:rsidRPr="00E32DCE">
        <w:rPr>
          <w:rFonts w:ascii="Times New Roman" w:eastAsia="Calibri" w:hAnsi="Times New Roman" w:cs="Times New Roman"/>
          <w:b/>
          <w:bCs/>
          <w:color w:val="000000"/>
          <w:sz w:val="24"/>
          <w:szCs w:val="24"/>
          <w:lang w:eastAsia="pt-BR"/>
        </w:rPr>
        <w:t>O Líbano ausente e o Líbano presente</w:t>
      </w:r>
      <w:r w:rsidRPr="00E32DCE">
        <w:rPr>
          <w:rFonts w:ascii="Times New Roman" w:eastAsia="Calibri" w:hAnsi="Times New Roman" w:cs="Times New Roman"/>
          <w:color w:val="000000"/>
          <w:sz w:val="24"/>
          <w:szCs w:val="24"/>
          <w:lang w:eastAsia="pt-BR"/>
        </w:rPr>
        <w:t xml:space="preserve">: espaço de identidades de imigrantes libaneses em Foz do Iguaçu. 2012. 194 f. Tese (Doutorado em </w:t>
      </w:r>
      <w:proofErr w:type="gramStart"/>
      <w:r w:rsidRPr="00E32DCE">
        <w:rPr>
          <w:rFonts w:ascii="Times New Roman" w:eastAsia="Calibri" w:hAnsi="Times New Roman" w:cs="Times New Roman"/>
          <w:color w:val="000000"/>
          <w:sz w:val="24"/>
          <w:szCs w:val="24"/>
          <w:lang w:eastAsia="pt-BR"/>
        </w:rPr>
        <w:t>Geografia)-</w:t>
      </w:r>
      <w:proofErr w:type="gramEnd"/>
      <w:r w:rsidRPr="00E32DCE">
        <w:rPr>
          <w:rFonts w:ascii="Times New Roman" w:eastAsia="Calibri" w:hAnsi="Times New Roman" w:cs="Times New Roman"/>
          <w:color w:val="000000"/>
          <w:sz w:val="24"/>
          <w:szCs w:val="24"/>
          <w:lang w:eastAsia="pt-BR"/>
        </w:rPr>
        <w:t>Universidade Federal do Paraná, Curitiba.</w:t>
      </w:r>
    </w:p>
    <w:p w14:paraId="4A914B43" w14:textId="77777777" w:rsidR="00E32DCE" w:rsidRPr="00E32DCE" w:rsidRDefault="00E32DCE" w:rsidP="002220E8">
      <w:pPr>
        <w:spacing w:after="0" w:line="360" w:lineRule="auto"/>
        <w:jc w:val="both"/>
        <w:rPr>
          <w:rFonts w:ascii="Times New Roman" w:eastAsia="Calibri" w:hAnsi="Times New Roman" w:cs="Times New Roman"/>
          <w:color w:val="000000"/>
          <w:sz w:val="24"/>
          <w:szCs w:val="24"/>
          <w:lang w:eastAsia="pt-BR"/>
        </w:rPr>
      </w:pPr>
    </w:p>
    <w:p w14:paraId="43011FA8" w14:textId="77777777" w:rsidR="00E32DCE" w:rsidRPr="00E32DCE" w:rsidRDefault="00E32DCE" w:rsidP="002220E8">
      <w:pPr>
        <w:spacing w:after="0" w:line="360" w:lineRule="auto"/>
        <w:jc w:val="both"/>
        <w:rPr>
          <w:rFonts w:ascii="Times New Roman" w:eastAsia="Calibri" w:hAnsi="Times New Roman" w:cs="Times New Roman"/>
          <w:color w:val="000000"/>
          <w:sz w:val="24"/>
          <w:szCs w:val="24"/>
          <w:lang w:eastAsia="pt-BR"/>
        </w:rPr>
      </w:pPr>
      <w:r w:rsidRPr="00E32DCE">
        <w:rPr>
          <w:rFonts w:ascii="Times New Roman" w:eastAsia="Calibri" w:hAnsi="Times New Roman" w:cs="Times New Roman"/>
          <w:color w:val="000000"/>
          <w:sz w:val="24"/>
          <w:szCs w:val="24"/>
          <w:lang w:eastAsia="pt-BR"/>
        </w:rPr>
        <w:t xml:space="preserve">CHEAITO, Karime Ahmad Borraschi (2019). </w:t>
      </w:r>
      <w:r w:rsidRPr="00E32DCE">
        <w:rPr>
          <w:rFonts w:ascii="Times New Roman" w:eastAsia="Calibri" w:hAnsi="Times New Roman" w:cs="Times New Roman"/>
          <w:b/>
          <w:color w:val="000000"/>
          <w:sz w:val="24"/>
          <w:szCs w:val="24"/>
          <w:lang w:eastAsia="pt-BR"/>
        </w:rPr>
        <w:t xml:space="preserve">Exército Nacional Libanês: reflexos do Confessionalismo na Instituição Militar. </w:t>
      </w:r>
      <w:r w:rsidRPr="00E32DCE">
        <w:rPr>
          <w:rFonts w:ascii="Times New Roman" w:eastAsia="Calibri" w:hAnsi="Times New Roman" w:cs="Times New Roman"/>
          <w:color w:val="000000"/>
          <w:sz w:val="24"/>
          <w:szCs w:val="24"/>
          <w:lang w:eastAsia="pt-BR"/>
        </w:rPr>
        <w:t>Marília: Lutas Anticapital.</w:t>
      </w:r>
    </w:p>
    <w:p w14:paraId="1D285377" w14:textId="77777777" w:rsidR="00E32DCE" w:rsidRPr="00E32DCE" w:rsidRDefault="00E32DCE" w:rsidP="002220E8">
      <w:pPr>
        <w:spacing w:after="0" w:line="360" w:lineRule="auto"/>
        <w:jc w:val="both"/>
        <w:rPr>
          <w:rFonts w:ascii="Times New Roman" w:eastAsia="Calibri" w:hAnsi="Times New Roman" w:cs="Times New Roman"/>
          <w:color w:val="000000"/>
          <w:sz w:val="24"/>
          <w:szCs w:val="24"/>
          <w:lang w:eastAsia="pt-BR"/>
        </w:rPr>
      </w:pPr>
    </w:p>
    <w:p w14:paraId="2F16B122" w14:textId="77777777" w:rsidR="00E32DCE" w:rsidRPr="00E32DCE" w:rsidRDefault="00E32DCE" w:rsidP="002220E8">
      <w:pPr>
        <w:spacing w:after="0" w:line="360" w:lineRule="auto"/>
        <w:jc w:val="both"/>
        <w:rPr>
          <w:rFonts w:ascii="Times New Roman" w:eastAsia="Calibri" w:hAnsi="Times New Roman" w:cs="Times New Roman"/>
          <w:color w:val="000000"/>
          <w:sz w:val="24"/>
          <w:szCs w:val="24"/>
          <w:lang w:eastAsia="pt-BR"/>
        </w:rPr>
      </w:pPr>
      <w:r w:rsidRPr="00E32DCE">
        <w:rPr>
          <w:rFonts w:ascii="Times New Roman" w:eastAsia="Calibri" w:hAnsi="Times New Roman" w:cs="Times New Roman"/>
          <w:color w:val="000000"/>
          <w:sz w:val="24"/>
          <w:szCs w:val="24"/>
          <w:lang w:eastAsia="pt-BR"/>
        </w:rPr>
        <w:t xml:space="preserve">COSTA, Renato José da (2006). </w:t>
      </w:r>
      <w:r w:rsidRPr="00E32DCE">
        <w:rPr>
          <w:rFonts w:ascii="Times New Roman" w:eastAsia="Calibri" w:hAnsi="Times New Roman" w:cs="Times New Roman"/>
          <w:b/>
          <w:bCs/>
          <w:color w:val="000000"/>
          <w:sz w:val="24"/>
          <w:szCs w:val="24"/>
          <w:lang w:eastAsia="pt-BR"/>
        </w:rPr>
        <w:t>O Islamismo e suas implicações no processo democrático libanês</w:t>
      </w:r>
      <w:r w:rsidRPr="00E32DCE">
        <w:rPr>
          <w:rFonts w:ascii="Times New Roman" w:eastAsia="Calibri" w:hAnsi="Times New Roman" w:cs="Times New Roman"/>
          <w:color w:val="000000"/>
          <w:sz w:val="24"/>
          <w:szCs w:val="24"/>
          <w:lang w:eastAsia="pt-BR"/>
        </w:rPr>
        <w:t xml:space="preserve">. 2006. 336 f. Dissertação (Mestrado em História </w:t>
      </w:r>
      <w:proofErr w:type="gramStart"/>
      <w:r w:rsidRPr="00E32DCE">
        <w:rPr>
          <w:rFonts w:ascii="Times New Roman" w:eastAsia="Calibri" w:hAnsi="Times New Roman" w:cs="Times New Roman"/>
          <w:color w:val="000000"/>
          <w:sz w:val="24"/>
          <w:szCs w:val="24"/>
          <w:lang w:eastAsia="pt-BR"/>
        </w:rPr>
        <w:t>Social)-</w:t>
      </w:r>
      <w:proofErr w:type="gramEnd"/>
      <w:r w:rsidRPr="00E32DCE">
        <w:rPr>
          <w:rFonts w:ascii="Times New Roman" w:eastAsia="Calibri" w:hAnsi="Times New Roman" w:cs="Times New Roman"/>
          <w:color w:val="000000"/>
          <w:sz w:val="24"/>
          <w:szCs w:val="24"/>
          <w:lang w:eastAsia="pt-BR"/>
        </w:rPr>
        <w:t>Faculdade de Filosofia, Letras e Ciências Humanas, Universidade de São Paulo, São Paulo.</w:t>
      </w:r>
    </w:p>
    <w:p w14:paraId="149621F9" w14:textId="77777777" w:rsidR="00E32DCE" w:rsidRPr="00E32DCE" w:rsidRDefault="00E32DCE" w:rsidP="002220E8">
      <w:pPr>
        <w:spacing w:after="0" w:line="360" w:lineRule="auto"/>
        <w:jc w:val="both"/>
        <w:rPr>
          <w:rFonts w:ascii="Times New Roman" w:eastAsia="Calibri" w:hAnsi="Times New Roman" w:cs="Times New Roman"/>
          <w:color w:val="000000"/>
          <w:sz w:val="24"/>
          <w:szCs w:val="24"/>
          <w:lang w:eastAsia="pt-BR"/>
        </w:rPr>
      </w:pPr>
    </w:p>
    <w:p w14:paraId="5EA1FEE8" w14:textId="77777777" w:rsidR="00E32DCE" w:rsidRPr="00E32DCE" w:rsidRDefault="00E32DCE" w:rsidP="002220E8">
      <w:pPr>
        <w:spacing w:after="0" w:line="360" w:lineRule="auto"/>
        <w:jc w:val="both"/>
        <w:rPr>
          <w:rFonts w:ascii="Times New Roman" w:eastAsia="Calibri" w:hAnsi="Times New Roman" w:cs="Times New Roman"/>
          <w:sz w:val="24"/>
          <w:szCs w:val="24"/>
          <w:lang w:eastAsia="pt-BR"/>
        </w:rPr>
      </w:pPr>
      <w:r w:rsidRPr="00E32DCE">
        <w:rPr>
          <w:rFonts w:ascii="Times New Roman" w:eastAsia="Calibri" w:hAnsi="Times New Roman" w:cs="Times New Roman"/>
          <w:color w:val="000000"/>
          <w:sz w:val="24"/>
          <w:szCs w:val="24"/>
          <w:lang w:eastAsia="pt-BR"/>
        </w:rPr>
        <w:t xml:space="preserve">DUTRA JÚNIOR, José Ailton (2014). </w:t>
      </w:r>
      <w:r w:rsidRPr="00E32DCE">
        <w:rPr>
          <w:rFonts w:ascii="Times New Roman" w:eastAsia="Calibri" w:hAnsi="Times New Roman" w:cs="Times New Roman"/>
          <w:b/>
          <w:bCs/>
          <w:color w:val="000000"/>
          <w:sz w:val="24"/>
          <w:szCs w:val="24"/>
          <w:lang w:eastAsia="pt-BR"/>
        </w:rPr>
        <w:t>O Líbano e o Nacionalismo Árabe (1952-1967)</w:t>
      </w:r>
      <w:r w:rsidRPr="00E32DCE">
        <w:rPr>
          <w:rFonts w:ascii="Times New Roman" w:eastAsia="Calibri" w:hAnsi="Times New Roman" w:cs="Times New Roman"/>
          <w:color w:val="000000"/>
          <w:sz w:val="24"/>
          <w:szCs w:val="24"/>
          <w:lang w:eastAsia="pt-BR"/>
        </w:rPr>
        <w:t xml:space="preserve">: o Nasserismo como projeto para o mundo árabe e o seu impacto no Líbano. 2014. 320 f. Dissertação (Mestrado em História </w:t>
      </w:r>
      <w:proofErr w:type="gramStart"/>
      <w:r w:rsidRPr="00E32DCE">
        <w:rPr>
          <w:rFonts w:ascii="Times New Roman" w:eastAsia="Calibri" w:hAnsi="Times New Roman" w:cs="Times New Roman"/>
          <w:color w:val="000000"/>
          <w:sz w:val="24"/>
          <w:szCs w:val="24"/>
          <w:lang w:eastAsia="pt-BR"/>
        </w:rPr>
        <w:t>Econômica)-</w:t>
      </w:r>
      <w:proofErr w:type="gramEnd"/>
      <w:r w:rsidRPr="00E32DCE">
        <w:rPr>
          <w:rFonts w:ascii="Times New Roman" w:eastAsia="Calibri" w:hAnsi="Times New Roman" w:cs="Times New Roman"/>
          <w:color w:val="000000"/>
          <w:sz w:val="24"/>
          <w:szCs w:val="24"/>
          <w:lang w:eastAsia="pt-BR"/>
        </w:rPr>
        <w:t>Faculdade de Filosofia, Letras e Ciências Humanas, Universidade de São Paulo, São Paulo.</w:t>
      </w:r>
    </w:p>
    <w:p w14:paraId="07BD05FE" w14:textId="77777777" w:rsidR="00E32DCE" w:rsidRPr="00E32DCE" w:rsidRDefault="00E32DCE" w:rsidP="002220E8">
      <w:pPr>
        <w:spacing w:after="0" w:line="360" w:lineRule="auto"/>
        <w:jc w:val="both"/>
        <w:rPr>
          <w:rFonts w:ascii="Times New Roman" w:eastAsia="Calibri" w:hAnsi="Times New Roman" w:cs="Times New Roman"/>
          <w:sz w:val="24"/>
          <w:szCs w:val="24"/>
          <w:lang w:eastAsia="pt-BR"/>
        </w:rPr>
      </w:pPr>
    </w:p>
    <w:p w14:paraId="799B907A" w14:textId="77777777" w:rsidR="00E32DCE" w:rsidRPr="00E32DCE" w:rsidRDefault="00E32DCE" w:rsidP="002220E8">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FISK, Robert (2007). </w:t>
      </w:r>
      <w:r w:rsidRPr="00E32DCE">
        <w:rPr>
          <w:rFonts w:ascii="Times New Roman" w:eastAsia="Calibri" w:hAnsi="Times New Roman" w:cs="Times New Roman"/>
          <w:b/>
          <w:sz w:val="24"/>
          <w:szCs w:val="24"/>
        </w:rPr>
        <w:t xml:space="preserve">Pobre Nação. </w:t>
      </w:r>
      <w:r w:rsidRPr="00E32DCE">
        <w:rPr>
          <w:rFonts w:ascii="Times New Roman" w:eastAsia="Calibri" w:hAnsi="Times New Roman" w:cs="Times New Roman"/>
          <w:sz w:val="24"/>
          <w:szCs w:val="24"/>
        </w:rPr>
        <w:t>Rio de Janeiro: Record.</w:t>
      </w:r>
    </w:p>
    <w:p w14:paraId="600282CB" w14:textId="77777777" w:rsidR="00E32DCE" w:rsidRPr="00E32DCE" w:rsidRDefault="00E32DCE" w:rsidP="002220E8">
      <w:pPr>
        <w:spacing w:after="0" w:line="360" w:lineRule="auto"/>
        <w:ind w:firstLine="709"/>
        <w:jc w:val="both"/>
        <w:rPr>
          <w:rFonts w:ascii="Times New Roman" w:eastAsia="Calibri" w:hAnsi="Times New Roman" w:cs="Times New Roman"/>
          <w:color w:val="000000"/>
          <w:sz w:val="24"/>
          <w:szCs w:val="24"/>
          <w:lang w:eastAsia="pt-BR"/>
        </w:rPr>
      </w:pPr>
    </w:p>
    <w:p w14:paraId="5B6083EE" w14:textId="77777777" w:rsidR="00E32DCE" w:rsidRPr="00E32DCE" w:rsidRDefault="00E32DCE" w:rsidP="002220E8">
      <w:pPr>
        <w:spacing w:after="0" w:line="360" w:lineRule="auto"/>
        <w:jc w:val="both"/>
        <w:rPr>
          <w:rFonts w:ascii="Times New Roman" w:eastAsia="Calibri" w:hAnsi="Times New Roman" w:cs="Times New Roman"/>
          <w:sz w:val="24"/>
          <w:szCs w:val="24"/>
          <w:lang w:eastAsia="pt-BR"/>
        </w:rPr>
      </w:pPr>
      <w:r w:rsidRPr="00E32DCE">
        <w:rPr>
          <w:rFonts w:ascii="Times New Roman" w:eastAsia="Calibri" w:hAnsi="Times New Roman" w:cs="Times New Roman"/>
          <w:color w:val="000000"/>
          <w:sz w:val="24"/>
          <w:szCs w:val="24"/>
          <w:lang w:eastAsia="pt-BR"/>
        </w:rPr>
        <w:t xml:space="preserve">KARAM, Christian da Camino (2010). </w:t>
      </w:r>
      <w:r w:rsidRPr="00E32DCE">
        <w:rPr>
          <w:rFonts w:ascii="Times New Roman" w:eastAsia="Calibri" w:hAnsi="Times New Roman" w:cs="Times New Roman"/>
          <w:b/>
          <w:bCs/>
          <w:color w:val="000000"/>
          <w:sz w:val="24"/>
          <w:szCs w:val="24"/>
          <w:lang w:eastAsia="pt-BR"/>
        </w:rPr>
        <w:t>Da revolução política ao reformismo socioeconômico</w:t>
      </w:r>
      <w:r w:rsidRPr="00E32DCE">
        <w:rPr>
          <w:rFonts w:ascii="Times New Roman" w:eastAsia="Calibri" w:hAnsi="Times New Roman" w:cs="Times New Roman"/>
          <w:color w:val="000000"/>
          <w:sz w:val="24"/>
          <w:szCs w:val="24"/>
          <w:lang w:eastAsia="pt-BR"/>
        </w:rPr>
        <w:t xml:space="preserve">: Hizballah, islamo-nacionalismo e economia de redes no Líbano do pós-guerra civil (1992-2006). 2010. 133 f. Dissertação (Mestrado em História </w:t>
      </w:r>
      <w:proofErr w:type="gramStart"/>
      <w:r w:rsidRPr="00E32DCE">
        <w:rPr>
          <w:rFonts w:ascii="Times New Roman" w:eastAsia="Calibri" w:hAnsi="Times New Roman" w:cs="Times New Roman"/>
          <w:color w:val="000000"/>
          <w:sz w:val="24"/>
          <w:szCs w:val="24"/>
          <w:lang w:eastAsia="pt-BR"/>
        </w:rPr>
        <w:t>Econômica)-</w:t>
      </w:r>
      <w:proofErr w:type="gramEnd"/>
      <w:r w:rsidRPr="00E32DCE">
        <w:rPr>
          <w:rFonts w:ascii="Times New Roman" w:eastAsia="Calibri" w:hAnsi="Times New Roman" w:cs="Times New Roman"/>
          <w:color w:val="000000"/>
          <w:sz w:val="24"/>
          <w:szCs w:val="24"/>
          <w:lang w:eastAsia="pt-BR"/>
        </w:rPr>
        <w:lastRenderedPageBreak/>
        <w:t>Faculdade de Filosofia, Letras e Ciências Humanas, Universidade de São Paulo, São Paulo.</w:t>
      </w:r>
    </w:p>
    <w:p w14:paraId="20B227AA" w14:textId="77777777" w:rsidR="00E32DCE" w:rsidRPr="00E32DCE" w:rsidRDefault="00E32DCE" w:rsidP="002220E8">
      <w:pPr>
        <w:spacing w:after="0" w:line="360" w:lineRule="auto"/>
        <w:jc w:val="both"/>
        <w:rPr>
          <w:rFonts w:ascii="Times New Roman" w:eastAsia="Calibri" w:hAnsi="Times New Roman" w:cs="Times New Roman"/>
          <w:sz w:val="24"/>
          <w:szCs w:val="24"/>
        </w:rPr>
      </w:pPr>
    </w:p>
    <w:p w14:paraId="6DA8754E" w14:textId="77777777" w:rsidR="00E32DCE" w:rsidRPr="00E32DCE" w:rsidRDefault="00E32DCE" w:rsidP="002220E8">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MEIHY, Murilo (2016). </w:t>
      </w:r>
      <w:r w:rsidRPr="00E32DCE">
        <w:rPr>
          <w:rFonts w:ascii="Times New Roman" w:eastAsia="Calibri" w:hAnsi="Times New Roman" w:cs="Times New Roman"/>
          <w:b/>
          <w:sz w:val="24"/>
          <w:szCs w:val="24"/>
        </w:rPr>
        <w:t>Os Libaneses</w:t>
      </w:r>
      <w:r w:rsidRPr="00E32DCE">
        <w:rPr>
          <w:rFonts w:ascii="Times New Roman" w:eastAsia="Calibri" w:hAnsi="Times New Roman" w:cs="Times New Roman"/>
          <w:sz w:val="24"/>
          <w:szCs w:val="24"/>
        </w:rPr>
        <w:t>. São Paulo: Contexto.</w:t>
      </w:r>
    </w:p>
    <w:p w14:paraId="72A9154A" w14:textId="77777777" w:rsidR="00E32DCE" w:rsidRPr="00E32DCE" w:rsidRDefault="00E32DCE" w:rsidP="002220E8">
      <w:pPr>
        <w:spacing w:after="0" w:line="360" w:lineRule="auto"/>
        <w:jc w:val="both"/>
        <w:rPr>
          <w:rFonts w:ascii="Times New Roman" w:eastAsia="Calibri" w:hAnsi="Times New Roman" w:cs="Times New Roman"/>
          <w:sz w:val="24"/>
          <w:szCs w:val="24"/>
        </w:rPr>
      </w:pPr>
    </w:p>
    <w:p w14:paraId="5BA29DB6" w14:textId="77777777" w:rsidR="00E32DCE" w:rsidRPr="00E32DCE" w:rsidRDefault="00E32DCE" w:rsidP="002220E8">
      <w:pPr>
        <w:autoSpaceDE w:val="0"/>
        <w:autoSpaceDN w:val="0"/>
        <w:adjustRightInd w:val="0"/>
        <w:spacing w:after="0" w:line="360" w:lineRule="auto"/>
        <w:rPr>
          <w:rFonts w:ascii="Times New Roman" w:eastAsia="Times New Roman" w:hAnsi="Times New Roman" w:cs="Times New Roman"/>
          <w:sz w:val="24"/>
          <w:szCs w:val="24"/>
          <w:lang w:eastAsia="pt-BR"/>
        </w:rPr>
      </w:pPr>
      <w:r w:rsidRPr="00E32DCE">
        <w:rPr>
          <w:rFonts w:ascii="Times New Roman" w:eastAsia="Times New Roman" w:hAnsi="Times New Roman" w:cs="Times New Roman"/>
          <w:sz w:val="24"/>
          <w:szCs w:val="24"/>
          <w:lang w:eastAsia="pt-BR"/>
        </w:rPr>
        <w:t xml:space="preserve">PINO, Domingo del (1989). </w:t>
      </w:r>
      <w:r w:rsidRPr="00E32DCE">
        <w:rPr>
          <w:rFonts w:ascii="Times New Roman" w:eastAsia="Times New Roman" w:hAnsi="Times New Roman" w:cs="Times New Roman"/>
          <w:b/>
          <w:sz w:val="24"/>
          <w:szCs w:val="24"/>
          <w:lang w:eastAsia="pt-BR"/>
        </w:rPr>
        <w:t>A tragédia no Líbano: retrato de uma Guerra Civil</w:t>
      </w:r>
      <w:r w:rsidRPr="00E32DCE">
        <w:rPr>
          <w:rFonts w:ascii="Times New Roman" w:eastAsia="Times New Roman" w:hAnsi="Times New Roman" w:cs="Times New Roman"/>
          <w:sz w:val="24"/>
          <w:szCs w:val="24"/>
          <w:lang w:eastAsia="pt-BR"/>
        </w:rPr>
        <w:t>. São Paulo: Clube do Livro.</w:t>
      </w:r>
    </w:p>
    <w:p w14:paraId="08892344" w14:textId="77777777" w:rsidR="00E32DCE" w:rsidRPr="00E32DCE" w:rsidRDefault="00E32DCE" w:rsidP="002220E8">
      <w:pPr>
        <w:spacing w:after="0" w:line="360" w:lineRule="auto"/>
        <w:jc w:val="both"/>
        <w:rPr>
          <w:rFonts w:ascii="Times New Roman" w:eastAsia="Calibri" w:hAnsi="Times New Roman" w:cs="Times New Roman"/>
          <w:sz w:val="24"/>
          <w:szCs w:val="24"/>
        </w:rPr>
      </w:pPr>
    </w:p>
    <w:p w14:paraId="101A9A82" w14:textId="77777777" w:rsidR="00E32DCE" w:rsidRPr="00E32DCE" w:rsidRDefault="00E32DCE" w:rsidP="002220E8">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sz w:val="24"/>
          <w:szCs w:val="24"/>
        </w:rPr>
        <w:t xml:space="preserve">ROUQUIÉ, Alain (Org.) (1980). </w:t>
      </w:r>
      <w:r w:rsidRPr="00E32DCE">
        <w:rPr>
          <w:rFonts w:ascii="Times New Roman" w:eastAsia="Calibri" w:hAnsi="Times New Roman" w:cs="Times New Roman"/>
          <w:b/>
          <w:sz w:val="24"/>
          <w:szCs w:val="24"/>
        </w:rPr>
        <w:t xml:space="preserve">Os Partidos Militares no Brasil. </w:t>
      </w:r>
      <w:r w:rsidRPr="00E32DCE">
        <w:rPr>
          <w:rFonts w:ascii="Times New Roman" w:eastAsia="Calibri" w:hAnsi="Times New Roman" w:cs="Times New Roman"/>
          <w:sz w:val="24"/>
          <w:szCs w:val="24"/>
        </w:rPr>
        <w:t>Record.</w:t>
      </w:r>
    </w:p>
    <w:p w14:paraId="67A6268B" w14:textId="77777777" w:rsidR="00E32DCE" w:rsidRPr="00E32DCE" w:rsidRDefault="00E32DCE" w:rsidP="00E32DCE">
      <w:pPr>
        <w:spacing w:after="0" w:line="360" w:lineRule="auto"/>
        <w:jc w:val="both"/>
        <w:rPr>
          <w:rFonts w:ascii="Times New Roman" w:eastAsia="Calibri" w:hAnsi="Times New Roman" w:cs="Times New Roman"/>
          <w:sz w:val="24"/>
          <w:szCs w:val="24"/>
        </w:rPr>
      </w:pPr>
    </w:p>
    <w:p w14:paraId="6C21A0F9" w14:textId="77777777" w:rsidR="00E32DCE" w:rsidRPr="00E32DCE" w:rsidRDefault="00E32DCE" w:rsidP="00E32DCE">
      <w:pPr>
        <w:spacing w:after="0" w:line="360" w:lineRule="auto"/>
        <w:jc w:val="both"/>
        <w:rPr>
          <w:rFonts w:ascii="Times New Roman" w:eastAsia="Calibri" w:hAnsi="Times New Roman" w:cs="Times New Roman"/>
          <w:sz w:val="24"/>
          <w:szCs w:val="24"/>
        </w:rPr>
      </w:pPr>
      <w:r w:rsidRPr="00E32DCE">
        <w:rPr>
          <w:rFonts w:ascii="Times New Roman" w:eastAsia="Calibri" w:hAnsi="Times New Roman" w:cs="Times New Roman"/>
          <w:i/>
          <w:sz w:val="24"/>
          <w:szCs w:val="24"/>
          <w:lang w:val="en-US"/>
        </w:rPr>
        <w:t xml:space="preserve">UNITED NATIONS RELIEF AND WORKS AGENCY FOR PALESTINE REFUGEES. </w:t>
      </w:r>
      <w:r w:rsidRPr="00E32DCE">
        <w:rPr>
          <w:rFonts w:ascii="Times New Roman" w:eastAsia="Calibri" w:hAnsi="Times New Roman" w:cs="Times New Roman"/>
          <w:sz w:val="24"/>
          <w:szCs w:val="24"/>
        </w:rPr>
        <w:t>Disponível em: &lt;https://www.unrwa.org/</w:t>
      </w:r>
      <w:proofErr w:type="gramStart"/>
      <w:r w:rsidRPr="00E32DCE">
        <w:rPr>
          <w:rFonts w:ascii="Times New Roman" w:eastAsia="Calibri" w:hAnsi="Times New Roman" w:cs="Times New Roman"/>
          <w:sz w:val="24"/>
          <w:szCs w:val="24"/>
        </w:rPr>
        <w:t>&gt;  Acesso</w:t>
      </w:r>
      <w:proofErr w:type="gramEnd"/>
      <w:r w:rsidRPr="00E32DCE">
        <w:rPr>
          <w:rFonts w:ascii="Times New Roman" w:eastAsia="Calibri" w:hAnsi="Times New Roman" w:cs="Times New Roman"/>
          <w:sz w:val="24"/>
          <w:szCs w:val="24"/>
        </w:rPr>
        <w:t xml:space="preserve"> em: 15 de Fevereiro de 2019.</w:t>
      </w:r>
    </w:p>
    <w:p w14:paraId="612961AC" w14:textId="77777777" w:rsidR="00E32DCE" w:rsidRPr="00E32DCE" w:rsidRDefault="00E32DCE" w:rsidP="00E32DCE">
      <w:pPr>
        <w:spacing w:after="0" w:line="360" w:lineRule="auto"/>
        <w:jc w:val="both"/>
        <w:rPr>
          <w:rFonts w:ascii="Times New Roman" w:eastAsia="Calibri" w:hAnsi="Times New Roman" w:cs="Times New Roman"/>
          <w:sz w:val="24"/>
          <w:szCs w:val="24"/>
        </w:rPr>
      </w:pPr>
    </w:p>
    <w:p w14:paraId="0B94EF03" w14:textId="77777777" w:rsidR="00E32DCE" w:rsidRPr="00244AE1" w:rsidRDefault="00E32DCE" w:rsidP="00244AE1">
      <w:pPr>
        <w:spacing w:after="0" w:line="360" w:lineRule="auto"/>
        <w:jc w:val="both"/>
        <w:rPr>
          <w:rFonts w:ascii="Times New Roman" w:eastAsia="Times New Roman" w:hAnsi="Times New Roman" w:cs="Times New Roman"/>
          <w:color w:val="000000"/>
          <w:sz w:val="24"/>
          <w:szCs w:val="24"/>
          <w:lang w:eastAsia="pt-BR"/>
        </w:rPr>
      </w:pPr>
    </w:p>
    <w:p w14:paraId="6BA1EC4D" w14:textId="77777777" w:rsidR="00244AE1" w:rsidRPr="00244AE1" w:rsidRDefault="00244AE1" w:rsidP="00244AE1">
      <w:pPr>
        <w:spacing w:after="200" w:line="360" w:lineRule="auto"/>
        <w:rPr>
          <w:rFonts w:ascii="Times New Roman" w:eastAsia="Calibri" w:hAnsi="Times New Roman" w:cs="Times New Roman"/>
          <w:color w:val="000000"/>
          <w:sz w:val="24"/>
          <w:szCs w:val="24"/>
          <w:lang w:eastAsia="pt-BR"/>
        </w:rPr>
      </w:pPr>
    </w:p>
    <w:p w14:paraId="3DF3383D" w14:textId="77777777" w:rsidR="00244AE1" w:rsidRDefault="00244AE1" w:rsidP="00244AE1">
      <w:pPr>
        <w:spacing w:after="200" w:line="360" w:lineRule="auto"/>
        <w:ind w:right="-1"/>
        <w:jc w:val="both"/>
        <w:rPr>
          <w:rFonts w:ascii="Times New Roman" w:eastAsia="Times New Roman" w:hAnsi="Times New Roman" w:cs="Times New Roman"/>
          <w:sz w:val="24"/>
          <w:szCs w:val="24"/>
        </w:rPr>
      </w:pPr>
    </w:p>
    <w:p w14:paraId="36C15626"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3212CF6A"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16ABE6A8"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5BBC8A01"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6B07336F"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0E4D18D2"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3EBDEE8E"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17759541"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14EBA606" w14:textId="77777777" w:rsidR="00447EBC" w:rsidRDefault="00447EBC" w:rsidP="00244AE1">
      <w:pPr>
        <w:spacing w:after="200" w:line="360" w:lineRule="auto"/>
        <w:ind w:right="-1"/>
        <w:jc w:val="both"/>
        <w:rPr>
          <w:rFonts w:ascii="Times New Roman" w:eastAsia="Times New Roman" w:hAnsi="Times New Roman" w:cs="Times New Roman"/>
          <w:sz w:val="24"/>
          <w:szCs w:val="24"/>
        </w:rPr>
      </w:pPr>
    </w:p>
    <w:p w14:paraId="2815C8AE" w14:textId="77777777" w:rsidR="002220E8" w:rsidRDefault="002220E8" w:rsidP="002220E8">
      <w:pPr>
        <w:spacing w:after="200" w:line="360" w:lineRule="auto"/>
        <w:rPr>
          <w:rFonts w:ascii="Times New Roman" w:eastAsia="Times New Roman" w:hAnsi="Times New Roman" w:cs="Times New Roman"/>
          <w:sz w:val="24"/>
          <w:szCs w:val="24"/>
        </w:rPr>
      </w:pPr>
    </w:p>
    <w:p w14:paraId="7D81C870" w14:textId="7300828E" w:rsidR="00E32DCE" w:rsidRDefault="00244AE1" w:rsidP="002220E8">
      <w:pPr>
        <w:spacing w:after="200" w:line="360" w:lineRule="auto"/>
        <w:jc w:val="center"/>
        <w:rPr>
          <w:rFonts w:ascii="Times New Roman" w:eastAsia="Calibri" w:hAnsi="Times New Roman" w:cs="Times New Roman"/>
          <w:b/>
          <w:sz w:val="24"/>
          <w:szCs w:val="24"/>
        </w:rPr>
      </w:pPr>
      <w:r w:rsidRPr="00244AE1">
        <w:rPr>
          <w:rFonts w:ascii="Times New Roman" w:eastAsia="Calibri" w:hAnsi="Times New Roman" w:cs="Times New Roman"/>
          <w:b/>
          <w:sz w:val="24"/>
          <w:szCs w:val="24"/>
        </w:rPr>
        <w:lastRenderedPageBreak/>
        <w:t>ENTREVISTA 2º EDIÇÃO REL</w:t>
      </w:r>
    </w:p>
    <w:p w14:paraId="76F366C5" w14:textId="77777777" w:rsidR="00325888" w:rsidRPr="00234FAD" w:rsidRDefault="00325888" w:rsidP="00234FAD">
      <w:pPr>
        <w:spacing w:after="200" w:line="360" w:lineRule="auto"/>
        <w:ind w:firstLine="708"/>
        <w:jc w:val="both"/>
        <w:rPr>
          <w:rFonts w:ascii="Times New Roman" w:eastAsia="Times New Roman" w:hAnsi="Times New Roman" w:cs="Times New Roman"/>
          <w:sz w:val="24"/>
          <w:szCs w:val="24"/>
          <w:lang w:eastAsia="pt-BR"/>
        </w:rPr>
      </w:pPr>
      <w:r w:rsidRPr="00325888">
        <w:rPr>
          <w:rFonts w:ascii="Times New Roman" w:eastAsia="Times New Roman" w:hAnsi="Times New Roman" w:cs="Times New Roman"/>
          <w:color w:val="111111"/>
          <w:sz w:val="24"/>
          <w:szCs w:val="24"/>
          <w:shd w:val="clear" w:color="auto" w:fill="FFFFFF"/>
          <w:lang w:eastAsia="pt-BR"/>
        </w:rPr>
        <w:t xml:space="preserve">O objetivo desta seção é trazer intelectuais e/ou militantes libertários para comentar assuntos de interesse social. Nesse segundo semestre de 2019, importantes assuntos políticos não faltaram. O novo (velho) governo brasileiro interveio em institutos federais, colocando interventores, cortou bolsas de estudos, fez contingenciamento de verba para educação. Testemunhamos </w:t>
      </w:r>
      <w:r w:rsidRPr="00325888">
        <w:rPr>
          <w:rFonts w:ascii="Times New Roman" w:eastAsia="Times New Roman" w:hAnsi="Times New Roman" w:cs="Times New Roman"/>
          <w:color w:val="000000"/>
          <w:sz w:val="24"/>
          <w:szCs w:val="24"/>
          <w:lang w:eastAsia="pt-BR"/>
        </w:rPr>
        <w:t xml:space="preserve">uma grande mobilização internacional devido a escalada da degradação ambiental no Brasil. Na </w:t>
      </w:r>
      <w:r w:rsidRPr="00325888">
        <w:rPr>
          <w:rFonts w:ascii="Times New Roman" w:eastAsia="Times New Roman" w:hAnsi="Times New Roman" w:cs="Times New Roman"/>
          <w:color w:val="111111"/>
          <w:sz w:val="24"/>
          <w:szCs w:val="24"/>
          <w:shd w:val="clear" w:color="auto" w:fill="FFFFFF"/>
          <w:lang w:eastAsia="pt-BR"/>
        </w:rPr>
        <w:t xml:space="preserve">América Latina, em especial, no Chile, Equador, Haiti pipocaram movimentos e protestos sociais. </w:t>
      </w:r>
      <w:r w:rsidRPr="00325888">
        <w:rPr>
          <w:rFonts w:ascii="Times New Roman" w:eastAsia="Times New Roman" w:hAnsi="Times New Roman" w:cs="Times New Roman"/>
          <w:color w:val="000000"/>
          <w:sz w:val="24"/>
          <w:szCs w:val="24"/>
          <w:lang w:eastAsia="pt-BR"/>
        </w:rPr>
        <w:t xml:space="preserve">Em meio a tudo isso, percebemos a ascensão de grupos proto-fascistas em outros países. </w:t>
      </w:r>
      <w:r w:rsidRPr="00325888">
        <w:rPr>
          <w:rFonts w:ascii="Times New Roman" w:eastAsia="Times New Roman" w:hAnsi="Times New Roman" w:cs="Times New Roman"/>
          <w:color w:val="111111"/>
          <w:sz w:val="24"/>
          <w:szCs w:val="24"/>
          <w:shd w:val="clear" w:color="auto" w:fill="FFFFFF"/>
          <w:lang w:eastAsia="pt-BR"/>
        </w:rPr>
        <w:t>O prof. Rômulo Castro, a partir da lente teórica anarquista revolucionária nos presenteou com suas análises acerca dos assuntos supracitados. Vale a pena ler abaixo.</w:t>
      </w:r>
    </w:p>
    <w:p w14:paraId="72BA9DF5"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observado com indignação as nomeações em diferentes Universidades/Institutos federais de interventores que não foram escolhidos pela comunidade. Pior, alguns deles nem sequer pertencem à comunidade que se propõe a gerir. Gostaríamos de saber sua opinião a respeito, principalmente sobre a mobilização e ações diretas. </w:t>
      </w:r>
    </w:p>
    <w:p w14:paraId="7C4AACB9"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O atual governo tem como objetivo a destruição da educação pública estatal. Acredito que haja dois componentes para isso: 1) um de ordem político e outro 2) de ordem econômica. Do ponto de vista político, o atual governo e ministério identificam no setor estatal da educação um centro de luta política, na visão dele de difusão do que eles chamam de “marxismo cultural”. Podemos entender isso como uma espécie de alucinação, mas também é fato que o setor da educação foi um dos que mais tiveram atuação política nas últimas décadas mediante o desmonte de outras categorias de trabalhadores. Não podemos esquecer, por exemplo, as greves recentes e as ocupações de escola. Sem contar que umas das maiores categorias na base da CUT são de trabalhadores da educação. Do ponto de vista econômico, está claro a intenção de um modelo privatista e de entrega do setor para grandes grupos econômicos que foram extremamente beneficiados no governo PT. Em termos de mobilizações, apesar </w:t>
      </w:r>
      <w:proofErr w:type="gramStart"/>
      <w:r w:rsidRPr="00244AE1">
        <w:rPr>
          <w:rFonts w:ascii="Times New Roman" w:eastAsia="Calibri" w:hAnsi="Times New Roman" w:cs="Times New Roman"/>
          <w:sz w:val="24"/>
          <w:szCs w:val="24"/>
        </w:rPr>
        <w:t>de  termos</w:t>
      </w:r>
      <w:proofErr w:type="gramEnd"/>
      <w:r w:rsidRPr="00244AE1">
        <w:rPr>
          <w:rFonts w:ascii="Times New Roman" w:eastAsia="Calibri" w:hAnsi="Times New Roman" w:cs="Times New Roman"/>
          <w:sz w:val="24"/>
          <w:szCs w:val="24"/>
        </w:rPr>
        <w:t xml:space="preserve"> conseguido uma boa mobilização nas primeiras semanas, ainda precisamos avançar muito numa experiência sindical e de movimento social com base na ação direta. </w:t>
      </w:r>
      <w:r w:rsidRPr="00244AE1">
        <w:rPr>
          <w:rFonts w:ascii="Times New Roman" w:eastAsia="Calibri" w:hAnsi="Times New Roman" w:cs="Times New Roman"/>
          <w:sz w:val="24"/>
          <w:szCs w:val="24"/>
        </w:rPr>
        <w:lastRenderedPageBreak/>
        <w:t xml:space="preserve">Ou seja, na criação de um saber político sindical revolucionário. Além de experiência política e sindical com base no estatismo e na socialdemocracia, ainda temos a pequena política de disputa de ocupações de cargos que mobiliza boa parte dos trabalhadores destas instituições. </w:t>
      </w:r>
    </w:p>
    <w:p w14:paraId="57D124A0"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Desde o início do ano temos visto ameaças constantes aos recursos destinados à educação. Como você observa o contingenciamento de despesas na área e os cortes das bolsas de estudos? </w:t>
      </w:r>
    </w:p>
    <w:p w14:paraId="0D76EBDD"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O contingenciamento de recursos para educação e bolsas de estudos está de acordo com a política de austeridade que vem sendo implantada no Brasil desde 2015 e que passou pela aprovação da medida no governo Temer de contenção de recursos públicos por 20 anos. Neste sentido, o corte afeta primeiro estudantes e trabalhadoras e trabalhadores mais precarizados, neste caso, principalmente, mulheres negras. O corte em bolsas afeta na graduação e mesmo no ensino médio estudantes que dependem desse recurso para sobreviver. Do mesmo modo as bolsas de pesquisa nos programas de pós-graduação que acabam funcionado como fonte de renda, em muitos casos uma renda maior que salário na rede pública e privada de ensino. Já em curto prazo temos uma gradual queda na qualidade e por outro lado a possibilidade de uma saída de trabalhadores qualificados que vão buscar empregos e uma condição de vida de melhor em outros países. </w:t>
      </w:r>
    </w:p>
    <w:p w14:paraId="264339AE"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Como você tem interpretado esse momento político brasileiro? Quais contribuições podemos salientar a partir das perspectivas anarquistas e libertarias? </w:t>
      </w:r>
    </w:p>
    <w:p w14:paraId="7C088B1E"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A vitória da chapa Bolsonaro-Mourão (PSL/PRTB) significa o avanço do militarismo, do teologismo e do ultraliberalismo na estrutura de poder do Governo Federal. É um governo de contrainsurgência, e as últimas falas dos membros da “familícia” demonstram isso. O período entre 2013-2017 a luta de classes no Brasil viveu um período de acirramento com o desenvolvimento de lutas autônomas e da ação direta do povo que questionaram tanto o pacto de conciliação de classes petista, quanto o próprio sistema de dominação. Apesar de o governo Dilma ter aumentado a pressão e ampliado a agenda neoliberal, a alternativa burguesa foi o recrudescimento do regime com o </w:t>
      </w:r>
      <w:r w:rsidRPr="00244AE1">
        <w:rPr>
          <w:rFonts w:ascii="Times New Roman" w:eastAsia="Calibri" w:hAnsi="Times New Roman" w:cs="Times New Roman"/>
          <w:i/>
          <w:iCs/>
          <w:sz w:val="24"/>
          <w:szCs w:val="24"/>
        </w:rPr>
        <w:t>impeachment</w:t>
      </w:r>
      <w:r w:rsidRPr="00244AE1">
        <w:rPr>
          <w:rFonts w:ascii="Times New Roman" w:eastAsia="Calibri" w:hAnsi="Times New Roman" w:cs="Times New Roman"/>
          <w:sz w:val="24"/>
          <w:szCs w:val="24"/>
        </w:rPr>
        <w:t xml:space="preserve"> e a ascensão do atual MDB ao comando do governo federal, enquanto </w:t>
      </w:r>
      <w:r w:rsidRPr="00244AE1">
        <w:rPr>
          <w:rFonts w:ascii="Times New Roman" w:eastAsia="Calibri" w:hAnsi="Times New Roman" w:cs="Times New Roman"/>
          <w:sz w:val="24"/>
          <w:szCs w:val="24"/>
        </w:rPr>
        <w:lastRenderedPageBreak/>
        <w:t xml:space="preserve">medida de </w:t>
      </w:r>
      <w:r w:rsidRPr="00244AE1">
        <w:rPr>
          <w:rFonts w:ascii="Times New Roman" w:eastAsia="Calibri" w:hAnsi="Times New Roman" w:cs="Times New Roman"/>
          <w:b/>
          <w:i/>
          <w:sz w:val="24"/>
          <w:szCs w:val="24"/>
        </w:rPr>
        <w:t>contrainsurgência.</w:t>
      </w:r>
      <w:r w:rsidRPr="00244AE1">
        <w:rPr>
          <w:rFonts w:ascii="Times New Roman" w:eastAsia="Calibri" w:hAnsi="Times New Roman" w:cs="Times New Roman"/>
          <w:sz w:val="24"/>
          <w:szCs w:val="24"/>
        </w:rPr>
        <w:t xml:space="preserve"> Já no governo Temer uma série de militares foram alçados a estrutura de poder.  </w:t>
      </w:r>
      <w:r w:rsidRPr="00244AE1">
        <w:rPr>
          <w:rFonts w:ascii="Times New Roman" w:eastAsia="Calibri" w:hAnsi="Times New Roman" w:cs="Times New Roman"/>
          <w:color w:val="000000"/>
          <w:sz w:val="24"/>
          <w:szCs w:val="24"/>
        </w:rPr>
        <w:t>É preciso dizer que as forças políticas do PT ao PSTU, passando por PCdoB e PSOL, preferiram combater a insurreição e defender as instituições do que apostar na mobilização popular e suas demandas. Preferiram fortalecer o lado da ordem, da autoridade, do que do lado da insurreição, da liberdade, da anarquia.</w:t>
      </w:r>
      <w:r w:rsidRPr="00244AE1">
        <w:rPr>
          <w:rFonts w:ascii="Times New Roman" w:eastAsia="Calibri" w:hAnsi="Times New Roman" w:cs="Times New Roman"/>
          <w:sz w:val="24"/>
          <w:szCs w:val="24"/>
        </w:rPr>
        <w:t xml:space="preserve"> A Burguesia dobrou aposta numa política de austeridade, neoliberal e antipovo. Inicialmente a partir dos latifundiários, usineiros, setores do comércio e serviços (Havan, Centauro, Riachuelo, Localiza, Coco Bambu), e o apoio indireto da Fundação Lemann (quem tem projeto de formação de lideranças políticas).  Mas já no segundo turno contou com o apoio de setores orgânicos do empresariado representados pela Associação Brasileira da Indústria Química (Abiquim), Associação Brasileira de Máquinas e Equipamentos (Abimaq), Associação de Comércio Exterior do Brasil (AEB), Associação Nacional de Fabricantes de Veículos Automotores (Anfavea), Associação Brasileira da Indústria Têxtil e de Confecção (Abit), Câmara Brasileira da Indústria da Construção (CBIC), e pelo Instituto Aço Brasil. Trata-se do apoio à agenda ultraliberal liderada por Paulo Guedes. Todos setores que apoiavam o PT e chegaram a participar de mobilizações conjuntas com a CUT. A possibilidade de fechamento do regime, de uma perseguição mais sistemática mesmo a setores legalistas do movimento social, não deve ser descartada. A contribuição anarquista e libertárias passa por estar preparado para uma nova insurreição bem como resistir a tempos de maior repressão e de uma escalada fascista. Não ser sectário, mas também não ceder a gritos de unidade com base em conciliação de classe. Para isso é preciso se organizar e ser uma referência de auto-organização de massa para o conjunto da classe, principalmente da juventude negra e das mulheres que possuem as piores condições de vida e trabalho. Temos que pensar não só o durante a insurreição, mas também os dias que se seguem e estar cada vez mais preparados para esses dias. </w:t>
      </w:r>
    </w:p>
    <w:p w14:paraId="6ECE05F7"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observado nos últimos anos a ascensão de grupos proto-fascistas em diversos países. Como você observa o panorama político mundial contemporâneo? </w:t>
      </w:r>
    </w:p>
    <w:p w14:paraId="70C7CF89"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6459A8">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No geral temos um desgaste da chamada democracia liberal, ou melhor, da plutocracia.  A concentração de riqueza e poder cada vez maior tem gerado enormes descontentamentos. Os grupos proto-fascistas e suas legendas têm tentado capitalizar essa situação, diante de um quadro recessivo econômico e das guerras </w:t>
      </w:r>
      <w:r w:rsidRPr="00244AE1">
        <w:rPr>
          <w:rFonts w:ascii="Times New Roman" w:eastAsia="Calibri" w:hAnsi="Times New Roman" w:cs="Times New Roman"/>
          <w:sz w:val="24"/>
          <w:szCs w:val="24"/>
        </w:rPr>
        <w:lastRenderedPageBreak/>
        <w:t xml:space="preserve">promovidas pelo imperialismo que provocam enormes deslocamento de populações para Europa e EUA, dentro de um quadro econômico de falta de emprego e subemprego. Tivemos então a desestruturação de vários grupos de trabalhadores e de todo um modo de vida e por outro lado a piora nas condições de vida dos jovens. Por outro lado, os partidos socialistas e comunistas, em geral tem apostado na defesa da ordem, na institucionalidade, na moderação política. Do ponto de vista internacional, temos as disputas imperialistas que vemos no conflito sino-americano e mesmo na guerra da Síria com os curdos tendo que se movimentar dentro do conflito geopolítico global entre Rússia e EUA e das questões regionais com apoio de russos e americanos ao governo neootamano neoliberal de Erdogan na Turquia. </w:t>
      </w:r>
      <w:r w:rsidRPr="00244AE1">
        <w:rPr>
          <w:rFonts w:ascii="Times New Roman" w:eastAsia="Calibri" w:hAnsi="Times New Roman" w:cs="Times New Roman"/>
          <w:color w:val="000000"/>
          <w:sz w:val="24"/>
          <w:szCs w:val="24"/>
          <w:lang w:val="pt-PT"/>
        </w:rPr>
        <w:t xml:space="preserve">Portanto, temos elementos suficientes para considerar que o capital imperialista lança mão dos governos de extrema direita/proto-fascistas para avançar sobre os direitos e os recursos dos povos. </w:t>
      </w:r>
    </w:p>
    <w:p w14:paraId="3C71AFE2"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Quais soluções podemos vislumbrar? Alguma crença dentro do campo institucional? E fora dele? É possível algum tipo de articulação? Onde os governados estão mais avançados neste processo de resistência?</w:t>
      </w:r>
    </w:p>
    <w:p w14:paraId="70754757"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A solução demandará tempo e dedicação. Reconstruir o Sindicalismo Revolucionário e suas experiências de ação direta e mutualidade é urgente. Dentro do campo institucional não teremos avanço para uma sociedade socialista. Só conciliação. Do ponto de vista das resistências pontuais é possível articulação, mas a reforma da previdência e trabalhista já demonstrou que nem isso tem sido possível pelo grau de degeneração e assimilação a ordem das principais forças políticas nacionais. A incorporação da CUT na edificação do poder de Estado durante o governo Lula levou a central diretamente para o desenvolvimento de um modelo social-democrata dentro de uma estrutura social e de classes numa conjuntura histórica do sistema mundo contrarrevolucionária, que legou a formação de sistema cognitivo e de saber político-sindical particular. Um saber político-sindical conciliador, de manutenção da ordem vigente. Ao passo que precisamos construir um saber político-sindical insurgente.  A meu ver temos duas grandes experiências de resistência que deve nos servir de referência: 1) os zapatistas e as comunidades indígenas no sul do México e 2) o PKK, os curdos e os povos </w:t>
      </w:r>
      <w:proofErr w:type="gramStart"/>
      <w:r w:rsidRPr="00244AE1">
        <w:rPr>
          <w:rFonts w:ascii="Times New Roman" w:eastAsia="Calibri" w:hAnsi="Times New Roman" w:cs="Times New Roman"/>
          <w:sz w:val="24"/>
          <w:szCs w:val="24"/>
        </w:rPr>
        <w:t>de Rojava</w:t>
      </w:r>
      <w:proofErr w:type="gramEnd"/>
      <w:r w:rsidRPr="00244AE1">
        <w:rPr>
          <w:rFonts w:ascii="Times New Roman" w:eastAsia="Calibri" w:hAnsi="Times New Roman" w:cs="Times New Roman"/>
          <w:sz w:val="24"/>
          <w:szCs w:val="24"/>
        </w:rPr>
        <w:t xml:space="preserve">. </w:t>
      </w:r>
    </w:p>
    <w:p w14:paraId="5E3ED76E"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lastRenderedPageBreak/>
        <w:t>REL:</w:t>
      </w:r>
      <w:r w:rsidRPr="00244AE1">
        <w:rPr>
          <w:rFonts w:ascii="Times New Roman" w:eastAsia="Calibri" w:hAnsi="Times New Roman" w:cs="Times New Roman"/>
          <w:sz w:val="24"/>
          <w:szCs w:val="24"/>
        </w:rPr>
        <w:t xml:space="preserve"> Os partidos de esquerda (PT e seus aliados) ocuparam o poder no Brasil por mais de uma década sendo excluídos por um golpe/manobra institucional. É possível atribuir, em algum aspecto, uma responsabilização ao petismo e seus apoiadores pela emergência da extrema direita que culminou na ascensão de Jair Bolsonaro ao poder?</w:t>
      </w:r>
    </w:p>
    <w:p w14:paraId="2BDB767F" w14:textId="77777777" w:rsidR="00244AE1" w:rsidRPr="00244AE1" w:rsidRDefault="00244AE1" w:rsidP="00244AE1">
      <w:pPr>
        <w:spacing w:after="200" w:line="360" w:lineRule="auto"/>
        <w:jc w:val="both"/>
        <w:rPr>
          <w:rFonts w:ascii="Times New Roman" w:eastAsia="Calibri" w:hAnsi="Times New Roman" w:cs="Times New Roman"/>
          <w:color w:val="000000"/>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w:t>
      </w:r>
      <w:r w:rsidRPr="00244AE1">
        <w:rPr>
          <w:rFonts w:ascii="Times New Roman" w:eastAsia="Calibri" w:hAnsi="Times New Roman" w:cs="Times New Roman"/>
          <w:color w:val="000000"/>
          <w:sz w:val="24"/>
          <w:szCs w:val="24"/>
        </w:rPr>
        <w:t xml:space="preserve">Com certeza. O petismo e seus aliados querem jogar no colo dos insurretos de 2013 o golpe que sofreram em 2016. Mas é fundamental lembrar que o projeto de conciliação de classes petistas assumiu a forma histórica da capitulação e, consequente, degeneração da social-democracia no Brasil pós política da anistia sob tutela militar. Esse é o processo de capitulação e degeneração, resultante da dialética de assimilação à ordem burguesa de organizações políticas de origem popular, sindical e estudantil, ou seja, a supremacia do </w:t>
      </w:r>
      <w:r w:rsidRPr="00244AE1">
        <w:rPr>
          <w:rFonts w:ascii="Times New Roman" w:eastAsia="Calibri" w:hAnsi="Times New Roman" w:cs="Times New Roman"/>
          <w:i/>
          <w:iCs/>
          <w:color w:val="000000"/>
          <w:sz w:val="24"/>
          <w:szCs w:val="24"/>
        </w:rPr>
        <w:t xml:space="preserve">sistema da autoridade </w:t>
      </w:r>
      <w:r w:rsidRPr="00244AE1">
        <w:rPr>
          <w:rFonts w:ascii="Times New Roman" w:eastAsia="Calibri" w:hAnsi="Times New Roman" w:cs="Times New Roman"/>
          <w:color w:val="000000"/>
          <w:sz w:val="24"/>
          <w:szCs w:val="24"/>
        </w:rPr>
        <w:t xml:space="preserve">sobre o </w:t>
      </w:r>
      <w:r w:rsidRPr="00244AE1">
        <w:rPr>
          <w:rFonts w:ascii="Times New Roman" w:eastAsia="Calibri" w:hAnsi="Times New Roman" w:cs="Times New Roman"/>
          <w:i/>
          <w:iCs/>
          <w:color w:val="000000"/>
          <w:sz w:val="24"/>
          <w:szCs w:val="24"/>
        </w:rPr>
        <w:t>sistema da liberdade</w:t>
      </w:r>
      <w:r w:rsidRPr="00244AE1">
        <w:rPr>
          <w:rFonts w:ascii="Times New Roman" w:eastAsia="Calibri" w:hAnsi="Times New Roman" w:cs="Times New Roman"/>
          <w:color w:val="000000"/>
          <w:sz w:val="24"/>
          <w:szCs w:val="24"/>
        </w:rPr>
        <w:t xml:space="preserve">. Em outras palavras, </w:t>
      </w:r>
      <w:r w:rsidRPr="00244AE1">
        <w:rPr>
          <w:rFonts w:ascii="Times New Roman" w:eastAsia="Calibri" w:hAnsi="Times New Roman" w:cs="Times New Roman"/>
          <w:i/>
          <w:iCs/>
          <w:color w:val="000000"/>
          <w:sz w:val="24"/>
          <w:szCs w:val="24"/>
        </w:rPr>
        <w:t>as forças populares que assumiram a forma de movimentos de massa contra a Ditadura Empresarial-Militar, foram convertidas em forças comprometidas com a ordem burguesa, resultado da estratégia da via eleitoral para a conquista do poder</w:t>
      </w:r>
      <w:r w:rsidRPr="00244AE1">
        <w:rPr>
          <w:rFonts w:ascii="Times New Roman" w:eastAsia="Calibri" w:hAnsi="Times New Roman" w:cs="Times New Roman"/>
          <w:color w:val="000000"/>
          <w:sz w:val="24"/>
          <w:szCs w:val="24"/>
        </w:rPr>
        <w:t xml:space="preserve">. Isso é muito evidente quando da insurreição de 2013. Trata-se de um aspecto que se deve levar em consideração e é de determinante, não significa que seja a única determinação. Mas PT e seus aparato sindical, a CUT, forjaram aliança com o empresariado e com setores conservadores e reacionários da sociedade. Ajudaram </w:t>
      </w:r>
      <w:proofErr w:type="gramStart"/>
      <w:r w:rsidRPr="00244AE1">
        <w:rPr>
          <w:rFonts w:ascii="Times New Roman" w:eastAsia="Calibri" w:hAnsi="Times New Roman" w:cs="Times New Roman"/>
          <w:color w:val="000000"/>
          <w:sz w:val="24"/>
          <w:szCs w:val="24"/>
        </w:rPr>
        <w:t>no  fortalecimento</w:t>
      </w:r>
      <w:proofErr w:type="gramEnd"/>
      <w:r w:rsidRPr="00244AE1">
        <w:rPr>
          <w:rFonts w:ascii="Times New Roman" w:eastAsia="Calibri" w:hAnsi="Times New Roman" w:cs="Times New Roman"/>
          <w:color w:val="000000"/>
          <w:sz w:val="24"/>
          <w:szCs w:val="24"/>
        </w:rPr>
        <w:t xml:space="preserve"> dos militares e na ampliação da aliança com setores conservadores e reacionários da sociedade. Se dedicaram a fornecer elementos para políticas públicas estatais. E tudo isso articulando amplo setor conservador, como de igrejas, passando por militares e por espectro da burguesia. </w:t>
      </w:r>
    </w:p>
    <w:p w14:paraId="1D5DB051"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244AE1">
        <w:rPr>
          <w:rFonts w:ascii="Times New Roman" w:eastAsia="Calibri" w:hAnsi="Times New Roman" w:cs="Times New Roman"/>
          <w:sz w:val="24"/>
          <w:szCs w:val="24"/>
        </w:rPr>
        <w:t xml:space="preserve"> Temos acompanhado nos noticiários uma grande mobilização Internacional devido a escalada da degradação ambiental no Brasil. Como o anarquismo observa essa questão e de que forma isso pode representar algum tipo de ameaça, interna ou externa para o atual governo?</w:t>
      </w:r>
    </w:p>
    <w:p w14:paraId="2E41E686" w14:textId="77777777" w:rsidR="00244AE1" w:rsidRPr="00244AE1"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244AE1">
        <w:rPr>
          <w:rFonts w:ascii="Times New Roman" w:eastAsia="Calibri" w:hAnsi="Times New Roman" w:cs="Times New Roman"/>
          <w:sz w:val="24"/>
          <w:szCs w:val="24"/>
        </w:rPr>
        <w:t xml:space="preserve">: Essa deve ser uma questão central para o anarquismo. Teoricamente não temos o peso do industrialismo e suas vertentes. Assim, devemos rechaçar duas de suas principais ideias: 1) de uma tecnologia por si só salvadora e redentora esteja no próprio capitalismo para uma sociedade sem classes; 2) que o capital </w:t>
      </w:r>
      <w:r w:rsidRPr="00244AE1">
        <w:rPr>
          <w:rFonts w:ascii="Times New Roman" w:eastAsia="Calibri" w:hAnsi="Times New Roman" w:cs="Times New Roman"/>
          <w:sz w:val="24"/>
          <w:szCs w:val="24"/>
        </w:rPr>
        <w:lastRenderedPageBreak/>
        <w:t xml:space="preserve">pode ser um regenerador e que através de um estado possa redistribuir a base coletiva do trabalho produzida pelo próprio desenvolvimento do capital. Dito isso, a luta por terra e liberdade e contra a exploração deve ser central. A agência da luta ambiental está nos próprios sujeitos para a mudança radical da condição e situação de vida. Não é por acaso que mesmo o PT no governo, e agora o governo do PCdoB de Flavio Dino no Maranhão, ataquem frontalmente as populações camponesas e suas frações étnicas. Neste sentido, o anarquismo pode ser uma referência para os povos que tem resistindo a degradação ambiental e afetado sua condição de vida. No Brasil os casos mais emblemáticos são de comunidades ribeirinhas, quilombolas e povos indígenas.  Essa resistência é fundamental para qualquer possibilidade revolucionária no Brasil e de aliança internacionalista com trabalhadoras e trabalhadores de outros países para expandir uma luta contra o capitalismo que destrói outros modos de vida e agora ameaça nossa própria existência. Do ponto de vista das disputas imperialistas, não acho que vá ter alguma intervenção político-militar na Amazônia, uma vez que esses capitais já usufruem de todas as possibilidades de exploração por aqui. Do ponto de vista das pressões econômicas pode afetar uma importante base de apoio, o chamado agronegócio, que precisa fingir que tem responsabilidade ambiental e ao mesmo tempo ter um controle mínimo e deixar que os órgãos ligados a questão ambiental minimamente tenham algum tipo de atuação e controle. Mas não vejo que haverá alguma mudança na linha de política ambiental do atual governo. </w:t>
      </w:r>
    </w:p>
    <w:p w14:paraId="31356704" w14:textId="77777777" w:rsidR="00244AE1" w:rsidRPr="00E6630C"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REL</w:t>
      </w:r>
      <w:r w:rsidRPr="00E6630C">
        <w:rPr>
          <w:rFonts w:ascii="Times New Roman" w:eastAsia="Calibri" w:hAnsi="Times New Roman" w:cs="Times New Roman"/>
          <w:sz w:val="24"/>
          <w:szCs w:val="24"/>
        </w:rPr>
        <w:t>: Nas últimas semanas aconteceram diversos protestos pelo mundo. Na América Latina destacaram-se os casos do Equador, do Chile e do Haiti. A partir de uma perspectiva libertária, como é possível analisar esses protestos? Qual a sua opinião a respeito?</w:t>
      </w:r>
    </w:p>
    <w:p w14:paraId="68BDD11A" w14:textId="77777777" w:rsidR="00447EBC" w:rsidRDefault="00244AE1" w:rsidP="00244AE1">
      <w:pPr>
        <w:spacing w:after="200" w:line="360" w:lineRule="auto"/>
        <w:jc w:val="both"/>
        <w:rPr>
          <w:rFonts w:ascii="Times New Roman" w:eastAsia="Calibri" w:hAnsi="Times New Roman" w:cs="Times New Roman"/>
          <w:sz w:val="24"/>
          <w:szCs w:val="24"/>
        </w:rPr>
      </w:pPr>
      <w:r w:rsidRPr="00776F16">
        <w:rPr>
          <w:rFonts w:ascii="Times New Roman" w:eastAsia="Calibri" w:hAnsi="Times New Roman" w:cs="Times New Roman"/>
          <w:b/>
          <w:bCs/>
          <w:sz w:val="24"/>
          <w:szCs w:val="24"/>
        </w:rPr>
        <w:t>Prof. Rômulo Castro</w:t>
      </w:r>
      <w:r w:rsidRPr="00E6630C">
        <w:rPr>
          <w:rFonts w:ascii="Times New Roman" w:eastAsia="Calibri" w:hAnsi="Times New Roman" w:cs="Times New Roman"/>
          <w:sz w:val="24"/>
          <w:szCs w:val="24"/>
        </w:rPr>
        <w:t xml:space="preserve">: Acredito que podemos ver o início de um novo ciclo de lutas dentro de um contexto internacional marcado pelo fim da estabilidade política das autocracias da Líbia, Síria, Egito e Iraque promovida pelo ataque imperialista dos EUA e da União Europeia. Tal situação é fortemente marcada por guerras que se arrastam a mais de uma década, como no Afeganistão. Dentro disso, temos as disputas entre EUA e o eixo sino-russo. Os russos com seu protagonismo político, principalmente no caso Sírio, e a China como um dos centros da economia mundo capitalista e contínua ascensão e conflito </w:t>
      </w:r>
      <w:r w:rsidRPr="00E6630C">
        <w:rPr>
          <w:rFonts w:ascii="Times New Roman" w:eastAsia="Calibri" w:hAnsi="Times New Roman" w:cs="Times New Roman"/>
          <w:sz w:val="24"/>
          <w:szCs w:val="24"/>
        </w:rPr>
        <w:lastRenderedPageBreak/>
        <w:t>com os EUA. Temos no caso do Chile o esgotamento do modelo Neoliberal, o laboratório de</w:t>
      </w:r>
      <w:r w:rsidR="00776F16">
        <w:rPr>
          <w:rFonts w:ascii="Times New Roman" w:eastAsia="Calibri" w:hAnsi="Times New Roman" w:cs="Times New Roman"/>
          <w:sz w:val="24"/>
          <w:szCs w:val="24"/>
        </w:rPr>
        <w:t xml:space="preserve"> </w:t>
      </w:r>
      <w:r w:rsidRPr="00E6630C">
        <w:rPr>
          <w:rFonts w:ascii="Times New Roman" w:eastAsia="Calibri" w:hAnsi="Times New Roman" w:cs="Times New Roman"/>
          <w:sz w:val="24"/>
          <w:szCs w:val="24"/>
        </w:rPr>
        <w:t xml:space="preserve">Pinochet-Milton Friedman. São mais de 30 medidas neoliberais mantidas e organizadas por uma constituição ainda do período da Ditadura. A situação de desigualdade e das consequências dessas políticas são sentidas agora. Endividamento dos jovens estudantes e suas famílias, aposentadorias que mal cobrem custo de vida levando diversos trabalhadores e trabalhadoras aposentados ao suicídio. As mobilizações e protestos no Chile tem ocorrido com bastante frequência há algum tempo, como as mobilizações estudantis reivindicando melhoria do ensino e universidades públicas e gratuitas. No caso do Equador temos claramente um levante popular contra um governo oriundo do governo anterior, Lenin Moreno era vice de Rafael Correa, que optou por medidas neoliberais e alinhamento ao governo Estadunidense, isso ficou evidente no caso de Julian Assange e do ativista pelo Software Livre Ola Bini. Por fim, no caso do Haiti existe um levante contra o governo de Jovenel Moise, fantoche dos EUA, e que vem implementado medidas econômicas de austeridade impostas pelo FMI. O estopim desses protestos foi a crise de abastecimento dos combustíveis, que fez com que o governo usasse como justificativas para aumentar o preço dos combustíveis, ao mesmo tempo que armazenava secretamente Petróleo. Sem esquecer o legado de 13 anos de invasão das tropas da ONU comandadas pelo exército brasileiro, governadas pelo PT. Esses protestos podem abrir potência de insurgência, no entanto é preciso ter claro os caminhos e meios de auto-organização para avançar um projeto socialista, para um autogoverno das trabalhadoras e trabalhadores e de todos os povos das américas.  Temos muito claramente um setor de extrema-direita clerical (neopetencostal), neoliberal e militarista, isso em vários países das américas e a necessidade de ter um setor revolucionário para combater o autoritarismo e esses projetos antipovo. Talvez seja nosso maior dilema, a falta de expressão de massa, de auto-organização de massas em meio a essas possibilidades que estas lutas podem criar na América Latina de maneira geral. No final dos anos 1990 e </w:t>
      </w:r>
      <w:proofErr w:type="gramStart"/>
      <w:r w:rsidRPr="00E6630C">
        <w:rPr>
          <w:rFonts w:ascii="Times New Roman" w:eastAsia="Calibri" w:hAnsi="Times New Roman" w:cs="Times New Roman"/>
          <w:sz w:val="24"/>
          <w:szCs w:val="24"/>
        </w:rPr>
        <w:t>inicio</w:t>
      </w:r>
      <w:proofErr w:type="gramEnd"/>
      <w:r w:rsidRPr="00E6630C">
        <w:rPr>
          <w:rFonts w:ascii="Times New Roman" w:eastAsia="Calibri" w:hAnsi="Times New Roman" w:cs="Times New Roman"/>
          <w:sz w:val="24"/>
          <w:szCs w:val="24"/>
        </w:rPr>
        <w:t xml:space="preserve"> dos anos 2000 essa insurgência foi capitalizadas pelos distintos reformismos de cada país. Parece também que esse modelo moderado chegou ao fim de um ciclo, no entanto sem, ao que parece olhando sem maiores detalhes, ter conformado um campo político revolucionário, insurgente.</w:t>
      </w:r>
    </w:p>
    <w:p w14:paraId="01153416" w14:textId="4EA5E102" w:rsidR="002220E8" w:rsidRDefault="002220E8" w:rsidP="00244AE1">
      <w:pPr>
        <w:spacing w:after="200" w:line="360" w:lineRule="auto"/>
        <w:jc w:val="both"/>
        <w:rPr>
          <w:rFonts w:ascii="Times New Roman" w:eastAsia="Calibri" w:hAnsi="Times New Roman" w:cs="Times New Roman"/>
          <w:sz w:val="24"/>
          <w:szCs w:val="24"/>
        </w:rPr>
      </w:pPr>
    </w:p>
    <w:p w14:paraId="4CB5DCF9" w14:textId="77777777" w:rsidR="006459A8" w:rsidRDefault="006459A8" w:rsidP="00244AE1">
      <w:pPr>
        <w:spacing w:after="200" w:line="360" w:lineRule="auto"/>
        <w:jc w:val="both"/>
        <w:rPr>
          <w:rFonts w:ascii="Times New Roman" w:eastAsia="Calibri" w:hAnsi="Times New Roman" w:cs="Times New Roman"/>
          <w:sz w:val="24"/>
          <w:szCs w:val="24"/>
        </w:rPr>
      </w:pPr>
    </w:p>
    <w:p w14:paraId="2EE70761" w14:textId="77777777" w:rsidR="00447EBC" w:rsidRPr="00447EBC" w:rsidRDefault="00447EBC" w:rsidP="00447EBC">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447EBC">
        <w:rPr>
          <w:rFonts w:ascii="Times New Roman" w:eastAsia="Calibri" w:hAnsi="Times New Roman" w:cs="Times New Roman"/>
          <w:b/>
          <w:bCs/>
          <w:iCs/>
          <w:caps/>
          <w:sz w:val="24"/>
          <w:szCs w:val="24"/>
          <w:bdr w:val="none" w:sz="0" w:space="0" w:color="auto" w:frame="1"/>
          <w:shd w:val="clear" w:color="auto" w:fill="FFFFFF"/>
          <w:lang w:val="es-AR"/>
        </w:rPr>
        <w:t xml:space="preserve">Teoría E Historia Anarquista </w:t>
      </w:r>
    </w:p>
    <w:p w14:paraId="7012E5FC" w14:textId="77EB0EBA" w:rsidR="00447EBC" w:rsidRDefault="00447EBC" w:rsidP="00447EBC">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447EBC">
        <w:rPr>
          <w:rFonts w:ascii="Times New Roman" w:eastAsia="Calibri" w:hAnsi="Times New Roman" w:cs="Times New Roman"/>
          <w:b/>
          <w:bCs/>
          <w:iCs/>
          <w:caps/>
          <w:sz w:val="24"/>
          <w:szCs w:val="24"/>
          <w:bdr w:val="none" w:sz="0" w:space="0" w:color="auto" w:frame="1"/>
          <w:shd w:val="clear" w:color="auto" w:fill="FFFFFF"/>
          <w:lang w:val="es-AR"/>
        </w:rPr>
        <w:t>en Perspectiva Global</w:t>
      </w:r>
      <w:r w:rsidRPr="00447EBC">
        <w:rPr>
          <w:rFonts w:ascii="Times New Roman" w:eastAsia="Calibri" w:hAnsi="Times New Roman" w:cs="Times New Roman"/>
          <w:b/>
          <w:bCs/>
          <w:iCs/>
          <w:sz w:val="24"/>
          <w:szCs w:val="24"/>
          <w:bdr w:val="none" w:sz="0" w:space="0" w:color="auto" w:frame="1"/>
          <w:shd w:val="clear" w:color="auto" w:fill="FFFFFF"/>
          <w:vertAlign w:val="superscript"/>
          <w:lang w:val="es-AR"/>
        </w:rPr>
        <w:footnoteReference w:id="161"/>
      </w:r>
    </w:p>
    <w:p w14:paraId="0FA0E059" w14:textId="77777777" w:rsidR="006459A8" w:rsidRPr="00447EBC" w:rsidRDefault="006459A8" w:rsidP="00447EBC">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p>
    <w:p w14:paraId="200DD4E8" w14:textId="77777777" w:rsidR="006C3C78" w:rsidRDefault="006C3C78" w:rsidP="004C69B7">
      <w:pPr>
        <w:pStyle w:val="NormalWeb"/>
        <w:spacing w:before="0" w:beforeAutospacing="0" w:after="0" w:afterAutospacing="0" w:line="276" w:lineRule="auto"/>
        <w:jc w:val="right"/>
      </w:pPr>
      <w:r>
        <w:rPr>
          <w:b/>
          <w:bCs/>
          <w:i/>
          <w:iCs/>
          <w:color w:val="000000"/>
          <w:shd w:val="clear" w:color="auto" w:fill="FFFFFF"/>
        </w:rPr>
        <w:t>Felipe Corrêa</w:t>
      </w:r>
    </w:p>
    <w:p w14:paraId="4DAD9289" w14:textId="77777777" w:rsidR="006C3C78" w:rsidRDefault="006C3C78" w:rsidP="004C69B7">
      <w:pPr>
        <w:pStyle w:val="NormalWeb"/>
        <w:spacing w:before="0" w:beforeAutospacing="0" w:after="0" w:afterAutospacing="0" w:line="276" w:lineRule="auto"/>
        <w:jc w:val="right"/>
      </w:pPr>
      <w:r>
        <w:rPr>
          <w:color w:val="000000"/>
        </w:rPr>
        <w:t xml:space="preserve">Profesor universitario, investigador y editor; doctorado en la Universidade Estadual de Campinas (UNICAMP) y maestría en la Universidade de São Paulo (USP); coordinador del Instituto de Teoría e </w:t>
      </w:r>
      <w:proofErr w:type="gramStart"/>
      <w:r>
        <w:rPr>
          <w:color w:val="000000"/>
        </w:rPr>
        <w:t>Historia</w:t>
      </w:r>
      <w:proofErr w:type="gramEnd"/>
      <w:r>
        <w:rPr>
          <w:color w:val="000000"/>
        </w:rPr>
        <w:t xml:space="preserve"> Anarquista (ITHA). </w:t>
      </w:r>
    </w:p>
    <w:p w14:paraId="16DB6BD6" w14:textId="77777777" w:rsidR="00447EBC" w:rsidRPr="00447EBC" w:rsidRDefault="00447EBC" w:rsidP="006C3C78">
      <w:pPr>
        <w:spacing w:after="0" w:line="360" w:lineRule="auto"/>
        <w:jc w:val="right"/>
        <w:rPr>
          <w:rFonts w:ascii="Times New Roman" w:eastAsia="Calibri" w:hAnsi="Times New Roman" w:cs="Times New Roman"/>
          <w:b/>
          <w:bCs/>
          <w:iCs/>
          <w:caps/>
          <w:sz w:val="32"/>
          <w:szCs w:val="32"/>
          <w:bdr w:val="none" w:sz="0" w:space="0" w:color="auto" w:frame="1"/>
          <w:shd w:val="clear" w:color="auto" w:fill="FFFFFF"/>
          <w:lang w:val="es-AR"/>
        </w:rPr>
      </w:pPr>
    </w:p>
    <w:p w14:paraId="7AC4B0F4"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roofErr w:type="gramStart"/>
      <w:r w:rsidRPr="00447EBC">
        <w:rPr>
          <w:rFonts w:ascii="Times New Roman" w:eastAsia="Calibri" w:hAnsi="Times New Roman" w:cs="Times New Roman"/>
          <w:b/>
          <w:bCs/>
          <w:iCs/>
          <w:sz w:val="24"/>
          <w:szCs w:val="24"/>
          <w:bdr w:val="none" w:sz="0" w:space="0" w:color="auto" w:frame="1"/>
          <w:shd w:val="clear" w:color="auto" w:fill="FFFFFF"/>
          <w:lang w:val="es-AR"/>
        </w:rPr>
        <w:t>Resumen</w:t>
      </w:r>
      <w:r>
        <w:rPr>
          <w:rFonts w:ascii="Times New Roman" w:eastAsia="Calibri" w:hAnsi="Times New Roman" w:cs="Times New Roman"/>
          <w:b/>
          <w:bCs/>
          <w:iCs/>
          <w:sz w:val="24"/>
          <w:szCs w:val="24"/>
          <w:bdr w:val="none" w:sz="0" w:space="0" w:color="auto" w:frame="1"/>
          <w:shd w:val="clear" w:color="auto" w:fill="FFFFFF"/>
          <w:lang w:val="es-AR"/>
        </w:rPr>
        <w:t xml:space="preserve"> :</w:t>
      </w:r>
      <w:proofErr w:type="gramEnd"/>
      <w:r>
        <w:rPr>
          <w:rFonts w:ascii="Times New Roman" w:eastAsia="Calibri" w:hAnsi="Times New Roman" w:cs="Times New Roman"/>
          <w:b/>
          <w:bCs/>
          <w:iCs/>
          <w:sz w:val="24"/>
          <w:szCs w:val="24"/>
          <w:bdr w:val="none" w:sz="0" w:space="0" w:color="auto" w:frame="1"/>
          <w:shd w:val="clear" w:color="auto" w:fill="FFFFFF"/>
          <w:lang w:val="es-AR"/>
        </w:rPr>
        <w:t xml:space="preserve"> </w:t>
      </w:r>
      <w:r w:rsidRPr="00447EBC">
        <w:rPr>
          <w:rFonts w:ascii="Times New Roman" w:eastAsia="Calibri" w:hAnsi="Times New Roman" w:cs="Times New Roman"/>
          <w:bCs/>
          <w:iCs/>
          <w:sz w:val="24"/>
          <w:szCs w:val="24"/>
          <w:bdr w:val="none" w:sz="0" w:space="0" w:color="auto" w:frame="1"/>
          <w:shd w:val="clear" w:color="auto" w:fill="FFFFFF"/>
          <w:lang w:val="es-AR"/>
        </w:rPr>
        <w:t xml:space="preserve">Este trabajo tiene como objetivo presentar la investigación conducida durante algunos años por el autor y que culminó con la publicación del libro </w:t>
      </w:r>
      <w:r w:rsidRPr="00447EBC">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(Editorial Prismas, Brasil, 2014, 346 pp.). El libro parte de un proceso colectivo de investigación global del anarquismo que viene siendo conducido por investigadores de distintas partes del mundo en el seno del Instituto de Teoría e Historia Anarquista (ITHA) y tiene como objetivo general responder con profundidad </w:t>
      </w:r>
      <w:r w:rsidRPr="00447EBC">
        <w:rPr>
          <w:rFonts w:ascii="Times New Roman" w:eastAsia="Calibri" w:hAnsi="Times New Roman" w:cs="Times New Roman"/>
          <w:bCs/>
          <w:i/>
          <w:iCs/>
          <w:sz w:val="24"/>
          <w:szCs w:val="24"/>
          <w:bdr w:val="none" w:sz="0" w:space="0" w:color="auto" w:frame="1"/>
          <w:shd w:val="clear" w:color="auto" w:fill="FFFFFF"/>
          <w:lang w:val="es-AR"/>
        </w:rPr>
        <w:t>qué es el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Se parte de un balance crítico de los estudios de referencia más influyentes sobre el tema en castellano, portugués, inglés y francés, discurriendo sobre sus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virtudes</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pero, principalmente, identificando sus problemas, limitaciones y omisiones. Se constata que tales estudios no responden adecuadamente a la pregunta formulada y sostienen una cantidad innumerable de tesis sin ningún fundamento histórico, que continúan siendo repetidas hoy en día.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propone entonces un nuevo abordaje teórico-metodológico para los estudios del anarquismo: define aspectos comunes a autores y episodios, permitiendo conceptuar esta ideología y diferenciarla de otras; identifica continuidades y permanencias a largo plazo; actualiza categorías analíticas para dar cuenta del fenómeno; toma como base la historia del anarquismo desde la Asociación Internacional de los Trabajadores hasta el presente, en los cinco continentes; utiliza elementos de la nueva historia del trabajo y de la historia global del trabajo; abarca la totalidad e interdependencia entre teoría e historia, pensamiento y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acción, autores y episodios, forma y contenido, anarquismo y luchas sociales, críticas y propuestas; enfatiza en la relevancia de los estudios comparativos. Además de esto, el libro basa en la revisión de la producción escrita de más de 80 autores / organizaciones anarquistas y en la historia global del anarquismo en sus casi 150 años de existencia y presenta una redefinición del anarquismo, que es complementada con la exposición de sus principales debates históricos y sus grandes corrientes. Entre otras tesis, el sostiene que el anarquismo es un tipo de socialismo revolucionario que posee una inmensa e influyente historia entre todos los tipos de trabajadores, tanto de los campos como de las ciudades. El libro plantea en esta historia un conjunto de diez principios político-ideológicos que se explican mediante tres ejes (crítica a la dominación, defensa de la autogestión y estrategia fundamental) y permiten constatar una coherencia ideológica entre los anarquistas. A pesar de esto, tres grandes cuestiones estratégicas vienen dividiendo a los anarquistas: organización, reformas y violencia, en torno a las cuales se propone una redefinición de las corrientes anarquistas.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no solo contrapone muchas de las tesis de los estudios de referencia, sino que presenta nuevos elementos para comprender la teoría y la historia anarquista en perspectiva global.</w:t>
      </w:r>
    </w:p>
    <w:p w14:paraId="66C57407" w14:textId="77777777" w:rsidR="00447EBC" w:rsidRPr="00447EBC" w:rsidRDefault="00447EBC" w:rsidP="00447EBC">
      <w:pPr>
        <w:spacing w:after="0" w:line="360" w:lineRule="auto"/>
        <w:jc w:val="both"/>
        <w:rPr>
          <w:rFonts w:ascii="Times New Roman" w:eastAsia="Calibri" w:hAnsi="Times New Roman" w:cs="Times New Roman"/>
          <w:b/>
          <w:bCs/>
          <w:iCs/>
          <w:sz w:val="20"/>
          <w:szCs w:val="20"/>
          <w:bdr w:val="none" w:sz="0" w:space="0" w:color="auto" w:frame="1"/>
          <w:shd w:val="clear" w:color="auto" w:fill="FFFFFF"/>
          <w:lang w:val="es-AR"/>
        </w:rPr>
      </w:pPr>
    </w:p>
    <w:p w14:paraId="40012641" w14:textId="77777777" w:rsidR="00447EBC" w:rsidRPr="00447EBC" w:rsidRDefault="00447EBC" w:rsidP="00447EBC">
      <w:pPr>
        <w:spacing w:after="0" w:line="360" w:lineRule="auto"/>
        <w:rPr>
          <w:rFonts w:ascii="Times New Roman" w:eastAsia="Times New Roman" w:hAnsi="Times New Roman" w:cs="Times New Roman"/>
          <w:color w:val="000000"/>
          <w:sz w:val="24"/>
          <w:szCs w:val="24"/>
          <w:lang w:eastAsia="pt-BR"/>
        </w:rPr>
      </w:pPr>
      <w:r w:rsidRPr="00447EBC">
        <w:rPr>
          <w:rFonts w:ascii="Times New Roman" w:eastAsia="Calibri" w:hAnsi="Times New Roman" w:cs="Times New Roman"/>
          <w:b/>
          <w:bCs/>
          <w:iCs/>
          <w:sz w:val="24"/>
          <w:szCs w:val="24"/>
          <w:bdr w:val="none" w:sz="0" w:space="0" w:color="auto" w:frame="1"/>
          <w:shd w:val="clear" w:color="auto" w:fill="FFFFFF"/>
          <w:lang w:val="es-AR"/>
        </w:rPr>
        <w:t>Palabras clave:</w:t>
      </w:r>
      <w:r w:rsidRPr="00447EBC">
        <w:rPr>
          <w:rFonts w:ascii="Times New Roman" w:eastAsia="Calibri" w:hAnsi="Times New Roman" w:cs="Times New Roman"/>
          <w:bCs/>
          <w:iCs/>
          <w:sz w:val="24"/>
          <w:szCs w:val="24"/>
          <w:bdr w:val="none" w:sz="0" w:space="0" w:color="auto" w:frame="1"/>
          <w:shd w:val="clear" w:color="auto" w:fill="FFFFFF"/>
          <w:lang w:val="es-AR"/>
        </w:rPr>
        <w:t xml:space="preserve"> anarquismo, sindicalismo revolucionario,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teoría/filosofía política anarquista,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p>
    <w:p w14:paraId="0725732B" w14:textId="77777777" w:rsidR="00447EBC" w:rsidRPr="00447EBC" w:rsidRDefault="00447EBC" w:rsidP="00BE56FE">
      <w:pPr>
        <w:spacing w:after="0" w:line="240" w:lineRule="auto"/>
        <w:jc w:val="both"/>
        <w:rPr>
          <w:rFonts w:ascii="Times New Roman" w:eastAsia="Times New Roman" w:hAnsi="Times New Roman" w:cs="Times New Roman"/>
          <w:color w:val="000000"/>
          <w:sz w:val="24"/>
          <w:szCs w:val="24"/>
          <w:lang w:eastAsia="pt-BR"/>
        </w:rPr>
      </w:pPr>
    </w:p>
    <w:p w14:paraId="1B542BF9" w14:textId="11D9D63F" w:rsidR="00447EBC" w:rsidRPr="00BE56FE" w:rsidRDefault="00447EBC" w:rsidP="00BE56FE">
      <w:pPr>
        <w:spacing w:after="0" w:line="360" w:lineRule="auto"/>
        <w:jc w:val="both"/>
        <w:rPr>
          <w:rFonts w:ascii="Calibri" w:eastAsia="Times New Roman" w:hAnsi="Calibri" w:cs="Calibri"/>
          <w:b/>
          <w:bCs/>
          <w:color w:val="000000"/>
          <w:lang w:val="en-US" w:eastAsia="pt-BR"/>
        </w:rPr>
      </w:pPr>
      <w:proofErr w:type="gramStart"/>
      <w:r w:rsidRPr="00447EBC">
        <w:rPr>
          <w:rFonts w:ascii="Times New Roman" w:eastAsia="Times New Roman" w:hAnsi="Times New Roman" w:cs="Times New Roman"/>
          <w:b/>
          <w:bCs/>
          <w:color w:val="000000"/>
          <w:sz w:val="24"/>
          <w:szCs w:val="24"/>
          <w:lang w:val="en-US" w:eastAsia="pt-BR"/>
        </w:rPr>
        <w:t>Abstract</w:t>
      </w:r>
      <w:r w:rsidR="00BE56FE">
        <w:rPr>
          <w:rFonts w:ascii="Calibri" w:eastAsia="Times New Roman" w:hAnsi="Calibri" w:cs="Calibri"/>
          <w:b/>
          <w:bCs/>
          <w:color w:val="000000"/>
          <w:lang w:val="en-US" w:eastAsia="pt-BR"/>
        </w:rPr>
        <w:t xml:space="preserve"> :</w:t>
      </w:r>
      <w:proofErr w:type="gramEnd"/>
      <w:r w:rsidR="00BE56FE">
        <w:rPr>
          <w:rFonts w:ascii="Calibri" w:eastAsia="Times New Roman" w:hAnsi="Calibri" w:cs="Calibri"/>
          <w:b/>
          <w:bCs/>
          <w:color w:val="000000"/>
          <w:lang w:val="en-US" w:eastAsia="pt-BR"/>
        </w:rPr>
        <w:t xml:space="preserve"> </w:t>
      </w:r>
      <w:r w:rsidRPr="00447EBC">
        <w:rPr>
          <w:rFonts w:ascii="Times New Roman" w:eastAsia="Times New Roman" w:hAnsi="Times New Roman" w:cs="Times New Roman"/>
          <w:color w:val="000000"/>
          <w:sz w:val="24"/>
          <w:szCs w:val="24"/>
          <w:lang w:val="en-US" w:eastAsia="pt-BR"/>
        </w:rPr>
        <w:t>This work aims to present the research conducted for some years by the author that culminated in the publication of the book </w:t>
      </w:r>
      <w:r w:rsidRPr="00447EBC">
        <w:rPr>
          <w:rFonts w:ascii="Times New Roman" w:eastAsia="Times New Roman" w:hAnsi="Times New Roman" w:cs="Times New Roman"/>
          <w:i/>
          <w:iCs/>
          <w:color w:val="000000"/>
          <w:sz w:val="24"/>
          <w:szCs w:val="24"/>
          <w:lang w:val="en-US" w:eastAsia="pt-BR"/>
        </w:rPr>
        <w:t>Bandeira Negra: rediscutindo o anarquismo</w:t>
      </w:r>
      <w:r w:rsidRPr="00447EBC">
        <w:rPr>
          <w:rFonts w:ascii="Times New Roman" w:eastAsia="Times New Roman" w:hAnsi="Times New Roman" w:cs="Times New Roman"/>
          <w:color w:val="000000"/>
          <w:sz w:val="24"/>
          <w:szCs w:val="24"/>
          <w:lang w:val="en-US" w:eastAsia="pt-BR"/>
        </w:rPr>
        <w:t> [Black Flag: rediscussing anarchism] (Prismas, Brazil, 2015, 346 pp.). The book is based on a collective process of global investigation of anarchism that has been conducted by researchers from different parts of the world within the Institute for Anarchist Theory and History (ITHA) and its general objective is to respond in depth what is anarchism. It starts with a critical balance of the most influential reference studies on the subject in Spanish, Portuguese, English and French, pointing its virtues but, mainly, identifying its problems, limitations and omissions. It is found that such studies do not respond adequately to the question asked and support an innumerable amount of thesis without any historical basis, which continue to be repeated today. </w:t>
      </w:r>
      <w:r w:rsidRPr="00447EBC">
        <w:rPr>
          <w:rFonts w:ascii="Times New Roman" w:eastAsia="Times New Roman" w:hAnsi="Times New Roman" w:cs="Times New Roman"/>
          <w:i/>
          <w:iCs/>
          <w:color w:val="000000"/>
          <w:sz w:val="24"/>
          <w:szCs w:val="24"/>
          <w:lang w:val="en-US" w:eastAsia="pt-BR"/>
        </w:rPr>
        <w:t>Black Flag</w:t>
      </w:r>
      <w:r w:rsidRPr="00447EBC">
        <w:rPr>
          <w:rFonts w:ascii="Times New Roman" w:eastAsia="Times New Roman" w:hAnsi="Times New Roman" w:cs="Times New Roman"/>
          <w:color w:val="000000"/>
          <w:sz w:val="24"/>
          <w:szCs w:val="24"/>
          <w:lang w:val="en-US" w:eastAsia="pt-BR"/>
        </w:rPr>
        <w:t xml:space="preserve"> then proposes a new theoretical-methodological approach to the studies of anarchism: it </w:t>
      </w:r>
      <w:r w:rsidRPr="00447EBC">
        <w:rPr>
          <w:rFonts w:ascii="Times New Roman" w:eastAsia="Times New Roman" w:hAnsi="Times New Roman" w:cs="Times New Roman"/>
          <w:color w:val="000000"/>
          <w:sz w:val="24"/>
          <w:szCs w:val="24"/>
          <w:lang w:val="en-US" w:eastAsia="pt-BR"/>
        </w:rPr>
        <w:lastRenderedPageBreak/>
        <w:t>defines common features to authors and episodes, allowing to conceptualize this ideology and differentiate it from others; it identifies long-term continuities and permanence; it updates analytical categories to study the phenomenon; it takes into account the history of anarchism from the International Workers Association up to the present, on all continents; it uses elements of the new labour history and the global labour history; it encompasses the totality and interdependence between theory and history, thought and action, authors and episodes, form and content, anarchism and social struggles, criticisms and proposals; it emphasizes the relevance of comparative studies. In addition to this, the book is based on the review of the written production of more than 80 anarchist authors / organizations and on the global history of anarchism in its almost 150 years of existence and presents a redefinition of anarchism, which is complemented by the exhibition of its main historical debates and its great currents. Among other theses, it argues that anarchism is a type of revolutionary socialism that has an immense and influential history among all kinds of workers, both in the rural and in urban areas. The book raises in this history a set of ten political-ideological principles that are explained by three axes (criticism of domination, defense of self-management and fundamental strategy) and allow to verify an ideological coherence among the anarchists. Despite this, three major strategic issues have been dividing the anarchists: organization, reforms and violence, around which a redefinition of the anarchist currents is proposed. </w:t>
      </w:r>
      <w:r w:rsidRPr="00447EBC">
        <w:rPr>
          <w:rFonts w:ascii="Times New Roman" w:eastAsia="Times New Roman" w:hAnsi="Times New Roman" w:cs="Times New Roman"/>
          <w:i/>
          <w:iCs/>
          <w:color w:val="000000"/>
          <w:sz w:val="24"/>
          <w:szCs w:val="24"/>
          <w:lang w:val="en-US" w:eastAsia="pt-BR"/>
        </w:rPr>
        <w:t>Black Flag</w:t>
      </w:r>
      <w:r w:rsidRPr="00447EBC">
        <w:rPr>
          <w:rFonts w:ascii="Times New Roman" w:eastAsia="Times New Roman" w:hAnsi="Times New Roman" w:cs="Times New Roman"/>
          <w:color w:val="000000"/>
          <w:sz w:val="24"/>
          <w:szCs w:val="24"/>
          <w:lang w:val="en-US" w:eastAsia="pt-BR"/>
        </w:rPr>
        <w:t xml:space="preserve"> not only contrasts many of the thesis of the reference </w:t>
      </w:r>
      <w:proofErr w:type="gramStart"/>
      <w:r w:rsidRPr="00447EBC">
        <w:rPr>
          <w:rFonts w:ascii="Times New Roman" w:eastAsia="Times New Roman" w:hAnsi="Times New Roman" w:cs="Times New Roman"/>
          <w:color w:val="000000"/>
          <w:sz w:val="24"/>
          <w:szCs w:val="24"/>
          <w:lang w:val="en-US" w:eastAsia="pt-BR"/>
        </w:rPr>
        <w:t>studies, but</w:t>
      </w:r>
      <w:proofErr w:type="gramEnd"/>
      <w:r w:rsidRPr="00447EBC">
        <w:rPr>
          <w:rFonts w:ascii="Times New Roman" w:eastAsia="Times New Roman" w:hAnsi="Times New Roman" w:cs="Times New Roman"/>
          <w:color w:val="000000"/>
          <w:sz w:val="24"/>
          <w:szCs w:val="24"/>
          <w:lang w:val="en-US" w:eastAsia="pt-BR"/>
        </w:rPr>
        <w:t xml:space="preserve"> presents new elements to understand anarchist theory and history in a global perspective.</w:t>
      </w:r>
    </w:p>
    <w:p w14:paraId="0727C2EE" w14:textId="77777777" w:rsidR="00447EBC" w:rsidRPr="00447EBC" w:rsidRDefault="00447EBC" w:rsidP="00BE56FE">
      <w:pPr>
        <w:spacing w:after="0" w:line="360" w:lineRule="auto"/>
        <w:rPr>
          <w:rFonts w:ascii="Calibri" w:eastAsia="Times New Roman" w:hAnsi="Calibri" w:cs="Calibri"/>
          <w:color w:val="000000"/>
          <w:lang w:val="en-US" w:eastAsia="pt-BR"/>
        </w:rPr>
      </w:pPr>
      <w:r w:rsidRPr="00447EBC">
        <w:rPr>
          <w:rFonts w:ascii="Times New Roman" w:eastAsia="Times New Roman" w:hAnsi="Times New Roman" w:cs="Times New Roman"/>
          <w:color w:val="000000"/>
          <w:sz w:val="24"/>
          <w:szCs w:val="24"/>
          <w:lang w:val="en-US" w:eastAsia="pt-BR"/>
        </w:rPr>
        <w:t> </w:t>
      </w:r>
    </w:p>
    <w:p w14:paraId="1B6DE547" w14:textId="77777777" w:rsidR="00447EBC" w:rsidRPr="00447EBC" w:rsidRDefault="00447EBC" w:rsidP="00BE56FE">
      <w:pPr>
        <w:spacing w:after="0" w:line="360" w:lineRule="auto"/>
        <w:rPr>
          <w:rFonts w:ascii="Calibri" w:eastAsia="Times New Roman" w:hAnsi="Calibri" w:cs="Calibri"/>
          <w:color w:val="000000"/>
          <w:lang w:val="en-US" w:eastAsia="pt-BR"/>
        </w:rPr>
      </w:pPr>
      <w:r w:rsidRPr="00447EBC">
        <w:rPr>
          <w:rFonts w:ascii="Times New Roman" w:eastAsia="Times New Roman" w:hAnsi="Times New Roman" w:cs="Times New Roman"/>
          <w:b/>
          <w:bCs/>
          <w:color w:val="000000"/>
          <w:sz w:val="24"/>
          <w:szCs w:val="24"/>
          <w:lang w:val="en-US" w:eastAsia="pt-BR"/>
        </w:rPr>
        <w:t>Keywords:</w:t>
      </w:r>
      <w:r w:rsidRPr="00447EBC">
        <w:rPr>
          <w:rFonts w:ascii="Times New Roman" w:eastAsia="Times New Roman" w:hAnsi="Times New Roman" w:cs="Times New Roman"/>
          <w:color w:val="000000"/>
          <w:sz w:val="24"/>
          <w:szCs w:val="24"/>
          <w:lang w:val="en-US" w:eastAsia="pt-BR"/>
        </w:rPr>
        <w:t xml:space="preserve"> anarchism, revolutionary syndicalism, anarcho-syndicalism, anarchist political theory / philosophy, </w:t>
      </w:r>
      <w:r w:rsidRPr="00447EBC">
        <w:rPr>
          <w:rFonts w:ascii="Times New Roman" w:eastAsia="Times New Roman" w:hAnsi="Times New Roman" w:cs="Times New Roman"/>
          <w:i/>
          <w:iCs/>
          <w:color w:val="000000"/>
          <w:sz w:val="24"/>
          <w:szCs w:val="24"/>
          <w:lang w:val="en-US" w:eastAsia="pt-BR"/>
        </w:rPr>
        <w:t>Black Flag</w:t>
      </w:r>
    </w:p>
    <w:p w14:paraId="62018CD6" w14:textId="77777777" w:rsidR="00447EBC" w:rsidRPr="00447EBC" w:rsidRDefault="00447EBC" w:rsidP="00447EBC">
      <w:pPr>
        <w:spacing w:after="0" w:line="360" w:lineRule="auto"/>
        <w:jc w:val="center"/>
        <w:rPr>
          <w:rFonts w:ascii="Times New Roman" w:eastAsia="Calibri" w:hAnsi="Times New Roman" w:cs="Times New Roman"/>
          <w:b/>
          <w:bCs/>
          <w:iCs/>
          <w:sz w:val="28"/>
          <w:szCs w:val="28"/>
          <w:bdr w:val="none" w:sz="0" w:space="0" w:color="auto" w:frame="1"/>
          <w:shd w:val="clear" w:color="auto" w:fill="FFFFFF"/>
          <w:lang w:val="en-US"/>
        </w:rPr>
      </w:pPr>
    </w:p>
    <w:p w14:paraId="7084E8D9" w14:textId="77777777" w:rsidR="00447EBC" w:rsidRPr="00447EBC" w:rsidRDefault="00447EBC" w:rsidP="00447EBC">
      <w:pPr>
        <w:spacing w:after="0" w:line="240" w:lineRule="auto"/>
        <w:rPr>
          <w:rFonts w:ascii="Times New Roman" w:eastAsia="Calibri" w:hAnsi="Times New Roman" w:cs="Times New Roman"/>
          <w:bCs/>
          <w:iCs/>
          <w:sz w:val="18"/>
          <w:szCs w:val="18"/>
          <w:bdr w:val="none" w:sz="0" w:space="0" w:color="auto" w:frame="1"/>
          <w:shd w:val="clear" w:color="auto" w:fill="FFFFFF"/>
          <w:lang w:val="es-AR"/>
        </w:rPr>
      </w:pPr>
    </w:p>
    <w:p w14:paraId="35E5B762"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Este artículo tiene como objetivo presentar resumidamente la investigación de Felipe Corrêa y que culminó con la publicación de su libro </w:t>
      </w:r>
      <w:r w:rsidRPr="00447EBC">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(Corrêa, 2014a). </w:t>
      </w:r>
    </w:p>
    <w:p w14:paraId="48B8E977"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Parte de un proceso colectivo de investigación global del anarquismo que viene siendo conducido por investigadores de distintas partes del mundo en el seno del Instituto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de Teoría e Historia Anarquista (ITHA), este libro tiene un objetivo general: responder con profundidad </w:t>
      </w:r>
      <w:r w:rsidRPr="00447EBC">
        <w:rPr>
          <w:rFonts w:ascii="Times New Roman" w:eastAsia="Calibri" w:hAnsi="Times New Roman" w:cs="Times New Roman"/>
          <w:bCs/>
          <w:i/>
          <w:iCs/>
          <w:sz w:val="24"/>
          <w:szCs w:val="24"/>
          <w:bdr w:val="none" w:sz="0" w:space="0" w:color="auto" w:frame="1"/>
          <w:shd w:val="clear" w:color="auto" w:fill="FFFFFF"/>
          <w:lang w:val="es-AR"/>
        </w:rPr>
        <w:t>qué es el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p>
    <w:p w14:paraId="78E16347"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Para ello se desarrolla en tres frentes fundamentales: 1.) Balance crítico de los estudios de referencia del anarquismo (en castellano, portugués, inglés y francés); 2.) Propuesta de un nuevo abordaje teórico-metodológico para los estudios del anarquismo; 3.) Redefinición del anarquismo, complementada con la exposición de sus grandes debates históricos y sus corrientes, tomando por base la producción escrita de más de 80 autores/organizaciones anarquistas y la historia global del anarquismo en sus casi 150 años de existencia. </w:t>
      </w:r>
    </w:p>
    <w:p w14:paraId="79AA8DF4"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A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continuación</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serán expuestos los principales argumentos del libro tomando como fundamento los mencionados tres frentes. </w:t>
      </w:r>
    </w:p>
    <w:p w14:paraId="1F14D0E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7C9E690E"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 xml:space="preserve">Balance crítico de los estudios de referencia </w:t>
      </w:r>
    </w:p>
    <w:p w14:paraId="6431410F"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Fueron considerados estudios de referencia del anarquismo aquellos que aparecieran frecuentemente en las bibliografías de las obras utilizadas en la elaboración del libro y que fueron identificados en un análisis bibliométrico hecho en Google Académico. Por medio de este procedimiento, emergieron siete estudios, citados aquí cronológicamente, por su nombre en castellano y seguidos del año original de su publicación: </w:t>
      </w:r>
      <w:r w:rsidRPr="00447EBC">
        <w:rPr>
          <w:rFonts w:ascii="Times New Roman" w:eastAsia="Calibri" w:hAnsi="Times New Roman" w:cs="Times New Roman"/>
          <w:bCs/>
          <w:i/>
          <w:iCs/>
          <w:sz w:val="24"/>
          <w:szCs w:val="24"/>
          <w:bdr w:val="none" w:sz="0" w:space="0" w:color="auto" w:frame="1"/>
          <w:shd w:val="clear" w:color="auto" w:fill="FFFFFF"/>
          <w:lang w:val="es-AR"/>
        </w:rPr>
        <w:t>El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Paul Eltzbacher (1900), </w:t>
      </w:r>
      <w:r w:rsidRPr="00447EBC">
        <w:rPr>
          <w:rFonts w:ascii="Times New Roman" w:eastAsia="Calibri" w:hAnsi="Times New Roman" w:cs="Times New Roman"/>
          <w:bCs/>
          <w:i/>
          <w:iCs/>
          <w:sz w:val="24"/>
          <w:szCs w:val="24"/>
          <w:bdr w:val="none" w:sz="0" w:space="0" w:color="auto" w:frame="1"/>
          <w:shd w:val="clear" w:color="auto" w:fill="FFFFFF"/>
          <w:lang w:val="es-AR"/>
        </w:rPr>
        <w:t>Anarquía a Través de los Tiempos</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Max Nettlau (contenido de los años 1920 y versión modificada en castellano en 1935), </w:t>
      </w:r>
      <w:r w:rsidRPr="00447EBC">
        <w:rPr>
          <w:rFonts w:ascii="Times New Roman" w:eastAsia="Calibri" w:hAnsi="Times New Roman" w:cs="Times New Roman"/>
          <w:bCs/>
          <w:i/>
          <w:iCs/>
          <w:sz w:val="24"/>
          <w:szCs w:val="24"/>
          <w:bdr w:val="none" w:sz="0" w:space="0" w:color="auto" w:frame="1"/>
          <w:shd w:val="clear" w:color="auto" w:fill="FFFFFF"/>
          <w:lang w:val="es-AR"/>
        </w:rPr>
        <w:t>El Anarquismo: historia de las ideas y movimientos libertarios</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George Woodcock (1962), </w:t>
      </w:r>
      <w:r w:rsidRPr="00447EBC">
        <w:rPr>
          <w:rFonts w:ascii="Times New Roman" w:eastAsia="Calibri" w:hAnsi="Times New Roman" w:cs="Times New Roman"/>
          <w:bCs/>
          <w:i/>
          <w:iCs/>
          <w:sz w:val="24"/>
          <w:szCs w:val="24"/>
          <w:bdr w:val="none" w:sz="0" w:space="0" w:color="auto" w:frame="1"/>
          <w:shd w:val="clear" w:color="auto" w:fill="FFFFFF"/>
          <w:lang w:val="es-AR"/>
        </w:rPr>
        <w:t>Anarquistas y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James Joll (1964), </w:t>
      </w:r>
      <w:r w:rsidRPr="00447EBC">
        <w:rPr>
          <w:rFonts w:ascii="Times New Roman" w:eastAsia="Calibri" w:hAnsi="Times New Roman" w:cs="Times New Roman"/>
          <w:bCs/>
          <w:i/>
          <w:iCs/>
          <w:sz w:val="24"/>
          <w:szCs w:val="24"/>
          <w:bdr w:val="none" w:sz="0" w:space="0" w:color="auto" w:frame="1"/>
          <w:shd w:val="clear" w:color="auto" w:fill="FFFFFF"/>
          <w:lang w:val="es-AR"/>
        </w:rPr>
        <w:t>Anarquismo: de la doctrina a la acción</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Daniel Guérin (1965), </w:t>
      </w:r>
      <w:r w:rsidRPr="00447EBC">
        <w:rPr>
          <w:rFonts w:ascii="Times New Roman" w:eastAsia="Calibri" w:hAnsi="Times New Roman" w:cs="Times New Roman"/>
          <w:bCs/>
          <w:i/>
          <w:iCs/>
          <w:sz w:val="24"/>
          <w:szCs w:val="24"/>
          <w:bdr w:val="none" w:sz="0" w:space="0" w:color="auto" w:frame="1"/>
          <w:shd w:val="clear" w:color="auto" w:fill="FFFFFF"/>
          <w:lang w:val="es-AR"/>
        </w:rPr>
        <w:t>Exigiendo el Imposible</w:t>
      </w:r>
      <w:r w:rsidRPr="00447EBC">
        <w:rPr>
          <w:rFonts w:ascii="Times New Roman" w:eastAsia="Calibri" w:hAnsi="Times New Roman" w:cs="Times New Roman"/>
          <w:bCs/>
          <w:iCs/>
          <w:sz w:val="24"/>
          <w:szCs w:val="24"/>
          <w:bdr w:val="none" w:sz="0" w:space="0" w:color="auto" w:frame="1"/>
          <w:shd w:val="clear" w:color="auto" w:fill="FFFFFF"/>
          <w:lang w:val="es-AR"/>
        </w:rPr>
        <w:t xml:space="preserve"> [Demanding the Impossible] de Peter Marshall (1992), </w:t>
      </w:r>
      <w:r w:rsidRPr="00447EBC">
        <w:rPr>
          <w:rFonts w:ascii="Times New Roman" w:eastAsia="Calibri" w:hAnsi="Times New Roman" w:cs="Times New Roman"/>
          <w:bCs/>
          <w:i/>
          <w:iCs/>
          <w:sz w:val="24"/>
          <w:szCs w:val="24"/>
          <w:bdr w:val="none" w:sz="0" w:space="0" w:color="auto" w:frame="1"/>
          <w:shd w:val="clear" w:color="auto" w:fill="FFFFFF"/>
          <w:lang w:val="es-AR"/>
        </w:rPr>
        <w:t>FAQ Anarquista</w:t>
      </w:r>
      <w:r w:rsidRPr="00447EBC">
        <w:rPr>
          <w:rFonts w:ascii="Times New Roman" w:eastAsia="Calibri" w:hAnsi="Times New Roman" w:cs="Times New Roman"/>
          <w:bCs/>
          <w:iCs/>
          <w:sz w:val="24"/>
          <w:szCs w:val="24"/>
          <w:bdr w:val="none" w:sz="0" w:space="0" w:color="auto" w:frame="1"/>
          <w:shd w:val="clear" w:color="auto" w:fill="FFFFFF"/>
          <w:lang w:val="es-AR"/>
        </w:rPr>
        <w:t xml:space="preserve"> [Anarchist FAQ] de Iain McKay (desde 1995 en internet y primer volumen en libro en 2007).</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2"/>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p>
    <w:p w14:paraId="5099C9C5"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Parte considerable de estos estudios, afines al anarquismo hay que decir, tuvo importancia en su tiempo y lugar, y menciono en este sentido particularmente la producción de M. Nettlau; los autores de ellos no disfrutaron de las posibilidades que existen hoy en día. Vale también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destacar</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que casi la totalidad de estos estudios, aunque unos más que otros, cuentan con aportes relevantes para nuestro tiempo. Sin embargo, es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necesario hacer una crítica de ellos que, al igual que generosa y sin descalificarlos, debe buscar la solución de problemas que vienen subsidiando afirmaciones equivocadas constantemente repetidas. Un análisis crítico y más profundo permite la identificación de inconvenientes e insuficiencias que deben ser corregidos y complementados para que se avance en las investigaciones y que se eleve el nivel de comprensión del anarquismo. </w:t>
      </w:r>
    </w:p>
    <w:p w14:paraId="36DE64EE"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En términos de metodología historiográfica, en general, prepondera en estos estudios el foco en los grandes hombres, fundamentado en lo que se podría llamar la “historia desde arriba”</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3"/>
      </w:r>
      <w:r w:rsidRPr="00447EBC">
        <w:rPr>
          <w:rFonts w:ascii="Times New Roman" w:eastAsia="Calibri" w:hAnsi="Times New Roman" w:cs="Times New Roman"/>
          <w:bCs/>
          <w:iCs/>
          <w:sz w:val="24"/>
          <w:szCs w:val="24"/>
          <w:bdr w:val="none" w:sz="0" w:space="0" w:color="auto" w:frame="1"/>
          <w:shd w:val="clear" w:color="auto" w:fill="FFFFFF"/>
          <w:lang w:val="es-AR"/>
        </w:rPr>
        <w:t xml:space="preserve">. En términos de alcance geográfico, predomina un foco casi exclusivo en la Europa Occidental o en el eje Atlántico Norte, disminuyendo o ignorando absolutamente a los autores y episodios de otras partes del mundo. Es frecuente que estos estudios operen con un conjunto bastante restringido de autores y episodios haciendo, frecuentemente, generalizaciones a partir de una limitada base de datos. </w:t>
      </w:r>
    </w:p>
    <w:p w14:paraId="0CD2DA8D"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Eltzbacher (2004) enfoca el anarquismo por medio de un estudio de los “siete sabios”, en su mayoría europeos: William Godwin, Max Stirner, Pierre-Joseph Proudhon, Mikhail Bakunin, Piotr Kropotkin, Liev Toltoi y Benjamin Tucker; no presenta episodios en que el anarquismo estuviera involucrado. Nettlau (2008/en prensa) escapa un poco a la regla ya que trabaja, más allá de los grandes pensadores, con un conjunto amplio de iniciativas y movimientos; aun así, aborda principalmente a Europa Occidental, Rusia y Estados Unidos, respecto al resto del mundo se ocupa en menos de 10% de su obra. </w:t>
      </w:r>
    </w:p>
    <w:p w14:paraId="10170FC5"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Woodcock (2002) dedica casi la totalidad de la parte teórica de su estudio a seis grandes pensadores, todos europeos; son los mismos de Eltzbacher sin tomar a B. Tucker. En la parte que enfoca la práctica, dedica 60% a los análisis de Francia, España, Italia, Rusia y solamente algunas páginas a América Latina y Estados Unidos. Joll (1970) fundamenta la parte de teoría de su obra casi solamente en P.-J. Proudhon y M. Bakunin; en la parte sobre la práctica, se concentra en los debates europeos sobre la llamada “propaganda por el hecho” y en el sindicalismo, así como en el estudio de las Revoluciones Rusa y Española. Guérin (1968) dedica su parte teórica básicamente a tres autores: M. Stirner, P.-J. Proudhon y M. Bakunin; y su parte que enfoca la práctica revisa a la Revolución Rusa, los Consejos de Fábricas Italianos y la Revolución Española.</w:t>
      </w:r>
    </w:p>
    <w:p w14:paraId="5FC4A30D"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Marshall (2010) emplea más de 200 páginas de su reflexión teórica en el análisis de 10 autores: los seis de Woodcock añadiendo a Élisée Reclus, Errico Malatesta, Emma Goldman y Mahatma Gandhi; en su volumen de más de 800 páginas, menos de 10% se dedican a Asia y América Latina, en tanto que África y Oceanía no son siquiera mencionados. McKay (2008) moviliza un conjunto mayor de autores que la mayoría de los otros estudios, pero aún se destacan entre ellos a los clásicos europeos y los autores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norte-americanos</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w:t>
      </w:r>
    </w:p>
    <w:p w14:paraId="15B0033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El abordaje que predomina en los estudios de referencia tiende a resumir el anarquismo a algunos de sus “grandes clásicos” y a pocos episodios históricos, que son, no raro, elegidos arbitrariamente. Del mismo modo es común que no se considere, en la mayoría, aquello que hemos llamado “vectores sociales” del anarquismo – expresiones de masas en las cuales las posiciones de los anarquistas fueron determinantes o hegemónicas en términos estratégicos.</w:t>
      </w:r>
    </w:p>
    <w:p w14:paraId="1C771DA2"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sostiene que el anarquismo debe ser estudiado, en términos de teoría e historia, como un fenómeno global de prácticamente 150 años de existencia. Sobre sus clásicos, preconiza que es necesario desarrollar un método adecuado para delimitar cuáles son ellos y relacionarlos con los movimientos de su tiempo y los anónimos que permitieron la existencia real del anarquismo. Sobre sus episodios, se recomienda la necesidad del estudio de las iniciativas en las cuales los anarquistas estuvieron involucrados y el establecimiento, igualmente por un método adecuado, de cuáles fueron los grandes episodios del anarquismo en el mundo. En este proceso, es fundamental observar con atención los citados vectores sociales, sin los cuales el anarquismo no puede ser entendido, especialmente el sindicalismo de intención revolucionaria (sindicalismo revolucionario y el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Tanto para los clásicos como para los episodios y vectores, el libro indica que, más allá del eje Atlántico Norte, es imprescindible mirar a América Latina, Europa Oriental, Asia, África y Oceanía.</w:t>
      </w:r>
    </w:p>
    <w:p w14:paraId="20B8977C"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Además, los estudios de referencia del anarquismo frecuentemente hacen uso de abordajes ahistóricos, como el argumento que el anarquismo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ha  existido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w:t>
      </w:r>
      <w:r w:rsidRPr="00447EBC">
        <w:rPr>
          <w:rFonts w:ascii="Times New Roman" w:eastAsia="Calibri" w:hAnsi="Times New Roman" w:cs="Times New Roman"/>
          <w:sz w:val="24"/>
          <w:szCs w:val="24"/>
          <w:shd w:val="clear" w:color="FFFFFF" w:fill="FFFFFF"/>
          <w:lang w:val="es-AR"/>
        </w:rPr>
        <w:t>siempre</w:t>
      </w:r>
      <w:r w:rsidRPr="00447EBC">
        <w:rPr>
          <w:rFonts w:ascii="Times New Roman" w:eastAsia="Calibri" w:hAnsi="Times New Roman" w:cs="Times New Roman"/>
          <w:bCs/>
          <w:iCs/>
          <w:sz w:val="24"/>
          <w:szCs w:val="24"/>
          <w:bdr w:val="none" w:sz="0" w:space="0" w:color="auto" w:frame="1"/>
          <w:shd w:val="clear" w:color="auto" w:fill="FFFFFF"/>
          <w:lang w:val="es-AR"/>
        </w:rPr>
        <w:t xml:space="preserve">, o de definiciones amplias, como las que refieren que el anarquismo es sinónimo de lucha contra la autoridad, de anti-estatismo, de la defensa de la libertad. Entre otras cosas, como argumenta Lucien van der Walt (2016: 86-91), estos abordajes, más allá de las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innumerables inconsistencias lógicas, no están en condiciones de explicar por qué el anarquismo surge y se desarrolla en algunos contextos y no en otros, ni de diferenciar el anarquismo de otras ideologías; incluso, algunos comúnmente operan con un distanciamiento demasiado grande entre teoría e historia.</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4"/>
      </w:r>
    </w:p>
    <w:p w14:paraId="64983C66"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Marshall (2010: 3-4) sostiene, según el primer argumento, que “el primer anarquista fue la primera persona que sintió la opresión de otra y se rebeló contra ella”. Nettlau (2008/en prensa) y Woodcock (2002) caminan en sentido semejante, así como otros estudios influyentes, como el libro </w:t>
      </w:r>
      <w:r w:rsidRPr="00447EBC">
        <w:rPr>
          <w:rFonts w:ascii="Times New Roman" w:eastAsia="Calibri" w:hAnsi="Times New Roman" w:cs="Times New Roman"/>
          <w:bCs/>
          <w:i/>
          <w:iCs/>
          <w:sz w:val="24"/>
          <w:szCs w:val="24"/>
          <w:bdr w:val="none" w:sz="0" w:space="0" w:color="auto" w:frame="1"/>
          <w:shd w:val="clear" w:color="auto" w:fill="FFFFFF"/>
          <w:lang w:val="es-AR"/>
        </w:rPr>
        <w:t>Anarcosindicalismo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Rudolf Rocker (1978) y, principalmente, el artículo “Anarquismo” de P. Kropotkin (1987), los cuales presentan el anarquismo como un trazo universal de la humanidad. En una amplia definición, Eltzbacher (2004: 292) constata que: “los enseñamientos anarquistas tienen en común solamente una cosa: ellos niegan el Estado en el futuro”. Las definiciones amplias e imprecisas también están presentes en los estudios de Nettlau (2008/en prensa), Woodcock (2002, vol. I: 7, 16) y Marshall (2010: xv, 3), así como en otros, tales como </w:t>
      </w:r>
      <w:r w:rsidRPr="00447EBC">
        <w:rPr>
          <w:rFonts w:ascii="Times New Roman" w:eastAsia="Calibri" w:hAnsi="Times New Roman" w:cs="Times New Roman"/>
          <w:bCs/>
          <w:i/>
          <w:iCs/>
          <w:sz w:val="24"/>
          <w:szCs w:val="24"/>
          <w:bdr w:val="none" w:sz="0" w:space="0" w:color="auto" w:frame="1"/>
          <w:shd w:val="clear" w:color="auto" w:fill="FFFFFF"/>
          <w:lang w:val="es-AR"/>
        </w:rPr>
        <w:t>Los Anarquistas</w:t>
      </w:r>
      <w:r w:rsidRPr="00447EBC">
        <w:rPr>
          <w:rFonts w:ascii="Times New Roman" w:eastAsia="Calibri" w:hAnsi="Times New Roman" w:cs="Times New Roman"/>
          <w:bCs/>
          <w:iCs/>
          <w:sz w:val="24"/>
          <w:szCs w:val="24"/>
          <w:bdr w:val="none" w:sz="0" w:space="0" w:color="auto" w:frame="1"/>
          <w:shd w:val="clear" w:color="auto" w:fill="FFFFFF"/>
          <w:lang w:val="es-AR"/>
        </w:rPr>
        <w:t xml:space="preserve"> [The Anarchists] de Roderick Kedward (1971: 5-6) y </w:t>
      </w:r>
      <w:r w:rsidRPr="00447EBC">
        <w:rPr>
          <w:rFonts w:ascii="Times New Roman" w:eastAsia="Calibri" w:hAnsi="Times New Roman" w:cs="Times New Roman"/>
          <w:bCs/>
          <w:i/>
          <w:iCs/>
          <w:sz w:val="24"/>
          <w:szCs w:val="24"/>
          <w:bdr w:val="none" w:sz="0" w:space="0" w:color="auto" w:frame="1"/>
          <w:shd w:val="clear" w:color="auto" w:fill="FFFFFF"/>
          <w:lang w:val="es-AR"/>
        </w:rPr>
        <w:t>La Bandera Negra de la Anarquía</w:t>
      </w:r>
      <w:r w:rsidRPr="00447EBC">
        <w:rPr>
          <w:rFonts w:ascii="Times New Roman" w:eastAsia="Calibri" w:hAnsi="Times New Roman" w:cs="Times New Roman"/>
          <w:bCs/>
          <w:iCs/>
          <w:sz w:val="24"/>
          <w:szCs w:val="24"/>
          <w:bdr w:val="none" w:sz="0" w:space="0" w:color="auto" w:frame="1"/>
          <w:shd w:val="clear" w:color="auto" w:fill="FFFFFF"/>
          <w:lang w:val="es-AR"/>
        </w:rPr>
        <w:t xml:space="preserve"> [The Black Flag of Anarchy] de Corinne Jacker (1968: 3).</w:t>
      </w:r>
    </w:p>
    <w:p w14:paraId="3F51F26A"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Complican estos problemas de los abordajes ahistóricos y de las definiciones amplias e imprecisas dos otros procedimientos. </w:t>
      </w:r>
    </w:p>
    <w:p w14:paraId="45CDB2C9"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Primero, la utilización descontextualizada de los análisis etimológicos del término “anarquía” y sus derivados. Aunque Guérin (1968: 19-20) y McKay (2008: 19-21) recurran a él, son Woodcock (2002, vol. I: 8) y Marshall (2010: 3) que lo hacen de manera descontextualizada y la consideran como algo relevante en sus definiciones de anarquismo, sin conseguir escapar de las complicaciones de amplitud e imprecisión. Sin contextualización, este procedimiento apunta necesariamente para una definición del anarquismo como contraposición de la autoridad, del gobierno, del Estado que, más allá del grave abandono de la historia, no permite, entre otras cosas, conocer sus aspectos constructivos.</w:t>
      </w:r>
    </w:p>
    <w:p w14:paraId="7F50A088"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Segundo, la utilización descontextualizada de la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auto-identificación</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de los anarquistas. La inclusión de P.-J. Proudhon en el canon anarquista, por ejemplo, es fundamentada, en parte importante de los estudios y como argumenta </w:t>
      </w:r>
      <w:r w:rsidRPr="00447EBC">
        <w:rPr>
          <w:rFonts w:ascii="Times New Roman" w:eastAsia="Calibri" w:hAnsi="Times New Roman" w:cs="Times New Roman"/>
          <w:bCs/>
          <w:iCs/>
          <w:sz w:val="24"/>
          <w:szCs w:val="24"/>
          <w:bdr w:val="none" w:sz="0" w:space="0" w:color="auto" w:frame="1"/>
          <w:shd w:val="clear" w:color="auto" w:fill="FFFFFF"/>
        </w:rPr>
        <w:t>Woodcock (2002, vol. I: 10)</w:t>
      </w:r>
      <w:r w:rsidRPr="00447EBC">
        <w:rPr>
          <w:rFonts w:ascii="Times New Roman" w:eastAsia="Calibri" w:hAnsi="Times New Roman" w:cs="Times New Roman"/>
          <w:bCs/>
          <w:iCs/>
          <w:sz w:val="24"/>
          <w:szCs w:val="24"/>
          <w:bdr w:val="none" w:sz="0" w:space="0" w:color="auto" w:frame="1"/>
          <w:shd w:val="clear" w:color="auto" w:fill="FFFFFF"/>
          <w:lang w:val="es-AR"/>
        </w:rPr>
        <w:t>, en función del “sentido positivo” que el francés dio al término “anarquía” en su obra ¿</w:t>
      </w:r>
      <w:r w:rsidRPr="00447EBC">
        <w:rPr>
          <w:rFonts w:ascii="Times New Roman" w:eastAsia="Calibri" w:hAnsi="Times New Roman" w:cs="Times New Roman"/>
          <w:bCs/>
          <w:i/>
          <w:iCs/>
          <w:sz w:val="24"/>
          <w:szCs w:val="24"/>
          <w:bdr w:val="none" w:sz="0" w:space="0" w:color="auto" w:frame="1"/>
          <w:shd w:val="clear" w:color="auto" w:fill="FFFFFF"/>
          <w:lang w:val="es-AR"/>
        </w:rPr>
        <w:t>Qué es la Propiedad?</w:t>
      </w:r>
      <w:r w:rsidRPr="00447EBC">
        <w:rPr>
          <w:rFonts w:ascii="Times New Roman" w:eastAsia="Calibri" w:hAnsi="Times New Roman" w:cs="Times New Roman"/>
          <w:bCs/>
          <w:iCs/>
          <w:sz w:val="24"/>
          <w:szCs w:val="24"/>
          <w:bdr w:val="none" w:sz="0" w:space="0" w:color="auto" w:frame="1"/>
          <w:shd w:val="clear" w:color="auto" w:fill="FFFFFF"/>
          <w:lang w:val="es-AR"/>
        </w:rPr>
        <w:t xml:space="preserve"> de 1840. Otro ejemplo se encuentra en el estudio de McKay (2008) que, por más que no trabaje con este criterio de manera absoluta, abarca a individualistas como Susan Brown, B. Tucker, el periódico </w:t>
      </w:r>
      <w:r w:rsidRPr="00447EBC">
        <w:rPr>
          <w:rFonts w:ascii="Times New Roman" w:eastAsia="Calibri" w:hAnsi="Times New Roman" w:cs="Times New Roman"/>
          <w:bCs/>
          <w:i/>
          <w:iCs/>
          <w:sz w:val="24"/>
          <w:szCs w:val="24"/>
          <w:bdr w:val="none" w:sz="0" w:space="0" w:color="auto" w:frame="1"/>
          <w:shd w:val="clear" w:color="auto" w:fill="FFFFFF"/>
          <w:lang w:val="es-AR"/>
        </w:rPr>
        <w:t>Anarchy: a journal of desire armed</w:t>
      </w:r>
      <w:r w:rsidRPr="00447EBC">
        <w:rPr>
          <w:rFonts w:ascii="Times New Roman" w:eastAsia="Calibri" w:hAnsi="Times New Roman" w:cs="Times New Roman"/>
          <w:bCs/>
          <w:iCs/>
          <w:sz w:val="24"/>
          <w:szCs w:val="24"/>
          <w:bdr w:val="none" w:sz="0" w:space="0" w:color="auto" w:frame="1"/>
          <w:shd w:val="clear" w:color="auto" w:fill="FFFFFF"/>
          <w:lang w:val="es-AR"/>
        </w:rPr>
        <w:t xml:space="preserve"> y primitivistas como John Zerzan y el periódico </w:t>
      </w:r>
      <w:r w:rsidRPr="00447EBC">
        <w:rPr>
          <w:rFonts w:ascii="Times New Roman" w:eastAsia="Calibri" w:hAnsi="Times New Roman" w:cs="Times New Roman"/>
          <w:bCs/>
          <w:i/>
          <w:iCs/>
          <w:sz w:val="24"/>
          <w:szCs w:val="24"/>
          <w:bdr w:val="none" w:sz="0" w:space="0" w:color="auto" w:frame="1"/>
          <w:shd w:val="clear" w:color="auto" w:fill="FFFFFF"/>
          <w:lang w:val="es-AR"/>
        </w:rPr>
        <w:t>Green Anarchy</w:t>
      </w:r>
      <w:r w:rsidRPr="00447EBC">
        <w:rPr>
          <w:rFonts w:ascii="Times New Roman" w:eastAsia="Calibri" w:hAnsi="Times New Roman" w:cs="Times New Roman"/>
          <w:bCs/>
          <w:iCs/>
          <w:sz w:val="24"/>
          <w:szCs w:val="24"/>
          <w:bdr w:val="none" w:sz="0" w:space="0" w:color="auto" w:frame="1"/>
          <w:shd w:val="clear" w:color="auto" w:fill="FFFFFF"/>
          <w:lang w:val="es-AR"/>
        </w:rPr>
        <w:t xml:space="preserve"> que, más allá del hecho de considerarse a sí mismos anarquistas, no tienen mucho en común con lo que ha sido la tradición histórica anarquista.</w:t>
      </w:r>
    </w:p>
    <w:p w14:paraId="532B879A"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sostiene que es fundamental hacer uso de un método histórico y de una mediación adecuada entre teoría e historia. Por esto, preconiza abandonar los abordajes ahistóricos del anarquismo, fortalecidos ampliamente por anarquistas que siguieron los pasos de P. Kropotkin (1987), que cuando utilizó el argumento de la universalidad atemporal del anarquismo, más que hacer su historia, creaba un “mito legitimador”, una “meta-historia”, que, consciente o inconscientemente, buscaba fortalecer su propia ideología y contraponer el argumento de que ella estaría contra la naturaleza humana. Distintamente, el libro argumenta que el anarquismo tiene una historia, relacionada a un contexto; su surgimiento y desarrollo, sucesos y fracasos, flujos y reflujos, solo pueden ser comprendidos y explicados en términos históricos. Se recomienda además que es imprescindible operar con una definición del anarquismo que sea no solamente histórica sino precisa, permitiendo, entre otras cosas, descartar absurdos como la idea de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anarco-capitalismo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que deriva de la comprensión del anarquismo como sinónimo de anti-estatismo; y diferenciar el anarquismo de otras ideologías, entre ellas el liberalismo y el marxismo.</w:t>
      </w:r>
    </w:p>
    <w:p w14:paraId="47FE051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De los mencionados abordajes problemáticos derivan varias conclusiones equivocadas, que pueden ser encontradas en los estudios de referencia y también en otros estudios. Entre ellas, se destacan algunas. </w:t>
      </w:r>
    </w:p>
    <w:p w14:paraId="7715737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Eltzbacher (2004: 270), Woodcock (2002, vol. I: 14) y Joll (1970: 29, 325) destacan que </w:t>
      </w:r>
      <w:r w:rsidRPr="00447EBC">
        <w:rPr>
          <w:rFonts w:ascii="Times New Roman" w:eastAsia="Calibri" w:hAnsi="Times New Roman" w:cs="Times New Roman"/>
          <w:bCs/>
          <w:i/>
          <w:iCs/>
          <w:sz w:val="24"/>
          <w:szCs w:val="24"/>
          <w:bdr w:val="none" w:sz="0" w:space="0" w:color="auto" w:frame="1"/>
          <w:shd w:val="clear" w:color="auto" w:fill="FFFFFF"/>
          <w:lang w:val="es-AR"/>
        </w:rPr>
        <w:t>el anarquismo constituye una ideología incoherente</w:t>
      </w:r>
      <w:r w:rsidRPr="00447EBC">
        <w:rPr>
          <w:rFonts w:ascii="Times New Roman" w:eastAsia="Calibri" w:hAnsi="Times New Roman" w:cs="Times New Roman"/>
          <w:bCs/>
          <w:iCs/>
          <w:sz w:val="24"/>
          <w:szCs w:val="24"/>
          <w:bdr w:val="none" w:sz="0" w:space="0" w:color="auto" w:frame="1"/>
          <w:shd w:val="clear" w:color="auto" w:fill="FFFFFF"/>
          <w:lang w:val="es-AR"/>
        </w:rPr>
        <w:t xml:space="preserve">; para este último, “fue el conflicto entre estos dos tipos de temperamento, el religioso y el racionalista, el apocalíptico y el humanista, que torno la doctrina anarquista tan contradictoria”. Marshall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(2010: 3), McKay (2008: 18) y Guérin (1968: 12), aunque constatando tales contradicciones, creen que ellas son positivas, pues derivan del anti-dogmatismo anarquista y pueden ser conciliadas entre sí. La constatación de incoherencia, incluso, permitió a autores como Caio T. Costa (1990: 7, 12) y Ricardo Rugai (2003: 2) que hablasen de la existencia “anarquismos”. </w:t>
      </w:r>
    </w:p>
    <w:p w14:paraId="0CFC1DC3" w14:textId="77777777" w:rsidR="00447EBC" w:rsidRPr="00447EBC" w:rsidRDefault="00447EBC" w:rsidP="00447EBC">
      <w:pPr>
        <w:spacing w:after="0" w:line="360" w:lineRule="auto"/>
        <w:ind w:firstLine="709"/>
        <w:jc w:val="both"/>
        <w:rPr>
          <w:rFonts w:ascii="Times New Roman" w:eastAsia="Calibri" w:hAnsi="Times New Roman" w:cs="Times New Roman"/>
          <w:bCs/>
          <w:sz w:val="24"/>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Enfatizando que </w:t>
      </w:r>
      <w:r w:rsidRPr="00447EBC">
        <w:rPr>
          <w:rFonts w:ascii="Times New Roman" w:eastAsia="Calibri" w:hAnsi="Times New Roman" w:cs="Times New Roman"/>
          <w:bCs/>
          <w:i/>
          <w:iCs/>
          <w:sz w:val="24"/>
          <w:szCs w:val="24"/>
          <w:bdr w:val="none" w:sz="0" w:space="0" w:color="auto" w:frame="1"/>
          <w:shd w:val="clear" w:color="auto" w:fill="FFFFFF"/>
          <w:lang w:val="es-AR"/>
        </w:rPr>
        <w:t>el anarquismo no tuvo impacto popular significativo</w:t>
      </w:r>
      <w:r w:rsidRPr="00447EBC">
        <w:rPr>
          <w:rFonts w:ascii="Times New Roman" w:eastAsia="Calibri" w:hAnsi="Times New Roman" w:cs="Times New Roman"/>
          <w:bCs/>
          <w:iCs/>
          <w:sz w:val="24"/>
          <w:szCs w:val="24"/>
          <w:bdr w:val="none" w:sz="0" w:space="0" w:color="auto" w:frame="1"/>
          <w:shd w:val="clear" w:color="auto" w:fill="FFFFFF"/>
          <w:lang w:val="es-AR"/>
        </w:rPr>
        <w:t xml:space="preserve">, Irving Horowitz (1982: 9) constató su “desaparecimiento virtual […] como movimiento social organizado” al paso que </w:t>
      </w:r>
      <w:r w:rsidRPr="00447EBC">
        <w:rPr>
          <w:rFonts w:ascii="Times New Roman" w:eastAsia="Calibri" w:hAnsi="Times New Roman" w:cs="Times New Roman"/>
          <w:bCs/>
          <w:sz w:val="24"/>
          <w:lang w:val="es-AR"/>
        </w:rPr>
        <w:t xml:space="preserve">Kedward (1971: 120) fue más lejos, escribiendo que “el ideal de la anarquía nunca fue popular” y que “él encontró oposición de todas las clases y de todas las edades”. </w:t>
      </w:r>
    </w:p>
    <w:p w14:paraId="3F0E80D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lang w:val="es-AR"/>
        </w:rPr>
      </w:pPr>
      <w:r w:rsidRPr="00447EBC">
        <w:rPr>
          <w:rFonts w:ascii="Times New Roman" w:eastAsia="Calibri" w:hAnsi="Times New Roman" w:cs="Times New Roman"/>
          <w:bCs/>
          <w:sz w:val="24"/>
          <w:lang w:val="es-AR"/>
        </w:rPr>
        <w:t xml:space="preserve">Sosteniendo que </w:t>
      </w:r>
      <w:r w:rsidRPr="00447EBC">
        <w:rPr>
          <w:rFonts w:ascii="Times New Roman" w:eastAsia="Calibri" w:hAnsi="Times New Roman" w:cs="Times New Roman"/>
          <w:bCs/>
          <w:i/>
          <w:sz w:val="24"/>
          <w:lang w:val="es-AR"/>
        </w:rPr>
        <w:t xml:space="preserve">el anarquismo </w:t>
      </w:r>
      <w:r w:rsidRPr="00447EBC">
        <w:rPr>
          <w:rFonts w:ascii="Times New Roman" w:eastAsia="Calibri" w:hAnsi="Times New Roman" w:cs="Times New Roman"/>
          <w:bCs/>
          <w:i/>
          <w:iCs/>
          <w:sz w:val="24"/>
          <w:lang w:val="es-AR"/>
        </w:rPr>
        <w:t>prácticamente terminó después de la Revolución Española (1936-1939)</w:t>
      </w:r>
      <w:r w:rsidRPr="00447EBC">
        <w:rPr>
          <w:rFonts w:ascii="Times New Roman" w:eastAsia="Calibri" w:hAnsi="Times New Roman" w:cs="Times New Roman"/>
          <w:bCs/>
          <w:iCs/>
          <w:sz w:val="24"/>
          <w:lang w:val="es-AR"/>
        </w:rPr>
        <w:t xml:space="preserve">, </w:t>
      </w:r>
      <w:r w:rsidRPr="00447EBC">
        <w:rPr>
          <w:rFonts w:ascii="Times New Roman" w:eastAsia="Calibri" w:hAnsi="Times New Roman" w:cs="Times New Roman"/>
          <w:bCs/>
          <w:sz w:val="24"/>
          <w:lang w:val="es-AR"/>
        </w:rPr>
        <w:t xml:space="preserve">Woodcock (2002, vol. II: 288, 295), aunque modificando levemente de posición años después, defendió “el término de esta historia del anarquismo en el año de 1939”, pues este año “marca la verdadera muerte” del “movimiento anarquista histórico”. Guérin (1968: 155), en acuerdo con esto, señaló: “la derrota de la Revolución Española privó al anarquismo de su único bastión en el mundo”, siendo que “de esta experiencia, el movimiento anarquista salió aplastado”. En líneas generales, tal argumento se aproxima con aquél que sostiene que </w:t>
      </w:r>
      <w:r w:rsidRPr="00447EBC">
        <w:rPr>
          <w:rFonts w:ascii="Times New Roman" w:eastAsia="Calibri" w:hAnsi="Times New Roman" w:cs="Times New Roman"/>
          <w:bCs/>
          <w:i/>
          <w:sz w:val="24"/>
          <w:lang w:val="es-AR"/>
        </w:rPr>
        <w:t xml:space="preserve">esta revolución constituye una </w:t>
      </w:r>
      <w:r w:rsidRPr="00447EBC">
        <w:rPr>
          <w:rFonts w:ascii="Times New Roman" w:eastAsia="Calibri" w:hAnsi="Times New Roman" w:cs="Times New Roman"/>
          <w:bCs/>
          <w:i/>
          <w:iCs/>
          <w:sz w:val="24"/>
          <w:lang w:val="es-AR"/>
        </w:rPr>
        <w:t>excepción en la historia anarquista, por haber sido este uno de los pocos casos en que el anarquismo se convirtió en un amplio movimiento de masas</w:t>
      </w:r>
      <w:r w:rsidRPr="00447EBC">
        <w:rPr>
          <w:rFonts w:ascii="Times New Roman" w:eastAsia="Calibri" w:hAnsi="Times New Roman" w:cs="Times New Roman"/>
          <w:bCs/>
          <w:iCs/>
          <w:sz w:val="24"/>
          <w:lang w:val="es-AR"/>
        </w:rPr>
        <w:t>.</w:t>
      </w:r>
    </w:p>
    <w:p w14:paraId="2A72222F"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sz w:val="24"/>
          <w:lang w:val="es-AR"/>
        </w:rPr>
        <w:t xml:space="preserve">Joll (1970: 327-328) y Woodcock (2002, vol. II: 293; 290) argumentan, como muchos de los marxistas (por ejemplo: Hobsbawm, 1985), </w:t>
      </w:r>
      <w:r w:rsidRPr="00447EBC">
        <w:rPr>
          <w:rFonts w:ascii="Times New Roman" w:eastAsia="Calibri" w:hAnsi="Times New Roman" w:cs="Times New Roman"/>
          <w:bCs/>
          <w:iCs/>
          <w:sz w:val="24"/>
          <w:szCs w:val="24"/>
          <w:bdr w:val="none" w:sz="0" w:space="0" w:color="auto" w:frame="1"/>
          <w:shd w:val="clear" w:color="auto" w:fill="FFFFFF"/>
          <w:lang w:val="es-AR"/>
        </w:rPr>
        <w:t xml:space="preserve">que </w:t>
      </w:r>
      <w:r w:rsidRPr="00447EBC">
        <w:rPr>
          <w:rFonts w:ascii="Times New Roman" w:eastAsia="Calibri" w:hAnsi="Times New Roman" w:cs="Times New Roman"/>
          <w:bCs/>
          <w:i/>
          <w:iCs/>
          <w:sz w:val="24"/>
          <w:szCs w:val="24"/>
          <w:bdr w:val="none" w:sz="0" w:space="0" w:color="auto" w:frame="1"/>
          <w:shd w:val="clear" w:color="auto" w:fill="FFFFFF"/>
          <w:lang w:val="es-AR"/>
        </w:rPr>
        <w:t>el anarquismo movilizó bases clasistas limitadas, restringiéndose a los campesinos y artesanos en decadencia, no consiguiendo adaptarse al capitalismo industrial</w:t>
      </w:r>
      <w:r w:rsidRPr="00447EBC">
        <w:rPr>
          <w:rFonts w:ascii="Times New Roman" w:eastAsia="Calibri" w:hAnsi="Times New Roman" w:cs="Times New Roman"/>
          <w:bCs/>
          <w:iCs/>
          <w:sz w:val="24"/>
          <w:szCs w:val="24"/>
          <w:bdr w:val="none" w:sz="0" w:space="0" w:color="auto" w:frame="1"/>
          <w:shd w:val="clear" w:color="auto" w:fill="FFFFFF"/>
          <w:lang w:val="es-AR"/>
        </w:rPr>
        <w:t>.</w:t>
      </w:r>
    </w:p>
    <w:p w14:paraId="779629A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Otras conclusiones que los estudios sostienen son que </w:t>
      </w:r>
      <w:r w:rsidRPr="00447EBC">
        <w:rPr>
          <w:rFonts w:ascii="Times New Roman" w:eastAsia="Calibri" w:hAnsi="Times New Roman" w:cs="Times New Roman"/>
          <w:bCs/>
          <w:i/>
          <w:iCs/>
          <w:sz w:val="24"/>
          <w:szCs w:val="24"/>
          <w:bdr w:val="none" w:sz="0" w:space="0" w:color="auto" w:frame="1"/>
          <w:shd w:val="clear" w:color="auto" w:fill="FFFFFF"/>
          <w:lang w:val="es-AR"/>
        </w:rPr>
        <w:t>el anarquismo se fundamenta en bases idealistas</w:t>
      </w:r>
      <w:r w:rsidRPr="00447EBC">
        <w:rPr>
          <w:rFonts w:ascii="Times New Roman" w:eastAsia="Calibri" w:hAnsi="Times New Roman" w:cs="Times New Roman"/>
          <w:bCs/>
          <w:iCs/>
          <w:sz w:val="24"/>
          <w:szCs w:val="24"/>
          <w:bdr w:val="none" w:sz="0" w:space="0" w:color="auto" w:frame="1"/>
          <w:shd w:val="clear" w:color="auto" w:fill="FFFFFF"/>
          <w:lang w:val="es-AR"/>
        </w:rPr>
        <w:t xml:space="preserve"> (Eltzbacher, 2004: 273; Woodcock, 2002, vol. I: 15), </w:t>
      </w:r>
      <w:r w:rsidRPr="00447EBC">
        <w:rPr>
          <w:rFonts w:ascii="Times New Roman" w:eastAsia="Calibri" w:hAnsi="Times New Roman" w:cs="Times New Roman"/>
          <w:bCs/>
          <w:i/>
          <w:iCs/>
          <w:sz w:val="24"/>
          <w:szCs w:val="24"/>
          <w:bdr w:val="none" w:sz="0" w:space="0" w:color="auto" w:frame="1"/>
          <w:shd w:val="clear" w:color="auto" w:fill="FFFFFF"/>
          <w:lang w:val="es-AR"/>
        </w:rPr>
        <w:t>espontaneístas</w:t>
      </w:r>
      <w:r w:rsidRPr="00447EBC">
        <w:rPr>
          <w:rFonts w:ascii="Times New Roman" w:eastAsia="Calibri" w:hAnsi="Times New Roman" w:cs="Times New Roman"/>
          <w:bCs/>
          <w:iCs/>
          <w:sz w:val="24"/>
          <w:szCs w:val="24"/>
          <w:bdr w:val="none" w:sz="0" w:space="0" w:color="auto" w:frame="1"/>
          <w:shd w:val="clear" w:color="auto" w:fill="FFFFFF"/>
          <w:lang w:val="es-AR"/>
        </w:rPr>
        <w:t xml:space="preserve"> (Eltzbacher, 2004: 280), </w:t>
      </w:r>
      <w:r w:rsidRPr="00447EBC">
        <w:rPr>
          <w:rFonts w:ascii="Times New Roman" w:eastAsia="Calibri" w:hAnsi="Times New Roman" w:cs="Times New Roman"/>
          <w:bCs/>
          <w:i/>
          <w:iCs/>
          <w:sz w:val="24"/>
          <w:szCs w:val="24"/>
          <w:bdr w:val="none" w:sz="0" w:space="0" w:color="auto" w:frame="1"/>
          <w:shd w:val="clear" w:color="auto" w:fill="FFFFFF"/>
          <w:lang w:val="es-AR"/>
        </w:rPr>
        <w:t>individualistas</w:t>
      </w:r>
      <w:r w:rsidRPr="00447EBC">
        <w:rPr>
          <w:rFonts w:ascii="Times New Roman" w:eastAsia="Calibri" w:hAnsi="Times New Roman" w:cs="Times New Roman"/>
          <w:bCs/>
          <w:iCs/>
          <w:sz w:val="24"/>
          <w:szCs w:val="24"/>
          <w:bdr w:val="none" w:sz="0" w:space="0" w:color="auto" w:frame="1"/>
          <w:shd w:val="clear" w:color="auto" w:fill="FFFFFF"/>
          <w:lang w:val="es-AR"/>
        </w:rPr>
        <w:t xml:space="preserve"> (Joll,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1970:.</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32-33; Horowitz, 1982: 16; Woodcock, 2002, vol. I: 36, vol. II: 292) y </w:t>
      </w:r>
      <w:r w:rsidRPr="00447EBC">
        <w:rPr>
          <w:rFonts w:ascii="Times New Roman" w:eastAsia="Calibri" w:hAnsi="Times New Roman" w:cs="Times New Roman"/>
          <w:bCs/>
          <w:i/>
          <w:iCs/>
          <w:sz w:val="24"/>
          <w:szCs w:val="24"/>
          <w:bdr w:val="none" w:sz="0" w:space="0" w:color="auto" w:frame="1"/>
          <w:shd w:val="clear" w:color="auto" w:fill="FFFFFF"/>
          <w:lang w:val="es-AR"/>
        </w:rPr>
        <w:t>juveniles</w:t>
      </w:r>
      <w:r w:rsidRPr="00447EBC">
        <w:rPr>
          <w:rFonts w:ascii="Times New Roman" w:eastAsia="Calibri" w:hAnsi="Times New Roman" w:cs="Times New Roman"/>
          <w:bCs/>
          <w:iCs/>
          <w:sz w:val="24"/>
          <w:szCs w:val="24"/>
          <w:bdr w:val="none" w:sz="0" w:space="0" w:color="auto" w:frame="1"/>
          <w:shd w:val="clear" w:color="auto" w:fill="FFFFFF"/>
          <w:lang w:val="es-AR"/>
        </w:rPr>
        <w:t xml:space="preserve"> (Joll, 1970: 330; Kedward, 1971: 120). Curiosamente, estas conclusiones son próximas de las críticas leninistas del anarquismo (por ejemplo: Kolpinsky, 1976: 333), que no tienen nada de científicas; son solamente afirmaciones ideológicas, sin base histórica, con el fin de autopromoción en detrimento del adversario. </w:t>
      </w:r>
    </w:p>
    <w:p w14:paraId="56C80D68" w14:textId="77777777" w:rsidR="00447EBC" w:rsidRDefault="00447EBC" w:rsidP="00447EBC">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14:paraId="53B73BCD" w14:textId="77777777" w:rsidR="00325888" w:rsidRPr="00447EBC" w:rsidRDefault="00325888" w:rsidP="00447EBC">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14:paraId="377E0C54"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Nuevo abordaje teórico-metodológico</w:t>
      </w:r>
    </w:p>
    <w:p w14:paraId="79ABB8B8"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propone nuevos fundamentos de método y teoría para los estudios del anarquismo, los cuales son capaces, según sostiene, no solamente de enfocar este objeto de manera más adecuada, sino de demonstrar el equívoco de las conclusiones anteriormente presentadas. </w:t>
      </w:r>
    </w:p>
    <w:p w14:paraId="4BDA729D"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Antes que nada, el libro recomienda recurrir a – en su propio caso, elaborar – una </w:t>
      </w:r>
      <w:r w:rsidRPr="00447EBC">
        <w:rPr>
          <w:rFonts w:ascii="Times New Roman" w:eastAsia="Calibri" w:hAnsi="Times New Roman" w:cs="Times New Roman"/>
          <w:bCs/>
          <w:i/>
          <w:iCs/>
          <w:sz w:val="24"/>
          <w:szCs w:val="24"/>
          <w:bdr w:val="none" w:sz="0" w:space="0" w:color="auto" w:frame="1"/>
          <w:shd w:val="clear" w:color="auto" w:fill="FFFFFF"/>
          <w:lang w:val="es-AR"/>
        </w:rPr>
        <w:t>definición histórica y precisa de anarquismo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que contemple los aspectos comunes de sus autores y episodios y que sea capaz de diferenciarlo de otras ideologías, abarcando sus continuidades y permanencias a largo plazo. </w:t>
      </w:r>
    </w:p>
    <w:p w14:paraId="166BCFF9"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Además, enfatiza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en  marcar</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una clara </w:t>
      </w:r>
      <w:r w:rsidRPr="00447EBC">
        <w:rPr>
          <w:rFonts w:ascii="Times New Roman" w:eastAsia="Calibri" w:hAnsi="Times New Roman" w:cs="Times New Roman"/>
          <w:bCs/>
          <w:i/>
          <w:iCs/>
          <w:sz w:val="24"/>
          <w:szCs w:val="24"/>
          <w:bdr w:val="none" w:sz="0" w:space="0" w:color="auto" w:frame="1"/>
          <w:shd w:val="clear" w:color="auto" w:fill="FFFFFF"/>
          <w:lang w:val="es-AR"/>
        </w:rPr>
        <w:t>distinción</w:t>
      </w:r>
      <w:r w:rsidRPr="00447EBC">
        <w:rPr>
          <w:rFonts w:ascii="Times New Roman" w:eastAsia="Calibri" w:hAnsi="Times New Roman" w:cs="Times New Roman"/>
          <w:bCs/>
          <w:iCs/>
          <w:sz w:val="24"/>
          <w:szCs w:val="24"/>
          <w:bdr w:val="none" w:sz="0" w:space="0" w:color="auto" w:frame="1"/>
          <w:shd w:val="clear" w:color="auto" w:fill="FFFFFF"/>
          <w:lang w:val="es-AR"/>
        </w:rPr>
        <w:t xml:space="preserve"> entre dos cosas diferentes: </w:t>
      </w:r>
      <w:r w:rsidRPr="00447EBC">
        <w:rPr>
          <w:rFonts w:ascii="Times New Roman" w:eastAsia="Calibri" w:hAnsi="Times New Roman" w:cs="Times New Roman"/>
          <w:bCs/>
          <w:i/>
          <w:iCs/>
          <w:sz w:val="24"/>
          <w:szCs w:val="24"/>
          <w:bdr w:val="none" w:sz="0" w:space="0" w:color="auto" w:frame="1"/>
          <w:shd w:val="clear" w:color="auto" w:fill="FFFFFF"/>
          <w:lang w:val="es-AR"/>
        </w:rPr>
        <w:t>una tradición histórica anarquista y un universo “libertario” más amplio y no necesariamente histórico</w:t>
      </w:r>
      <w:r w:rsidRPr="00447EBC">
        <w:rPr>
          <w:rFonts w:ascii="Times New Roman" w:eastAsia="Calibri" w:hAnsi="Times New Roman" w:cs="Times New Roman"/>
          <w:bCs/>
          <w:iCs/>
          <w:sz w:val="24"/>
          <w:szCs w:val="24"/>
          <w:bdr w:val="none" w:sz="0" w:space="0" w:color="auto" w:frame="1"/>
          <w:shd w:val="clear" w:color="auto" w:fill="FFFFFF"/>
          <w:lang w:val="es-AR"/>
        </w:rPr>
        <w:t>, siendo la primera, parte del segundo. Así, todo anarquista es libertario, pero no todo libertario es anarquista. La tradición histórica anarquista, según esta concepción, involucra un conjunto de fenómenos históricos que se desarrollan y se difunden a partir de bases comunes y se explican por las relaciones sociales establecidas por distintos medios (contactos presenciales, epistolares, libros, prensa etc.), al igual que adaptaciones y modificaciones en función de los diferentes contextos en los cuales se presenta. El universo libertario es un todo no necesariamente relacionado en términos históricos y que incluye luchas e iniciativas antiautoritarias, contrarias a la dominación y defensa de formas igualitarias las relaciones.</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5"/>
      </w:r>
    </w:p>
    <w:p w14:paraId="41163C4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término de metodología historiográfica y alcance geográfico hay algunas recomendaciones, que encuentran aportes en la Nueva Historia del Trabajo y la Historia Global del Trabajo, así como en la producción teórico-metodológica de organizaciones,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investigadores y militantes anarquistas.</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6"/>
      </w:r>
      <w:r w:rsidRPr="00447EBC">
        <w:rPr>
          <w:rFonts w:ascii="Times New Roman" w:eastAsia="Calibri" w:hAnsi="Times New Roman" w:cs="Times New Roman"/>
          <w:bCs/>
          <w:iCs/>
          <w:sz w:val="24"/>
          <w:szCs w:val="24"/>
          <w:bdr w:val="none" w:sz="0" w:space="0" w:color="auto" w:frame="1"/>
          <w:shd w:val="clear" w:color="auto" w:fill="FFFFFF"/>
          <w:lang w:val="es-AR"/>
        </w:rPr>
        <w:t xml:space="preserve"> Esto contribuye con la elaboración de conceptos capaces de subsidiar los estudios del anarquismo, los cuales no tienen que ser necesariamente elaborados por los anarquistas. Entre ellos, se pueden mencionar los de </w:t>
      </w:r>
      <w:r w:rsidRPr="00447EBC">
        <w:rPr>
          <w:rFonts w:ascii="Times New Roman" w:eastAsia="Calibri" w:hAnsi="Times New Roman" w:cs="Times New Roman"/>
          <w:bCs/>
          <w:i/>
          <w:iCs/>
          <w:sz w:val="24"/>
          <w:szCs w:val="24"/>
          <w:bdr w:val="none" w:sz="0" w:space="0" w:color="auto" w:frame="1"/>
          <w:shd w:val="clear" w:color="auto" w:fill="FFFFFF"/>
          <w:lang w:val="es-AR"/>
        </w:rPr>
        <w:t>totalidad e interdependencia</w:t>
      </w:r>
      <w:r w:rsidRPr="00447EBC">
        <w:rPr>
          <w:rFonts w:ascii="Times New Roman" w:eastAsia="Calibri" w:hAnsi="Times New Roman" w:cs="Times New Roman"/>
          <w:bCs/>
          <w:iCs/>
          <w:sz w:val="24"/>
          <w:szCs w:val="24"/>
          <w:bdr w:val="none" w:sz="0" w:space="0" w:color="auto" w:frame="1"/>
          <w:shd w:val="clear" w:color="auto" w:fill="FFFFFF"/>
          <w:lang w:val="es-AR"/>
        </w:rPr>
        <w:t>, que se aplican, en el caso de los estudios del anarquismo, a la relación entre teoría e historia, entre pensamiento y acción, entre autores y episodios, entre forma y contenido, anarquismo y luchas sociales, críticas y propuestas.</w:t>
      </w:r>
    </w:p>
    <w:p w14:paraId="0D12575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considera necesario operar con un </w:t>
      </w:r>
      <w:r w:rsidRPr="00447EBC">
        <w:rPr>
          <w:rFonts w:ascii="Times New Roman" w:eastAsia="Calibri" w:hAnsi="Times New Roman" w:cs="Times New Roman"/>
          <w:bCs/>
          <w:i/>
          <w:iCs/>
          <w:sz w:val="24"/>
          <w:szCs w:val="24"/>
          <w:bdr w:val="none" w:sz="0" w:space="0" w:color="auto" w:frame="1"/>
          <w:shd w:val="clear" w:color="auto" w:fill="FFFFFF"/>
          <w:lang w:val="es-AR"/>
        </w:rPr>
        <w:t>método histórico</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r w:rsidRPr="00447EBC">
        <w:rPr>
          <w:rFonts w:ascii="Times New Roman" w:eastAsia="Calibri" w:hAnsi="Times New Roman" w:cs="Times New Roman"/>
          <w:bCs/>
          <w:i/>
          <w:iCs/>
          <w:sz w:val="24"/>
          <w:szCs w:val="24"/>
          <w:bdr w:val="none" w:sz="0" w:space="0" w:color="auto" w:frame="1"/>
          <w:shd w:val="clear" w:color="auto" w:fill="FFFFFF"/>
          <w:lang w:val="es-AR"/>
        </w:rPr>
        <w:t>que haga uso de los elementos de la historia desde abajo</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7"/>
      </w:r>
      <w:r w:rsidRPr="00447EBC">
        <w:rPr>
          <w:rFonts w:ascii="Times New Roman" w:eastAsia="Calibri" w:hAnsi="Times New Roman" w:cs="Times New Roman"/>
          <w:bCs/>
          <w:i/>
          <w:iCs/>
          <w:sz w:val="24"/>
          <w:szCs w:val="24"/>
          <w:bdr w:val="none" w:sz="0" w:space="0" w:color="auto" w:frame="1"/>
          <w:shd w:val="clear" w:color="auto" w:fill="FFFFFF"/>
          <w:lang w:val="es-AR"/>
        </w:rPr>
        <w:t>; que permita relacionar a los clásicos con los movimientos y luchas de su tiempo; que haga una precisa relación del anarquismo y de los anarquistas con el contexto en lo cual estuvieron insertos; que lleve a consideración, conforme sea necesario, reflexiones globales del anarquismo, tomando en cuenta el período amplio que se extiende desde su surgimiento en el siglo XIX hasta el presente; que identifique los caminos de la difusión del anarquismo, por medio de contactos entre militantes, cartas, lecturas compartidas etc. y que responda en qué medida los trazos generales de este anarquismo en difusión se mantuvieron y se fueron modificando/adaptando a realidades locales incorporando otras tradiciones de lucha y resistencia; que permita identificar las continuidades y permanencias del anarquismo en el tiempo y en el espacio, así como sus modificaciones contextuales fruto de relaciones sociales. El libro propone, incluso, siempre que sea posible o deseable, extrapolar el eje Atlántico Norte y abarcar los cinco continentes, recurriendo, también en caso de necesidad, a las comparaciones.</w:t>
      </w:r>
    </w:p>
    <w:p w14:paraId="13AC7FC4"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BAE44AA"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Redefinición del anarquismo</w:t>
      </w:r>
    </w:p>
    <w:p w14:paraId="478D0C04"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Por medio de este nuevo abordaje, se puede constatar que el anarquismo es un tipo de socialismo, caracterizado por un conjunto preciso de principios, que se manifiesta históricamente en el mundo moderno y contemporáneo. Éste cuenta en su trayectoria con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la oposición al Estado, la defensa de la libertad individual (aunque dependiente y relacionada a la libertad colectiva) y la distinción frente al marxismo (aunque compartiendo algunas posiciones similares); pero que no puede ser resumido como anti-estatismo, individualismo o antítesis del marxismo. Más bien, </w:t>
      </w:r>
    </w:p>
    <w:p w14:paraId="0912E2A1" w14:textId="77777777" w:rsidR="00447EBC" w:rsidRPr="00447EBC" w:rsidRDefault="00447EBC" w:rsidP="00447EBC">
      <w:pPr>
        <w:spacing w:after="0" w:line="240" w:lineRule="auto"/>
        <w:ind w:left="2268" w:firstLine="284"/>
        <w:jc w:val="both"/>
        <w:rPr>
          <w:rFonts w:ascii="Times New Roman" w:eastAsia="Calibri" w:hAnsi="Times New Roman" w:cs="Times New Roman"/>
          <w:bCs/>
          <w:iCs/>
          <w:sz w:val="20"/>
          <w:szCs w:val="20"/>
          <w:bdr w:val="none" w:sz="0" w:space="0" w:color="auto" w:frame="1"/>
          <w:shd w:val="clear" w:color="auto" w:fill="FFFFFF"/>
          <w:lang w:val="es-AR"/>
        </w:rPr>
      </w:pPr>
    </w:p>
    <w:p w14:paraId="348CE08E" w14:textId="77777777" w:rsidR="00447EBC" w:rsidRPr="00447EBC" w:rsidRDefault="00447EBC" w:rsidP="00447EBC">
      <w:pPr>
        <w:spacing w:after="0" w:line="360" w:lineRule="auto"/>
        <w:ind w:left="709" w:right="709"/>
        <w:jc w:val="both"/>
        <w:rPr>
          <w:rFonts w:ascii="Times New Roman" w:eastAsia="Calibri" w:hAnsi="Times New Roman" w:cs="Times New Roman"/>
          <w:bCs/>
          <w:iCs/>
          <w:bdr w:val="none" w:sz="0" w:space="0" w:color="auto" w:frame="1"/>
          <w:shd w:val="clear" w:color="auto" w:fill="FFFFFF"/>
          <w:lang w:val="es-AR"/>
        </w:rPr>
      </w:pPr>
      <w:r w:rsidRPr="00447EBC">
        <w:rPr>
          <w:rFonts w:ascii="Times New Roman" w:eastAsia="Calibri" w:hAnsi="Times New Roman" w:cs="Times New Roman"/>
          <w:bCs/>
          <w:i/>
          <w:iCs/>
          <w:bdr w:val="none" w:sz="0" w:space="0" w:color="auto" w:frame="1"/>
          <w:shd w:val="clear" w:color="auto" w:fill="FFFFFF"/>
          <w:lang w:val="es-AR"/>
        </w:rPr>
        <w:t xml:space="preserve">el anarquismo es una </w:t>
      </w:r>
      <w:r w:rsidRPr="00447EBC">
        <w:rPr>
          <w:rFonts w:ascii="Times New Roman" w:eastAsia="Calibri" w:hAnsi="Times New Roman" w:cs="Times New Roman"/>
          <w:bCs/>
          <w:iCs/>
          <w:bdr w:val="none" w:sz="0" w:space="0" w:color="auto" w:frame="1"/>
          <w:shd w:val="clear" w:color="auto" w:fill="FFFFFF"/>
          <w:lang w:val="es-AR"/>
        </w:rPr>
        <w:t>ideología</w:t>
      </w:r>
      <w:r w:rsidRPr="00447EBC">
        <w:rPr>
          <w:rFonts w:ascii="Times New Roman" w:eastAsia="Calibri" w:hAnsi="Times New Roman" w:cs="Times New Roman"/>
          <w:bCs/>
          <w:i/>
          <w:iCs/>
          <w:bdr w:val="none" w:sz="0" w:space="0" w:color="auto" w:frame="1"/>
          <w:shd w:val="clear" w:color="auto" w:fill="FFFFFF"/>
          <w:lang w:val="es-AR"/>
        </w:rPr>
        <w:t xml:space="preserve"> socialista y revolucionaria que se fundamenta en principios determinados, cuyas bases se definen a partir de una crítica a la</w:t>
      </w:r>
      <w:r w:rsidRPr="00447EBC">
        <w:rPr>
          <w:rFonts w:ascii="Times New Roman" w:eastAsia="Calibri" w:hAnsi="Times New Roman" w:cs="Times New Roman"/>
          <w:bCs/>
          <w:iCs/>
          <w:bdr w:val="none" w:sz="0" w:space="0" w:color="auto" w:frame="1"/>
          <w:shd w:val="clear" w:color="auto" w:fill="FFFFFF"/>
          <w:lang w:val="es-AR"/>
        </w:rPr>
        <w:t xml:space="preserve"> dominación</w:t>
      </w:r>
      <w:r w:rsidRPr="00447EBC">
        <w:rPr>
          <w:rFonts w:ascii="Times New Roman" w:eastAsia="Calibri" w:hAnsi="Times New Roman" w:cs="Times New Roman"/>
          <w:bCs/>
          <w:i/>
          <w:iCs/>
          <w:bdr w:val="none" w:sz="0" w:space="0" w:color="auto" w:frame="1"/>
          <w:shd w:val="clear" w:color="auto" w:fill="FFFFFF"/>
          <w:lang w:val="es-AR"/>
        </w:rPr>
        <w:t xml:space="preserve"> y de una defensa de la </w:t>
      </w:r>
      <w:r w:rsidRPr="00447EBC">
        <w:rPr>
          <w:rFonts w:ascii="Times New Roman" w:eastAsia="Calibri" w:hAnsi="Times New Roman" w:cs="Times New Roman"/>
          <w:bCs/>
          <w:iCs/>
          <w:bdr w:val="none" w:sz="0" w:space="0" w:color="auto" w:frame="1"/>
          <w:shd w:val="clear" w:color="auto" w:fill="FFFFFF"/>
          <w:lang w:val="es-AR"/>
        </w:rPr>
        <w:t>autogestión</w:t>
      </w:r>
      <w:r w:rsidRPr="00447EBC">
        <w:rPr>
          <w:rFonts w:ascii="Times New Roman" w:eastAsia="Calibri" w:hAnsi="Times New Roman" w:cs="Times New Roman"/>
          <w:bCs/>
          <w:i/>
          <w:iCs/>
          <w:bdr w:val="none" w:sz="0" w:space="0" w:color="auto" w:frame="1"/>
          <w:shd w:val="clear" w:color="auto" w:fill="FFFFFF"/>
          <w:lang w:val="es-AR"/>
        </w:rPr>
        <w:t xml:space="preserve">; en términos estructurales, el anarquismo defiende una transformación social fundamentada en </w:t>
      </w:r>
      <w:r w:rsidRPr="00447EBC">
        <w:rPr>
          <w:rFonts w:ascii="Times New Roman" w:eastAsia="Calibri" w:hAnsi="Times New Roman" w:cs="Times New Roman"/>
          <w:bCs/>
          <w:iCs/>
          <w:bdr w:val="none" w:sz="0" w:space="0" w:color="auto" w:frame="1"/>
          <w:shd w:val="clear" w:color="auto" w:fill="FFFFFF"/>
          <w:lang w:val="es-AR"/>
        </w:rPr>
        <w:t>estrategias</w:t>
      </w:r>
      <w:r w:rsidRPr="00447EBC">
        <w:rPr>
          <w:rFonts w:ascii="Times New Roman" w:eastAsia="Calibri" w:hAnsi="Times New Roman" w:cs="Times New Roman"/>
          <w:bCs/>
          <w:i/>
          <w:iCs/>
          <w:bdr w:val="none" w:sz="0" w:space="0" w:color="auto" w:frame="1"/>
          <w:shd w:val="clear" w:color="auto" w:fill="FFFFFF"/>
          <w:lang w:val="es-AR"/>
        </w:rPr>
        <w:t>, que deben permitir la substitución de un sistema de dominación por un sistema de autogestión.</w:t>
      </w:r>
      <w:r w:rsidRPr="00447EBC">
        <w:rPr>
          <w:rFonts w:ascii="Times New Roman" w:eastAsia="Calibri" w:hAnsi="Times New Roman" w:cs="Times New Roman"/>
          <w:bCs/>
          <w:iCs/>
          <w:bdr w:val="none" w:sz="0" w:space="0" w:color="auto" w:frame="1"/>
          <w:shd w:val="clear" w:color="auto" w:fill="FFFFFF"/>
          <w:lang w:val="es-AR"/>
        </w:rPr>
        <w:t xml:space="preserve"> (Corrêa, 2014a: 117)</w:t>
      </w:r>
    </w:p>
    <w:p w14:paraId="1B8F658E" w14:textId="77777777" w:rsidR="00447EBC" w:rsidRPr="00447EBC" w:rsidRDefault="00447EBC" w:rsidP="00447EBC">
      <w:pPr>
        <w:spacing w:after="0" w:line="240" w:lineRule="auto"/>
        <w:ind w:left="2268" w:firstLine="709"/>
        <w:jc w:val="both"/>
        <w:rPr>
          <w:rFonts w:ascii="Times New Roman" w:eastAsia="Calibri" w:hAnsi="Times New Roman" w:cs="Times New Roman"/>
          <w:bCs/>
          <w:iCs/>
          <w:sz w:val="20"/>
          <w:szCs w:val="20"/>
          <w:bdr w:val="none" w:sz="0" w:space="0" w:color="auto" w:frame="1"/>
          <w:shd w:val="clear" w:color="auto" w:fill="FFFFFF"/>
          <w:lang w:val="es-AR"/>
        </w:rPr>
      </w:pPr>
      <w:r w:rsidRPr="00447EBC">
        <w:rPr>
          <w:rFonts w:ascii="Times New Roman" w:eastAsia="Calibri" w:hAnsi="Times New Roman" w:cs="Times New Roman"/>
          <w:bCs/>
          <w:iCs/>
          <w:sz w:val="20"/>
          <w:szCs w:val="20"/>
          <w:bdr w:val="none" w:sz="0" w:space="0" w:color="auto" w:frame="1"/>
          <w:shd w:val="clear" w:color="auto" w:fill="FFFFFF"/>
          <w:lang w:val="es-AR"/>
        </w:rPr>
        <w:t xml:space="preserve"> </w:t>
      </w:r>
    </w:p>
    <w:p w14:paraId="6737B460"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Hablar de ideología, aquí, no significa adoptar el significado marxista de “falsa consciencia”, sino el sentido de praxis, de un conjunto de pensamiento y acción que emerge en la relación entre movimientos populares y teóricos.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El anarquismo es, principalmente, una praxis históricamente conformada y que se expresa en un cuerpo de principios político-ideológicos centrados en la transformación social revolucionaria, </w:t>
      </w:r>
      <w:proofErr w:type="gramStart"/>
      <w:r w:rsidRPr="00447EBC">
        <w:rPr>
          <w:rFonts w:ascii="Times New Roman" w:eastAsia="Calibri" w:hAnsi="Times New Roman" w:cs="Times New Roman"/>
          <w:bCs/>
          <w:i/>
          <w:iCs/>
          <w:sz w:val="24"/>
          <w:szCs w:val="24"/>
          <w:bdr w:val="none" w:sz="0" w:space="0" w:color="auto" w:frame="1"/>
          <w:shd w:val="clear" w:color="auto" w:fill="FFFFFF"/>
          <w:lang w:val="es-AR"/>
        </w:rPr>
        <w:t>en relación al</w:t>
      </w:r>
      <w:proofErr w:type="gramEnd"/>
      <w:r w:rsidRPr="00447EBC">
        <w:rPr>
          <w:rFonts w:ascii="Times New Roman" w:eastAsia="Calibri" w:hAnsi="Times New Roman" w:cs="Times New Roman"/>
          <w:bCs/>
          <w:i/>
          <w:iCs/>
          <w:sz w:val="24"/>
          <w:szCs w:val="24"/>
          <w:bdr w:val="none" w:sz="0" w:space="0" w:color="auto" w:frame="1"/>
          <w:shd w:val="clear" w:color="auto" w:fill="FFFFFF"/>
          <w:lang w:val="es-AR"/>
        </w:rPr>
        <w:t xml:space="preserve"> cuál hay significativa unidad por parte de los anarquistas.</w:t>
      </w:r>
    </w:p>
    <w:p w14:paraId="5F0FC52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El anarquismo no es, pues, una manera homogénea de leer la realidad, un corpus de teoría y método. Sin embargo, se funda en análisis racionales, métodos y teorías que tienen elementos en común y que no pueden ser caracterizadas como idealistas, en el sentido de las explicaciones teológicas y/o metafísicas, y tampoco como un </w:t>
      </w:r>
      <w:r w:rsidRPr="00447EBC">
        <w:rPr>
          <w:rFonts w:ascii="Times New Roman" w:eastAsia="Calibri" w:hAnsi="Times New Roman" w:cs="Times New Roman"/>
          <w:bCs/>
          <w:i/>
          <w:iCs/>
          <w:sz w:val="24"/>
          <w:szCs w:val="24"/>
          <w:bdr w:val="none" w:sz="0" w:space="0" w:color="auto" w:frame="1"/>
          <w:shd w:val="clear" w:color="auto" w:fill="FFFFFF"/>
          <w:lang w:val="es-AR"/>
        </w:rPr>
        <w:t>corpus</w:t>
      </w:r>
      <w:r w:rsidRPr="00447EBC">
        <w:rPr>
          <w:rFonts w:ascii="Times New Roman" w:eastAsia="Calibri" w:hAnsi="Times New Roman" w:cs="Times New Roman"/>
          <w:bCs/>
          <w:iCs/>
          <w:sz w:val="24"/>
          <w:szCs w:val="24"/>
          <w:bdr w:val="none" w:sz="0" w:space="0" w:color="auto" w:frame="1"/>
          <w:shd w:val="clear" w:color="auto" w:fill="FFFFFF"/>
          <w:lang w:val="es-AR"/>
        </w:rPr>
        <w:t xml:space="preserve"> que prioriza a modo general las ideas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los hechos. </w:t>
      </w:r>
      <w:r w:rsidRPr="00447EBC">
        <w:rPr>
          <w:rFonts w:ascii="Times New Roman" w:eastAsia="Calibri" w:hAnsi="Times New Roman" w:cs="Times New Roman"/>
          <w:bCs/>
          <w:i/>
          <w:iCs/>
          <w:sz w:val="24"/>
          <w:szCs w:val="24"/>
          <w:bdr w:val="none" w:sz="0" w:space="0" w:color="auto" w:frame="1"/>
          <w:shd w:val="clear" w:color="auto" w:fill="FFFFFF"/>
          <w:lang w:val="es-AR"/>
        </w:rPr>
        <w:t>El anarquismo tiene como trazo constituyente la apertura, la pluralidad y el anti-dogmatismo en el campo de teoría y método para la comprensión de la realidad.</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p>
    <w:p w14:paraId="7B0A5F4C" w14:textId="77777777" w:rsidR="00447EBC" w:rsidRPr="00447EBC" w:rsidRDefault="00447EBC" w:rsidP="00447EBC">
      <w:pPr>
        <w:spacing w:after="0" w:line="360" w:lineRule="auto"/>
        <w:ind w:firstLine="709"/>
        <w:jc w:val="both"/>
        <w:rPr>
          <w:rFonts w:ascii="Times New Roman" w:eastAsia="Calibri" w:hAnsi="Times New Roman" w:cs="Times New Roman"/>
          <w:bCs/>
          <w:i/>
          <w:iCs/>
          <w:sz w:val="24"/>
          <w:szCs w:val="24"/>
          <w:bdr w:val="none" w:sz="0" w:space="0" w:color="auto" w:frame="1"/>
          <w:shd w:val="clear" w:color="auto" w:fill="FFFFFF"/>
          <w:lang w:val="es-AR"/>
        </w:rPr>
      </w:pPr>
      <w:proofErr w:type="gramStart"/>
      <w:r w:rsidRPr="00447EBC">
        <w:rPr>
          <w:rFonts w:ascii="Times New Roman" w:eastAsia="Calibri" w:hAnsi="Times New Roman" w:cs="Times New Roman"/>
          <w:bCs/>
          <w:i/>
          <w:iCs/>
          <w:sz w:val="24"/>
          <w:szCs w:val="24"/>
          <w:bdr w:val="none" w:sz="0" w:space="0" w:color="auto" w:frame="1"/>
          <w:shd w:val="clear" w:color="auto" w:fill="FFFFFF"/>
          <w:lang w:val="es-AR"/>
        </w:rPr>
        <w:t>El trípode crítica</w:t>
      </w:r>
      <w:proofErr w:type="gramEnd"/>
      <w:r w:rsidRPr="00447EBC">
        <w:rPr>
          <w:rFonts w:ascii="Times New Roman" w:eastAsia="Calibri" w:hAnsi="Times New Roman" w:cs="Times New Roman"/>
          <w:bCs/>
          <w:i/>
          <w:iCs/>
          <w:sz w:val="24"/>
          <w:szCs w:val="24"/>
          <w:bdr w:val="none" w:sz="0" w:space="0" w:color="auto" w:frame="1"/>
          <w:shd w:val="clear" w:color="auto" w:fill="FFFFFF"/>
          <w:lang w:val="es-AR"/>
        </w:rPr>
        <w:t xml:space="preserve"> de la dominación / defensa de la autogestión / estrategia fundamental puede ayudar a detallar la mencionada definición, visto que es, el mismo, en </w:t>
      </w:r>
      <w:r w:rsidRPr="00447EBC">
        <w:rPr>
          <w:rFonts w:ascii="Times New Roman" w:eastAsia="Calibri" w:hAnsi="Times New Roman" w:cs="Times New Roman"/>
          <w:bCs/>
          <w:iCs/>
          <w:sz w:val="24"/>
          <w:szCs w:val="24"/>
          <w:bdr w:val="none" w:sz="0" w:space="0" w:color="auto" w:frame="1"/>
          <w:shd w:val="clear" w:color="auto" w:fill="FFFFFF"/>
          <w:lang w:val="es-AR"/>
        </w:rPr>
        <w:t>Bandera Negra</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el núcleo explicativo del concepto de anarquismo.  </w:t>
      </w:r>
    </w:p>
    <w:p w14:paraId="57F6DE6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La crítica de la dominación se caracteriza por una crítica de las relaciones jerárquicas, en las cuales unos deciden sobre lo que se dice respecto a muchos o todos y que involucran vinculación de mando y obediencia. Las relaciones de dominación se encuentran en la base de las desigualdades e injusticias sociales, y pueden abarcar varios tipos: explotación del trabajo, coerción física, dominación político-burocrática,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alienación cultural; pueden ser dominaciones de clase, nacionales, de género, de etnia/raza, etc. Su generalización implica la existencia de un sistema de dominación.</w:t>
      </w:r>
    </w:p>
    <w:p w14:paraId="34BF99C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La defensa de la autogestión se caracteriza, como antítesis de la dominación, por la participación en los procesos decisorios en la medida que se es afectado por ellos, o sea, las decisiones son tomadas desde la base y las delegaciones rotativas con control de la base. Una sociedad autogestionaria se caracterizaría por la socialización de la propiedad, habiendo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sido  conciliada</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con la propiedad familiar en el campo; por el autogobierno democrático, involucrando la socialización de la política, gestionada por asociaciones de trabajadores y delegaciones rotativas con control de la base; por la cultura autogestionaria, apoyada en una nueva ética y en una nueva educación, comunicación y ocio libertarios. Su generalización implica la existencia de un sistema de autogestión.    </w:t>
      </w:r>
    </w:p>
    <w:p w14:paraId="357BE24E"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La estrategia fundamental se caracteriza por un conjunto de fines y medios – o sea, objetivos, estrategias y tácticas – concebidos para salir del sistema de dominación y llegar al sistema de autogestión y en el cual hay subordinación de los medios a los fines. Este conjunto incluye la movilización de las clases dominadas como un todo: trabajadores de la ciudad y del campo, campesinos, precarizados y marginales – entendiendo que las clases sociales son concebidas más allá de las relaciones de producción o de la esfera económica. Incluye también la permanente búsqueda por transformar, en las tres esferas – económica, política/jurídica/militar y cultural/ideológica – la capacidad de realización de estas clases en fuerza social concreta y, con esto, pelear por la constitución de un poder autogestionario no dominador. Rechaza la movilidad individual o sectorial en el capitalismo o en el Estado y se defiende la transformación social por medio de procesos autogestionarios de lucha que implican una revolución inevitablemente violenta, que puede tener mayor o menor duración.</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8"/>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p>
    <w:p w14:paraId="6CA590D7"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Este trípode, que se sostiene en el libro, puede ser expresado en un conjunto relativamente fijo de diez principios político-ideológicos, que han sido mantenidos, continua y permanentemente, entre los anarquistas. Ellos constituyen las bases fundamentales de esa definición de anarquismo y permiten comprender dónde está su coherencia.  </w:t>
      </w:r>
    </w:p>
    <w:p w14:paraId="26B28563" w14:textId="77777777" w:rsidR="00447EBC" w:rsidRPr="00447EBC" w:rsidRDefault="00447EBC" w:rsidP="00447EBC">
      <w:pPr>
        <w:spacing w:after="0" w:line="240" w:lineRule="auto"/>
        <w:ind w:left="2268" w:firstLine="284"/>
        <w:jc w:val="both"/>
        <w:rPr>
          <w:rFonts w:ascii="Times New Roman" w:eastAsia="Calibri" w:hAnsi="Times New Roman" w:cs="Times New Roman"/>
          <w:b/>
          <w:sz w:val="20"/>
          <w:szCs w:val="20"/>
          <w:lang w:val="es-AR"/>
        </w:rPr>
      </w:pPr>
    </w:p>
    <w:p w14:paraId="29B3F56B" w14:textId="77777777" w:rsidR="00447EBC" w:rsidRPr="00447EBC" w:rsidRDefault="00447EBC" w:rsidP="00447EBC">
      <w:pPr>
        <w:spacing w:after="0" w:line="360" w:lineRule="auto"/>
        <w:ind w:left="709" w:right="709" w:firstLine="284"/>
        <w:jc w:val="both"/>
        <w:rPr>
          <w:rFonts w:ascii="Times New Roman" w:eastAsia="Calibri" w:hAnsi="Times New Roman" w:cs="Times New Roman"/>
          <w:lang w:val="es-AR"/>
        </w:rPr>
      </w:pPr>
      <w:r w:rsidRPr="00447EBC">
        <w:rPr>
          <w:rFonts w:ascii="Times New Roman" w:eastAsia="Calibri" w:hAnsi="Times New Roman" w:cs="Times New Roman"/>
          <w:b/>
          <w:i/>
          <w:lang w:val="es-AR"/>
        </w:rPr>
        <w:t>1)</w:t>
      </w:r>
      <w:r w:rsidRPr="00447EBC">
        <w:rPr>
          <w:rFonts w:ascii="Times New Roman" w:eastAsia="Calibri" w:hAnsi="Times New Roman" w:cs="Times New Roman"/>
          <w:i/>
          <w:lang w:val="es-AR"/>
        </w:rPr>
        <w:t xml:space="preserve"> </w:t>
      </w:r>
      <w:r w:rsidRPr="00447EBC">
        <w:rPr>
          <w:rFonts w:ascii="Times New Roman" w:eastAsia="Calibri" w:hAnsi="Times New Roman" w:cs="Times New Roman"/>
          <w:b/>
          <w:i/>
          <w:lang w:val="es-AR"/>
        </w:rPr>
        <w:t>Ética y valores.</w:t>
      </w:r>
      <w:r w:rsidRPr="00447EBC">
        <w:rPr>
          <w:rFonts w:ascii="Times New Roman" w:eastAsia="Calibri" w:hAnsi="Times New Roman" w:cs="Times New Roman"/>
          <w:i/>
          <w:lang w:val="es-AR"/>
        </w:rPr>
        <w:t xml:space="preserve"> La defensa de una concepción ética, capaz de subsidiar críticas y propuestas racionales, pautadas en los siguientes valores: libertad individual y colectiva; igualdad en términos económicos, políticos y sociales; solidaridad y apoyo mutuo; estímulo permanente a la felicidad, la motivación y la voluntad. </w:t>
      </w:r>
      <w:r w:rsidRPr="00447EBC">
        <w:rPr>
          <w:rFonts w:ascii="Times New Roman" w:eastAsia="Calibri" w:hAnsi="Times New Roman" w:cs="Times New Roman"/>
          <w:b/>
          <w:i/>
          <w:lang w:val="es-AR"/>
        </w:rPr>
        <w:t>2) Crítica de la dominación.</w:t>
      </w:r>
      <w:r w:rsidRPr="00447EBC">
        <w:rPr>
          <w:rFonts w:ascii="Times New Roman" w:eastAsia="Calibri" w:hAnsi="Times New Roman" w:cs="Times New Roman"/>
          <w:i/>
          <w:lang w:val="es-AR"/>
        </w:rPr>
        <w:t xml:space="preserve"> La crítica de las dominaciones de clase – constituidas por la explotación, coacción física y dominaciones político-burocráticas y cultural-ideológicas – y de otros tipos de dominación (género, raza, imperialismo, etc.) </w:t>
      </w:r>
      <w:r w:rsidRPr="00447EBC">
        <w:rPr>
          <w:rFonts w:ascii="Times New Roman" w:eastAsia="Calibri" w:hAnsi="Times New Roman" w:cs="Times New Roman"/>
          <w:b/>
          <w:i/>
          <w:lang w:val="es-AR"/>
        </w:rPr>
        <w:t xml:space="preserve">3) Transformación social del sistema y del modelo de poder. </w:t>
      </w:r>
      <w:r w:rsidRPr="00447EBC">
        <w:rPr>
          <w:rFonts w:ascii="Times New Roman" w:eastAsia="Calibri" w:hAnsi="Times New Roman" w:cs="Times New Roman"/>
          <w:i/>
          <w:lang w:val="es-AR"/>
        </w:rPr>
        <w:t>El reconocimiento de que las estructuras sistémicas fundamentales en distintas dominaciones constituyen el sistema de dominación y la identificación, por medio de una crítica racional, fundamentada en los valores éticos especificados, de que ese sistema ha de ser transformado en un sistema de autogestión. Para eso se torna fundamental la transformación del modelo de poder vigente, de un poder dominador, a un poder autogestionario. En las sociedades contemporáneas, esa crítica de la dominación implica una oposición clara al capitalismo, al Estado y a las otras instituciones creadas y sustentadas para el mantenimiento de la dominación.</w:t>
      </w:r>
      <w:r w:rsidRPr="00447EBC">
        <w:rPr>
          <w:rFonts w:ascii="Times New Roman" w:eastAsia="Calibri" w:hAnsi="Times New Roman" w:cs="Times New Roman"/>
          <w:b/>
          <w:i/>
          <w:lang w:val="es-AR"/>
        </w:rPr>
        <w:t xml:space="preserve"> 4) Clases y lucha de clases. </w:t>
      </w:r>
      <w:r w:rsidRPr="00447EBC">
        <w:rPr>
          <w:rFonts w:ascii="Times New Roman" w:eastAsia="Calibri" w:hAnsi="Times New Roman" w:cs="Times New Roman"/>
          <w:i/>
          <w:lang w:val="es-AR"/>
        </w:rPr>
        <w:t xml:space="preserve">La identificación de que, en los diversos sistemas de dominación, con sus respectivas estructuras de clases, las dominaciones de clase permiten concebir la división fundamental de la sociedad en dos grandes categorías globales y universales, constituidas por clases con intereses irreconciliables: las clases dominantes y </w:t>
      </w:r>
      <w:proofErr w:type="gramStart"/>
      <w:r w:rsidRPr="00447EBC">
        <w:rPr>
          <w:rFonts w:ascii="Times New Roman" w:eastAsia="Calibri" w:hAnsi="Times New Roman" w:cs="Times New Roman"/>
          <w:i/>
          <w:lang w:val="es-AR"/>
        </w:rPr>
        <w:t>las  clases</w:t>
      </w:r>
      <w:proofErr w:type="gramEnd"/>
      <w:r w:rsidRPr="00447EBC">
        <w:rPr>
          <w:rFonts w:ascii="Times New Roman" w:eastAsia="Calibri" w:hAnsi="Times New Roman" w:cs="Times New Roman"/>
          <w:i/>
          <w:lang w:val="es-AR"/>
        </w:rPr>
        <w:t xml:space="preserve"> dominadas. El conflicto social entre esas clases caracteriza la lucha de clases. […] Otras dominaciones deben </w:t>
      </w:r>
      <w:proofErr w:type="gramStart"/>
      <w:r w:rsidRPr="00447EBC">
        <w:rPr>
          <w:rFonts w:ascii="Times New Roman" w:eastAsia="Calibri" w:hAnsi="Times New Roman" w:cs="Times New Roman"/>
          <w:i/>
          <w:lang w:val="es-AR"/>
        </w:rPr>
        <w:t>ser  combatidas</w:t>
      </w:r>
      <w:proofErr w:type="gramEnd"/>
      <w:r w:rsidRPr="00447EBC">
        <w:rPr>
          <w:rFonts w:ascii="Times New Roman" w:eastAsia="Calibri" w:hAnsi="Times New Roman" w:cs="Times New Roman"/>
          <w:i/>
          <w:lang w:val="es-AR"/>
        </w:rPr>
        <w:t xml:space="preserve"> concomitantemente a las dominaciones de clase, siendo que el fin de las últimas no significa, obligatoriamente, el fin de las primeras. </w:t>
      </w:r>
      <w:r w:rsidRPr="00447EBC">
        <w:rPr>
          <w:rFonts w:ascii="Times New Roman" w:eastAsia="Calibri" w:hAnsi="Times New Roman" w:cs="Times New Roman"/>
          <w:b/>
          <w:i/>
          <w:lang w:val="es-AR"/>
        </w:rPr>
        <w:t xml:space="preserve">5) Clasismo y fuerza social. </w:t>
      </w:r>
      <w:r w:rsidRPr="00447EBC">
        <w:rPr>
          <w:rFonts w:ascii="Times New Roman" w:eastAsia="Calibri" w:hAnsi="Times New Roman" w:cs="Times New Roman"/>
          <w:i/>
          <w:lang w:val="es-AR"/>
        </w:rPr>
        <w:t xml:space="preserve">La comprensión de que esa transformación social de base clasista implica una práctica política, constituida a partir de la intervención en la correlación de fuerzas que constituye las bases de las relaciones de </w:t>
      </w:r>
      <w:proofErr w:type="gramStart"/>
      <w:r w:rsidRPr="00447EBC">
        <w:rPr>
          <w:rFonts w:ascii="Times New Roman" w:eastAsia="Calibri" w:hAnsi="Times New Roman" w:cs="Times New Roman"/>
          <w:i/>
          <w:lang w:val="es-AR"/>
        </w:rPr>
        <w:t>poder  vigentes</w:t>
      </w:r>
      <w:proofErr w:type="gramEnd"/>
      <w:r w:rsidRPr="00447EBC">
        <w:rPr>
          <w:rFonts w:ascii="Times New Roman" w:eastAsia="Calibri" w:hAnsi="Times New Roman" w:cs="Times New Roman"/>
          <w:i/>
          <w:lang w:val="es-AR"/>
        </w:rPr>
        <w:t xml:space="preserve">. Se busca, en ese sentido, transformar la capacidad de realización de los agentes sociales que son miembros de las clases dominadas en fuerza social, aplicándola en la lucha de clases y buscando aumentarla permanentemente. […] </w:t>
      </w:r>
      <w:r w:rsidRPr="00447EBC">
        <w:rPr>
          <w:rFonts w:ascii="Times New Roman" w:eastAsia="Calibri" w:hAnsi="Times New Roman" w:cs="Times New Roman"/>
          <w:b/>
          <w:i/>
          <w:lang w:val="es-AR"/>
        </w:rPr>
        <w:t>6) Internacionalismo.</w:t>
      </w:r>
      <w:r w:rsidRPr="00447EBC">
        <w:rPr>
          <w:rFonts w:ascii="Times New Roman" w:eastAsia="Calibri" w:hAnsi="Times New Roman" w:cs="Times New Roman"/>
          <w:i/>
          <w:lang w:val="es-AR"/>
        </w:rPr>
        <w:t xml:space="preserve"> La defensa de un clasismo que no se restringe a las fronteras nacionales y que, por eso, se fundamenta en el internacionalismo, lo cual implica, en el caso de las prácticas junto a los actores dominados por relaciones </w:t>
      </w:r>
      <w:r w:rsidRPr="00447EBC">
        <w:rPr>
          <w:rFonts w:ascii="Times New Roman" w:eastAsia="Calibri" w:hAnsi="Times New Roman" w:cs="Times New Roman"/>
          <w:i/>
          <w:lang w:val="es-AR"/>
        </w:rPr>
        <w:lastRenderedPageBreak/>
        <w:t xml:space="preserve">imperialistas, el rechazo del nacionalismo y, en las luchas por la trasformación social, la necesidad de la ampliación de la movilización de las clases dominadas más allá de las fronteras nacionales. […] </w:t>
      </w:r>
      <w:r w:rsidRPr="00447EBC">
        <w:rPr>
          <w:rFonts w:ascii="Times New Roman" w:eastAsia="Calibri" w:hAnsi="Times New Roman" w:cs="Times New Roman"/>
          <w:b/>
          <w:i/>
          <w:lang w:val="es-AR"/>
        </w:rPr>
        <w:t>7) Estrategia.</w:t>
      </w:r>
      <w:r w:rsidRPr="00447EBC">
        <w:rPr>
          <w:rFonts w:ascii="Times New Roman" w:eastAsia="Calibri" w:hAnsi="Times New Roman" w:cs="Times New Roman"/>
          <w:i/>
          <w:lang w:val="es-AR"/>
        </w:rPr>
        <w:t xml:space="preserve"> La concepción racional, para ese proyecto de transformación social, de estrategias adecuadas, que implican lecturas de la realidad y el establecimiento de caminos para las luchas. […] </w:t>
      </w:r>
      <w:r w:rsidRPr="00447EBC">
        <w:rPr>
          <w:rFonts w:ascii="Times New Roman" w:eastAsia="Calibri" w:hAnsi="Times New Roman" w:cs="Times New Roman"/>
          <w:b/>
          <w:i/>
          <w:lang w:val="es-AR"/>
        </w:rPr>
        <w:t xml:space="preserve">8) Elementos estratégicos. </w:t>
      </w:r>
      <w:r w:rsidRPr="00447EBC">
        <w:rPr>
          <w:rFonts w:ascii="Times New Roman" w:eastAsia="Calibri" w:hAnsi="Times New Roman" w:cs="Times New Roman"/>
          <w:i/>
          <w:lang w:val="es-AR"/>
        </w:rPr>
        <w:t xml:space="preserve">Aunque los anarquistas defiendan estrategias distintas, algunos elementos estratégicos son considerados principios: el estímulo a la creación de sujetos revolucionarios, movilizados entre los actores que constituyen parte de las clases sociales concretas de cada época y localidad, las cuales dan cuerpo a las clases dominadas, a partir de procesos que incluyen a la consciencia de clase y del estímulo a la voluntad de transformación; el estímulo permanente al aumento de fuerza social de las clases dominadas, de manera que permita un proceso revolucionario de transformación social; la coherencia entre objetivos, estrategias y tácticas y, por ende, la coherencia entre fines y medios y la construcción, en las prácticas de hoy, de la sociedad que se quiere para el mañana; la utilización de medios autogestionarios de lucha que no impliquen la dominación, sea entre los propios anarquistas o en la relación de los anarquistas con otros actores; la defensa de la independencia y de la autonomía de clase, que implica la oposición a las relaciones de dominación establecidas por partidos políticos, Estado u otras instituciones o agentes, garantizando el protagonismo popular de las clases dominadas, lo cual debe ser promovido por medio de la construcción de la lucha por la base, de abajo hacia arriba, incluyendo la acción directa. </w:t>
      </w:r>
      <w:r w:rsidRPr="00447EBC">
        <w:rPr>
          <w:rFonts w:ascii="Times New Roman" w:eastAsia="Calibri" w:hAnsi="Times New Roman" w:cs="Times New Roman"/>
          <w:b/>
          <w:i/>
          <w:lang w:val="es-AR"/>
        </w:rPr>
        <w:t>9) Revolución social y violencia.</w:t>
      </w:r>
      <w:r w:rsidRPr="00447EBC">
        <w:rPr>
          <w:rFonts w:ascii="Times New Roman" w:eastAsia="Calibri" w:hAnsi="Times New Roman" w:cs="Times New Roman"/>
          <w:i/>
          <w:lang w:val="es-AR"/>
        </w:rPr>
        <w:t xml:space="preserve"> La búsqueda de una revolución social, que transforme el sistema y el modelo de poder vigentes, siendo que la violencia, como expresión de un nivel de mayor tensión de confrontación, se acepta, en la mayoría de los casos, por ser considerada inevitable. Esa revolución implica luchas combativas y cambios de fondo en las tres esferas estructuradas de la sociedad y no se encuentra dentro de los marcos del sistema de dominación actual – está más allá del capitalismo, del Estado, de las instituciones dominantes. </w:t>
      </w:r>
      <w:r w:rsidRPr="00447EBC">
        <w:rPr>
          <w:rFonts w:ascii="Times New Roman" w:eastAsia="Calibri" w:hAnsi="Times New Roman" w:cs="Times New Roman"/>
          <w:b/>
          <w:i/>
          <w:lang w:val="es-AR"/>
        </w:rPr>
        <w:t>10) Defensa de la autogestión.</w:t>
      </w:r>
      <w:r w:rsidRPr="00447EBC">
        <w:rPr>
          <w:rFonts w:ascii="Times New Roman" w:eastAsia="Calibri" w:hAnsi="Times New Roman" w:cs="Times New Roman"/>
          <w:i/>
          <w:lang w:val="es-AR"/>
        </w:rPr>
        <w:t xml:space="preserve"> La defensa de la autogestión que fundamenta la práctica política y la estrategia anarquista constituye las bases para la sociedad futura que se desea construir e implica la socialización de la propiedad en términos económicos, el autogobierno democrático en términos políticos y una cultura autogestionaria. […]</w:t>
      </w:r>
      <w:r w:rsidRPr="00447EBC">
        <w:rPr>
          <w:rFonts w:ascii="Times New Roman" w:eastAsia="Calibri" w:hAnsi="Times New Roman" w:cs="Times New Roman"/>
          <w:lang w:val="es-AR"/>
        </w:rPr>
        <w:t xml:space="preserve"> (Corrêa, 2014a: 186-189)</w:t>
      </w:r>
    </w:p>
    <w:p w14:paraId="77DAC42A" w14:textId="77777777" w:rsidR="00447EBC" w:rsidRPr="00447EBC" w:rsidRDefault="00447EBC" w:rsidP="00447EBC">
      <w:pPr>
        <w:spacing w:after="0" w:line="240" w:lineRule="auto"/>
        <w:ind w:left="2268" w:firstLine="284"/>
        <w:jc w:val="both"/>
        <w:rPr>
          <w:rFonts w:ascii="Times New Roman" w:eastAsia="Calibri" w:hAnsi="Times New Roman" w:cs="Times New Roman"/>
          <w:sz w:val="20"/>
          <w:szCs w:val="20"/>
          <w:lang w:val="es-AR"/>
        </w:rPr>
      </w:pPr>
    </w:p>
    <w:p w14:paraId="1EA4653D"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Se observa, sin dificultades, que así conceptuado el anarquismo niega no solamente la idea de que podría ser considerado sinónimo de anti-estatismo, individualismo o antítesis del marxismo, sino, de la misma manera, la idea de que defendería la negación de la política y mismo del poder.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No parece haber duda </w:t>
      </w:r>
      <w:proofErr w:type="gramStart"/>
      <w:r w:rsidRPr="00447EBC">
        <w:rPr>
          <w:rFonts w:ascii="Times New Roman" w:eastAsia="Calibri" w:hAnsi="Times New Roman" w:cs="Times New Roman"/>
          <w:bCs/>
          <w:i/>
          <w:iCs/>
          <w:sz w:val="24"/>
          <w:szCs w:val="24"/>
          <w:bdr w:val="none" w:sz="0" w:space="0" w:color="auto" w:frame="1"/>
          <w:shd w:val="clear" w:color="auto" w:fill="FFFFFF"/>
          <w:lang w:val="es-AR"/>
        </w:rPr>
        <w:t>que</w:t>
      </w:r>
      <w:proofErr w:type="gramEnd"/>
      <w:r w:rsidRPr="00447EBC">
        <w:rPr>
          <w:rFonts w:ascii="Times New Roman" w:eastAsia="Calibri" w:hAnsi="Times New Roman" w:cs="Times New Roman"/>
          <w:bCs/>
          <w:i/>
          <w:iCs/>
          <w:sz w:val="24"/>
          <w:szCs w:val="24"/>
          <w:bdr w:val="none" w:sz="0" w:space="0" w:color="auto" w:frame="1"/>
          <w:shd w:val="clear" w:color="auto" w:fill="FFFFFF"/>
          <w:lang w:val="es-AR"/>
        </w:rPr>
        <w:t>, a depender de cómo se conceptúa política y poder, los anarquistas no pueden ser considerados apolíticos y contrarios a todo tipo de poder.</w:t>
      </w:r>
      <w:r w:rsidRPr="00447EBC">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169"/>
      </w:r>
    </w:p>
    <w:p w14:paraId="23CC90E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Esta manera de concebir el anarquismo, aunque sea acusada de restrictiva por algunos opositores tales como Robert Graham y Nathan Jun, en realidad no lo es. Como contestó a estos autores L. van der Walt (2013), si por un lado ella implica la exclusión de algunos pensadores y episodios que vienen siendo presentados como anarquistas, por otro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lado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permite que se incluyan, con mucho más coherencia metodológica, una cantidad innumerable de otros anarquistas en el canon de sus grandes representantes y de varios otros episodios en su trayectoria de luchas.</w:t>
      </w:r>
    </w:p>
    <w:p w14:paraId="79DED8A8"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Por ejemplo, según el abordaje de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W. Godwin y M. Stirner no deben ser considerados anarquistas. No solamente por su no identificación teórico-lógica con la definición ya señalada, sino principalmente porque no tuvieron ninguna relevancia en el período de conformación del anarquismo entre 1868 y 1886; fueron, mas bien, rescatados después, en el esfuerzo de creación del mencionado “mito legitimador”. </w:t>
      </w:r>
    </w:p>
    <w:p w14:paraId="752AABD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Pero, por otro lado, el libro propone que muchos otros anarquistas sean incluidos en el canon anarquista al lado de M. Bakunin y P. Kropotkin: Ricardo Flores Magón (mexicano, 1874-1922), Ida Mett (rusa, 1901-1973), Edgard Leuenroth (brasilero, 1881-1968), Ba Jin (chino, 1904-2005), Mikhail Gerdzhikov (búlgaro, 1877-1947), He Zhen (china, 1884-1920), T.-W. Thibedi (sudafricano, 1888-1960), Kim Jwa-Jin (coreano, 1889-1930), Sam Dolgoff (ruso-estadunidense, 1902-1990) Emma Goldman (lituana, 1869-1940), Enrique Roig de San Martin (cubano, 1843-1889), Constantinos Speras (griego, 1893-1943), Monty Myler (australiano, 1839-1920), Lucy Parsons (estadunidense, 1853-1942) y muchos otros más, incluso recientes, que tuvieron y/o tienen importancia en el campo del pensamiento y/o de la acción anarquista.</w:t>
      </w:r>
    </w:p>
    <w:p w14:paraId="010EB52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Otro ejemplo es que, según el abordaje de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si lo que pasó en Europa Occidental y Estados Unidos es indudablemente significativo, como la Revolución Rusa (1917-1921) y la Revolución Española (1936-1939), es también necesario mirar a otros episodios de estas partes y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tiempos</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así como otros, de partes y tiempos diferentes. El libro propone que muchos otros episodios sean incluidos, junto a estos, como parte considerable del anarquismo en acción. </w:t>
      </w:r>
    </w:p>
    <w:p w14:paraId="2C48DB4F"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Un punto de partida para la enumeración de estos episodios con las respectivas referencias bibliográficas se encuentra en el libro online </w:t>
      </w:r>
      <w:r w:rsidRPr="00447EBC">
        <w:rPr>
          <w:rFonts w:ascii="Times New Roman" w:eastAsia="Calibri" w:hAnsi="Times New Roman" w:cs="Times New Roman"/>
          <w:bCs/>
          <w:i/>
          <w:iCs/>
          <w:sz w:val="24"/>
          <w:szCs w:val="24"/>
          <w:bdr w:val="none" w:sz="0" w:space="0" w:color="auto" w:frame="1"/>
          <w:shd w:val="clear" w:color="auto" w:fill="FFFFFF"/>
          <w:lang w:val="es-AR"/>
        </w:rPr>
        <w:t>Surgimiento y Breve Perspectiva Histórica del Anarquismo, 1968-2012</w:t>
      </w:r>
      <w:r w:rsidRPr="00447EBC">
        <w:rPr>
          <w:rFonts w:ascii="Times New Roman" w:eastAsia="Calibri" w:hAnsi="Times New Roman" w:cs="Times New Roman"/>
          <w:bCs/>
          <w:iCs/>
          <w:sz w:val="24"/>
          <w:szCs w:val="24"/>
          <w:bdr w:val="none" w:sz="0" w:space="0" w:color="auto" w:frame="1"/>
          <w:shd w:val="clear" w:color="auto" w:fill="FFFFFF"/>
          <w:lang w:val="es-AR"/>
        </w:rPr>
        <w:t xml:space="preserve"> (Corrêa, 2013), producido como soporte a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Un balance de estos episodios en los cuales hubo presencia e influencia significativas de los anarquistas permite afirmar que la extensión y el impacto del anarquismo son amplios y van de 1868 hasta el presente en los cinco continentes, con flujos y reflujos; autoriza, también, sostener que el anarquismo movilizó trabajadores de todos los tipos: principalmente del proletariado de las ciudades, pero también de los proletarios del campo, los campesinos y aquellos llamados “lumpen-proletariado” por la tradición marxista. </w:t>
      </w:r>
    </w:p>
    <w:p w14:paraId="02123162"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Los anarquistas desarrollaron y fortalecieron distintas iniciativas y herramientas de movilización y lucha: sindicalismo de intención revolucionaria, organizaciones políticas y grupos de afinidad, insurrecciones urbanas y rurales, ocupaciones y tomas de empresas y regiones, consejos de trabajadores, cooperativas de producción y consumo, escuelas, libros, periódicos, volantes de propaganda, atentados contra autoridades, manifestaciones callejeras, etc.</w:t>
      </w:r>
    </w:p>
    <w:p w14:paraId="0EFD26C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Para complementar los mencionados episodios del anarquismo en acción se podría mencionar, en una lista no definitiva ni exhaustiva, un amplio conjunto de acontecimientos, en los cuales tuvieron participación más o menos determinante de los anarquistas. </w:t>
      </w:r>
    </w:p>
    <w:p w14:paraId="20C4610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La Asociación Internacional de los Trabajadores (especialmente entre 1868 y 1877), la Comuna de Lyon (Francia, 1870), la Comuna de París (Francia, 1871), las Revueltas Cantonalistas (España, 1873), la Insurrección de Boloña (Italia, 1874), la Insurrección de Benevento (Italia, 1877). La participación en la Confédération Générale du Travail (Francia, 1895-1914) y en los Industrial Workers of the World (Estados Unidos, a partir de 1905), la Revuelta de Macedonia (Macedonia, 1903), la Revolución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Mexicana (México, particularmente en 1911), la Revolución Ucraniana (1919-1921), las coordinadoras que involucraran a muchos países – tales como la East Asian Anarchist Federation (fundada en 1928), la Asociación Continental Americana de Trabajadores (fundada en 1929) y Comisión Continental de Relaciones Anarquistas (fundada en 1948) –, la Revolución en Manchuria (Corea, 1929-1932), la militancia en torno a la Federación de los Anarco-Comunistas de Bulgaria (Bulgaria, entre los años 1920 y 1940). Las articulaciones internacionales de la Internacional Sindicalista (IWA-AIT), fortalecida en los años 1950, y la Internacional de Federaciones Anarquistas (IFA), fundada en 1968; la Revolución Cubana (Cuba, 1959), la militancia en torno a la Federación Anarquista Uruguaya (Uruguay, especialmente entre 1963 y 1973), el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Mayo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de 1968 francés (Francia, 1968). Después de esto, hubo y vienen habiendo episodios importantes, con presencia e influencia anarquista. Un ejemplo, que puede ser complementado por otros, es el movimiento de resistencia global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anti-globalización</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en general, y la Acción Global de los Pueblos, fundada en 1998, en particular.        </w:t>
      </w:r>
    </w:p>
    <w:p w14:paraId="28CBA832"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2800430C"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2D18DA05" w14:textId="77777777" w:rsid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Grandes debates entre anarquistas</w:t>
      </w:r>
    </w:p>
    <w:p w14:paraId="2D70CBEB" w14:textId="77777777" w:rsidR="00325888" w:rsidRPr="00447EBC" w:rsidRDefault="00325888"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B4BCD40"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Sin embargo, afirmar la unidad de los anarquistas en torno de determinados principios no implica decir que no hubo (y que hay aún) divergencias significativas entre ellos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varias cuestiones.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en su análisis de las diferencias más relevantes que aparecen entre los anarquistas – y por relevantes, se refiere a las diferencias que tienen permanencia histórica y que son realmente significativas – presenta lo siguiente.</w:t>
      </w:r>
    </w:p>
    <w:p w14:paraId="060DEE67"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función de las mencionadas apertura y pluralidad para comprensión de la realidad, no hay que buscar estos debates más importantes del anarquismo en el campo del método de análisis, teoría social, filosofía etc. – donde es cierto que hay grandes diferencias y muchas controversias interesantes, pero que no es el campo que define el anarquismo – sino en el aludido trípode.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la crítica anarquista de la dominación, no hay debates relevantes; las posiciones son, en general, bastante similares. Hay cuatro debates relativos a la defensa anarquista de la autogestión y otros tres relativos a la estrategia fundamental anarquista, que serán ahora presentados. Es importante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destacar que, a pesar de las polarizaciones, en muchos de los casos, hay posiciones intermediarias y conciliadoras. </w:t>
      </w:r>
    </w:p>
    <w:p w14:paraId="5F7F8EA0"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términos del funcionamiento de la sociedad futura, hubo un debate económico que contrapuso la defensa de un </w:t>
      </w:r>
      <w:r w:rsidRPr="00447EBC">
        <w:rPr>
          <w:rFonts w:ascii="Times New Roman" w:eastAsia="Calibri" w:hAnsi="Times New Roman" w:cs="Times New Roman"/>
          <w:bCs/>
          <w:i/>
          <w:iCs/>
          <w:sz w:val="24"/>
          <w:szCs w:val="24"/>
          <w:bdr w:val="none" w:sz="0" w:space="0" w:color="auto" w:frame="1"/>
          <w:shd w:val="clear" w:color="auto" w:fill="FFFFFF"/>
          <w:lang w:val="es-AR"/>
        </w:rPr>
        <w:t>mercado autogestionario</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447EBC">
        <w:rPr>
          <w:rFonts w:ascii="Times New Roman" w:eastAsia="Calibri" w:hAnsi="Times New Roman" w:cs="Times New Roman"/>
          <w:bCs/>
          <w:iCs/>
          <w:sz w:val="24"/>
          <w:szCs w:val="24"/>
          <w:bdr w:val="none" w:sz="0" w:space="0" w:color="auto" w:frame="1"/>
          <w:shd w:val="clear" w:color="auto" w:fill="FFFFFF"/>
        </w:rPr>
        <w:t>Abraham</w:t>
      </w:r>
      <w:r w:rsidRPr="00447EBC">
        <w:rPr>
          <w:rFonts w:ascii="Times New Roman" w:eastAsia="Calibri" w:hAnsi="Times New Roman" w:cs="Times New Roman"/>
          <w:bCs/>
          <w:iCs/>
          <w:sz w:val="24"/>
          <w:szCs w:val="24"/>
          <w:bdr w:val="none" w:sz="0" w:space="0" w:color="auto" w:frame="1"/>
          <w:shd w:val="clear" w:color="auto" w:fill="FFFFFF"/>
          <w:lang w:val="es-AR"/>
        </w:rPr>
        <w:t xml:space="preserve"> Guillén (1990; 2004), que argumentó no ser el mercado necesariamente capitalista, sino un ambiente de circulación y distribución, un espacio donde hay informaciones sobre oferta y demanda, y que la planificación no sería posible en función de la complejidad de las sociedades modernas – a la defensa de una </w:t>
      </w:r>
      <w:r w:rsidRPr="00447EBC">
        <w:rPr>
          <w:rFonts w:ascii="Times New Roman" w:eastAsia="Calibri" w:hAnsi="Times New Roman" w:cs="Times New Roman"/>
          <w:bCs/>
          <w:i/>
          <w:iCs/>
          <w:sz w:val="24"/>
          <w:szCs w:val="24"/>
          <w:bdr w:val="none" w:sz="0" w:space="0" w:color="auto" w:frame="1"/>
          <w:shd w:val="clear" w:color="auto" w:fill="FFFFFF"/>
          <w:lang w:val="es-AR"/>
        </w:rPr>
        <w:t>planificación democrática</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447EBC">
        <w:rPr>
          <w:rFonts w:ascii="Times New Roman" w:eastAsia="Calibri" w:hAnsi="Times New Roman" w:cs="Times New Roman"/>
          <w:bCs/>
          <w:iCs/>
          <w:sz w:val="24"/>
          <w:szCs w:val="24"/>
          <w:bdr w:val="none" w:sz="0" w:space="0" w:color="auto" w:frame="1"/>
          <w:shd w:val="clear" w:color="auto" w:fill="FFFFFF"/>
        </w:rPr>
        <w:t>Alexandre Berkman</w:t>
      </w:r>
      <w:r w:rsidRPr="00447EBC">
        <w:rPr>
          <w:rFonts w:ascii="Times New Roman" w:eastAsia="Calibri" w:hAnsi="Times New Roman" w:cs="Times New Roman"/>
          <w:bCs/>
          <w:iCs/>
          <w:sz w:val="24"/>
          <w:szCs w:val="24"/>
          <w:bdr w:val="none" w:sz="0" w:space="0" w:color="auto" w:frame="1"/>
          <w:shd w:val="clear" w:color="auto" w:fill="FFFFFF"/>
          <w:lang w:val="es-AR"/>
        </w:rPr>
        <w:t xml:space="preserve"> (2003: 217) y </w:t>
      </w:r>
      <w:r w:rsidRPr="00447EBC">
        <w:rPr>
          <w:rFonts w:ascii="Times New Roman" w:eastAsia="Calibri" w:hAnsi="Times New Roman" w:cs="Times New Roman"/>
          <w:bCs/>
          <w:iCs/>
          <w:sz w:val="24"/>
          <w:szCs w:val="24"/>
          <w:bdr w:val="none" w:sz="0" w:space="0" w:color="auto" w:frame="1"/>
          <w:shd w:val="clear" w:color="auto" w:fill="FFFFFF"/>
        </w:rPr>
        <w:t>Kôtoku</w:t>
      </w:r>
      <w:r w:rsidRPr="00447EBC">
        <w:rPr>
          <w:rFonts w:ascii="Times New Roman" w:eastAsia="Calibri" w:hAnsi="Times New Roman" w:cs="Times New Roman"/>
          <w:bCs/>
          <w:iCs/>
          <w:sz w:val="24"/>
          <w:szCs w:val="24"/>
          <w:bdr w:val="none" w:sz="0" w:space="0" w:color="auto" w:frame="1"/>
          <w:shd w:val="clear" w:color="auto" w:fill="FFFFFF"/>
          <w:lang w:val="es-AR"/>
        </w:rPr>
        <w:t xml:space="preserve"> Shûsui (2012: 2), que sostuvieron la necesidad de un planeamiento hecho por productores y consumidores, y el consumo sin la utilización del dinero.</w:t>
      </w:r>
    </w:p>
    <w:p w14:paraId="3B8F8C95"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Aún en este eje hubo otro debate que contrapuso, en el campo de la distribución de los productos del trabajo, la defensa del </w:t>
      </w:r>
      <w:r w:rsidRPr="00447EBC">
        <w:rPr>
          <w:rFonts w:ascii="Times New Roman" w:eastAsia="Calibri" w:hAnsi="Times New Roman" w:cs="Times New Roman"/>
          <w:bCs/>
          <w:i/>
          <w:iCs/>
          <w:sz w:val="24"/>
          <w:szCs w:val="24"/>
          <w:bdr w:val="none" w:sz="0" w:space="0" w:color="auto" w:frame="1"/>
          <w:shd w:val="clear" w:color="auto" w:fill="FFFFFF"/>
          <w:lang w:val="es-AR"/>
        </w:rPr>
        <w:t>colectivismo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M. Bakunin (2009: 85), quien sostuvo que la remuneración debería estar de acuerdo con el trabajo realizado (lógicamente, habría un equivalente general, salarios y una estructura de poder que sería autogestionaria y controlaría este proceso) – a la defensa del </w:t>
      </w:r>
      <w:r w:rsidRPr="00447EBC">
        <w:rPr>
          <w:rFonts w:ascii="Times New Roman" w:eastAsia="Calibri" w:hAnsi="Times New Roman" w:cs="Times New Roman"/>
          <w:bCs/>
          <w:i/>
          <w:iCs/>
          <w:sz w:val="24"/>
          <w:szCs w:val="24"/>
          <w:bdr w:val="none" w:sz="0" w:space="0" w:color="auto" w:frame="1"/>
          <w:shd w:val="clear" w:color="auto" w:fill="FFFFFF"/>
          <w:lang w:val="es-AR"/>
        </w:rPr>
        <w:t>comunismo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Shifu (2005: 349), Carlo Cafiero (2011) y P. Kropotkin (1975: 46, 51), que argumentaron a favor de la remuneración de acuerdo con las necesidades (lógicamente, no habría dinero, salarios, etc.). Cabe decir que anarquistas como James Guillaume (1998), E. Malatesta (2007: 100-103) y Neno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Vasco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(1984: 191-205) mantuvieron posiciones intermediarias, afirmando que, dependiendo del período o del producto en cuestión, se podría variar entre colectivismo y comunismo o se podría optar por la coexistencia.</w:t>
      </w:r>
    </w:p>
    <w:p w14:paraId="0D10FEA8"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Hubo un tercer debate que contrapuso, en el campo de las decisiones políticas, la defensa de que </w:t>
      </w:r>
      <w:r w:rsidRPr="00447EBC">
        <w:rPr>
          <w:rFonts w:ascii="Times New Roman" w:eastAsia="Calibri" w:hAnsi="Times New Roman" w:cs="Times New Roman"/>
          <w:bCs/>
          <w:i/>
          <w:iCs/>
          <w:sz w:val="24"/>
          <w:szCs w:val="24"/>
          <w:bdr w:val="none" w:sz="0" w:space="0" w:color="auto" w:frame="1"/>
          <w:shd w:val="clear" w:color="auto" w:fill="FFFFFF"/>
          <w:lang w:val="es-AR"/>
        </w:rPr>
        <w:t>la política se debería hacer exclusivamente en la local de vivienda</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Murray Bookchin (1992; 1999: 33-34), que preconizó las articulaciones hechas por comunidades y municipalidades, que serían locales propios a la democracia directa y minimizarían las amenazas del economicismo y del corporativismo – a la defensa de que </w:t>
      </w:r>
      <w:r w:rsidRPr="00447EBC">
        <w:rPr>
          <w:rFonts w:ascii="Times New Roman" w:eastAsia="Calibri" w:hAnsi="Times New Roman" w:cs="Times New Roman"/>
          <w:bCs/>
          <w:i/>
          <w:iCs/>
          <w:sz w:val="24"/>
          <w:szCs w:val="24"/>
          <w:bdr w:val="none" w:sz="0" w:space="0" w:color="auto" w:frame="1"/>
          <w:shd w:val="clear" w:color="auto" w:fill="FFFFFF"/>
          <w:lang w:val="es-AR"/>
        </w:rPr>
        <w:t>la política</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r w:rsidRPr="00447EBC">
        <w:rPr>
          <w:rFonts w:ascii="Times New Roman" w:eastAsia="Calibri" w:hAnsi="Times New Roman" w:cs="Times New Roman"/>
          <w:bCs/>
          <w:i/>
          <w:iCs/>
          <w:sz w:val="24"/>
          <w:szCs w:val="24"/>
          <w:bdr w:val="none" w:sz="0" w:space="0" w:color="auto" w:frame="1"/>
          <w:shd w:val="clear" w:color="auto" w:fill="FFFFFF"/>
          <w:lang w:val="es-AR"/>
        </w:rPr>
        <w:t>se debería hacer exclusivamente en el local de trabajo</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R. Rocker (1978: 96, 102) y Diego Abad de Santillán (1980: 87), que argumentaron que los sindicatos deberían ser los responsables de la reorganización social y de las decisiones de la sociedad, ya que serían los espacios privilegiados de reunión de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los trabajadores. Otros anarquistas, como L. van der Walt (2014), defienden articulaciones mixtas, que vinculen políticamente local de vivienda y de trabajo.</w:t>
      </w:r>
    </w:p>
    <w:p w14:paraId="6006344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Un cuarto debate involucró a la cuestión de los límites y las posibilidades de la cultura en una sociedad futura y contrapuso la defensa de que la </w:t>
      </w:r>
      <w:r w:rsidRPr="00447EBC">
        <w:rPr>
          <w:rFonts w:ascii="Times New Roman" w:eastAsia="Calibri" w:hAnsi="Times New Roman" w:cs="Times New Roman"/>
          <w:bCs/>
          <w:i/>
          <w:iCs/>
          <w:sz w:val="24"/>
          <w:szCs w:val="24"/>
          <w:bdr w:val="none" w:sz="0" w:space="0" w:color="auto" w:frame="1"/>
          <w:shd w:val="clear" w:color="auto" w:fill="FFFFFF"/>
          <w:lang w:val="es-AR"/>
        </w:rPr>
        <w:t>cultura es secundaria</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Bakunin (2001a/b; Bakunin, 2003: 93-94) y de la Federazione dei Comunisti Anarchici, FdCA (2005: 33-34), quienes sostuvieron que la cultura y todo lo que ella implica: ética, valores, propaganda, comunicación, ocio etc., está sumamente limitada por elementos políticos y, sobretodo, económicos – a la defensa de la </w:t>
      </w:r>
      <w:r w:rsidRPr="00447EBC">
        <w:rPr>
          <w:rFonts w:ascii="Times New Roman" w:eastAsia="Calibri" w:hAnsi="Times New Roman" w:cs="Times New Roman"/>
          <w:bCs/>
          <w:i/>
          <w:iCs/>
          <w:sz w:val="24"/>
          <w:szCs w:val="24"/>
          <w:bdr w:val="none" w:sz="0" w:space="0" w:color="auto" w:frame="1"/>
          <w:shd w:val="clear" w:color="auto" w:fill="FFFFFF"/>
          <w:lang w:val="es-AR"/>
        </w:rPr>
        <w:t>cultura es completamente central</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w:t>
      </w:r>
      <w:r w:rsidRPr="00447EBC">
        <w:rPr>
          <w:rFonts w:ascii="Times New Roman" w:eastAsia="Calibri" w:hAnsi="Times New Roman" w:cs="Times New Roman"/>
          <w:bCs/>
          <w:iCs/>
          <w:sz w:val="24"/>
          <w:szCs w:val="24"/>
          <w:bdr w:val="none" w:sz="0" w:space="0" w:color="auto" w:frame="1"/>
          <w:shd w:val="clear" w:color="auto" w:fill="FFFFFF"/>
        </w:rPr>
        <w:t>Wu</w:t>
      </w:r>
      <w:r w:rsidRPr="00447EBC">
        <w:rPr>
          <w:rFonts w:ascii="Times New Roman" w:eastAsia="Calibri" w:hAnsi="Times New Roman" w:cs="Times New Roman"/>
          <w:bCs/>
          <w:iCs/>
          <w:sz w:val="24"/>
          <w:szCs w:val="24"/>
          <w:bdr w:val="none" w:sz="0" w:space="0" w:color="auto" w:frame="1"/>
          <w:shd w:val="clear" w:color="auto" w:fill="FFFFFF"/>
          <w:lang w:val="es-AR"/>
        </w:rPr>
        <w:t xml:space="preserve"> Zhihui (2005: 347-348) y E. Reclus (2002), quienes argumentaron que la cultura tiene un rol determinante en el desarrollo de la autogestión económica y política. Los defensores de la primera posición comúnmente priorizaron la militancia en sindicatos y/o cooperativas y los de la segunda la educación y la propaganda. Hubo, también, innumerables posiciones intermedias, con muchos militantes intentando conciliar ambas posiciones e iniciativas.</w:t>
      </w:r>
    </w:p>
    <w:p w14:paraId="6911031A"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un balance general, se pueden decir algunas palabras. El debate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mercado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planificación</w:t>
      </w:r>
      <w:r w:rsidRPr="00447EBC">
        <w:rPr>
          <w:rFonts w:ascii="Times New Roman" w:eastAsia="Calibri" w:hAnsi="Times New Roman" w:cs="Times New Roman"/>
          <w:bCs/>
          <w:iCs/>
          <w:sz w:val="24"/>
          <w:szCs w:val="24"/>
          <w:bdr w:val="none" w:sz="0" w:space="0" w:color="auto" w:frame="1"/>
          <w:shd w:val="clear" w:color="auto" w:fill="FFFFFF"/>
          <w:lang w:val="es-AR"/>
        </w:rPr>
        <w:t xml:space="preserve"> no tuvo impacto histórico y geográfico considerable y las posiciones de defensa del mercado fueron muy poco expresivas. El debate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colectivismo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comunismo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tuvo relevancia en Europa de los años 1870 hasta el inicio del siglo XX, pero después el comunismo se tornó posición completamente hegemónica, en gran medida bajo influencia de P. Kropotkin, y las posiciones intermedias también se fortalecieron, considerando este un problema secundario. El debate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política y decisiones por local de habitación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por local de trabajo</w:t>
      </w:r>
      <w:r w:rsidRPr="00447EBC">
        <w:rPr>
          <w:rFonts w:ascii="Times New Roman" w:eastAsia="Calibri" w:hAnsi="Times New Roman" w:cs="Times New Roman"/>
          <w:bCs/>
          <w:iCs/>
          <w:sz w:val="24"/>
          <w:szCs w:val="24"/>
          <w:bdr w:val="none" w:sz="0" w:space="0" w:color="auto" w:frame="1"/>
          <w:shd w:val="clear" w:color="auto" w:fill="FFFFFF"/>
          <w:lang w:val="es-AR"/>
        </w:rPr>
        <w:t xml:space="preserve"> no implicó grandes polarizaciones, dado que los defensores estrictos de la política comunitaria/municipalista fueron completamente marginales y hubo una posición conciliadora mayoritaria, al menos en la práctica, de articulación entre sindicatos y barrios, locales de trabajo y vivienda. El debate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cultura secundaria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central</w:t>
      </w:r>
      <w:r w:rsidRPr="00447EBC">
        <w:rPr>
          <w:rFonts w:ascii="Times New Roman" w:eastAsia="Calibri" w:hAnsi="Times New Roman" w:cs="Times New Roman"/>
          <w:bCs/>
          <w:iCs/>
          <w:sz w:val="24"/>
          <w:szCs w:val="24"/>
          <w:bdr w:val="none" w:sz="0" w:space="0" w:color="auto" w:frame="1"/>
          <w:shd w:val="clear" w:color="auto" w:fill="FFFFFF"/>
          <w:lang w:val="es-AR"/>
        </w:rPr>
        <w:t xml:space="preserve"> tendió a concentrarse en posiciones intermedias, que le atribuían un rol relevante, pero sin radicalismos rumbo al economicismo o al culturalismo extremos. En función de esto,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argumenta que estos cuatro debates relativos a la defensa de la autogestión pueden ser considerados relevantes, pero no para marcar las divergencias permanentes en términos históricos y geográficos entre los anarquistas.    </w:t>
      </w:r>
    </w:p>
    <w:p w14:paraId="4CB0DED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En términos de los caminos de cambio, hubo un debate que contrapuso las </w:t>
      </w:r>
      <w:r w:rsidRPr="00447EBC">
        <w:rPr>
          <w:rFonts w:ascii="Times New Roman" w:eastAsia="Calibri" w:hAnsi="Times New Roman" w:cs="Times New Roman"/>
          <w:bCs/>
          <w:i/>
          <w:iCs/>
          <w:sz w:val="24"/>
          <w:szCs w:val="24"/>
          <w:bdr w:val="none" w:sz="0" w:space="0" w:color="auto" w:frame="1"/>
          <w:shd w:val="clear" w:color="auto" w:fill="FFFFFF"/>
          <w:lang w:val="es-AR"/>
        </w:rPr>
        <w:t>posiciones favorables a la organización</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José Oiticica (2009) y L. Parsons (2004: 131), que preconizaran la necesidad de organización de los anarquistas en el nivel social, de masas, y/o en el nivel político-ideológico, específicamente anarquista – a las </w:t>
      </w:r>
      <w:r w:rsidRPr="00447EBC">
        <w:rPr>
          <w:rFonts w:ascii="Times New Roman" w:eastAsia="Calibri" w:hAnsi="Times New Roman" w:cs="Times New Roman"/>
          <w:bCs/>
          <w:i/>
          <w:iCs/>
          <w:sz w:val="24"/>
          <w:szCs w:val="24"/>
          <w:bdr w:val="none" w:sz="0" w:space="0" w:color="auto" w:frame="1"/>
          <w:shd w:val="clear" w:color="auto" w:fill="FFFFFF"/>
          <w:lang w:val="es-AR"/>
        </w:rPr>
        <w:t>posiciones contrarias a ella</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Alfredo Bonanno (2012a: 9, 19; 2012b: 45) y Luigi Galleani (2011: 2, 3-6), que sostuvieron que la organización formal en movimientos de masas o organizaciones estructuradas ofrecían riesgos de burocratización y recomendaron la actuación individual o en pequeños grupos o redes informales.</w:t>
      </w:r>
    </w:p>
    <w:p w14:paraId="3861317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Entre los defensores de la organización, u organizacionistas, también hubo divergencias considerables, entre las cuales se destacan tres. Una, que contrapuso la defensa del </w:t>
      </w:r>
      <w:r w:rsidRPr="00447EBC">
        <w:rPr>
          <w:rFonts w:ascii="Times New Roman" w:eastAsia="Calibri" w:hAnsi="Times New Roman" w:cs="Times New Roman"/>
          <w:bCs/>
          <w:i/>
          <w:iCs/>
          <w:sz w:val="24"/>
          <w:szCs w:val="24"/>
          <w:bdr w:val="none" w:sz="0" w:space="0" w:color="auto" w:frame="1"/>
          <w:shd w:val="clear" w:color="auto" w:fill="FFFFFF"/>
          <w:lang w:val="es-AR"/>
        </w:rPr>
        <w:t>sindicalismo o comunalismo exclusivos</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Pierre Monatte (1998: 206-207), que defendió la necesidad de organización de los anarquistas solamente en nivel social, de masas, y que las organizaciones anarquistas serían algo redundante, visto que los movimientos populares tendrían condiciones plenas de promover la estrategia anarquista – a la defensa del </w:t>
      </w:r>
      <w:r w:rsidRPr="00447EBC">
        <w:rPr>
          <w:rFonts w:ascii="Times New Roman" w:eastAsia="Calibri" w:hAnsi="Times New Roman" w:cs="Times New Roman"/>
          <w:bCs/>
          <w:i/>
          <w:iCs/>
          <w:sz w:val="24"/>
          <w:szCs w:val="24"/>
          <w:bdr w:val="none" w:sz="0" w:space="0" w:color="auto" w:frame="1"/>
          <w:shd w:val="clear" w:color="auto" w:fill="FFFFFF"/>
          <w:lang w:val="es-AR"/>
        </w:rPr>
        <w:t>dualismo organizacional</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el caso de E. Malatesta (1998: 208; 2000: 56) y </w:t>
      </w:r>
      <w:r w:rsidRPr="00447EBC">
        <w:rPr>
          <w:rFonts w:ascii="Times New Roman" w:eastAsia="Calibri" w:hAnsi="Times New Roman" w:cs="Times New Roman"/>
          <w:bCs/>
          <w:iCs/>
          <w:sz w:val="24"/>
          <w:szCs w:val="24"/>
          <w:bdr w:val="none" w:sz="0" w:space="0" w:color="auto" w:frame="1"/>
          <w:shd w:val="clear" w:color="auto" w:fill="FFFFFF"/>
        </w:rPr>
        <w:t>Amedée Dunois</w:t>
      </w:r>
      <w:r w:rsidRPr="00447EBC">
        <w:rPr>
          <w:rFonts w:ascii="Times New Roman" w:eastAsia="Calibri" w:hAnsi="Times New Roman" w:cs="Times New Roman"/>
          <w:bCs/>
          <w:iCs/>
          <w:sz w:val="24"/>
          <w:szCs w:val="24"/>
          <w:bdr w:val="none" w:sz="0" w:space="0" w:color="auto" w:frame="1"/>
          <w:shd w:val="clear" w:color="auto" w:fill="FFFFFF"/>
          <w:lang w:val="es-AR"/>
        </w:rPr>
        <w:t xml:space="preserve"> (2010), que argumentaron que, más allá de las organizaciones sociales masivas, serían necesarias organizaciones especificas anarquistas para promover sus posiciones más consistentemente entre los trabajadores. </w:t>
      </w:r>
    </w:p>
    <w:p w14:paraId="03B2D8B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Otra, entre los que reflexionaron sobre las organizaciones sociales de masas, que opuso los </w:t>
      </w:r>
      <w:r w:rsidRPr="00447EBC">
        <w:rPr>
          <w:rFonts w:ascii="Times New Roman" w:eastAsia="Calibri" w:hAnsi="Times New Roman" w:cs="Times New Roman"/>
          <w:bCs/>
          <w:i/>
          <w:iCs/>
          <w:sz w:val="24"/>
          <w:szCs w:val="24"/>
          <w:bdr w:val="none" w:sz="0" w:space="0" w:color="auto" w:frame="1"/>
          <w:shd w:val="clear" w:color="auto" w:fill="FFFFFF"/>
          <w:lang w:val="es-AR"/>
        </w:rPr>
        <w:t>sindicalistas revolucionarios</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los Industrial Workers of the World (IWW) y la Confédération Générale du Travail (CGT), que no tenían vinculación programática y explícita con el anarquismo – a los </w:t>
      </w:r>
      <w:r w:rsidRPr="00447EBC">
        <w:rPr>
          <w:rFonts w:ascii="Times New Roman" w:eastAsia="Calibri" w:hAnsi="Times New Roman" w:cs="Times New Roman"/>
          <w:bCs/>
          <w:i/>
          <w:iCs/>
          <w:sz w:val="24"/>
          <w:szCs w:val="24"/>
          <w:bdr w:val="none" w:sz="0" w:space="0" w:color="auto" w:frame="1"/>
          <w:shd w:val="clear" w:color="auto" w:fill="FFFFFF"/>
          <w:lang w:val="es-AR"/>
        </w:rPr>
        <w:t>anarco-sindicalistas</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la Federación Obrera Regional Argentina (FORA) y la Confederación Nacional del Trabajo (CNT), que se vincularon, la primera desde 1905 y la segunda desde 1919, en estos términos, al anarquismo (o “comunismo libertario”) como doctrina oficial programática y explícitamente promovida entre sus miembros. </w:t>
      </w:r>
    </w:p>
    <w:p w14:paraId="7F312A2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Y finalmente, una última diferencia sobre las organizaciones específicamente anarquistas, que contrapuso los defensores de una </w:t>
      </w:r>
      <w:r w:rsidRPr="00447EBC">
        <w:rPr>
          <w:rFonts w:ascii="Times New Roman" w:eastAsia="Calibri" w:hAnsi="Times New Roman" w:cs="Times New Roman"/>
          <w:bCs/>
          <w:i/>
          <w:iCs/>
          <w:sz w:val="24"/>
          <w:szCs w:val="24"/>
          <w:bdr w:val="none" w:sz="0" w:space="0" w:color="auto" w:frame="1"/>
          <w:shd w:val="clear" w:color="auto" w:fill="FFFFFF"/>
          <w:lang w:val="es-AR"/>
        </w:rPr>
        <w:t>organización programática</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Juan Carlos Mechoso y la Federación Anarquista Uruguaya (Mechoso, 2012) e Ida Mett y la Plataforma Organizativa por una Unión General de Anarquistas (Dielo Truda, 2001: 57-59), los cuales preconizaron un modelo de organización fuerte, con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afinidad amplia entre los miembros y focalizados en la incidencia en la lucha de masas; siendo que tales organizaciones autogestionarias trabajarían con organicidad bien definida, correspondencia de derechos y deberes, autodisciplina, responsabilidad y unidad en los campos del pensamiento y de la acción, buscando el consenso pero optando por el voto de la mayoría en caso de divergencia – a los defensores de una </w:t>
      </w:r>
      <w:r w:rsidRPr="00447EBC">
        <w:rPr>
          <w:rFonts w:ascii="Times New Roman" w:eastAsia="Calibri" w:hAnsi="Times New Roman" w:cs="Times New Roman"/>
          <w:bCs/>
          <w:i/>
          <w:iCs/>
          <w:sz w:val="24"/>
          <w:szCs w:val="24"/>
          <w:bdr w:val="none" w:sz="0" w:space="0" w:color="auto" w:frame="1"/>
          <w:shd w:val="clear" w:color="auto" w:fill="FFFFFF"/>
          <w:lang w:val="es-AR"/>
        </w:rPr>
        <w:t>organización flexible</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Volin (2011) y </w:t>
      </w:r>
      <w:r w:rsidRPr="00447EBC">
        <w:rPr>
          <w:rFonts w:ascii="Times New Roman" w:eastAsia="Calibri" w:hAnsi="Times New Roman" w:cs="Times New Roman"/>
          <w:bCs/>
          <w:iCs/>
          <w:sz w:val="24"/>
          <w:szCs w:val="24"/>
          <w:bdr w:val="none" w:sz="0" w:space="0" w:color="auto" w:frame="1"/>
          <w:shd w:val="clear" w:color="auto" w:fill="FFFFFF"/>
        </w:rPr>
        <w:t>Sébastien Faure</w:t>
      </w:r>
      <w:r w:rsidRPr="00447EBC">
        <w:rPr>
          <w:rFonts w:ascii="Times New Roman" w:eastAsia="Calibri" w:hAnsi="Times New Roman" w:cs="Times New Roman"/>
          <w:bCs/>
          <w:iCs/>
          <w:sz w:val="24"/>
          <w:szCs w:val="24"/>
          <w:bdr w:val="none" w:sz="0" w:space="0" w:color="auto" w:frame="1"/>
          <w:shd w:val="clear" w:color="auto" w:fill="FFFFFF"/>
          <w:lang w:val="es-AR"/>
        </w:rPr>
        <w:t xml:space="preserve"> (2009), que partieron de la posición de poner fin a los conflictos entre los anarquistas y sostuvieron la necesidad de un modelo también federalista de organización, pero con organicidad limitada, posibilidad de participación de todos anarquistas, alto grado de autonomía de individuos y grupos, sin unidad de acción (no obligación de adherirse a las posiciones mayoritarias en caso de divergencias) y aceptando diversidad amplia en términos teóricos, ideológicos y estratégicos/prácticos.     </w:t>
      </w:r>
    </w:p>
    <w:p w14:paraId="1C2A875D"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Un segundo debate relativo a los caminos de cambio opuso la defensa de las </w:t>
      </w:r>
      <w:r w:rsidRPr="00447EBC">
        <w:rPr>
          <w:rFonts w:ascii="Times New Roman" w:eastAsia="Calibri" w:hAnsi="Times New Roman" w:cs="Times New Roman"/>
          <w:bCs/>
          <w:i/>
          <w:iCs/>
          <w:sz w:val="24"/>
          <w:szCs w:val="24"/>
          <w:bdr w:val="none" w:sz="0" w:space="0" w:color="auto" w:frame="1"/>
          <w:shd w:val="clear" w:color="auto" w:fill="FFFFFF"/>
          <w:lang w:val="es-AR"/>
        </w:rPr>
        <w:t>reformas como un camino posible para llegar a la revolución</w:t>
      </w:r>
      <w:r w:rsidRPr="00447EBC">
        <w:rPr>
          <w:rFonts w:ascii="Times New Roman" w:eastAsia="Calibri" w:hAnsi="Times New Roman" w:cs="Times New Roman"/>
          <w:bCs/>
          <w:iCs/>
          <w:sz w:val="24"/>
          <w:szCs w:val="24"/>
          <w:bdr w:val="none" w:sz="0" w:space="0" w:color="auto" w:frame="1"/>
          <w:shd w:val="clear" w:color="auto" w:fill="FFFFFF"/>
          <w:lang w:val="es-AR"/>
        </w:rPr>
        <w:t xml:space="preserve"> (“posibilismo”) – como en el caso de Osugi Sakae (2011), Ba Jin (2008) y Sam Dolgoff (2005: 34-38), que argumentaron que las luchas por conquistas inmediatas podrían permitir la realización de un tipo de gimnástica revolucionaria y que las reformas, para allá de que, siendo conquistadas, tornarían la vida de los trabajadores en menos dura y las condiciones de movilización serían mejores, tendrían aún una capacidad pedagógica que fortalecería a los trabajadores para un proyecto revolucionario – a la defensa de que </w:t>
      </w:r>
      <w:r w:rsidRPr="00447EBC">
        <w:rPr>
          <w:rFonts w:ascii="Times New Roman" w:eastAsia="Calibri" w:hAnsi="Times New Roman" w:cs="Times New Roman"/>
          <w:bCs/>
          <w:i/>
          <w:iCs/>
          <w:sz w:val="24"/>
          <w:szCs w:val="24"/>
          <w:bdr w:val="none" w:sz="0" w:space="0" w:color="auto" w:frame="1"/>
          <w:shd w:val="clear" w:color="auto" w:fill="FFFFFF"/>
          <w:lang w:val="es-AR"/>
        </w:rPr>
        <w:t>las reformas deben ser rechazadas en general</w:t>
      </w:r>
      <w:r w:rsidRPr="00447EBC">
        <w:rPr>
          <w:rFonts w:ascii="Times New Roman" w:eastAsia="Calibri" w:hAnsi="Times New Roman" w:cs="Times New Roman"/>
          <w:bCs/>
          <w:iCs/>
          <w:sz w:val="24"/>
          <w:szCs w:val="24"/>
          <w:bdr w:val="none" w:sz="0" w:space="0" w:color="auto" w:frame="1"/>
          <w:shd w:val="clear" w:color="auto" w:fill="FFFFFF"/>
          <w:lang w:val="es-AR"/>
        </w:rPr>
        <w:t xml:space="preserve"> (“imposibilismo”) – como en el caso de </w:t>
      </w:r>
      <w:r w:rsidRPr="00447EBC">
        <w:rPr>
          <w:rFonts w:ascii="Times New Roman" w:eastAsia="Calibri" w:hAnsi="Times New Roman" w:cs="Times New Roman"/>
          <w:bCs/>
          <w:iCs/>
          <w:sz w:val="24"/>
          <w:szCs w:val="24"/>
          <w:bdr w:val="none" w:sz="0" w:space="0" w:color="auto" w:frame="1"/>
          <w:shd w:val="clear" w:color="auto" w:fill="FFFFFF"/>
        </w:rPr>
        <w:t>Alessandro Cerchiai (</w:t>
      </w:r>
      <w:r w:rsidRPr="00447EBC">
        <w:rPr>
          <w:rFonts w:ascii="Times New Roman" w:eastAsia="Calibri" w:hAnsi="Times New Roman" w:cs="Times New Roman"/>
          <w:bCs/>
          <w:i/>
          <w:iCs/>
          <w:sz w:val="24"/>
          <w:szCs w:val="24"/>
          <w:bdr w:val="none" w:sz="0" w:space="0" w:color="auto" w:frame="1"/>
          <w:shd w:val="clear" w:color="auto" w:fill="FFFFFF"/>
        </w:rPr>
        <w:t>apud</w:t>
      </w:r>
      <w:r w:rsidRPr="00447EBC">
        <w:rPr>
          <w:rFonts w:ascii="Times New Roman" w:eastAsia="Calibri" w:hAnsi="Times New Roman" w:cs="Times New Roman"/>
          <w:bCs/>
          <w:iCs/>
          <w:sz w:val="24"/>
          <w:szCs w:val="24"/>
          <w:bdr w:val="none" w:sz="0" w:space="0" w:color="auto" w:frame="1"/>
          <w:shd w:val="clear" w:color="auto" w:fill="FFFFFF"/>
        </w:rPr>
        <w:t xml:space="preserve"> Romani, 2002: 175), L. </w:t>
      </w:r>
      <w:r w:rsidRPr="00447EBC">
        <w:rPr>
          <w:rFonts w:ascii="Times New Roman" w:eastAsia="Calibri" w:hAnsi="Times New Roman" w:cs="Times New Roman"/>
          <w:bCs/>
          <w:iCs/>
          <w:sz w:val="24"/>
          <w:szCs w:val="24"/>
          <w:bdr w:val="none" w:sz="0" w:space="0" w:color="auto" w:frame="1"/>
          <w:shd w:val="clear" w:color="auto" w:fill="FFFFFF"/>
          <w:lang w:val="es-AR"/>
        </w:rPr>
        <w:t>Galleani (2011: 7) y Emile Henry (1998: 180), que sostuvieron que las reformas generalmente refuerzan (y no debilitan o destruyen) el sistema y por ello las huelgas reivindicativas no son útiles para un proyecto revolucionario; las eventuales conquistas contra los patrones serían utilizadas por ellos en el incremento de los precios de los productos que los propios trabajadores consumen y las conquistas contra el Estado harían solamente que se refuerce y continúe su proceso de dominación.</w:t>
      </w:r>
    </w:p>
    <w:p w14:paraId="2697BDFF"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Aún en este eje hubo otro debate que contrapuso la defensa de la</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violencia revolucionaria como elemento concomitante y derivado de los movimientos de masas</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los casos de Nestor Makhno (1996: 86) y Pierre Besnard (1931: 212-215), que recomendaron que la violencia, imprescindible para la transformación revolucionaria, debería ser utilizada para fortalecer movimientos populares en la lucha de clases y no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como un simple gatillo para creación de estos movimientos o como medio exclusivo y eficaz de propaganda – a la defensa de la </w:t>
      </w:r>
      <w:r w:rsidRPr="00447EBC">
        <w:rPr>
          <w:rFonts w:ascii="Times New Roman" w:eastAsia="Calibri" w:hAnsi="Times New Roman" w:cs="Times New Roman"/>
          <w:bCs/>
          <w:i/>
          <w:iCs/>
          <w:sz w:val="24"/>
          <w:szCs w:val="24"/>
          <w:bdr w:val="none" w:sz="0" w:space="0" w:color="auto" w:frame="1"/>
          <w:shd w:val="clear" w:color="auto" w:fill="FFFFFF"/>
          <w:lang w:val="es-AR"/>
        </w:rPr>
        <w:t>violencia como gatillo y elemento movilizador</w:t>
      </w:r>
      <w:r w:rsidRPr="00447EBC">
        <w:rPr>
          <w:rFonts w:ascii="Times New Roman" w:eastAsia="Calibri" w:hAnsi="Times New Roman" w:cs="Times New Roman"/>
          <w:bCs/>
          <w:iCs/>
          <w:sz w:val="24"/>
          <w:szCs w:val="24"/>
          <w:bdr w:val="none" w:sz="0" w:space="0" w:color="auto" w:frame="1"/>
          <w:shd w:val="clear" w:color="auto" w:fill="FFFFFF"/>
          <w:lang w:val="es-AR"/>
        </w:rPr>
        <w:t xml:space="preserve"> – como en el caso de Severino di Giovanni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apud </w:t>
      </w:r>
      <w:r w:rsidRPr="00447EBC">
        <w:rPr>
          <w:rFonts w:ascii="Times New Roman" w:eastAsia="Calibri" w:hAnsi="Times New Roman" w:cs="Times New Roman"/>
          <w:bCs/>
          <w:iCs/>
          <w:sz w:val="24"/>
          <w:szCs w:val="24"/>
          <w:bdr w:val="none" w:sz="0" w:space="0" w:color="auto" w:frame="1"/>
          <w:shd w:val="clear" w:color="auto" w:fill="FFFFFF"/>
          <w:lang w:val="es-AR"/>
        </w:rPr>
        <w:t xml:space="preserve">Bayer, 2006: 83) y Ravachol (1981: 36) que, más allá de la cuestión de venganza popular, concibieron la violencia como un elemento de propaganda capaz de involucrar los trabajadores en procesos más radicalizados de lucha. </w:t>
      </w:r>
    </w:p>
    <w:p w14:paraId="2660B6D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un balance, se pueden decir algunas palabras. Estos tres grandes debates –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organizacionismo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anti-organizacionismo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posibilismo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imposibilismo</w:t>
      </w:r>
      <w:r w:rsidRPr="00447EBC">
        <w:rPr>
          <w:rFonts w:ascii="Times New Roman" w:eastAsia="Calibri" w:hAnsi="Times New Roman" w:cs="Times New Roman"/>
          <w:bCs/>
          <w:iCs/>
          <w:sz w:val="24"/>
          <w:szCs w:val="24"/>
          <w:bdr w:val="none" w:sz="0" w:space="0" w:color="auto" w:frame="1"/>
          <w:shd w:val="clear" w:color="auto" w:fill="FFFFFF"/>
          <w:lang w:val="es-AR"/>
        </w:rPr>
        <w:t xml:space="preserve">, </w:t>
      </w:r>
      <w:r w:rsidRPr="00447EBC">
        <w:rPr>
          <w:rFonts w:ascii="Times New Roman" w:eastAsia="Calibri" w:hAnsi="Times New Roman" w:cs="Times New Roman"/>
          <w:bCs/>
          <w:i/>
          <w:iCs/>
          <w:sz w:val="24"/>
          <w:szCs w:val="24"/>
          <w:bdr w:val="none" w:sz="0" w:space="0" w:color="auto" w:frame="1"/>
          <w:shd w:val="clear" w:color="auto" w:fill="FFFFFF"/>
          <w:lang w:val="es-AR"/>
        </w:rPr>
        <w:t xml:space="preserve">violencia simultánea/derivada </w:t>
      </w:r>
      <w:r w:rsidRPr="00447EBC">
        <w:rPr>
          <w:rFonts w:ascii="Times New Roman" w:eastAsia="Calibri" w:hAnsi="Times New Roman" w:cs="Times New Roman"/>
          <w:bCs/>
          <w:iCs/>
          <w:sz w:val="24"/>
          <w:szCs w:val="24"/>
          <w:bdr w:val="none" w:sz="0" w:space="0" w:color="auto" w:frame="1"/>
          <w:shd w:val="clear" w:color="auto" w:fill="FFFFFF"/>
          <w:lang w:val="es-AR"/>
        </w:rPr>
        <w:t>versus</w:t>
      </w:r>
      <w:r w:rsidRPr="00447EBC">
        <w:rPr>
          <w:rFonts w:ascii="Times New Roman" w:eastAsia="Calibri" w:hAnsi="Times New Roman" w:cs="Times New Roman"/>
          <w:bCs/>
          <w:i/>
          <w:iCs/>
          <w:sz w:val="24"/>
          <w:szCs w:val="24"/>
          <w:bdr w:val="none" w:sz="0" w:space="0" w:color="auto" w:frame="1"/>
          <w:shd w:val="clear" w:color="auto" w:fill="FFFFFF"/>
          <w:lang w:val="es-AR"/>
        </w:rPr>
        <w:t xml:space="preserve"> violencia como gatillo</w:t>
      </w:r>
      <w:r w:rsidRPr="00447EBC">
        <w:rPr>
          <w:rFonts w:ascii="Times New Roman" w:eastAsia="Calibri" w:hAnsi="Times New Roman" w:cs="Times New Roman"/>
          <w:bCs/>
          <w:iCs/>
          <w:sz w:val="24"/>
          <w:szCs w:val="24"/>
          <w:bdr w:val="none" w:sz="0" w:space="0" w:color="auto" w:frame="1"/>
          <w:shd w:val="clear" w:color="auto" w:fill="FFFFFF"/>
          <w:lang w:val="es-AR"/>
        </w:rPr>
        <w:t xml:space="preserve"> – son, en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resaltados como aquellos que poseen mayor relevancia, o sea, que más dividieron y que siguen dividiendo a los anarquistas en todo el mundo. Y justamente es sobre ellos que él propone hacer una redefinición de las corrientes anarquistas.</w:t>
      </w:r>
    </w:p>
    <w:p w14:paraId="6753B384"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111AC57E" w14:textId="77777777" w:rsidR="00447EBC" w:rsidRPr="00447EBC" w:rsidRDefault="00447EBC" w:rsidP="00447EBC">
      <w:pPr>
        <w:tabs>
          <w:tab w:val="left" w:pos="2865"/>
        </w:tabs>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Corrientes anarquistas</w:t>
      </w:r>
      <w:r>
        <w:rPr>
          <w:rFonts w:ascii="Times New Roman" w:eastAsia="Calibri" w:hAnsi="Times New Roman" w:cs="Times New Roman"/>
          <w:b/>
          <w:bCs/>
          <w:iCs/>
          <w:sz w:val="24"/>
          <w:szCs w:val="24"/>
          <w:bdr w:val="none" w:sz="0" w:space="0" w:color="auto" w:frame="1"/>
          <w:shd w:val="clear" w:color="auto" w:fill="FFFFFF"/>
          <w:lang w:val="es-AR"/>
        </w:rPr>
        <w:tab/>
      </w:r>
    </w:p>
    <w:p w14:paraId="4B1733E3"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Discutir las corrientes anarquistas implica, como en el caso de la definición del anarquismo, replantear todo el tema. Los estudios de referencia del anarquismo y otros presentan un conjunto inmenso de “corrientes anarquistas”; por más que sea más común hablar de anarco-individualismo, anarco-sindicalismo y anarco-comunismo, hay una seria de otras: anarquismo pacifista, anarquismo cultural, anarco-colectivismo, mutualismo, anarquismo terrorista, anarquismo social, anarquismo sin adjetivos, anarquismo campesino, anarquismo verde, anarco-feminismo, anarquismo reformista, utilitarista, conspiratorio, de estilo de vida, etc. La lista es inmensa… </w:t>
      </w:r>
    </w:p>
    <w:p w14:paraId="542E5F62"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Los problemas que involucran estas definiciones son varios. Más allá de las corrientes creadas que abarcan un “gran sabio” (“anarco-pacifismo” para Tolstoi, por ejemplo), hay, como en este mismo caso del “anarco-pacifismo”, problemas de comprensión y definición del anarquismo: pacifismo (contrariedad a la violencia en todos los casos), reformismo (reformas entendidas como fin en sí mismas) e individualismo (búsqueda de la emancipación individual lejos de un proyecto colectivo de liberación) no son siquiera parte de los principios históricos anarquistas. La solución de este problema fue hecha anteriormente, con la redefinición relativamente precisa del anarquismo.</w:t>
      </w:r>
    </w:p>
    <w:p w14:paraId="120E1D3A"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Existen también problemas sobre los criterios elegidos para el establecimiento de las corrientes, dado que no pueden ser comparados en función de su superposición. Hay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criterios relativos a la distribución de los frutos del trabajo en la sociedad futura – comunismo y colectivismo; hay criterios relativos a estrategias de lucha y aspectos estratégicos de la lucha – intervenciones individuales, colectivas; sindicales, barriales o cooperativas; violentas o pacíficas; económicas, políticas o culturales; posiciones sobre reformas, modelo de organización anarquista, clases/sujetos capaces de impulsar el proceso de cambio; y hay criterios relativos a elementos político-filosóficos – posiciones en relación al espiritualismo y a la religión, a la concepción de libertad individual y a las luchas ecológicas y de género.</w:t>
      </w:r>
    </w:p>
    <w:p w14:paraId="4283FFC1"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la frecuente distinción entre anarco-comunismo y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por ejemplo, el comunismo enfatiza respecto a la distribución de los productos del trabajo y el sindicalismo en general a una estrategia. Makhno y N. Vasco, que defendían la organización de consejos y sindicatos como medios y el comunismo como fin, presentan diferencias muy claras con L. Galleani y Oreste Ristori, antiorganizadores en términos de camino de lucha, pero también comunistas en su perspectiva de futuro. ¿Todos serían “anarco-comunistas”? N. Vasco ¿sería al mismo tiempo “anarco-comunista” y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anarco-sindicalista</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Este problema involucra a innumerables ejemplos.</w:t>
      </w:r>
    </w:p>
    <w:p w14:paraId="5CF7661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Como solución al dilema, es necesario un retorno no solo a la redefinición del anarquismo, sino a la discusión acerca de los grandes debates entre los anarquistas y su relevancia histórica y geográfica. Como se ha argumentado, son tres las cuestiones que subsidian los debates más importantes: </w:t>
      </w:r>
      <w:r w:rsidRPr="00447EBC">
        <w:rPr>
          <w:rFonts w:ascii="Times New Roman" w:eastAsia="Calibri" w:hAnsi="Times New Roman" w:cs="Times New Roman"/>
          <w:bCs/>
          <w:i/>
          <w:iCs/>
          <w:sz w:val="24"/>
          <w:szCs w:val="24"/>
          <w:bdr w:val="none" w:sz="0" w:space="0" w:color="auto" w:frame="1"/>
          <w:shd w:val="clear" w:color="auto" w:fill="FFFFFF"/>
          <w:lang w:val="es-AR"/>
        </w:rPr>
        <w:t>organización, reformas y violencia</w:t>
      </w:r>
      <w:r w:rsidRPr="00447EBC">
        <w:rPr>
          <w:rFonts w:ascii="Times New Roman" w:eastAsia="Calibri" w:hAnsi="Times New Roman" w:cs="Times New Roman"/>
          <w:bCs/>
          <w:iCs/>
          <w:sz w:val="24"/>
          <w:szCs w:val="24"/>
          <w:bdr w:val="none" w:sz="0" w:space="0" w:color="auto" w:frame="1"/>
          <w:shd w:val="clear" w:color="auto" w:fill="FFFFFF"/>
          <w:lang w:val="es-AR"/>
        </w:rPr>
        <w:t xml:space="preserve">. Y más que esto. Se puede notar, en términos globales y desde los años 1860 hasta el presente, que hubo muchas circunstancias en las que las posiciones acerca de estas cuestiones confluyeron. Fue común que organizacionistas defendieron posiciones posibilistas y la necesidad de violencia simultánea/derivada; fue también común que anti-organizacionistas defendieran posiciones anti-posibilistas y la violencia como gatillo. </w:t>
      </w:r>
    </w:p>
    <w:p w14:paraId="1A14EF3B"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función de esto,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argumenta que estos dos conjuntos constituidos por las posiciones históricas acerca de las tres mencionadas cuestiones forman el fundamento de la redefinición de las corrientes anarquistas. El primer conjunto (organizacionismo + posibilismo + violencia simultánea/derivada) constituye el </w:t>
      </w:r>
      <w:r w:rsidRPr="00447EBC">
        <w:rPr>
          <w:rFonts w:ascii="Times New Roman" w:eastAsia="Calibri" w:hAnsi="Times New Roman" w:cs="Times New Roman"/>
          <w:bCs/>
          <w:i/>
          <w:iCs/>
          <w:sz w:val="24"/>
          <w:szCs w:val="24"/>
          <w:bdr w:val="none" w:sz="0" w:space="0" w:color="auto" w:frame="1"/>
          <w:shd w:val="clear" w:color="auto" w:fill="FFFFFF"/>
          <w:lang w:val="es-AR"/>
        </w:rPr>
        <w:t>anarquismo de masas</w:t>
      </w:r>
      <w:r w:rsidRPr="00447EBC">
        <w:rPr>
          <w:rFonts w:ascii="Times New Roman" w:eastAsia="Calibri" w:hAnsi="Times New Roman" w:cs="Times New Roman"/>
          <w:bCs/>
          <w:iCs/>
          <w:sz w:val="24"/>
          <w:szCs w:val="24"/>
          <w:bdr w:val="none" w:sz="0" w:space="0" w:color="auto" w:frame="1"/>
          <w:shd w:val="clear" w:color="auto" w:fill="FFFFFF"/>
          <w:lang w:val="es-AR"/>
        </w:rPr>
        <w:t xml:space="preserve">, corriente históricamente mayoritaria en el anarquismo. El segundo conjunto (anti-organizacionismo + imposibilismo + violencia como gatillo) constituye el </w:t>
      </w:r>
      <w:r w:rsidRPr="00447EBC">
        <w:rPr>
          <w:rFonts w:ascii="Times New Roman" w:eastAsia="Calibri" w:hAnsi="Times New Roman" w:cs="Times New Roman"/>
          <w:bCs/>
          <w:i/>
          <w:iCs/>
          <w:sz w:val="24"/>
          <w:szCs w:val="24"/>
          <w:bdr w:val="none" w:sz="0" w:space="0" w:color="auto" w:frame="1"/>
          <w:shd w:val="clear" w:color="auto" w:fill="FFFFFF"/>
          <w:lang w:val="es-AR"/>
        </w:rPr>
        <w:t>anarquismo insurrecionalista</w:t>
      </w:r>
      <w:r w:rsidRPr="00447EBC">
        <w:rPr>
          <w:rFonts w:ascii="Times New Roman" w:eastAsia="Calibri" w:hAnsi="Times New Roman" w:cs="Times New Roman"/>
          <w:bCs/>
          <w:iCs/>
          <w:sz w:val="24"/>
          <w:szCs w:val="24"/>
          <w:bdr w:val="none" w:sz="0" w:space="0" w:color="auto" w:frame="1"/>
          <w:shd w:val="clear" w:color="auto" w:fill="FFFFFF"/>
          <w:lang w:val="es-AR"/>
        </w:rPr>
        <w:t xml:space="preserve">, históricamente minoritario, pero aún así, bien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 xml:space="preserve">considerable. Anarquistas conocidos como L. Parsons, M. Bakunin, N. Vasco, Thibedi, J. Oiticica, Ba Jin entre muchos otros serían representantes del anarquismo de masas; di Giovanni, E. Henry, Ravachol, L. Galleani, </w:t>
      </w:r>
      <w:r w:rsidRPr="00447EBC">
        <w:rPr>
          <w:rFonts w:ascii="Times New Roman" w:eastAsia="Calibri" w:hAnsi="Times New Roman" w:cs="Times New Roman"/>
          <w:bCs/>
          <w:iCs/>
          <w:sz w:val="24"/>
          <w:szCs w:val="24"/>
          <w:bdr w:val="none" w:sz="0" w:space="0" w:color="auto" w:frame="1"/>
          <w:shd w:val="clear" w:color="auto" w:fill="FFFFFF"/>
        </w:rPr>
        <w:t>Clément</w:t>
      </w:r>
      <w:r w:rsidRPr="00447EBC">
        <w:rPr>
          <w:rFonts w:ascii="Times New Roman" w:eastAsia="Calibri" w:hAnsi="Times New Roman" w:cs="Times New Roman"/>
          <w:bCs/>
          <w:iCs/>
          <w:sz w:val="24"/>
          <w:szCs w:val="24"/>
          <w:bdr w:val="none" w:sz="0" w:space="0" w:color="auto" w:frame="1"/>
          <w:shd w:val="clear" w:color="auto" w:fill="FFFFFF"/>
          <w:lang w:val="es-AR"/>
        </w:rPr>
        <w:t xml:space="preserve"> Duval, </w:t>
      </w:r>
      <w:r w:rsidRPr="00447EBC">
        <w:rPr>
          <w:rFonts w:ascii="Times New Roman" w:eastAsia="Calibri" w:hAnsi="Times New Roman" w:cs="Times New Roman"/>
          <w:bCs/>
          <w:iCs/>
          <w:sz w:val="24"/>
          <w:szCs w:val="24"/>
          <w:bdr w:val="none" w:sz="0" w:space="0" w:color="auto" w:frame="1"/>
          <w:shd w:val="clear" w:color="auto" w:fill="FFFFFF"/>
        </w:rPr>
        <w:t>Bartolomeu</w:t>
      </w:r>
      <w:r w:rsidRPr="00447EBC">
        <w:rPr>
          <w:rFonts w:ascii="Times New Roman" w:eastAsia="Calibri" w:hAnsi="Times New Roman" w:cs="Times New Roman"/>
          <w:bCs/>
          <w:iCs/>
          <w:sz w:val="24"/>
          <w:szCs w:val="24"/>
          <w:bdr w:val="none" w:sz="0" w:space="0" w:color="auto" w:frame="1"/>
          <w:shd w:val="clear" w:color="auto" w:fill="FFFFFF"/>
          <w:lang w:val="es-AR"/>
        </w:rPr>
        <w:t xml:space="preserve"> Vanzetti y muchos otros serían representantes del anarquismo insurrecionalista. P. Kropotkin y E. Malatesta, dependiendo del momento de sus vidas, pertenecieron a una y otra corriente.</w:t>
      </w:r>
    </w:p>
    <w:p w14:paraId="302A609C"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Sin embargo, es imprescindible destacar que esta asociación que constituye la base de las corrientes (organizacionismo + posibilismo + violencia simultánea/derivada y anti-organizacionismo + imposibilismo + violencia como gatillo) no fue una constante. Analizando contextos particulares, los mencionados debates pueden aparecer o no aparecer, estar o no relacionados entre sí. Parece claro que tal redefinición no involucra a todos los contextos y no debe ser utilizada como una “camisa de fuerza” para forzar el encaje de la historia concreta y real. Pero, al mismo tiempo, estos debates y esta redefinición de las corrientes pueden funcionar como hipótesis y ofrecer elementos para los análisis de contextos particulares.</w:t>
      </w:r>
    </w:p>
    <w:p w14:paraId="64C900A9"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el caso del anarquismo en la Primera Republica brasileña (1889-1930), por ejemplo, tomando este modelo como hipótesis, se constata, con base en la producción historiográfica de A. Samis (2004), que no hay una adecuación completa a él. Pero los debates expuestos permiten identificar las diferencias más consistentes entre aquellos anarquistas, que se dieron en torno a la cuestión de la organización. Organizacionistas y anti-organizacionistas fueron las dos principales corrientes de aquel contexto; entre los organizacionistas, hubo aún otro debate relevante que opuso sindicalistas revolucionarios (inspirados por la CGT francesa) a </w:t>
      </w:r>
      <w:proofErr w:type="gramStart"/>
      <w:r w:rsidRPr="00447EBC">
        <w:rPr>
          <w:rFonts w:ascii="Times New Roman" w:eastAsia="Calibri" w:hAnsi="Times New Roman" w:cs="Times New Roman"/>
          <w:bCs/>
          <w:iCs/>
          <w:sz w:val="24"/>
          <w:szCs w:val="24"/>
          <w:bdr w:val="none" w:sz="0" w:space="0" w:color="auto" w:frame="1"/>
          <w:shd w:val="clear" w:color="auto" w:fill="FFFFFF"/>
          <w:lang w:val="es-AR"/>
        </w:rPr>
        <w:t>anarco-sindicalistas</w:t>
      </w:r>
      <w:proofErr w:type="gramEnd"/>
      <w:r w:rsidRPr="00447EBC">
        <w:rPr>
          <w:rFonts w:ascii="Times New Roman" w:eastAsia="Calibri" w:hAnsi="Times New Roman" w:cs="Times New Roman"/>
          <w:bCs/>
          <w:iCs/>
          <w:sz w:val="24"/>
          <w:szCs w:val="24"/>
          <w:bdr w:val="none" w:sz="0" w:space="0" w:color="auto" w:frame="1"/>
          <w:shd w:val="clear" w:color="auto" w:fill="FFFFFF"/>
          <w:lang w:val="es-AR"/>
        </w:rPr>
        <w:t xml:space="preserve"> (inspirados por la FORA argentina). </w:t>
      </w:r>
    </w:p>
    <w:p w14:paraId="0E2B31E2"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2A256074" w14:textId="77777777" w:rsid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Consideraciones finales</w:t>
      </w:r>
    </w:p>
    <w:p w14:paraId="76F20234"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3D4B6A58"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En suma, las contribuciones de </w:t>
      </w:r>
      <w:r w:rsidRPr="00447EBC">
        <w:rPr>
          <w:rFonts w:ascii="Times New Roman" w:eastAsia="Calibri" w:hAnsi="Times New Roman" w:cs="Times New Roman"/>
          <w:bCs/>
          <w:i/>
          <w:iCs/>
          <w:sz w:val="24"/>
          <w:szCs w:val="24"/>
          <w:bdr w:val="none" w:sz="0" w:space="0" w:color="auto" w:frame="1"/>
          <w:shd w:val="clear" w:color="auto" w:fill="FFFFFF"/>
          <w:lang w:val="es-AR"/>
        </w:rPr>
        <w:t>Bandera Negra</w:t>
      </w:r>
      <w:r w:rsidRPr="00447EBC">
        <w:rPr>
          <w:rFonts w:ascii="Times New Roman" w:eastAsia="Calibri" w:hAnsi="Times New Roman" w:cs="Times New Roman"/>
          <w:bCs/>
          <w:iCs/>
          <w:sz w:val="24"/>
          <w:szCs w:val="24"/>
          <w:bdr w:val="none" w:sz="0" w:space="0" w:color="auto" w:frame="1"/>
          <w:shd w:val="clear" w:color="auto" w:fill="FFFFFF"/>
          <w:lang w:val="es-AR"/>
        </w:rPr>
        <w:t xml:space="preserve"> permiten que se refuercen tres tesis que fueron enunciadas durante este artículo. </w:t>
      </w:r>
    </w:p>
    <w:p w14:paraId="113B89B7"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 xml:space="preserve">Primero, los estudios de referencia del anarquismo tienen problemas significativos de orden teórico-metodológico, involucrando: la base de datos (histórica y geográfica) con la cuál trabajan, la manera que sitúan el anarquismo en la historia y como leen la historia; las definiciones de anarquismo que son desarrolladas y adoptadas; las </w:t>
      </w:r>
      <w:r w:rsidRPr="00447EBC">
        <w:rPr>
          <w:rFonts w:ascii="Times New Roman" w:eastAsia="Calibri" w:hAnsi="Times New Roman" w:cs="Times New Roman"/>
          <w:bCs/>
          <w:iCs/>
          <w:sz w:val="24"/>
          <w:szCs w:val="24"/>
          <w:bdr w:val="none" w:sz="0" w:space="0" w:color="auto" w:frame="1"/>
          <w:shd w:val="clear" w:color="auto" w:fill="FFFFFF"/>
          <w:lang w:val="es-AR"/>
        </w:rPr>
        <w:lastRenderedPageBreak/>
        <w:t>conclusiones extraídas de sus análisis. Tales problemas dificultan las investigaciones y no permiten definir, adecuadamente, el anarquismo, sus debates, sus corrientes y comprender su desarrollo histórico.</w:t>
      </w:r>
    </w:p>
    <w:p w14:paraId="341ED97E" w14:textId="77777777" w:rsidR="00447EBC" w:rsidRPr="00447EBC" w:rsidRDefault="00447EBC" w:rsidP="00447EBC">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447EBC">
        <w:rPr>
          <w:rFonts w:ascii="Times New Roman" w:eastAsia="Calibri" w:hAnsi="Times New Roman" w:cs="Times New Roman"/>
          <w:bCs/>
          <w:iCs/>
          <w:sz w:val="24"/>
          <w:szCs w:val="24"/>
          <w:bdr w:val="none" w:sz="0" w:space="0" w:color="auto" w:frame="1"/>
          <w:shd w:val="clear" w:color="auto" w:fill="FFFFFF"/>
          <w:lang w:val="es-AR"/>
        </w:rPr>
        <w:t>Segundo, un abordaje basado en un método histórico y en un amplio conjunto de datos, que interaccione con las nociones de totalidad e interdependencia, permite solucionar los problemas de los estudios de referencia y realizar investigaciones adecuadas del anarquismo.</w:t>
      </w:r>
    </w:p>
    <w:p w14:paraId="1E8A9077" w14:textId="77777777" w:rsidR="00447EBC" w:rsidRPr="00447EBC" w:rsidRDefault="00447EBC" w:rsidP="00447EBC">
      <w:pPr>
        <w:spacing w:after="0" w:line="360" w:lineRule="auto"/>
        <w:ind w:firstLine="720"/>
        <w:jc w:val="both"/>
        <w:rPr>
          <w:rFonts w:ascii="Times New Roman" w:eastAsia="Calibri" w:hAnsi="Times New Roman" w:cs="Times New Roman"/>
          <w:iCs/>
          <w:sz w:val="24"/>
        </w:rPr>
      </w:pPr>
      <w:r w:rsidRPr="00447EBC">
        <w:rPr>
          <w:rFonts w:ascii="Times New Roman" w:eastAsia="Calibri" w:hAnsi="Times New Roman" w:cs="Times New Roman"/>
          <w:bCs/>
          <w:iCs/>
          <w:sz w:val="24"/>
          <w:lang w:val="es-AR"/>
        </w:rPr>
        <w:t>Tercero, entre los elementos fundamentales que pueden ser afirmados en relación al anarquismo están: su definición como una ideología coherente, un tipo de socialismo revolucionario, que se puede describir por un conjunto preciso de principios; el desarrollo racional de críticas, propuestas y estrategias fundamentales, en relación a las cuales se establecen sus dos corrientes: el anarquismo de masas y el anarquismo insurrecionalista; su amplio impacto popular entre obreros y campesinos, en áreas urbanas y rurales; su desarrollo histórico permanente y global, desde su surgimiento, en la segunda mitad del siglo XIX, hasta el presente.</w:t>
      </w:r>
    </w:p>
    <w:p w14:paraId="44D4E8F7" w14:textId="77777777" w:rsidR="00447EBC" w:rsidRPr="00447EBC" w:rsidRDefault="00447EBC" w:rsidP="00447EBC">
      <w:pPr>
        <w:spacing w:after="0" w:line="240" w:lineRule="auto"/>
        <w:ind w:firstLine="720"/>
        <w:jc w:val="both"/>
        <w:rPr>
          <w:rFonts w:ascii="Times New Roman" w:eastAsia="Calibri" w:hAnsi="Times New Roman" w:cs="Times New Roman"/>
          <w:iCs/>
          <w:sz w:val="24"/>
        </w:rPr>
      </w:pPr>
    </w:p>
    <w:p w14:paraId="36FA2D5D" w14:textId="77777777" w:rsidR="00447EBC" w:rsidRPr="00447EBC" w:rsidRDefault="00447EBC" w:rsidP="00447EBC">
      <w:pPr>
        <w:spacing w:after="0" w:line="240" w:lineRule="auto"/>
        <w:ind w:firstLine="720"/>
        <w:jc w:val="both"/>
        <w:rPr>
          <w:rFonts w:ascii="Times New Roman" w:eastAsia="Calibri" w:hAnsi="Times New Roman" w:cs="Times New Roman"/>
          <w:iCs/>
          <w:sz w:val="24"/>
        </w:rPr>
      </w:pPr>
    </w:p>
    <w:p w14:paraId="36AB1643" w14:textId="77777777" w:rsidR="00447EBC" w:rsidRP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C81DB22" w14:textId="0471338C" w:rsidR="00447EBC" w:rsidRDefault="00447EBC"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447EBC">
        <w:rPr>
          <w:rFonts w:ascii="Times New Roman" w:eastAsia="Calibri" w:hAnsi="Times New Roman" w:cs="Times New Roman"/>
          <w:b/>
          <w:bCs/>
          <w:iCs/>
          <w:sz w:val="24"/>
          <w:szCs w:val="24"/>
          <w:bdr w:val="none" w:sz="0" w:space="0" w:color="auto" w:frame="1"/>
          <w:shd w:val="clear" w:color="auto" w:fill="FFFFFF"/>
          <w:lang w:val="es-AR"/>
        </w:rPr>
        <w:t>Bibliografía:</w:t>
      </w:r>
    </w:p>
    <w:p w14:paraId="05D34706" w14:textId="77777777" w:rsidR="001B1533" w:rsidRPr="00447EBC" w:rsidRDefault="001B1533" w:rsidP="00447EBC">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7CC09C89"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BA JIN. (2008), El Anarquismo y la Cuestión de la Práctica [Tres Artículos de Ba Jin (Li Pei Kan) sobre los Problemas del Anarquismo y la Revolución en China, 1921-1927]. In: Anarkismo.net. </w:t>
      </w:r>
    </w:p>
    <w:p w14:paraId="04423746"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BAKUNIN, Mikhail. (2001a) Carta ao Jornal </w:t>
      </w:r>
      <w:r w:rsidRPr="00447EBC">
        <w:rPr>
          <w:rFonts w:ascii="Times New Roman" w:eastAsia="Calibri" w:hAnsi="Times New Roman" w:cs="Times New Roman"/>
          <w:i/>
        </w:rPr>
        <w:t>La Liberté</w:t>
      </w:r>
      <w:r w:rsidRPr="00447EBC">
        <w:rPr>
          <w:rFonts w:ascii="Times New Roman" w:eastAsia="Calibri" w:hAnsi="Times New Roman" w:cs="Times New Roman"/>
        </w:rPr>
        <w:t xml:space="preserve"> de Bruxelas. In: Escritos Contra Marx. San Pablo, Imaginário.</w:t>
      </w:r>
    </w:p>
    <w:p w14:paraId="7B4F238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________________. (2001b), Escrito Contra Marx. In: Escritos Contra Marx. San Pablo, Imaginário.</w:t>
      </w:r>
    </w:p>
    <w:p w14:paraId="26124371"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________________. (2003), A Instrução Integral. San Pablo, Imaginário.</w:t>
      </w:r>
    </w:p>
    <w:p w14:paraId="25B1FA6D"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________________. (2009), Programa da Sociedade da Revolução Internacional. In: Catecismo Revolucionário / Programa da Sociedade da Revolução Internacional. San Pablo, Imaginário/Faísca.</w:t>
      </w:r>
    </w:p>
    <w:p w14:paraId="37E1002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rPr>
        <w:t xml:space="preserve">BAYER, Oswaldo. (2006), Severino Di Giovanni: el idealista de la violencia. </w:t>
      </w:r>
      <w:r w:rsidRPr="00447EBC">
        <w:rPr>
          <w:rFonts w:ascii="Times New Roman" w:eastAsia="Calibri" w:hAnsi="Times New Roman" w:cs="Times New Roman"/>
          <w:bCs/>
          <w:iCs/>
          <w:lang w:val="en-US"/>
        </w:rPr>
        <w:t>Buenos Aires, Booket.</w:t>
      </w:r>
    </w:p>
    <w:p w14:paraId="4DD0198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lang w:val="en-US"/>
        </w:rPr>
        <w:lastRenderedPageBreak/>
        <w:t xml:space="preserve">BERKMAN, Alexander. (2003), What is </w:t>
      </w:r>
      <w:proofErr w:type="gramStart"/>
      <w:r w:rsidRPr="00447EBC">
        <w:rPr>
          <w:rFonts w:ascii="Times New Roman" w:eastAsia="Calibri" w:hAnsi="Times New Roman" w:cs="Times New Roman"/>
          <w:bCs/>
          <w:iCs/>
          <w:lang w:val="en-US"/>
        </w:rPr>
        <w:t>Anarchism?.</w:t>
      </w:r>
      <w:proofErr w:type="gramEnd"/>
      <w:r w:rsidRPr="00447EBC">
        <w:rPr>
          <w:rFonts w:ascii="Times New Roman" w:eastAsia="Calibri" w:hAnsi="Times New Roman" w:cs="Times New Roman"/>
          <w:b/>
          <w:bCs/>
          <w:iCs/>
          <w:lang w:val="en-US"/>
        </w:rPr>
        <w:t xml:space="preserve"> </w:t>
      </w:r>
      <w:r w:rsidRPr="00447EBC">
        <w:rPr>
          <w:rFonts w:ascii="Times New Roman" w:eastAsia="Calibri" w:hAnsi="Times New Roman" w:cs="Times New Roman"/>
          <w:bCs/>
          <w:iCs/>
          <w:lang w:val="en-US"/>
        </w:rPr>
        <w:t>Oakland, AK Press.</w:t>
      </w:r>
    </w:p>
    <w:p w14:paraId="437155AC"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lang w:val="en-US"/>
        </w:rPr>
        <w:t xml:space="preserve">BERTHIER, René. </w:t>
      </w:r>
      <w:r w:rsidRPr="00447EBC">
        <w:rPr>
          <w:rFonts w:ascii="Times New Roman" w:eastAsia="Calibri" w:hAnsi="Times New Roman" w:cs="Times New Roman"/>
          <w:bCs/>
          <w:iCs/>
        </w:rPr>
        <w:t>(2008), Philosophie Politique de l’Anarchisme. Essai sur les fondements théoriques de l’anarchisme, vol. I. Paris, Monde Nouveau.</w:t>
      </w:r>
    </w:p>
    <w:p w14:paraId="6DF06F57"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rPr>
        <w:t xml:space="preserve">BESNARD, Pierre. (1931), Os Sindicatos Operários e a Revolução Social. </w:t>
      </w:r>
      <w:r w:rsidRPr="00447EBC">
        <w:rPr>
          <w:rFonts w:ascii="Times New Roman" w:eastAsia="Calibri" w:hAnsi="Times New Roman" w:cs="Times New Roman"/>
          <w:bCs/>
          <w:iCs/>
          <w:lang w:val="en-US"/>
        </w:rPr>
        <w:t>Lisboa, Argonauta.</w:t>
      </w:r>
    </w:p>
    <w:p w14:paraId="3BEC3DDD"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lang w:val="en-US"/>
        </w:rPr>
        <w:t xml:space="preserve">BONANNO, Alfredo. (2012a), Insurrectionalist Anarchism: part one. In: Anarchist Library. </w:t>
      </w:r>
    </w:p>
    <w:p w14:paraId="710E186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lang w:val="en-US"/>
        </w:rPr>
        <w:t>_________________. (2012b), A Critique of Syndicalist Methods. In: Anarchist Library.</w:t>
      </w:r>
    </w:p>
    <w:p w14:paraId="44CC294C"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bCs/>
          <w:iCs/>
          <w:lang w:val="en-US"/>
        </w:rPr>
        <w:t xml:space="preserve">BOOKCHIN, Murray. (1992), </w:t>
      </w:r>
      <w:r w:rsidRPr="00447EBC">
        <w:rPr>
          <w:rFonts w:ascii="Times New Roman" w:eastAsia="Calibri" w:hAnsi="Times New Roman" w:cs="Times New Roman"/>
          <w:lang w:val="en-US"/>
        </w:rPr>
        <w:t xml:space="preserve">The Ghost of Anarcho-Syndicalism. </w:t>
      </w:r>
      <w:r w:rsidRPr="00447EBC">
        <w:rPr>
          <w:rFonts w:ascii="Times New Roman" w:eastAsia="Calibri" w:hAnsi="Times New Roman" w:cs="Times New Roman"/>
        </w:rPr>
        <w:t xml:space="preserve">In: Anarchy Archives. </w:t>
      </w:r>
    </w:p>
    <w:p w14:paraId="675933D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_________________. (1999), </w:t>
      </w:r>
      <w:proofErr w:type="gramStart"/>
      <w:r w:rsidRPr="00447EBC">
        <w:rPr>
          <w:rFonts w:ascii="Times New Roman" w:eastAsia="Calibri" w:hAnsi="Times New Roman" w:cs="Times New Roman"/>
        </w:rPr>
        <w:t>Para</w:t>
      </w:r>
      <w:proofErr w:type="gramEnd"/>
      <w:r w:rsidRPr="00447EBC">
        <w:rPr>
          <w:rFonts w:ascii="Times New Roman" w:eastAsia="Calibri" w:hAnsi="Times New Roman" w:cs="Times New Roman"/>
        </w:rPr>
        <w:t xml:space="preserve"> um Novo Municipalismo. In: Municipalismo Libertário. San Pablo, Imaginário.</w:t>
      </w:r>
    </w:p>
    <w:p w14:paraId="6426497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lang w:val="es-AR"/>
        </w:rPr>
        <w:t>CAFIERO, Carlo. (2011), Anarquía y Comunismo. In: Portal Libertario OACA.</w:t>
      </w:r>
    </w:p>
    <w:p w14:paraId="2BDC76CD"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COÊLHO, Plínio A. (org.) (2008), História do Anarquismo. San Pablo, Imaginário/Faísca.</w:t>
      </w:r>
    </w:p>
    <w:p w14:paraId="43C66EE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lang w:val="es-AR"/>
        </w:rPr>
        <w:t xml:space="preserve">CORRÊA, Felipe. (2011), </w:t>
      </w:r>
      <w:r w:rsidRPr="00447EBC">
        <w:rPr>
          <w:rFonts w:ascii="Times New Roman" w:eastAsia="Calibri" w:hAnsi="Times New Roman" w:cs="Times New Roman"/>
          <w:bCs/>
          <w:iCs/>
        </w:rPr>
        <w:t>Ideologia e Estratégia: anarquismo, movimentos sociais e poder popular. San Pablo, Faísca.</w:t>
      </w:r>
    </w:p>
    <w:p w14:paraId="2E98E131"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lang w:val="es-AR"/>
        </w:rPr>
        <w:t xml:space="preserve">______________. (2013), Surgimento e Breve Perspectiva Histórica do Anarquismo. San Pablo, Faísca [Biblioteca Virtual]. </w:t>
      </w:r>
    </w:p>
    <w:p w14:paraId="3A03EFC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lang w:val="es-AR"/>
        </w:rPr>
        <w:t>______________. (2014a), Bandeira Negra: rediscutindo o anarquismo. Curitiba, Prismas.</w:t>
      </w:r>
    </w:p>
    <w:p w14:paraId="4411F94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lang w:val="es-AR"/>
        </w:rPr>
        <w:t>______________.</w:t>
      </w:r>
      <w:r w:rsidRPr="00447EBC">
        <w:rPr>
          <w:rFonts w:ascii="Times New Roman" w:eastAsia="Calibri" w:hAnsi="Times New Roman" w:cs="Times New Roman"/>
          <w:bCs/>
          <w:iCs/>
        </w:rPr>
        <w:t xml:space="preserve"> (2014b), Cuestiones Organizativas del Anarquismo. In: Anarkismo.net.</w:t>
      </w:r>
    </w:p>
    <w:p w14:paraId="00963401"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lang w:val="es-AR"/>
        </w:rPr>
        <w:t>______________.</w:t>
      </w:r>
      <w:r w:rsidRPr="00447EBC">
        <w:rPr>
          <w:rFonts w:ascii="Times New Roman" w:eastAsia="Calibri" w:hAnsi="Times New Roman" w:cs="Times New Roman"/>
          <w:bCs/>
          <w:iCs/>
        </w:rPr>
        <w:t xml:space="preserve"> (2014c), </w:t>
      </w:r>
      <w:r w:rsidRPr="00447EBC">
        <w:rPr>
          <w:rFonts w:ascii="Times New Roman" w:eastAsia="Calibri" w:hAnsi="Times New Roman" w:cs="Times New Roman"/>
          <w:bCs/>
          <w:iCs/>
          <w:lang w:val="es-ES"/>
        </w:rPr>
        <w:t>Anarquismo, poder, clase y transformación social. In:</w:t>
      </w:r>
      <w:r w:rsidRPr="00447EBC">
        <w:rPr>
          <w:rFonts w:ascii="Times New Roman" w:eastAsia="Calibri" w:hAnsi="Times New Roman" w:cs="Times New Roman"/>
          <w:bCs/>
          <w:iCs/>
        </w:rPr>
        <w:t xml:space="preserve"> Anarkismo.net.</w:t>
      </w:r>
    </w:p>
    <w:p w14:paraId="1D55B7D9"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bCs/>
          <w:iCs/>
          <w:lang w:val="es-AR"/>
        </w:rPr>
        <w:t xml:space="preserve">______________. (2014d), Anarquismo y poder: </w:t>
      </w:r>
      <w:proofErr w:type="gramStart"/>
      <w:r w:rsidRPr="00447EBC">
        <w:rPr>
          <w:rFonts w:ascii="Times New Roman" w:eastAsia="Calibri" w:hAnsi="Times New Roman" w:cs="Times New Roman"/>
          <w:bCs/>
          <w:iCs/>
          <w:lang w:val="es-AR"/>
        </w:rPr>
        <w:t>aproximación o contradicción?</w:t>
      </w:r>
      <w:proofErr w:type="gramEnd"/>
      <w:r w:rsidRPr="00447EBC">
        <w:rPr>
          <w:rFonts w:ascii="Times New Roman" w:eastAsia="Calibri" w:hAnsi="Times New Roman" w:cs="Times New Roman"/>
          <w:bCs/>
          <w:iCs/>
          <w:lang w:val="es-AR"/>
        </w:rPr>
        <w:t xml:space="preserve"> In: Ekintza Zuzena, num. 41.  </w:t>
      </w:r>
    </w:p>
    <w:p w14:paraId="7C7ABD1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CORRÊA, Felipe y SILVA, Rafael V. da. (2013), Anarquismo, Teoria e História. In: Instituto de Teoria e História Anarquista.</w:t>
      </w:r>
    </w:p>
    <w:p w14:paraId="0BB649E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COSTA, Caio T. (1990), O que é Anarquismo. San Pablo, Brasiliense.</w:t>
      </w:r>
    </w:p>
    <w:p w14:paraId="6B3F14D6"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DE JONG, Rudolf. (2008), A Concepção Libertária da Transformação Social Revolucionária. San Pablo, Faísca.</w:t>
      </w:r>
    </w:p>
    <w:p w14:paraId="6E0F4CB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DIELO TRUDA. (2001), A Plataforma Organizacional. In: MAKHNO, Nestor; Anarquia e Organização. San Pablo, Luta Libertária.</w:t>
      </w:r>
    </w:p>
    <w:p w14:paraId="5BFF667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DOLGOFF, Sam. (2005), A Relevância do Anarquismo para a Sociedade Moderna. San Pablo, Faísca.</w:t>
      </w:r>
    </w:p>
    <w:p w14:paraId="700BD167"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DUNOIS, Amédée. (2010), Anarquismo e Organização. In: Anarkismo.net. </w:t>
      </w:r>
    </w:p>
    <w:p w14:paraId="106D504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lang w:val="en-US"/>
        </w:rPr>
        <w:t xml:space="preserve">ELTZBACHER, Paul. (2004), The Great Anarchists: ideas and teachings of seven major thinkers. </w:t>
      </w:r>
      <w:r w:rsidRPr="00447EBC">
        <w:rPr>
          <w:rFonts w:ascii="Times New Roman" w:eastAsia="Calibri" w:hAnsi="Times New Roman" w:cs="Times New Roman"/>
          <w:bCs/>
          <w:iCs/>
        </w:rPr>
        <w:t>Nueva York, Dover.</w:t>
      </w:r>
    </w:p>
    <w:p w14:paraId="4CACC6EC"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lastRenderedPageBreak/>
        <w:t xml:space="preserve">FAURE, Sébastien. (2009), A Síntese Anarquista. In: Anarkismo.net. </w:t>
      </w:r>
    </w:p>
    <w:p w14:paraId="1B58288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rPr>
        <w:t xml:space="preserve">FDCA (Federazione dei Comunisti Anarchici). </w:t>
      </w:r>
      <w:r w:rsidRPr="00447EBC">
        <w:rPr>
          <w:rFonts w:ascii="Times New Roman" w:eastAsia="Calibri" w:hAnsi="Times New Roman" w:cs="Times New Roman"/>
          <w:bCs/>
          <w:iCs/>
          <w:lang w:val="en-US"/>
        </w:rPr>
        <w:t>(2005), Anarchist Communists: a question of class.</w:t>
      </w:r>
    </w:p>
    <w:p w14:paraId="20166508"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 xml:space="preserve">GALLEANI, Luigi. (2011), The Principal of Organization to the Light of Anarchism. In: Anarchist Library. </w:t>
      </w:r>
    </w:p>
    <w:p w14:paraId="162EB608"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lang w:val="en-US"/>
        </w:rPr>
        <w:t>GRAEBER, David. (2002), The New Anarchists. In: New Left Review, num. 13.</w:t>
      </w:r>
    </w:p>
    <w:p w14:paraId="190A076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GUÉRIN, Daniel. (1968), O Anarquismo: da doutrina à ação. Rio de Janeiro, Germinal.</w:t>
      </w:r>
    </w:p>
    <w:p w14:paraId="30C9F01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s-AR"/>
        </w:rPr>
      </w:pPr>
      <w:r w:rsidRPr="00447EBC">
        <w:rPr>
          <w:rFonts w:ascii="Times New Roman" w:eastAsia="Calibri" w:hAnsi="Times New Roman" w:cs="Times New Roman"/>
          <w:lang w:val="es-AR"/>
        </w:rPr>
        <w:t xml:space="preserve">GUILLAUME, James. (1998), Ideas on Social Organization. In: GUÉRIN, Daniel; No Gods, No </w:t>
      </w:r>
      <w:proofErr w:type="gramStart"/>
      <w:r w:rsidRPr="00447EBC">
        <w:rPr>
          <w:rFonts w:ascii="Times New Roman" w:eastAsia="Calibri" w:hAnsi="Times New Roman" w:cs="Times New Roman"/>
          <w:lang w:val="es-AR"/>
        </w:rPr>
        <w:t>Masters</w:t>
      </w:r>
      <w:proofErr w:type="gramEnd"/>
      <w:r w:rsidRPr="00447EBC">
        <w:rPr>
          <w:rFonts w:ascii="Times New Roman" w:eastAsia="Calibri" w:hAnsi="Times New Roman" w:cs="Times New Roman"/>
          <w:lang w:val="es-AR"/>
        </w:rPr>
        <w:t>, vol. I. Oakland: AK Press.</w:t>
      </w:r>
    </w:p>
    <w:p w14:paraId="4E0CE37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 xml:space="preserve">GUILLÉN, Abraham. (1990), Economia Libertaria. Móstoles, Madre Tierra. </w:t>
      </w:r>
    </w:p>
    <w:p w14:paraId="5F7E69A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_________________. (2004), Socialismo Libertário. In: Autogestão Hoje: teorias e práticas contemporâneas, San Pablo, Faísca.</w:t>
      </w:r>
    </w:p>
    <w:p w14:paraId="0FA6F778"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HENRY, Emile. (1998), A Defesa de um Terrorista. In: WOODCOCK, George (org.); Grandes Escritos Anarquistas. Porto Alegre, LP&amp;M.</w:t>
      </w:r>
    </w:p>
    <w:p w14:paraId="13706FF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HOBSBAWN, Eric. (1985), Revolucionários: ensaios contemporâneos. Rio de Janeiro, Paz e Terra.</w:t>
      </w:r>
    </w:p>
    <w:p w14:paraId="5B851BF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rPr>
        <w:t>HOROWITZ, Irving. (1982), Los Anarquistas, vol. I La teoria. Madrid, Alianza.</w:t>
      </w:r>
    </w:p>
    <w:p w14:paraId="1C8FCC5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bCs/>
          <w:iCs/>
          <w:lang w:val="es-AR"/>
        </w:rPr>
        <w:t>ITHA (Instituto de Teoría e Historia Anarquista). (2015), Curso online: Teoria e História do Anarquismo. San Pablo, Universidade de San Pablo. Vídeos y presentaciones disponibles. [https://ithanarquista.wordpress.com/teoria-e-historia-do-anarquismo]</w:t>
      </w:r>
    </w:p>
    <w:p w14:paraId="53A01DF8"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s-AR"/>
        </w:rPr>
        <w:t xml:space="preserve">JACKER, Corinne. (1968), The Black Flag of Anarchy: </w:t>
      </w:r>
      <w:r w:rsidRPr="00447EBC">
        <w:rPr>
          <w:rFonts w:ascii="Times New Roman" w:eastAsia="Calibri" w:hAnsi="Times New Roman" w:cs="Times New Roman"/>
          <w:lang w:val="en-US"/>
        </w:rPr>
        <w:t xml:space="preserve">antistatism in the United States. </w:t>
      </w:r>
      <w:r w:rsidRPr="00447EBC">
        <w:rPr>
          <w:rFonts w:ascii="Times New Roman" w:eastAsia="Calibri" w:hAnsi="Times New Roman" w:cs="Times New Roman"/>
        </w:rPr>
        <w:t>Nueva York, Charles Scribner’s Sons.</w:t>
      </w:r>
    </w:p>
    <w:p w14:paraId="40AA9B8B"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s-AR"/>
        </w:rPr>
      </w:pPr>
      <w:r w:rsidRPr="00447EBC">
        <w:rPr>
          <w:rFonts w:ascii="Times New Roman" w:eastAsia="Calibri" w:hAnsi="Times New Roman" w:cs="Times New Roman"/>
          <w:lang w:val="es-AR"/>
        </w:rPr>
        <w:t>JOLL, James. (1970), Anarquistas e Anarquismo. Lisboa, Dom Quixote.</w:t>
      </w:r>
    </w:p>
    <w:p w14:paraId="6C1E0546"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KEDWARD, Roderick. </w:t>
      </w:r>
      <w:r w:rsidRPr="00447EBC">
        <w:rPr>
          <w:rFonts w:ascii="Times New Roman" w:eastAsia="Calibri" w:hAnsi="Times New Roman" w:cs="Times New Roman"/>
          <w:lang w:val="en-US"/>
        </w:rPr>
        <w:t>(1971), The Anarchists: the men who shocked an era. Londres, Library of the Twentieth Century.</w:t>
      </w:r>
    </w:p>
    <w:p w14:paraId="56BD503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s-AR"/>
        </w:rPr>
        <w:t xml:space="preserve">KOLPINSKY, </w:t>
      </w:r>
      <w:r w:rsidRPr="00447EBC">
        <w:rPr>
          <w:rFonts w:ascii="Times New Roman" w:eastAsia="Calibri" w:hAnsi="Times New Roman" w:cs="Times New Roman"/>
          <w:lang w:val="en-US"/>
        </w:rPr>
        <w:t xml:space="preserve">N. Y. (1976), Epílogo. </w:t>
      </w:r>
      <w:r w:rsidRPr="00447EBC">
        <w:rPr>
          <w:rFonts w:ascii="Times New Roman" w:eastAsia="Calibri" w:hAnsi="Times New Roman" w:cs="Times New Roman"/>
        </w:rPr>
        <w:t>In: MARX, Karl; ENGELS, Friedrich y LENIN, Vladimir; Acerca del Anarquismo y el Anarcosindicalismo. Moscou, Progresso.</w:t>
      </w:r>
    </w:p>
    <w:p w14:paraId="37BACBC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 xml:space="preserve">KROPOTKIN, Piotr. (1975), A Conquista do Pão. Lisboa, Guimarães. </w:t>
      </w:r>
    </w:p>
    <w:p w14:paraId="142993C7"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rPr>
        <w:t xml:space="preserve">________________. (1987), Anarquismo. In: TRAGTENBERG, Maurício (org.); Kropotkin: textos escolhidos. </w:t>
      </w:r>
      <w:r w:rsidRPr="00447EBC">
        <w:rPr>
          <w:rFonts w:ascii="Times New Roman" w:eastAsia="Calibri" w:hAnsi="Times New Roman" w:cs="Times New Roman"/>
          <w:bCs/>
          <w:iCs/>
          <w:lang w:val="en-US"/>
        </w:rPr>
        <w:t>Porto Alegre, LP&amp;M.</w:t>
      </w:r>
    </w:p>
    <w:p w14:paraId="1A16E906"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MAKHNO, Nestor. (1996), The ABC of the Revolutionary Anarchist. In: The Struggle Against the State and Other Essays. </w:t>
      </w:r>
      <w:r w:rsidRPr="00447EBC">
        <w:rPr>
          <w:rFonts w:ascii="Times New Roman" w:eastAsia="Calibri" w:hAnsi="Times New Roman" w:cs="Times New Roman"/>
        </w:rPr>
        <w:t>Oakland, AK Press.</w:t>
      </w:r>
    </w:p>
    <w:p w14:paraId="7BF659B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lastRenderedPageBreak/>
        <w:t>MALATESTA, Errico. (1998), Sindicalismo: a crítica de um anarquista. In: WOODCOCK, George (org.); Grandes Escritos Anarquistas. Porto Alegre, LP&amp;M.</w:t>
      </w:r>
    </w:p>
    <w:p w14:paraId="34DC360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rPr>
        <w:t xml:space="preserve">__________________. (2000), A Organização II. In: Escritos Revolucionários. </w:t>
      </w:r>
      <w:r w:rsidRPr="00447EBC">
        <w:rPr>
          <w:rFonts w:ascii="Times New Roman" w:eastAsia="Calibri" w:hAnsi="Times New Roman" w:cs="Times New Roman"/>
          <w:bCs/>
          <w:iCs/>
          <w:lang w:val="en-US"/>
        </w:rPr>
        <w:t xml:space="preserve">San Pablo, Imaginário. </w:t>
      </w:r>
    </w:p>
    <w:p w14:paraId="7F11196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n-US"/>
        </w:rPr>
      </w:pPr>
      <w:r w:rsidRPr="00447EBC">
        <w:rPr>
          <w:rFonts w:ascii="Times New Roman" w:eastAsia="Calibri" w:hAnsi="Times New Roman" w:cs="Times New Roman"/>
          <w:bCs/>
          <w:iCs/>
          <w:lang w:val="en-US"/>
        </w:rPr>
        <w:t>_____________. (2007), La Prosperidad. In: RICHARDS, Vernon (org.); Malatesta: pensamiento y acción revolucionarios. Buenos Aires, Tupac.</w:t>
      </w:r>
    </w:p>
    <w:p w14:paraId="4E07ADF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MARSHALL, Peter. (2010), Demanding the Impossible: a history of anarchism. Oakland, PM Press.</w:t>
      </w:r>
    </w:p>
    <w:p w14:paraId="17A92C1B"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MCKAY, Iain. (2008), An Anarchist FAQ, vol. I. Oakland, AK Press.</w:t>
      </w:r>
    </w:p>
    <w:p w14:paraId="500DBFB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MECHOSO, Juan C. (2012), La Estrategia del Especifismo (entrevista a Felipe Corrêa). </w:t>
      </w:r>
      <w:r w:rsidRPr="00447EBC">
        <w:rPr>
          <w:rFonts w:ascii="Times New Roman" w:eastAsia="Calibri" w:hAnsi="Times New Roman" w:cs="Times New Roman"/>
          <w:lang w:val="en-US"/>
        </w:rPr>
        <w:t xml:space="preserve">Rosario, Pensamiento y Voluntad. </w:t>
      </w:r>
    </w:p>
    <w:p w14:paraId="3A80499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 xml:space="preserve">MELTZER, Albert. (1996), </w:t>
      </w:r>
      <w:r w:rsidRPr="00447EBC">
        <w:rPr>
          <w:rFonts w:ascii="Times New Roman" w:eastAsia="Calibri" w:hAnsi="Times New Roman" w:cs="Times New Roman"/>
          <w:iCs/>
          <w:lang w:val="en-US"/>
        </w:rPr>
        <w:t>Anarchism: arguments for and against</w:t>
      </w:r>
      <w:r w:rsidRPr="00447EBC">
        <w:rPr>
          <w:rFonts w:ascii="Times New Roman" w:eastAsia="Calibri" w:hAnsi="Times New Roman" w:cs="Times New Roman"/>
          <w:lang w:val="en-US"/>
        </w:rPr>
        <w:t>. Oakland, AK Press.</w:t>
      </w:r>
    </w:p>
    <w:p w14:paraId="6692E5BD"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MONATTE, Pierre. </w:t>
      </w:r>
      <w:r w:rsidRPr="00447EBC">
        <w:rPr>
          <w:rFonts w:ascii="Times New Roman" w:eastAsia="Calibri" w:hAnsi="Times New Roman" w:cs="Times New Roman"/>
        </w:rPr>
        <w:t xml:space="preserve">(1998) Em Defesa do Sindicalismo. </w:t>
      </w:r>
      <w:r w:rsidRPr="00447EBC">
        <w:rPr>
          <w:rFonts w:ascii="Times New Roman" w:eastAsia="Calibri" w:hAnsi="Times New Roman" w:cs="Times New Roman"/>
          <w:bCs/>
          <w:iCs/>
        </w:rPr>
        <w:t>In: WOODCOCK, George (org.); Grandes Escritos Anarquistas. Porto Alegre, LP&amp;M.</w:t>
      </w:r>
    </w:p>
    <w:p w14:paraId="2C8467F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lang w:val="es-AR"/>
        </w:rPr>
      </w:pPr>
      <w:r w:rsidRPr="00447EBC">
        <w:rPr>
          <w:rFonts w:ascii="Times New Roman" w:eastAsia="Calibri" w:hAnsi="Times New Roman" w:cs="Times New Roman"/>
        </w:rPr>
        <w:t>NETTLAU, Max. (2008/ en prensa), História da Anarquia, 2 vols, San Pablo, Hedra.</w:t>
      </w:r>
    </w:p>
    <w:p w14:paraId="6E96371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s-AR"/>
        </w:rPr>
        <w:t>OITICICA, José. (2009), Cr</w:t>
      </w:r>
      <w:r w:rsidRPr="00447EBC">
        <w:rPr>
          <w:rFonts w:ascii="Times New Roman" w:eastAsia="Calibri" w:hAnsi="Times New Roman" w:cs="Times New Roman"/>
        </w:rPr>
        <w:t xml:space="preserve">íticas e Proposições Organizacionistas. </w:t>
      </w:r>
      <w:r w:rsidRPr="00447EBC">
        <w:rPr>
          <w:rFonts w:ascii="Times New Roman" w:eastAsia="Calibri" w:hAnsi="Times New Roman" w:cs="Times New Roman"/>
          <w:lang w:val="en-US"/>
        </w:rPr>
        <w:t xml:space="preserve">In: Anarkismo.net. </w:t>
      </w:r>
    </w:p>
    <w:p w14:paraId="13CB5F1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PARSONS, Lucy. (2004), Freedom, Equality &amp; Solidarity: writings and speeches, 1878-1937. Chicago, Charles H. Kerr.</w:t>
      </w:r>
    </w:p>
    <w:p w14:paraId="7C0AEB8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PRICE, Wayne. (2008), </w:t>
      </w:r>
      <w:r w:rsidRPr="00447EBC">
        <w:rPr>
          <w:rFonts w:ascii="Times New Roman" w:eastAsia="Calibri" w:hAnsi="Times New Roman" w:cs="Times New Roman"/>
          <w:iCs/>
          <w:lang w:val="en-US"/>
        </w:rPr>
        <w:t>Revolutionary Class-Struggle Anarchism</w:t>
      </w:r>
      <w:r w:rsidRPr="00447EBC">
        <w:rPr>
          <w:rFonts w:ascii="Times New Roman" w:eastAsia="Calibri" w:hAnsi="Times New Roman" w:cs="Times New Roman"/>
          <w:lang w:val="en-US"/>
        </w:rPr>
        <w:t xml:space="preserve">. </w:t>
      </w:r>
      <w:r w:rsidRPr="00447EBC">
        <w:rPr>
          <w:rFonts w:ascii="Times New Roman" w:eastAsia="Calibri" w:hAnsi="Times New Roman" w:cs="Times New Roman"/>
        </w:rPr>
        <w:t>Fordsburg, Zabalaza Books.</w:t>
      </w:r>
    </w:p>
    <w:p w14:paraId="49FBCBB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RAVACHOL. (1981), Memórias de Ravachol. In: MAITRON, Jean; </w:t>
      </w:r>
      <w:r w:rsidRPr="00447EBC">
        <w:rPr>
          <w:rFonts w:ascii="Times New Roman" w:eastAsia="Calibri" w:hAnsi="Times New Roman" w:cs="Times New Roman"/>
          <w:iCs/>
        </w:rPr>
        <w:t>Ravachol e os Anarquistas</w:t>
      </w:r>
      <w:r w:rsidRPr="00447EBC">
        <w:rPr>
          <w:rFonts w:ascii="Times New Roman" w:eastAsia="Calibri" w:hAnsi="Times New Roman" w:cs="Times New Roman"/>
        </w:rPr>
        <w:t>. Lisboa, Antígona.</w:t>
      </w:r>
    </w:p>
    <w:p w14:paraId="5BC3854C"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RECLUS, Élisée. (2002), A Evolução, a Revolução e o Ideal Anarquista. San Pablo, Imaginário.</w:t>
      </w:r>
    </w:p>
    <w:p w14:paraId="76DD8F9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ROCKER, Rudolf. (1978), Anarcosindicalismo: teoria y práctica. Barcelona, Picazo.</w:t>
      </w:r>
    </w:p>
    <w:p w14:paraId="2CD9C18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s-AR"/>
        </w:rPr>
      </w:pPr>
      <w:r w:rsidRPr="00447EBC">
        <w:rPr>
          <w:rFonts w:ascii="Times New Roman" w:eastAsia="Calibri" w:hAnsi="Times New Roman" w:cs="Times New Roman"/>
          <w:lang w:val="es-AR"/>
        </w:rPr>
        <w:t xml:space="preserve">ROMANI, Carlo. (2002). </w:t>
      </w:r>
      <w:r w:rsidRPr="00447EBC">
        <w:rPr>
          <w:rFonts w:ascii="Times New Roman" w:eastAsia="Calibri" w:hAnsi="Times New Roman" w:cs="Times New Roman"/>
          <w:iCs/>
          <w:lang w:val="es-AR"/>
        </w:rPr>
        <w:t>Oreste Ristori: uma aventura anarquista</w:t>
      </w:r>
      <w:r w:rsidRPr="00447EBC">
        <w:rPr>
          <w:rFonts w:ascii="Times New Roman" w:eastAsia="Calibri" w:hAnsi="Times New Roman" w:cs="Times New Roman"/>
          <w:lang w:val="es-AR"/>
        </w:rPr>
        <w:t>. San Pablo, Annablume.</w:t>
      </w:r>
    </w:p>
    <w:p w14:paraId="38E1809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RUGAI, Ricardo. </w:t>
      </w:r>
      <w:r w:rsidRPr="00447EBC">
        <w:rPr>
          <w:rFonts w:ascii="Times New Roman" w:eastAsia="Calibri" w:hAnsi="Times New Roman" w:cs="Times New Roman"/>
        </w:rPr>
        <w:t xml:space="preserve">(2003), </w:t>
      </w:r>
      <w:r w:rsidRPr="00447EBC">
        <w:rPr>
          <w:rFonts w:ascii="Times New Roman" w:eastAsia="Calibri" w:hAnsi="Times New Roman" w:cs="Times New Roman"/>
          <w:iCs/>
        </w:rPr>
        <w:t>O Anarquismo Organizado: as concepções práticas da Federação Anarquista Uruguaia (1952-1976)</w:t>
      </w:r>
      <w:r w:rsidRPr="00447EBC">
        <w:rPr>
          <w:rFonts w:ascii="Times New Roman" w:eastAsia="Calibri" w:hAnsi="Times New Roman" w:cs="Times New Roman"/>
        </w:rPr>
        <w:t>. Campinas, UNICAMP (mestrado en História).</w:t>
      </w:r>
    </w:p>
    <w:p w14:paraId="3E0F6EC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SAKAE, Ôsugi. (2011), Del Ideal Social. </w:t>
      </w:r>
      <w:r w:rsidRPr="00447EBC">
        <w:rPr>
          <w:rFonts w:ascii="Times New Roman" w:eastAsia="Calibri" w:hAnsi="Times New Roman" w:cs="Times New Roman"/>
          <w:lang w:val="en-US"/>
        </w:rPr>
        <w:t xml:space="preserve">In: Anarkismo.net. </w:t>
      </w:r>
    </w:p>
    <w:p w14:paraId="7118E80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SAMIS, Alexandre. </w:t>
      </w:r>
      <w:r w:rsidRPr="00447EBC">
        <w:rPr>
          <w:rFonts w:ascii="Times New Roman" w:eastAsia="Calibri" w:hAnsi="Times New Roman" w:cs="Times New Roman"/>
        </w:rPr>
        <w:t xml:space="preserve">(2004), Pavilhão Negro sobre Pátria Oliva. In: COLOMBO, Eduardo (org.); História do Movimento Operário Revolucionário. San Pablo, Imaginário. </w:t>
      </w:r>
    </w:p>
    <w:p w14:paraId="6389854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SANTILLÁN, Diego Abad de. (1980), Organismo Econômico da Revolução: a autogestão na Revolução Espanhola. </w:t>
      </w:r>
      <w:r w:rsidRPr="00447EBC">
        <w:rPr>
          <w:rFonts w:ascii="Times New Roman" w:eastAsia="Calibri" w:hAnsi="Times New Roman" w:cs="Times New Roman"/>
          <w:lang w:val="en-US"/>
        </w:rPr>
        <w:t>San Pablo, Brasiliense.</w:t>
      </w:r>
    </w:p>
    <w:p w14:paraId="2DCA7B5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lastRenderedPageBreak/>
        <w:t xml:space="preserve">SHIFU (Liu Sifu). (2005), Goals and Methods of the Anarchist-Communist Party. In: GRAHAM, Robert (org.); </w:t>
      </w:r>
      <w:r w:rsidRPr="00447EBC">
        <w:rPr>
          <w:rFonts w:ascii="Times New Roman" w:eastAsia="Calibri" w:hAnsi="Times New Roman" w:cs="Times New Roman"/>
          <w:iCs/>
          <w:lang w:val="en-US"/>
        </w:rPr>
        <w:t>Anarchism: a documentary history of libertarian ideas</w:t>
      </w:r>
      <w:r w:rsidRPr="00447EBC">
        <w:rPr>
          <w:rFonts w:ascii="Times New Roman" w:eastAsia="Calibri" w:hAnsi="Times New Roman" w:cs="Times New Roman"/>
          <w:lang w:val="en-US"/>
        </w:rPr>
        <w:t>, vol. I. Montreal, Black Rose.</w:t>
      </w:r>
    </w:p>
    <w:p w14:paraId="4BE97E55"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 xml:space="preserve">SHÛSUI, Kôtoku. (2012), </w:t>
      </w:r>
      <w:r w:rsidRPr="00447EBC">
        <w:rPr>
          <w:rFonts w:ascii="Times New Roman" w:eastAsia="Calibri" w:hAnsi="Times New Roman" w:cs="Times New Roman"/>
          <w:iCs/>
          <w:lang w:val="en-US"/>
        </w:rPr>
        <w:t xml:space="preserve">Abolish </w:t>
      </w:r>
      <w:proofErr w:type="gramStart"/>
      <w:r w:rsidRPr="00447EBC">
        <w:rPr>
          <w:rFonts w:ascii="Times New Roman" w:eastAsia="Calibri" w:hAnsi="Times New Roman" w:cs="Times New Roman"/>
          <w:iCs/>
          <w:lang w:val="en-US"/>
        </w:rPr>
        <w:t>Money!.</w:t>
      </w:r>
      <w:proofErr w:type="gramEnd"/>
      <w:r w:rsidRPr="00447EBC">
        <w:rPr>
          <w:rFonts w:ascii="Times New Roman" w:eastAsia="Calibri" w:hAnsi="Times New Roman" w:cs="Times New Roman"/>
          <w:iCs/>
          <w:lang w:val="en-US"/>
        </w:rPr>
        <w:t xml:space="preserve"> In:</w:t>
      </w:r>
      <w:r w:rsidRPr="00447EBC">
        <w:rPr>
          <w:rFonts w:ascii="Times New Roman" w:eastAsia="Calibri" w:hAnsi="Times New Roman" w:cs="Times New Roman"/>
          <w:lang w:val="en-US"/>
        </w:rPr>
        <w:t xml:space="preserve"> Anarchist Library. </w:t>
      </w:r>
    </w:p>
    <w:p w14:paraId="57A06DA7"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SILVA, Rafael Viana da. (2014), Os Revolucionários Ineficazes de Hobsbawm: reflexões críticas de sua abordagem do anarquismo. </w:t>
      </w:r>
      <w:r w:rsidRPr="00447EBC">
        <w:rPr>
          <w:rFonts w:ascii="Times New Roman" w:eastAsia="Calibri" w:hAnsi="Times New Roman" w:cs="Times New Roman"/>
          <w:lang w:val="en-US"/>
        </w:rPr>
        <w:t>San Pablo, Faísca.</w:t>
      </w:r>
    </w:p>
    <w:p w14:paraId="409B734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SKIRDA, Alexandre. (2002), Facing the Enemy: a history of anarchist organization from Proudhon to May 1968. Oakland, AK Press.</w:t>
      </w:r>
    </w:p>
    <w:p w14:paraId="26A2ACA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THOMPSON, E. P. (2002), La Historia desde Abajo (The Times Literary Supplement). In: THOMPSON, Dorothy; Edward Palmer Thompson. Barcelona, Crítica.</w:t>
      </w:r>
    </w:p>
    <w:p w14:paraId="49C59905"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VAN DER LINDEN, Marcel. </w:t>
      </w:r>
      <w:r w:rsidRPr="00447EBC">
        <w:rPr>
          <w:rFonts w:ascii="Times New Roman" w:eastAsia="Calibri" w:hAnsi="Times New Roman" w:cs="Times New Roman"/>
        </w:rPr>
        <w:t>(2009), História do Trabalho: o velho, o novo, o global. In: Revista Mundos do Trabalho, vol. 1, num. 1.</w:t>
      </w:r>
    </w:p>
    <w:p w14:paraId="3C8C2A4F"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________________________. (2013), Trabalhadores do Mundo: ensaios para uma história global do trabalho. Campinas, UNICAMP.</w:t>
      </w:r>
    </w:p>
    <w:p w14:paraId="683FFC3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VAN DER WALT, Lucien. (2013), (Re)Construindo um Cânone Anarquista e Sindicalista Global. </w:t>
      </w:r>
      <w:r w:rsidRPr="00447EBC">
        <w:rPr>
          <w:rFonts w:ascii="Times New Roman" w:eastAsia="Calibri" w:hAnsi="Times New Roman" w:cs="Times New Roman"/>
          <w:lang w:val="en-US"/>
        </w:rPr>
        <w:t xml:space="preserve">In: Instituto de Teoria e História Anarquista. </w:t>
      </w:r>
    </w:p>
    <w:p w14:paraId="79BB391E"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 xml:space="preserve">______________________. (2014), Speech to Metalworkers: anarcho-syndicalism for South African unions today. In: Anarcho-Syndicalist Review, num. 61. </w:t>
      </w:r>
    </w:p>
    <w:p w14:paraId="1E8B3920"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 xml:space="preserve">______________________. (2015), Contrapoder, Democracia Participativa e Defesa Revolucionária. In: Instituto de Teoria e História Anarquista. </w:t>
      </w:r>
    </w:p>
    <w:p w14:paraId="5E1B329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______________________. (2016), Global Anarchism and Syndicalism: theory, history, resistance. </w:t>
      </w:r>
      <w:r w:rsidRPr="00447EBC">
        <w:rPr>
          <w:rFonts w:ascii="Times New Roman" w:eastAsia="Calibri" w:hAnsi="Times New Roman" w:cs="Times New Roman"/>
          <w:lang w:val="en-US"/>
        </w:rPr>
        <w:t xml:space="preserve">In: Anarchist Studies, vol. 24, num 1. </w:t>
      </w:r>
    </w:p>
    <w:p w14:paraId="54711DB4"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lang w:val="en-US"/>
        </w:rPr>
        <w:t xml:space="preserve">VAN DER WALT, Lucien y HIRSCH, Steven (orgs.). (2010), </w:t>
      </w:r>
      <w:r w:rsidRPr="00447EBC">
        <w:rPr>
          <w:rFonts w:ascii="Times New Roman" w:eastAsia="Calibri" w:hAnsi="Times New Roman" w:cs="Times New Roman"/>
          <w:iCs/>
          <w:lang w:val="en-US"/>
        </w:rPr>
        <w:t>Anarchism and Syndicalism in the Colonial and Postcolonial World, 1870-1940</w:t>
      </w:r>
      <w:r w:rsidRPr="00447EBC">
        <w:rPr>
          <w:rFonts w:ascii="Times New Roman" w:eastAsia="Calibri" w:hAnsi="Times New Roman" w:cs="Times New Roman"/>
          <w:lang w:val="en-US"/>
        </w:rPr>
        <w:t>. Leiden, Koninklijke NV.</w:t>
      </w:r>
    </w:p>
    <w:p w14:paraId="128D617A"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lang w:val="en-US"/>
        </w:rPr>
        <w:t xml:space="preserve">VAN DER WALT, Lucien y SCHMIDT, Michael. (2009), Black Flame: the revolutionary class politics of anarchism and syndicalism. </w:t>
      </w:r>
      <w:r w:rsidRPr="00447EBC">
        <w:rPr>
          <w:rFonts w:ascii="Times New Roman" w:eastAsia="Calibri" w:hAnsi="Times New Roman" w:cs="Times New Roman"/>
        </w:rPr>
        <w:t>Oakland, AK Press.</w:t>
      </w:r>
    </w:p>
    <w:p w14:paraId="54E14C0D"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bCs/>
          <w:iCs/>
        </w:rPr>
      </w:pPr>
      <w:r w:rsidRPr="00447EBC">
        <w:rPr>
          <w:rFonts w:ascii="Times New Roman" w:eastAsia="Calibri" w:hAnsi="Times New Roman" w:cs="Times New Roman"/>
          <w:bCs/>
          <w:iCs/>
        </w:rPr>
        <w:t>VASCO, Neno. (1984), Concepção Anarquista do Sindicalismo. Porto: Afrontamento.</w:t>
      </w:r>
    </w:p>
    <w:p w14:paraId="622F7A8B"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rPr>
      </w:pPr>
      <w:r w:rsidRPr="00447EBC">
        <w:rPr>
          <w:rFonts w:ascii="Times New Roman" w:eastAsia="Calibri" w:hAnsi="Times New Roman" w:cs="Times New Roman"/>
        </w:rPr>
        <w:t>VOLIN. (2011), A Síntese Anarquista. In: Anarkismo.net.</w:t>
      </w:r>
    </w:p>
    <w:p w14:paraId="527D0EF2"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rPr>
        <w:t xml:space="preserve">WOODCOCK, George. (2002), História das Idéias e Movimentos Anarquistas, 2 vols. </w:t>
      </w:r>
      <w:r w:rsidRPr="00447EBC">
        <w:rPr>
          <w:rFonts w:ascii="Times New Roman" w:eastAsia="Calibri" w:hAnsi="Times New Roman" w:cs="Times New Roman"/>
          <w:lang w:val="en-US"/>
        </w:rPr>
        <w:t>Porto Alegre, LP&amp;M.</w:t>
      </w:r>
    </w:p>
    <w:p w14:paraId="22B33BB3" w14:textId="77777777" w:rsidR="00447EBC" w:rsidRPr="00447EBC" w:rsidRDefault="00447EBC" w:rsidP="002220E8">
      <w:pPr>
        <w:spacing w:afterLines="20" w:after="48" w:line="360" w:lineRule="auto"/>
        <w:ind w:left="540" w:hanging="540"/>
        <w:jc w:val="both"/>
        <w:rPr>
          <w:rFonts w:ascii="Times New Roman" w:eastAsia="Calibri" w:hAnsi="Times New Roman" w:cs="Times New Roman"/>
          <w:lang w:val="en-US"/>
        </w:rPr>
      </w:pPr>
      <w:r w:rsidRPr="00447EBC">
        <w:rPr>
          <w:rFonts w:ascii="Times New Roman" w:eastAsia="Calibri" w:hAnsi="Times New Roman" w:cs="Times New Roman"/>
          <w:bCs/>
          <w:iCs/>
          <w:lang w:val="en-US"/>
        </w:rPr>
        <w:t xml:space="preserve">ZHIHUI, Wu. (2005), Education as Revolution. </w:t>
      </w:r>
      <w:r w:rsidRPr="00447EBC">
        <w:rPr>
          <w:rFonts w:ascii="Times New Roman" w:eastAsia="Calibri" w:hAnsi="Times New Roman" w:cs="Times New Roman"/>
          <w:lang w:val="en-US"/>
        </w:rPr>
        <w:t xml:space="preserve">In: GRAHAM, Robert (org.); </w:t>
      </w:r>
      <w:r w:rsidRPr="00447EBC">
        <w:rPr>
          <w:rFonts w:ascii="Times New Roman" w:eastAsia="Calibri" w:hAnsi="Times New Roman" w:cs="Times New Roman"/>
          <w:iCs/>
          <w:lang w:val="en-US"/>
        </w:rPr>
        <w:t>Anarchism: a documentary history of libertarian ideas</w:t>
      </w:r>
      <w:r w:rsidRPr="00447EBC">
        <w:rPr>
          <w:rFonts w:ascii="Times New Roman" w:eastAsia="Calibri" w:hAnsi="Times New Roman" w:cs="Times New Roman"/>
          <w:lang w:val="en-US"/>
        </w:rPr>
        <w:t>, vol. I. Montreal, Black Rose.</w:t>
      </w:r>
    </w:p>
    <w:p w14:paraId="5105F713" w14:textId="77777777" w:rsidR="00447EBC" w:rsidRDefault="00447EBC" w:rsidP="002220E8">
      <w:pPr>
        <w:spacing w:after="200" w:line="360" w:lineRule="auto"/>
        <w:jc w:val="both"/>
        <w:rPr>
          <w:rFonts w:ascii="Times New Roman" w:eastAsia="Calibri" w:hAnsi="Times New Roman" w:cs="Times New Roman"/>
          <w:sz w:val="24"/>
          <w:szCs w:val="24"/>
        </w:rPr>
      </w:pPr>
    </w:p>
    <w:p w14:paraId="6CE484D1" w14:textId="77777777" w:rsidR="00E6630C" w:rsidRDefault="00E6630C" w:rsidP="002220E8">
      <w:pPr>
        <w:spacing w:after="200" w:line="360" w:lineRule="auto"/>
        <w:jc w:val="both"/>
        <w:rPr>
          <w:rFonts w:ascii="Times New Roman" w:eastAsia="Calibri" w:hAnsi="Times New Roman" w:cs="Times New Roman"/>
          <w:sz w:val="24"/>
          <w:szCs w:val="24"/>
        </w:rPr>
      </w:pPr>
    </w:p>
    <w:p w14:paraId="15C83BDE" w14:textId="77777777" w:rsidR="00E6630C" w:rsidRDefault="00E6630C" w:rsidP="002220E8">
      <w:pPr>
        <w:spacing w:after="200" w:line="360" w:lineRule="auto"/>
        <w:jc w:val="both"/>
        <w:rPr>
          <w:rFonts w:ascii="Times New Roman" w:eastAsia="Calibri" w:hAnsi="Times New Roman" w:cs="Times New Roman"/>
          <w:sz w:val="24"/>
          <w:szCs w:val="24"/>
        </w:rPr>
      </w:pPr>
    </w:p>
    <w:p w14:paraId="3DAD6387" w14:textId="77777777" w:rsidR="00E6630C" w:rsidRDefault="00E6630C" w:rsidP="002220E8">
      <w:pPr>
        <w:spacing w:after="200" w:line="360" w:lineRule="auto"/>
        <w:jc w:val="both"/>
        <w:rPr>
          <w:rFonts w:ascii="Times New Roman" w:eastAsia="Calibri" w:hAnsi="Times New Roman" w:cs="Times New Roman"/>
          <w:sz w:val="24"/>
          <w:szCs w:val="24"/>
        </w:rPr>
      </w:pPr>
    </w:p>
    <w:p w14:paraId="3FD00E81" w14:textId="77777777" w:rsidR="00E6630C" w:rsidRDefault="00E6630C" w:rsidP="002220E8">
      <w:pPr>
        <w:spacing w:after="200" w:line="360" w:lineRule="auto"/>
        <w:jc w:val="both"/>
        <w:rPr>
          <w:rFonts w:ascii="Times New Roman" w:eastAsia="Calibri" w:hAnsi="Times New Roman" w:cs="Times New Roman"/>
          <w:sz w:val="24"/>
          <w:szCs w:val="24"/>
        </w:rPr>
      </w:pPr>
    </w:p>
    <w:p w14:paraId="2BC94A40" w14:textId="77777777" w:rsidR="00E6630C" w:rsidRDefault="00E6630C" w:rsidP="002220E8">
      <w:pPr>
        <w:spacing w:after="200" w:line="360" w:lineRule="auto"/>
        <w:jc w:val="both"/>
        <w:rPr>
          <w:rFonts w:ascii="Times New Roman" w:eastAsia="Calibri" w:hAnsi="Times New Roman" w:cs="Times New Roman"/>
          <w:sz w:val="24"/>
          <w:szCs w:val="24"/>
        </w:rPr>
      </w:pPr>
    </w:p>
    <w:p w14:paraId="6432357E" w14:textId="77777777" w:rsidR="00E6630C" w:rsidRDefault="00E6630C" w:rsidP="002220E8">
      <w:pPr>
        <w:spacing w:after="200" w:line="360" w:lineRule="auto"/>
        <w:jc w:val="both"/>
        <w:rPr>
          <w:rFonts w:ascii="Times New Roman" w:eastAsia="Calibri" w:hAnsi="Times New Roman" w:cs="Times New Roman"/>
          <w:sz w:val="24"/>
          <w:szCs w:val="24"/>
        </w:rPr>
      </w:pPr>
    </w:p>
    <w:p w14:paraId="753AFE1C" w14:textId="77777777" w:rsidR="00E6630C" w:rsidRDefault="00E6630C" w:rsidP="002220E8">
      <w:pPr>
        <w:spacing w:after="200" w:line="360" w:lineRule="auto"/>
        <w:jc w:val="both"/>
        <w:rPr>
          <w:rFonts w:ascii="Times New Roman" w:eastAsia="Calibri" w:hAnsi="Times New Roman" w:cs="Times New Roman"/>
          <w:sz w:val="24"/>
          <w:szCs w:val="24"/>
        </w:rPr>
      </w:pPr>
    </w:p>
    <w:bookmarkEnd w:id="0"/>
    <w:p w14:paraId="7333621E" w14:textId="77777777" w:rsidR="00E6630C" w:rsidRDefault="00E6630C" w:rsidP="002220E8">
      <w:pPr>
        <w:spacing w:after="200" w:line="360" w:lineRule="auto"/>
        <w:jc w:val="both"/>
        <w:rPr>
          <w:rFonts w:ascii="Times New Roman" w:eastAsia="Calibri" w:hAnsi="Times New Roman" w:cs="Times New Roman"/>
          <w:sz w:val="24"/>
          <w:szCs w:val="24"/>
        </w:rPr>
      </w:pPr>
    </w:p>
    <w:sectPr w:rsidR="00E6630C" w:rsidSect="00FF7D14">
      <w:headerReference w:type="default" r:id="rId25"/>
      <w:footerReference w:type="default" r:id="rId26"/>
      <w:pgSz w:w="11906" w:h="16838"/>
      <w:pgMar w:top="1417" w:right="1701" w:bottom="1417" w:left="1701" w:header="85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6DC5" w14:textId="77777777" w:rsidR="00074CBA" w:rsidRDefault="00074CBA" w:rsidP="00570A7B">
      <w:pPr>
        <w:spacing w:after="0" w:line="240" w:lineRule="auto"/>
      </w:pPr>
      <w:r>
        <w:separator/>
      </w:r>
    </w:p>
  </w:endnote>
  <w:endnote w:type="continuationSeparator" w:id="0">
    <w:p w14:paraId="27C7E1DB" w14:textId="77777777" w:rsidR="00074CBA" w:rsidRDefault="00074CBA" w:rsidP="0057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ohit Devanagari">
    <w:charset w:val="00"/>
    <w:family w:val="auto"/>
    <w:pitch w:val="variable"/>
  </w:font>
  <w:font w:name="Liberation Sans">
    <w:altName w:val="Arial"/>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81881"/>
      <w:docPartObj>
        <w:docPartGallery w:val="Page Numbers (Bottom of Page)"/>
        <w:docPartUnique/>
      </w:docPartObj>
    </w:sdtPr>
    <w:sdtEndPr/>
    <w:sdtContent>
      <w:p w14:paraId="1200DE91" w14:textId="77777777" w:rsidR="0051465F" w:rsidRDefault="0051465F">
        <w:pPr>
          <w:pStyle w:val="Rodap"/>
          <w:jc w:val="right"/>
        </w:pPr>
        <w:r>
          <w:fldChar w:fldCharType="begin"/>
        </w:r>
        <w:r>
          <w:instrText>PAGE   \* MERGEFORMAT</w:instrText>
        </w:r>
        <w:r>
          <w:fldChar w:fldCharType="separate"/>
        </w:r>
        <w:r>
          <w:t>2</w:t>
        </w:r>
        <w:r>
          <w:fldChar w:fldCharType="end"/>
        </w:r>
      </w:p>
    </w:sdtContent>
  </w:sdt>
  <w:p w14:paraId="466715CD" w14:textId="77777777" w:rsidR="0051465F" w:rsidRDefault="005146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9768"/>
      <w:docPartObj>
        <w:docPartGallery w:val="Page Numbers (Bottom of Page)"/>
        <w:docPartUnique/>
      </w:docPartObj>
    </w:sdtPr>
    <w:sdtEndPr/>
    <w:sdtContent>
      <w:p w14:paraId="52C342B9" w14:textId="77777777" w:rsidR="0051465F" w:rsidRDefault="0051465F">
        <w:pPr>
          <w:pStyle w:val="Rodap"/>
          <w:jc w:val="right"/>
        </w:pPr>
        <w:r>
          <w:fldChar w:fldCharType="begin"/>
        </w:r>
        <w:r>
          <w:instrText>PAGE   \* MERGEFORMAT</w:instrText>
        </w:r>
        <w:r>
          <w:fldChar w:fldCharType="separate"/>
        </w:r>
        <w:r>
          <w:t>2</w:t>
        </w:r>
        <w:r>
          <w:fldChar w:fldCharType="end"/>
        </w:r>
      </w:p>
    </w:sdtContent>
  </w:sdt>
  <w:p w14:paraId="27E39464" w14:textId="77777777" w:rsidR="0051465F" w:rsidRDefault="00514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832D" w14:textId="77777777" w:rsidR="00074CBA" w:rsidRDefault="00074CBA" w:rsidP="00570A7B">
      <w:pPr>
        <w:spacing w:after="0" w:line="240" w:lineRule="auto"/>
      </w:pPr>
      <w:r>
        <w:separator/>
      </w:r>
    </w:p>
  </w:footnote>
  <w:footnote w:type="continuationSeparator" w:id="0">
    <w:p w14:paraId="589311F8" w14:textId="77777777" w:rsidR="00074CBA" w:rsidRDefault="00074CBA" w:rsidP="00570A7B">
      <w:pPr>
        <w:spacing w:after="0" w:line="240" w:lineRule="auto"/>
      </w:pPr>
      <w:r>
        <w:continuationSeparator/>
      </w:r>
    </w:p>
  </w:footnote>
  <w:footnote w:id="1">
    <w:p w14:paraId="77EB10B4"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Tradução do texto “Debunking Democracy”, publicado originalmente em abril de 2011. O texto que serve de base para esta tradução foi escaneado do CAL Press Pamphlet Series #2 e disponibilizado com </w:t>
      </w:r>
      <w:r w:rsidRPr="006710B4">
        <w:rPr>
          <w:rFonts w:ascii="Times New Roman" w:hAnsi="Times New Roman" w:cs="Times New Roman"/>
          <w:i/>
          <w:iCs/>
          <w:sz w:val="20"/>
          <w:szCs w:val="20"/>
        </w:rPr>
        <w:t>copyleft</w:t>
      </w:r>
      <w:r w:rsidRPr="006710B4">
        <w:rPr>
          <w:rFonts w:ascii="Times New Roman" w:hAnsi="Times New Roman" w:cs="Times New Roman"/>
          <w:sz w:val="20"/>
          <w:szCs w:val="20"/>
        </w:rPr>
        <w:t xml:space="preserve"> pelo site theanarchistlibrary.org. Tradução de Lucas Lemos Walmrath, mestrando do PPGSA da UFRJ.</w:t>
      </w:r>
    </w:p>
    <w:p w14:paraId="0FECBBA9" w14:textId="77777777" w:rsidR="0051465F" w:rsidRPr="006710B4" w:rsidRDefault="0051465F" w:rsidP="00FF7D14">
      <w:pPr>
        <w:pStyle w:val="Footnote"/>
        <w:rPr>
          <w:rFonts w:ascii="Times New Roman" w:hAnsi="Times New Roman" w:cs="Times New Roman"/>
          <w:sz w:val="20"/>
          <w:szCs w:val="20"/>
        </w:rPr>
      </w:pPr>
    </w:p>
  </w:footnote>
  <w:footnote w:id="2">
    <w:p w14:paraId="07E7F606"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Robert Charles Black Jr. (nascido em 4 de janeiro de 1951) é um anarquista americano. Ele é o autor dos livros A Abolição do Trabalho e Outros Ensaios, </w:t>
      </w:r>
      <w:r w:rsidRPr="006710B4">
        <w:rPr>
          <w:rFonts w:ascii="Times New Roman" w:hAnsi="Times New Roman" w:cs="Times New Roman"/>
          <w:i/>
          <w:iCs/>
          <w:sz w:val="20"/>
          <w:szCs w:val="20"/>
        </w:rPr>
        <w:t xml:space="preserve">Beneath the Underground, Friendly Fire, Anarchy After Leftism, Defacing the Currency </w:t>
      </w:r>
      <w:r w:rsidRPr="006710B4">
        <w:rPr>
          <w:rFonts w:ascii="Times New Roman" w:hAnsi="Times New Roman" w:cs="Times New Roman"/>
          <w:sz w:val="20"/>
          <w:szCs w:val="20"/>
        </w:rPr>
        <w:t xml:space="preserve">e numerosos ensaios políticos. O autor se formou na Universidade de Michigan e na Georgetown Law School (Washington D.C.). Possui também mestrado em jurisprudência e política social pela Universidade da Califórnia, em Berkeley, e em justiça criminal na Universidade de Albany, em SUNY, e LL.M em direito penal pela University at Buffalo Law School (WIKIPEDIA CONTRIBUTORS, 2018, tradução própria). </w:t>
      </w:r>
    </w:p>
    <w:p w14:paraId="68D5FD6C" w14:textId="77777777" w:rsidR="0051465F" w:rsidRPr="006710B4" w:rsidRDefault="0051465F" w:rsidP="00FF7D14">
      <w:pPr>
        <w:pStyle w:val="Footnote"/>
        <w:rPr>
          <w:rFonts w:ascii="Times New Roman" w:hAnsi="Times New Roman" w:cs="Times New Roman"/>
          <w:sz w:val="20"/>
          <w:szCs w:val="20"/>
        </w:rPr>
      </w:pPr>
    </w:p>
  </w:footnote>
  <w:footnote w:id="3">
    <w:p w14:paraId="74680FBE"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“Democracia é feita idêntica à liberdade intelectual, à justiça econômica, ao bem-estar social, à tolerância, à piedade, à integridade moral, à dignidade do homem e a decência civilizada geral” (Nisbet, 1962, p. 248).</w:t>
      </w:r>
      <w:r w:rsidRPr="006710B4">
        <w:rPr>
          <w:sz w:val="20"/>
          <w:szCs w:val="20"/>
        </w:rPr>
        <w:t xml:space="preserve"> </w:t>
      </w:r>
    </w:p>
  </w:footnote>
  <w:footnote w:id="4">
    <w:p w14:paraId="5730E15C"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Termo em inglês para designar os “Cinquenta e cinco delegados que participaram de sessões da Convenção Constitucional e são considerados os autores da Constituição, embora apenas 39 delegados tenham realmente assinado” (Wikipedia Contributors, 2019, tradução própria). </w:t>
      </w:r>
    </w:p>
    <w:p w14:paraId="094271A6" w14:textId="77777777" w:rsidR="0051465F" w:rsidRPr="006710B4" w:rsidRDefault="0051465F" w:rsidP="00FF7D14">
      <w:pPr>
        <w:pStyle w:val="Footnote"/>
        <w:rPr>
          <w:rFonts w:ascii="Times New Roman" w:hAnsi="Times New Roman" w:cs="Times New Roman"/>
          <w:sz w:val="20"/>
          <w:szCs w:val="20"/>
        </w:rPr>
      </w:pPr>
    </w:p>
  </w:footnote>
  <w:footnote w:id="5">
    <w:p w14:paraId="550E9E02"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lang w:val="en-US"/>
        </w:rPr>
        <w:t xml:space="preserve"> Veja, </w:t>
      </w:r>
      <w:r w:rsidRPr="006710B4">
        <w:rPr>
          <w:rFonts w:ascii="Times New Roman" w:hAnsi="Times New Roman" w:cs="Times New Roman"/>
          <w:i/>
          <w:iCs/>
          <w:sz w:val="20"/>
          <w:szCs w:val="20"/>
          <w:lang w:val="en-US"/>
        </w:rPr>
        <w:t>e.g</w:t>
      </w:r>
      <w:r w:rsidRPr="006710B4">
        <w:rPr>
          <w:rFonts w:ascii="Times New Roman" w:hAnsi="Times New Roman" w:cs="Times New Roman"/>
          <w:sz w:val="20"/>
          <w:szCs w:val="20"/>
          <w:lang w:val="en-US"/>
        </w:rPr>
        <w:t xml:space="preserve">, The Federalist (Madison, 1961); The Records of the Federal Convention of 1787 (United States Constitutional Convention, 1911, p. 26–27, Edmund Randolph; 48, Elbridge Gerry; 49, George Mason; 288, Alexander Hamilton). </w:t>
      </w:r>
      <w:r w:rsidRPr="006710B4">
        <w:rPr>
          <w:rFonts w:ascii="Times New Roman" w:hAnsi="Times New Roman" w:cs="Times New Roman"/>
          <w:sz w:val="20"/>
          <w:szCs w:val="20"/>
        </w:rPr>
        <w:t>Randolph culpou os problemas da América com “a turbulência e as loucuras da democracia”  (Ibid. 1911, p. 51).</w:t>
      </w:r>
      <w:r w:rsidRPr="006710B4">
        <w:rPr>
          <w:sz w:val="20"/>
          <w:szCs w:val="20"/>
        </w:rPr>
        <w:t xml:space="preserve"> </w:t>
      </w:r>
    </w:p>
  </w:footnote>
  <w:footnote w:id="6">
    <w:p w14:paraId="2CD08F1D" w14:textId="77777777" w:rsidR="0051465F" w:rsidRPr="006710B4" w:rsidRDefault="0051465F" w:rsidP="00FF7D14">
      <w:pPr>
        <w:pStyle w:val="Footnote"/>
        <w:rPr>
          <w:rFonts w:hint="eastAsia"/>
          <w:sz w:val="20"/>
          <w:szCs w:val="20"/>
        </w:rPr>
      </w:pPr>
      <w:r w:rsidRPr="006710B4">
        <w:rPr>
          <w:rStyle w:val="Refdenotaderodap"/>
          <w:sz w:val="20"/>
          <w:szCs w:val="20"/>
        </w:rPr>
        <w:footnoteRef/>
      </w:r>
      <w:r w:rsidRPr="006710B4">
        <w:rPr>
          <w:sz w:val="20"/>
          <w:szCs w:val="20"/>
        </w:rPr>
        <w:t xml:space="preserve"> Da mesma forma, a democracia na Suíça é a mais participativa do mundo, mas os suíços não são “particularmente participativos na vida econômica e social” (Linder, 2010: 127). </w:t>
      </w:r>
    </w:p>
  </w:footnote>
  <w:footnote w:id="7">
    <w:p w14:paraId="580F23F3"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sz w:val="20"/>
          <w:szCs w:val="20"/>
        </w:rPr>
        <w:t xml:space="preserve"> </w:t>
      </w:r>
      <w:r w:rsidRPr="006710B4">
        <w:rPr>
          <w:b/>
          <w:bCs/>
          <w:sz w:val="20"/>
          <w:szCs w:val="20"/>
        </w:rPr>
        <w:t>N.T.:</w:t>
      </w:r>
      <w:r w:rsidRPr="006710B4">
        <w:rPr>
          <w:sz w:val="20"/>
          <w:szCs w:val="20"/>
        </w:rPr>
        <w:t xml:space="preserve"> Tradução livre do termo em inglês </w:t>
      </w:r>
      <w:r w:rsidRPr="006710B4">
        <w:rPr>
          <w:i/>
          <w:iCs/>
          <w:sz w:val="20"/>
          <w:szCs w:val="20"/>
        </w:rPr>
        <w:t>proxy voting</w:t>
      </w:r>
      <w:r w:rsidRPr="006710B4">
        <w:rPr>
          <w:sz w:val="20"/>
          <w:szCs w:val="20"/>
        </w:rPr>
        <w:t xml:space="preserve">. Segundo a Wikipedia, “é uma forma de votação em que um membro de um órgão de decisão pode delegar seu poder de voto a um representante, para permitir uma votação na sua ausência. O representante pode ser outro membro do mesmo corpo ou externo. Uma pessoa assim designada é chamada de “proxy” e a pessoa que a designa é chamada de “principal”” (“Proxy voting”, 2019). </w:t>
      </w:r>
    </w:p>
    <w:p w14:paraId="57E30801" w14:textId="77777777" w:rsidR="0051465F" w:rsidRPr="006710B4" w:rsidRDefault="0051465F" w:rsidP="00FF7D14">
      <w:pPr>
        <w:pStyle w:val="Footnote"/>
        <w:jc w:val="both"/>
        <w:rPr>
          <w:rFonts w:hint="eastAsia"/>
          <w:sz w:val="20"/>
          <w:szCs w:val="20"/>
        </w:rPr>
      </w:pPr>
    </w:p>
  </w:footnote>
  <w:footnote w:id="8">
    <w:p w14:paraId="3BB6E954"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“A necessidade desses líderes é evidente, pois, sob o nome de chefes de grupos, eles são recebidos nas assembleias de todos os países. Eles são os reais governantes de uma assembleia” (Bon, 1960: 189).</w:t>
      </w:r>
    </w:p>
  </w:footnote>
  <w:footnote w:id="9">
    <w:p w14:paraId="7322029F" w14:textId="77777777" w:rsidR="0051465F" w:rsidRPr="006710B4" w:rsidRDefault="0051465F" w:rsidP="00FF7D14">
      <w:pPr>
        <w:pStyle w:val="Textodenotaderodap"/>
      </w:pPr>
      <w:r w:rsidRPr="006710B4">
        <w:rPr>
          <w:rStyle w:val="Refdenotaderodap"/>
        </w:rPr>
        <w:footnoteRef/>
      </w:r>
      <w:r w:rsidRPr="006710B4">
        <w:t xml:space="preserve"> A única razão pela qual as ordens de preferência cíclicas não são mais comuns na vida real é a influência de outras práticas antidemocráticas, como o </w:t>
      </w:r>
      <w:r w:rsidRPr="006710B4">
        <w:rPr>
          <w:i/>
          <w:iCs/>
        </w:rPr>
        <w:t>logrolling</w:t>
      </w:r>
      <w:r w:rsidRPr="006710B4">
        <w:t xml:space="preserve"> (ver abaixo). </w:t>
      </w:r>
    </w:p>
  </w:footnote>
  <w:footnote w:id="10">
    <w:p w14:paraId="7ACB760F"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Bob Black faz referência aqui a Lewis Carroll, pseudônimo de Charles Lutwidge Dodgson (Daresbury, 27 de janeiro de 1832 — Guildford, 14 de Janeiro de 1898). Foi “um romancista, contista, fabulista, poeta, desenhista, fotógrafo, matemático e reverendo anglicano britânico. Lecionava matemática no Christ College, em Oxford. É autor do clássico livro Alice no País das Maravilhas, além de outros poemas escritos em estilo nonsense ao longo de sua carreira literária, que são considerados políticos, em função das fusões e da disposição espacial das palavras, como precursores da poesia de vanguarda.” (“Lewis Carroll”, 2018). </w:t>
      </w:r>
    </w:p>
    <w:p w14:paraId="6A7D17A8" w14:textId="77777777" w:rsidR="0051465F" w:rsidRPr="006710B4" w:rsidRDefault="0051465F" w:rsidP="00FF7D14">
      <w:pPr>
        <w:pStyle w:val="Footnote"/>
        <w:jc w:val="both"/>
        <w:rPr>
          <w:rFonts w:hint="eastAsia"/>
          <w:sz w:val="20"/>
          <w:szCs w:val="20"/>
        </w:rPr>
      </w:pPr>
    </w:p>
  </w:footnote>
  <w:footnote w:id="11">
    <w:p w14:paraId="5C016BC2"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Na Itália do século XII, Gênova e Pistoia proibiram o </w:t>
      </w:r>
      <w:r w:rsidRPr="006710B4">
        <w:rPr>
          <w:rFonts w:ascii="Times New Roman" w:hAnsi="Times New Roman" w:cs="Times New Roman"/>
          <w:iCs/>
          <w:sz w:val="20"/>
          <w:szCs w:val="20"/>
        </w:rPr>
        <w:t>logrolling</w:t>
      </w:r>
      <w:r w:rsidRPr="006710B4">
        <w:rPr>
          <w:rFonts w:ascii="Times New Roman" w:hAnsi="Times New Roman" w:cs="Times New Roman"/>
          <w:sz w:val="20"/>
          <w:szCs w:val="20"/>
        </w:rPr>
        <w:t xml:space="preserve"> nas eleições consulares (MARTINES, 1979, p. 29). Tais leis são em vão: “As leis contra o </w:t>
      </w:r>
      <w:r w:rsidRPr="006710B4">
        <w:rPr>
          <w:rFonts w:ascii="Times New Roman" w:hAnsi="Times New Roman" w:cs="Times New Roman"/>
          <w:iCs/>
          <w:sz w:val="20"/>
          <w:szCs w:val="20"/>
        </w:rPr>
        <w:t>logrolling</w:t>
      </w:r>
      <w:r w:rsidRPr="006710B4">
        <w:rPr>
          <w:rFonts w:ascii="Times New Roman" w:hAnsi="Times New Roman" w:cs="Times New Roman"/>
          <w:sz w:val="20"/>
          <w:szCs w:val="20"/>
        </w:rPr>
        <w:t xml:space="preserve"> (provavelmente passadas em parte por meio do </w:t>
      </w:r>
      <w:r w:rsidRPr="006710B4">
        <w:rPr>
          <w:rFonts w:ascii="Times New Roman" w:hAnsi="Times New Roman" w:cs="Times New Roman"/>
          <w:iCs/>
          <w:sz w:val="20"/>
          <w:szCs w:val="20"/>
        </w:rPr>
        <w:t>logrolling</w:t>
      </w:r>
      <w:r w:rsidRPr="006710B4">
        <w:rPr>
          <w:rFonts w:ascii="Times New Roman" w:hAnsi="Times New Roman" w:cs="Times New Roman"/>
          <w:sz w:val="20"/>
          <w:szCs w:val="20"/>
        </w:rPr>
        <w:t xml:space="preserve">) não afetam substancialmente o funcionamento da democracia nos países que as adotaram” (TULLOCK, 1976, p. 41). Eles só convidam sigilo e hipocrisia. A maioria de dois terços dos estados para a adoção da Décima Terceira Emenda à Constituição dos EUA, abolindo a escravidão, foi obtida por meio de </w:t>
      </w:r>
      <w:r w:rsidRPr="006710B4">
        <w:rPr>
          <w:rFonts w:ascii="Times New Roman" w:hAnsi="Times New Roman" w:cs="Times New Roman"/>
          <w:iCs/>
          <w:sz w:val="20"/>
          <w:szCs w:val="20"/>
        </w:rPr>
        <w:t>logrolling (NOONAN, 1984, p. 456</w:t>
      </w:r>
      <w:r w:rsidRPr="006710B4">
        <w:rPr>
          <w:rFonts w:ascii="Times New Roman" w:hAnsi="Times New Roman" w:cs="Times New Roman"/>
          <w:sz w:val="20"/>
          <w:szCs w:val="20"/>
        </w:rPr>
        <w:t>–458)</w:t>
      </w:r>
    </w:p>
  </w:footnote>
  <w:footnote w:id="12">
    <w:p w14:paraId="3D8FE89D"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Veja, e.g., Tullock (1976, p. 45–46). Os referendos, outra expressão da democracia direta, proporcionam “o exemplo mais querido” do “logrolling”, colocando em um único voto medidas não-relacionadas agrupadas para apelar à maioria. (Ibid. 1976, p. 48–49). Algumas constituições estaduais tentam proibir a inclusão de mais de um assunto em cada proposta de votação. Essas disposições são notoriamente ineficazes. Elas também são antidemocráticas, porque o judiciário é o árbitro final. Em um sistema político sem freios e contrapesos, a democracia é tirania. Mas um sistema político com freios e contrapesos não é uma democracia.</w:t>
      </w:r>
    </w:p>
  </w:footnote>
  <w:footnote w:id="13">
    <w:p w14:paraId="54DBA188" w14:textId="77777777" w:rsidR="0051465F" w:rsidRPr="006710B4" w:rsidRDefault="0051465F" w:rsidP="00FF7D14">
      <w:pPr>
        <w:pStyle w:val="Footnote"/>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Bob Black usa originalmente o termo </w:t>
      </w:r>
      <w:r w:rsidRPr="006710B4">
        <w:rPr>
          <w:rFonts w:ascii="Times New Roman" w:hAnsi="Times New Roman" w:cs="Times New Roman"/>
          <w:iCs/>
          <w:sz w:val="20"/>
          <w:szCs w:val="20"/>
        </w:rPr>
        <w:t>marketplace</w:t>
      </w:r>
      <w:r w:rsidRPr="006710B4">
        <w:rPr>
          <w:rFonts w:ascii="Times New Roman" w:hAnsi="Times New Roman" w:cs="Times New Roman"/>
          <w:sz w:val="20"/>
          <w:szCs w:val="20"/>
        </w:rPr>
        <w:t xml:space="preserve">, que escolhi traduzir como “feira” para distinguir do sentido de “mercado” em termos estritamente econômicos, fazendo, assim, mais jus ao termo </w:t>
      </w:r>
      <w:r w:rsidRPr="006710B4">
        <w:rPr>
          <w:rFonts w:ascii="Times New Roman" w:hAnsi="Times New Roman" w:cs="Times New Roman"/>
          <w:iCs/>
          <w:sz w:val="20"/>
          <w:szCs w:val="20"/>
        </w:rPr>
        <w:t>ágora</w:t>
      </w:r>
      <w:r w:rsidRPr="006710B4">
        <w:rPr>
          <w:rFonts w:ascii="Times New Roman" w:hAnsi="Times New Roman" w:cs="Times New Roman"/>
          <w:sz w:val="20"/>
          <w:szCs w:val="20"/>
        </w:rPr>
        <w:t xml:space="preserve"> por ele mencionado em sua alusão a nomes gregos.</w:t>
      </w:r>
    </w:p>
    <w:p w14:paraId="08D0B7B9" w14:textId="77777777" w:rsidR="0051465F" w:rsidRPr="006710B4" w:rsidRDefault="0051465F" w:rsidP="00FF7D14">
      <w:pPr>
        <w:pStyle w:val="Footnote"/>
        <w:rPr>
          <w:rFonts w:hint="eastAsia"/>
          <w:sz w:val="20"/>
          <w:szCs w:val="20"/>
        </w:rPr>
      </w:pPr>
    </w:p>
  </w:footnote>
  <w:footnote w:id="14">
    <w:p w14:paraId="4A24FB77"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Considerações morais à parte (onde elas pertencem), a regra da maioria com </w:t>
      </w:r>
      <w:r w:rsidRPr="006710B4">
        <w:rPr>
          <w:rFonts w:ascii="Times New Roman" w:hAnsi="Times New Roman" w:cs="Times New Roman"/>
          <w:i/>
          <w:iCs/>
          <w:sz w:val="20"/>
          <w:szCs w:val="20"/>
        </w:rPr>
        <w:t>logrolling</w:t>
      </w:r>
      <w:r w:rsidRPr="006710B4">
        <w:rPr>
          <w:rFonts w:ascii="Times New Roman" w:hAnsi="Times New Roman" w:cs="Times New Roman"/>
          <w:sz w:val="20"/>
          <w:szCs w:val="20"/>
        </w:rPr>
        <w:t xml:space="preserve"> pode levar a resultados ineficientes – o pico de eficiência exige, surpreendentemente, supermaiorias: “A regra da maioria não é, portanto, ideal” (TULLOCK, 1976, p. 51–55, 55 citado).</w:t>
      </w:r>
    </w:p>
  </w:footnote>
  <w:footnote w:id="15">
    <w:p w14:paraId="07CFD41C"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 a democracia majoritária é exclusiva, competitiva e com oposição” (“Consensus Democracy”, 2003). Mansbridge acrescenta que, por ser angustiante enfrentar uma maioria hostil, as reuniões exercem pressão pela conformidade. </w:t>
      </w:r>
      <w:r w:rsidRPr="006710B4">
        <w:rPr>
          <w:rFonts w:ascii="Times New Roman" w:hAnsi="Times New Roman" w:cs="Times New Roman"/>
          <w:sz w:val="20"/>
          <w:szCs w:val="20"/>
          <w:lang w:val="en-US"/>
        </w:rPr>
        <w:t xml:space="preserve">Militantes altamente motivados podem apenas se desgastar e superar os outros: “The Lower and Weaker Faction, is the firmer in Conjunction: And it is often scene, that a few, that are Stiffe, does tire out, a greater Number, that are more Moderate” (BACON, 1985, p. 155, ensaio número LI). </w:t>
      </w:r>
      <w:r w:rsidRPr="006710B4">
        <w:rPr>
          <w:rFonts w:ascii="Times New Roman" w:hAnsi="Times New Roman" w:cs="Times New Roman"/>
          <w:sz w:val="20"/>
          <w:szCs w:val="20"/>
        </w:rPr>
        <w:t xml:space="preserve">Não menos importante das muitas desigualdades sérias que são inerentes à assembleia é a desigualdade entre extrovertidos e introvertidos. O governo de assembleia desencoraja a presença do tipo de pessoa que não gosta de estar na mesma sala com, digamos, Murray Bookchin ou Peter Staudenmeier. </w:t>
      </w:r>
    </w:p>
  </w:footnote>
  <w:footnote w:id="16">
    <w:p w14:paraId="4B08DB69"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“Ver a proposta de um homem que nós desprezamos ser preferida em lugar da nossa; ver nossa sabedoria ignorada diante de nossos olhos; incorrer em certa inimizade em uma luta incerta pela glória vazia; odiar e ser odiado por causa de diferenças de opinião (que não podem ser evitadas, ganhemos ou perdemos); revelar nossos planos e desejos quando não houver necessidade e não conseguir nada com isso; negligenciar nossos assuntos privados. Estas, eu digo, são desvantagens” (HOBBES, 1998, p. 120).</w:t>
      </w:r>
    </w:p>
  </w:footnote>
  <w:footnote w:id="17">
    <w:p w14:paraId="2DD62F8D"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Alguns conceitos não encontram uma tradução perfeita, como “</w:t>
      </w:r>
      <w:r w:rsidRPr="006710B4">
        <w:rPr>
          <w:rFonts w:ascii="Times New Roman" w:hAnsi="Times New Roman" w:cs="Times New Roman"/>
          <w:i/>
          <w:iCs/>
          <w:sz w:val="20"/>
          <w:szCs w:val="20"/>
        </w:rPr>
        <w:t>Gerrymandering</w:t>
      </w:r>
      <w:r w:rsidRPr="006710B4">
        <w:rPr>
          <w:rFonts w:ascii="Times New Roman" w:hAnsi="Times New Roman" w:cs="Times New Roman"/>
          <w:sz w:val="20"/>
          <w:szCs w:val="20"/>
        </w:rPr>
        <w:t xml:space="preserve"> (palavra de origem norte-americana) [que] é um controverso método de definir em termos de área os distritos eleitorais de um território para obter vantagens no número de representantes políticos (geralmente parlamentares) eleitos, em especial nos locais onde se utiliza o sistema eleitoral majoritário com voto distrital. O </w:t>
      </w:r>
      <w:r w:rsidRPr="006710B4">
        <w:rPr>
          <w:rFonts w:ascii="Times New Roman" w:hAnsi="Times New Roman" w:cs="Times New Roman"/>
          <w:i/>
          <w:iCs/>
          <w:sz w:val="20"/>
          <w:szCs w:val="20"/>
        </w:rPr>
        <w:t>gerrymandering</w:t>
      </w:r>
      <w:r w:rsidRPr="006710B4">
        <w:rPr>
          <w:rFonts w:ascii="Times New Roman" w:hAnsi="Times New Roman" w:cs="Times New Roman"/>
          <w:sz w:val="20"/>
          <w:szCs w:val="20"/>
        </w:rPr>
        <w:t xml:space="preserve"> pode também servir para favorecer ou prejudicar um determinado grupo étnico, linguístico, religioso ou social ou político-partidário.” (“Gerrymandering”, 2019). </w:t>
      </w:r>
    </w:p>
    <w:p w14:paraId="0CEAF6FD" w14:textId="77777777" w:rsidR="0051465F" w:rsidRPr="006710B4" w:rsidRDefault="0051465F" w:rsidP="00FF7D14">
      <w:pPr>
        <w:pStyle w:val="Footnote"/>
        <w:jc w:val="both"/>
        <w:rPr>
          <w:rFonts w:hint="eastAsia"/>
          <w:sz w:val="20"/>
          <w:szCs w:val="20"/>
        </w:rPr>
      </w:pPr>
    </w:p>
  </w:footnote>
  <w:footnote w:id="18">
    <w:p w14:paraId="2D11F551"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No sistema suíço, o voto de um cidadão em Uri, um pequeno cantão rural, vale mais que os votos de 34 cidadãos em Zurique (Linder, 2010:  81). </w:t>
      </w:r>
    </w:p>
  </w:footnote>
  <w:footnote w:id="19">
    <w:p w14:paraId="24FD011D"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“As características gerais das multidões devem ser enfrentadas nas assembleias parlamentares: simplicidade intelectual, irritabilidade, sugestionabilidade, o exagero dos sentimentos e a influência preponderante de alguns líderes.” (Bon, 1960: 187). </w:t>
      </w:r>
    </w:p>
  </w:footnote>
  <w:footnote w:id="20">
    <w:p w14:paraId="19208377"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Para quem tem dúvidas sobre a democracia, este é o primeiro livro a se ler. </w:t>
      </w:r>
    </w:p>
  </w:footnote>
  <w:footnote w:id="21">
    <w:p w14:paraId="0F601C1D"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Ver também Freud (1959, p. 9) e Le Bon (1960: 187).</w:t>
      </w:r>
    </w:p>
  </w:footnote>
  <w:footnote w:id="22">
    <w:p w14:paraId="75233AA1"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Jay, co-autor de </w:t>
      </w:r>
      <w:r w:rsidRPr="006710B4">
        <w:rPr>
          <w:rFonts w:ascii="Times New Roman" w:hAnsi="Times New Roman" w:cs="Times New Roman"/>
          <w:iCs/>
          <w:sz w:val="20"/>
          <w:szCs w:val="20"/>
        </w:rPr>
        <w:t>The Federalist,</w:t>
      </w:r>
      <w:r w:rsidRPr="006710B4">
        <w:rPr>
          <w:rFonts w:ascii="Times New Roman" w:hAnsi="Times New Roman" w:cs="Times New Roman"/>
          <w:sz w:val="20"/>
          <w:szCs w:val="20"/>
        </w:rPr>
        <w:t xml:space="preserve"> foi o primeiro presidente do Supremo Tribunal dos EUA.</w:t>
      </w:r>
      <w:r w:rsidRPr="006710B4">
        <w:rPr>
          <w:sz w:val="20"/>
          <w:szCs w:val="20"/>
        </w:rPr>
        <w:t xml:space="preserve"> </w:t>
      </w:r>
    </w:p>
  </w:footnote>
  <w:footnote w:id="23">
    <w:p w14:paraId="638D383C"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nome dado aos cidadãos da cidade-estado de Mitilene, à época da “democracia” ateniense, cidadãos estes que “que haviam tentado, sem sucesso, se livrar da hegemonia ateniense, durante a Guerra do Peloponeso” (“Mytilenian Debate”, 2018, tradução própria). </w:t>
      </w:r>
    </w:p>
  </w:footnote>
  <w:footnote w:id="24">
    <w:p w14:paraId="3BB3387A"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referência ao Cerco de Melos, ocorrido “em 416 aC durante a Guerra do Peloponeso, uma guerra travada entre Atenas e Esparta. Melos é uma ilha no Mar Egeu a cerca de 110 km a leste da Grécia continental. Embora os melianos fossem do mesmo grupo étnico que os espartanos, eles escolheram permanecer neutros na guerra. Atenas invadiu Melos em 416 aC e exigiu que os melianos se rendessem e prestassem homenagem a Atenas ou enfrentassem a aniquilação. Os melianos recusaram, e depois de um cerco os atenienses capturaram sua cidade, massacraram os homens e escravizaram as mulheres e crianças.” (“Siege of Melos”, 2019, tradução própria). </w:t>
      </w:r>
    </w:p>
  </w:footnote>
  <w:footnote w:id="25">
    <w:p w14:paraId="658A82A0"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w:t>
      </w:r>
      <w:r w:rsidRPr="006710B4">
        <w:rPr>
          <w:rFonts w:ascii="Times New Roman" w:hAnsi="Times New Roman" w:cs="Times New Roman"/>
          <w:b/>
          <w:bCs/>
          <w:sz w:val="20"/>
          <w:szCs w:val="20"/>
        </w:rPr>
        <w:t>N.T.:</w:t>
      </w:r>
      <w:r w:rsidRPr="006710B4">
        <w:rPr>
          <w:rFonts w:ascii="Times New Roman" w:hAnsi="Times New Roman" w:cs="Times New Roman"/>
          <w:sz w:val="20"/>
          <w:szCs w:val="20"/>
        </w:rPr>
        <w:t xml:space="preserve"> “Samuel Adams (Boston, 27 de setembro de 1722 — Boston, 2 de outubro de 1803) foi um político dos Estados Unidos, considerado um dos founding fathers de seu país. Foi governador de Massachusetts e primo de John Adams, segundo presidente dos Estados Unidos.” (“Samuel Adams”, 2016). </w:t>
      </w:r>
    </w:p>
    <w:p w14:paraId="0DC219F5" w14:textId="77777777" w:rsidR="0051465F" w:rsidRPr="006710B4" w:rsidRDefault="0051465F" w:rsidP="00FF7D14">
      <w:pPr>
        <w:pStyle w:val="Footnote"/>
        <w:jc w:val="both"/>
        <w:rPr>
          <w:rFonts w:hint="eastAsia"/>
          <w:sz w:val="20"/>
          <w:szCs w:val="20"/>
        </w:rPr>
      </w:pPr>
    </w:p>
  </w:footnote>
  <w:footnote w:id="26">
    <w:p w14:paraId="6A6A79B5"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Os cidadãos de Boston recriaram a sala cheia de fumaça do Congresso Continental, onde Jefferson notou que “[Samuel Adams] estava constantemente realizando o Caucus com homens ilustres, entre os quais estava Richard Henry Lee, no qual a generalidade das medidas perseguidas era previamente determinada, e em que as partes foram atribuídas aos diferentes atores que posteriormente apareceram neles” (Wills, 1978, p. 25). </w:t>
      </w:r>
    </w:p>
  </w:footnote>
  <w:footnote w:id="27">
    <w:p w14:paraId="11CC0D51"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Assim, “o sufrágio universal é, a meu ver, nada além de uma loteria” (PROUDHON, 1923, p. 141)</w:t>
      </w:r>
    </w:p>
  </w:footnote>
  <w:footnote w:id="28">
    <w:p w14:paraId="5C2799DE" w14:textId="77777777" w:rsidR="0051465F" w:rsidRPr="006710B4" w:rsidRDefault="0051465F" w:rsidP="00FF7D14">
      <w:pPr>
        <w:pStyle w:val="Footnote"/>
        <w:jc w:val="both"/>
        <w:rPr>
          <w:rFonts w:hint="eastAsia"/>
          <w:sz w:val="20"/>
          <w:szCs w:val="20"/>
        </w:rPr>
      </w:pPr>
      <w:r w:rsidRPr="006710B4">
        <w:rPr>
          <w:rStyle w:val="Refdenotaderodap"/>
          <w:sz w:val="20"/>
          <w:szCs w:val="20"/>
        </w:rPr>
        <w:footnoteRef/>
      </w:r>
      <w:r w:rsidRPr="006710B4">
        <w:rPr>
          <w:rFonts w:ascii="Times New Roman" w:hAnsi="Times New Roman" w:cs="Times New Roman"/>
          <w:sz w:val="20"/>
          <w:szCs w:val="20"/>
        </w:rPr>
        <w:t xml:space="preserve"> Ver também Hoffman (1972, p. 187). A expressão é geralmente creditada a Alexis de Tocqueville (1969, p. 250) e foi popularizada por John Stuart Mill; mas foi usada por, pelo menos, um antifederalista no debate sobre a Ratificação (N.T.: debate sobre a ratificação ou não da Constituição dos EUA, permeado pela clivagem entre federalistas e antifederalistas) (WOOD, 1972, p. 484). Certamente a ideia foi difundida na época e desde então.</w:t>
      </w:r>
    </w:p>
  </w:footnote>
  <w:footnote w:id="29">
    <w:p w14:paraId="7646B163" w14:textId="77777777" w:rsidR="0051465F" w:rsidRDefault="0051465F" w:rsidP="00FF7D14">
      <w:pPr>
        <w:pStyle w:val="Footnote"/>
        <w:jc w:val="both"/>
        <w:rPr>
          <w:rFonts w:hint="eastAsia"/>
        </w:rPr>
      </w:pPr>
      <w:r w:rsidRPr="006710B4">
        <w:rPr>
          <w:rStyle w:val="Refdenotaderodap"/>
          <w:sz w:val="20"/>
          <w:szCs w:val="20"/>
        </w:rPr>
        <w:footnoteRef/>
      </w:r>
      <w:r w:rsidRPr="006710B4">
        <w:rPr>
          <w:rFonts w:ascii="Times New Roman" w:hAnsi="Times New Roman" w:cs="Times New Roman"/>
          <w:sz w:val="20"/>
          <w:szCs w:val="20"/>
        </w:rPr>
        <w:t xml:space="preserve"> Por exemplo, diz-se que a residência voluntária em um país é um consentimento “tácito” para seu governo democrático. Ame-o ou deixe-o! Inacreditavelmente, a maioria dos democratas não percebe que, se a residência voluntária conta como consentimento para ser governado, então ela conta como consentimento para ser governado por qualquer governo, despótico ou democrático (BRIGHOUSE, 2002, p. 56; PLAMENATZ, 1979, p. 73-74 e cap. 4). Na antologia </w:t>
      </w:r>
      <w:r w:rsidRPr="006710B4">
        <w:rPr>
          <w:rFonts w:ascii="Times New Roman" w:hAnsi="Times New Roman" w:cs="Times New Roman"/>
          <w:i/>
          <w:iCs/>
          <w:sz w:val="20"/>
          <w:szCs w:val="20"/>
        </w:rPr>
        <w:t>Democratic Theory Today</w:t>
      </w:r>
      <w:r w:rsidRPr="006710B4">
        <w:rPr>
          <w:rFonts w:ascii="Times New Roman" w:hAnsi="Times New Roman" w:cs="Times New Roman"/>
          <w:sz w:val="20"/>
          <w:szCs w:val="20"/>
        </w:rPr>
        <w:t>, os onze colaboradores – todos professores universitários – discutem solenemente o republicanismo cívico, a democracia do desenvolvimento, a democracia deliberativa, a democracia associativa, etc. Nenhum deles faz uma pausa para justificar a própria democracia.</w:t>
      </w:r>
    </w:p>
  </w:footnote>
  <w:footnote w:id="30">
    <w:p w14:paraId="111017B5" w14:textId="77777777" w:rsidR="0051465F" w:rsidRPr="007925E5" w:rsidRDefault="0051465F" w:rsidP="00F1063A">
      <w:pPr>
        <w:spacing w:line="240" w:lineRule="auto"/>
        <w:jc w:val="both"/>
        <w:rPr>
          <w:rFonts w:ascii="Times New Roman" w:hAnsi="Times New Roman" w:cs="Times New Roman"/>
          <w:sz w:val="20"/>
          <w:szCs w:val="20"/>
        </w:rPr>
      </w:pPr>
      <w:r w:rsidRPr="007925E5">
        <w:rPr>
          <w:rStyle w:val="Caracteresdenotaderodap"/>
          <w:rFonts w:ascii="Times New Roman" w:hAnsi="Times New Roman" w:cs="Times New Roman"/>
        </w:rPr>
        <w:footnoteRef/>
      </w:r>
      <w:r w:rsidRPr="007925E5">
        <w:rPr>
          <w:rFonts w:ascii="Times New Roman" w:hAnsi="Times New Roman" w:cs="Times New Roman"/>
        </w:rPr>
        <w:t xml:space="preserve">- O artigo é a versão em português do paper apresentado pelos autores no Congresso </w:t>
      </w:r>
      <w:r w:rsidRPr="007925E5">
        <w:rPr>
          <w:rFonts w:ascii="Times New Roman" w:hAnsi="Times New Roman" w:cs="Times New Roman"/>
          <w:i/>
          <w:iCs/>
        </w:rPr>
        <w:t>Transatlantic Socialists and Anarchists in the 19th and 20th Centuries: Between New Freedom and Forced Integration</w:t>
      </w:r>
      <w:r w:rsidRPr="007925E5">
        <w:rPr>
          <w:rFonts w:ascii="Times New Roman" w:hAnsi="Times New Roman" w:cs="Times New Roman"/>
        </w:rPr>
        <w:t>, realizado em Würzburg, Alemanha de 30 de junho a 1º de julho de 2017.</w:t>
      </w:r>
    </w:p>
  </w:footnote>
  <w:footnote w:id="31">
    <w:p w14:paraId="316A2E3B"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Para uma abordagem geral, consultar: HATTON; WILLIAMSON, 1998: 101. </w:t>
      </w:r>
    </w:p>
  </w:footnote>
  <w:footnote w:id="32">
    <w:p w14:paraId="517C5F1B"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Para informações gerais sobre o anarquismo italiano desde a AIT até a ditadura fascista, cf.: LEVY, 1989.</w:t>
      </w:r>
    </w:p>
  </w:footnote>
  <w:footnote w:id="33">
    <w:p w14:paraId="2B596833"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Um estudo amplo foi feito por MASINI, 1974. Para os ativistas italianos no interior da AIT, ver: MARINI, 2017. Depois de contínua perseguição policial durante toda a década de 1870, com muitas prisões em toda a Itália, Andrea Costa decidiu mudar de posição e se tornou uma das mais importantes lideranças do Partido Socialista Italiano. Cf.: PERNICONE, 1993: 166-78, capítulo 8, “The defection of Andrea Costa 1879-1888”.</w:t>
      </w:r>
    </w:p>
  </w:footnote>
  <w:footnote w:id="34">
    <w:p w14:paraId="1FFF3AC1"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Uma visão geral sobre o anarquismo latino-americano: para o caso argentino, cf.: SURIANO, 2001; RIVERA, 1996; OVED, 1997; para o caso brasileiro: MARAM, 1979; MAGNANI, 1982; para o México, ver: MACLACHLAN, 1991; HART, 1987 e para o Uruguai, conferir: ZUBILLAGA, 1996.</w:t>
      </w:r>
    </w:p>
  </w:footnote>
  <w:footnote w:id="35">
    <w:p w14:paraId="1D7DC9DE"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Um caso comparativo entre o México e a Argentina foi feito por: ACRI; CÁCEREZ, 2011. Para redes de ensino brasileiras e argentinas no início de 1900, ver ROMANI, 2014.</w:t>
      </w:r>
    </w:p>
  </w:footnote>
  <w:footnote w:id="36">
    <w:p w14:paraId="7DB6159F"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rPr>
        <w:t>- Domicilio coatto</w:t>
      </w:r>
      <w:r w:rsidRPr="007925E5">
        <w:rPr>
          <w:rStyle w:val="Caracteresdenotaderodap"/>
          <w:rFonts w:ascii="Times New Roman" w:hAnsi="Times New Roman" w:cs="Times New Roman"/>
          <w:iCs/>
        </w:rPr>
        <w:t>: a prisão domiciliar italiana. Uma categoria de prisão, geralmente em pequenas ilhas próximas ao continente, e muitas vezes usadas durante o período de existência da Internacional até o século XX.</w:t>
      </w:r>
    </w:p>
  </w:footnote>
  <w:footnote w:id="37">
    <w:p w14:paraId="4D687C02"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Para um estudo mais profundo cf.: TURCATO, 2017.</w:t>
      </w:r>
    </w:p>
  </w:footnote>
  <w:footnote w:id="38">
    <w:p w14:paraId="3C6A2D52"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No Brasil, vários trabalhos que seguem essa interpretação vêm negligenciando ou subestimando a importância do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o mais importante jornal anarquista publicado no Brasil na década de 1900. Por exemplo, o trabalho de CORRÊA, 2011.</w:t>
      </w:r>
    </w:p>
  </w:footnote>
  <w:footnote w:id="39">
    <w:p w14:paraId="50597F66"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No Brasil, vários trabalhos que seguem essa interpretação vêm negligenciando ou subestimando a importância do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o mais importante jornal anarquista publicado no Brasil na década de 1900. Por exemplo, o trabalho de CORRÊA, 2011.</w:t>
      </w:r>
    </w:p>
  </w:footnote>
  <w:footnote w:id="40">
    <w:p w14:paraId="14795961"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Prefeitura de São Paulo, “Histórico demográfico da Prefeitura de São Paulo”, </w:t>
      </w:r>
      <w:hyperlink r:id="rId1" w:history="1">
        <w:r w:rsidRPr="007925E5">
          <w:rPr>
            <w:rStyle w:val="Hyperlink0"/>
            <w:rFonts w:ascii="Times New Roman" w:hAnsi="Times New Roman" w:cs="Times New Roman"/>
          </w:rPr>
          <w:t>http://sempla.prefeitura.sp.gov.br/historico/tabelas/pop_brasil.php</w:t>
        </w:r>
      </w:hyperlink>
      <w:r w:rsidRPr="007925E5">
        <w:rPr>
          <w:rStyle w:val="Caracteresdenotaderodap"/>
          <w:rFonts w:ascii="Times New Roman" w:hAnsi="Times New Roman" w:cs="Times New Roman"/>
        </w:rPr>
        <w:t xml:space="preserve"> Archived at </w:t>
      </w:r>
      <w:hyperlink r:id="rId2" w:history="1">
        <w:r w:rsidRPr="007925E5">
          <w:rPr>
            <w:rStyle w:val="Hyperlink0"/>
            <w:rFonts w:ascii="Times New Roman" w:hAnsi="Times New Roman" w:cs="Times New Roman"/>
          </w:rPr>
          <w:t>http://www.webcitation.org/66VBsHm7i</w:t>
        </w:r>
      </w:hyperlink>
      <w:r w:rsidRPr="007925E5">
        <w:rPr>
          <w:rStyle w:val="Caracteresdenotaderodap"/>
          <w:rFonts w:ascii="Times New Roman" w:hAnsi="Times New Roman" w:cs="Times New Roman"/>
        </w:rPr>
        <w:t xml:space="preserve"> on March 28, 2012.</w:t>
      </w:r>
    </w:p>
  </w:footnote>
  <w:footnote w:id="41">
    <w:p w14:paraId="0E66923E"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O problema da organização formada por trabalhadores, no movimento anarquista, foi uma das grandes polêmicas do final do século XIX, especialmente na Itália, onde o debate entre “associacionismo” e “não associacionismo” ocupou várias páginas em jornais libertários até que a posição de anarcocomunismo de Malatesta tenha se tornado paradigma na experiência italiana em meados da primeira década do século XX. No Brasil, o mesmo debate foi reproduzido por ativistas do anarquismo, provavelmente um pouco mais tarde em relação ao debate na Itália. As posições dos anarquistas italianos no Brasil foram muito bem condensadas por FELICI, 1994: 326-38.</w:t>
      </w:r>
    </w:p>
  </w:footnote>
  <w:footnote w:id="42">
    <w:p w14:paraId="10050A40"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Para melhor compreensão das práticas do sindicalismo revolucionário italiano em Alceste de Ambris e Giulio Sorelli, ver: TOLEDO, 2004.</w:t>
      </w:r>
    </w:p>
  </w:footnote>
  <w:footnote w:id="43">
    <w:p w14:paraId="2C66F5CB"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Direzione Generale della P. S. della Preffetura di Roma. Archivio Centrale dello Stato, ACS, Casellario Politico Centrale, CPC. Ristori, Oreste, b. 4342. Nota reservada do Ministério do Interior, de Buenos Aires, 27 de janeiro de 1903. “Durante il breve tempo dacché è qui, si è messo in evidenza per una infatigabile propaganda, con la parola a mezzo di quasi quotidiane conferenze, con la penna merce la collaborazione assidua al periodico </w:t>
      </w:r>
      <w:r w:rsidRPr="007925E5">
        <w:rPr>
          <w:rStyle w:val="Caracteresdenotaderodap"/>
          <w:rFonts w:ascii="Times New Roman" w:hAnsi="Times New Roman" w:cs="Times New Roman"/>
          <w:i/>
        </w:rPr>
        <w:t>L'Avvenire</w:t>
      </w:r>
      <w:r w:rsidRPr="007925E5">
        <w:rPr>
          <w:rStyle w:val="Caracteresdenotaderodap"/>
          <w:rFonts w:ascii="Times New Roman" w:hAnsi="Times New Roman" w:cs="Times New Roman"/>
        </w:rPr>
        <w:t xml:space="preserve">.” </w:t>
      </w:r>
    </w:p>
  </w:footnote>
  <w:footnote w:id="44">
    <w:p w14:paraId="04F03D99"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Ibid. Cercò e riuscì a mettersi in salvo, rifugiando insieme a parecchi altri caporioni della setta a Montevideo. Con lo Scopetani e il Serantoni che lo avevano preceduto colà, egli fece di tutto per poter riprendere in quella città le publicazioni dell'Avvenire.</w:t>
      </w:r>
    </w:p>
  </w:footnote>
  <w:footnote w:id="45">
    <w:p w14:paraId="0F77C9B0"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xml:space="preserve">- Dizionario biografico degli anarchici italiani, 530-31. Colezioni Digitali, </w:t>
      </w:r>
      <w:hyperlink r:id="rId3" w:history="1">
        <w:r w:rsidRPr="007925E5">
          <w:rPr>
            <w:rStyle w:val="Hyperlink2"/>
            <w:rFonts w:ascii="Times New Roman" w:eastAsia="Arial Unicode MS" w:hAnsi="Times New Roman" w:cs="Times New Roman"/>
          </w:rPr>
          <w:t>http://bfscollezionidigitali.org/index.php/Detail/Object/Show/object_id/2024</w:t>
        </w:r>
      </w:hyperlink>
      <w:r w:rsidRPr="007925E5">
        <w:rPr>
          <w:rFonts w:ascii="Times New Roman" w:eastAsia="Arial Unicode MS" w:hAnsi="Times New Roman" w:cs="Times New Roman"/>
        </w:rPr>
        <w:t xml:space="preserve"> </w:t>
      </w:r>
    </w:p>
  </w:footnote>
  <w:footnote w:id="46">
    <w:p w14:paraId="018113C6"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xml:space="preserve">- Ibid., 543-45. Para maiores informações sobre Serantoni ver Adriano Paolo Giordano, “L'editore errante dell'anarchia. Appunti per una biografia di Fortunato Serantoni”, </w:t>
      </w:r>
      <w:r w:rsidRPr="007925E5">
        <w:rPr>
          <w:rStyle w:val="Caracteresdenotaderodap"/>
          <w:rFonts w:ascii="Times New Roman" w:eastAsia="Arial Unicode MS" w:hAnsi="Times New Roman" w:cs="Times New Roman"/>
          <w:i/>
          <w:iCs/>
          <w:lang w:val="pt-PT"/>
        </w:rPr>
        <w:t>Rivista Storica dell'Anarchismo</w:t>
      </w:r>
      <w:r w:rsidRPr="007925E5">
        <w:rPr>
          <w:rFonts w:ascii="Times New Roman" w:eastAsia="Arial Unicode MS" w:hAnsi="Times New Roman" w:cs="Times New Roman"/>
        </w:rPr>
        <w:t xml:space="preserve">, Pisa, 6 no.2, (1999): 41-70.  </w:t>
      </w:r>
    </w:p>
  </w:footnote>
  <w:footnote w:id="47">
    <w:p w14:paraId="4FE03432"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CASTRO, 1959: 271. </w:t>
      </w:r>
      <w:r w:rsidRPr="007925E5">
        <w:rPr>
          <w:rStyle w:val="Caracteresdenotaderodap"/>
          <w:rFonts w:ascii="Times New Roman" w:hAnsi="Times New Roman" w:cs="Times New Roman"/>
          <w:lang w:val="es-ES"/>
        </w:rPr>
        <w:t xml:space="preserve">Pude ver allí, distribuídos en distintas mesas, pero de fácil comunicación entre las mismas, a toda una generación de poetas, sociólogos y literatos, en plena actividad y cuyos libros publicaba Orsini Bertani, ácrata que había convivido con Pietro Gori en Italia y con el venerado Kropoktine en Londres y cuya librería, instalada en plena calle Sarandí, era a la vez, otro centro de reunión de intelectuales y propagandistas. </w:t>
      </w:r>
      <w:r w:rsidRPr="007925E5">
        <w:rPr>
          <w:rStyle w:val="Caracteresdenotaderodap"/>
          <w:rFonts w:ascii="Times New Roman" w:hAnsi="Times New Roman" w:cs="Times New Roman"/>
          <w:lang w:val="it-IT"/>
        </w:rPr>
        <w:t>Le rodeaban otros ácratas expatriados como Guaglianoni, Félix Basterra, Ovidi, Gino Fabri y Ristori.</w:t>
      </w:r>
    </w:p>
  </w:footnote>
  <w:footnote w:id="48">
    <w:p w14:paraId="673F54E1"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ACS, CPC, b. 4342, fasc. Ristori, Oreste. Correspondência de 1 de junho de 1904, de Petrópolis. Legazione d'Italia alla Direzione Generale della PS a Roma. Protocolo 12618: “Si nota, da poco tempo, una più stretta relazione tra lui e varii anarchici, segnalatamente con Vincenzo Sassi, pure residente in S. Paolo oggetto di mio recente rapporto, con tal Bertolini Ezio redatore di un giornaletto anarchico in Sanpierdarena, col Borzachini Remo […] e finalmente col Travagllini Enrico redattore del Grido della Folla di Milano.”</w:t>
      </w:r>
    </w:p>
  </w:footnote>
  <w:footnote w:id="49">
    <w:p w14:paraId="03A82491"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De acordo com os biógrafos de Attilio Sassi, provavelmente ele foi identificado pela política diplomática italiana em São Paulo como Vincenzo. De fato ele passou por São Paulo durante 1904 antes de seu retorno à Itália. Ver: MARABINI; SACCHETTI e ZANI, 2008.</w:t>
      </w:r>
    </w:p>
  </w:footnote>
  <w:footnote w:id="50">
    <w:p w14:paraId="648F8692"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Veja a denúncia feita por Alessandro Cerchiai, “Cosa si intende anarchicamente per organizzazione”, </w:t>
      </w:r>
      <w:r w:rsidRPr="007925E5">
        <w:rPr>
          <w:rStyle w:val="Caracteresdenotaderodap"/>
          <w:rFonts w:ascii="Times New Roman" w:hAnsi="Times New Roman" w:cs="Times New Roman"/>
          <w:i/>
          <w:iCs/>
        </w:rPr>
        <w:t>Il Grido della Folla</w:t>
      </w:r>
      <w:r w:rsidRPr="007925E5">
        <w:rPr>
          <w:rStyle w:val="Caracteresdenotaderodap"/>
          <w:rFonts w:ascii="Times New Roman" w:hAnsi="Times New Roman" w:cs="Times New Roman"/>
        </w:rPr>
        <w:t xml:space="preserve">, April 16, 1903, </w:t>
      </w:r>
      <w:r w:rsidRPr="007925E5">
        <w:rPr>
          <w:rStyle w:val="Caracteresdenotaderodap"/>
          <w:rFonts w:ascii="Times New Roman" w:hAnsi="Times New Roman" w:cs="Times New Roman"/>
          <w:i/>
        </w:rPr>
        <w:t>apud</w:t>
      </w:r>
      <w:r w:rsidRPr="007925E5">
        <w:rPr>
          <w:rStyle w:val="Caracteresdenotaderodap"/>
          <w:rFonts w:ascii="Times New Roman" w:hAnsi="Times New Roman" w:cs="Times New Roman"/>
        </w:rPr>
        <w:t xml:space="preserve"> GIULIETTI, 2012.</w:t>
      </w:r>
    </w:p>
  </w:footnote>
  <w:footnote w:id="51">
    <w:p w14:paraId="712A7C35"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ACS, CPC. Bandoni, Angelo, b. 305, f. 75150.</w:t>
      </w:r>
    </w:p>
  </w:footnote>
  <w:footnote w:id="52">
    <w:p w14:paraId="05EBF00C"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Em seu jornal </w:t>
      </w:r>
      <w:r w:rsidRPr="007925E5">
        <w:rPr>
          <w:rStyle w:val="Caracteresdenotaderodap"/>
          <w:rFonts w:ascii="Times New Roman" w:hAnsi="Times New Roman" w:cs="Times New Roman"/>
          <w:i/>
        </w:rPr>
        <w:t>Germinal</w:t>
      </w:r>
      <w:r w:rsidRPr="007925E5">
        <w:rPr>
          <w:rStyle w:val="Caracteresdenotaderodap"/>
          <w:rFonts w:ascii="Times New Roman" w:hAnsi="Times New Roman" w:cs="Times New Roman"/>
        </w:rPr>
        <w:t xml:space="preserve">, que teve vida curta, Bandoni publicou textos com artigos onde os leitores de Buenos Aires teceram considerações sobre algumas questões abordadas pelo editor. Além disso, é grande o número de trocas epistolares publicadas, que saudaram o editor pela existência do periódico. Este fato nos permite concluir que o </w:t>
      </w:r>
      <w:r w:rsidRPr="007925E5">
        <w:rPr>
          <w:rStyle w:val="Caracteresdenotaderodap"/>
          <w:rFonts w:ascii="Times New Roman" w:hAnsi="Times New Roman" w:cs="Times New Roman"/>
          <w:i/>
        </w:rPr>
        <w:t>Germinal</w:t>
      </w:r>
      <w:r w:rsidRPr="007925E5">
        <w:rPr>
          <w:rStyle w:val="Caracteresdenotaderodap"/>
          <w:rFonts w:ascii="Times New Roman" w:hAnsi="Times New Roman" w:cs="Times New Roman"/>
        </w:rPr>
        <w:t xml:space="preserve"> certamente circulou entre a comunidade italiana estabelecida naquela região.</w:t>
      </w:r>
    </w:p>
  </w:footnote>
  <w:footnote w:id="53">
    <w:p w14:paraId="4764BA53"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Outras informações biográficas sobre Angelo Bandoni, ver: BENEVIDES, 2018a. e 2018b.</w:t>
      </w:r>
    </w:p>
  </w:footnote>
  <w:footnote w:id="54">
    <w:p w14:paraId="7E4CE44E"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O episódio é conhecido na história italiana como “i moti per il pane”, movimentos por pão. Ver: TILLY, 1972: 124-60.</w:t>
      </w:r>
    </w:p>
  </w:footnote>
  <w:footnote w:id="55">
    <w:p w14:paraId="66DF8297"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eastAsia="Arial Unicode MS" w:hAnsi="Times New Roman" w:cs="Times New Roman"/>
          <w:i/>
          <w:iCs/>
          <w:lang w:val="pt-PT"/>
        </w:rPr>
        <w:t>- Germinal</w:t>
      </w:r>
      <w:r w:rsidRPr="007925E5">
        <w:rPr>
          <w:rFonts w:ascii="Times New Roman" w:eastAsia="Arial Unicode MS" w:hAnsi="Times New Roman" w:cs="Times New Roman"/>
        </w:rPr>
        <w:t>, São Paulo, nº. 1-11, 1902, “Piccola Posta”.</w:t>
      </w:r>
    </w:p>
  </w:footnote>
  <w:footnote w:id="56">
    <w:p w14:paraId="27A1B73E"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ACS, CPC, b. 5049, fasc. Tavani Ludovico, ver o relatório da Prefettura di Genova destinado à Direzione Generale della Pubblica Sicurezza, DGPS, 13 de junho de 1902. Para maiores detalhes cf.: CANALES, 2016: 411-13.</w:t>
      </w:r>
    </w:p>
  </w:footnote>
  <w:footnote w:id="57">
    <w:p w14:paraId="01FF9DF1"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“Il gruppo La Propaganda non è un gruppo permanente, né fisso; cioè la sua attività dipende da circonstanze di indole diversa, ad esempio la pubblicazione di un opusculo; l'aiuto materiale e morale ai rivoluzionari...” </w:t>
      </w:r>
      <w:r w:rsidRPr="007925E5">
        <w:rPr>
          <w:rStyle w:val="Caracteresdenotaderodap"/>
          <w:rFonts w:ascii="Times New Roman" w:hAnsi="Times New Roman" w:cs="Times New Roman"/>
          <w:i/>
          <w:iCs/>
        </w:rPr>
        <w:t>La Battaglia</w:t>
      </w:r>
      <w:r w:rsidRPr="007925E5">
        <w:rPr>
          <w:rStyle w:val="Caracteresdenotaderodap"/>
          <w:rFonts w:ascii="Times New Roman" w:hAnsi="Times New Roman" w:cs="Times New Roman"/>
        </w:rPr>
        <w:t xml:space="preserve"> n. 35, 19 de março de 1905. Trad. “O grupo La Propaganda não é um grupo permanente, nem fixo; isto é, a sua atividade depende de circunstâncias de índole diversa, por exemplo, a publicação de um opúsculo; a ajuda material e moral aos revolucionários...” Se o grupo La Propaganda ainda conservou as características fluídas, após a fundação de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xml:space="preserve"> como periódico permanente, sua atuação diminuíra consideravelmente.</w:t>
      </w:r>
    </w:p>
  </w:footnote>
  <w:footnote w:id="58">
    <w:p w14:paraId="465AE6EA"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Arquivo Nacional do Rio de Janeiro, ANRJ, IJJ 7 179 (SPE-101).</w:t>
      </w:r>
    </w:p>
  </w:footnote>
  <w:footnote w:id="59">
    <w:p w14:paraId="285979FA"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color w:val="00000A"/>
        </w:rPr>
        <w:t>- Guerra Sociale,</w:t>
      </w:r>
      <w:r w:rsidRPr="007925E5">
        <w:rPr>
          <w:rStyle w:val="Caracteresdenotaderodap"/>
          <w:rFonts w:ascii="Times New Roman" w:hAnsi="Times New Roman" w:cs="Times New Roman"/>
          <w:color w:val="00000A"/>
        </w:rPr>
        <w:t xml:space="preserve"> 22 de maior de 1916. Ver também: </w:t>
      </w:r>
      <w:r w:rsidRPr="007925E5">
        <w:rPr>
          <w:rStyle w:val="Caracteresdenotaderodap"/>
          <w:rFonts w:ascii="Times New Roman" w:hAnsi="Times New Roman" w:cs="Times New Roman"/>
        </w:rPr>
        <w:t>FELICI, 1994.</w:t>
      </w:r>
    </w:p>
  </w:footnote>
  <w:footnote w:id="60">
    <w:p w14:paraId="0BA92392" w14:textId="77777777" w:rsidR="0051465F" w:rsidRPr="007925E5" w:rsidRDefault="0051465F" w:rsidP="007925E5">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color w:val="00000A"/>
        </w:rPr>
        <w:t>- Guerra Sociale</w:t>
      </w:r>
      <w:r w:rsidRPr="007925E5">
        <w:rPr>
          <w:rStyle w:val="Caracteresdenotaderodap"/>
          <w:rFonts w:ascii="Times New Roman" w:hAnsi="Times New Roman" w:cs="Times New Roman"/>
          <w:color w:val="00000A"/>
        </w:rPr>
        <w:t>, 23 de junho de 1917, “Movimento Revolucionário Internacional”.</w:t>
      </w:r>
    </w:p>
  </w:footnote>
  <w:footnote w:id="61">
    <w:p w14:paraId="72C650E8"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 prática do anarquismo no Brasil foi legalmente criminalizada em 1921 com a lei n. 4.269.</w:t>
      </w:r>
    </w:p>
  </w:footnote>
  <w:footnote w:id="62">
    <w:p w14:paraId="3D1ACF50"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Depois de sua expulsão, Damiani escreveu um panfleto chamado: “I paesi nei quali non si deve emigrare: la questione sociale nel Brasile” (Os países em que não devemos emigrar: a questão social no Brasil).</w:t>
      </w:r>
    </w:p>
  </w:footnote>
  <w:footnote w:id="63">
    <w:p w14:paraId="489013CB"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ANRJ, Fundo Tribunal de Segurança Nacional, TSN, MJNI, Ministério da Justiça e dos Negócios Internos, (1933-39), box 292.</w:t>
      </w:r>
    </w:p>
  </w:footnote>
  <w:footnote w:id="64">
    <w:p w14:paraId="5A542384" w14:textId="77777777" w:rsidR="0051465F" w:rsidRPr="007925E5" w:rsidRDefault="0051465F" w:rsidP="007925E5">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MASINI, 2010: 47, “Anarchia: Una volta al giudice che gli chiedeva di definire in poche parole il suo ideale politico, una anarchico rispose con spirito biblico che per lui l'anarchia era l'arca di Noè senza Noè. Ma un altro anarchico subito protestò che quello era riformismo e che semmai l'anarchia era il diluvio universale e senza l'arca., In questo scontro di battute si fronteggiano le due anime dell'anarchismo, quella ottimista e razionale e quella romantica e nihilista, l</w:t>
      </w:r>
      <w:r w:rsidRPr="007925E5">
        <w:rPr>
          <w:rStyle w:val="Caracteresdenotaderodap"/>
          <w:rFonts w:ascii="Times New Roman" w:hAnsi="Times New Roman" w:cs="Times New Roman"/>
          <w:i/>
          <w:iCs/>
        </w:rPr>
        <w:t>e siècle des lumières</w:t>
      </w:r>
      <w:r w:rsidRPr="007925E5">
        <w:rPr>
          <w:rStyle w:val="Caracteresdenotaderodap"/>
          <w:rFonts w:ascii="Times New Roman" w:hAnsi="Times New Roman" w:cs="Times New Roman"/>
        </w:rPr>
        <w:t xml:space="preserve"> e lo </w:t>
      </w:r>
      <w:r w:rsidRPr="007925E5">
        <w:rPr>
          <w:rStyle w:val="Caracteresdenotaderodap"/>
          <w:rFonts w:ascii="Times New Roman" w:hAnsi="Times New Roman" w:cs="Times New Roman"/>
          <w:i/>
          <w:iCs/>
        </w:rPr>
        <w:t>Sturm und Drung”.</w:t>
      </w:r>
    </w:p>
  </w:footnote>
  <w:footnote w:id="65">
    <w:p w14:paraId="68E377CF" w14:textId="77777777" w:rsidR="0051465F" w:rsidRPr="007925E5" w:rsidRDefault="0051465F" w:rsidP="008253AC">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Sobre a "missão complexa da mulher”, cf. </w:t>
      </w:r>
      <w:r w:rsidRPr="007925E5">
        <w:rPr>
          <w:rFonts w:ascii="Times New Roman" w:hAnsi="Times New Roman"/>
          <w:i/>
        </w:rPr>
        <w:t>A mulher é uma degenerada?,</w:t>
      </w:r>
      <w:r w:rsidRPr="007925E5">
        <w:rPr>
          <w:rFonts w:ascii="Times New Roman" w:hAnsi="Times New Roman"/>
        </w:rPr>
        <w:t xml:space="preserve"> ps. 80, 86 e 89, em que afirma: “só as mulheres conscientes entendem que a liberdade não se pede, se conquista...”; sobre a disciplina de História da Mulher desejada por Maria Lacerda, vários comentários foram feitos – indico “Movimento feminista e educação: cartas de Maria Lacerda de Moura a Berta Lutz” (p.213), de Ângela Maria Souza Martins e Nailda Marinho Costa; também a dissertação de Jussara Valéria de Miranda – pela qual temos acesso a muitos textos de Maria Lacerda, fora a ótima interpretação -, </w:t>
      </w:r>
      <w:r w:rsidRPr="007925E5">
        <w:rPr>
          <w:rFonts w:ascii="Times New Roman" w:hAnsi="Times New Roman"/>
          <w:i/>
        </w:rPr>
        <w:t>“Recuso-me”! Ditos e escritos de Maria Lacerda de Moura</w:t>
      </w:r>
      <w:r w:rsidRPr="007925E5">
        <w:rPr>
          <w:rFonts w:ascii="Times New Roman" w:hAnsi="Times New Roman"/>
        </w:rPr>
        <w:t xml:space="preserve">, p. 13. Sobre a acumulação da mentira, Maria Lacerda escreve em </w:t>
      </w:r>
      <w:r w:rsidRPr="007925E5">
        <w:rPr>
          <w:rFonts w:ascii="Times New Roman" w:hAnsi="Times New Roman"/>
          <w:i/>
        </w:rPr>
        <w:t>Ferrer e o clero romano</w:t>
      </w:r>
      <w:r w:rsidRPr="007925E5">
        <w:rPr>
          <w:rFonts w:ascii="Times New Roman" w:hAnsi="Times New Roman"/>
        </w:rPr>
        <w:t>, p.13: “A primeira providência de Ferrer foi preservar o cérebro infantil e adolescente da sugestão e da rotina, determinadas pela influência ancestral, impressa no ativismo e na ignorância, ou na malícia, com que são feitos os livros escolares".</w:t>
      </w:r>
    </w:p>
    <w:p w14:paraId="79783FE0" w14:textId="77777777" w:rsidR="0051465F" w:rsidRPr="007925E5" w:rsidRDefault="0051465F" w:rsidP="008253AC">
      <w:pPr>
        <w:pStyle w:val="Textodenotaderodap"/>
      </w:pPr>
    </w:p>
  </w:footnote>
  <w:footnote w:id="66">
    <w:p w14:paraId="153761FF" w14:textId="77777777" w:rsidR="0051465F" w:rsidRPr="007925E5" w:rsidRDefault="0051465F" w:rsidP="008253AC">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Cf. o artigo mencionado acima, “Movimento feminista e educação”, p. 222, sobre a mulher consciente de si e do seu corpo; na página seguinte, reproduz-se a citação: "(...) quando escrevo meus panfletos e nas entrelinhas não vêem a minha alma essencialmente feminina a maneira de sentir e de viver - batizam-se com todos os adjetivos capazes de mudar o meu sexo .... muita gente precisa me conhecer pessoalmente para se capacitar de que sou mulher, de que tenho a natureza delicada de meu sexo. Dois pesos e duas medidas. É a reção masculina procurando impedir a evolução feminina".  Outra figura de destaque a defender o sufrágio feminino foi Leolinda Figueiredo Daltro (1858-1935), defensora da participação feminina na guerra; vale conferir o texto "Apontamentos sobre campos de guerra", de Norma Telles, na </w:t>
      </w:r>
      <w:r w:rsidRPr="007925E5">
        <w:rPr>
          <w:rFonts w:ascii="Times New Roman" w:hAnsi="Times New Roman" w:cs="Times New Roman"/>
          <w:i/>
          <w:sz w:val="20"/>
          <w:szCs w:val="20"/>
        </w:rPr>
        <w:t>Revista do Centro de Pesquisa e Formação</w:t>
      </w:r>
      <w:r w:rsidRPr="007925E5">
        <w:rPr>
          <w:rFonts w:ascii="Times New Roman" w:hAnsi="Times New Roman" w:cs="Times New Roman"/>
          <w:sz w:val="20"/>
          <w:szCs w:val="20"/>
        </w:rPr>
        <w:t>. Sobre a anarquia, Margareth Rago situa Maria Lacerda – e nesse aspecto a aproxima da ítalo-uruguaia Luce Fabbri – de modo especial, pois é grande responsável pela “renovação do anarquismo na América do Sul”, em “Entre o anarquismo e o feminismo: Maria Lacerda de Moura e Luce Fabbri”, p.54; Rago esclarece um pouco a natureza da proximidade entre anarquismo e feminismo, proximidade essa que impregna Maria Lacerda e Luce Fabbri, e escreve, p. 70: “Com todas as críticas que os opositores lançam aos anarquistas, não há como negar que o anarquismo foi a doutrina política e o movimento social que mais avançaram na formulação e na exigência do respeito à diferença e à liberdade individual, inclusive para as mulheres”; complementa, na página seguinte (depois de ampliar o leque de mulheres de destaque na luta feminista): “É interessante observar que nem sempre a dimensão anarquista ganha prioridade em relação ao feminismo no discurso dessas revolucionárias que, ao mesmo tempo, consideravam negativamente como ‘feministas’ as mulheres burguesas ou das camadas médias”. Rago enfatiza o anarquismo de Maria Lacerda e pontua o encontro com José Oiticica, em outro texto, “Ética, anarquia e revolução em Maria Lacerda de Moura”, p. 264</w:t>
      </w:r>
    </w:p>
    <w:p w14:paraId="08B74397" w14:textId="77777777" w:rsidR="0051465F" w:rsidRPr="007925E5" w:rsidRDefault="0051465F" w:rsidP="008253AC">
      <w:pPr>
        <w:pStyle w:val="Textodenotaderodap"/>
      </w:pPr>
    </w:p>
  </w:footnote>
  <w:footnote w:id="67">
    <w:p w14:paraId="79A8A40F" w14:textId="77777777" w:rsidR="0051465F" w:rsidRPr="007925E5" w:rsidRDefault="0051465F" w:rsidP="008253AC">
      <w:pPr>
        <w:pStyle w:val="Textodenotadefim"/>
        <w:jc w:val="both"/>
        <w:rPr>
          <w:rFonts w:ascii="Times New Roman" w:hAnsi="Times New Roman"/>
          <w:b/>
        </w:rPr>
      </w:pPr>
      <w:r w:rsidRPr="007925E5">
        <w:rPr>
          <w:rStyle w:val="Refdenotaderodap"/>
          <w:rFonts w:ascii="Times New Roman" w:hAnsi="Times New Roman"/>
        </w:rPr>
        <w:footnoteRef/>
      </w:r>
      <w:r w:rsidRPr="007925E5">
        <w:rPr>
          <w:rFonts w:ascii="Times New Roman" w:hAnsi="Times New Roman"/>
        </w:rPr>
        <w:t xml:space="preserve"> Em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p. 189, lemos: “Os homens são mais ou menos os mesmos. (...) E voltamos ao desenvolvimento individual, á necessidade de tocar no intimo de cada criatura (</w:t>
      </w:r>
      <w:r w:rsidRPr="007925E5">
        <w:rPr>
          <w:rFonts w:ascii="Times New Roman" w:hAnsi="Times New Roman"/>
          <w:i/>
        </w:rPr>
        <w:t>sic</w:t>
      </w:r>
      <w:r w:rsidRPr="007925E5">
        <w:rPr>
          <w:rFonts w:ascii="Times New Roman" w:hAnsi="Times New Roman"/>
        </w:rPr>
        <w:t>)”. Na p. 142, lemos: “A nova civilização tem como caracteristica a UNIÃO e o respeito à individualidade. Temos que trabalhar por essa união si queremos velar por nós mesmos (</w:t>
      </w:r>
      <w:r w:rsidRPr="007925E5">
        <w:rPr>
          <w:rFonts w:ascii="Times New Roman" w:hAnsi="Times New Roman"/>
          <w:i/>
        </w:rPr>
        <w:t>sic</w:t>
      </w:r>
      <w:r w:rsidRPr="007925E5">
        <w:rPr>
          <w:rFonts w:ascii="Times New Roman" w:hAnsi="Times New Roman"/>
        </w:rPr>
        <w:t xml:space="preserve">).” Em </w:t>
      </w:r>
      <w:r w:rsidRPr="007925E5">
        <w:rPr>
          <w:rFonts w:ascii="Times New Roman" w:hAnsi="Times New Roman"/>
          <w:i/>
        </w:rPr>
        <w:t>Civilização - Tronco de escravos</w:t>
      </w:r>
      <w:r w:rsidRPr="007925E5">
        <w:rPr>
          <w:rFonts w:ascii="Times New Roman" w:hAnsi="Times New Roman"/>
        </w:rPr>
        <w:t>, p. 63: “Idolos novos dentro de nichos antiquissimos. O homem é o mesmo troglodita sanguinario (</w:t>
      </w:r>
      <w:r w:rsidRPr="007925E5">
        <w:rPr>
          <w:rFonts w:ascii="Times New Roman" w:hAnsi="Times New Roman"/>
          <w:i/>
        </w:rPr>
        <w:t>sic</w:t>
      </w:r>
      <w:r w:rsidRPr="007925E5">
        <w:rPr>
          <w:rFonts w:ascii="Times New Roman" w:hAnsi="Times New Roman"/>
        </w:rPr>
        <w:t>)”. A maternidade consciente integra o individualismo lacerdiano.</w:t>
      </w:r>
    </w:p>
    <w:p w14:paraId="55AADA18" w14:textId="77777777" w:rsidR="0051465F" w:rsidRPr="007925E5" w:rsidRDefault="0051465F" w:rsidP="008253AC">
      <w:pPr>
        <w:pStyle w:val="Textodenotaderodap"/>
      </w:pPr>
    </w:p>
  </w:footnote>
  <w:footnote w:id="68">
    <w:p w14:paraId="167DB44C" w14:textId="77777777" w:rsidR="0051465F" w:rsidRPr="007925E5" w:rsidRDefault="0051465F" w:rsidP="008253AC">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Nisso reside a força da coeducação como a pensa Maria Lacerda; cf. </w:t>
      </w:r>
      <w:r w:rsidRPr="007925E5">
        <w:rPr>
          <w:rFonts w:ascii="Times New Roman" w:hAnsi="Times New Roman"/>
          <w:i/>
        </w:rPr>
        <w:t>A mulher é uma degenerada</w:t>
      </w:r>
      <w:r w:rsidRPr="007925E5">
        <w:rPr>
          <w:rFonts w:ascii="Times New Roman" w:hAnsi="Times New Roman"/>
        </w:rPr>
        <w:t xml:space="preserve">, ps. 94 - 104 - nesta, escreve: “Finalmente, si a mulher nasceu para perpetuar a especie, deve elevar-se á altura da beleza interior a que possa atingir. Deve instruir-se até poder conceber a finalidade da vida, realizando seu mundo interior, </w:t>
      </w:r>
      <w:r w:rsidRPr="007925E5">
        <w:rPr>
          <w:rFonts w:ascii="Times New Roman" w:hAnsi="Times New Roman"/>
          <w:i/>
        </w:rPr>
        <w:t>conhecer-se – ‘para aprender a amar’.</w:t>
      </w:r>
      <w:r w:rsidRPr="007925E5">
        <w:rPr>
          <w:rFonts w:ascii="Times New Roman" w:hAnsi="Times New Roman"/>
        </w:rPr>
        <w:t xml:space="preserve"> Socialmente falando é fator da civilização moral: deve caminhar e fazer caminhar a Humanidade em busca da Beleza e da Verdade, que o seu cerebro ainda lhe não deixou entrever”. Itálico dela.</w:t>
      </w:r>
    </w:p>
    <w:p w14:paraId="6F7A7876" w14:textId="77777777" w:rsidR="0051465F" w:rsidRPr="007925E5" w:rsidRDefault="0051465F" w:rsidP="008253AC">
      <w:pPr>
        <w:pStyle w:val="Textodenotaderodap"/>
      </w:pPr>
    </w:p>
  </w:footnote>
  <w:footnote w:id="69">
    <w:p w14:paraId="486C3131" w14:textId="77777777" w:rsidR="0051465F" w:rsidRPr="007925E5" w:rsidRDefault="0051465F" w:rsidP="008253AC">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Em texto intitulado “A sciencia a serviço da degenerescencia humana”, no jornal </w:t>
      </w:r>
      <w:r w:rsidRPr="007925E5">
        <w:rPr>
          <w:rFonts w:ascii="Times New Roman" w:hAnsi="Times New Roman" w:cs="Times New Roman"/>
          <w:i/>
          <w:sz w:val="20"/>
          <w:szCs w:val="20"/>
        </w:rPr>
        <w:t>O combate</w:t>
      </w:r>
      <w:r w:rsidRPr="007925E5">
        <w:rPr>
          <w:rFonts w:ascii="Times New Roman" w:hAnsi="Times New Roman" w:cs="Times New Roman"/>
          <w:sz w:val="20"/>
          <w:szCs w:val="20"/>
        </w:rPr>
        <w:t xml:space="preserve"> (e citado em Miranda, 2006, p. 48), Maria Lacerda escreve: “Descobertas, investigações, os methodos scientificos attestam o esforço genial da élite para uma evolução mais alta. O resultado não se faz esperar: o capitalismo industrializado apodera-se do esforço scientifico, ainda em embryão, de maneira a canalisar todas as energias humanas, em uma direção única – a lucta de competições, a concorencia economica, o assalto ás posições já occupadas, o nacionalismo, e, consequentemente, as guerras.”; Margareth Rago, 2007, p. 270, cita Maria Lacerda: “A ciência costuma afirmar que a mulher é uma doente periódica, que a mulher é útero. Afirma que o amor para o homem, é apenas um acidente na vida e que o amor, para a mulher, é toda a razão de ser da sua vida, e ela põe nessa dor o melhor de todas as suas energias e esgota o cálice de todas as suas amarguras, pois que o amor é a consequência lógica, inevitável de sua fisiologia uterina. Há engano no exagero de tais afirmações. Ambos nasceram pelo amor e para o amor”.</w:t>
      </w:r>
    </w:p>
    <w:p w14:paraId="79A7F50C" w14:textId="77777777" w:rsidR="0051465F" w:rsidRPr="007925E5" w:rsidRDefault="0051465F" w:rsidP="008253AC">
      <w:pPr>
        <w:pStyle w:val="Textodenotaderodap"/>
      </w:pPr>
    </w:p>
  </w:footnote>
  <w:footnote w:id="70">
    <w:p w14:paraId="3B70BBCE" w14:textId="77777777" w:rsidR="0051465F" w:rsidRPr="007925E5" w:rsidRDefault="0051465F" w:rsidP="008253AC">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xml:space="preserve">, p. 164: "a mulher é 3 vezes escrava: pela subserviência, pela domesticidade, ao homem mais autoritário e superior"; cf, também a dissertação de Jussara, mencionada na nota acima e Pacheco, 2010. Sobre o casamento, Maria Lacerda escreve em </w:t>
      </w:r>
      <w:r w:rsidRPr="007925E5">
        <w:rPr>
          <w:rFonts w:ascii="Times New Roman" w:hAnsi="Times New Roman"/>
          <w:i/>
        </w:rPr>
        <w:t>Religião do amor e da beleza</w:t>
      </w:r>
      <w:r w:rsidRPr="007925E5">
        <w:rPr>
          <w:rFonts w:ascii="Times New Roman" w:hAnsi="Times New Roman"/>
        </w:rPr>
        <w:t>, p.184: “Esse ‘contrato’ é a partilha do leão: o homem é forte, instrui-se, vai até onde sua capacidade o leva, e a mulher é ‘do lar’, não cursa estudos superiores, obedece, serve, abdica do direito de pensar para ‘ser do lar’, para defender a instituição da família (...)”.</w:t>
      </w:r>
    </w:p>
    <w:p w14:paraId="6EE19DC8" w14:textId="77777777" w:rsidR="0051465F" w:rsidRPr="007925E5" w:rsidRDefault="0051465F" w:rsidP="008253AC">
      <w:pPr>
        <w:pStyle w:val="Textodenotaderodap"/>
      </w:pPr>
    </w:p>
  </w:footnote>
  <w:footnote w:id="71">
    <w:p w14:paraId="606EFA97" w14:textId="77777777" w:rsidR="0051465F" w:rsidRPr="007925E5" w:rsidRDefault="0051465F" w:rsidP="008253AC">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Natália de Santana Guerellus, “Feminismo e anarquismo nos anos 1920: uma diálogo entre Raquel de Queiroz e Maria Lacerda de Moura”, 2013, p.6; na p. 9, cita Raquel de Queiroz: "aprenas compreendi o que ela não quer."</w:t>
      </w:r>
    </w:p>
    <w:p w14:paraId="1C90534A" w14:textId="77777777" w:rsidR="0051465F" w:rsidRPr="007925E5" w:rsidRDefault="0051465F" w:rsidP="008253AC">
      <w:pPr>
        <w:pStyle w:val="Textodenotaderodap"/>
      </w:pPr>
    </w:p>
  </w:footnote>
  <w:footnote w:id="72">
    <w:p w14:paraId="67D80EF4" w14:textId="77777777" w:rsidR="0051465F" w:rsidRPr="007925E5" w:rsidRDefault="0051465F" w:rsidP="008253AC">
      <w:pPr>
        <w:pStyle w:val="Textodenotaderodap"/>
        <w:jc w:val="both"/>
      </w:pPr>
      <w:r w:rsidRPr="007925E5">
        <w:rPr>
          <w:rStyle w:val="Refdenotaderodap"/>
        </w:rPr>
        <w:footnoteRef/>
      </w:r>
      <w:r w:rsidRPr="007925E5">
        <w:t xml:space="preserve"> O livro de Edgar Rodrigues, </w:t>
      </w:r>
      <w:r w:rsidRPr="007925E5">
        <w:rPr>
          <w:i/>
        </w:rPr>
        <w:t>Mulheres e anarquia</w:t>
      </w:r>
      <w:r w:rsidRPr="007925E5">
        <w:t xml:space="preserve">, reproduz texto de Maria Lacerda, em que toca na prisão da operária Geny Gleiser pela polícia paulista, endereçado às mães, e ela escreve (ps. 21-22): “O mundo está às vésperas de notáveis transformações de valores. Não apelamos nem mesmo para a emotividade proverbial ou para a generosidade tão decantada, em prosa e verso, da mulher brasileira, mas apelamos para vosso </w:t>
      </w:r>
      <w:r w:rsidRPr="007925E5">
        <w:rPr>
          <w:i/>
        </w:rPr>
        <w:t>egoísmo de mães</w:t>
      </w:r>
      <w:r w:rsidRPr="007925E5">
        <w:t>: se quereis a liberdade de vossos filhos, defendei a liberdade dos filhos das outras mães. Se quereis a felicidade do vosso lar, lembrai também dos lares desgraçados, onde a dor se alojou na tortura de um pai que viu suicidar-se a mulher, vencida pela miséria, e vê, hoje, a filha martirizada pelo crime inominável de buscar, por toda a parte, a solução para o problema da solidariedade humana de fraternidade universal”.</w:t>
      </w:r>
    </w:p>
  </w:footnote>
  <w:footnote w:id="73">
    <w:p w14:paraId="66C29502" w14:textId="77777777" w:rsidR="0051465F" w:rsidRPr="007925E5" w:rsidRDefault="0051465F" w:rsidP="008253AC">
      <w:pPr>
        <w:pStyle w:val="Textodenotaderodap"/>
        <w:jc w:val="both"/>
      </w:pPr>
      <w:r w:rsidRPr="007925E5">
        <w:rPr>
          <w:rStyle w:val="Refdenotaderodap"/>
        </w:rPr>
        <w:footnoteRef/>
      </w:r>
      <w:r w:rsidRPr="007925E5">
        <w:t xml:space="preserve"> Revolução social iniciada no norte da Síria, na região de Rojava, nos escombros da guerra civil e da expulsão do Estado Islâmico, colocará esta ideia em movimento no seu sentido pleno, mas a sociedade curda vem construindo tais instituições como alternativa à repressão dos Estados-nação desde a década de 1990. </w:t>
      </w:r>
    </w:p>
  </w:footnote>
  <w:footnote w:id="74">
    <w:p w14:paraId="51DB5CEB" w14:textId="77777777" w:rsidR="0051465F" w:rsidRPr="007925E5" w:rsidRDefault="0051465F" w:rsidP="008253AC">
      <w:pPr>
        <w:pStyle w:val="Textodenotaderodap"/>
        <w:jc w:val="both"/>
      </w:pPr>
      <w:r w:rsidRPr="007925E5">
        <w:rPr>
          <w:rStyle w:val="Refdenotaderodap"/>
        </w:rPr>
        <w:footnoteRef/>
      </w:r>
      <w:r w:rsidRPr="007925E5">
        <w:t xml:space="preserve">Administração política não-estatal (...) flexível, multicultural, antimonopolista e orientado pelo  consenso. A ecologia e o feminismo são pilares centrais (Öcalan, 2016: 27). </w:t>
      </w:r>
    </w:p>
  </w:footnote>
  <w:footnote w:id="75">
    <w:p w14:paraId="6788927D" w14:textId="77777777" w:rsidR="0051465F" w:rsidRPr="007925E5" w:rsidRDefault="0051465F" w:rsidP="008253AC">
      <w:pPr>
        <w:spacing w:after="0" w:line="240" w:lineRule="auto"/>
        <w:jc w:val="both"/>
        <w:rPr>
          <w:rFonts w:ascii="Times New Roman" w:hAnsi="Times New Roman" w:cs="Times New Roman"/>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rPr>
        <w:t xml:space="preserve"> Reportagem publicada no jornal  The  New York Times. </w:t>
      </w:r>
      <w:r w:rsidRPr="007925E5">
        <w:rPr>
          <w:rFonts w:ascii="Times New Roman" w:hAnsi="Times New Roman" w:cs="Times New Roman"/>
          <w:sz w:val="20"/>
          <w:szCs w:val="20"/>
          <w:lang w:val="en-US"/>
        </w:rPr>
        <w:t xml:space="preserve">AN anarchist’s confession. </w:t>
      </w:r>
      <w:r w:rsidRPr="007925E5">
        <w:rPr>
          <w:rFonts w:ascii="Times New Roman" w:hAnsi="Times New Roman" w:cs="Times New Roman"/>
          <w:b/>
          <w:i/>
          <w:sz w:val="20"/>
          <w:szCs w:val="20"/>
          <w:lang w:val="en-US"/>
        </w:rPr>
        <w:t>The New York Times</w:t>
      </w:r>
      <w:r w:rsidRPr="007925E5">
        <w:rPr>
          <w:rFonts w:ascii="Times New Roman" w:hAnsi="Times New Roman" w:cs="Times New Roman"/>
          <w:b/>
          <w:sz w:val="20"/>
          <w:szCs w:val="20"/>
          <w:lang w:val="en-US"/>
        </w:rPr>
        <w:t>,</w:t>
      </w:r>
      <w:r w:rsidRPr="007925E5">
        <w:rPr>
          <w:rFonts w:ascii="Times New Roman" w:hAnsi="Times New Roman" w:cs="Times New Roman"/>
          <w:sz w:val="20"/>
          <w:szCs w:val="20"/>
          <w:lang w:val="en-US"/>
        </w:rPr>
        <w:t xml:space="preserve"> Nova Iorque, 4 apr., 1892, p.1.</w:t>
      </w:r>
    </w:p>
  </w:footnote>
  <w:footnote w:id="76">
    <w:p w14:paraId="7D68AD8F" w14:textId="77777777" w:rsidR="0051465F" w:rsidRPr="007925E5" w:rsidRDefault="0051465F" w:rsidP="008253AC">
      <w:pPr>
        <w:spacing w:after="0" w:line="240" w:lineRule="auto"/>
        <w:jc w:val="both"/>
        <w:rPr>
          <w:rFonts w:ascii="Times New Roman" w:hAnsi="Times New Roman" w:cs="Times New Roman"/>
          <w:sz w:val="20"/>
          <w:szCs w:val="20"/>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lang w:val="en-US"/>
        </w:rPr>
        <w:t xml:space="preserve"> RAHMANI </w:t>
      </w:r>
      <w:hyperlink r:id="rId4" w:history="1">
        <w:r w:rsidRPr="007925E5">
          <w:rPr>
            <w:rStyle w:val="Hyperlink"/>
            <w:rFonts w:ascii="Times New Roman" w:hAnsi="Times New Roman" w:cs="Times New Roman"/>
            <w:bCs/>
            <w:sz w:val="20"/>
            <w:szCs w:val="20"/>
          </w:rPr>
          <w:t>Sina ;</w:t>
        </w:r>
      </w:hyperlink>
      <w:r w:rsidRPr="007925E5">
        <w:rPr>
          <w:rFonts w:ascii="Times New Roman" w:hAnsi="Times New Roman" w:cs="Times New Roman"/>
          <w:sz w:val="20"/>
          <w:szCs w:val="20"/>
          <w:lang w:val="en-US"/>
        </w:rPr>
        <w:t xml:space="preserve"> </w:t>
      </w:r>
      <w:r w:rsidRPr="007925E5">
        <w:rPr>
          <w:rFonts w:ascii="Times New Roman" w:hAnsi="Times New Roman" w:cs="Times New Roman"/>
          <w:b/>
          <w:i/>
          <w:sz w:val="20"/>
          <w:szCs w:val="20"/>
          <w:lang w:val="en-US"/>
        </w:rPr>
        <w:t>Politics and Culture</w:t>
      </w:r>
      <w:r w:rsidRPr="007925E5">
        <w:rPr>
          <w:rFonts w:ascii="Times New Roman" w:hAnsi="Times New Roman" w:cs="Times New Roman"/>
          <w:sz w:val="20"/>
          <w:szCs w:val="20"/>
          <w:lang w:val="en-US"/>
        </w:rPr>
        <w:t xml:space="preserve">; From edition </w:t>
      </w:r>
      <w:hyperlink r:id="rId5" w:history="1">
        <w:r w:rsidRPr="007925E5">
          <w:rPr>
            <w:rStyle w:val="Hyperlink"/>
            <w:rFonts w:ascii="Times New Roman" w:hAnsi="Times New Roman" w:cs="Times New Roman"/>
            <w:sz w:val="20"/>
            <w:szCs w:val="20"/>
          </w:rPr>
          <w:t>2009 Issue 4</w:t>
        </w:r>
      </w:hyperlink>
      <w:r w:rsidRPr="007925E5">
        <w:rPr>
          <w:rFonts w:ascii="Times New Roman" w:hAnsi="Times New Roman" w:cs="Times New Roman"/>
          <w:sz w:val="20"/>
          <w:szCs w:val="20"/>
          <w:lang w:val="en-US"/>
        </w:rPr>
        <w:t xml:space="preserve"> Disponivel em &lt;</w:t>
      </w:r>
      <w:r w:rsidRPr="007925E5">
        <w:rPr>
          <w:rFonts w:ascii="Times New Roman" w:eastAsia="Times New Roman" w:hAnsi="Times New Roman" w:cs="Times New Roman"/>
          <w:sz w:val="20"/>
          <w:szCs w:val="20"/>
          <w:lang w:val="en-US"/>
        </w:rPr>
        <w:t>https://politicsandculture.org/2009/11/09/macht-kaputt-was-euch-kaputt-macht-on-the-history-and-the-meaning-of-the-black-block/&gt;</w:t>
      </w:r>
    </w:p>
  </w:footnote>
  <w:footnote w:id="77">
    <w:p w14:paraId="33D73339" w14:textId="77777777" w:rsidR="0051465F" w:rsidRPr="007925E5" w:rsidRDefault="0051465F" w:rsidP="008253AC">
      <w:pPr>
        <w:pStyle w:val="Textodenotaderodap"/>
        <w:jc w:val="both"/>
      </w:pPr>
      <w:r w:rsidRPr="007925E5">
        <w:rPr>
          <w:rStyle w:val="Refdenotaderodap"/>
        </w:rPr>
        <w:footnoteRef/>
      </w:r>
      <w:r w:rsidRPr="007925E5">
        <w:t xml:space="preserve"> Disponíve em:  </w:t>
      </w:r>
      <w:hyperlink r:id="rId6" w:history="1">
        <w:r w:rsidRPr="007925E5">
          <w:rPr>
            <w:rStyle w:val="Hyperlink"/>
          </w:rPr>
          <w:t>https://theintercept.com/2017/09/22/no-fim-das-contas-o-ocupa-cabral-tinha-razao/</w:t>
        </w:r>
      </w:hyperlink>
      <w:r w:rsidRPr="007925E5">
        <w:rPr>
          <w:rStyle w:val="Hyperlink"/>
        </w:rPr>
        <w:t xml:space="preserve"> Acesso em Agosto de 2019.</w:t>
      </w:r>
    </w:p>
  </w:footnote>
  <w:footnote w:id="78">
    <w:p w14:paraId="61D4D750" w14:textId="77777777" w:rsidR="0051465F" w:rsidRPr="007925E5" w:rsidRDefault="0051465F" w:rsidP="008253AC">
      <w:pPr>
        <w:pStyle w:val="Textodenotaderodap"/>
        <w:jc w:val="both"/>
      </w:pPr>
      <w:r w:rsidRPr="007925E5">
        <w:rPr>
          <w:rStyle w:val="Refdenotaderodap"/>
        </w:rPr>
        <w:footnoteRef/>
      </w:r>
      <w:r w:rsidRPr="007925E5">
        <w:t xml:space="preserve"> Disponível em: </w:t>
      </w:r>
      <w:hyperlink r:id="rId7" w:history="1">
        <w:r w:rsidRPr="007925E5">
          <w:rPr>
            <w:rStyle w:val="Hyperlink"/>
          </w:rPr>
          <w:t>https://jornalggn.com.br/noticia/sem-dialogar-prefeito-do-rio-prefere-expulsar-dos-ativistas-do-ocupa-golfe/</w:t>
        </w:r>
      </w:hyperlink>
      <w:r w:rsidRPr="007925E5">
        <w:rPr>
          <w:rStyle w:val="Hyperlink"/>
        </w:rPr>
        <w:t xml:space="preserve"> Acesso em Agosto de 2019.</w:t>
      </w:r>
    </w:p>
    <w:p w14:paraId="3D550E73" w14:textId="77777777" w:rsidR="0051465F" w:rsidRPr="007925E5" w:rsidRDefault="0051465F" w:rsidP="008253AC">
      <w:pPr>
        <w:pStyle w:val="Textodenotaderodap"/>
      </w:pPr>
    </w:p>
  </w:footnote>
  <w:footnote w:id="79">
    <w:p w14:paraId="03182B52" w14:textId="77777777" w:rsidR="0051465F" w:rsidRPr="007925E5" w:rsidRDefault="0051465F" w:rsidP="008253AC">
      <w:pPr>
        <w:pStyle w:val="Textodenotaderodap"/>
      </w:pPr>
      <w:r w:rsidRPr="007925E5">
        <w:rPr>
          <w:rStyle w:val="Refdenotaderodap"/>
        </w:rPr>
        <w:footnoteRef/>
      </w:r>
      <w:r w:rsidRPr="007925E5">
        <w:t xml:space="preserve"> Instituto de Filosofia e Ciências Sociais da UFRJ, localizado na área central da cidade do Rio de Janeiro e congrega os cursos de Ciências Sociais, Filosofia e História. </w:t>
      </w:r>
    </w:p>
  </w:footnote>
  <w:footnote w:id="80">
    <w:p w14:paraId="51429E96" w14:textId="77777777" w:rsidR="0051465F" w:rsidRPr="007925E5" w:rsidRDefault="0051465F" w:rsidP="008253AC">
      <w:pPr>
        <w:pStyle w:val="Textodenotaderodap"/>
        <w:jc w:val="both"/>
      </w:pPr>
      <w:r w:rsidRPr="007925E5">
        <w:rPr>
          <w:rStyle w:val="Refdenotaderodap"/>
        </w:rPr>
        <w:footnoteRef/>
      </w:r>
      <w:r w:rsidRPr="007925E5">
        <w:t xml:space="preserve"> </w:t>
      </w:r>
      <w:hyperlink r:id="rId8" w:history="1">
        <w:r w:rsidRPr="007925E5">
          <w:rPr>
            <w:rStyle w:val="Hyperlink"/>
          </w:rPr>
          <w:t>https://www1.folha.uol.com.br/mundo/2019/10/equador-inicia-dialogo-com-indigenas-buscando-encerrar-protestos.shtml?fbclid=IwAR3CSCgUk9o56-mnjqcNvcfKYiX6EZWmfn8UjVGEsabcFJHgyNRtVhMwUXw</w:t>
        </w:r>
      </w:hyperlink>
    </w:p>
  </w:footnote>
  <w:footnote w:id="81">
    <w:p w14:paraId="03CACA5F" w14:textId="77777777" w:rsidR="0051465F" w:rsidRPr="007925E5" w:rsidRDefault="0051465F" w:rsidP="008253AC">
      <w:pPr>
        <w:pStyle w:val="Textodenotaderodap"/>
        <w:jc w:val="both"/>
      </w:pPr>
      <w:r w:rsidRPr="007925E5">
        <w:rPr>
          <w:rStyle w:val="Refdenotaderodap"/>
        </w:rPr>
        <w:footnoteRef/>
      </w:r>
      <w:r w:rsidRPr="007925E5">
        <w:t xml:space="preserve"> Segundo alguns dados desencontrados foram 7 mortes, 1340 pessoas feridas e cerca de 1150 prisões durante os 11 dias de protestos no país. Ver em: </w:t>
      </w:r>
      <w:hyperlink r:id="rId9" w:history="1">
        <w:r w:rsidRPr="007925E5">
          <w:rPr>
            <w:rStyle w:val="Hyperlink"/>
          </w:rPr>
          <w:t>https://exame.abril.com.br/mundo/equador-cancela-pacote-de-austeridade-e-liderancas-encerram-protestos/</w:t>
        </w:r>
      </w:hyperlink>
    </w:p>
  </w:footnote>
  <w:footnote w:id="82">
    <w:p w14:paraId="15C25BE2" w14:textId="77777777" w:rsidR="0051465F" w:rsidRPr="007925E5" w:rsidRDefault="0051465F" w:rsidP="008253AC">
      <w:pPr>
        <w:pStyle w:val="Textodenotaderodap"/>
        <w:jc w:val="both"/>
      </w:pPr>
      <w:r w:rsidRPr="007925E5">
        <w:rPr>
          <w:rStyle w:val="Refdenotaderodap"/>
        </w:rPr>
        <w:footnoteRef/>
      </w:r>
      <w:r w:rsidRPr="007925E5">
        <w:t xml:space="preserve"> O conceito de auto-instituição, criado por Castoriadis, “deve ser compreendido a partir do fato de que os homens não necessariamente precisam ter compromissos com as instituições existentes, com o Estado, com o capitalismo, com a escravidão, com o racismo. Por consequência, partimos do princípio de que a sociedade deve ter a liberdade de se auto-instituir; a história deve ser tratada como auto-instituição da comunidade que pode definir suas regras, sem que exista camisa de força que a prenda a determinadas leis/instituições criadas por outros, de maneira autoritária” (Moraes, 2018b: 94-95). </w:t>
      </w:r>
    </w:p>
  </w:footnote>
  <w:footnote w:id="83">
    <w:p w14:paraId="5C4B9782" w14:textId="77777777" w:rsidR="0051465F" w:rsidRPr="007925E5" w:rsidRDefault="0051465F" w:rsidP="008253AC">
      <w:pPr>
        <w:pStyle w:val="Textodenotaderodap"/>
        <w:jc w:val="both"/>
      </w:pPr>
      <w:r w:rsidRPr="007925E5">
        <w:rPr>
          <w:rStyle w:val="Refdenotaderodap"/>
        </w:rPr>
        <w:footnoteRef/>
      </w:r>
      <w:r w:rsidRPr="007925E5">
        <w:t xml:space="preserve"> </w:t>
      </w:r>
      <w:hyperlink r:id="rId10" w:history="1">
        <w:r w:rsidRPr="007925E5">
          <w:rPr>
            <w:rStyle w:val="Hyperlink"/>
          </w:rPr>
          <w:t>https://dialogosdosul.operamundi.uol.com.br/brasil/61015/haiti-vive-uma-situacao-pre-revolucionaria-e-esta-a-beira-de-uma-inssureicao-popular?fbclid=IwAR3DEfxClNAL5H6NhbdIIYZabfyXQmfaUZP5N2zKg3KfNIv-X57OX96FyAc</w:t>
        </w:r>
      </w:hyperlink>
    </w:p>
  </w:footnote>
  <w:footnote w:id="84">
    <w:p w14:paraId="5B004F16" w14:textId="77777777" w:rsidR="0051465F" w:rsidRPr="007925E5" w:rsidRDefault="0051465F" w:rsidP="008253AC">
      <w:pPr>
        <w:pStyle w:val="Textodenotaderodap"/>
        <w:jc w:val="both"/>
      </w:pPr>
      <w:r w:rsidRPr="007925E5">
        <w:rPr>
          <w:rStyle w:val="Refdenotaderodap"/>
        </w:rPr>
        <w:footnoteRef/>
      </w:r>
      <w:r w:rsidRPr="007925E5">
        <w:t xml:space="preserve"> </w:t>
      </w:r>
      <w:hyperlink r:id="rId11" w:history="1">
        <w:r w:rsidRPr="007925E5">
          <w:rPr>
            <w:rStyle w:val="Hyperlink"/>
          </w:rPr>
          <w:t>https://g1.globo.com/mundo/noticia/2019/10/20/entenda-a-onda-de-protestos-no-chile.ghtml</w:t>
        </w:r>
      </w:hyperlink>
    </w:p>
  </w:footnote>
  <w:footnote w:id="85">
    <w:p w14:paraId="35E6D84F" w14:textId="77777777" w:rsidR="0051465F" w:rsidRPr="007925E5" w:rsidRDefault="0051465F" w:rsidP="008253AC">
      <w:pPr>
        <w:pStyle w:val="Textodenotaderodap"/>
      </w:pPr>
      <w:r w:rsidRPr="007925E5">
        <w:rPr>
          <w:rStyle w:val="Refdenotaderodap"/>
        </w:rPr>
        <w:footnoteRef/>
      </w:r>
      <w:r w:rsidRPr="007925E5">
        <w:t xml:space="preserve"> </w:t>
      </w:r>
      <w:hyperlink r:id="rId12" w:history="1">
        <w:r w:rsidRPr="007925E5">
          <w:rPr>
            <w:rStyle w:val="Hyperlink"/>
          </w:rPr>
          <w:t>https://lasoli.cnt.cat/2018/05/25/catalunya-y-las-anarquistas/?fbclid=IwAR2p2ks94GPcTuyXP4slbEQ4H4jeluoJS1zyUwL2gAxgd6qtqbx9lTOIXhs</w:t>
        </w:r>
      </w:hyperlink>
    </w:p>
  </w:footnote>
  <w:footnote w:id="86">
    <w:p w14:paraId="740515F4" w14:textId="77777777" w:rsidR="0051465F" w:rsidRPr="007925E5" w:rsidRDefault="0051465F" w:rsidP="008253AC">
      <w:pPr>
        <w:pStyle w:val="Textodenotaderodap"/>
      </w:pPr>
      <w:r w:rsidRPr="007925E5">
        <w:rPr>
          <w:rStyle w:val="Refdenotaderodap"/>
        </w:rPr>
        <w:footnoteRef/>
      </w:r>
      <w:r w:rsidRPr="007925E5">
        <w:t xml:space="preserve"> </w:t>
      </w:r>
      <w:hyperlink r:id="rId13" w:history="1">
        <w:r w:rsidRPr="007925E5">
          <w:rPr>
            <w:rStyle w:val="Hyperlink"/>
          </w:rPr>
          <w:t>https://noticias.uol.com.br/ultimas-noticias/efe/2019/10/10/milhares-de-estudantes-vao-as-ruas-da-colombia-protestar-contra-o-governo.htm</w:t>
        </w:r>
      </w:hyperlink>
    </w:p>
  </w:footnote>
  <w:footnote w:id="87">
    <w:p w14:paraId="022827E2" w14:textId="77777777" w:rsidR="0051465F" w:rsidRPr="007925E5" w:rsidRDefault="0051465F" w:rsidP="008253AC">
      <w:pPr>
        <w:pStyle w:val="Textodenotaderodap"/>
      </w:pPr>
      <w:r w:rsidRPr="007925E5">
        <w:rPr>
          <w:rStyle w:val="Refdenotaderodap"/>
        </w:rPr>
        <w:footnoteRef/>
      </w:r>
      <w:r w:rsidRPr="007925E5">
        <w:t xml:space="preserve"> </w:t>
      </w:r>
      <w:hyperlink r:id="rId14" w:history="1">
        <w:r w:rsidRPr="007925E5">
          <w:rPr>
            <w:rStyle w:val="Hyperlink"/>
          </w:rPr>
          <w:t>https://g1.globo.com/mundo/noticia/2019/10/18/protestos-sem-precedentes-reunem-dezenas-de-milhares-e-ameacam-governo-no-libano.ghtml</w:t>
        </w:r>
      </w:hyperlink>
    </w:p>
  </w:footnote>
  <w:footnote w:id="88">
    <w:p w14:paraId="598EAE7D" w14:textId="77777777" w:rsidR="0051465F" w:rsidRPr="007925E5" w:rsidRDefault="0051465F" w:rsidP="00244AE1">
      <w:pPr>
        <w:pStyle w:val="Textodenotaderodap"/>
        <w:jc w:val="both"/>
      </w:pPr>
      <w:r w:rsidRPr="007925E5">
        <w:rPr>
          <w:rFonts w:eastAsia="Calibri"/>
        </w:rPr>
        <w:footnoteRef/>
      </w:r>
      <w:r w:rsidRPr="007925E5">
        <w:t>Evidentemente, há outras ressonâncias da arqueologia, como, por exemplo, as discussões com a fenomenologia e o pensamento anglo-saxão. Mas é em termos de problemática histórica que Foucault, ele mesmo, apresenta a arqueologia. Para o primeiro tópico, cf. DOSSE, 1984; para o segundo, (Foucault, 2007a).</w:t>
      </w:r>
    </w:p>
  </w:footnote>
  <w:footnote w:id="89">
    <w:p w14:paraId="51C8E3C1" w14:textId="77777777" w:rsidR="0051465F" w:rsidRPr="007925E5" w:rsidRDefault="0051465F" w:rsidP="00244AE1">
      <w:pPr>
        <w:pStyle w:val="Textodenotaderodap"/>
        <w:jc w:val="both"/>
      </w:pPr>
      <w:r w:rsidRPr="007925E5">
        <w:rPr>
          <w:rFonts w:eastAsia="Calibri"/>
        </w:rPr>
        <w:footnoteRef/>
      </w:r>
      <w:r w:rsidRPr="007925E5">
        <w:t xml:space="preserve"> Toda a arqueologia do saber debruça-se sobre a definição de discurso, de modo que devemos ser sumários por questões de limitação de espaço; trata-se de questão ampla, complexa e controversa. Uma definição mais sucinta, com os desdobramentos e pontuações sobre o tema pode ser encontrada em (Castro, 2009:117-122). </w:t>
      </w:r>
    </w:p>
  </w:footnote>
  <w:footnote w:id="90">
    <w:p w14:paraId="22D634A3" w14:textId="77777777" w:rsidR="0051465F" w:rsidRPr="007925E5" w:rsidRDefault="0051465F" w:rsidP="00244AE1">
      <w:pPr>
        <w:pStyle w:val="Textodenotaderodap"/>
        <w:jc w:val="both"/>
      </w:pPr>
      <w:r w:rsidRPr="007925E5">
        <w:rPr>
          <w:rFonts w:eastAsia="Calibri"/>
        </w:rPr>
        <w:footnoteRef/>
      </w:r>
      <w:r w:rsidRPr="007925E5">
        <w:t>Na edição da Graal está grafado “Entestehung”, uma palavra que não existe no alemão. Assim, grafamos “Entstehung”, substantivação do verbo “entstehen”, “surgir”, “proceder”, “resultar”.</w:t>
      </w:r>
    </w:p>
  </w:footnote>
  <w:footnote w:id="91">
    <w:p w14:paraId="0EAE1CAC" w14:textId="77777777" w:rsidR="0051465F" w:rsidRPr="007925E5" w:rsidRDefault="0051465F" w:rsidP="00EF3D18">
      <w:pPr>
        <w:pStyle w:val="Textodenotaderodap"/>
        <w:jc w:val="both"/>
      </w:pPr>
      <w:r w:rsidRPr="007925E5">
        <w:rPr>
          <w:rFonts w:eastAsia="Calibri"/>
        </w:rPr>
        <w:footnoteRef/>
      </w:r>
      <w:r>
        <w:t xml:space="preserve"> </w:t>
      </w:r>
      <w:r w:rsidRPr="007925E5">
        <w:t>Desde a emergência da vontade de verdade na Atenas Clássica, que enxovalhou o sofista em benefício</w:t>
      </w:r>
      <w:r>
        <w:t xml:space="preserve"> </w:t>
      </w:r>
      <w:r w:rsidRPr="007925E5">
        <w:t>da asserção de verdades fundamentais. Assim, desde então, o discurso somente comunica o verdadeiro, não estando, pois exposto às lutas. Cf. FOUCAULT, 2005a, idem, 2005b.</w:t>
      </w:r>
    </w:p>
  </w:footnote>
  <w:footnote w:id="92">
    <w:p w14:paraId="488EA297" w14:textId="77777777" w:rsidR="0051465F" w:rsidRPr="007925E5" w:rsidRDefault="0051465F" w:rsidP="00244AE1">
      <w:pPr>
        <w:pStyle w:val="Textodenotaderodap"/>
      </w:pPr>
      <w:r w:rsidRPr="007925E5">
        <w:rPr>
          <w:rFonts w:eastAsia="Calibri"/>
        </w:rPr>
        <w:footnoteRef/>
      </w:r>
      <w:r w:rsidRPr="007925E5">
        <w:t>Bem dito, minoritário em sentido qualitativo, não quantitativo.</w:t>
      </w:r>
    </w:p>
  </w:footnote>
  <w:footnote w:id="93">
    <w:p w14:paraId="230045DC" w14:textId="77777777" w:rsidR="0051465F" w:rsidRPr="007925E5" w:rsidRDefault="0051465F" w:rsidP="00244AE1">
      <w:pPr>
        <w:pStyle w:val="Textodenotaderodap"/>
      </w:pPr>
      <w:r w:rsidRPr="007925E5">
        <w:rPr>
          <w:rFonts w:eastAsia="Calibri"/>
        </w:rPr>
        <w:footnoteRef/>
      </w:r>
      <w:r w:rsidRPr="007925E5">
        <w:t xml:space="preserve"> </w:t>
      </w:r>
      <w:r w:rsidRPr="007925E5">
        <w:rPr>
          <w:i/>
          <w:iCs/>
        </w:rPr>
        <w:t>Kommunistische Arbeiterpartei Deutschlands</w:t>
      </w:r>
      <w:r w:rsidRPr="007925E5">
        <w:t xml:space="preserve"> Partido Operário dos Trabalhadores da Alemanha, cisão radical do KPD, Partido Comunista da Alemanha. </w:t>
      </w:r>
    </w:p>
  </w:footnote>
  <w:footnote w:id="94">
    <w:p w14:paraId="5C84DBF1" w14:textId="77777777" w:rsidR="0051465F" w:rsidRPr="007925E5" w:rsidRDefault="0051465F" w:rsidP="002150E8">
      <w:pPr>
        <w:pStyle w:val="Textodenotaderodap"/>
        <w:jc w:val="both"/>
      </w:pPr>
      <w:r w:rsidRPr="007925E5">
        <w:rPr>
          <w:rFonts w:eastAsia="Calibri"/>
        </w:rPr>
        <w:footnoteRef/>
      </w:r>
      <w:r>
        <w:t xml:space="preserve"> </w:t>
      </w:r>
      <w:r w:rsidRPr="007925E5">
        <w:t xml:space="preserve">Para estes marxistas cf. TRAGTENBERGM.; </w:t>
      </w:r>
      <w:r w:rsidRPr="007925E5">
        <w:rPr>
          <w:i/>
          <w:iCs/>
        </w:rPr>
        <w:t>Marxismo heterodoxo</w:t>
      </w:r>
      <w:r w:rsidRPr="007925E5">
        <w:t xml:space="preserve">, SP: Brasiliense, 1981. Para a figura de Tragtenberg, BERNARDO, J.: </w:t>
      </w:r>
      <w:r w:rsidRPr="007925E5">
        <w:rPr>
          <w:i/>
          <w:iCs/>
        </w:rPr>
        <w:t>A actualidade das reflexões de Maurício Tragtenberg em Administração, Poder e Ideologia</w:t>
      </w:r>
      <w:r w:rsidRPr="007925E5">
        <w:t>, in Revista Margem à esquerda, nº 7, maio de 2006</w:t>
      </w:r>
    </w:p>
  </w:footnote>
  <w:footnote w:id="95">
    <w:p w14:paraId="6FF69047" w14:textId="77777777" w:rsidR="0051465F" w:rsidRPr="007925E5" w:rsidRDefault="0051465F" w:rsidP="002150E8">
      <w:pPr>
        <w:pStyle w:val="Textodenotaderodap"/>
        <w:jc w:val="both"/>
      </w:pPr>
      <w:r w:rsidRPr="007925E5">
        <w:rPr>
          <w:rFonts w:eastAsia="Calibri"/>
        </w:rPr>
        <w:footnoteRef/>
      </w:r>
      <w:r w:rsidRPr="007925E5">
        <w:t>O artigo a seguir expõe alguns aspectos do anarquismo contemporâneo: MAZZONI, 2016.</w:t>
      </w:r>
    </w:p>
  </w:footnote>
  <w:footnote w:id="96">
    <w:p w14:paraId="6109EAED" w14:textId="77777777" w:rsidR="0051465F" w:rsidRPr="007925E5" w:rsidRDefault="0051465F" w:rsidP="00244AE1">
      <w:pPr>
        <w:pStyle w:val="Textodenotaderodap"/>
      </w:pPr>
      <w:r w:rsidRPr="007925E5">
        <w:rPr>
          <w:rFonts w:eastAsia="Calibri"/>
        </w:rPr>
        <w:footnoteRef/>
      </w:r>
      <w:r w:rsidRPr="007925E5">
        <w:t>Leia-se sempre marxismo-leninismo.</w:t>
      </w:r>
    </w:p>
  </w:footnote>
  <w:footnote w:id="97">
    <w:p w14:paraId="54867F1B" w14:textId="77777777" w:rsidR="0051465F" w:rsidRPr="007925E5" w:rsidRDefault="0051465F" w:rsidP="00244AE1">
      <w:pPr>
        <w:pStyle w:val="Textodenotaderodap"/>
      </w:pPr>
      <w:r w:rsidRPr="007925E5">
        <w:rPr>
          <w:rFonts w:eastAsia="Calibri"/>
        </w:rPr>
        <w:footnoteRef/>
      </w:r>
      <w:r w:rsidRPr="007925E5">
        <w:t xml:space="preserve">Lantéri-Laura faz uma excelente exposição da captura das sexualidades dissidentes pela psiquiatria. LANTÉRI-LAURA, G; </w:t>
      </w:r>
      <w:r w:rsidRPr="007925E5">
        <w:rPr>
          <w:i/>
          <w:iCs/>
        </w:rPr>
        <w:t>Leitura das perversões</w:t>
      </w:r>
      <w:r w:rsidRPr="007925E5">
        <w:t>, RJ: Zahar, 1994</w:t>
      </w:r>
    </w:p>
  </w:footnote>
  <w:footnote w:id="98">
    <w:p w14:paraId="46C7160F" w14:textId="77777777" w:rsidR="0051465F" w:rsidRPr="007925E5" w:rsidRDefault="0051465F" w:rsidP="00244AE1">
      <w:pPr>
        <w:pStyle w:val="Textodenotaderodap"/>
      </w:pPr>
      <w:r w:rsidRPr="007925E5">
        <w:rPr>
          <w:rFonts w:eastAsia="Calibri"/>
        </w:rPr>
        <w:footnoteRef/>
      </w:r>
      <w:r w:rsidRPr="007925E5">
        <w:t xml:space="preserve">Seguimos Porfírio, que é quem inicia a querela nos universais, neste aspecto: PORPHYRIUS , </w:t>
      </w:r>
      <w:r w:rsidRPr="007925E5">
        <w:rPr>
          <w:i/>
          <w:iCs/>
        </w:rPr>
        <w:t>Isagoge</w:t>
      </w:r>
      <w:r w:rsidRPr="007925E5">
        <w:t xml:space="preserve">, Paris: Vrin, 1947 </w:t>
      </w:r>
    </w:p>
  </w:footnote>
  <w:footnote w:id="99">
    <w:p w14:paraId="5EA622D3" w14:textId="77777777" w:rsidR="0051465F" w:rsidRPr="007925E5" w:rsidRDefault="0051465F" w:rsidP="00244AE1">
      <w:pPr>
        <w:pStyle w:val="Textodenotaderodap"/>
        <w:jc w:val="both"/>
      </w:pPr>
      <w:r w:rsidRPr="007925E5">
        <w:rPr>
          <w:rFonts w:eastAsia="Calibri"/>
        </w:rPr>
        <w:footnoteRef/>
      </w:r>
      <w:r w:rsidRPr="007925E5">
        <w:t xml:space="preserve"> Trata-se de uma discussão complexa, que apenas pontuamos. Para um aprofundamento da questão é mister que desenvolvamos múltiplas pesquisas em diferentes campos, notadamente no que tange à querela dos universais. A introdução ao tema é simples, seu desenvolvimento mais complexo. Para a querela dos universais, nos apoiamos em dois textos, no próprio Aristóteles e em Porfírio. Cf. ARISTÓTELES, </w:t>
      </w:r>
      <w:r w:rsidRPr="007925E5">
        <w:rPr>
          <w:i/>
          <w:iCs/>
        </w:rPr>
        <w:t>Da Interpretação</w:t>
      </w:r>
      <w:r w:rsidRPr="007925E5">
        <w:t xml:space="preserve"> in </w:t>
      </w:r>
      <w:r w:rsidRPr="007925E5">
        <w:rPr>
          <w:i/>
          <w:iCs/>
        </w:rPr>
        <w:t>Órganon</w:t>
      </w:r>
      <w:r w:rsidRPr="007925E5">
        <w:t xml:space="preserve">, SP: EDIPRO, 2005; PORPHYRIUS , </w:t>
      </w:r>
      <w:r w:rsidRPr="007925E5">
        <w:rPr>
          <w:i/>
          <w:iCs/>
        </w:rPr>
        <w:t>Isagoge</w:t>
      </w:r>
      <w:r w:rsidRPr="007925E5">
        <w:t>, Paris: Vrin, 1947</w:t>
      </w:r>
    </w:p>
  </w:footnote>
  <w:footnote w:id="100">
    <w:p w14:paraId="2692EFA4" w14:textId="77777777" w:rsidR="0051465F" w:rsidRPr="007925E5" w:rsidRDefault="0051465F" w:rsidP="00244AE1">
      <w:pPr>
        <w:pStyle w:val="Textodenotaderodap"/>
      </w:pPr>
      <w:r w:rsidRPr="007925E5">
        <w:rPr>
          <w:rFonts w:eastAsia="Calibri"/>
        </w:rPr>
        <w:footnoteRef/>
      </w:r>
      <w:r w:rsidRPr="007925E5">
        <w:t xml:space="preserve"> A brincadeira com estes termos devemos ao professor Rodrigo Gelamo, que nos alertou para a mesma.</w:t>
      </w:r>
    </w:p>
  </w:footnote>
  <w:footnote w:id="101">
    <w:p w14:paraId="6E002B23" w14:textId="77777777" w:rsidR="0051465F" w:rsidRPr="007925E5" w:rsidRDefault="0051465F" w:rsidP="00244AE1">
      <w:pPr>
        <w:pStyle w:val="Textodenotaderodap"/>
        <w:jc w:val="both"/>
      </w:pPr>
      <w:r w:rsidRPr="007925E5">
        <w:rPr>
          <w:rFonts w:eastAsia="Calibri"/>
        </w:rPr>
        <w:footnoteRef/>
      </w:r>
      <w:r w:rsidRPr="007925E5">
        <w:t xml:space="preserve"> Boito Júnior observa bem que, em Foucault, exclui-se um modelo de tomada do estado. Contudo não observa as relações que este gênero de pensamento pode entreter com o pensamento anarquista. Note-se que Boito tem explícitas filiações ao pensamento leninista. Cf. BOITO JR, 2016.</w:t>
      </w:r>
    </w:p>
  </w:footnote>
  <w:footnote w:id="102">
    <w:p w14:paraId="1783BF46" w14:textId="77777777" w:rsidR="0051465F" w:rsidRPr="007925E5" w:rsidRDefault="0051465F" w:rsidP="00244AE1">
      <w:pPr>
        <w:pStyle w:val="Textodenotaderodap"/>
      </w:pPr>
      <w:r w:rsidRPr="007925E5">
        <w:rPr>
          <w:rFonts w:eastAsia="Calibri"/>
        </w:rPr>
        <w:footnoteRef/>
      </w:r>
      <w:r w:rsidRPr="007925E5">
        <w:t>Este modelo foi analisado em LUIZ, 2010.</w:t>
      </w:r>
    </w:p>
  </w:footnote>
  <w:footnote w:id="103">
    <w:p w14:paraId="344DA717" w14:textId="77777777" w:rsidR="0051465F" w:rsidRPr="007925E5" w:rsidRDefault="0051465F" w:rsidP="00244AE1">
      <w:pPr>
        <w:pStyle w:val="Textodenotaderodap"/>
      </w:pPr>
      <w:r w:rsidRPr="007925E5">
        <w:rPr>
          <w:rFonts w:eastAsia="Calibri"/>
        </w:rPr>
        <w:footnoteRef/>
      </w:r>
      <w:r w:rsidRPr="007925E5">
        <w:t xml:space="preserve">A discussão entre Sartre e Daniel Cohn-Bendit é, neste quesito, bastante esclarecedora: COHN-BENDIT et. Ali; </w:t>
      </w:r>
      <w:r w:rsidRPr="007925E5">
        <w:rPr>
          <w:i/>
          <w:iCs/>
        </w:rPr>
        <w:t>A revolta estudantil</w:t>
      </w:r>
      <w:r w:rsidRPr="007925E5">
        <w:t>, RJ: Laudes, 1968</w:t>
      </w:r>
    </w:p>
  </w:footnote>
  <w:footnote w:id="104">
    <w:p w14:paraId="220FDBD9" w14:textId="77777777" w:rsidR="0051465F" w:rsidRPr="007925E5" w:rsidRDefault="0051465F" w:rsidP="00244AE1">
      <w:pPr>
        <w:pStyle w:val="Textodenotaderodap"/>
      </w:pPr>
      <w:r w:rsidRPr="007925E5">
        <w:rPr>
          <w:rStyle w:val="Refdenotaderodap"/>
        </w:rPr>
        <w:footnoteRef/>
      </w:r>
      <w:r w:rsidRPr="007925E5">
        <w:t xml:space="preserve"> </w:t>
      </w:r>
      <w:r w:rsidRPr="007925E5">
        <w:rPr>
          <w:shd w:val="clear" w:color="auto" w:fill="FFFFFF"/>
        </w:rPr>
        <w:t>O presente trabalho foi realizado com apoio da Coordenação de Aperfeiçoamento de Pessoal de Nível Superior - Brasil (CAPES) - Código de Financiamento 001.</w:t>
      </w:r>
    </w:p>
  </w:footnote>
  <w:footnote w:id="105">
    <w:p w14:paraId="5571DA0A"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THOMPSON, Edward Palmer. </w:t>
      </w:r>
      <w:r w:rsidRPr="007925E5">
        <w:rPr>
          <w:rFonts w:ascii="Times New Roman" w:eastAsia="Times New Roman" w:hAnsi="Times New Roman" w:cs="Times New Roman"/>
          <w:b/>
          <w:sz w:val="20"/>
          <w:szCs w:val="20"/>
        </w:rPr>
        <w:t xml:space="preserve">A Formação da Classe Operária Inglesa: </w:t>
      </w:r>
      <w:r w:rsidRPr="007925E5">
        <w:rPr>
          <w:rFonts w:ascii="Times New Roman" w:eastAsia="Times New Roman" w:hAnsi="Times New Roman" w:cs="Times New Roman"/>
          <w:sz w:val="20"/>
          <w:szCs w:val="20"/>
        </w:rPr>
        <w:t>A Árvore da Liberdade. Rio de Janeiro: Paz e Terra. 1987.</w:t>
      </w:r>
    </w:p>
  </w:footnote>
  <w:footnote w:id="106">
    <w:p w14:paraId="0BC6930B"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90.</w:t>
      </w:r>
    </w:p>
  </w:footnote>
  <w:footnote w:id="107">
    <w:p w14:paraId="5C03C591"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Ibid., p. 90 e 91.</w:t>
      </w:r>
    </w:p>
  </w:footnote>
  <w:footnote w:id="108">
    <w:p w14:paraId="17BF2AD6"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91.</w:t>
      </w:r>
    </w:p>
  </w:footnote>
  <w:footnote w:id="109">
    <w:p w14:paraId="1BDB2172"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Em 25-12-1853 foi fundada a Imperial Associação Tipográfica Fluminense, a mais antiga organização profissional e um dos primeiros agrupamentos operários do Brasil.</w:t>
      </w:r>
    </w:p>
  </w:footnote>
  <w:footnote w:id="110">
    <w:p w14:paraId="409ED3C0" w14:textId="77777777" w:rsidR="0051465F" w:rsidRPr="007925E5" w:rsidRDefault="0051465F" w:rsidP="00244AE1">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w:t>
      </w:r>
      <w:r w:rsidRPr="007925E5">
        <w:rPr>
          <w:rFonts w:ascii="Times New Roman" w:eastAsia="Times New Roman" w:hAnsi="Times New Roman" w:cs="Times New Roman"/>
          <w:b/>
          <w:sz w:val="20"/>
          <w:szCs w:val="20"/>
        </w:rPr>
        <w:t xml:space="preserve"> História da indústria e do trabalho no Brasil: das origens aos anos 20</w:t>
      </w:r>
      <w:r w:rsidRPr="007925E5">
        <w:rPr>
          <w:rFonts w:ascii="Times New Roman" w:eastAsia="Times New Roman" w:hAnsi="Times New Roman" w:cs="Times New Roman"/>
          <w:sz w:val="20"/>
          <w:szCs w:val="20"/>
        </w:rPr>
        <w:t>. Rio de Janeiro: Ed. Ática, 1991, p. 94.</w:t>
      </w:r>
    </w:p>
  </w:footnote>
  <w:footnote w:id="111">
    <w:p w14:paraId="282E5594" w14:textId="77777777" w:rsidR="0051465F" w:rsidRPr="007925E5" w:rsidRDefault="0051465F" w:rsidP="00244AE1">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101.</w:t>
      </w:r>
    </w:p>
  </w:footnote>
  <w:footnote w:id="112">
    <w:p w14:paraId="1495C6AA" w14:textId="77777777" w:rsidR="0051465F" w:rsidRPr="007925E5" w:rsidRDefault="0051465F" w:rsidP="00244AE1">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108.</w:t>
      </w:r>
    </w:p>
  </w:footnote>
  <w:footnote w:id="113">
    <w:p w14:paraId="50F32E90" w14:textId="77777777" w:rsidR="0051465F" w:rsidRPr="007925E5" w:rsidRDefault="0051465F" w:rsidP="00244AE1">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103.</w:t>
      </w:r>
    </w:p>
  </w:footnote>
  <w:footnote w:id="114">
    <w:p w14:paraId="1C4E3D1B" w14:textId="77777777" w:rsidR="0051465F" w:rsidRPr="007925E5" w:rsidRDefault="0051465F" w:rsidP="00244AE1">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Executiva do Partido Operário do Brasil. São Paulo, 1893. </w:t>
      </w:r>
    </w:p>
  </w:footnote>
  <w:footnote w:id="115">
    <w:p w14:paraId="008AF2C7"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p17.</w:t>
      </w:r>
    </w:p>
  </w:footnote>
  <w:footnote w:id="116">
    <w:p w14:paraId="6D907815"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CF. Congresso Agrícola. Rio de Janeiro: Casa de Rui Barbosa, 1988, p. 240.</w:t>
      </w:r>
    </w:p>
  </w:footnote>
  <w:footnote w:id="117">
    <w:p w14:paraId="5A5BBBE2" w14:textId="77777777" w:rsidR="0051465F" w:rsidRPr="007925E5" w:rsidRDefault="0051465F" w:rsidP="00244AE1">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30 e 31.</w:t>
      </w:r>
    </w:p>
  </w:footnote>
  <w:footnote w:id="118">
    <w:p w14:paraId="0C43B508"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62 e 63.</w:t>
      </w:r>
    </w:p>
  </w:footnote>
  <w:footnote w:id="119">
    <w:p w14:paraId="1C84A4E9"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20">
    <w:p w14:paraId="27B7508B" w14:textId="77777777" w:rsidR="0051465F" w:rsidRPr="007925E5" w:rsidRDefault="0051465F" w:rsidP="00244AE1">
      <w:pPr>
        <w:pStyle w:val="Normal1"/>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Conceito desenvolvido por Karl Marx na </w:t>
      </w:r>
      <w:r w:rsidRPr="007925E5">
        <w:rPr>
          <w:rFonts w:ascii="Times New Roman" w:eastAsia="Times New Roman" w:hAnsi="Times New Roman" w:cs="Times New Roman"/>
          <w:b/>
          <w:sz w:val="20"/>
          <w:szCs w:val="20"/>
        </w:rPr>
        <w:t>Crítica da Economia Política</w:t>
      </w:r>
      <w:r w:rsidRPr="007925E5">
        <w:rPr>
          <w:rFonts w:ascii="Times New Roman" w:eastAsia="Times New Roman" w:hAnsi="Times New Roman" w:cs="Times New Roman"/>
          <w:sz w:val="20"/>
          <w:szCs w:val="20"/>
        </w:rPr>
        <w:t>, analisando o desemprego estrutural na economia capitalista . O exército industrial de reserva corresponde à força de trabalho que excede as necessidades de produção. Para o bom funcionamento do modo de produção capitalista e garantir o processo de acumulação, é necessário que parte da população ativa esteja permanentemente desempregada. Esse contingente de desempregados atua como um inibidor das reivindicações dos trabalhadores e contribui para o rebaixamento dos salários.</w:t>
      </w:r>
    </w:p>
  </w:footnote>
  <w:footnote w:id="121">
    <w:p w14:paraId="3E99AC6D"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22">
    <w:p w14:paraId="2878B9D3"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18.</w:t>
      </w:r>
    </w:p>
  </w:footnote>
  <w:footnote w:id="123">
    <w:p w14:paraId="3A7DA088"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13.</w:t>
      </w:r>
    </w:p>
  </w:footnote>
  <w:footnote w:id="124">
    <w:p w14:paraId="008442D3"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17.</w:t>
      </w:r>
    </w:p>
  </w:footnote>
  <w:footnote w:id="125">
    <w:p w14:paraId="6D043BB7"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17.</w:t>
      </w:r>
    </w:p>
  </w:footnote>
  <w:footnote w:id="126">
    <w:p w14:paraId="5673DBFC"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64.</w:t>
      </w:r>
    </w:p>
  </w:footnote>
  <w:footnote w:id="127">
    <w:p w14:paraId="35CB2558" w14:textId="77777777" w:rsidR="0051465F" w:rsidRPr="007925E5" w:rsidRDefault="0051465F" w:rsidP="00244AE1">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BANDEIRA JÚNIOR, Antonio Francisco. </w:t>
      </w:r>
      <w:r w:rsidRPr="007925E5">
        <w:rPr>
          <w:rFonts w:ascii="Times New Roman" w:eastAsia="Times New Roman" w:hAnsi="Times New Roman" w:cs="Times New Roman"/>
          <w:b/>
          <w:sz w:val="20"/>
          <w:szCs w:val="20"/>
        </w:rPr>
        <w:t>A industria no estado de São Paulo em 1901.</w:t>
      </w:r>
      <w:r w:rsidRPr="007925E5">
        <w:rPr>
          <w:rFonts w:ascii="Times New Roman" w:eastAsia="Times New Roman" w:hAnsi="Times New Roman" w:cs="Times New Roman"/>
          <w:sz w:val="20"/>
          <w:szCs w:val="20"/>
        </w:rPr>
        <w:t xml:space="preserve"> </w:t>
      </w:r>
    </w:p>
    <w:p w14:paraId="4D646FCB" w14:textId="77777777" w:rsidR="0051465F" w:rsidRPr="007925E5" w:rsidRDefault="0051465F" w:rsidP="00244AE1">
      <w:pPr>
        <w:pStyle w:val="Normal1"/>
        <w:spacing w:after="0" w:line="240" w:lineRule="auto"/>
        <w:rPr>
          <w:rFonts w:ascii="Times New Roman" w:eastAsia="Times New Roman" w:hAnsi="Times New Roman" w:cs="Times New Roman"/>
          <w:sz w:val="20"/>
          <w:szCs w:val="20"/>
        </w:rPr>
      </w:pPr>
      <w:r w:rsidRPr="007925E5">
        <w:rPr>
          <w:rFonts w:ascii="Times New Roman" w:eastAsia="Times New Roman" w:hAnsi="Times New Roman" w:cs="Times New Roman"/>
          <w:sz w:val="20"/>
          <w:szCs w:val="20"/>
        </w:rPr>
        <w:t>São Paulo: Editora</w:t>
      </w:r>
    </w:p>
    <w:p w14:paraId="21219BE2" w14:textId="77777777" w:rsidR="0051465F" w:rsidRPr="007925E5" w:rsidRDefault="0051465F" w:rsidP="00244AE1">
      <w:pPr>
        <w:pStyle w:val="Normal1"/>
        <w:spacing w:after="0" w:line="240" w:lineRule="auto"/>
        <w:rPr>
          <w:rFonts w:ascii="Times New Roman" w:hAnsi="Times New Roman" w:cs="Times New Roman"/>
        </w:rPr>
      </w:pPr>
      <w:r w:rsidRPr="007925E5">
        <w:rPr>
          <w:rFonts w:ascii="Times New Roman" w:eastAsia="Times New Roman" w:hAnsi="Times New Roman" w:cs="Times New Roman"/>
          <w:sz w:val="20"/>
          <w:szCs w:val="20"/>
        </w:rPr>
        <w:t>Typ. do Diario Official, 1901, p. 8.</w:t>
      </w:r>
    </w:p>
  </w:footnote>
  <w:footnote w:id="128">
    <w:p w14:paraId="2165FE7A"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70.</w:t>
      </w:r>
    </w:p>
  </w:footnote>
  <w:footnote w:id="129">
    <w:p w14:paraId="60E04BD6" w14:textId="77777777" w:rsidR="0051465F" w:rsidRPr="007925E5" w:rsidRDefault="0051465F" w:rsidP="00244AE1">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72 e 73.</w:t>
      </w:r>
    </w:p>
  </w:footnote>
  <w:footnote w:id="130">
    <w:p w14:paraId="17CA2F74"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77 e 78.</w:t>
      </w:r>
    </w:p>
  </w:footnote>
  <w:footnote w:id="131">
    <w:p w14:paraId="428B3F65"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132">
    <w:p w14:paraId="730BDFC1"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133">
    <w:p w14:paraId="2993D5B1"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75 e 76.</w:t>
      </w:r>
    </w:p>
  </w:footnote>
  <w:footnote w:id="134">
    <w:p w14:paraId="2779B467"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apresentado ao Ministério da Fazenda pela Comissão de Inquérito Industrial. Rio de Janeiro, Tipografia Nacional, 1882, vol. 1, p. 10.</w:t>
      </w:r>
    </w:p>
  </w:footnote>
  <w:footnote w:id="135">
    <w:p w14:paraId="030AA9BD"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136">
    <w:p w14:paraId="4B1E74BA"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33.</w:t>
      </w:r>
    </w:p>
  </w:footnote>
  <w:footnote w:id="137">
    <w:p w14:paraId="6A70DED5"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36.</w:t>
      </w:r>
    </w:p>
  </w:footnote>
  <w:footnote w:id="138">
    <w:p w14:paraId="07218B5E"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de Inquérito Industrial, 1882, op. cit., p. 120.</w:t>
      </w:r>
    </w:p>
  </w:footnote>
  <w:footnote w:id="139">
    <w:p w14:paraId="2CEC3D89"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36.</w:t>
      </w:r>
    </w:p>
  </w:footnote>
  <w:footnote w:id="140">
    <w:p w14:paraId="7E0186EF"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141">
    <w:p w14:paraId="1BA27AAF"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w:t>
      </w:r>
      <w:r w:rsidRPr="007925E5">
        <w:rPr>
          <w:rFonts w:ascii="Times New Roman" w:eastAsia="Times New Roman" w:hAnsi="Times New Roman" w:cs="Times New Roman"/>
          <w:b/>
          <w:sz w:val="20"/>
          <w:szCs w:val="20"/>
        </w:rPr>
        <w:t xml:space="preserve"> História da indústria e do trabalho no Brasil</w:t>
      </w:r>
      <w:r w:rsidRPr="007925E5">
        <w:rPr>
          <w:rFonts w:ascii="Times New Roman" w:eastAsia="Times New Roman" w:hAnsi="Times New Roman" w:cs="Times New Roman"/>
          <w:sz w:val="20"/>
          <w:szCs w:val="20"/>
        </w:rPr>
        <w:t>. Rio de Janeiro: Ed. Ática, 1991, p. 94.</w:t>
      </w:r>
    </w:p>
  </w:footnote>
  <w:footnote w:id="142">
    <w:p w14:paraId="434948CA" w14:textId="77777777" w:rsidR="0051465F" w:rsidRPr="007925E5" w:rsidRDefault="0051465F" w:rsidP="00244AE1">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19.</w:t>
      </w:r>
    </w:p>
  </w:footnote>
  <w:footnote w:id="143">
    <w:p w14:paraId="6D7A5694" w14:textId="77777777" w:rsidR="0051465F" w:rsidRPr="007925E5" w:rsidRDefault="0051465F" w:rsidP="00244AE1">
      <w:pPr>
        <w:pStyle w:val="Normal1"/>
        <w:spacing w:before="240"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La Riveudicazione (18/03/1891). Apud. 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31.</w:t>
      </w:r>
    </w:p>
    <w:p w14:paraId="09586CDF" w14:textId="77777777" w:rsidR="0051465F" w:rsidRPr="007925E5" w:rsidRDefault="0051465F" w:rsidP="00244AE1">
      <w:pPr>
        <w:pStyle w:val="Normal1"/>
        <w:spacing w:after="0" w:line="240" w:lineRule="auto"/>
        <w:rPr>
          <w:rFonts w:ascii="Times New Roman" w:hAnsi="Times New Roman" w:cs="Times New Roman"/>
          <w:sz w:val="20"/>
          <w:szCs w:val="20"/>
        </w:rPr>
      </w:pPr>
    </w:p>
  </w:footnote>
  <w:footnote w:id="144">
    <w:p w14:paraId="2055594A" w14:textId="77777777" w:rsidR="0051465F" w:rsidRPr="007925E5" w:rsidRDefault="0051465F" w:rsidP="00244AE1">
      <w:pPr>
        <w:spacing w:line="360" w:lineRule="auto"/>
        <w:jc w:val="both"/>
        <w:rPr>
          <w:rFonts w:ascii="Times New Roman" w:hAnsi="Times New Roman" w:cs="Times New Roman"/>
          <w:sz w:val="20"/>
          <w:szCs w:val="20"/>
          <w:lang w:val="en-US"/>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SANTOS, Hamilton Moraes Theodoro dos. </w:t>
      </w:r>
      <w:r w:rsidRPr="007925E5">
        <w:rPr>
          <w:rFonts w:ascii="Times New Roman" w:hAnsi="Times New Roman" w:cs="Times New Roman"/>
          <w:b/>
          <w:sz w:val="20"/>
          <w:szCs w:val="20"/>
        </w:rPr>
        <w:t>Anarquismo e a formação do Partido Comunista do Brasil</w:t>
      </w:r>
      <w:r w:rsidRPr="007925E5">
        <w:rPr>
          <w:rFonts w:ascii="Times New Roman" w:hAnsi="Times New Roman" w:cs="Times New Roman"/>
          <w:sz w:val="20"/>
          <w:szCs w:val="20"/>
        </w:rPr>
        <w:t xml:space="preserve">. </w:t>
      </w:r>
      <w:r w:rsidRPr="007925E5">
        <w:rPr>
          <w:rFonts w:ascii="Times New Roman" w:hAnsi="Times New Roman" w:cs="Times New Roman"/>
          <w:sz w:val="20"/>
          <w:szCs w:val="20"/>
          <w:lang w:val="en-US"/>
        </w:rPr>
        <w:t>Rio de Janeiro: Rizoma Editorial, 2017, p. 46.</w:t>
      </w:r>
    </w:p>
    <w:p w14:paraId="054F4128" w14:textId="77777777" w:rsidR="0051465F" w:rsidRPr="007925E5" w:rsidRDefault="0051465F" w:rsidP="00244AE1">
      <w:pPr>
        <w:pStyle w:val="Textodenotaderodap"/>
      </w:pPr>
    </w:p>
  </w:footnote>
  <w:footnote w:id="145">
    <w:p w14:paraId="4C8343C4" w14:textId="77777777" w:rsidR="0051465F" w:rsidRPr="007925E5" w:rsidRDefault="0051465F" w:rsidP="00244AE1">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FERREIRA, Maria Nazareth. </w:t>
      </w:r>
      <w:r w:rsidRPr="007925E5">
        <w:rPr>
          <w:rFonts w:ascii="Times New Roman" w:eastAsia="Times New Roman" w:hAnsi="Times New Roman" w:cs="Times New Roman"/>
          <w:b/>
          <w:sz w:val="20"/>
          <w:szCs w:val="20"/>
        </w:rPr>
        <w:t xml:space="preserve">A imprensa operária no Brasil, 1880-1920. </w:t>
      </w:r>
      <w:r w:rsidRPr="007925E5">
        <w:rPr>
          <w:rFonts w:ascii="Times New Roman" w:eastAsia="Times New Roman" w:hAnsi="Times New Roman" w:cs="Times New Roman"/>
          <w:sz w:val="20"/>
          <w:szCs w:val="20"/>
        </w:rPr>
        <w:t xml:space="preserve">: Editora Vozes, 1978, </w:t>
      </w:r>
      <w:r w:rsidRPr="007925E5">
        <w:rPr>
          <w:rFonts w:ascii="Times New Roman" w:hAnsi="Times New Roman" w:cs="Times New Roman"/>
          <w:sz w:val="20"/>
          <w:szCs w:val="20"/>
        </w:rPr>
        <w:t>p. 90-96.</w:t>
      </w:r>
    </w:p>
  </w:footnote>
  <w:footnote w:id="146">
    <w:p w14:paraId="62CBA4CC" w14:textId="77777777" w:rsidR="0051465F" w:rsidRPr="007925E5" w:rsidRDefault="0051465F" w:rsidP="00244AE1">
      <w:pPr>
        <w:pStyle w:val="Textodenotaderodap"/>
        <w:rPr>
          <w:rFonts w:eastAsia="Calibri"/>
          <w:i/>
        </w:rPr>
      </w:pPr>
      <w:r w:rsidRPr="007925E5">
        <w:rPr>
          <w:rStyle w:val="Refdenotaderodap"/>
        </w:rPr>
        <w:footnoteRef/>
      </w:r>
      <w:r w:rsidRPr="007925E5">
        <w:t xml:space="preserve"> Edgard Leuenroth publicou os jornais </w:t>
      </w:r>
      <w:r w:rsidRPr="007925E5">
        <w:rPr>
          <w:i/>
        </w:rPr>
        <w:t>Folha do Brás</w:t>
      </w:r>
      <w:r w:rsidRPr="007925E5">
        <w:t xml:space="preserve">, </w:t>
      </w:r>
      <w:r w:rsidRPr="007925E5">
        <w:rPr>
          <w:i/>
        </w:rPr>
        <w:t xml:space="preserve">A Lanterna, Terra Livre, Folha do Povo, A Vanguarda, A Plebe e A Patuleia. </w:t>
      </w:r>
    </w:p>
  </w:footnote>
  <w:footnote w:id="147">
    <w:p w14:paraId="397E03D8" w14:textId="77777777" w:rsidR="0051465F" w:rsidRPr="007925E5" w:rsidRDefault="0051465F" w:rsidP="00244AE1">
      <w:pPr>
        <w:pStyle w:val="Textodenotaderodap"/>
      </w:pPr>
      <w:r w:rsidRPr="007925E5">
        <w:rPr>
          <w:rStyle w:val="Refdenotaderodap"/>
        </w:rPr>
        <w:footnoteRef/>
      </w:r>
      <w:r w:rsidRPr="007925E5">
        <w:t xml:space="preserve"> Antonio Bernardo Canellas publicou os jornais </w:t>
      </w:r>
      <w:r w:rsidRPr="007925E5">
        <w:rPr>
          <w:i/>
        </w:rPr>
        <w:t xml:space="preserve">A Semana Social </w:t>
      </w:r>
      <w:r w:rsidRPr="007925E5">
        <w:t>(Maceió)</w:t>
      </w:r>
      <w:r w:rsidRPr="007925E5">
        <w:rPr>
          <w:i/>
        </w:rPr>
        <w:t>, A Patuleia</w:t>
      </w:r>
      <w:r w:rsidRPr="007925E5">
        <w:t xml:space="preserve"> (Porto Alegre), </w:t>
      </w:r>
      <w:r w:rsidRPr="007925E5">
        <w:rPr>
          <w:i/>
        </w:rPr>
        <w:t>Tribuna do Povo</w:t>
      </w:r>
      <w:r w:rsidRPr="007925E5">
        <w:t xml:space="preserve"> (Recife), </w:t>
      </w:r>
      <w:r w:rsidRPr="007925E5">
        <w:rPr>
          <w:i/>
        </w:rPr>
        <w:t>Tribuna do Povo</w:t>
      </w:r>
      <w:r w:rsidRPr="007925E5">
        <w:t xml:space="preserve"> (Viçosa), </w:t>
      </w:r>
      <w:r w:rsidRPr="007925E5">
        <w:rPr>
          <w:i/>
        </w:rPr>
        <w:t>Cinco de Julho</w:t>
      </w:r>
      <w:r w:rsidRPr="007925E5">
        <w:t xml:space="preserve"> (clandestino nos anos 20) e </w:t>
      </w:r>
      <w:r w:rsidRPr="007925E5">
        <w:rPr>
          <w:i/>
        </w:rPr>
        <w:t>Cinco de Julho</w:t>
      </w:r>
      <w:r w:rsidRPr="007925E5">
        <w:t xml:space="preserve"> (legal  nos anos 30).</w:t>
      </w:r>
    </w:p>
  </w:footnote>
  <w:footnote w:id="148">
    <w:p w14:paraId="3266583A" w14:textId="77777777" w:rsidR="0051465F" w:rsidRPr="007925E5" w:rsidRDefault="0051465F" w:rsidP="00244AE1">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36.</w:t>
      </w:r>
    </w:p>
    <w:p w14:paraId="1B536BFC" w14:textId="77777777" w:rsidR="0051465F" w:rsidRPr="007925E5" w:rsidRDefault="0051465F" w:rsidP="00244AE1">
      <w:pPr>
        <w:pStyle w:val="Textodenotaderodap"/>
        <w:rPr>
          <w:rFonts w:eastAsia="Calibri"/>
        </w:rPr>
      </w:pPr>
    </w:p>
  </w:footnote>
  <w:footnote w:id="149">
    <w:p w14:paraId="6A625DE3" w14:textId="77777777" w:rsidR="0051465F" w:rsidRPr="007925E5" w:rsidRDefault="0051465F" w:rsidP="00244AE1">
      <w:pPr>
        <w:pStyle w:val="Normal1"/>
        <w:spacing w:after="0" w:line="360" w:lineRule="auto"/>
        <w:jc w:val="both"/>
        <w:rPr>
          <w:rFonts w:ascii="Times New Roman" w:eastAsia="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KROPOTKIN, Piotr Alexeyevich. </w:t>
      </w:r>
      <w:r w:rsidRPr="007925E5">
        <w:rPr>
          <w:rFonts w:ascii="Times New Roman" w:eastAsia="Times New Roman" w:hAnsi="Times New Roman" w:cs="Times New Roman"/>
          <w:b/>
          <w:sz w:val="20"/>
          <w:szCs w:val="20"/>
        </w:rPr>
        <w:t>A conquista do pão.</w:t>
      </w:r>
      <w:r w:rsidRPr="007925E5">
        <w:rPr>
          <w:rFonts w:ascii="Times New Roman" w:eastAsia="Times New Roman" w:hAnsi="Times New Roman" w:cs="Times New Roman"/>
          <w:sz w:val="20"/>
          <w:szCs w:val="20"/>
        </w:rPr>
        <w:t xml:space="preserve"> Rio de Janeiro: Ed. Achiamé, 2011.</w:t>
      </w:r>
    </w:p>
    <w:p w14:paraId="5AB8C845" w14:textId="77777777" w:rsidR="0051465F" w:rsidRDefault="0051465F" w:rsidP="00244AE1">
      <w:pPr>
        <w:pStyle w:val="Textodenotaderodap"/>
        <w:rPr>
          <w:rFonts w:ascii="Calibri" w:eastAsia="Calibri" w:hAnsi="Calibri" w:cs="Calibri"/>
        </w:rPr>
      </w:pPr>
    </w:p>
  </w:footnote>
  <w:footnote w:id="150">
    <w:p w14:paraId="7DE7F41A" w14:textId="77777777" w:rsidR="0051465F" w:rsidRPr="00494C20" w:rsidRDefault="0051465F" w:rsidP="00E32DCE">
      <w:pPr>
        <w:pStyle w:val="Textodenotaderodap"/>
        <w:jc w:val="both"/>
      </w:pPr>
      <w:r>
        <w:rPr>
          <w:rStyle w:val="Refdenotaderodap"/>
        </w:rPr>
        <w:footnoteRef/>
      </w:r>
      <w:r>
        <w:t xml:space="preserve"> </w:t>
      </w:r>
      <w:r w:rsidRPr="00494C20">
        <w:t>O Acordo Sykes-Picot permitiu com que os franceses e os ingleses, após a Primeira Guerra Mundial, repartissem entre si as zonas que possuíam interesses no Oriente Médio, impondo suas influências políticas, econômicas e sociais na região. Em relação a essa divisão feita no território, que correspondia até então ao denominado Levante, estipulou-se que a região Norte pertenceria à França, a qual dividiu o seu território em Síria e Líbano, e o Sul à Grã-Bretanha, que dividiu a sua parte territorial em Palestina e Transjordânia</w:t>
      </w:r>
      <w:r>
        <w:t>.</w:t>
      </w:r>
    </w:p>
  </w:footnote>
  <w:footnote w:id="151">
    <w:p w14:paraId="468C7F02" w14:textId="77777777" w:rsidR="0051465F" w:rsidRPr="00AD29E3" w:rsidRDefault="0051465F" w:rsidP="00E32DCE">
      <w:pPr>
        <w:spacing w:line="240" w:lineRule="auto"/>
        <w:rPr>
          <w:rFonts w:ascii="Times New Roman" w:hAnsi="Times New Roman" w:cs="Times New Roman"/>
          <w:sz w:val="20"/>
          <w:szCs w:val="20"/>
          <w:shd w:val="clear" w:color="auto" w:fill="FFFFFF"/>
        </w:rPr>
      </w:pPr>
      <w:r w:rsidRPr="00AD29E3">
        <w:rPr>
          <w:rStyle w:val="Refdenotaderodap"/>
          <w:rFonts w:ascii="Times New Roman" w:hAnsi="Times New Roman" w:cs="Times New Roman"/>
          <w:sz w:val="20"/>
          <w:szCs w:val="20"/>
        </w:rPr>
        <w:footnoteRef/>
      </w:r>
      <w:r w:rsidRPr="00AD29E3">
        <w:rPr>
          <w:rFonts w:ascii="Times New Roman" w:hAnsi="Times New Roman" w:cs="Times New Roman"/>
          <w:sz w:val="20"/>
          <w:szCs w:val="20"/>
        </w:rPr>
        <w:t xml:space="preserve"> </w:t>
      </w:r>
      <w:r>
        <w:rPr>
          <w:rFonts w:ascii="Times New Roman" w:hAnsi="Times New Roman" w:cs="Times New Roman"/>
          <w:sz w:val="20"/>
          <w:szCs w:val="20"/>
        </w:rPr>
        <w:t>I</w:t>
      </w:r>
      <w:r w:rsidRPr="00AD29E3">
        <w:rPr>
          <w:rFonts w:ascii="Times New Roman" w:hAnsi="Times New Roman" w:cs="Times New Roman"/>
          <w:sz w:val="20"/>
          <w:szCs w:val="20"/>
        </w:rPr>
        <w:t xml:space="preserve">ndivíduos que pertencem a Igreja Maronita, de origem oriental, a qual compõe uma das vertentes do Cristianismo. A Igreja Maronita </w:t>
      </w:r>
      <w:r w:rsidRPr="00AD29E3">
        <w:rPr>
          <w:rFonts w:ascii="Times New Roman" w:hAnsi="Times New Roman" w:cs="Times New Roman"/>
          <w:sz w:val="20"/>
          <w:szCs w:val="20"/>
          <w:shd w:val="clear" w:color="auto" w:fill="FFFFFF"/>
        </w:rPr>
        <w:t>reconhece a autoridade do Papa como líder da Igreja Católica Apostólica Romana e é mais tradicional no Líbano. Os maronitas possuem um ritual próprio, no qual a missa é propagada em aramaico, diferente do rito latino adotado pelos católicos ocidentais.</w:t>
      </w:r>
    </w:p>
    <w:p w14:paraId="16F1496B" w14:textId="77777777" w:rsidR="0051465F" w:rsidRDefault="0051465F" w:rsidP="00E32DCE">
      <w:pPr>
        <w:pStyle w:val="Textodenotaderodap"/>
      </w:pPr>
    </w:p>
  </w:footnote>
  <w:footnote w:id="152">
    <w:p w14:paraId="419A519B" w14:textId="77777777" w:rsidR="0051465F" w:rsidRPr="00AE0C14" w:rsidRDefault="0051465F" w:rsidP="00E32DCE">
      <w:pPr>
        <w:pStyle w:val="Textodenotaderodap"/>
        <w:jc w:val="both"/>
      </w:pPr>
      <w:r w:rsidRPr="00AE0C14">
        <w:rPr>
          <w:rStyle w:val="Refdenotaderodap"/>
        </w:rPr>
        <w:footnoteRef/>
      </w:r>
      <w:r w:rsidRPr="00AE0C14">
        <w:t xml:space="preserve"> A esquerda libanesa era composta, em sua maioria, pelas comunidades muçulmanas, as quais representavam a oposição ao governo maronita e realizavam críticas ao Pacto Nacional Libanês e ao Confessionalismo como sistema político, que privilegiava os cristãos e negligenciava os muçulmanos.</w:t>
      </w:r>
    </w:p>
  </w:footnote>
  <w:footnote w:id="153">
    <w:p w14:paraId="583988F0" w14:textId="77777777" w:rsidR="0051465F" w:rsidRPr="00AD0362" w:rsidRDefault="0051465F" w:rsidP="00E32DCE">
      <w:pPr>
        <w:pStyle w:val="Textodenotaderodap"/>
      </w:pPr>
      <w:r w:rsidRPr="00AD0362">
        <w:rPr>
          <w:rStyle w:val="Refdenotaderodap"/>
        </w:rPr>
        <w:footnoteRef/>
      </w:r>
      <w:r w:rsidRPr="00AD0362">
        <w:t xml:space="preserve"> A Resistência Palestina, segundo Pino (1989), era composta pelos cinco líderes dos movimentos palestinos: Georges Habache (Frente Popular), Nayef Hawatmeh (Frente Democrática), Salah Khalaf (Al Fatah), Zuheir Mohsen (Al Saika) e Chefic el Hut (Diretor da OLP).</w:t>
      </w:r>
    </w:p>
  </w:footnote>
  <w:footnote w:id="154">
    <w:p w14:paraId="32475307" w14:textId="77777777" w:rsidR="0051465F" w:rsidRPr="00AD0362" w:rsidRDefault="0051465F" w:rsidP="00E32DCE">
      <w:pPr>
        <w:pStyle w:val="Textodenotaderodap"/>
        <w:jc w:val="both"/>
      </w:pPr>
      <w:r w:rsidRPr="00AD0362">
        <w:rPr>
          <w:rStyle w:val="Refdenotaderodap"/>
        </w:rPr>
        <w:footnoteRef/>
      </w:r>
      <w:r w:rsidRPr="00AD0362">
        <w:t xml:space="preserve"> Adeptos do Partido Falangista Libanês, cri</w:t>
      </w:r>
      <w:r>
        <w:t>ado em 1936 por Bashir Gemayel,</w:t>
      </w:r>
      <w:r w:rsidRPr="00AD0362">
        <w:rPr>
          <w:rFonts w:eastAsia="Calibri"/>
        </w:rPr>
        <w:t xml:space="preserve"> de</w:t>
      </w:r>
      <w:r>
        <w:rPr>
          <w:rFonts w:eastAsia="Calibri"/>
        </w:rPr>
        <w:t xml:space="preserve"> extrema-</w:t>
      </w:r>
      <w:r w:rsidRPr="00AD0362">
        <w:rPr>
          <w:rFonts w:eastAsia="Calibri"/>
        </w:rPr>
        <w:t xml:space="preserve">direita, </w:t>
      </w:r>
      <w:r>
        <w:rPr>
          <w:rFonts w:eastAsia="Calibri"/>
        </w:rPr>
        <w:t xml:space="preserve">que teve </w:t>
      </w:r>
      <w:r w:rsidRPr="00AD0362">
        <w:rPr>
          <w:rFonts w:eastAsia="Calibri"/>
        </w:rPr>
        <w:t>inspiração no nazismo e nos falangistas espanhóis que apoiavam a ditadura de Francisco Franco</w:t>
      </w:r>
      <w:r>
        <w:rPr>
          <w:rFonts w:eastAsia="Calibri"/>
        </w:rPr>
        <w:t>.</w:t>
      </w:r>
    </w:p>
  </w:footnote>
  <w:footnote w:id="155">
    <w:p w14:paraId="75490656" w14:textId="77777777" w:rsidR="0051465F" w:rsidRPr="00E1027A" w:rsidRDefault="0051465F" w:rsidP="00E32DCE">
      <w:pPr>
        <w:pStyle w:val="Textodenotaderodap"/>
        <w:jc w:val="both"/>
      </w:pPr>
      <w:r w:rsidRPr="00E1027A">
        <w:rPr>
          <w:rStyle w:val="Refdenotaderodap"/>
        </w:rPr>
        <w:footnoteRef/>
      </w:r>
      <w:r w:rsidRPr="00E1027A">
        <w:t xml:space="preserve"> O Pan-arabismo foi um movimento iniciado e liderado por Gamal Abdel Nasser, no Egito, que tinha como objetivo a unificação de todos os países árabes-muçulmanos, visando fortalecer a cultura e a causa islâmica e se opor a presença dos países imperialistas ocidentais nos países árabes.</w:t>
      </w:r>
    </w:p>
  </w:footnote>
  <w:footnote w:id="156">
    <w:p w14:paraId="0D85066F" w14:textId="77777777" w:rsidR="0051465F" w:rsidRPr="00F9147A" w:rsidRDefault="0051465F" w:rsidP="00E32DCE">
      <w:pPr>
        <w:pStyle w:val="Textodenotaderodap"/>
        <w:jc w:val="both"/>
      </w:pPr>
      <w:r w:rsidRPr="00F9147A">
        <w:rPr>
          <w:rStyle w:val="Refdenotaderodap"/>
        </w:rPr>
        <w:footnoteRef/>
      </w:r>
      <w:r w:rsidRPr="00F9147A">
        <w:t xml:space="preserve"> Órgão oficial de comunicação da Falange.</w:t>
      </w:r>
    </w:p>
  </w:footnote>
  <w:footnote w:id="157">
    <w:p w14:paraId="43548719" w14:textId="77777777" w:rsidR="0051465F" w:rsidRPr="00F9147A" w:rsidRDefault="0051465F" w:rsidP="00E32DCE">
      <w:pPr>
        <w:pStyle w:val="Textodenotaderodap"/>
        <w:jc w:val="both"/>
      </w:pPr>
      <w:r w:rsidRPr="00F9147A">
        <w:rPr>
          <w:rStyle w:val="Refdenotaderodap"/>
        </w:rPr>
        <w:footnoteRef/>
      </w:r>
      <w:r w:rsidRPr="00F9147A">
        <w:t xml:space="preserve"> Organização política e militar fundada em 1959 por Yasser Arafat, que se caracteriza por ser o maior grupo de guerrilha que compõe a OLP.  </w:t>
      </w:r>
    </w:p>
  </w:footnote>
  <w:footnote w:id="158">
    <w:p w14:paraId="1CCF9B75" w14:textId="77777777" w:rsidR="0051465F" w:rsidRDefault="0051465F" w:rsidP="00E32DCE">
      <w:pPr>
        <w:pStyle w:val="Textodenotaderodap"/>
        <w:jc w:val="both"/>
      </w:pPr>
      <w:r w:rsidRPr="00F9147A">
        <w:rPr>
          <w:rStyle w:val="Refdenotaderodap"/>
        </w:rPr>
        <w:footnoteRef/>
      </w:r>
      <w:r w:rsidRPr="00F9147A">
        <w:t xml:space="preserve"> Denomina-se jihadistas aqueles indivíduos que são adeptos da ideologia do jihadismo, que consiste em um movimento sunita que defende o uso da violência para difusão do islã e para garantia da “moral e da fé”. Essa ideologia está vinculada às ações de grupos islâmicos extremistas, sendo importante ressaltar que a maioria dos muçulmanos não compartilha desses ideais de defesa da violência e se posiciona contrária à mesma. </w:t>
      </w:r>
    </w:p>
  </w:footnote>
  <w:footnote w:id="159">
    <w:p w14:paraId="638B9505" w14:textId="77777777" w:rsidR="0051465F" w:rsidRDefault="0051465F" w:rsidP="00E32DCE">
      <w:pPr>
        <w:pStyle w:val="Textodenotaderodap"/>
        <w:jc w:val="both"/>
      </w:pPr>
      <w:r>
        <w:rPr>
          <w:rStyle w:val="Refdenotaderodap"/>
        </w:rPr>
        <w:footnoteRef/>
      </w:r>
      <w:r>
        <w:t xml:space="preserve"> </w:t>
      </w:r>
      <w:r w:rsidRPr="00F9147A">
        <w:t xml:space="preserve">O Hamas, grupo palestino de ideologia sunita, surgiu em 1987 a partir da Primeira Intifada, que consistiu na manifestação dos palestinos contra a ocupação de suas terras por Israel. É considerado hoje como um dos principais grupos islâmicos que lutam pela defesa da Palestina. </w:t>
      </w:r>
    </w:p>
  </w:footnote>
  <w:footnote w:id="160">
    <w:p w14:paraId="7CE0BF86" w14:textId="77777777" w:rsidR="0051465F" w:rsidRPr="00F9147A" w:rsidRDefault="0051465F" w:rsidP="00E32DCE">
      <w:pPr>
        <w:pStyle w:val="Textodenotaderodap"/>
        <w:jc w:val="both"/>
      </w:pPr>
      <w:r w:rsidRPr="00F9147A">
        <w:rPr>
          <w:rStyle w:val="Refdenotaderodap"/>
        </w:rPr>
        <w:footnoteRef/>
      </w:r>
      <w:r w:rsidRPr="00F9147A">
        <w:t xml:space="preserve"> O Fatah surgiu em 1959 com o objetivo de resistir à ocupação israelense e defender os interesses dos palestinos. O grupo ficou conhecido devido a sua intensa atuação pela causa palestina e devido à figura de Yasser Arafat, líder político que simbolizou a luta pela libertação da Palestina no século XX.</w:t>
      </w:r>
    </w:p>
  </w:footnote>
  <w:footnote w:id="161">
    <w:p w14:paraId="5520684C" w14:textId="77777777" w:rsidR="0051465F" w:rsidRPr="00447EBC" w:rsidRDefault="0051465F" w:rsidP="00447EBC">
      <w:pPr>
        <w:jc w:val="both"/>
        <w:rPr>
          <w:rFonts w:ascii="Times New Roman" w:hAnsi="Times New Roman" w:cs="Times New Roman"/>
          <w:bCs/>
          <w:iCs/>
          <w:sz w:val="20"/>
          <w:szCs w:val="20"/>
          <w:bdr w:val="none" w:sz="0" w:space="0" w:color="auto" w:frame="1"/>
          <w:shd w:val="clear" w:color="auto" w:fill="FFFFFF"/>
          <w:lang w:val="es-AR"/>
        </w:rPr>
      </w:pPr>
      <w:r w:rsidRPr="00447EBC">
        <w:rPr>
          <w:rStyle w:val="Refdenotaderodap"/>
          <w:rFonts w:ascii="Times New Roman" w:hAnsi="Times New Roman" w:cs="Times New Roman"/>
        </w:rPr>
        <w:footnoteRef/>
      </w:r>
      <w:r w:rsidRPr="00447EBC">
        <w:rPr>
          <w:rFonts w:ascii="Times New Roman" w:hAnsi="Times New Roman" w:cs="Times New Roman"/>
        </w:rPr>
        <w:t xml:space="preserve"> </w:t>
      </w:r>
      <w:r w:rsidRPr="00447EBC">
        <w:rPr>
          <w:rFonts w:ascii="Times New Roman" w:hAnsi="Times New Roman" w:cs="Times New Roman"/>
          <w:bCs/>
          <w:iCs/>
          <w:sz w:val="20"/>
          <w:szCs w:val="20"/>
          <w:bdr w:val="none" w:sz="0" w:space="0" w:color="auto" w:frame="1"/>
          <w:shd w:val="clear" w:color="auto" w:fill="FFFFFF"/>
          <w:lang w:val="es-AR"/>
        </w:rPr>
        <w:t>Artículo producido para el I Congreso de Investigadorxs sobre Anarquismo (Buenos Aires, 26, 27 y 28 de octubre de 2016). Agradezco a Jesús Jiménez por la revisión del castellano, en cuyo idioma el artículo fue originalmente escrito.</w:t>
      </w:r>
    </w:p>
    <w:p w14:paraId="574E05BF" w14:textId="77777777" w:rsidR="0051465F" w:rsidRPr="00447EBC" w:rsidRDefault="0051465F" w:rsidP="00447EBC">
      <w:pPr>
        <w:pStyle w:val="Textodenotaderodap"/>
        <w:rPr>
          <w:lang w:val="es-AR"/>
        </w:rPr>
      </w:pPr>
    </w:p>
  </w:footnote>
  <w:footnote w:id="162">
    <w:p w14:paraId="673F5DEE" w14:textId="77777777" w:rsidR="0051465F" w:rsidRPr="007C1171" w:rsidRDefault="0051465F" w:rsidP="00447EBC">
      <w:pPr>
        <w:pStyle w:val="Textodenotaderodap"/>
        <w:jc w:val="both"/>
        <w:rPr>
          <w:lang w:val="es-AR"/>
        </w:rPr>
      </w:pPr>
      <w:r w:rsidRPr="007C1171">
        <w:rPr>
          <w:rStyle w:val="Refdenotaderodap"/>
          <w:lang w:val="es-AR"/>
        </w:rPr>
        <w:footnoteRef/>
      </w:r>
      <w:r w:rsidRPr="007C1171">
        <w:rPr>
          <w:lang w:val="es-AR"/>
        </w:rPr>
        <w:t xml:space="preserve"> Para la referencia bibliográfica completa de las ediciones de estos estudios que fueron utilizadas en </w:t>
      </w:r>
      <w:r w:rsidRPr="007C1171">
        <w:rPr>
          <w:i/>
          <w:lang w:val="es-AR"/>
        </w:rPr>
        <w:t>Bandera Negra</w:t>
      </w:r>
      <w:r w:rsidRPr="007C1171">
        <w:rPr>
          <w:lang w:val="es-AR"/>
        </w:rPr>
        <w:t>, ver la bibliografía al final de este artículo.</w:t>
      </w:r>
    </w:p>
  </w:footnote>
  <w:footnote w:id="163">
    <w:p w14:paraId="050362BC" w14:textId="77777777" w:rsidR="0051465F" w:rsidRPr="007C1171" w:rsidRDefault="0051465F" w:rsidP="00447EBC">
      <w:pPr>
        <w:pStyle w:val="Textodenotaderodap"/>
        <w:jc w:val="both"/>
        <w:rPr>
          <w:lang w:val="es-AR"/>
        </w:rPr>
      </w:pPr>
      <w:r w:rsidRPr="007C1171">
        <w:rPr>
          <w:rStyle w:val="Refdenotaderodap"/>
          <w:lang w:val="es-AR"/>
        </w:rPr>
        <w:footnoteRef/>
      </w:r>
      <w:r w:rsidRPr="007C1171">
        <w:rPr>
          <w:lang w:val="es-AR"/>
        </w:rPr>
        <w:t xml:space="preserve"> Término este que es, claramente, una inversión de la “Historia Desde Abajo”, promovida por E. P. Thompson y otros historiadores. Para saber más sobre esta corriente historiográfica, ver: Thompson, 2002.</w:t>
      </w:r>
    </w:p>
  </w:footnote>
  <w:footnote w:id="164">
    <w:p w14:paraId="6DEF6FA8" w14:textId="77777777" w:rsidR="0051465F" w:rsidRPr="007C1171" w:rsidRDefault="0051465F" w:rsidP="00447EBC">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Este distanciamiento o mismo la cisión entre historia y teoría viene presentando, en los estudios del anarquismo, un doble resultado: de un lado, abordajes teóricos sin fundamentos históricos – en los cuales llaman atención las reflexiones que establecen similitudes teóricas y lógicas por medio de ideas puras y, con esto, una supuesta trayectoria del anarquismo; de otro lado, abordajes históricos sin referenciales teóricos – cuando parten para la investigación de la historia del anarquismo sin saber exactamente que es el anarquismo y, con esto, que debe o no ser abarcado en la investigación.</w:t>
      </w:r>
    </w:p>
  </w:footnote>
  <w:footnote w:id="165">
    <w:p w14:paraId="159B6410" w14:textId="77777777" w:rsidR="0051465F" w:rsidRPr="007C1171" w:rsidRDefault="0051465F" w:rsidP="00447EBC">
      <w:pPr>
        <w:pStyle w:val="Textodenotaderodap"/>
        <w:jc w:val="both"/>
        <w:rPr>
          <w:lang w:val="es-AR"/>
        </w:rPr>
      </w:pPr>
      <w:r w:rsidRPr="007C1171">
        <w:rPr>
          <w:rStyle w:val="Refdenotaderodap"/>
          <w:lang w:val="es-AR"/>
        </w:rPr>
        <w:footnoteRef/>
      </w:r>
      <w:r w:rsidRPr="007C1171">
        <w:rPr>
          <w:lang w:val="es-AR"/>
        </w:rPr>
        <w:t xml:space="preserve"> En este sentido, no sería pertinente decir, como David Graeber (2002), que los zapatistas son “nuevos anarquistas”. Es cierto que son libertarios (en este sentido amplio y ahistórico), pero incluirlos en el rol del anarquismo implica explicar, históricamente, como se relacionaron con esta tradición y incorporaron, al menos considerablemente, sus posiciones. Lo que hace Graeber es identificar similitudes entre pensamientos y prácticas de los zapatistas, definitivamente libertarios, con el anarquismo, por medio de un abordaje teórico-lógico, no histórico. Esto es el mismo procedimiento criticado en </w:t>
      </w:r>
      <w:r w:rsidRPr="007C1171">
        <w:rPr>
          <w:i/>
          <w:lang w:val="es-AR"/>
        </w:rPr>
        <w:t>Bandera Negra</w:t>
      </w:r>
      <w:r w:rsidRPr="007C1171">
        <w:rPr>
          <w:lang w:val="es-AR"/>
        </w:rPr>
        <w:t xml:space="preserve"> realizado por autores que incluyeron a W. Godwin y a M. Stirner en el canon anarquista.</w:t>
      </w:r>
    </w:p>
  </w:footnote>
  <w:footnote w:id="166">
    <w:p w14:paraId="055A802D" w14:textId="77777777" w:rsidR="0051465F" w:rsidRPr="007C1171" w:rsidRDefault="0051465F" w:rsidP="00447EBC">
      <w:pPr>
        <w:pStyle w:val="Textodenotaderodap"/>
        <w:jc w:val="both"/>
        <w:rPr>
          <w:lang w:val="es-AR"/>
        </w:rPr>
      </w:pPr>
      <w:r w:rsidRPr="007C1171">
        <w:rPr>
          <w:rStyle w:val="Refdenotaderodap"/>
          <w:lang w:val="es-AR"/>
        </w:rPr>
        <w:footnoteRef/>
      </w:r>
      <w:r w:rsidRPr="007C1171">
        <w:rPr>
          <w:lang w:val="es-AR"/>
        </w:rPr>
        <w:t xml:space="preserve"> Entre estos aportes, cumple mencionar algunos. En términos de referencial historiográfico general, la producción de Marcel van der Linden (2009, 2013) se destaca; en términos de la aplicación de este referencial a los estudios del anarquismo, la producción de Lucien van der Walt (2009, 2010, 2015, 2016) se destaca; en términos teórico-metodológico la producción de anarquistas vinculados al especifismo sudamericano y sudafr</w:t>
      </w:r>
      <w:r>
        <w:rPr>
          <w:lang w:val="es-AR"/>
        </w:rPr>
        <w:t>icano y al Instituto de Teoría e</w:t>
      </w:r>
      <w:r w:rsidRPr="007C1171">
        <w:rPr>
          <w:lang w:val="es-AR"/>
        </w:rPr>
        <w:t xml:space="preserve"> Historia Anarquista se destacan.  </w:t>
      </w:r>
    </w:p>
  </w:footnote>
  <w:footnote w:id="167">
    <w:p w14:paraId="7BF3E0F6" w14:textId="77777777" w:rsidR="0051465F" w:rsidRPr="007C1171" w:rsidRDefault="0051465F" w:rsidP="00447EBC">
      <w:pPr>
        <w:pStyle w:val="Textodenotaderodap"/>
        <w:jc w:val="both"/>
        <w:rPr>
          <w:lang w:val="es-AR"/>
        </w:rPr>
      </w:pPr>
      <w:r w:rsidRPr="007C1171">
        <w:rPr>
          <w:rStyle w:val="Refdenotaderodap"/>
        </w:rPr>
        <w:footnoteRef/>
      </w:r>
      <w:r w:rsidRPr="007C1171">
        <w:rPr>
          <w:lang w:val="es-AR"/>
        </w:rPr>
        <w:t xml:space="preserve"> En acuerdo con la tradición thompsoniana anteriormente mencionada y que hoy involucra toda una generación de investigadores, de entre ellos, anarquistas, los cuales vienen complementando este referencial con otras producciones específicamente libertarias y anarquistas.</w:t>
      </w:r>
    </w:p>
  </w:footnote>
  <w:footnote w:id="168">
    <w:p w14:paraId="560A3A6C" w14:textId="77777777" w:rsidR="0051465F" w:rsidRPr="007C1171" w:rsidRDefault="0051465F" w:rsidP="00447EBC">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 xml:space="preserve">La conceptualización pormenorizada que se hace en </w:t>
      </w:r>
      <w:r w:rsidRPr="007C1171">
        <w:rPr>
          <w:bCs/>
          <w:i/>
          <w:iCs/>
          <w:lang w:val="es-AR"/>
        </w:rPr>
        <w:t>Bandera Negra</w:t>
      </w:r>
      <w:r w:rsidRPr="007C1171">
        <w:rPr>
          <w:bCs/>
          <w:iCs/>
          <w:lang w:val="es-AR"/>
        </w:rPr>
        <w:t xml:space="preserve"> de las llamadas “categorías centrales” (ideología, estrategia, fuerza social, poder, dominación y clases sociales) y de los conceptos accesorios a ellas relacionados, a pesar de no poder ser aquí reproducida, es muy importante para la comprensión de estos argumentos. (Cf. Corrêa, 2014a</w:t>
      </w:r>
      <w:r>
        <w:rPr>
          <w:bCs/>
          <w:iCs/>
          <w:lang w:val="es-AR"/>
        </w:rPr>
        <w:t>:</w:t>
      </w:r>
      <w:r w:rsidRPr="007C1171">
        <w:rPr>
          <w:bCs/>
          <w:iCs/>
          <w:lang w:val="es-AR"/>
        </w:rPr>
        <w:t xml:space="preserve"> 118-143)</w:t>
      </w:r>
    </w:p>
  </w:footnote>
  <w:footnote w:id="169">
    <w:p w14:paraId="61702137" w14:textId="77777777" w:rsidR="0051465F" w:rsidRPr="007C1171" w:rsidRDefault="0051465F" w:rsidP="00447EBC">
      <w:pPr>
        <w:pStyle w:val="Textodenotaderodap"/>
        <w:jc w:val="both"/>
        <w:rPr>
          <w:lang w:val="es-AR"/>
        </w:rPr>
      </w:pPr>
      <w:r w:rsidRPr="007C1171">
        <w:rPr>
          <w:rStyle w:val="Refdenotaderodap"/>
          <w:lang w:val="es-AR"/>
        </w:rPr>
        <w:footnoteRef/>
      </w:r>
      <w:r w:rsidRPr="007C1171">
        <w:rPr>
          <w:lang w:val="es-AR"/>
        </w:rPr>
        <w:t xml:space="preserve"> Recomiendo a los interesados dos artículos sobre la relación entre anarquismo y poder. “Anarquismo, Poder, Clase y Transformación Social” (Corrêa, 2014c) y “Poder y Anarquismo: aproximación o contradicción?”. (Corrêa, 2014d)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536"/>
      <w:gridCol w:w="1968"/>
    </w:tblGrid>
    <w:tr w:rsidR="00160979" w14:paraId="3AD4A3DC" w14:textId="77777777" w:rsidTr="00160979">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577CE5FB" w14:textId="53AB04A9" w:rsidR="00160979" w:rsidRDefault="00160979" w:rsidP="0016097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 xml:space="preserve">  </w:t>
          </w: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REV</w:t>
          </w:r>
          <w:r>
            <w:rPr>
              <w:rFonts w:ascii="Times New Roman" w:eastAsia="Times New Roman" w:hAnsi="Times New Roman" w:cs="Times New Roman"/>
              <w:b/>
              <w:bCs/>
              <w:smallCaps/>
              <w:color w:val="000000"/>
              <w:lang w:eastAsia="pt-BR"/>
            </w:rPr>
            <w:t xml:space="preserve"> </w:t>
          </w:r>
          <w:r>
            <w:rPr>
              <w:rFonts w:ascii="Times New Roman" w:eastAsia="Times New Roman" w:hAnsi="Times New Roman" w:cs="Times New Roman"/>
              <w:b/>
              <w:bCs/>
              <w:smallCaps/>
              <w:color w:val="000000"/>
              <w:lang w:eastAsia="pt-BR"/>
            </w:rPr>
            <w:t xml:space="preserve">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6D8FA5B3" w14:textId="77777777" w:rsidR="00160979" w:rsidRDefault="00160979" w:rsidP="00160979">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2C921D7A" w14:textId="77777777" w:rsidR="0051465F" w:rsidRDefault="00514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4416" w14:textId="77777777" w:rsidR="0051465F" w:rsidRPr="0065282E" w:rsidRDefault="0051465F" w:rsidP="0065282E">
    <w:pPr>
      <w:rPr>
        <w:rFonts w:ascii="Times New Roman" w:eastAsia="Times New Roman" w:hAnsi="Times New Roman" w:cs="Times New Roman"/>
        <w:sz w:val="24"/>
        <w:szCs w:val="24"/>
        <w:lang w:eastAsia="pt-BR"/>
      </w:rPr>
    </w:pP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51465F" w:rsidRPr="0065282E" w14:paraId="7E2B4AE2" w14:textId="77777777" w:rsidTr="0065282E">
      <w:tc>
        <w:tcPr>
          <w:tcW w:w="0" w:type="auto"/>
          <w:tcBorders>
            <w:bottom w:val="single" w:sz="4" w:space="0" w:color="000000"/>
          </w:tcBorders>
          <w:tcMar>
            <w:top w:w="72" w:type="dxa"/>
            <w:left w:w="115" w:type="dxa"/>
            <w:bottom w:w="72" w:type="dxa"/>
            <w:right w:w="115" w:type="dxa"/>
          </w:tcMar>
          <w:vAlign w:val="bottom"/>
          <w:hideMark/>
        </w:tcPr>
        <w:p w14:paraId="76A2FCE5" w14:textId="77777777" w:rsidR="0051465F" w:rsidRPr="0065282E" w:rsidRDefault="0051465F" w:rsidP="0065282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14:paraId="65CCD599" w14:textId="77777777" w:rsidR="0051465F" w:rsidRPr="0065282E" w:rsidRDefault="0051465F" w:rsidP="0065282E">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14:paraId="5DE4CD6A" w14:textId="77777777" w:rsidR="0051465F" w:rsidRPr="0071093D" w:rsidRDefault="0051465F">
    <w:pPr>
      <w:rPr>
        <w:rFonts w:ascii="Times New Roman" w:eastAsia="Times New Roman" w:hAnsi="Times New Roman" w:cs="Times New Roman"/>
        <w:sz w:val="24"/>
        <w:szCs w:val="24"/>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1109DB"/>
    <w:multiLevelType w:val="hybridMultilevel"/>
    <w:tmpl w:val="A266CDDC"/>
    <w:lvl w:ilvl="0" w:tplc="D7625198">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7B"/>
    <w:rsid w:val="00067B23"/>
    <w:rsid w:val="00074CBA"/>
    <w:rsid w:val="00077E44"/>
    <w:rsid w:val="000C06A0"/>
    <w:rsid w:val="000D3779"/>
    <w:rsid w:val="000F5570"/>
    <w:rsid w:val="00112161"/>
    <w:rsid w:val="0012288D"/>
    <w:rsid w:val="001245E5"/>
    <w:rsid w:val="00160979"/>
    <w:rsid w:val="001675AF"/>
    <w:rsid w:val="00192397"/>
    <w:rsid w:val="001B1533"/>
    <w:rsid w:val="001B294C"/>
    <w:rsid w:val="002150E8"/>
    <w:rsid w:val="002220E8"/>
    <w:rsid w:val="00226B83"/>
    <w:rsid w:val="00234FAD"/>
    <w:rsid w:val="00244AE1"/>
    <w:rsid w:val="002A3D41"/>
    <w:rsid w:val="003078C6"/>
    <w:rsid w:val="00325888"/>
    <w:rsid w:val="00345717"/>
    <w:rsid w:val="00346CDC"/>
    <w:rsid w:val="00354C9C"/>
    <w:rsid w:val="00447EBC"/>
    <w:rsid w:val="00456A9B"/>
    <w:rsid w:val="004C646B"/>
    <w:rsid w:val="004C69B7"/>
    <w:rsid w:val="0051465F"/>
    <w:rsid w:val="00541028"/>
    <w:rsid w:val="005479C4"/>
    <w:rsid w:val="005535E4"/>
    <w:rsid w:val="00570A7B"/>
    <w:rsid w:val="005931F0"/>
    <w:rsid w:val="005A146A"/>
    <w:rsid w:val="00616E95"/>
    <w:rsid w:val="006459A8"/>
    <w:rsid w:val="006506CA"/>
    <w:rsid w:val="0065282E"/>
    <w:rsid w:val="006710B4"/>
    <w:rsid w:val="0068384A"/>
    <w:rsid w:val="00684B68"/>
    <w:rsid w:val="00690B2B"/>
    <w:rsid w:val="006C3C78"/>
    <w:rsid w:val="0071093D"/>
    <w:rsid w:val="00721A9F"/>
    <w:rsid w:val="00730246"/>
    <w:rsid w:val="00776F16"/>
    <w:rsid w:val="007925E5"/>
    <w:rsid w:val="007B250F"/>
    <w:rsid w:val="007B7918"/>
    <w:rsid w:val="00803A2D"/>
    <w:rsid w:val="008253AC"/>
    <w:rsid w:val="00851312"/>
    <w:rsid w:val="008545B0"/>
    <w:rsid w:val="008B50BD"/>
    <w:rsid w:val="008C7806"/>
    <w:rsid w:val="009530FA"/>
    <w:rsid w:val="00A63689"/>
    <w:rsid w:val="00A93EBD"/>
    <w:rsid w:val="00AB016C"/>
    <w:rsid w:val="00AF4678"/>
    <w:rsid w:val="00AF4A62"/>
    <w:rsid w:val="00B22644"/>
    <w:rsid w:val="00B75425"/>
    <w:rsid w:val="00B7687F"/>
    <w:rsid w:val="00BB33F1"/>
    <w:rsid w:val="00BE56FE"/>
    <w:rsid w:val="00C00B2F"/>
    <w:rsid w:val="00C137E4"/>
    <w:rsid w:val="00C15E0A"/>
    <w:rsid w:val="00C71A0A"/>
    <w:rsid w:val="00C71A0B"/>
    <w:rsid w:val="00CC2E48"/>
    <w:rsid w:val="00CF7D46"/>
    <w:rsid w:val="00D03C85"/>
    <w:rsid w:val="00D27835"/>
    <w:rsid w:val="00D553D2"/>
    <w:rsid w:val="00E06658"/>
    <w:rsid w:val="00E2462F"/>
    <w:rsid w:val="00E32DCE"/>
    <w:rsid w:val="00E6630C"/>
    <w:rsid w:val="00E93DC1"/>
    <w:rsid w:val="00EC6E01"/>
    <w:rsid w:val="00EF3D18"/>
    <w:rsid w:val="00F1063A"/>
    <w:rsid w:val="00F31EA5"/>
    <w:rsid w:val="00F415D7"/>
    <w:rsid w:val="00F542B4"/>
    <w:rsid w:val="00F55284"/>
    <w:rsid w:val="00F947DA"/>
    <w:rsid w:val="00FC4195"/>
    <w:rsid w:val="00FE4D7F"/>
    <w:rsid w:val="00FF79A8"/>
    <w:rsid w:val="00FF7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F1CDD"/>
  <w15:chartTrackingRefBased/>
  <w15:docId w15:val="{F3D4A7C4-EDC4-40C6-88BA-771010C9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0A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0A7B"/>
  </w:style>
  <w:style w:type="paragraph" w:styleId="Rodap">
    <w:name w:val="footer"/>
    <w:basedOn w:val="Normal"/>
    <w:link w:val="RodapChar"/>
    <w:uiPriority w:val="99"/>
    <w:unhideWhenUsed/>
    <w:rsid w:val="00570A7B"/>
    <w:pPr>
      <w:tabs>
        <w:tab w:val="center" w:pos="4252"/>
        <w:tab w:val="right" w:pos="8504"/>
      </w:tabs>
      <w:spacing w:after="0" w:line="240" w:lineRule="auto"/>
    </w:pPr>
  </w:style>
  <w:style w:type="character" w:customStyle="1" w:styleId="RodapChar">
    <w:name w:val="Rodapé Char"/>
    <w:basedOn w:val="Fontepargpadro"/>
    <w:link w:val="Rodap"/>
    <w:uiPriority w:val="99"/>
    <w:rsid w:val="00570A7B"/>
  </w:style>
  <w:style w:type="paragraph" w:styleId="NormalWeb">
    <w:name w:val="Normal (Web)"/>
    <w:basedOn w:val="Normal"/>
    <w:uiPriority w:val="99"/>
    <w:semiHidden/>
    <w:unhideWhenUsed/>
    <w:rsid w:val="00D03C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E4D7F"/>
    <w:rPr>
      <w:color w:val="0563C1" w:themeColor="hyperlink"/>
      <w:u w:val="single"/>
    </w:rPr>
  </w:style>
  <w:style w:type="character" w:styleId="MenoPendente">
    <w:name w:val="Unresolved Mention"/>
    <w:basedOn w:val="Fontepargpadro"/>
    <w:uiPriority w:val="99"/>
    <w:semiHidden/>
    <w:unhideWhenUsed/>
    <w:rsid w:val="00FE4D7F"/>
    <w:rPr>
      <w:color w:val="605E5C"/>
      <w:shd w:val="clear" w:color="auto" w:fill="E1DFDD"/>
    </w:rPr>
  </w:style>
  <w:style w:type="paragraph" w:styleId="Textodenotaderodap">
    <w:name w:val="footnote text"/>
    <w:basedOn w:val="Normal"/>
    <w:link w:val="TextodenotaderodapChar"/>
    <w:unhideWhenUsed/>
    <w:rsid w:val="007B250F"/>
    <w:pPr>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7B250F"/>
    <w:rPr>
      <w:rFonts w:ascii="Times New Roman" w:eastAsia="Times New Roman" w:hAnsi="Times New Roman" w:cs="Times New Roman"/>
      <w:sz w:val="20"/>
      <w:szCs w:val="20"/>
      <w:lang w:eastAsia="ar-SA"/>
    </w:rPr>
  </w:style>
  <w:style w:type="character" w:styleId="Refdenotaderodap">
    <w:name w:val="footnote reference"/>
    <w:uiPriority w:val="99"/>
    <w:unhideWhenUsed/>
    <w:rsid w:val="007B250F"/>
    <w:rPr>
      <w:vertAlign w:val="superscript"/>
    </w:rPr>
  </w:style>
  <w:style w:type="character" w:customStyle="1" w:styleId="Caracteresdenotaderodap">
    <w:name w:val="Caracteres de nota de rodapé"/>
    <w:rsid w:val="007B250F"/>
    <w:rPr>
      <w:lang w:val="en-US"/>
    </w:rPr>
  </w:style>
  <w:style w:type="character" w:customStyle="1" w:styleId="Hyperlink0">
    <w:name w:val="Hyperlink.0"/>
    <w:rsid w:val="007B250F"/>
    <w:rPr>
      <w:lang w:val="en-US"/>
    </w:rPr>
  </w:style>
  <w:style w:type="character" w:customStyle="1" w:styleId="Hyperlink2">
    <w:name w:val="Hyperlink.2"/>
    <w:rsid w:val="007B250F"/>
    <w:rPr>
      <w:lang w:val="en-US"/>
    </w:rPr>
  </w:style>
  <w:style w:type="character" w:customStyle="1" w:styleId="Refdenotaderodap1">
    <w:name w:val="Ref. de nota de rodapé1"/>
    <w:rsid w:val="007B250F"/>
    <w:rPr>
      <w:vertAlign w:val="superscript"/>
      <w:lang w:val="en-US"/>
    </w:rPr>
  </w:style>
  <w:style w:type="paragraph" w:styleId="Textodenotadefim">
    <w:name w:val="endnote text"/>
    <w:basedOn w:val="Normal"/>
    <w:link w:val="TextodenotadefimChar"/>
    <w:uiPriority w:val="99"/>
    <w:semiHidden/>
    <w:unhideWhenUsed/>
    <w:rsid w:val="008253AC"/>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8253AC"/>
    <w:rPr>
      <w:rFonts w:ascii="Calibri" w:eastAsia="Calibri" w:hAnsi="Calibri" w:cs="Times New Roman"/>
      <w:sz w:val="20"/>
      <w:szCs w:val="20"/>
    </w:rPr>
  </w:style>
  <w:style w:type="paragraph" w:customStyle="1" w:styleId="Normal1">
    <w:name w:val="Normal1"/>
    <w:rsid w:val="00244AE1"/>
    <w:pPr>
      <w:spacing w:after="200" w:line="276" w:lineRule="auto"/>
    </w:pPr>
    <w:rPr>
      <w:rFonts w:ascii="Calibri" w:eastAsia="Calibri" w:hAnsi="Calibri" w:cs="Calibri"/>
      <w:color w:val="000000"/>
      <w:lang w:eastAsia="pt-BR"/>
    </w:rPr>
  </w:style>
  <w:style w:type="paragraph" w:styleId="Textodecomentrio">
    <w:name w:val="annotation text"/>
    <w:basedOn w:val="Normal"/>
    <w:link w:val="TextodecomentrioChar"/>
    <w:uiPriority w:val="99"/>
    <w:unhideWhenUsed/>
    <w:rsid w:val="004C646B"/>
    <w:pPr>
      <w:spacing w:after="0" w:line="240" w:lineRule="auto"/>
      <w:ind w:firstLine="709"/>
      <w:jc w:val="both"/>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4C646B"/>
    <w:rPr>
      <w:rFonts w:ascii="Calibri" w:eastAsia="Calibri" w:hAnsi="Calibri" w:cs="Times New Roman"/>
      <w:sz w:val="20"/>
      <w:szCs w:val="20"/>
    </w:rPr>
  </w:style>
  <w:style w:type="character" w:styleId="Refdecomentrio">
    <w:name w:val="annotation reference"/>
    <w:basedOn w:val="Fontepargpadro"/>
    <w:uiPriority w:val="99"/>
    <w:semiHidden/>
    <w:unhideWhenUsed/>
    <w:rsid w:val="004C646B"/>
    <w:rPr>
      <w:sz w:val="16"/>
      <w:szCs w:val="16"/>
    </w:rPr>
  </w:style>
  <w:style w:type="paragraph" w:styleId="Textodebalo">
    <w:name w:val="Balloon Text"/>
    <w:basedOn w:val="Normal"/>
    <w:link w:val="TextodebaloChar"/>
    <w:uiPriority w:val="99"/>
    <w:semiHidden/>
    <w:unhideWhenUsed/>
    <w:rsid w:val="004C64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46B"/>
    <w:rPr>
      <w:rFonts w:ascii="Segoe UI" w:hAnsi="Segoe UI" w:cs="Segoe UI"/>
      <w:sz w:val="18"/>
      <w:szCs w:val="18"/>
    </w:rPr>
  </w:style>
  <w:style w:type="paragraph" w:customStyle="1" w:styleId="Standard">
    <w:name w:val="Standard"/>
    <w:rsid w:val="00FF7D14"/>
    <w:pPr>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Footnote">
    <w:name w:val="Footnote"/>
    <w:basedOn w:val="Standard"/>
    <w:rsid w:val="00FF7D14"/>
  </w:style>
  <w:style w:type="paragraph" w:customStyle="1" w:styleId="abnt">
    <w:name w:val="abnt"/>
    <w:basedOn w:val="Normal"/>
    <w:rsid w:val="00FF7D14"/>
    <w:pPr>
      <w:suppressAutoHyphens/>
      <w:autoSpaceDN w:val="0"/>
      <w:spacing w:after="140" w:line="288" w:lineRule="auto"/>
      <w:textAlignment w:val="baseline"/>
    </w:pPr>
    <w:rPr>
      <w:rFonts w:ascii="Liberation Serif" w:eastAsia="SimSun" w:hAnsi="Liberation Serif" w:cs="Mangal"/>
      <w:color w:val="00000A"/>
      <w:sz w:val="24"/>
      <w:szCs w:val="24"/>
      <w:lang w:eastAsia="zh-CN" w:bidi="hi-IN"/>
    </w:rPr>
  </w:style>
  <w:style w:type="paragraph" w:customStyle="1" w:styleId="Bibliography1">
    <w:name w:val="Bibliography 1"/>
    <w:basedOn w:val="Normal"/>
    <w:rsid w:val="00FF7D14"/>
    <w:pPr>
      <w:suppressLineNumbers/>
      <w:suppressAutoHyphens/>
      <w:autoSpaceDN w:val="0"/>
      <w:spacing w:after="240" w:line="240" w:lineRule="atLeast"/>
      <w:textAlignment w:val="baseline"/>
    </w:pPr>
    <w:rPr>
      <w:rFonts w:ascii="Liberation Serif" w:eastAsia="SimSun" w:hAnsi="Liberation Serif" w:cs="Lohit Devanagari"/>
      <w:color w:val="00000A"/>
      <w:sz w:val="24"/>
      <w:szCs w:val="24"/>
      <w:lang w:eastAsia="zh-CN" w:bidi="hi-IN"/>
    </w:rPr>
  </w:style>
  <w:style w:type="character" w:customStyle="1" w:styleId="Footnoteanchor">
    <w:name w:val="Footnote anchor"/>
    <w:rsid w:val="00FF7D14"/>
    <w:rPr>
      <w:position w:val="0"/>
      <w:vertAlign w:val="superscript"/>
    </w:rPr>
  </w:style>
  <w:style w:type="paragraph" w:styleId="Assuntodocomentrio">
    <w:name w:val="annotation subject"/>
    <w:basedOn w:val="Textodecomentrio"/>
    <w:next w:val="Textodecomentrio"/>
    <w:link w:val="AssuntodocomentrioChar"/>
    <w:uiPriority w:val="99"/>
    <w:semiHidden/>
    <w:unhideWhenUsed/>
    <w:rsid w:val="005479C4"/>
    <w:pPr>
      <w:spacing w:after="160"/>
      <w:ind w:firstLine="0"/>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479C4"/>
    <w:rPr>
      <w:rFonts w:ascii="Calibri" w:eastAsia="Calibri" w:hAnsi="Calibri" w:cs="Times New Roman"/>
      <w:b/>
      <w:bCs/>
      <w:sz w:val="20"/>
      <w:szCs w:val="20"/>
    </w:rPr>
  </w:style>
  <w:style w:type="paragraph" w:styleId="Reviso">
    <w:name w:val="Revision"/>
    <w:hidden/>
    <w:uiPriority w:val="99"/>
    <w:semiHidden/>
    <w:rsid w:val="00B76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091">
      <w:bodyDiv w:val="1"/>
      <w:marLeft w:val="0"/>
      <w:marRight w:val="0"/>
      <w:marTop w:val="0"/>
      <w:marBottom w:val="0"/>
      <w:divBdr>
        <w:top w:val="none" w:sz="0" w:space="0" w:color="auto"/>
        <w:left w:val="none" w:sz="0" w:space="0" w:color="auto"/>
        <w:bottom w:val="none" w:sz="0" w:space="0" w:color="auto"/>
        <w:right w:val="none" w:sz="0" w:space="0" w:color="auto"/>
      </w:divBdr>
    </w:div>
    <w:div w:id="124203520">
      <w:bodyDiv w:val="1"/>
      <w:marLeft w:val="0"/>
      <w:marRight w:val="0"/>
      <w:marTop w:val="0"/>
      <w:marBottom w:val="0"/>
      <w:divBdr>
        <w:top w:val="none" w:sz="0" w:space="0" w:color="auto"/>
        <w:left w:val="none" w:sz="0" w:space="0" w:color="auto"/>
        <w:bottom w:val="none" w:sz="0" w:space="0" w:color="auto"/>
        <w:right w:val="none" w:sz="0" w:space="0" w:color="auto"/>
      </w:divBdr>
    </w:div>
    <w:div w:id="125972746">
      <w:bodyDiv w:val="1"/>
      <w:marLeft w:val="0"/>
      <w:marRight w:val="0"/>
      <w:marTop w:val="0"/>
      <w:marBottom w:val="0"/>
      <w:divBdr>
        <w:top w:val="none" w:sz="0" w:space="0" w:color="auto"/>
        <w:left w:val="none" w:sz="0" w:space="0" w:color="auto"/>
        <w:bottom w:val="none" w:sz="0" w:space="0" w:color="auto"/>
        <w:right w:val="none" w:sz="0" w:space="0" w:color="auto"/>
      </w:divBdr>
    </w:div>
    <w:div w:id="179857222">
      <w:bodyDiv w:val="1"/>
      <w:marLeft w:val="0"/>
      <w:marRight w:val="0"/>
      <w:marTop w:val="0"/>
      <w:marBottom w:val="0"/>
      <w:divBdr>
        <w:top w:val="none" w:sz="0" w:space="0" w:color="auto"/>
        <w:left w:val="none" w:sz="0" w:space="0" w:color="auto"/>
        <w:bottom w:val="none" w:sz="0" w:space="0" w:color="auto"/>
        <w:right w:val="none" w:sz="0" w:space="0" w:color="auto"/>
      </w:divBdr>
    </w:div>
    <w:div w:id="246382019">
      <w:bodyDiv w:val="1"/>
      <w:marLeft w:val="0"/>
      <w:marRight w:val="0"/>
      <w:marTop w:val="0"/>
      <w:marBottom w:val="0"/>
      <w:divBdr>
        <w:top w:val="none" w:sz="0" w:space="0" w:color="auto"/>
        <w:left w:val="none" w:sz="0" w:space="0" w:color="auto"/>
        <w:bottom w:val="none" w:sz="0" w:space="0" w:color="auto"/>
        <w:right w:val="none" w:sz="0" w:space="0" w:color="auto"/>
      </w:divBdr>
    </w:div>
    <w:div w:id="254023752">
      <w:bodyDiv w:val="1"/>
      <w:marLeft w:val="0"/>
      <w:marRight w:val="0"/>
      <w:marTop w:val="0"/>
      <w:marBottom w:val="0"/>
      <w:divBdr>
        <w:top w:val="none" w:sz="0" w:space="0" w:color="auto"/>
        <w:left w:val="none" w:sz="0" w:space="0" w:color="auto"/>
        <w:bottom w:val="none" w:sz="0" w:space="0" w:color="auto"/>
        <w:right w:val="none" w:sz="0" w:space="0" w:color="auto"/>
      </w:divBdr>
    </w:div>
    <w:div w:id="254705594">
      <w:bodyDiv w:val="1"/>
      <w:marLeft w:val="0"/>
      <w:marRight w:val="0"/>
      <w:marTop w:val="0"/>
      <w:marBottom w:val="0"/>
      <w:divBdr>
        <w:top w:val="none" w:sz="0" w:space="0" w:color="auto"/>
        <w:left w:val="none" w:sz="0" w:space="0" w:color="auto"/>
        <w:bottom w:val="none" w:sz="0" w:space="0" w:color="auto"/>
        <w:right w:val="none" w:sz="0" w:space="0" w:color="auto"/>
      </w:divBdr>
    </w:div>
    <w:div w:id="284891702">
      <w:bodyDiv w:val="1"/>
      <w:marLeft w:val="0"/>
      <w:marRight w:val="0"/>
      <w:marTop w:val="0"/>
      <w:marBottom w:val="0"/>
      <w:divBdr>
        <w:top w:val="none" w:sz="0" w:space="0" w:color="auto"/>
        <w:left w:val="none" w:sz="0" w:space="0" w:color="auto"/>
        <w:bottom w:val="none" w:sz="0" w:space="0" w:color="auto"/>
        <w:right w:val="none" w:sz="0" w:space="0" w:color="auto"/>
      </w:divBdr>
    </w:div>
    <w:div w:id="345792186">
      <w:bodyDiv w:val="1"/>
      <w:marLeft w:val="0"/>
      <w:marRight w:val="0"/>
      <w:marTop w:val="0"/>
      <w:marBottom w:val="0"/>
      <w:divBdr>
        <w:top w:val="none" w:sz="0" w:space="0" w:color="auto"/>
        <w:left w:val="none" w:sz="0" w:space="0" w:color="auto"/>
        <w:bottom w:val="none" w:sz="0" w:space="0" w:color="auto"/>
        <w:right w:val="none" w:sz="0" w:space="0" w:color="auto"/>
      </w:divBdr>
    </w:div>
    <w:div w:id="369191877">
      <w:bodyDiv w:val="1"/>
      <w:marLeft w:val="0"/>
      <w:marRight w:val="0"/>
      <w:marTop w:val="0"/>
      <w:marBottom w:val="0"/>
      <w:divBdr>
        <w:top w:val="none" w:sz="0" w:space="0" w:color="auto"/>
        <w:left w:val="none" w:sz="0" w:space="0" w:color="auto"/>
        <w:bottom w:val="none" w:sz="0" w:space="0" w:color="auto"/>
        <w:right w:val="none" w:sz="0" w:space="0" w:color="auto"/>
      </w:divBdr>
    </w:div>
    <w:div w:id="372771593">
      <w:bodyDiv w:val="1"/>
      <w:marLeft w:val="0"/>
      <w:marRight w:val="0"/>
      <w:marTop w:val="0"/>
      <w:marBottom w:val="0"/>
      <w:divBdr>
        <w:top w:val="none" w:sz="0" w:space="0" w:color="auto"/>
        <w:left w:val="none" w:sz="0" w:space="0" w:color="auto"/>
        <w:bottom w:val="none" w:sz="0" w:space="0" w:color="auto"/>
        <w:right w:val="none" w:sz="0" w:space="0" w:color="auto"/>
      </w:divBdr>
    </w:div>
    <w:div w:id="398479371">
      <w:bodyDiv w:val="1"/>
      <w:marLeft w:val="0"/>
      <w:marRight w:val="0"/>
      <w:marTop w:val="0"/>
      <w:marBottom w:val="0"/>
      <w:divBdr>
        <w:top w:val="none" w:sz="0" w:space="0" w:color="auto"/>
        <w:left w:val="none" w:sz="0" w:space="0" w:color="auto"/>
        <w:bottom w:val="none" w:sz="0" w:space="0" w:color="auto"/>
        <w:right w:val="none" w:sz="0" w:space="0" w:color="auto"/>
      </w:divBdr>
    </w:div>
    <w:div w:id="409889200">
      <w:bodyDiv w:val="1"/>
      <w:marLeft w:val="0"/>
      <w:marRight w:val="0"/>
      <w:marTop w:val="0"/>
      <w:marBottom w:val="0"/>
      <w:divBdr>
        <w:top w:val="none" w:sz="0" w:space="0" w:color="auto"/>
        <w:left w:val="none" w:sz="0" w:space="0" w:color="auto"/>
        <w:bottom w:val="none" w:sz="0" w:space="0" w:color="auto"/>
        <w:right w:val="none" w:sz="0" w:space="0" w:color="auto"/>
      </w:divBdr>
    </w:div>
    <w:div w:id="426193691">
      <w:bodyDiv w:val="1"/>
      <w:marLeft w:val="0"/>
      <w:marRight w:val="0"/>
      <w:marTop w:val="0"/>
      <w:marBottom w:val="0"/>
      <w:divBdr>
        <w:top w:val="none" w:sz="0" w:space="0" w:color="auto"/>
        <w:left w:val="none" w:sz="0" w:space="0" w:color="auto"/>
        <w:bottom w:val="none" w:sz="0" w:space="0" w:color="auto"/>
        <w:right w:val="none" w:sz="0" w:space="0" w:color="auto"/>
      </w:divBdr>
    </w:div>
    <w:div w:id="491140375">
      <w:bodyDiv w:val="1"/>
      <w:marLeft w:val="0"/>
      <w:marRight w:val="0"/>
      <w:marTop w:val="0"/>
      <w:marBottom w:val="0"/>
      <w:divBdr>
        <w:top w:val="none" w:sz="0" w:space="0" w:color="auto"/>
        <w:left w:val="none" w:sz="0" w:space="0" w:color="auto"/>
        <w:bottom w:val="none" w:sz="0" w:space="0" w:color="auto"/>
        <w:right w:val="none" w:sz="0" w:space="0" w:color="auto"/>
      </w:divBdr>
    </w:div>
    <w:div w:id="507212660">
      <w:bodyDiv w:val="1"/>
      <w:marLeft w:val="0"/>
      <w:marRight w:val="0"/>
      <w:marTop w:val="0"/>
      <w:marBottom w:val="0"/>
      <w:divBdr>
        <w:top w:val="none" w:sz="0" w:space="0" w:color="auto"/>
        <w:left w:val="none" w:sz="0" w:space="0" w:color="auto"/>
        <w:bottom w:val="none" w:sz="0" w:space="0" w:color="auto"/>
        <w:right w:val="none" w:sz="0" w:space="0" w:color="auto"/>
      </w:divBdr>
    </w:div>
    <w:div w:id="577980671">
      <w:bodyDiv w:val="1"/>
      <w:marLeft w:val="0"/>
      <w:marRight w:val="0"/>
      <w:marTop w:val="0"/>
      <w:marBottom w:val="0"/>
      <w:divBdr>
        <w:top w:val="none" w:sz="0" w:space="0" w:color="auto"/>
        <w:left w:val="none" w:sz="0" w:space="0" w:color="auto"/>
        <w:bottom w:val="none" w:sz="0" w:space="0" w:color="auto"/>
        <w:right w:val="none" w:sz="0" w:space="0" w:color="auto"/>
      </w:divBdr>
    </w:div>
    <w:div w:id="606274984">
      <w:bodyDiv w:val="1"/>
      <w:marLeft w:val="0"/>
      <w:marRight w:val="0"/>
      <w:marTop w:val="0"/>
      <w:marBottom w:val="0"/>
      <w:divBdr>
        <w:top w:val="none" w:sz="0" w:space="0" w:color="auto"/>
        <w:left w:val="none" w:sz="0" w:space="0" w:color="auto"/>
        <w:bottom w:val="none" w:sz="0" w:space="0" w:color="auto"/>
        <w:right w:val="none" w:sz="0" w:space="0" w:color="auto"/>
      </w:divBdr>
    </w:div>
    <w:div w:id="618727754">
      <w:bodyDiv w:val="1"/>
      <w:marLeft w:val="0"/>
      <w:marRight w:val="0"/>
      <w:marTop w:val="0"/>
      <w:marBottom w:val="0"/>
      <w:divBdr>
        <w:top w:val="none" w:sz="0" w:space="0" w:color="auto"/>
        <w:left w:val="none" w:sz="0" w:space="0" w:color="auto"/>
        <w:bottom w:val="none" w:sz="0" w:space="0" w:color="auto"/>
        <w:right w:val="none" w:sz="0" w:space="0" w:color="auto"/>
      </w:divBdr>
    </w:div>
    <w:div w:id="633024149">
      <w:bodyDiv w:val="1"/>
      <w:marLeft w:val="0"/>
      <w:marRight w:val="0"/>
      <w:marTop w:val="0"/>
      <w:marBottom w:val="0"/>
      <w:divBdr>
        <w:top w:val="none" w:sz="0" w:space="0" w:color="auto"/>
        <w:left w:val="none" w:sz="0" w:space="0" w:color="auto"/>
        <w:bottom w:val="none" w:sz="0" w:space="0" w:color="auto"/>
        <w:right w:val="none" w:sz="0" w:space="0" w:color="auto"/>
      </w:divBdr>
    </w:div>
    <w:div w:id="681006417">
      <w:bodyDiv w:val="1"/>
      <w:marLeft w:val="0"/>
      <w:marRight w:val="0"/>
      <w:marTop w:val="0"/>
      <w:marBottom w:val="0"/>
      <w:divBdr>
        <w:top w:val="none" w:sz="0" w:space="0" w:color="auto"/>
        <w:left w:val="none" w:sz="0" w:space="0" w:color="auto"/>
        <w:bottom w:val="none" w:sz="0" w:space="0" w:color="auto"/>
        <w:right w:val="none" w:sz="0" w:space="0" w:color="auto"/>
      </w:divBdr>
    </w:div>
    <w:div w:id="749737162">
      <w:bodyDiv w:val="1"/>
      <w:marLeft w:val="0"/>
      <w:marRight w:val="0"/>
      <w:marTop w:val="0"/>
      <w:marBottom w:val="0"/>
      <w:divBdr>
        <w:top w:val="none" w:sz="0" w:space="0" w:color="auto"/>
        <w:left w:val="none" w:sz="0" w:space="0" w:color="auto"/>
        <w:bottom w:val="none" w:sz="0" w:space="0" w:color="auto"/>
        <w:right w:val="none" w:sz="0" w:space="0" w:color="auto"/>
      </w:divBdr>
    </w:div>
    <w:div w:id="933513217">
      <w:bodyDiv w:val="1"/>
      <w:marLeft w:val="0"/>
      <w:marRight w:val="0"/>
      <w:marTop w:val="0"/>
      <w:marBottom w:val="0"/>
      <w:divBdr>
        <w:top w:val="none" w:sz="0" w:space="0" w:color="auto"/>
        <w:left w:val="none" w:sz="0" w:space="0" w:color="auto"/>
        <w:bottom w:val="none" w:sz="0" w:space="0" w:color="auto"/>
        <w:right w:val="none" w:sz="0" w:space="0" w:color="auto"/>
      </w:divBdr>
    </w:div>
    <w:div w:id="941035811">
      <w:bodyDiv w:val="1"/>
      <w:marLeft w:val="0"/>
      <w:marRight w:val="0"/>
      <w:marTop w:val="0"/>
      <w:marBottom w:val="0"/>
      <w:divBdr>
        <w:top w:val="none" w:sz="0" w:space="0" w:color="auto"/>
        <w:left w:val="none" w:sz="0" w:space="0" w:color="auto"/>
        <w:bottom w:val="none" w:sz="0" w:space="0" w:color="auto"/>
        <w:right w:val="none" w:sz="0" w:space="0" w:color="auto"/>
      </w:divBdr>
    </w:div>
    <w:div w:id="978387485">
      <w:bodyDiv w:val="1"/>
      <w:marLeft w:val="0"/>
      <w:marRight w:val="0"/>
      <w:marTop w:val="0"/>
      <w:marBottom w:val="0"/>
      <w:divBdr>
        <w:top w:val="none" w:sz="0" w:space="0" w:color="auto"/>
        <w:left w:val="none" w:sz="0" w:space="0" w:color="auto"/>
        <w:bottom w:val="none" w:sz="0" w:space="0" w:color="auto"/>
        <w:right w:val="none" w:sz="0" w:space="0" w:color="auto"/>
      </w:divBdr>
    </w:div>
    <w:div w:id="1037700007">
      <w:bodyDiv w:val="1"/>
      <w:marLeft w:val="0"/>
      <w:marRight w:val="0"/>
      <w:marTop w:val="0"/>
      <w:marBottom w:val="0"/>
      <w:divBdr>
        <w:top w:val="none" w:sz="0" w:space="0" w:color="auto"/>
        <w:left w:val="none" w:sz="0" w:space="0" w:color="auto"/>
        <w:bottom w:val="none" w:sz="0" w:space="0" w:color="auto"/>
        <w:right w:val="none" w:sz="0" w:space="0" w:color="auto"/>
      </w:divBdr>
      <w:divsChild>
        <w:div w:id="264193514">
          <w:marLeft w:val="-115"/>
          <w:marRight w:val="0"/>
          <w:marTop w:val="0"/>
          <w:marBottom w:val="0"/>
          <w:divBdr>
            <w:top w:val="none" w:sz="0" w:space="0" w:color="auto"/>
            <w:left w:val="none" w:sz="0" w:space="0" w:color="auto"/>
            <w:bottom w:val="none" w:sz="0" w:space="0" w:color="auto"/>
            <w:right w:val="none" w:sz="0" w:space="0" w:color="auto"/>
          </w:divBdr>
        </w:div>
      </w:divsChild>
    </w:div>
    <w:div w:id="1040319655">
      <w:bodyDiv w:val="1"/>
      <w:marLeft w:val="0"/>
      <w:marRight w:val="0"/>
      <w:marTop w:val="0"/>
      <w:marBottom w:val="0"/>
      <w:divBdr>
        <w:top w:val="none" w:sz="0" w:space="0" w:color="auto"/>
        <w:left w:val="none" w:sz="0" w:space="0" w:color="auto"/>
        <w:bottom w:val="none" w:sz="0" w:space="0" w:color="auto"/>
        <w:right w:val="none" w:sz="0" w:space="0" w:color="auto"/>
      </w:divBdr>
    </w:div>
    <w:div w:id="1047952141">
      <w:bodyDiv w:val="1"/>
      <w:marLeft w:val="0"/>
      <w:marRight w:val="0"/>
      <w:marTop w:val="0"/>
      <w:marBottom w:val="0"/>
      <w:divBdr>
        <w:top w:val="none" w:sz="0" w:space="0" w:color="auto"/>
        <w:left w:val="none" w:sz="0" w:space="0" w:color="auto"/>
        <w:bottom w:val="none" w:sz="0" w:space="0" w:color="auto"/>
        <w:right w:val="none" w:sz="0" w:space="0" w:color="auto"/>
      </w:divBdr>
    </w:div>
    <w:div w:id="1073241834">
      <w:bodyDiv w:val="1"/>
      <w:marLeft w:val="0"/>
      <w:marRight w:val="0"/>
      <w:marTop w:val="0"/>
      <w:marBottom w:val="0"/>
      <w:divBdr>
        <w:top w:val="none" w:sz="0" w:space="0" w:color="auto"/>
        <w:left w:val="none" w:sz="0" w:space="0" w:color="auto"/>
        <w:bottom w:val="none" w:sz="0" w:space="0" w:color="auto"/>
        <w:right w:val="none" w:sz="0" w:space="0" w:color="auto"/>
      </w:divBdr>
    </w:div>
    <w:div w:id="1074358392">
      <w:bodyDiv w:val="1"/>
      <w:marLeft w:val="0"/>
      <w:marRight w:val="0"/>
      <w:marTop w:val="0"/>
      <w:marBottom w:val="0"/>
      <w:divBdr>
        <w:top w:val="none" w:sz="0" w:space="0" w:color="auto"/>
        <w:left w:val="none" w:sz="0" w:space="0" w:color="auto"/>
        <w:bottom w:val="none" w:sz="0" w:space="0" w:color="auto"/>
        <w:right w:val="none" w:sz="0" w:space="0" w:color="auto"/>
      </w:divBdr>
    </w:div>
    <w:div w:id="1086267855">
      <w:bodyDiv w:val="1"/>
      <w:marLeft w:val="0"/>
      <w:marRight w:val="0"/>
      <w:marTop w:val="0"/>
      <w:marBottom w:val="0"/>
      <w:divBdr>
        <w:top w:val="none" w:sz="0" w:space="0" w:color="auto"/>
        <w:left w:val="none" w:sz="0" w:space="0" w:color="auto"/>
        <w:bottom w:val="none" w:sz="0" w:space="0" w:color="auto"/>
        <w:right w:val="none" w:sz="0" w:space="0" w:color="auto"/>
      </w:divBdr>
    </w:div>
    <w:div w:id="1166557356">
      <w:bodyDiv w:val="1"/>
      <w:marLeft w:val="0"/>
      <w:marRight w:val="0"/>
      <w:marTop w:val="0"/>
      <w:marBottom w:val="0"/>
      <w:divBdr>
        <w:top w:val="none" w:sz="0" w:space="0" w:color="auto"/>
        <w:left w:val="none" w:sz="0" w:space="0" w:color="auto"/>
        <w:bottom w:val="none" w:sz="0" w:space="0" w:color="auto"/>
        <w:right w:val="none" w:sz="0" w:space="0" w:color="auto"/>
      </w:divBdr>
    </w:div>
    <w:div w:id="1190528389">
      <w:bodyDiv w:val="1"/>
      <w:marLeft w:val="0"/>
      <w:marRight w:val="0"/>
      <w:marTop w:val="0"/>
      <w:marBottom w:val="0"/>
      <w:divBdr>
        <w:top w:val="none" w:sz="0" w:space="0" w:color="auto"/>
        <w:left w:val="none" w:sz="0" w:space="0" w:color="auto"/>
        <w:bottom w:val="none" w:sz="0" w:space="0" w:color="auto"/>
        <w:right w:val="none" w:sz="0" w:space="0" w:color="auto"/>
      </w:divBdr>
    </w:div>
    <w:div w:id="1202666681">
      <w:bodyDiv w:val="1"/>
      <w:marLeft w:val="0"/>
      <w:marRight w:val="0"/>
      <w:marTop w:val="0"/>
      <w:marBottom w:val="0"/>
      <w:divBdr>
        <w:top w:val="none" w:sz="0" w:space="0" w:color="auto"/>
        <w:left w:val="none" w:sz="0" w:space="0" w:color="auto"/>
        <w:bottom w:val="none" w:sz="0" w:space="0" w:color="auto"/>
        <w:right w:val="none" w:sz="0" w:space="0" w:color="auto"/>
      </w:divBdr>
    </w:div>
    <w:div w:id="1227060904">
      <w:bodyDiv w:val="1"/>
      <w:marLeft w:val="0"/>
      <w:marRight w:val="0"/>
      <w:marTop w:val="0"/>
      <w:marBottom w:val="0"/>
      <w:divBdr>
        <w:top w:val="none" w:sz="0" w:space="0" w:color="auto"/>
        <w:left w:val="none" w:sz="0" w:space="0" w:color="auto"/>
        <w:bottom w:val="none" w:sz="0" w:space="0" w:color="auto"/>
        <w:right w:val="none" w:sz="0" w:space="0" w:color="auto"/>
      </w:divBdr>
    </w:div>
    <w:div w:id="1270041967">
      <w:bodyDiv w:val="1"/>
      <w:marLeft w:val="0"/>
      <w:marRight w:val="0"/>
      <w:marTop w:val="0"/>
      <w:marBottom w:val="0"/>
      <w:divBdr>
        <w:top w:val="none" w:sz="0" w:space="0" w:color="auto"/>
        <w:left w:val="none" w:sz="0" w:space="0" w:color="auto"/>
        <w:bottom w:val="none" w:sz="0" w:space="0" w:color="auto"/>
        <w:right w:val="none" w:sz="0" w:space="0" w:color="auto"/>
      </w:divBdr>
    </w:div>
    <w:div w:id="1353801951">
      <w:bodyDiv w:val="1"/>
      <w:marLeft w:val="0"/>
      <w:marRight w:val="0"/>
      <w:marTop w:val="0"/>
      <w:marBottom w:val="0"/>
      <w:divBdr>
        <w:top w:val="none" w:sz="0" w:space="0" w:color="auto"/>
        <w:left w:val="none" w:sz="0" w:space="0" w:color="auto"/>
        <w:bottom w:val="none" w:sz="0" w:space="0" w:color="auto"/>
        <w:right w:val="none" w:sz="0" w:space="0" w:color="auto"/>
      </w:divBdr>
    </w:div>
    <w:div w:id="1364358984">
      <w:bodyDiv w:val="1"/>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115"/>
          <w:marRight w:val="0"/>
          <w:marTop w:val="0"/>
          <w:marBottom w:val="0"/>
          <w:divBdr>
            <w:top w:val="none" w:sz="0" w:space="0" w:color="auto"/>
            <w:left w:val="none" w:sz="0" w:space="0" w:color="auto"/>
            <w:bottom w:val="none" w:sz="0" w:space="0" w:color="auto"/>
            <w:right w:val="none" w:sz="0" w:space="0" w:color="auto"/>
          </w:divBdr>
        </w:div>
      </w:divsChild>
    </w:div>
    <w:div w:id="1370229817">
      <w:bodyDiv w:val="1"/>
      <w:marLeft w:val="0"/>
      <w:marRight w:val="0"/>
      <w:marTop w:val="0"/>
      <w:marBottom w:val="0"/>
      <w:divBdr>
        <w:top w:val="none" w:sz="0" w:space="0" w:color="auto"/>
        <w:left w:val="none" w:sz="0" w:space="0" w:color="auto"/>
        <w:bottom w:val="none" w:sz="0" w:space="0" w:color="auto"/>
        <w:right w:val="none" w:sz="0" w:space="0" w:color="auto"/>
      </w:divBdr>
    </w:div>
    <w:div w:id="1382055640">
      <w:bodyDiv w:val="1"/>
      <w:marLeft w:val="0"/>
      <w:marRight w:val="0"/>
      <w:marTop w:val="0"/>
      <w:marBottom w:val="0"/>
      <w:divBdr>
        <w:top w:val="none" w:sz="0" w:space="0" w:color="auto"/>
        <w:left w:val="none" w:sz="0" w:space="0" w:color="auto"/>
        <w:bottom w:val="none" w:sz="0" w:space="0" w:color="auto"/>
        <w:right w:val="none" w:sz="0" w:space="0" w:color="auto"/>
      </w:divBdr>
    </w:div>
    <w:div w:id="1387100923">
      <w:bodyDiv w:val="1"/>
      <w:marLeft w:val="0"/>
      <w:marRight w:val="0"/>
      <w:marTop w:val="0"/>
      <w:marBottom w:val="0"/>
      <w:divBdr>
        <w:top w:val="none" w:sz="0" w:space="0" w:color="auto"/>
        <w:left w:val="none" w:sz="0" w:space="0" w:color="auto"/>
        <w:bottom w:val="none" w:sz="0" w:space="0" w:color="auto"/>
        <w:right w:val="none" w:sz="0" w:space="0" w:color="auto"/>
      </w:divBdr>
    </w:div>
    <w:div w:id="1394699765">
      <w:bodyDiv w:val="1"/>
      <w:marLeft w:val="0"/>
      <w:marRight w:val="0"/>
      <w:marTop w:val="0"/>
      <w:marBottom w:val="0"/>
      <w:divBdr>
        <w:top w:val="none" w:sz="0" w:space="0" w:color="auto"/>
        <w:left w:val="none" w:sz="0" w:space="0" w:color="auto"/>
        <w:bottom w:val="none" w:sz="0" w:space="0" w:color="auto"/>
        <w:right w:val="none" w:sz="0" w:space="0" w:color="auto"/>
      </w:divBdr>
    </w:div>
    <w:div w:id="1418821305">
      <w:bodyDiv w:val="1"/>
      <w:marLeft w:val="0"/>
      <w:marRight w:val="0"/>
      <w:marTop w:val="0"/>
      <w:marBottom w:val="0"/>
      <w:divBdr>
        <w:top w:val="none" w:sz="0" w:space="0" w:color="auto"/>
        <w:left w:val="none" w:sz="0" w:space="0" w:color="auto"/>
        <w:bottom w:val="none" w:sz="0" w:space="0" w:color="auto"/>
        <w:right w:val="none" w:sz="0" w:space="0" w:color="auto"/>
      </w:divBdr>
    </w:div>
    <w:div w:id="1420566862">
      <w:bodyDiv w:val="1"/>
      <w:marLeft w:val="0"/>
      <w:marRight w:val="0"/>
      <w:marTop w:val="0"/>
      <w:marBottom w:val="0"/>
      <w:divBdr>
        <w:top w:val="none" w:sz="0" w:space="0" w:color="auto"/>
        <w:left w:val="none" w:sz="0" w:space="0" w:color="auto"/>
        <w:bottom w:val="none" w:sz="0" w:space="0" w:color="auto"/>
        <w:right w:val="none" w:sz="0" w:space="0" w:color="auto"/>
      </w:divBdr>
    </w:div>
    <w:div w:id="1446118805">
      <w:bodyDiv w:val="1"/>
      <w:marLeft w:val="0"/>
      <w:marRight w:val="0"/>
      <w:marTop w:val="0"/>
      <w:marBottom w:val="0"/>
      <w:divBdr>
        <w:top w:val="none" w:sz="0" w:space="0" w:color="auto"/>
        <w:left w:val="none" w:sz="0" w:space="0" w:color="auto"/>
        <w:bottom w:val="none" w:sz="0" w:space="0" w:color="auto"/>
        <w:right w:val="none" w:sz="0" w:space="0" w:color="auto"/>
      </w:divBdr>
    </w:div>
    <w:div w:id="1457524655">
      <w:bodyDiv w:val="1"/>
      <w:marLeft w:val="0"/>
      <w:marRight w:val="0"/>
      <w:marTop w:val="0"/>
      <w:marBottom w:val="0"/>
      <w:divBdr>
        <w:top w:val="none" w:sz="0" w:space="0" w:color="auto"/>
        <w:left w:val="none" w:sz="0" w:space="0" w:color="auto"/>
        <w:bottom w:val="none" w:sz="0" w:space="0" w:color="auto"/>
        <w:right w:val="none" w:sz="0" w:space="0" w:color="auto"/>
      </w:divBdr>
    </w:div>
    <w:div w:id="1507407260">
      <w:bodyDiv w:val="1"/>
      <w:marLeft w:val="0"/>
      <w:marRight w:val="0"/>
      <w:marTop w:val="0"/>
      <w:marBottom w:val="0"/>
      <w:divBdr>
        <w:top w:val="none" w:sz="0" w:space="0" w:color="auto"/>
        <w:left w:val="none" w:sz="0" w:space="0" w:color="auto"/>
        <w:bottom w:val="none" w:sz="0" w:space="0" w:color="auto"/>
        <w:right w:val="none" w:sz="0" w:space="0" w:color="auto"/>
      </w:divBdr>
    </w:div>
    <w:div w:id="1508788390">
      <w:bodyDiv w:val="1"/>
      <w:marLeft w:val="0"/>
      <w:marRight w:val="0"/>
      <w:marTop w:val="0"/>
      <w:marBottom w:val="0"/>
      <w:divBdr>
        <w:top w:val="none" w:sz="0" w:space="0" w:color="auto"/>
        <w:left w:val="none" w:sz="0" w:space="0" w:color="auto"/>
        <w:bottom w:val="none" w:sz="0" w:space="0" w:color="auto"/>
        <w:right w:val="none" w:sz="0" w:space="0" w:color="auto"/>
      </w:divBdr>
    </w:div>
    <w:div w:id="1638755029">
      <w:bodyDiv w:val="1"/>
      <w:marLeft w:val="0"/>
      <w:marRight w:val="0"/>
      <w:marTop w:val="0"/>
      <w:marBottom w:val="0"/>
      <w:divBdr>
        <w:top w:val="none" w:sz="0" w:space="0" w:color="auto"/>
        <w:left w:val="none" w:sz="0" w:space="0" w:color="auto"/>
        <w:bottom w:val="none" w:sz="0" w:space="0" w:color="auto"/>
        <w:right w:val="none" w:sz="0" w:space="0" w:color="auto"/>
      </w:divBdr>
    </w:div>
    <w:div w:id="1743020534">
      <w:bodyDiv w:val="1"/>
      <w:marLeft w:val="0"/>
      <w:marRight w:val="0"/>
      <w:marTop w:val="0"/>
      <w:marBottom w:val="0"/>
      <w:divBdr>
        <w:top w:val="none" w:sz="0" w:space="0" w:color="auto"/>
        <w:left w:val="none" w:sz="0" w:space="0" w:color="auto"/>
        <w:bottom w:val="none" w:sz="0" w:space="0" w:color="auto"/>
        <w:right w:val="none" w:sz="0" w:space="0" w:color="auto"/>
      </w:divBdr>
    </w:div>
    <w:div w:id="1749116373">
      <w:bodyDiv w:val="1"/>
      <w:marLeft w:val="0"/>
      <w:marRight w:val="0"/>
      <w:marTop w:val="0"/>
      <w:marBottom w:val="0"/>
      <w:divBdr>
        <w:top w:val="none" w:sz="0" w:space="0" w:color="auto"/>
        <w:left w:val="none" w:sz="0" w:space="0" w:color="auto"/>
        <w:bottom w:val="none" w:sz="0" w:space="0" w:color="auto"/>
        <w:right w:val="none" w:sz="0" w:space="0" w:color="auto"/>
      </w:divBdr>
    </w:div>
    <w:div w:id="1752313424">
      <w:bodyDiv w:val="1"/>
      <w:marLeft w:val="0"/>
      <w:marRight w:val="0"/>
      <w:marTop w:val="0"/>
      <w:marBottom w:val="0"/>
      <w:divBdr>
        <w:top w:val="none" w:sz="0" w:space="0" w:color="auto"/>
        <w:left w:val="none" w:sz="0" w:space="0" w:color="auto"/>
        <w:bottom w:val="none" w:sz="0" w:space="0" w:color="auto"/>
        <w:right w:val="none" w:sz="0" w:space="0" w:color="auto"/>
      </w:divBdr>
    </w:div>
    <w:div w:id="1757287526">
      <w:bodyDiv w:val="1"/>
      <w:marLeft w:val="0"/>
      <w:marRight w:val="0"/>
      <w:marTop w:val="0"/>
      <w:marBottom w:val="0"/>
      <w:divBdr>
        <w:top w:val="none" w:sz="0" w:space="0" w:color="auto"/>
        <w:left w:val="none" w:sz="0" w:space="0" w:color="auto"/>
        <w:bottom w:val="none" w:sz="0" w:space="0" w:color="auto"/>
        <w:right w:val="none" w:sz="0" w:space="0" w:color="auto"/>
      </w:divBdr>
    </w:div>
    <w:div w:id="1811359815">
      <w:bodyDiv w:val="1"/>
      <w:marLeft w:val="0"/>
      <w:marRight w:val="0"/>
      <w:marTop w:val="0"/>
      <w:marBottom w:val="0"/>
      <w:divBdr>
        <w:top w:val="none" w:sz="0" w:space="0" w:color="auto"/>
        <w:left w:val="none" w:sz="0" w:space="0" w:color="auto"/>
        <w:bottom w:val="none" w:sz="0" w:space="0" w:color="auto"/>
        <w:right w:val="none" w:sz="0" w:space="0" w:color="auto"/>
      </w:divBdr>
    </w:div>
    <w:div w:id="1816099265">
      <w:bodyDiv w:val="1"/>
      <w:marLeft w:val="0"/>
      <w:marRight w:val="0"/>
      <w:marTop w:val="0"/>
      <w:marBottom w:val="0"/>
      <w:divBdr>
        <w:top w:val="none" w:sz="0" w:space="0" w:color="auto"/>
        <w:left w:val="none" w:sz="0" w:space="0" w:color="auto"/>
        <w:bottom w:val="none" w:sz="0" w:space="0" w:color="auto"/>
        <w:right w:val="none" w:sz="0" w:space="0" w:color="auto"/>
      </w:divBdr>
    </w:div>
    <w:div w:id="1868716066">
      <w:bodyDiv w:val="1"/>
      <w:marLeft w:val="0"/>
      <w:marRight w:val="0"/>
      <w:marTop w:val="0"/>
      <w:marBottom w:val="0"/>
      <w:divBdr>
        <w:top w:val="none" w:sz="0" w:space="0" w:color="auto"/>
        <w:left w:val="none" w:sz="0" w:space="0" w:color="auto"/>
        <w:bottom w:val="none" w:sz="0" w:space="0" w:color="auto"/>
        <w:right w:val="none" w:sz="0" w:space="0" w:color="auto"/>
      </w:divBdr>
    </w:div>
    <w:div w:id="1887059856">
      <w:bodyDiv w:val="1"/>
      <w:marLeft w:val="0"/>
      <w:marRight w:val="0"/>
      <w:marTop w:val="0"/>
      <w:marBottom w:val="0"/>
      <w:divBdr>
        <w:top w:val="none" w:sz="0" w:space="0" w:color="auto"/>
        <w:left w:val="none" w:sz="0" w:space="0" w:color="auto"/>
        <w:bottom w:val="none" w:sz="0" w:space="0" w:color="auto"/>
        <w:right w:val="none" w:sz="0" w:space="0" w:color="auto"/>
      </w:divBdr>
    </w:div>
    <w:div w:id="1907035803">
      <w:bodyDiv w:val="1"/>
      <w:marLeft w:val="0"/>
      <w:marRight w:val="0"/>
      <w:marTop w:val="0"/>
      <w:marBottom w:val="0"/>
      <w:divBdr>
        <w:top w:val="none" w:sz="0" w:space="0" w:color="auto"/>
        <w:left w:val="none" w:sz="0" w:space="0" w:color="auto"/>
        <w:bottom w:val="none" w:sz="0" w:space="0" w:color="auto"/>
        <w:right w:val="none" w:sz="0" w:space="0" w:color="auto"/>
      </w:divBdr>
    </w:div>
    <w:div w:id="1932615359">
      <w:bodyDiv w:val="1"/>
      <w:marLeft w:val="0"/>
      <w:marRight w:val="0"/>
      <w:marTop w:val="0"/>
      <w:marBottom w:val="0"/>
      <w:divBdr>
        <w:top w:val="none" w:sz="0" w:space="0" w:color="auto"/>
        <w:left w:val="none" w:sz="0" w:space="0" w:color="auto"/>
        <w:bottom w:val="none" w:sz="0" w:space="0" w:color="auto"/>
        <w:right w:val="none" w:sz="0" w:space="0" w:color="auto"/>
      </w:divBdr>
    </w:div>
    <w:div w:id="1964119201">
      <w:bodyDiv w:val="1"/>
      <w:marLeft w:val="0"/>
      <w:marRight w:val="0"/>
      <w:marTop w:val="0"/>
      <w:marBottom w:val="0"/>
      <w:divBdr>
        <w:top w:val="none" w:sz="0" w:space="0" w:color="auto"/>
        <w:left w:val="none" w:sz="0" w:space="0" w:color="auto"/>
        <w:bottom w:val="none" w:sz="0" w:space="0" w:color="auto"/>
        <w:right w:val="none" w:sz="0" w:space="0" w:color="auto"/>
      </w:divBdr>
    </w:div>
    <w:div w:id="1967925577">
      <w:bodyDiv w:val="1"/>
      <w:marLeft w:val="0"/>
      <w:marRight w:val="0"/>
      <w:marTop w:val="0"/>
      <w:marBottom w:val="0"/>
      <w:divBdr>
        <w:top w:val="none" w:sz="0" w:space="0" w:color="auto"/>
        <w:left w:val="none" w:sz="0" w:space="0" w:color="auto"/>
        <w:bottom w:val="none" w:sz="0" w:space="0" w:color="auto"/>
        <w:right w:val="none" w:sz="0" w:space="0" w:color="auto"/>
      </w:divBdr>
    </w:div>
    <w:div w:id="1991858615">
      <w:bodyDiv w:val="1"/>
      <w:marLeft w:val="0"/>
      <w:marRight w:val="0"/>
      <w:marTop w:val="0"/>
      <w:marBottom w:val="0"/>
      <w:divBdr>
        <w:top w:val="none" w:sz="0" w:space="0" w:color="auto"/>
        <w:left w:val="none" w:sz="0" w:space="0" w:color="auto"/>
        <w:bottom w:val="none" w:sz="0" w:space="0" w:color="auto"/>
        <w:right w:val="none" w:sz="0" w:space="0" w:color="auto"/>
      </w:divBdr>
    </w:div>
    <w:div w:id="2026781794">
      <w:bodyDiv w:val="1"/>
      <w:marLeft w:val="0"/>
      <w:marRight w:val="0"/>
      <w:marTop w:val="0"/>
      <w:marBottom w:val="0"/>
      <w:divBdr>
        <w:top w:val="none" w:sz="0" w:space="0" w:color="auto"/>
        <w:left w:val="none" w:sz="0" w:space="0" w:color="auto"/>
        <w:bottom w:val="none" w:sz="0" w:space="0" w:color="auto"/>
        <w:right w:val="none" w:sz="0" w:space="0" w:color="auto"/>
      </w:divBdr>
      <w:divsChild>
        <w:div w:id="1629895484">
          <w:marLeft w:val="-115"/>
          <w:marRight w:val="0"/>
          <w:marTop w:val="0"/>
          <w:marBottom w:val="0"/>
          <w:divBdr>
            <w:top w:val="none" w:sz="0" w:space="0" w:color="auto"/>
            <w:left w:val="none" w:sz="0" w:space="0" w:color="auto"/>
            <w:bottom w:val="none" w:sz="0" w:space="0" w:color="auto"/>
            <w:right w:val="none" w:sz="0" w:space="0" w:color="auto"/>
          </w:divBdr>
        </w:div>
      </w:divsChild>
    </w:div>
    <w:div w:id="2096322340">
      <w:bodyDiv w:val="1"/>
      <w:marLeft w:val="0"/>
      <w:marRight w:val="0"/>
      <w:marTop w:val="0"/>
      <w:marBottom w:val="0"/>
      <w:divBdr>
        <w:top w:val="none" w:sz="0" w:space="0" w:color="auto"/>
        <w:left w:val="none" w:sz="0" w:space="0" w:color="auto"/>
        <w:bottom w:val="none" w:sz="0" w:space="0" w:color="auto"/>
        <w:right w:val="none" w:sz="0" w:space="0" w:color="auto"/>
      </w:divBdr>
    </w:div>
    <w:div w:id="2099255620">
      <w:bodyDiv w:val="1"/>
      <w:marLeft w:val="0"/>
      <w:marRight w:val="0"/>
      <w:marTop w:val="0"/>
      <w:marBottom w:val="0"/>
      <w:divBdr>
        <w:top w:val="none" w:sz="0" w:space="0" w:color="auto"/>
        <w:left w:val="none" w:sz="0" w:space="0" w:color="auto"/>
        <w:bottom w:val="none" w:sz="0" w:space="0" w:color="auto"/>
        <w:right w:val="none" w:sz="0" w:space="0" w:color="auto"/>
      </w:divBdr>
    </w:div>
    <w:div w:id="2119911666">
      <w:bodyDiv w:val="1"/>
      <w:marLeft w:val="0"/>
      <w:marRight w:val="0"/>
      <w:marTop w:val="0"/>
      <w:marBottom w:val="0"/>
      <w:divBdr>
        <w:top w:val="none" w:sz="0" w:space="0" w:color="auto"/>
        <w:left w:val="none" w:sz="0" w:space="0" w:color="auto"/>
        <w:bottom w:val="none" w:sz="0" w:space="0" w:color="auto"/>
        <w:right w:val="none" w:sz="0" w:space="0" w:color="auto"/>
      </w:divBdr>
    </w:div>
    <w:div w:id="2128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7.tau.ac.il/ojs/index.php/eial/article/view/1126/1156" TargetMode="External"/><Relationship Id="rId18" Type="http://schemas.openxmlformats.org/officeDocument/2006/relationships/hyperlink" Target="https://pt.wikipedia.org/wiki/Nova_Iorque_(estad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fch.unicamp.br/ojs/index.php/cadernosgraduacao/article/view/538" TargetMode="External"/><Relationship Id="rId7" Type="http://schemas.openxmlformats.org/officeDocument/2006/relationships/endnotes" Target="endnotes.xml"/><Relationship Id="rId12" Type="http://schemas.openxmlformats.org/officeDocument/2006/relationships/hyperlink" Target="http://ppct.caicyt.gov.ar/index.php/ravignani/article/download/11080/9900" TargetMode="External"/><Relationship Id="rId17" Type="http://schemas.openxmlformats.org/officeDocument/2006/relationships/hyperlink" Target="https://pt.wikipedia.org/wiki/Exposi%C3%A7%C3%A3o_Panamerican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t.wikipedia.org/wiki/Temple_of_Music" TargetMode="External"/><Relationship Id="rId20" Type="http://schemas.openxmlformats.org/officeDocument/2006/relationships/hyperlink" Target="https://anarquismorj.wordpress.com/textos-e-documentos/teoria-e-debate/huerta-grande-a-importancia-da-teoria-f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ch.unicamp.br/ojs/index.php/ael/article/viewFile/2472/1882" TargetMode="External"/><Relationship Id="rId24" Type="http://schemas.openxmlformats.org/officeDocument/2006/relationships/hyperlink" Target="http://www.sabotagem.cjb.net/" TargetMode="External"/><Relationship Id="rId5" Type="http://schemas.openxmlformats.org/officeDocument/2006/relationships/webSettings" Target="webSettings.xml"/><Relationship Id="rId15" Type="http://schemas.openxmlformats.org/officeDocument/2006/relationships/hyperlink" Target="https://pt.wikipedia.org/wiki/William_McKinley" TargetMode="External"/><Relationship Id="rId23" Type="http://schemas.openxmlformats.org/officeDocument/2006/relationships/hyperlink" Target="https://ithanarquista.files.wordpress.com/2016/08/marcelo-de-marchi-mazzoni-o-anarquismo-segundo-duas-abordagens-contemporaneas.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rabois.org.br/portal/artigos/153040/2016-09-16/o-estado-capitalista-no-centro-critica-ao-conceito-de-poder-de-michel-foucau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nh2013.anpuh.org/resources/anais/27/1364485823_ARQUIVO_Artigo_Anpuh_Natalia_Guerellus.pdf" TargetMode="External"/><Relationship Id="rId22" Type="http://schemas.openxmlformats.org/officeDocument/2006/relationships/hyperlink" Target="http://www2.marilia.unesp.br/revistas/index.php/ric/article/view/33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folha.uol.com.br/mundo/2019/10/equador-inicia-dialogo-com-indigenas-buscando-encerrar-protestos.shtml?fbclid=IwAR3CSCgUk9o56-mnjqcNvcfKYiX6EZWmfn8UjVGEsabcFJHgyNRtVhMwUXw" TargetMode="External"/><Relationship Id="rId13" Type="http://schemas.openxmlformats.org/officeDocument/2006/relationships/hyperlink" Target="https://noticias.uol.com.br/ultimas-noticias/efe/2019/10/10/milhares-de-estudantes-vao-as-ruas-da-colombia-protestar-contra-o-governo.htm" TargetMode="External"/><Relationship Id="rId3" Type="http://schemas.openxmlformats.org/officeDocument/2006/relationships/hyperlink" Target="http://bfscollezionidigitali.org/index.php/Detail/Object/Show/object_id/2024" TargetMode="External"/><Relationship Id="rId7" Type="http://schemas.openxmlformats.org/officeDocument/2006/relationships/hyperlink" Target="https://jornalggn.com.br/noticia/sem-dialogar-prefeito-do-rio-prefere-expulsar-dos-ativistas-do-ocupa-golfe/" TargetMode="External"/><Relationship Id="rId12" Type="http://schemas.openxmlformats.org/officeDocument/2006/relationships/hyperlink" Target="https://lasoli.cnt.cat/2018/05/25/catalunya-y-las-anarquistas/?fbclid=IwAR2p2ks94GPcTuyXP4slbEQ4H4jeluoJS1zyUwL2gAxgd6qtqbx9lTOIXhs" TargetMode="External"/><Relationship Id="rId2" Type="http://schemas.openxmlformats.org/officeDocument/2006/relationships/hyperlink" Target="http://www.webcitation.org/66VBsHm7i" TargetMode="External"/><Relationship Id="rId1" Type="http://schemas.openxmlformats.org/officeDocument/2006/relationships/hyperlink" Target="http://sempla.prefeitura.sp.gov.br/historico/tabelas/pop_brasil.php" TargetMode="External"/><Relationship Id="rId6" Type="http://schemas.openxmlformats.org/officeDocument/2006/relationships/hyperlink" Target="https://theintercept.com/2017/09/22/no-fim-das-contas-o-ocupa-cabral-tinha-razao/" TargetMode="External"/><Relationship Id="rId11" Type="http://schemas.openxmlformats.org/officeDocument/2006/relationships/hyperlink" Target="https://g1.globo.com/mundo/noticia/2019/10/20/entenda-a-onda-de-protestos-no-chile.ghtml" TargetMode="External"/><Relationship Id="rId5" Type="http://schemas.openxmlformats.org/officeDocument/2006/relationships/hyperlink" Target="https://politicsandculture.org/issue/2009-issue-4/" TargetMode="External"/><Relationship Id="rId10" Type="http://schemas.openxmlformats.org/officeDocument/2006/relationships/hyperlink" Target="https://dialogosdosul.operamundi.uol.com.br/brasil/61015/haiti-vive-uma-situacao-pre-revolucionaria-e-esta-a-beira-de-uma-inssureicao-popular?fbclid=IwAR3DEfxClNAL5H6NhbdIIYZabfyXQmfaUZP5N2zKg3KfNIv-X57OX96FyAc" TargetMode="External"/><Relationship Id="rId4" Type="http://schemas.openxmlformats.org/officeDocument/2006/relationships/hyperlink" Target="https://politicsandculture.org/authors/sina-rahmani/" TargetMode="External"/><Relationship Id="rId9" Type="http://schemas.openxmlformats.org/officeDocument/2006/relationships/hyperlink" Target="https://exame.abril.com.br/mundo/equador-cancela-pacote-de-austeridade-e-liderancas-encerram-protestos/" TargetMode="External"/><Relationship Id="rId14" Type="http://schemas.openxmlformats.org/officeDocument/2006/relationships/hyperlink" Target="https://g1.globo.com/mundo/noticia/2019/10/18/protestos-sem-precedentes-reunem-dezenas-de-milhares-e-ameacam-governo-no-libano.g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B9D1-6108-478C-A6C8-3CD40DBC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214</Pages>
  <Words>71797</Words>
  <Characters>387705</Characters>
  <Application>Microsoft Office Word</Application>
  <DocSecurity>0</DocSecurity>
  <Lines>3230</Lines>
  <Paragraphs>917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cp:lastPrinted>2019-11-22T04:34:00Z</cp:lastPrinted>
  <dcterms:created xsi:type="dcterms:W3CDTF">2019-11-16T22:08:00Z</dcterms:created>
  <dcterms:modified xsi:type="dcterms:W3CDTF">2019-11-22T04:35:00Z</dcterms:modified>
</cp:coreProperties>
</file>