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6F5E28" w:rsidRDefault="006F5E28">
      <w:pPr>
        <w:ind w:left="284"/>
        <w:rPr>
          <w:rFonts w:ascii="Times New Roman" w:eastAsia="Times New Roman" w:hAnsi="Times New Roman" w:cs="Times New Roman"/>
          <w:sz w:val="24"/>
          <w:szCs w:val="24"/>
        </w:rPr>
      </w:pPr>
    </w:p>
    <w:p w14:paraId="00000002" w14:textId="77777777" w:rsidR="006F5E28" w:rsidRDefault="00FB34B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Imigração dos sírios e </w:t>
      </w:r>
      <w:proofErr w:type="gramStart"/>
      <w:r>
        <w:rPr>
          <w:rFonts w:ascii="Times New Roman" w:eastAsia="Times New Roman" w:hAnsi="Times New Roman" w:cs="Times New Roman"/>
          <w:b/>
          <w:sz w:val="28"/>
          <w:szCs w:val="28"/>
        </w:rPr>
        <w:t>libaneses :</w:t>
      </w:r>
      <w:proofErr w:type="gramEnd"/>
      <w:r>
        <w:rPr>
          <w:rFonts w:ascii="Times New Roman" w:eastAsia="Times New Roman" w:hAnsi="Times New Roman" w:cs="Times New Roman"/>
          <w:b/>
          <w:sz w:val="28"/>
          <w:szCs w:val="28"/>
        </w:rPr>
        <w:t xml:space="preserve"> idiossincrasias e sonhos.</w:t>
      </w:r>
    </w:p>
    <w:p w14:paraId="00000003" w14:textId="77777777" w:rsidR="006F5E28" w:rsidRPr="0077174F" w:rsidRDefault="00FB34BD">
      <w:pPr>
        <w:jc w:val="center"/>
        <w:rPr>
          <w:rFonts w:ascii="Times New Roman" w:eastAsia="Times New Roman" w:hAnsi="Times New Roman" w:cs="Times New Roman"/>
          <w:b/>
          <w:sz w:val="28"/>
          <w:szCs w:val="28"/>
          <w:lang w:val="en-US"/>
        </w:rPr>
      </w:pPr>
      <w:r w:rsidRPr="0077174F">
        <w:rPr>
          <w:rFonts w:ascii="Times New Roman" w:eastAsia="Times New Roman" w:hAnsi="Times New Roman" w:cs="Times New Roman"/>
          <w:b/>
          <w:sz w:val="28"/>
          <w:szCs w:val="28"/>
          <w:lang w:val="en-US"/>
        </w:rPr>
        <w:t>Immigration of Syrians and Lebanese: idiosyncrasies and dreams.</w:t>
      </w:r>
    </w:p>
    <w:p w14:paraId="00000004" w14:textId="77777777" w:rsidR="006F5E28" w:rsidRDefault="00FB34BD">
      <w:pPr>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Inmigración</w:t>
      </w:r>
      <w:proofErr w:type="spellEnd"/>
      <w:r>
        <w:rPr>
          <w:rFonts w:ascii="Times New Roman" w:eastAsia="Times New Roman" w:hAnsi="Times New Roman" w:cs="Times New Roman"/>
          <w:b/>
          <w:sz w:val="28"/>
          <w:szCs w:val="28"/>
        </w:rPr>
        <w:t xml:space="preserve"> de </w:t>
      </w:r>
      <w:proofErr w:type="spellStart"/>
      <w:r>
        <w:rPr>
          <w:rFonts w:ascii="Times New Roman" w:eastAsia="Times New Roman" w:hAnsi="Times New Roman" w:cs="Times New Roman"/>
          <w:b/>
          <w:sz w:val="28"/>
          <w:szCs w:val="28"/>
        </w:rPr>
        <w:t>los</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sirios</w:t>
      </w:r>
      <w:proofErr w:type="spellEnd"/>
      <w:r>
        <w:rPr>
          <w:rFonts w:ascii="Times New Roman" w:eastAsia="Times New Roman" w:hAnsi="Times New Roman" w:cs="Times New Roman"/>
          <w:b/>
          <w:sz w:val="28"/>
          <w:szCs w:val="28"/>
        </w:rPr>
        <w:t xml:space="preserve"> y libaneses: </w:t>
      </w:r>
      <w:proofErr w:type="spellStart"/>
      <w:r>
        <w:rPr>
          <w:rFonts w:ascii="Times New Roman" w:eastAsia="Times New Roman" w:hAnsi="Times New Roman" w:cs="Times New Roman"/>
          <w:b/>
          <w:sz w:val="28"/>
          <w:szCs w:val="28"/>
        </w:rPr>
        <w:t>idiosincrasias</w:t>
      </w:r>
      <w:proofErr w:type="spellEnd"/>
      <w:r>
        <w:rPr>
          <w:rFonts w:ascii="Times New Roman" w:eastAsia="Times New Roman" w:hAnsi="Times New Roman" w:cs="Times New Roman"/>
          <w:b/>
          <w:sz w:val="28"/>
          <w:szCs w:val="28"/>
        </w:rPr>
        <w:t xml:space="preserve"> y </w:t>
      </w:r>
      <w:proofErr w:type="spellStart"/>
      <w:r>
        <w:rPr>
          <w:rFonts w:ascii="Times New Roman" w:eastAsia="Times New Roman" w:hAnsi="Times New Roman" w:cs="Times New Roman"/>
          <w:b/>
          <w:sz w:val="28"/>
          <w:szCs w:val="28"/>
        </w:rPr>
        <w:t>sueños</w:t>
      </w:r>
      <w:proofErr w:type="spellEnd"/>
      <w:r>
        <w:rPr>
          <w:rFonts w:ascii="Times New Roman" w:eastAsia="Times New Roman" w:hAnsi="Times New Roman" w:cs="Times New Roman"/>
          <w:b/>
          <w:sz w:val="28"/>
          <w:szCs w:val="28"/>
        </w:rPr>
        <w:t>.</w:t>
      </w:r>
    </w:p>
    <w:p w14:paraId="00000007" w14:textId="4F59AB09" w:rsidR="006F5E28" w:rsidRDefault="00FB34BD">
      <w:pP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ab/>
      </w:r>
    </w:p>
    <w:p w14:paraId="00000008" w14:textId="77777777" w:rsidR="006F5E28" w:rsidRDefault="00FB34B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Resumo</w:t>
      </w:r>
      <w:r>
        <w:rPr>
          <w:rFonts w:ascii="Times New Roman" w:eastAsia="Times New Roman" w:hAnsi="Times New Roman" w:cs="Times New Roman"/>
          <w:sz w:val="24"/>
          <w:szCs w:val="24"/>
        </w:rPr>
        <w:t xml:space="preserve"> </w:t>
      </w:r>
    </w:p>
    <w:p w14:paraId="00000009" w14:textId="77777777" w:rsidR="006F5E28" w:rsidRDefault="00FB34BD">
      <w:pPr>
        <w:spacing w:line="26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Este artigo objetiva efetuar algumas breves reflexões sobre os processos de construção de identidade, memória e etnia dos imigrantes sírios e libaneses nas primeiras décadas do século XX. Pretende-se compreender as formas de inclusão que o</w:t>
      </w:r>
      <w:r>
        <w:rPr>
          <w:rFonts w:ascii="Times New Roman" w:eastAsia="Times New Roman" w:hAnsi="Times New Roman" w:cs="Times New Roman"/>
          <w:sz w:val="24"/>
          <w:szCs w:val="24"/>
        </w:rPr>
        <w:t xml:space="preserve">s grupos criaram para inserção social. Ressaltam-se os mecanismos criados como forma de pertencimento, sem abandonar as idiossincrasias e medos no novo caminho a ser vivido com as diferenças como forma de desafio. </w:t>
      </w:r>
    </w:p>
    <w:p w14:paraId="0000000A" w14:textId="77777777" w:rsidR="006F5E28" w:rsidRDefault="006F5E28">
      <w:pPr>
        <w:spacing w:line="269" w:lineRule="auto"/>
        <w:rPr>
          <w:rFonts w:ascii="Times New Roman" w:eastAsia="Times New Roman" w:hAnsi="Times New Roman" w:cs="Times New Roman"/>
          <w:sz w:val="24"/>
          <w:szCs w:val="24"/>
        </w:rPr>
      </w:pPr>
    </w:p>
    <w:p w14:paraId="0000000B" w14:textId="77777777" w:rsidR="006F5E28" w:rsidRDefault="00FB34BD">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Palavras-chave: sírios e libaneses, memó</w:t>
      </w:r>
      <w:r>
        <w:rPr>
          <w:rFonts w:ascii="Times New Roman" w:eastAsia="Times New Roman" w:hAnsi="Times New Roman" w:cs="Times New Roman"/>
          <w:sz w:val="24"/>
          <w:szCs w:val="24"/>
        </w:rPr>
        <w:t>rias, etnia.</w:t>
      </w:r>
    </w:p>
    <w:p w14:paraId="0000000C" w14:textId="77777777" w:rsidR="006F5E28" w:rsidRDefault="006F5E28">
      <w:pPr>
        <w:spacing w:line="240" w:lineRule="auto"/>
        <w:jc w:val="left"/>
        <w:rPr>
          <w:rFonts w:ascii="Times New Roman" w:eastAsia="Times New Roman" w:hAnsi="Times New Roman" w:cs="Times New Roman"/>
          <w:sz w:val="24"/>
          <w:szCs w:val="24"/>
        </w:rPr>
      </w:pPr>
    </w:p>
    <w:p w14:paraId="0000000D" w14:textId="77777777" w:rsidR="006F5E28" w:rsidRPr="0077174F" w:rsidRDefault="00FB34BD">
      <w:pPr>
        <w:spacing w:line="240" w:lineRule="auto"/>
        <w:jc w:val="left"/>
        <w:rPr>
          <w:rFonts w:ascii="Times New Roman" w:eastAsia="Times New Roman" w:hAnsi="Times New Roman" w:cs="Times New Roman"/>
          <w:b/>
          <w:sz w:val="24"/>
          <w:szCs w:val="24"/>
          <w:lang w:val="en-US"/>
        </w:rPr>
      </w:pPr>
      <w:r w:rsidRPr="0077174F">
        <w:rPr>
          <w:rFonts w:ascii="Times New Roman" w:eastAsia="Times New Roman" w:hAnsi="Times New Roman" w:cs="Times New Roman"/>
          <w:b/>
          <w:sz w:val="24"/>
          <w:szCs w:val="24"/>
          <w:lang w:val="en-US"/>
        </w:rPr>
        <w:t xml:space="preserve">Abstract </w:t>
      </w:r>
    </w:p>
    <w:p w14:paraId="0000000E" w14:textId="77777777" w:rsidR="006F5E28" w:rsidRPr="0077174F" w:rsidRDefault="006F5E28">
      <w:pPr>
        <w:spacing w:line="240" w:lineRule="auto"/>
        <w:jc w:val="left"/>
        <w:rPr>
          <w:rFonts w:ascii="Times New Roman" w:eastAsia="Times New Roman" w:hAnsi="Times New Roman" w:cs="Times New Roman"/>
          <w:sz w:val="24"/>
          <w:szCs w:val="24"/>
          <w:lang w:val="en-US"/>
        </w:rPr>
      </w:pPr>
    </w:p>
    <w:p w14:paraId="0000000F" w14:textId="77777777" w:rsidR="006F5E28" w:rsidRPr="0077174F" w:rsidRDefault="00FB34BD">
      <w:pPr>
        <w:ind w:firstLine="720"/>
        <w:rPr>
          <w:rFonts w:ascii="Times New Roman" w:eastAsia="Times New Roman" w:hAnsi="Times New Roman" w:cs="Times New Roman"/>
          <w:color w:val="212121"/>
          <w:sz w:val="24"/>
          <w:szCs w:val="24"/>
          <w:highlight w:val="white"/>
          <w:lang w:val="en-US"/>
        </w:rPr>
      </w:pPr>
      <w:r w:rsidRPr="0077174F">
        <w:rPr>
          <w:rFonts w:ascii="Times New Roman" w:eastAsia="Times New Roman" w:hAnsi="Times New Roman" w:cs="Times New Roman"/>
          <w:color w:val="212121"/>
          <w:sz w:val="24"/>
          <w:szCs w:val="24"/>
          <w:highlight w:val="white"/>
          <w:lang w:val="en-US"/>
        </w:rPr>
        <w:t>This article aims to make some brief reflections on the processes of identity, memory and ethnic construction of Syrian and Lebanese immigrants in the first decades of the 20th century. It is intended to understand the forms of inc</w:t>
      </w:r>
      <w:r w:rsidRPr="0077174F">
        <w:rPr>
          <w:rFonts w:ascii="Times New Roman" w:eastAsia="Times New Roman" w:hAnsi="Times New Roman" w:cs="Times New Roman"/>
          <w:color w:val="212121"/>
          <w:sz w:val="24"/>
          <w:szCs w:val="24"/>
          <w:highlight w:val="white"/>
          <w:lang w:val="en-US"/>
        </w:rPr>
        <w:t>lusion that groups have created for social insertion. They emphasize the mechanisms created as a form of belonging, without abandoning the idiosyncrasies and fears in the new way to be lived with differences as a form of challenge.</w:t>
      </w:r>
    </w:p>
    <w:p w14:paraId="00000010" w14:textId="77777777" w:rsidR="006F5E28" w:rsidRPr="0077174F" w:rsidRDefault="006F5E28">
      <w:pPr>
        <w:rPr>
          <w:rFonts w:ascii="Times New Roman" w:eastAsia="Times New Roman" w:hAnsi="Times New Roman" w:cs="Times New Roman"/>
          <w:sz w:val="24"/>
          <w:szCs w:val="24"/>
          <w:lang w:val="en-US"/>
        </w:rPr>
      </w:pPr>
    </w:p>
    <w:p w14:paraId="00000011" w14:textId="77777777" w:rsidR="006F5E28" w:rsidRPr="0077174F" w:rsidRDefault="00FB34BD">
      <w:pPr>
        <w:rPr>
          <w:rFonts w:ascii="Times New Roman" w:eastAsia="Times New Roman" w:hAnsi="Times New Roman" w:cs="Times New Roman"/>
          <w:color w:val="212121"/>
          <w:sz w:val="24"/>
          <w:szCs w:val="24"/>
          <w:highlight w:val="white"/>
          <w:lang w:val="en-US"/>
        </w:rPr>
      </w:pPr>
      <w:r w:rsidRPr="0077174F">
        <w:rPr>
          <w:rFonts w:ascii="Times New Roman" w:eastAsia="Times New Roman" w:hAnsi="Times New Roman" w:cs="Times New Roman"/>
          <w:color w:val="212121"/>
          <w:sz w:val="24"/>
          <w:szCs w:val="24"/>
          <w:highlight w:val="white"/>
          <w:lang w:val="en-US"/>
        </w:rPr>
        <w:t>Keywords: Syrian and Le</w:t>
      </w:r>
      <w:r w:rsidRPr="0077174F">
        <w:rPr>
          <w:rFonts w:ascii="Times New Roman" w:eastAsia="Times New Roman" w:hAnsi="Times New Roman" w:cs="Times New Roman"/>
          <w:color w:val="212121"/>
          <w:sz w:val="24"/>
          <w:szCs w:val="24"/>
          <w:highlight w:val="white"/>
          <w:lang w:val="en-US"/>
        </w:rPr>
        <w:t>banese, memories, ethnicity</w:t>
      </w:r>
    </w:p>
    <w:p w14:paraId="00000012" w14:textId="77777777" w:rsidR="006F5E28" w:rsidRPr="0077174F" w:rsidRDefault="006F5E28">
      <w:pPr>
        <w:rPr>
          <w:rFonts w:ascii="Times New Roman" w:eastAsia="Times New Roman" w:hAnsi="Times New Roman" w:cs="Times New Roman"/>
          <w:sz w:val="24"/>
          <w:szCs w:val="24"/>
          <w:lang w:val="en-US"/>
        </w:rPr>
      </w:pPr>
    </w:p>
    <w:p w14:paraId="00000013" w14:textId="77777777" w:rsidR="006F5E28" w:rsidRPr="0077174F" w:rsidRDefault="006F5E28">
      <w:pPr>
        <w:rPr>
          <w:rFonts w:ascii="Times New Roman" w:eastAsia="Times New Roman" w:hAnsi="Times New Roman" w:cs="Times New Roman"/>
          <w:sz w:val="24"/>
          <w:szCs w:val="24"/>
          <w:lang w:val="en-US"/>
        </w:rPr>
      </w:pPr>
    </w:p>
    <w:p w14:paraId="00000014" w14:textId="77777777" w:rsidR="006F5E28" w:rsidRDefault="00FB34BD">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Pensar em qualificar o imigrante com alguma palavra seria reduzir</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uma vida a algumas letras. Mas há como se pensar que o imigrante é</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aquele que, francamente,  vive</w:t>
      </w:r>
      <w:r>
        <w:rPr>
          <w:rFonts w:ascii="Times New Roman" w:eastAsia="Times New Roman" w:hAnsi="Times New Roman" w:cs="Times New Roman"/>
          <w:sz w:val="24"/>
          <w:szCs w:val="24"/>
          <w:highlight w:val="white"/>
        </w:rPr>
        <w:t xml:space="preserve"> uma</w:t>
      </w:r>
      <w:r>
        <w:rPr>
          <w:rFonts w:ascii="Times New Roman" w:eastAsia="Times New Roman" w:hAnsi="Times New Roman" w:cs="Times New Roman"/>
          <w:sz w:val="24"/>
          <w:szCs w:val="24"/>
        </w:rPr>
        <w:t xml:space="preserve"> trajetória que envolve uma série de idiossincrasias  sobre o desamparo, a dano e, contrariamente, o original. </w:t>
      </w:r>
    </w:p>
    <w:p w14:paraId="00000015" w14:textId="77777777" w:rsidR="006F5E28" w:rsidRDefault="00FB34BD">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O emigrante sai de sua terra com o objetivo de estabelecer-se em outro local em busca de uma vida melhor, que ele muitas vezes não conseguiria s</w:t>
      </w:r>
      <w:r>
        <w:rPr>
          <w:rFonts w:ascii="Times New Roman" w:eastAsia="Times New Roman" w:hAnsi="Times New Roman" w:cs="Times New Roman"/>
          <w:sz w:val="24"/>
          <w:szCs w:val="24"/>
        </w:rPr>
        <w:t xml:space="preserve">e continuasse estabelecido em sua cidade natal, mas com o sonho de ser uma vida de situações provisórias.  </w:t>
      </w:r>
    </w:p>
    <w:p w14:paraId="00000016" w14:textId="77777777" w:rsidR="006F5E28" w:rsidRDefault="00FB34BD">
      <w:pPr>
        <w:ind w:firstLine="708"/>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lastRenderedPageBreak/>
        <w:t xml:space="preserve"> Incidir por essa trajetória</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de deixar seu lugar de genealogia, sua terra natal e se lançar a um local ainda incógnito não é tarefa das mais simple</w:t>
      </w:r>
      <w:r>
        <w:rPr>
          <w:rFonts w:ascii="Times New Roman" w:eastAsia="Times New Roman" w:hAnsi="Times New Roman" w:cs="Times New Roman"/>
          <w:sz w:val="24"/>
          <w:szCs w:val="24"/>
        </w:rPr>
        <w:t>s, na medida em que envolve uma série de enigmas com relação a uma nova língua que precisará ser aprendida, com uma nova cultura a ser trabalhada e com novas pessoas com as quais para sobreviver haverá necessidade de estabelecer relações que às vezes não s</w:t>
      </w:r>
      <w:r>
        <w:rPr>
          <w:rFonts w:ascii="Times New Roman" w:eastAsia="Times New Roman" w:hAnsi="Times New Roman" w:cs="Times New Roman"/>
          <w:sz w:val="24"/>
          <w:szCs w:val="24"/>
        </w:rPr>
        <w:t xml:space="preserve">erão muito pacíficas. Porém, na maioria dos casos, o que acontece é a </w:t>
      </w:r>
      <w:r>
        <w:rPr>
          <w:rFonts w:ascii="Times New Roman" w:eastAsia="Times New Roman" w:hAnsi="Times New Roman" w:cs="Times New Roman"/>
          <w:sz w:val="24"/>
          <w:szCs w:val="24"/>
          <w:highlight w:val="white"/>
        </w:rPr>
        <w:t xml:space="preserve">permanência </w:t>
      </w:r>
      <w:r>
        <w:rPr>
          <w:rFonts w:ascii="Times New Roman" w:eastAsia="Times New Roman" w:hAnsi="Times New Roman" w:cs="Times New Roman"/>
          <w:sz w:val="24"/>
          <w:szCs w:val="24"/>
        </w:rPr>
        <w:t>deste na sociedade que escolheu para trabalhar, um</w:t>
      </w:r>
      <w:r>
        <w:rPr>
          <w:rFonts w:ascii="Times New Roman" w:eastAsia="Times New Roman" w:hAnsi="Times New Roman" w:cs="Times New Roman"/>
          <w:sz w:val="24"/>
          <w:szCs w:val="24"/>
          <w:highlight w:val="white"/>
        </w:rPr>
        <w:t>a estada</w:t>
      </w:r>
      <w:proofErr w:type="gramStart"/>
      <w:r>
        <w:rPr>
          <w:rFonts w:ascii="Times New Roman" w:eastAsia="Times New Roman" w:hAnsi="Times New Roman" w:cs="Times New Roman"/>
          <w:sz w:val="24"/>
          <w:szCs w:val="24"/>
          <w:highlight w:val="white"/>
        </w:rPr>
        <w:t xml:space="preserve">  </w:t>
      </w:r>
      <w:proofErr w:type="gramEnd"/>
      <w:r>
        <w:rPr>
          <w:rFonts w:ascii="Times New Roman" w:eastAsia="Times New Roman" w:hAnsi="Times New Roman" w:cs="Times New Roman"/>
          <w:sz w:val="24"/>
          <w:szCs w:val="24"/>
        </w:rPr>
        <w:t>que não é decidida a princípio, e que faz parte de uma dupla contradição: “[...] não se sabe mais se se trata de u</w:t>
      </w:r>
      <w:r>
        <w:rPr>
          <w:rFonts w:ascii="Times New Roman" w:eastAsia="Times New Roman" w:hAnsi="Times New Roman" w:cs="Times New Roman"/>
          <w:sz w:val="24"/>
          <w:szCs w:val="24"/>
        </w:rPr>
        <w:t>m estado provisório que se gosta de prolongar indefinidamente ou, ao contrário, se se trata de um estado mais duradouro, mas que se gosta de viver com um intenso sentimento de provisoriedade”.</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O fenômeno imigratório contribui “para dissimular a si mesmo </w:t>
      </w:r>
      <w:r>
        <w:rPr>
          <w:rFonts w:ascii="Times New Roman" w:eastAsia="Times New Roman" w:hAnsi="Times New Roman" w:cs="Times New Roman"/>
          <w:sz w:val="24"/>
          <w:szCs w:val="24"/>
        </w:rPr>
        <w:t>sua própria verdade”</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t>
      </w:r>
    </w:p>
    <w:p w14:paraId="00000017" w14:textId="77777777" w:rsidR="006F5E28" w:rsidRDefault="00FB34BD">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Há que se pensar em um recorte regional do Oriente Médio e adequar algumas categorias como cristãos da região da </w:t>
      </w:r>
      <w:r>
        <w:rPr>
          <w:rFonts w:ascii="Times New Roman" w:eastAsia="Times New Roman" w:hAnsi="Times New Roman" w:cs="Times New Roman"/>
          <w:sz w:val="24"/>
          <w:szCs w:val="24"/>
          <w:highlight w:val="white"/>
        </w:rPr>
        <w:t xml:space="preserve">Síria </w:t>
      </w:r>
      <w:r>
        <w:rPr>
          <w:rFonts w:ascii="Times New Roman" w:eastAsia="Times New Roman" w:hAnsi="Times New Roman" w:cs="Times New Roman"/>
          <w:sz w:val="24"/>
          <w:szCs w:val="24"/>
        </w:rPr>
        <w:t>e do Líbano, entendendo o processo de inserção dos imigrantes sírios e libaneses, em especial no município do Rio</w:t>
      </w:r>
      <w:r>
        <w:rPr>
          <w:rFonts w:ascii="Times New Roman" w:eastAsia="Times New Roman" w:hAnsi="Times New Roman" w:cs="Times New Roman"/>
          <w:sz w:val="24"/>
          <w:szCs w:val="24"/>
        </w:rPr>
        <w:t xml:space="preserve"> de Janeiro e em Niterói: apontando alguns fatores de inclusão na área de trabalho, na sociedade como imigrante e ou percorrendo um processo de diáspora. </w:t>
      </w:r>
    </w:p>
    <w:p w14:paraId="00000018" w14:textId="77777777" w:rsidR="006F5E28" w:rsidRDefault="00FB34BD">
      <w:pPr>
        <w:ind w:firstLine="708"/>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Para tal entendimento faz-se necessário percorrer um pouco do contexto histórico do grupo em questão.</w:t>
      </w:r>
      <w:r>
        <w:rPr>
          <w:rFonts w:ascii="Times New Roman" w:eastAsia="Times New Roman" w:hAnsi="Times New Roman" w:cs="Times New Roman"/>
          <w:sz w:val="24"/>
          <w:szCs w:val="24"/>
        </w:rPr>
        <w:t xml:space="preserve"> A primeira grande leva de árabes chegou ao Brasil por volta do ano de 1880, motivada especialmente pela crise do império turco-otomano. De acordo com a historiadora Samira </w:t>
      </w:r>
      <w:proofErr w:type="spellStart"/>
      <w:r>
        <w:rPr>
          <w:rFonts w:ascii="Times New Roman" w:eastAsia="Times New Roman" w:hAnsi="Times New Roman" w:cs="Times New Roman"/>
          <w:sz w:val="24"/>
          <w:szCs w:val="24"/>
        </w:rPr>
        <w:t>Adel</w:t>
      </w:r>
      <w:proofErr w:type="spellEnd"/>
      <w:r>
        <w:rPr>
          <w:rFonts w:ascii="Times New Roman" w:eastAsia="Times New Roman" w:hAnsi="Times New Roman" w:cs="Times New Roman"/>
          <w:sz w:val="24"/>
          <w:szCs w:val="24"/>
        </w:rPr>
        <w:t xml:space="preserve"> Osman, professora da Unifesp e especialista em imigração árabe, naquela época,</w:t>
      </w:r>
      <w:r>
        <w:rPr>
          <w:rFonts w:ascii="Times New Roman" w:eastAsia="Times New Roman" w:hAnsi="Times New Roman" w:cs="Times New Roman"/>
          <w:sz w:val="24"/>
          <w:szCs w:val="24"/>
        </w:rPr>
        <w:t xml:space="preserve"> a grande maioria dos árabes que chegaram ao Brasil </w:t>
      </w:r>
      <w:proofErr w:type="gramStart"/>
      <w:r>
        <w:rPr>
          <w:rFonts w:ascii="Times New Roman" w:eastAsia="Times New Roman" w:hAnsi="Times New Roman" w:cs="Times New Roman"/>
          <w:sz w:val="24"/>
          <w:szCs w:val="24"/>
        </w:rPr>
        <w:t>eram cristãos</w:t>
      </w:r>
      <w:proofErr w:type="gramEnd"/>
      <w:r>
        <w:rPr>
          <w:rFonts w:ascii="Times New Roman" w:eastAsia="Times New Roman" w:hAnsi="Times New Roman" w:cs="Times New Roman"/>
          <w:sz w:val="24"/>
          <w:szCs w:val="24"/>
        </w:rPr>
        <w:t>, e sonhavam em retornar para seus países depois de terem aproveitado a oportunidade de fazer dinheiro no Brasil. Somando imigrantes e seus descendentes, a comunidade árabe no Brasil</w:t>
      </w:r>
      <w:r>
        <w:rPr>
          <w:rFonts w:ascii="Times New Roman" w:eastAsia="Times New Roman" w:hAnsi="Times New Roman" w:cs="Times New Roman"/>
          <w:sz w:val="24"/>
          <w:szCs w:val="24"/>
          <w:highlight w:val="white"/>
        </w:rPr>
        <w:t xml:space="preserve"> soma mai</w:t>
      </w:r>
      <w:r>
        <w:rPr>
          <w:rFonts w:ascii="Times New Roman" w:eastAsia="Times New Roman" w:hAnsi="Times New Roman" w:cs="Times New Roman"/>
          <w:sz w:val="24"/>
          <w:szCs w:val="24"/>
          <w:highlight w:val="white"/>
        </w:rPr>
        <w:t>s de 16 milhões de pessoas, o que equivale a quase 8% da população nacional.</w:t>
      </w:r>
    </w:p>
    <w:p w14:paraId="00000019" w14:textId="77777777" w:rsidR="006F5E28" w:rsidRDefault="00FB34BD">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 como viver numa sociedade e num país tão diferente e tão múltiplo como o Brasil? Como manter a identidade em momentos de incertezas e inquietudes? </w:t>
      </w:r>
      <w:proofErr w:type="spellStart"/>
      <w:r>
        <w:rPr>
          <w:rFonts w:ascii="Times New Roman" w:eastAsia="Times New Roman" w:hAnsi="Times New Roman" w:cs="Times New Roman"/>
          <w:sz w:val="24"/>
          <w:szCs w:val="24"/>
        </w:rPr>
        <w:t>Zygmunt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Bauman</w:t>
      </w:r>
      <w:proofErr w:type="spellEnd"/>
      <w:r>
        <w:rPr>
          <w:rFonts w:ascii="Times New Roman" w:eastAsia="Times New Roman" w:hAnsi="Times New Roman" w:cs="Times New Roman"/>
          <w:sz w:val="24"/>
          <w:szCs w:val="24"/>
        </w:rPr>
        <w:t xml:space="preserve"> afirma que:</w:t>
      </w:r>
    </w:p>
    <w:p w14:paraId="0000001A" w14:textId="77777777" w:rsidR="006F5E28" w:rsidRDefault="006F5E28">
      <w:pPr>
        <w:spacing w:line="240" w:lineRule="auto"/>
        <w:rPr>
          <w:rFonts w:ascii="Times New Roman" w:eastAsia="Times New Roman" w:hAnsi="Times New Roman" w:cs="Times New Roman"/>
          <w:sz w:val="28"/>
          <w:szCs w:val="28"/>
        </w:rPr>
      </w:pPr>
    </w:p>
    <w:p w14:paraId="0000001B" w14:textId="77777777" w:rsidR="006F5E28" w:rsidRDefault="00FB34BD">
      <w:pPr>
        <w:spacing w:line="240" w:lineRule="auto"/>
        <w:ind w:left="2540"/>
        <w:rPr>
          <w:rFonts w:ascii="Times New Roman" w:eastAsia="Times New Roman" w:hAnsi="Times New Roman" w:cs="Times New Roman"/>
          <w:i/>
          <w:sz w:val="20"/>
          <w:szCs w:val="20"/>
        </w:rPr>
      </w:pPr>
      <w:r>
        <w:rPr>
          <w:rFonts w:ascii="Times New Roman" w:eastAsia="Times New Roman" w:hAnsi="Times New Roman" w:cs="Times New Roman"/>
          <w:i/>
          <w:sz w:val="20"/>
          <w:szCs w:val="20"/>
        </w:rPr>
        <w:lastRenderedPageBreak/>
        <w:t xml:space="preserve">                                               Em nosso mundo de “individualização” em excesso, as identidades são benção ambíguas, oscilam entre o sonho e o pesadelo, e não há como dizer quando um se transforma no outro. Na maior parte do tempo, essas dua</w:t>
      </w:r>
      <w:r>
        <w:rPr>
          <w:rFonts w:ascii="Times New Roman" w:eastAsia="Times New Roman" w:hAnsi="Times New Roman" w:cs="Times New Roman"/>
          <w:i/>
          <w:sz w:val="20"/>
          <w:szCs w:val="20"/>
        </w:rPr>
        <w:t>s modalidades líquido-moderno de identidades coabitam, mesmo que localizadas em diferentes níveis de consciência. Num ambiente de vida líquido-moderno, as identidades talvez sejam encarnações mais comuns, mais aguçadas, mais profundamente sentidas e pertur</w:t>
      </w:r>
      <w:r>
        <w:rPr>
          <w:rFonts w:ascii="Times New Roman" w:eastAsia="Times New Roman" w:hAnsi="Times New Roman" w:cs="Times New Roman"/>
          <w:i/>
          <w:sz w:val="20"/>
          <w:szCs w:val="20"/>
        </w:rPr>
        <w:t>badoras da ambivalência. É por isso, diria eu, que estão firmemente assentadas no próprio cerne da atenção dos indivíduos liquido-modernos e colocadas no topo de seus debates existenciais. (BAUMAN 2005. p.38)</w:t>
      </w:r>
      <w:r>
        <w:rPr>
          <w:rFonts w:ascii="Times New Roman" w:eastAsia="Times New Roman" w:hAnsi="Times New Roman" w:cs="Times New Roman"/>
          <w:i/>
          <w:sz w:val="20"/>
          <w:szCs w:val="20"/>
          <w:vertAlign w:val="superscript"/>
        </w:rPr>
        <w:t xml:space="preserve"> </w:t>
      </w:r>
      <w:r>
        <w:rPr>
          <w:rFonts w:ascii="Times New Roman" w:eastAsia="Times New Roman" w:hAnsi="Times New Roman" w:cs="Times New Roman"/>
          <w:i/>
          <w:sz w:val="20"/>
          <w:szCs w:val="20"/>
          <w:vertAlign w:val="superscript"/>
        </w:rPr>
        <w:footnoteReference w:id="3"/>
      </w:r>
    </w:p>
    <w:p w14:paraId="0000001C" w14:textId="77777777" w:rsidR="006F5E28" w:rsidRDefault="006F5E28">
      <w:pPr>
        <w:spacing w:line="240" w:lineRule="auto"/>
        <w:ind w:left="2540"/>
        <w:rPr>
          <w:rFonts w:ascii="Times New Roman" w:eastAsia="Times New Roman" w:hAnsi="Times New Roman" w:cs="Times New Roman"/>
          <w:sz w:val="20"/>
          <w:szCs w:val="20"/>
        </w:rPr>
      </w:pPr>
    </w:p>
    <w:p w14:paraId="0000001D" w14:textId="77777777" w:rsidR="006F5E28" w:rsidRDefault="006F5E28">
      <w:pPr>
        <w:spacing w:line="249" w:lineRule="auto"/>
        <w:rPr>
          <w:rFonts w:ascii="Times New Roman" w:eastAsia="Times New Roman" w:hAnsi="Times New Roman" w:cs="Times New Roman"/>
          <w:sz w:val="20"/>
          <w:szCs w:val="20"/>
        </w:rPr>
      </w:pPr>
    </w:p>
    <w:p w14:paraId="0000001E" w14:textId="77777777" w:rsidR="006F5E28" w:rsidRDefault="006F5E28">
      <w:pPr>
        <w:spacing w:line="240" w:lineRule="auto"/>
        <w:rPr>
          <w:rFonts w:ascii="Times New Roman" w:eastAsia="Times New Roman" w:hAnsi="Times New Roman" w:cs="Times New Roman"/>
          <w:sz w:val="20"/>
          <w:szCs w:val="20"/>
          <w:highlight w:val="white"/>
        </w:rPr>
      </w:pPr>
    </w:p>
    <w:p w14:paraId="0000001F" w14:textId="77777777" w:rsidR="006F5E28" w:rsidRDefault="00FB34BD">
      <w:pPr>
        <w:spacing w:line="350" w:lineRule="auto"/>
        <w:ind w:left="260" w:right="20" w:firstLine="448"/>
        <w:rPr>
          <w:rFonts w:ascii="Times New Roman" w:eastAsia="Times New Roman" w:hAnsi="Times New Roman" w:cs="Times New Roman"/>
          <w:sz w:val="20"/>
          <w:szCs w:val="20"/>
          <w:highlight w:val="white"/>
        </w:rPr>
      </w:pPr>
      <w:r>
        <w:rPr>
          <w:rFonts w:ascii="Times New Roman" w:eastAsia="Times New Roman" w:hAnsi="Times New Roman" w:cs="Times New Roman"/>
          <w:sz w:val="24"/>
          <w:szCs w:val="24"/>
          <w:highlight w:val="white"/>
        </w:rPr>
        <w:t>Desta forma, na busca de compreensão sobre a</w:t>
      </w:r>
      <w:proofErr w:type="gramStart"/>
      <w:r>
        <w:rPr>
          <w:rFonts w:ascii="Times New Roman" w:eastAsia="Times New Roman" w:hAnsi="Times New Roman" w:cs="Times New Roman"/>
          <w:sz w:val="24"/>
          <w:szCs w:val="24"/>
          <w:highlight w:val="white"/>
        </w:rPr>
        <w:t xml:space="preserve">  </w:t>
      </w:r>
      <w:proofErr w:type="gramEnd"/>
      <w:r>
        <w:rPr>
          <w:rFonts w:ascii="Times New Roman" w:eastAsia="Times New Roman" w:hAnsi="Times New Roman" w:cs="Times New Roman"/>
          <w:sz w:val="24"/>
          <w:szCs w:val="24"/>
          <w:highlight w:val="white"/>
        </w:rPr>
        <w:t xml:space="preserve">sociedade contemporânea há que se refletir , em especial, sobre a  modernidade líquida,   termo utilizado por </w:t>
      </w:r>
      <w:proofErr w:type="spellStart"/>
      <w:r>
        <w:rPr>
          <w:rFonts w:ascii="Times New Roman" w:eastAsia="Times New Roman" w:hAnsi="Times New Roman" w:cs="Times New Roman"/>
          <w:sz w:val="24"/>
          <w:szCs w:val="24"/>
          <w:highlight w:val="white"/>
        </w:rPr>
        <w:t>Bauman</w:t>
      </w:r>
      <w:proofErr w:type="spellEnd"/>
      <w:r>
        <w:rPr>
          <w:rFonts w:ascii="Times New Roman" w:eastAsia="Times New Roman" w:hAnsi="Times New Roman" w:cs="Times New Roman"/>
          <w:sz w:val="24"/>
          <w:szCs w:val="24"/>
          <w:highlight w:val="white"/>
        </w:rPr>
        <w:t>, em sua análise sobre a sociedade contemporânea, sobre os tempos líquidos o autor afirma que:</w:t>
      </w:r>
    </w:p>
    <w:p w14:paraId="00000020" w14:textId="77777777" w:rsidR="006F5E28" w:rsidRDefault="006F5E28">
      <w:pPr>
        <w:spacing w:line="240" w:lineRule="auto"/>
        <w:rPr>
          <w:rFonts w:ascii="Times New Roman" w:eastAsia="Times New Roman" w:hAnsi="Times New Roman" w:cs="Times New Roman"/>
          <w:sz w:val="20"/>
          <w:szCs w:val="20"/>
          <w:highlight w:val="white"/>
        </w:rPr>
      </w:pPr>
    </w:p>
    <w:p w14:paraId="00000021" w14:textId="77777777" w:rsidR="006F5E28" w:rsidRDefault="00FB34BD">
      <w:pPr>
        <w:spacing w:line="240" w:lineRule="auto"/>
        <w:ind w:left="2540"/>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 xml:space="preserve">                                           Enquanto os sólidos têm dimensões espaciais claras, mas neutralizam o impacto e, portanto, </w:t>
      </w:r>
      <w:proofErr w:type="gramStart"/>
      <w:r>
        <w:rPr>
          <w:rFonts w:ascii="Times New Roman" w:eastAsia="Times New Roman" w:hAnsi="Times New Roman" w:cs="Times New Roman"/>
          <w:i/>
          <w:sz w:val="20"/>
          <w:szCs w:val="20"/>
          <w:highlight w:val="white"/>
        </w:rPr>
        <w:t>diminuem</w:t>
      </w:r>
      <w:proofErr w:type="gramEnd"/>
      <w:r>
        <w:rPr>
          <w:rFonts w:ascii="Times New Roman" w:eastAsia="Times New Roman" w:hAnsi="Times New Roman" w:cs="Times New Roman"/>
          <w:i/>
          <w:sz w:val="20"/>
          <w:szCs w:val="20"/>
          <w:highlight w:val="white"/>
        </w:rPr>
        <w:t xml:space="preserve"> a significação do tempo (resistem efetivamente a seu fluxo ou o tornam irrelevante), os fluidos não se atêm mui</w:t>
      </w:r>
      <w:r>
        <w:rPr>
          <w:rFonts w:ascii="Times New Roman" w:eastAsia="Times New Roman" w:hAnsi="Times New Roman" w:cs="Times New Roman"/>
          <w:i/>
          <w:sz w:val="20"/>
          <w:szCs w:val="20"/>
          <w:highlight w:val="white"/>
        </w:rPr>
        <w:t>to a qualquer forma e estão constantemente prontos (e propensos) a mudá-la, assim, para eles, o que conta é o tempo, mais do que espaço que lhes toca a ocupar; espaço que, afinal, preenchem apenas “por um momento”. Em certo sentido os sólidos suprimem o te</w:t>
      </w:r>
      <w:r>
        <w:rPr>
          <w:rFonts w:ascii="Times New Roman" w:eastAsia="Times New Roman" w:hAnsi="Times New Roman" w:cs="Times New Roman"/>
          <w:i/>
          <w:sz w:val="20"/>
          <w:szCs w:val="20"/>
          <w:highlight w:val="white"/>
        </w:rPr>
        <w:t xml:space="preserve">mpo; para os líquidos ao contrário o tempo é o que </w:t>
      </w:r>
      <w:proofErr w:type="gramStart"/>
      <w:r>
        <w:rPr>
          <w:rFonts w:ascii="Times New Roman" w:eastAsia="Times New Roman" w:hAnsi="Times New Roman" w:cs="Times New Roman"/>
          <w:i/>
          <w:sz w:val="20"/>
          <w:szCs w:val="20"/>
          <w:highlight w:val="white"/>
        </w:rPr>
        <w:t>importa.</w:t>
      </w:r>
      <w:proofErr w:type="gramEnd"/>
      <w:r>
        <w:rPr>
          <w:rFonts w:ascii="Times New Roman" w:eastAsia="Times New Roman" w:hAnsi="Times New Roman" w:cs="Times New Roman"/>
          <w:i/>
          <w:sz w:val="20"/>
          <w:szCs w:val="20"/>
          <w:highlight w:val="white"/>
        </w:rPr>
        <w:t>( BAUMAN, 2001. p.08)</w:t>
      </w:r>
      <w:r>
        <w:rPr>
          <w:rFonts w:ascii="Times New Roman" w:eastAsia="Times New Roman" w:hAnsi="Times New Roman" w:cs="Times New Roman"/>
          <w:i/>
          <w:sz w:val="20"/>
          <w:szCs w:val="20"/>
          <w:highlight w:val="white"/>
          <w:vertAlign w:val="superscript"/>
        </w:rPr>
        <w:footnoteReference w:id="4"/>
      </w:r>
    </w:p>
    <w:p w14:paraId="00000022" w14:textId="77777777" w:rsidR="006F5E28" w:rsidRDefault="006F5E28">
      <w:pPr>
        <w:spacing w:line="240" w:lineRule="auto"/>
        <w:ind w:left="2540"/>
        <w:rPr>
          <w:rFonts w:ascii="Times New Roman" w:eastAsia="Times New Roman" w:hAnsi="Times New Roman" w:cs="Times New Roman"/>
          <w:i/>
          <w:sz w:val="20"/>
          <w:szCs w:val="20"/>
          <w:highlight w:val="white"/>
        </w:rPr>
      </w:pPr>
    </w:p>
    <w:p w14:paraId="00000023" w14:textId="77777777" w:rsidR="006F5E28" w:rsidRDefault="00FB34BD">
      <w:pPr>
        <w:spacing w:line="358" w:lineRule="auto"/>
        <w:ind w:left="260" w:firstLine="44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Para tanto, buscando manter a discussão sobre as imigrações na perspectiva das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idiossincrasias e sonhos faz-se necessário abordar a questão da  ambivalência como uma form</w:t>
      </w:r>
      <w:r>
        <w:rPr>
          <w:rFonts w:ascii="Times New Roman" w:eastAsia="Times New Roman" w:hAnsi="Times New Roman" w:cs="Times New Roman"/>
          <w:sz w:val="24"/>
          <w:szCs w:val="24"/>
        </w:rPr>
        <w:t>a  constante das identidades nos tempos líquidos, pois não existe uma identidade fechada, acabada, imutável, conforme o momento histórico, o contato com determinado grupo ou em situação específica podem fazer como que os indivíduos exaltem certo aspecto de</w:t>
      </w:r>
      <w:r>
        <w:rPr>
          <w:rFonts w:ascii="Times New Roman" w:eastAsia="Times New Roman" w:hAnsi="Times New Roman" w:cs="Times New Roman"/>
          <w:sz w:val="24"/>
          <w:szCs w:val="24"/>
        </w:rPr>
        <w:t xml:space="preserve"> sua identidade. Um exemplo seria exaltar a nacionalidade ao visitar outro país, ou ainda a religiosidade ao receber um convite para um casamento ou batizado, os regionalismos podem aflorar em uma viagem em seu próprio país, questões étnicas podem surgir e</w:t>
      </w:r>
      <w:r>
        <w:rPr>
          <w:rFonts w:ascii="Times New Roman" w:eastAsia="Times New Roman" w:hAnsi="Times New Roman" w:cs="Times New Roman"/>
          <w:sz w:val="24"/>
          <w:szCs w:val="24"/>
        </w:rPr>
        <w:t>m uma conversa com um vizinho. Em tempos de liquidez uma identidade vai se sobrepondo à outra conforme o contexto em que o indivíduo se encontra.</w:t>
      </w:r>
    </w:p>
    <w:p w14:paraId="00000024" w14:textId="77777777" w:rsidR="006F5E28" w:rsidRDefault="00FB34BD">
      <w:pPr>
        <w:spacing w:line="358" w:lineRule="auto"/>
        <w:rPr>
          <w:rFonts w:ascii="Times New Roman" w:eastAsia="Times New Roman" w:hAnsi="Times New Roman" w:cs="Times New Roman"/>
          <w:sz w:val="20"/>
          <w:szCs w:val="20"/>
        </w:rPr>
      </w:pPr>
      <w:bookmarkStart w:id="1" w:name="30j0zll" w:colFirst="0" w:colLast="0"/>
      <w:bookmarkStart w:id="2" w:name="1fob9te" w:colFirst="0" w:colLast="0"/>
      <w:bookmarkEnd w:id="1"/>
      <w:bookmarkEnd w:id="2"/>
      <w:r>
        <w:rPr>
          <w:rFonts w:ascii="Times New Roman" w:eastAsia="Times New Roman" w:hAnsi="Times New Roman" w:cs="Times New Roman"/>
          <w:i/>
          <w:sz w:val="20"/>
          <w:szCs w:val="20"/>
        </w:rPr>
        <w:lastRenderedPageBreak/>
        <w:t xml:space="preserve">               </w:t>
      </w:r>
      <w:r>
        <w:rPr>
          <w:rFonts w:ascii="Times New Roman" w:eastAsia="Times New Roman" w:hAnsi="Times New Roman" w:cs="Times New Roman"/>
          <w:sz w:val="24"/>
          <w:szCs w:val="24"/>
        </w:rPr>
        <w:t>Se as identidades variam conforme a conjuntura em que o indivíduo se encontra (BAUMAN, 2005), a</w:t>
      </w:r>
      <w:r>
        <w:rPr>
          <w:rFonts w:ascii="Times New Roman" w:eastAsia="Times New Roman" w:hAnsi="Times New Roman" w:cs="Times New Roman"/>
          <w:sz w:val="24"/>
          <w:szCs w:val="24"/>
        </w:rPr>
        <w:t xml:space="preserve"> memória também há de sofrer controles do presente. Sobre a afinidade da memória, passado e presente, </w:t>
      </w:r>
      <w:proofErr w:type="spellStart"/>
      <w:r>
        <w:rPr>
          <w:rFonts w:ascii="Times New Roman" w:eastAsia="Times New Roman" w:hAnsi="Times New Roman" w:cs="Times New Roman"/>
          <w:sz w:val="24"/>
          <w:szCs w:val="24"/>
        </w:rPr>
        <w:t>Hobsbawm</w:t>
      </w:r>
      <w:proofErr w:type="spellEnd"/>
      <w:r>
        <w:rPr>
          <w:rFonts w:ascii="Times New Roman" w:eastAsia="Times New Roman" w:hAnsi="Times New Roman" w:cs="Times New Roman"/>
          <w:sz w:val="24"/>
          <w:szCs w:val="24"/>
        </w:rPr>
        <w:t xml:space="preserve"> assegura que: “Todos os seres humanos e sociedades estão organizados no passado – o de suas famílias, comunidades, nações ou outros grupos de ref</w:t>
      </w:r>
      <w:r>
        <w:rPr>
          <w:rFonts w:ascii="Times New Roman" w:eastAsia="Times New Roman" w:hAnsi="Times New Roman" w:cs="Times New Roman"/>
          <w:sz w:val="24"/>
          <w:szCs w:val="24"/>
        </w:rPr>
        <w:t>erência, ou mesmo de memória pessoal – e todos definem sua posição em relação a ele, positiva ou negativamente.” (HOBSBAWM, 1998. p.50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Desta forma, as acolhidas e os costumes são representativos destes grupos de referência e podem confirmar para a concep</w:t>
      </w:r>
      <w:r>
        <w:rPr>
          <w:rFonts w:ascii="Times New Roman" w:eastAsia="Times New Roman" w:hAnsi="Times New Roman" w:cs="Times New Roman"/>
          <w:sz w:val="24"/>
          <w:szCs w:val="24"/>
        </w:rPr>
        <w:t xml:space="preserve">ção tanto das identidades como das memórias individuais e coletivas. </w:t>
      </w:r>
      <w:proofErr w:type="spellStart"/>
      <w:r>
        <w:rPr>
          <w:rFonts w:ascii="Times New Roman" w:eastAsia="Times New Roman" w:hAnsi="Times New Roman" w:cs="Times New Roman"/>
          <w:sz w:val="24"/>
          <w:szCs w:val="24"/>
        </w:rPr>
        <w:t>Tedesco</w:t>
      </w:r>
      <w:proofErr w:type="spellEnd"/>
      <w:r>
        <w:rPr>
          <w:rFonts w:ascii="Times New Roman" w:eastAsia="Times New Roman" w:hAnsi="Times New Roman" w:cs="Times New Roman"/>
          <w:sz w:val="24"/>
          <w:szCs w:val="24"/>
        </w:rPr>
        <w:t xml:space="preserve"> arrazoa sobre a memória como escolha afirmando que:</w:t>
      </w:r>
    </w:p>
    <w:p w14:paraId="00000025" w14:textId="77777777" w:rsidR="006F5E28" w:rsidRDefault="006F5E28">
      <w:pPr>
        <w:spacing w:line="240" w:lineRule="auto"/>
        <w:rPr>
          <w:rFonts w:ascii="Times New Roman" w:eastAsia="Times New Roman" w:hAnsi="Times New Roman" w:cs="Times New Roman"/>
          <w:sz w:val="20"/>
          <w:szCs w:val="20"/>
        </w:rPr>
      </w:pPr>
    </w:p>
    <w:p w14:paraId="00000026" w14:textId="77777777" w:rsidR="006F5E28" w:rsidRDefault="00FB34BD">
      <w:pPr>
        <w:spacing w:line="240" w:lineRule="auto"/>
        <w:ind w:left="2540"/>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Na modernidade, a memória não aparece mais como um depósito, mas como uma pluralidade d</w:t>
      </w:r>
      <w:r>
        <w:rPr>
          <w:rFonts w:ascii="Times New Roman" w:eastAsia="Times New Roman" w:hAnsi="Times New Roman" w:cs="Times New Roman"/>
          <w:i/>
          <w:sz w:val="20"/>
          <w:szCs w:val="20"/>
        </w:rPr>
        <w:t>e funções uma complexa rede de atividades de seleção, de filmagens, na reestruturação em correspondência com as necessidades e demandas do presente, tanto do nível individual quanto social. (TEDESCO, 2004. p.57</w:t>
      </w:r>
      <w:proofErr w:type="gramStart"/>
      <w:r>
        <w:rPr>
          <w:rFonts w:ascii="Times New Roman" w:eastAsia="Times New Roman" w:hAnsi="Times New Roman" w:cs="Times New Roman"/>
          <w:i/>
          <w:sz w:val="20"/>
          <w:szCs w:val="20"/>
        </w:rPr>
        <w:t>)</w:t>
      </w:r>
      <w:proofErr w:type="gramEnd"/>
      <w:r>
        <w:rPr>
          <w:rFonts w:ascii="Times New Roman" w:eastAsia="Times New Roman" w:hAnsi="Times New Roman" w:cs="Times New Roman"/>
          <w:i/>
          <w:sz w:val="20"/>
          <w:szCs w:val="20"/>
          <w:vertAlign w:val="superscript"/>
        </w:rPr>
        <w:footnoteReference w:id="6"/>
      </w:r>
    </w:p>
    <w:p w14:paraId="00000027" w14:textId="77777777" w:rsidR="006F5E28" w:rsidRDefault="006F5E28">
      <w:pPr>
        <w:spacing w:line="246" w:lineRule="auto"/>
        <w:rPr>
          <w:rFonts w:ascii="Times New Roman" w:eastAsia="Times New Roman" w:hAnsi="Times New Roman" w:cs="Times New Roman"/>
          <w:sz w:val="20"/>
          <w:szCs w:val="20"/>
        </w:rPr>
      </w:pPr>
    </w:p>
    <w:p w14:paraId="00000028" w14:textId="77777777" w:rsidR="006F5E28" w:rsidRDefault="00FB34BD">
      <w:pPr>
        <w:spacing w:line="354" w:lineRule="auto"/>
        <w:ind w:firstLine="450"/>
        <w:rPr>
          <w:rFonts w:ascii="Times New Roman" w:eastAsia="Times New Roman" w:hAnsi="Times New Roman" w:cs="Times New Roman"/>
          <w:sz w:val="20"/>
          <w:szCs w:val="20"/>
        </w:rPr>
      </w:pPr>
      <w:r>
        <w:rPr>
          <w:rFonts w:ascii="Times New Roman" w:eastAsia="Times New Roman" w:hAnsi="Times New Roman" w:cs="Times New Roman"/>
          <w:sz w:val="24"/>
          <w:szCs w:val="24"/>
        </w:rPr>
        <w:t>A memória ainda pode ser abarcada como col</w:t>
      </w:r>
      <w:r>
        <w:rPr>
          <w:rFonts w:ascii="Times New Roman" w:eastAsia="Times New Roman" w:hAnsi="Times New Roman" w:cs="Times New Roman"/>
          <w:sz w:val="24"/>
          <w:szCs w:val="24"/>
        </w:rPr>
        <w:t xml:space="preserve">etiva, de certa forma, já que as os estímulos externos ao ato de recomendar podem estar agregados a memórias de outros indivíduos, ou grupos. Assim </w:t>
      </w:r>
      <w:proofErr w:type="spellStart"/>
      <w:r>
        <w:rPr>
          <w:rFonts w:ascii="Times New Roman" w:eastAsia="Times New Roman" w:hAnsi="Times New Roman" w:cs="Times New Roman"/>
          <w:sz w:val="24"/>
          <w:szCs w:val="24"/>
        </w:rPr>
        <w:t>Halbwachs</w:t>
      </w:r>
      <w:proofErr w:type="spellEnd"/>
      <w:r>
        <w:rPr>
          <w:rFonts w:ascii="Times New Roman" w:eastAsia="Times New Roman" w:hAnsi="Times New Roman" w:cs="Times New Roman"/>
          <w:sz w:val="24"/>
          <w:szCs w:val="24"/>
        </w:rPr>
        <w:t xml:space="preserve"> (2004)</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afirma que:</w:t>
      </w:r>
    </w:p>
    <w:p w14:paraId="00000029" w14:textId="77777777" w:rsidR="006F5E28" w:rsidRDefault="006F5E28">
      <w:pPr>
        <w:spacing w:line="240" w:lineRule="auto"/>
        <w:rPr>
          <w:rFonts w:ascii="Times New Roman" w:eastAsia="Times New Roman" w:hAnsi="Times New Roman" w:cs="Times New Roman"/>
          <w:sz w:val="20"/>
          <w:szCs w:val="20"/>
        </w:rPr>
      </w:pPr>
    </w:p>
    <w:p w14:paraId="0000002A" w14:textId="77777777" w:rsidR="006F5E28" w:rsidRDefault="00FB34BD">
      <w:pPr>
        <w:spacing w:line="240" w:lineRule="auto"/>
        <w:ind w:left="2540"/>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Para que nossa memória se auxilie com a dos outros, não basta que eles </w:t>
      </w:r>
      <w:proofErr w:type="gramStart"/>
      <w:r>
        <w:rPr>
          <w:rFonts w:ascii="Times New Roman" w:eastAsia="Times New Roman" w:hAnsi="Times New Roman" w:cs="Times New Roman"/>
          <w:i/>
          <w:sz w:val="20"/>
          <w:szCs w:val="20"/>
        </w:rPr>
        <w:t>tragam</w:t>
      </w:r>
      <w:proofErr w:type="gramEnd"/>
      <w:r>
        <w:rPr>
          <w:rFonts w:ascii="Times New Roman" w:eastAsia="Times New Roman" w:hAnsi="Times New Roman" w:cs="Times New Roman"/>
          <w:i/>
          <w:sz w:val="20"/>
          <w:szCs w:val="20"/>
        </w:rPr>
        <w:t xml:space="preserve"> seus depoimentos: é necessário ainda que ela não tenha cessado de concordar com suas memórias e que haja bastante pontos de contato entre uma e as outras para que a lembrança que nos recordam possa ser reconstruída sobre o fundamento comum. (HALBWACHS, 20</w:t>
      </w:r>
      <w:r>
        <w:rPr>
          <w:rFonts w:ascii="Times New Roman" w:eastAsia="Times New Roman" w:hAnsi="Times New Roman" w:cs="Times New Roman"/>
          <w:i/>
          <w:sz w:val="20"/>
          <w:szCs w:val="20"/>
        </w:rPr>
        <w:t>04. p.38</w:t>
      </w:r>
      <w:proofErr w:type="gramStart"/>
      <w:r>
        <w:rPr>
          <w:rFonts w:ascii="Times New Roman" w:eastAsia="Times New Roman" w:hAnsi="Times New Roman" w:cs="Times New Roman"/>
          <w:i/>
          <w:sz w:val="20"/>
          <w:szCs w:val="20"/>
        </w:rPr>
        <w:t>)</w:t>
      </w:r>
      <w:proofErr w:type="gramEnd"/>
      <w:r>
        <w:rPr>
          <w:rFonts w:ascii="Times New Roman" w:eastAsia="Times New Roman" w:hAnsi="Times New Roman" w:cs="Times New Roman"/>
          <w:i/>
          <w:sz w:val="20"/>
          <w:szCs w:val="20"/>
          <w:vertAlign w:val="superscript"/>
        </w:rPr>
        <w:footnoteReference w:id="7"/>
      </w:r>
    </w:p>
    <w:p w14:paraId="0000002B" w14:textId="77777777" w:rsidR="006F5E28" w:rsidRDefault="006F5E28">
      <w:pPr>
        <w:spacing w:line="246" w:lineRule="auto"/>
        <w:rPr>
          <w:rFonts w:ascii="Times New Roman" w:eastAsia="Times New Roman" w:hAnsi="Times New Roman" w:cs="Times New Roman"/>
          <w:sz w:val="20"/>
          <w:szCs w:val="20"/>
        </w:rPr>
      </w:pPr>
    </w:p>
    <w:p w14:paraId="0000002C" w14:textId="77777777" w:rsidR="006F5E28" w:rsidRDefault="00FB34BD">
      <w:pPr>
        <w:spacing w:line="357" w:lineRule="auto"/>
        <w:ind w:left="260" w:firstLine="448"/>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Logo, para </w:t>
      </w:r>
      <w:proofErr w:type="spellStart"/>
      <w:r>
        <w:rPr>
          <w:rFonts w:ascii="Times New Roman" w:eastAsia="Times New Roman" w:hAnsi="Times New Roman" w:cs="Times New Roman"/>
          <w:sz w:val="24"/>
          <w:szCs w:val="24"/>
        </w:rPr>
        <w:t>Halbwachs</w:t>
      </w:r>
      <w:proofErr w:type="spellEnd"/>
      <w:r>
        <w:rPr>
          <w:rFonts w:ascii="Times New Roman" w:eastAsia="Times New Roman" w:hAnsi="Times New Roman" w:cs="Times New Roman"/>
          <w:sz w:val="24"/>
          <w:szCs w:val="24"/>
        </w:rPr>
        <w:t xml:space="preserve"> (2004) a memória individual sofre alcance da memória coletiva, porém estas não são os únicos significados para a memória. </w:t>
      </w:r>
      <w:proofErr w:type="gramStart"/>
      <w:r>
        <w:rPr>
          <w:rFonts w:ascii="Times New Roman" w:eastAsia="Times New Roman" w:hAnsi="Times New Roman" w:cs="Times New Roman"/>
          <w:sz w:val="24"/>
          <w:szCs w:val="24"/>
        </w:rPr>
        <w:t>Santos assevera</w:t>
      </w:r>
      <w:proofErr w:type="gramEnd"/>
      <w:r>
        <w:rPr>
          <w:rFonts w:ascii="Times New Roman" w:eastAsia="Times New Roman" w:hAnsi="Times New Roman" w:cs="Times New Roman"/>
          <w:sz w:val="24"/>
          <w:szCs w:val="24"/>
        </w:rPr>
        <w:t xml:space="preserve"> que: “A memória por mais adjetivos que encontre no seu caminho – episódica, semântica, voluntária</w:t>
      </w:r>
      <w:r>
        <w:rPr>
          <w:rFonts w:ascii="Times New Roman" w:eastAsia="Times New Roman" w:hAnsi="Times New Roman" w:cs="Times New Roman"/>
          <w:sz w:val="24"/>
          <w:szCs w:val="24"/>
        </w:rPr>
        <w:t>, involuntária, clássica, medieval, moderna, individual ou coletiva – resiste às reduções realizadas e é justamente este o desafio que ela nos traz.” (SANTOS, 2003. p.14).</w:t>
      </w:r>
    </w:p>
    <w:p w14:paraId="0000002D" w14:textId="77777777" w:rsidR="006F5E28" w:rsidRDefault="006F5E28">
      <w:pPr>
        <w:spacing w:line="240" w:lineRule="auto"/>
        <w:rPr>
          <w:rFonts w:ascii="Times New Roman" w:eastAsia="Times New Roman" w:hAnsi="Times New Roman" w:cs="Times New Roman"/>
          <w:sz w:val="20"/>
          <w:szCs w:val="20"/>
        </w:rPr>
      </w:pPr>
    </w:p>
    <w:p w14:paraId="0000002E" w14:textId="77777777" w:rsidR="006F5E28" w:rsidRDefault="00FB34BD">
      <w:pPr>
        <w:spacing w:line="356" w:lineRule="auto"/>
        <w:ind w:left="284" w:firstLine="707"/>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A identidade étnica se repousa na ideia de uma origem comum (ZANINI, 2002) e assim </w:t>
      </w:r>
      <w:r>
        <w:rPr>
          <w:rFonts w:ascii="Times New Roman" w:eastAsia="Times New Roman" w:hAnsi="Times New Roman" w:cs="Times New Roman"/>
          <w:sz w:val="24"/>
          <w:szCs w:val="24"/>
        </w:rPr>
        <w:t xml:space="preserve">os indivíduos que compartilham dessa ideia acabam dividindo </w:t>
      </w:r>
      <w:r>
        <w:rPr>
          <w:rFonts w:ascii="Times New Roman" w:eastAsia="Times New Roman" w:hAnsi="Times New Roman" w:cs="Times New Roman"/>
          <w:sz w:val="24"/>
          <w:szCs w:val="24"/>
        </w:rPr>
        <w:lastRenderedPageBreak/>
        <w:t>traços e elementos que caracterizam o pertencimento a ao grupo em questão. A relação entre memória e cultura étnica pode sem incluída como:</w:t>
      </w:r>
    </w:p>
    <w:p w14:paraId="0000002F" w14:textId="77777777" w:rsidR="006F5E28" w:rsidRDefault="006F5E28">
      <w:pPr>
        <w:spacing w:line="240" w:lineRule="auto"/>
        <w:rPr>
          <w:rFonts w:ascii="Times New Roman" w:eastAsia="Times New Roman" w:hAnsi="Times New Roman" w:cs="Times New Roman"/>
          <w:sz w:val="20"/>
          <w:szCs w:val="20"/>
        </w:rPr>
      </w:pPr>
    </w:p>
    <w:p w14:paraId="00000030" w14:textId="77777777" w:rsidR="006F5E28" w:rsidRDefault="00FB34BD">
      <w:pPr>
        <w:spacing w:line="240" w:lineRule="auto"/>
        <w:ind w:left="2540"/>
        <w:rPr>
          <w:rFonts w:ascii="Times New Roman" w:eastAsia="Times New Roman" w:hAnsi="Times New Roman" w:cs="Times New Roman"/>
          <w:i/>
          <w:sz w:val="20"/>
          <w:szCs w:val="20"/>
        </w:rPr>
      </w:pPr>
      <w:r>
        <w:rPr>
          <w:rFonts w:ascii="Times New Roman" w:eastAsia="Times New Roman" w:hAnsi="Times New Roman" w:cs="Times New Roman"/>
          <w:i/>
          <w:sz w:val="20"/>
          <w:szCs w:val="20"/>
        </w:rPr>
        <w:t>Acreditamos que a memória e a cultura étnica devam ser entendidas, acima de tudo, como prática e fenômeno sócio econômico, as quais possuem ligação com a indústria cultural, com as instituições sociais, no caso específico, especialmente com a família, a re</w:t>
      </w:r>
      <w:r>
        <w:rPr>
          <w:rFonts w:ascii="Times New Roman" w:eastAsia="Times New Roman" w:hAnsi="Times New Roman" w:cs="Times New Roman"/>
          <w:i/>
          <w:sz w:val="20"/>
          <w:szCs w:val="20"/>
        </w:rPr>
        <w:t xml:space="preserve">ligião e a comunidade, com recursos e narrações </w:t>
      </w:r>
      <w:proofErr w:type="spellStart"/>
      <w:r>
        <w:rPr>
          <w:rFonts w:ascii="Times New Roman" w:eastAsia="Times New Roman" w:hAnsi="Times New Roman" w:cs="Times New Roman"/>
          <w:i/>
          <w:sz w:val="20"/>
          <w:szCs w:val="20"/>
        </w:rPr>
        <w:t>sócio-históricas</w:t>
      </w:r>
      <w:proofErr w:type="spellEnd"/>
      <w:r>
        <w:rPr>
          <w:rFonts w:ascii="Times New Roman" w:eastAsia="Times New Roman" w:hAnsi="Times New Roman" w:cs="Times New Roman"/>
          <w:i/>
          <w:sz w:val="20"/>
          <w:szCs w:val="20"/>
        </w:rPr>
        <w:t xml:space="preserve">, produzidas por instituições e preservadas ainda hoje, as quais produziram representações sociais sólidas e que permitem a manutenção, ainda que redefinida, de um horizonte de pertencimento. </w:t>
      </w:r>
      <w:r>
        <w:rPr>
          <w:rFonts w:ascii="Times New Roman" w:eastAsia="Times New Roman" w:hAnsi="Times New Roman" w:cs="Times New Roman"/>
          <w:i/>
          <w:sz w:val="20"/>
          <w:szCs w:val="20"/>
        </w:rPr>
        <w:t>(TEDESCO, 2004. p.253</w:t>
      </w:r>
      <w:proofErr w:type="gramStart"/>
      <w:r>
        <w:rPr>
          <w:rFonts w:ascii="Times New Roman" w:eastAsia="Times New Roman" w:hAnsi="Times New Roman" w:cs="Times New Roman"/>
          <w:i/>
          <w:sz w:val="20"/>
          <w:szCs w:val="20"/>
        </w:rPr>
        <w:t>)</w:t>
      </w:r>
      <w:proofErr w:type="gramEnd"/>
      <w:r>
        <w:rPr>
          <w:rFonts w:ascii="Times New Roman" w:eastAsia="Times New Roman" w:hAnsi="Times New Roman" w:cs="Times New Roman"/>
          <w:i/>
          <w:sz w:val="20"/>
          <w:szCs w:val="20"/>
          <w:vertAlign w:val="superscript"/>
        </w:rPr>
        <w:footnoteReference w:id="8"/>
      </w:r>
    </w:p>
    <w:p w14:paraId="00000031" w14:textId="77777777" w:rsidR="006F5E28" w:rsidRDefault="006F5E28">
      <w:pPr>
        <w:spacing w:line="240" w:lineRule="auto"/>
        <w:rPr>
          <w:rFonts w:ascii="Times New Roman" w:eastAsia="Times New Roman" w:hAnsi="Times New Roman" w:cs="Times New Roman"/>
          <w:i/>
          <w:sz w:val="20"/>
          <w:szCs w:val="20"/>
        </w:rPr>
      </w:pPr>
    </w:p>
    <w:p w14:paraId="00000032" w14:textId="77777777" w:rsidR="006F5E28" w:rsidRDefault="00FB34BD">
      <w:pPr>
        <w:spacing w:line="357" w:lineRule="auto"/>
        <w:ind w:firstLine="708"/>
        <w:rPr>
          <w:rFonts w:ascii="Times New Roman" w:eastAsia="Times New Roman" w:hAnsi="Times New Roman" w:cs="Times New Roman"/>
          <w:sz w:val="24"/>
          <w:szCs w:val="24"/>
        </w:rPr>
      </w:pPr>
      <w:bookmarkStart w:id="3" w:name="3znysh7" w:colFirst="0" w:colLast="0"/>
      <w:bookmarkEnd w:id="3"/>
      <w:r>
        <w:rPr>
          <w:rFonts w:ascii="Times New Roman" w:eastAsia="Times New Roman" w:hAnsi="Times New Roman" w:cs="Times New Roman"/>
          <w:sz w:val="24"/>
          <w:szCs w:val="24"/>
        </w:rPr>
        <w:t>A reflexão de Stuart Hall atenta para a existência de identidades étnicas corroborando para uma crise de identidade nacional, já destacamos aqui o caráter “situacional” das identidades, isto é, a variação que estas podem assumir co</w:t>
      </w:r>
      <w:r>
        <w:rPr>
          <w:rFonts w:ascii="Times New Roman" w:eastAsia="Times New Roman" w:hAnsi="Times New Roman" w:cs="Times New Roman"/>
          <w:sz w:val="24"/>
          <w:szCs w:val="24"/>
        </w:rPr>
        <w:t xml:space="preserve">nforme a conjuntura. Segundo Tomaz Tadeu da Silva, a identidade e a diferença têm de ser ativamente produzidas. Elas não são criaturas do mundo natural ou de um mundo transcendental, mas do mundo cultural e social. Somos nós que as fabricamos, no contexto </w:t>
      </w:r>
      <w:r>
        <w:rPr>
          <w:rFonts w:ascii="Times New Roman" w:eastAsia="Times New Roman" w:hAnsi="Times New Roman" w:cs="Times New Roman"/>
          <w:sz w:val="24"/>
          <w:szCs w:val="24"/>
        </w:rPr>
        <w:t>de relações culturais e sociais. A identidade e a diferença são criações sociais e culturais (SILVA, 2009, p. 76</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w:t>
      </w:r>
    </w:p>
    <w:p w14:paraId="00000033" w14:textId="77777777" w:rsidR="006F5E28" w:rsidRDefault="00FB34BD">
      <w:pPr>
        <w:spacing w:line="356" w:lineRule="auto"/>
        <w:ind w:firstLine="450"/>
        <w:rPr>
          <w:rFonts w:ascii="Times New Roman" w:eastAsia="Times New Roman" w:hAnsi="Times New Roman" w:cs="Times New Roman"/>
          <w:sz w:val="20"/>
          <w:szCs w:val="20"/>
        </w:rPr>
      </w:pPr>
      <w:r>
        <w:rPr>
          <w:rFonts w:ascii="Times New Roman" w:eastAsia="Times New Roman" w:hAnsi="Times New Roman" w:cs="Times New Roman"/>
          <w:sz w:val="24"/>
          <w:szCs w:val="24"/>
        </w:rPr>
        <w:t>Conforme Hall, a identidade étnica “rivaliza” com a classe social, com a relação entre indivíduo e trabalho fazendo parte das referências à</w:t>
      </w:r>
      <w:r>
        <w:rPr>
          <w:rFonts w:ascii="Times New Roman" w:eastAsia="Times New Roman" w:hAnsi="Times New Roman" w:cs="Times New Roman"/>
          <w:sz w:val="24"/>
          <w:szCs w:val="24"/>
        </w:rPr>
        <w:t xml:space="preserve"> memória e a identidade. Acerca das circunstâncias, das possibilidades e, ainda, da relação entre o indivíduo e o grupo com o qual se identifica, Martins (2007)</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afirma que:</w:t>
      </w:r>
    </w:p>
    <w:p w14:paraId="00000034" w14:textId="77777777" w:rsidR="006F5E28" w:rsidRDefault="006F5E28">
      <w:pPr>
        <w:spacing w:line="240" w:lineRule="auto"/>
        <w:rPr>
          <w:rFonts w:ascii="Times New Roman" w:eastAsia="Times New Roman" w:hAnsi="Times New Roman" w:cs="Times New Roman"/>
          <w:sz w:val="20"/>
          <w:szCs w:val="20"/>
        </w:rPr>
      </w:pPr>
    </w:p>
    <w:p w14:paraId="00000035" w14:textId="77777777" w:rsidR="006F5E28" w:rsidRDefault="00FB34BD">
      <w:pPr>
        <w:spacing w:line="240" w:lineRule="auto"/>
        <w:ind w:left="2540" w:right="20"/>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A identidade pessoal, pela qual se firma o</w:t>
      </w:r>
      <w:r>
        <w:rPr>
          <w:rFonts w:ascii="Times New Roman" w:eastAsia="Times New Roman" w:hAnsi="Times New Roman" w:cs="Times New Roman"/>
          <w:i/>
          <w:sz w:val="20"/>
          <w:szCs w:val="20"/>
        </w:rPr>
        <w:t xml:space="preserve">bjetivamente o indivíduo, é a síntese subjetiva dos componentes particulares de sua história pessoal com os elementos históricos do grupo e da sociedade que ele pertence, </w:t>
      </w:r>
      <w:proofErr w:type="gramStart"/>
      <w:r>
        <w:rPr>
          <w:rFonts w:ascii="Times New Roman" w:eastAsia="Times New Roman" w:hAnsi="Times New Roman" w:cs="Times New Roman"/>
          <w:i/>
          <w:sz w:val="20"/>
          <w:szCs w:val="20"/>
        </w:rPr>
        <w:t>expressa</w:t>
      </w:r>
      <w:proofErr w:type="gramEnd"/>
      <w:r>
        <w:rPr>
          <w:rFonts w:ascii="Times New Roman" w:eastAsia="Times New Roman" w:hAnsi="Times New Roman" w:cs="Times New Roman"/>
          <w:i/>
          <w:sz w:val="20"/>
          <w:szCs w:val="20"/>
        </w:rPr>
        <w:t xml:space="preserve"> pela relação de pertencimento a tal ou qual comunidade.</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A conformação histór</w:t>
      </w:r>
      <w:r>
        <w:rPr>
          <w:rFonts w:ascii="Times New Roman" w:eastAsia="Times New Roman" w:hAnsi="Times New Roman" w:cs="Times New Roman"/>
          <w:i/>
          <w:sz w:val="20"/>
          <w:szCs w:val="20"/>
        </w:rPr>
        <w:t>ica das sociedades apresenta-se, ao cidadão do tempo presente, como um leque de alternativas culturais. (MARTINS, 2007. p.54</w:t>
      </w:r>
      <w:proofErr w:type="gramStart"/>
      <w:r>
        <w:rPr>
          <w:rFonts w:ascii="Times New Roman" w:eastAsia="Times New Roman" w:hAnsi="Times New Roman" w:cs="Times New Roman"/>
          <w:i/>
          <w:sz w:val="20"/>
          <w:szCs w:val="20"/>
        </w:rPr>
        <w:t>)</w:t>
      </w:r>
      <w:proofErr w:type="gramEnd"/>
      <w:r>
        <w:rPr>
          <w:rFonts w:ascii="Times New Roman" w:eastAsia="Times New Roman" w:hAnsi="Times New Roman" w:cs="Times New Roman"/>
          <w:i/>
          <w:sz w:val="20"/>
          <w:szCs w:val="20"/>
          <w:vertAlign w:val="superscript"/>
        </w:rPr>
        <w:footnoteReference w:id="10"/>
      </w:r>
    </w:p>
    <w:p w14:paraId="00000036" w14:textId="77777777" w:rsidR="006F5E28" w:rsidRDefault="006F5E28">
      <w:pPr>
        <w:spacing w:line="244" w:lineRule="auto"/>
        <w:rPr>
          <w:rFonts w:ascii="Times New Roman" w:eastAsia="Times New Roman" w:hAnsi="Times New Roman" w:cs="Times New Roman"/>
          <w:sz w:val="20"/>
          <w:szCs w:val="20"/>
        </w:rPr>
      </w:pPr>
    </w:p>
    <w:p w14:paraId="00000037" w14:textId="77777777" w:rsidR="006F5E28" w:rsidRDefault="00FB34BD">
      <w:pPr>
        <w:rPr>
          <w:sz w:val="28"/>
          <w:szCs w:val="28"/>
        </w:rPr>
      </w:pPr>
      <w:r>
        <w:rPr>
          <w:rFonts w:ascii="Times New Roman" w:eastAsia="Times New Roman" w:hAnsi="Times New Roman" w:cs="Times New Roman"/>
          <w:sz w:val="24"/>
          <w:szCs w:val="24"/>
        </w:rPr>
        <w:t xml:space="preserve">             Assim a identidade étnica faz parte do grande conjunto de possibilidades e relações entre as múltiplas identidades </w:t>
      </w:r>
      <w:r>
        <w:rPr>
          <w:rFonts w:ascii="Times New Roman" w:eastAsia="Times New Roman" w:hAnsi="Times New Roman" w:cs="Times New Roman"/>
          <w:sz w:val="24"/>
          <w:szCs w:val="24"/>
        </w:rPr>
        <w:t xml:space="preserve">que o indivíduo é capaz de acessar em diferentes conjunturas.  Cabe também ressaltar que </w:t>
      </w:r>
      <w:proofErr w:type="gramStart"/>
      <w:r>
        <w:rPr>
          <w:rFonts w:ascii="Times New Roman" w:eastAsia="Times New Roman" w:hAnsi="Times New Roman" w:cs="Times New Roman"/>
          <w:sz w:val="24"/>
          <w:szCs w:val="24"/>
        </w:rPr>
        <w:t>pode-se</w:t>
      </w:r>
      <w:proofErr w:type="gramEnd"/>
      <w:r>
        <w:rPr>
          <w:rFonts w:ascii="Times New Roman" w:eastAsia="Times New Roman" w:hAnsi="Times New Roman" w:cs="Times New Roman"/>
          <w:sz w:val="24"/>
          <w:szCs w:val="24"/>
        </w:rPr>
        <w:t xml:space="preserve"> entender que os </w:t>
      </w:r>
      <w:r>
        <w:rPr>
          <w:rFonts w:ascii="Times New Roman" w:eastAsia="Times New Roman" w:hAnsi="Times New Roman" w:cs="Times New Roman"/>
          <w:sz w:val="24"/>
          <w:szCs w:val="24"/>
        </w:rPr>
        <w:lastRenderedPageBreak/>
        <w:t>processos subjetivos de chegada a um novo local, devido ao abandono de sua terra natal ou terra de descendências podem ser compreendidos pela p</w:t>
      </w:r>
      <w:r>
        <w:rPr>
          <w:rFonts w:ascii="Times New Roman" w:eastAsia="Times New Roman" w:hAnsi="Times New Roman" w:cs="Times New Roman"/>
          <w:sz w:val="24"/>
          <w:szCs w:val="24"/>
        </w:rPr>
        <w:t xml:space="preserve">erspectiva da teoria do capital social. (Portes, 1995; </w:t>
      </w:r>
      <w:proofErr w:type="spellStart"/>
      <w:r>
        <w:rPr>
          <w:rFonts w:ascii="Times New Roman" w:eastAsia="Times New Roman" w:hAnsi="Times New Roman" w:cs="Times New Roman"/>
          <w:sz w:val="24"/>
          <w:szCs w:val="24"/>
        </w:rPr>
        <w:t>Mullan</w:t>
      </w:r>
      <w:proofErr w:type="spellEnd"/>
      <w:r>
        <w:rPr>
          <w:rFonts w:ascii="Times New Roman" w:eastAsia="Times New Roman" w:hAnsi="Times New Roman" w:cs="Times New Roman"/>
          <w:sz w:val="24"/>
          <w:szCs w:val="24"/>
        </w:rPr>
        <w:t xml:space="preserve">, 1989; </w:t>
      </w:r>
      <w:proofErr w:type="spellStart"/>
      <w:r>
        <w:rPr>
          <w:rFonts w:ascii="Times New Roman" w:eastAsia="Times New Roman" w:hAnsi="Times New Roman" w:cs="Times New Roman"/>
          <w:sz w:val="24"/>
          <w:szCs w:val="24"/>
        </w:rPr>
        <w:t>Majka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Mullan</w:t>
      </w:r>
      <w:proofErr w:type="spellEnd"/>
      <w:r>
        <w:rPr>
          <w:rFonts w:ascii="Times New Roman" w:eastAsia="Times New Roman" w:hAnsi="Times New Roman" w:cs="Times New Roman"/>
          <w:sz w:val="24"/>
          <w:szCs w:val="24"/>
        </w:rPr>
        <w:t>, 2002; Meyer, 2001). São estudos que destacam que é preciso pensar que a base do capital social consiste de recursos embutidos nas redes ou nas associações a que os indivíd</w:t>
      </w:r>
      <w:r>
        <w:rPr>
          <w:rFonts w:ascii="Times New Roman" w:eastAsia="Times New Roman" w:hAnsi="Times New Roman" w:cs="Times New Roman"/>
          <w:sz w:val="24"/>
          <w:szCs w:val="24"/>
        </w:rPr>
        <w:t xml:space="preserve">uos pertencem </w:t>
      </w:r>
      <w:proofErr w:type="spellStart"/>
      <w:r>
        <w:rPr>
          <w:rFonts w:ascii="Times New Roman" w:eastAsia="Times New Roman" w:hAnsi="Times New Roman" w:cs="Times New Roman"/>
          <w:sz w:val="24"/>
          <w:szCs w:val="24"/>
        </w:rPr>
        <w:t>Lin</w:t>
      </w:r>
      <w:proofErr w:type="spellEnd"/>
      <w:r>
        <w:rPr>
          <w:rFonts w:ascii="Times New Roman" w:eastAsia="Times New Roman" w:hAnsi="Times New Roman" w:cs="Times New Roman"/>
          <w:sz w:val="24"/>
          <w:szCs w:val="24"/>
        </w:rPr>
        <w:t xml:space="preserve"> (2006). Encontra-se, ainda, em Bourdieu (2008), Putnam (2006) a defesa de que o tipo de capital social motiva elementos extraordinários na definição de mobilidade social. Implica em construir confiança, sentimento de solidariedade, espera</w:t>
      </w:r>
      <w:r>
        <w:rPr>
          <w:rFonts w:ascii="Times New Roman" w:eastAsia="Times New Roman" w:hAnsi="Times New Roman" w:cs="Times New Roman"/>
          <w:sz w:val="24"/>
          <w:szCs w:val="24"/>
        </w:rPr>
        <w:t xml:space="preserve">nça, reconhecimento mútuo como </w:t>
      </w:r>
      <w:proofErr w:type="spellStart"/>
      <w:r>
        <w:rPr>
          <w:rFonts w:ascii="Times New Roman" w:eastAsia="Times New Roman" w:hAnsi="Times New Roman" w:cs="Times New Roman"/>
          <w:sz w:val="24"/>
          <w:szCs w:val="24"/>
        </w:rPr>
        <w:t>identificatório</w:t>
      </w:r>
      <w:proofErr w:type="spellEnd"/>
      <w:r>
        <w:rPr>
          <w:rFonts w:ascii="Times New Roman" w:eastAsia="Times New Roman" w:hAnsi="Times New Roman" w:cs="Times New Roman"/>
          <w:sz w:val="24"/>
          <w:szCs w:val="24"/>
        </w:rPr>
        <w:t xml:space="preserve"> do grupo que pertenceu e que poderá gerar outras formas de relacionamento e reciprocidade. </w:t>
      </w:r>
    </w:p>
    <w:p w14:paraId="00000038" w14:textId="77777777" w:rsidR="006F5E28" w:rsidRDefault="00FB34BD">
      <w:pPr>
        <w:spacing w:line="356" w:lineRule="auto"/>
        <w:ind w:right="20"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Desta forma vale um destaque para os movimentos migratórios dos sírios e libaneses que nas décadas de 30 a 50 do sécu</w:t>
      </w:r>
      <w:r>
        <w:rPr>
          <w:rFonts w:ascii="Times New Roman" w:eastAsia="Times New Roman" w:hAnsi="Times New Roman" w:cs="Times New Roman"/>
          <w:sz w:val="24"/>
          <w:szCs w:val="24"/>
        </w:rPr>
        <w:t>lo XX ao Brasil, como um grupo cristão, predominantemente.   Ao chegar ao Brasil, diferentemente do grupo que chegou ao final do século XIX e início do século XX que não tinham apoio dos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seus pares, encontraram um conjunto de grupos de sua etnia com as co</w:t>
      </w:r>
      <w:r>
        <w:rPr>
          <w:rFonts w:ascii="Times New Roman" w:eastAsia="Times New Roman" w:hAnsi="Times New Roman" w:cs="Times New Roman"/>
          <w:sz w:val="24"/>
          <w:szCs w:val="24"/>
        </w:rPr>
        <w:t xml:space="preserve">lônias que já podiam dar um acolhimento quanto ao local e moradia. </w:t>
      </w:r>
    </w:p>
    <w:p w14:paraId="00000039" w14:textId="77777777" w:rsidR="006F5E28" w:rsidRDefault="00FB34BD">
      <w:pPr>
        <w:spacing w:line="356"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Eles são também distintos dos imigrantes “recentes”, os quais chegaram ao país depois de 1960. Foi um grupo que encontrou um pouco mais de apoio devido ao fato de que os imigra</w:t>
      </w:r>
      <w:r>
        <w:rPr>
          <w:rFonts w:ascii="Times New Roman" w:eastAsia="Times New Roman" w:hAnsi="Times New Roman" w:cs="Times New Roman"/>
          <w:sz w:val="24"/>
          <w:szCs w:val="24"/>
        </w:rPr>
        <w:t>ntes anteriores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terem percorrido um caminho difícil de trabalho  e</w:t>
      </w:r>
      <w:r>
        <w:rPr>
          <w:rFonts w:ascii="Times New Roman" w:eastAsia="Times New Roman" w:hAnsi="Times New Roman" w:cs="Times New Roman"/>
          <w:sz w:val="24"/>
          <w:szCs w:val="24"/>
          <w:highlight w:val="white"/>
        </w:rPr>
        <w:t xml:space="preserve"> se dispondo em  a ajudar os recentes </w:t>
      </w:r>
      <w:r>
        <w:rPr>
          <w:rFonts w:ascii="Times New Roman" w:eastAsia="Times New Roman" w:hAnsi="Times New Roman" w:cs="Times New Roman"/>
          <w:sz w:val="24"/>
          <w:szCs w:val="24"/>
        </w:rPr>
        <w:t>imigrantes.. Era um período em que o governo brasileiro estava interessado em aumentar a produção agrícola, mas os sírios e libaneses não tinham a cult</w:t>
      </w:r>
      <w:r>
        <w:rPr>
          <w:rFonts w:ascii="Times New Roman" w:eastAsia="Times New Roman" w:hAnsi="Times New Roman" w:cs="Times New Roman"/>
          <w:sz w:val="24"/>
          <w:szCs w:val="24"/>
        </w:rPr>
        <w:t xml:space="preserve">ura social e econômica para essa força de trabalho. Desta maneira, o grupo migratório que chegou ao Brasil veio em condições de perseguição religiosa, em sua grande maioria, com a perspectiva de retorno ao seu </w:t>
      </w:r>
      <w:r>
        <w:rPr>
          <w:rFonts w:ascii="Times New Roman" w:eastAsia="Times New Roman" w:hAnsi="Times New Roman" w:cs="Times New Roman"/>
          <w:i/>
          <w:sz w:val="24"/>
          <w:szCs w:val="24"/>
        </w:rPr>
        <w:t>habitat</w:t>
      </w:r>
      <w:r>
        <w:rPr>
          <w:rFonts w:ascii="Times New Roman" w:eastAsia="Times New Roman" w:hAnsi="Times New Roman" w:cs="Times New Roman"/>
          <w:sz w:val="24"/>
          <w:szCs w:val="24"/>
        </w:rPr>
        <w:t xml:space="preserve"> do Oriente Médio, com suas particulari</w:t>
      </w:r>
      <w:r>
        <w:rPr>
          <w:rFonts w:ascii="Times New Roman" w:eastAsia="Times New Roman" w:hAnsi="Times New Roman" w:cs="Times New Roman"/>
          <w:sz w:val="24"/>
          <w:szCs w:val="24"/>
        </w:rPr>
        <w:t>dades em cheiros, cores e sabores. Resolveram sobreviver de forma econômica utilizando o comércio de mascates para obter um “pequeno dinheiro” imediato para voltarem para suas aldeias de referência e sua Igreja de porto seguro espiritual (EL KADI, 1997</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w:t>
      </w:r>
      <w:r>
        <w:rPr>
          <w:sz w:val="28"/>
          <w:szCs w:val="28"/>
        </w:rPr>
        <w:t xml:space="preserve"> </w:t>
      </w:r>
      <w:r>
        <w:rPr>
          <w:rFonts w:ascii="Times New Roman" w:eastAsia="Times New Roman" w:hAnsi="Times New Roman" w:cs="Times New Roman"/>
          <w:sz w:val="24"/>
          <w:szCs w:val="24"/>
        </w:rPr>
        <w:t xml:space="preserve"> Uma profissão que exige muito esforço</w:t>
      </w:r>
      <w:r>
        <w:rPr>
          <w:rFonts w:ascii="Times New Roman" w:eastAsia="Times New Roman" w:hAnsi="Times New Roman" w:cs="Times New Roman"/>
          <w:sz w:val="24"/>
          <w:szCs w:val="24"/>
          <w:highlight w:val="white"/>
        </w:rPr>
        <w:t xml:space="preserve"> físico e </w:t>
      </w:r>
      <w:r>
        <w:rPr>
          <w:rFonts w:ascii="Times New Roman" w:eastAsia="Times New Roman" w:hAnsi="Times New Roman" w:cs="Times New Roman"/>
          <w:sz w:val="24"/>
          <w:szCs w:val="24"/>
        </w:rPr>
        <w:t>muito desgaste emocional quer seja pelo peso das mercadorias, quer seja pela dificuldade de entender e se fazer entender na diferença da língua materna de origem. A língua árabe tem o alfabeto diferente do po</w:t>
      </w:r>
      <w:r>
        <w:rPr>
          <w:rFonts w:ascii="Times New Roman" w:eastAsia="Times New Roman" w:hAnsi="Times New Roman" w:cs="Times New Roman"/>
          <w:sz w:val="24"/>
          <w:szCs w:val="24"/>
        </w:rPr>
        <w:t xml:space="preserve">rtuguês o que acarreta diferenciação de fonemas e construções </w:t>
      </w:r>
      <w:r>
        <w:rPr>
          <w:rFonts w:ascii="Times New Roman" w:eastAsia="Times New Roman" w:hAnsi="Times New Roman" w:cs="Times New Roman"/>
          <w:sz w:val="24"/>
          <w:szCs w:val="24"/>
        </w:rPr>
        <w:lastRenderedPageBreak/>
        <w:t xml:space="preserve">frasais. Vale lembrar: </w:t>
      </w:r>
      <w:r>
        <w:rPr>
          <w:rFonts w:ascii="Times New Roman" w:eastAsia="Times New Roman" w:hAnsi="Times New Roman" w:cs="Times New Roman"/>
          <w:i/>
          <w:sz w:val="24"/>
          <w:szCs w:val="24"/>
        </w:rPr>
        <w:t>babai</w:t>
      </w:r>
      <w:r>
        <w:rPr>
          <w:rFonts w:ascii="Times New Roman" w:eastAsia="Times New Roman" w:hAnsi="Times New Roman" w:cs="Times New Roman"/>
          <w:sz w:val="24"/>
          <w:szCs w:val="24"/>
        </w:rPr>
        <w:t xml:space="preserve"> por papai, </w:t>
      </w:r>
      <w:r>
        <w:rPr>
          <w:rFonts w:ascii="Times New Roman" w:eastAsia="Times New Roman" w:hAnsi="Times New Roman" w:cs="Times New Roman"/>
          <w:i/>
          <w:sz w:val="24"/>
          <w:szCs w:val="24"/>
        </w:rPr>
        <w:t>babel</w:t>
      </w:r>
      <w:r>
        <w:rPr>
          <w:rFonts w:ascii="Times New Roman" w:eastAsia="Times New Roman" w:hAnsi="Times New Roman" w:cs="Times New Roman"/>
          <w:sz w:val="24"/>
          <w:szCs w:val="24"/>
        </w:rPr>
        <w:t xml:space="preserve"> por papel e outros devido </w:t>
      </w:r>
      <w:proofErr w:type="gramStart"/>
      <w:r>
        <w:rPr>
          <w:rFonts w:ascii="Times New Roman" w:eastAsia="Times New Roman" w:hAnsi="Times New Roman" w:cs="Times New Roman"/>
          <w:sz w:val="24"/>
          <w:szCs w:val="24"/>
        </w:rPr>
        <w:t>à</w:t>
      </w:r>
      <w:proofErr w:type="gramEnd"/>
      <w:r>
        <w:rPr>
          <w:rFonts w:ascii="Times New Roman" w:eastAsia="Times New Roman" w:hAnsi="Times New Roman" w:cs="Times New Roman"/>
          <w:sz w:val="24"/>
          <w:szCs w:val="24"/>
        </w:rPr>
        <w:t xml:space="preserve"> não existência da letra b e frases com verbos no feminino e masculino que não ocorre na língua portuguesa: Ela gosta, Ele gosto. </w:t>
      </w:r>
    </w:p>
    <w:p w14:paraId="0000003A" w14:textId="77777777" w:rsidR="006F5E28" w:rsidRDefault="00FB34BD">
      <w:pPr>
        <w:spacing w:line="356"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Como estratégia de capital social o grupo do Rio de Janeiro e de Niterói </w:t>
      </w:r>
      <w:proofErr w:type="gramStart"/>
      <w:r>
        <w:rPr>
          <w:rFonts w:ascii="Times New Roman" w:eastAsia="Times New Roman" w:hAnsi="Times New Roman" w:cs="Times New Roman"/>
          <w:sz w:val="24"/>
          <w:szCs w:val="24"/>
        </w:rPr>
        <w:t>apoiavam –se</w:t>
      </w:r>
      <w:proofErr w:type="gramEnd"/>
      <w:r>
        <w:rPr>
          <w:rFonts w:ascii="Times New Roman" w:eastAsia="Times New Roman" w:hAnsi="Times New Roman" w:cs="Times New Roman"/>
          <w:sz w:val="24"/>
          <w:szCs w:val="24"/>
          <w:highlight w:val="white"/>
        </w:rPr>
        <w:t xml:space="preserve"> mutuamente</w:t>
      </w:r>
      <w:r>
        <w:rPr>
          <w:rFonts w:ascii="Times New Roman" w:eastAsia="Times New Roman" w:hAnsi="Times New Roman" w:cs="Times New Roman"/>
          <w:sz w:val="24"/>
          <w:szCs w:val="24"/>
        </w:rPr>
        <w:t xml:space="preserve"> em reunião de amigos e encontros na Igreja Ortodoxa no Rio de Janeiro, além das visitas entre os familiares e seus vizinhos de aldeias.</w:t>
      </w:r>
    </w:p>
    <w:p w14:paraId="0000003B" w14:textId="77777777" w:rsidR="006F5E28" w:rsidRDefault="00FB34BD">
      <w:pPr>
        <w:spacing w:line="356"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Para o grupo que chegou </w:t>
      </w:r>
      <w:proofErr w:type="gramStart"/>
      <w:r>
        <w:rPr>
          <w:rFonts w:ascii="Times New Roman" w:eastAsia="Times New Roman" w:hAnsi="Times New Roman" w:cs="Times New Roman"/>
          <w:sz w:val="24"/>
          <w:szCs w:val="24"/>
        </w:rPr>
        <w:t>no</w:t>
      </w:r>
      <w:proofErr w:type="gramEnd"/>
      <w:r>
        <w:rPr>
          <w:rFonts w:ascii="Times New Roman" w:eastAsia="Times New Roman" w:hAnsi="Times New Roman" w:cs="Times New Roman"/>
          <w:sz w:val="24"/>
          <w:szCs w:val="24"/>
        </w:rPr>
        <w:t xml:space="preserve"> período da segunda grande migração árabe oriundos das redes de comunicação a vid</w:t>
      </w:r>
      <w:r>
        <w:rPr>
          <w:rFonts w:ascii="Times New Roman" w:eastAsia="Times New Roman" w:hAnsi="Times New Roman" w:cs="Times New Roman"/>
          <w:sz w:val="24"/>
          <w:szCs w:val="24"/>
        </w:rPr>
        <w:t xml:space="preserve">a e a sobrevivência  no Rio de Janeiro e em Niterói ainda estava marcada por muitos percalços sociais, culturais e econômicos. Porém como os grupos estavam mais fortalecidos pelos laços familiares começaram a apresentar uma força de trabalho mais intensa. </w:t>
      </w:r>
      <w:r>
        <w:rPr>
          <w:rFonts w:ascii="Times New Roman" w:eastAsia="Times New Roman" w:hAnsi="Times New Roman" w:cs="Times New Roman"/>
          <w:sz w:val="24"/>
          <w:szCs w:val="24"/>
        </w:rPr>
        <w:t>As redes</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sociais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foram construídas com base nas cartas, alguns raros telefonemas ou por intermédio de um ou outro imigrante que mandava dinheiro para que um membro da família pudesse vir para o Rio de Janeiro ou Niterói. </w:t>
      </w:r>
    </w:p>
    <w:p w14:paraId="0000003C" w14:textId="77777777" w:rsidR="006F5E28" w:rsidRDefault="00FB34BD">
      <w:pPr>
        <w:spacing w:line="356"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período de 1915</w:t>
      </w:r>
      <w:r>
        <w:rPr>
          <w:rFonts w:ascii="Times New Roman" w:eastAsia="Times New Roman" w:hAnsi="Times New Roman" w:cs="Times New Roman"/>
          <w:sz w:val="24"/>
          <w:szCs w:val="24"/>
        </w:rPr>
        <w:t xml:space="preserve"> a 1950, entre os sírios e libaneses, viveu-se as idiossincrasias e sonhos concretizados ou frustrados por parte desses árabes que tinham que desvendar os sete véus das Américas como novo mundo. Era uma época em que havia o medo de perder as lembranças e a</w:t>
      </w:r>
      <w:r>
        <w:rPr>
          <w:rFonts w:ascii="Times New Roman" w:eastAsia="Times New Roman" w:hAnsi="Times New Roman" w:cs="Times New Roman"/>
          <w:sz w:val="24"/>
          <w:szCs w:val="24"/>
        </w:rPr>
        <w:t xml:space="preserve"> vontade de manter a memória de sua vida e dos seus parentes. Um forte desejo de manter a identidade ética entre os indivíduos e tentar se </w:t>
      </w:r>
      <w:proofErr w:type="gramStart"/>
      <w:r>
        <w:rPr>
          <w:rFonts w:ascii="Times New Roman" w:eastAsia="Times New Roman" w:hAnsi="Times New Roman" w:cs="Times New Roman"/>
          <w:sz w:val="24"/>
          <w:szCs w:val="24"/>
        </w:rPr>
        <w:t>impor</w:t>
      </w:r>
      <w:proofErr w:type="gramEnd"/>
      <w:r>
        <w:rPr>
          <w:rFonts w:ascii="Times New Roman" w:eastAsia="Times New Roman" w:hAnsi="Times New Roman" w:cs="Times New Roman"/>
          <w:sz w:val="24"/>
          <w:szCs w:val="24"/>
        </w:rPr>
        <w:t xml:space="preserve"> no mercado de trabalho como sujeitos bem sucedidos. E para além desse conjunto de desafios a procura da manuten</w:t>
      </w:r>
      <w:r>
        <w:rPr>
          <w:rFonts w:ascii="Times New Roman" w:eastAsia="Times New Roman" w:hAnsi="Times New Roman" w:cs="Times New Roman"/>
          <w:sz w:val="24"/>
          <w:szCs w:val="24"/>
        </w:rPr>
        <w:t>ção das redes sociais com o caráter de respeitabilidade, confiança, manutenção de valores e de religiosidade. Muitas vezes o amor e o medo eram sentimentos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tão próximos que fazia-se necessário  ter um porto seguro para que o sentimento de iniquidade da p</w:t>
      </w:r>
      <w:r>
        <w:rPr>
          <w:rFonts w:ascii="Times New Roman" w:eastAsia="Times New Roman" w:hAnsi="Times New Roman" w:cs="Times New Roman"/>
          <w:sz w:val="24"/>
          <w:szCs w:val="24"/>
        </w:rPr>
        <w:t xml:space="preserve">erda e revolta não fossem maior do que a esperança de uma vida que poderia ser cheia de surpresas agradáveis e acolhedoras. Para tanto, esse grupo compartilhava sonhos que poderiam ser sonhados em grupo. </w:t>
      </w:r>
    </w:p>
    <w:p w14:paraId="0000003D" w14:textId="77777777" w:rsidR="006F5E28" w:rsidRDefault="00FB34BD">
      <w:pPr>
        <w:spacing w:line="356" w:lineRule="auto"/>
        <w:ind w:right="20"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Assim, foi nesse período que constituíram alguns ob</w:t>
      </w:r>
      <w:r>
        <w:rPr>
          <w:rFonts w:ascii="Times New Roman" w:eastAsia="Times New Roman" w:hAnsi="Times New Roman" w:cs="Times New Roman"/>
          <w:sz w:val="24"/>
          <w:szCs w:val="24"/>
        </w:rPr>
        <w:t xml:space="preserve">jetos sociais que pudessem ter como premissa o encontro de identidades étnicas que ajudaria a entender os deslocamentos que cada um e o grupo </w:t>
      </w:r>
      <w:proofErr w:type="gramStart"/>
      <w:r>
        <w:rPr>
          <w:rFonts w:ascii="Times New Roman" w:eastAsia="Times New Roman" w:hAnsi="Times New Roman" w:cs="Times New Roman"/>
          <w:sz w:val="24"/>
          <w:szCs w:val="24"/>
        </w:rPr>
        <w:t>vivia</w:t>
      </w:r>
      <w:proofErr w:type="gramEnd"/>
      <w:r>
        <w:rPr>
          <w:rFonts w:ascii="Times New Roman" w:eastAsia="Times New Roman" w:hAnsi="Times New Roman" w:cs="Times New Roman"/>
          <w:sz w:val="24"/>
          <w:szCs w:val="24"/>
        </w:rPr>
        <w:t xml:space="preserve"> àquela época</w:t>
      </w:r>
      <w:r>
        <w:rPr>
          <w:rFonts w:ascii="Times New Roman" w:eastAsia="Times New Roman" w:hAnsi="Times New Roman" w:cs="Times New Roman"/>
          <w:sz w:val="24"/>
          <w:szCs w:val="24"/>
          <w:highlight w:val="white"/>
        </w:rPr>
        <w:t xml:space="preserve">, entre Rio de Janeiro e Niterói, </w:t>
      </w:r>
      <w:r>
        <w:rPr>
          <w:rFonts w:ascii="Times New Roman" w:eastAsia="Times New Roman" w:hAnsi="Times New Roman" w:cs="Times New Roman"/>
          <w:sz w:val="24"/>
          <w:szCs w:val="24"/>
        </w:rPr>
        <w:t xml:space="preserve">como: Clube Sírio e Libanês (1925) e Clube Monte Líbano </w:t>
      </w:r>
      <w:r>
        <w:rPr>
          <w:rFonts w:ascii="Times New Roman" w:eastAsia="Times New Roman" w:hAnsi="Times New Roman" w:cs="Times New Roman"/>
          <w:sz w:val="24"/>
          <w:szCs w:val="24"/>
        </w:rPr>
        <w:lastRenderedPageBreak/>
        <w:t>(1950)</w:t>
      </w:r>
      <w:r>
        <w:rPr>
          <w:rFonts w:ascii="Times New Roman" w:eastAsia="Times New Roman" w:hAnsi="Times New Roman" w:cs="Times New Roman"/>
          <w:sz w:val="24"/>
          <w:szCs w:val="24"/>
        </w:rPr>
        <w:t xml:space="preserve">, Sociedade Beneficente </w:t>
      </w:r>
      <w:proofErr w:type="spellStart"/>
      <w:r>
        <w:rPr>
          <w:rFonts w:ascii="Times New Roman" w:eastAsia="Times New Roman" w:hAnsi="Times New Roman" w:cs="Times New Roman"/>
          <w:sz w:val="24"/>
          <w:szCs w:val="24"/>
        </w:rPr>
        <w:t>Antioquense</w:t>
      </w:r>
      <w:proofErr w:type="spellEnd"/>
      <w:r>
        <w:rPr>
          <w:rFonts w:ascii="Times New Roman" w:eastAsia="Times New Roman" w:hAnsi="Times New Roman" w:cs="Times New Roman"/>
          <w:sz w:val="24"/>
          <w:szCs w:val="24"/>
        </w:rPr>
        <w:t xml:space="preserve"> (1918), Sociedade Ortodoxa São Nicolau (1918), Sociedade Ortodoxa de Senhoras (1935), Igreja São Nicolau (1912), Igreja Nª. </w:t>
      </w:r>
      <w:proofErr w:type="spellStart"/>
      <w:r>
        <w:rPr>
          <w:rFonts w:ascii="Times New Roman" w:eastAsia="Times New Roman" w:hAnsi="Times New Roman" w:cs="Times New Roman"/>
          <w:sz w:val="24"/>
          <w:szCs w:val="24"/>
        </w:rPr>
        <w:t>Sª</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 xml:space="preserve"> Líbano (1917), Sociedade de Senhoras Maronitas (1949) , Igreja </w:t>
      </w:r>
      <w:proofErr w:type="spellStart"/>
      <w:r>
        <w:rPr>
          <w:rFonts w:ascii="Times New Roman" w:eastAsia="Times New Roman" w:hAnsi="Times New Roman" w:cs="Times New Roman"/>
          <w:sz w:val="24"/>
          <w:szCs w:val="24"/>
        </w:rPr>
        <w:t>Melquita</w:t>
      </w:r>
      <w:proofErr w:type="spellEnd"/>
      <w:r>
        <w:rPr>
          <w:rFonts w:ascii="Times New Roman" w:eastAsia="Times New Roman" w:hAnsi="Times New Roman" w:cs="Times New Roman"/>
          <w:sz w:val="24"/>
          <w:szCs w:val="24"/>
        </w:rPr>
        <w:t xml:space="preserve"> (1951), Clube Lib</w:t>
      </w:r>
      <w:r>
        <w:rPr>
          <w:rFonts w:ascii="Times New Roman" w:eastAsia="Times New Roman" w:hAnsi="Times New Roman" w:cs="Times New Roman"/>
          <w:sz w:val="24"/>
          <w:szCs w:val="24"/>
        </w:rPr>
        <w:t xml:space="preserve">anês (1944) , Sociedade Beneficente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Baida</w:t>
      </w:r>
      <w:proofErr w:type="spellEnd"/>
      <w:r>
        <w:rPr>
          <w:rFonts w:ascii="Times New Roman" w:eastAsia="Times New Roman" w:hAnsi="Times New Roman" w:cs="Times New Roman"/>
          <w:sz w:val="24"/>
          <w:szCs w:val="24"/>
        </w:rPr>
        <w:t xml:space="preserve"> (1948) , União da Juventude Ortodoxa (1953), Sociedade Beneficente </w:t>
      </w:r>
      <w:proofErr w:type="spellStart"/>
      <w:r>
        <w:rPr>
          <w:rFonts w:ascii="Times New Roman" w:eastAsia="Times New Roman" w:hAnsi="Times New Roman" w:cs="Times New Roman"/>
          <w:sz w:val="24"/>
          <w:szCs w:val="24"/>
        </w:rPr>
        <w:t>Antioquense</w:t>
      </w:r>
      <w:proofErr w:type="spellEnd"/>
      <w:r>
        <w:rPr>
          <w:rFonts w:ascii="Times New Roman" w:eastAsia="Times New Roman" w:hAnsi="Times New Roman" w:cs="Times New Roman"/>
          <w:sz w:val="24"/>
          <w:szCs w:val="24"/>
        </w:rPr>
        <w:t xml:space="preserve"> de Niterói (1947) ,  União da Juventude de Niterói (1955). </w:t>
      </w:r>
    </w:p>
    <w:p w14:paraId="0000003E" w14:textId="77777777" w:rsidR="006F5E28" w:rsidRDefault="00FB34BD">
      <w:pPr>
        <w:spacing w:line="356" w:lineRule="auto"/>
        <w:ind w:right="20"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Em depoimentos dos sírios e libaneses,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que chegaram nesse período e de seus descendentes pode-se apontar para algumas categorias de busca de inclusão social e manutenção da identidade árabe. </w:t>
      </w:r>
    </w:p>
    <w:p w14:paraId="0000003F" w14:textId="77777777" w:rsidR="006F5E28" w:rsidRDefault="00FB34BD">
      <w:pPr>
        <w:spacing w:line="356" w:lineRule="auto"/>
        <w:ind w:right="20"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Quanto aos relacionamentos sociais havia um enorme desconhecime</w:t>
      </w:r>
      <w:r>
        <w:rPr>
          <w:rFonts w:ascii="Times New Roman" w:eastAsia="Times New Roman" w:hAnsi="Times New Roman" w:cs="Times New Roman"/>
          <w:sz w:val="24"/>
          <w:szCs w:val="24"/>
        </w:rPr>
        <w:t>nto da cultura local que perpassava por símbolos de estranhamento. Os clubes e associações reforçavam os laços e redes de manutenção das famílias que por vezes implicava em casamentos entre os conhecidos da mesma cidade natal ou da mesma religião. Muitos b</w:t>
      </w:r>
      <w:r>
        <w:rPr>
          <w:rFonts w:ascii="Times New Roman" w:eastAsia="Times New Roman" w:hAnsi="Times New Roman" w:cs="Times New Roman"/>
          <w:sz w:val="24"/>
          <w:szCs w:val="24"/>
        </w:rPr>
        <w:t>rasileiros consideravam os “turcos”, que</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eram conhecidos como “estranhos” nos seus hábitos de vida e de culinária ( era muito estranho comer alguns alimentos com o pão árabe – </w:t>
      </w:r>
      <w:proofErr w:type="spellStart"/>
      <w:r>
        <w:rPr>
          <w:rFonts w:ascii="Times New Roman" w:eastAsia="Times New Roman" w:hAnsi="Times New Roman" w:cs="Times New Roman"/>
          <w:i/>
          <w:sz w:val="24"/>
          <w:szCs w:val="24"/>
        </w:rPr>
        <w:t>hamus</w:t>
      </w:r>
      <w:proofErr w:type="spellEnd"/>
      <w:r>
        <w:rPr>
          <w:rFonts w:ascii="Times New Roman" w:eastAsia="Times New Roman" w:hAnsi="Times New Roman" w:cs="Times New Roman"/>
          <w:sz w:val="24"/>
          <w:szCs w:val="24"/>
        </w:rPr>
        <w:t xml:space="preserve"> ou com a folha de alface – tabule).</w:t>
      </w:r>
      <w:r>
        <w:rPr>
          <w:rFonts w:ascii="Times New Roman" w:eastAsia="Times New Roman" w:hAnsi="Times New Roman" w:cs="Times New Roman"/>
          <w:sz w:val="24"/>
          <w:szCs w:val="24"/>
          <w:highlight w:val="white"/>
        </w:rPr>
        <w:t xml:space="preserve"> Os casamentos eram uma forma de estab</w:t>
      </w:r>
      <w:r>
        <w:rPr>
          <w:rFonts w:ascii="Times New Roman" w:eastAsia="Times New Roman" w:hAnsi="Times New Roman" w:cs="Times New Roman"/>
          <w:sz w:val="24"/>
          <w:szCs w:val="24"/>
          <w:highlight w:val="white"/>
        </w:rPr>
        <w:t xml:space="preserve">elecer a etnia e os costumes entre os imigrantes. </w:t>
      </w:r>
      <w:r>
        <w:rPr>
          <w:rFonts w:ascii="Times New Roman" w:eastAsia="Times New Roman" w:hAnsi="Times New Roman" w:cs="Times New Roman"/>
          <w:sz w:val="24"/>
          <w:szCs w:val="24"/>
        </w:rPr>
        <w:t>As famílias participavam de eventos sociais e fortaleciam a ideia de orientar alguns casamentos com suas redes internas ou em manter contato por cartas ou telefonemas com os familiares próximos para realiza</w:t>
      </w:r>
      <w:r>
        <w:rPr>
          <w:rFonts w:ascii="Times New Roman" w:eastAsia="Times New Roman" w:hAnsi="Times New Roman" w:cs="Times New Roman"/>
          <w:sz w:val="24"/>
          <w:szCs w:val="24"/>
        </w:rPr>
        <w:t>r casamentos por procuração ou com a noiva vinda da Síria ou do Líbano.</w:t>
      </w:r>
    </w:p>
    <w:p w14:paraId="00000040" w14:textId="77777777" w:rsidR="006F5E28" w:rsidRDefault="00FB34BD">
      <w:pPr>
        <w:spacing w:line="356" w:lineRule="auto"/>
        <w:ind w:right="20"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Outro ponto a ser ressaltado era a preocupação do primeiro e segundo grupos de imigrantes oferecerem uma “boa” educação para os filhos e netos devido ao pensamento pequeno burguês que </w:t>
      </w:r>
      <w:r>
        <w:rPr>
          <w:rFonts w:ascii="Times New Roman" w:eastAsia="Times New Roman" w:hAnsi="Times New Roman" w:cs="Times New Roman"/>
          <w:sz w:val="24"/>
          <w:szCs w:val="24"/>
        </w:rPr>
        <w:t>ser doutor, advogado, engenheiro era uma forma de ascensão e inclusão sociais.  Desejavam que seus descendentes ocupassem os bancos universitários. Isso pode ser percebido pelo percentual significativo de descendentes sírios e libaneses que se destacaram n</w:t>
      </w:r>
      <w:r>
        <w:rPr>
          <w:rFonts w:ascii="Times New Roman" w:eastAsia="Times New Roman" w:hAnsi="Times New Roman" w:cs="Times New Roman"/>
          <w:sz w:val="24"/>
          <w:szCs w:val="24"/>
        </w:rPr>
        <w:t xml:space="preserve">essas áreas. Também vale lembrar que muitos foram para a carreira política nos dois municípios, com a valorização por parte dos familiares do conceito de “autoridade local”. (Silva, 2008; </w:t>
      </w:r>
      <w:proofErr w:type="spellStart"/>
      <w:r>
        <w:rPr>
          <w:rFonts w:ascii="Times New Roman" w:eastAsia="Times New Roman" w:hAnsi="Times New Roman" w:cs="Times New Roman"/>
          <w:sz w:val="24"/>
          <w:szCs w:val="24"/>
        </w:rPr>
        <w:t>Truzzi</w:t>
      </w:r>
      <w:proofErr w:type="spellEnd"/>
      <w:r>
        <w:rPr>
          <w:rFonts w:ascii="Times New Roman" w:eastAsia="Times New Roman" w:hAnsi="Times New Roman" w:cs="Times New Roman"/>
          <w:sz w:val="24"/>
          <w:szCs w:val="24"/>
        </w:rPr>
        <w:t>, 2008</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Mesmo vivendo alguns momentos de exclusão </w:t>
      </w:r>
      <w:r>
        <w:rPr>
          <w:rFonts w:ascii="Times New Roman" w:eastAsia="Times New Roman" w:hAnsi="Times New Roman" w:cs="Times New Roman"/>
          <w:sz w:val="24"/>
          <w:szCs w:val="24"/>
        </w:rPr>
        <w:lastRenderedPageBreak/>
        <w:t>social,  po</w:t>
      </w:r>
      <w:r>
        <w:rPr>
          <w:rFonts w:ascii="Times New Roman" w:eastAsia="Times New Roman" w:hAnsi="Times New Roman" w:cs="Times New Roman"/>
          <w:sz w:val="24"/>
          <w:szCs w:val="24"/>
        </w:rPr>
        <w:t>r pertencerem a descendência de mercadores ambulantes, quer sejam os que vendiam mercadorias de porta em porte, quer sejam os que tinham uma pequena loja de atacado ou varejo de armarinho; quer sejam os que vendiam limonada em praças os filhos tomaram-se g</w:t>
      </w:r>
      <w:r>
        <w:rPr>
          <w:rFonts w:ascii="Times New Roman" w:eastAsia="Times New Roman" w:hAnsi="Times New Roman" w:cs="Times New Roman"/>
          <w:sz w:val="24"/>
          <w:szCs w:val="24"/>
        </w:rPr>
        <w:t xml:space="preserve">randes empresários pela força e desejo de enorme em prosperar rapidamente e  de serem  protagonista na sociedade que eles estavam abraçando e sendo abraçados. </w:t>
      </w:r>
    </w:p>
    <w:p w14:paraId="00000041" w14:textId="77777777" w:rsidR="006F5E28" w:rsidRDefault="00FB34BD">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relatos mais significativos são os que ressaltam que mesmo nos momentos de contradição entre </w:t>
      </w:r>
      <w:r>
        <w:rPr>
          <w:rFonts w:ascii="Times New Roman" w:eastAsia="Times New Roman" w:hAnsi="Times New Roman" w:cs="Times New Roman"/>
          <w:sz w:val="24"/>
          <w:szCs w:val="24"/>
        </w:rPr>
        <w:t>sentimentos de pertença e de exclusão havia o reconhecimento da existência de um espaço social onde se falava o português, e de locais e espaços sociais onde se mantinha o idioma árabe que era sentido entre os grupos</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(GATTAZ, 2005)</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z w:val="24"/>
          <w:szCs w:val="24"/>
        </w:rPr>
        <w:t>Essas fronteiras reforç</w:t>
      </w:r>
      <w:r>
        <w:rPr>
          <w:rFonts w:ascii="Times New Roman" w:eastAsia="Times New Roman" w:hAnsi="Times New Roman" w:cs="Times New Roman"/>
          <w:sz w:val="24"/>
          <w:szCs w:val="24"/>
        </w:rPr>
        <w:t xml:space="preserve">avam, entre outros aspectos, a necessidade de </w:t>
      </w:r>
      <w:proofErr w:type="gramStart"/>
      <w:r>
        <w:rPr>
          <w:rFonts w:ascii="Times New Roman" w:eastAsia="Times New Roman" w:hAnsi="Times New Roman" w:cs="Times New Roman"/>
          <w:sz w:val="24"/>
          <w:szCs w:val="24"/>
        </w:rPr>
        <w:t>uma reconhecimento</w:t>
      </w:r>
      <w:proofErr w:type="gramEnd"/>
      <w:r>
        <w:rPr>
          <w:rFonts w:ascii="Times New Roman" w:eastAsia="Times New Roman" w:hAnsi="Times New Roman" w:cs="Times New Roman"/>
          <w:sz w:val="24"/>
          <w:szCs w:val="24"/>
        </w:rPr>
        <w:t xml:space="preserve"> social para se romper com os estereótipos e a inserção social (FIGOLI e VILELA, 2004)</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Com essa ordem social fez-se necessário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determinação de muitos sírios e libaneses tornarem-se cidadão</w:t>
      </w:r>
      <w:r>
        <w:rPr>
          <w:rFonts w:ascii="Times New Roman" w:eastAsia="Times New Roman" w:hAnsi="Times New Roman" w:cs="Times New Roman"/>
          <w:sz w:val="24"/>
          <w:szCs w:val="24"/>
        </w:rPr>
        <w:t xml:space="preserve">s brasileiros. Optaram pela naturalização brasileira, mas com a constatação e certeza de que não abandonariam suas origens mediterrâneas, com a manutenção da língua árabe e seus costumes religiosos, culinários e outros. </w:t>
      </w:r>
    </w:p>
    <w:p w14:paraId="00000042" w14:textId="77777777" w:rsidR="006F5E28" w:rsidRDefault="00FB34BD">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Diante das idiossincrasias e medos;</w:t>
      </w:r>
      <w:r>
        <w:rPr>
          <w:rFonts w:ascii="Times New Roman" w:eastAsia="Times New Roman" w:hAnsi="Times New Roman" w:cs="Times New Roman"/>
          <w:sz w:val="24"/>
          <w:szCs w:val="24"/>
        </w:rPr>
        <w:t xml:space="preserve"> das incertezas e vicissitudes do processo imigratório pode-se observar que o desejo de manutenção da própria etnia as bases identitárias e a memória são grandes </w:t>
      </w:r>
      <w:proofErr w:type="spellStart"/>
      <w:r>
        <w:rPr>
          <w:rFonts w:ascii="Times New Roman" w:eastAsia="Times New Roman" w:hAnsi="Times New Roman" w:cs="Times New Roman"/>
          <w:sz w:val="24"/>
          <w:szCs w:val="24"/>
        </w:rPr>
        <w:t>embasadores</w:t>
      </w:r>
      <w:proofErr w:type="spellEnd"/>
      <w:r>
        <w:rPr>
          <w:rFonts w:ascii="Times New Roman" w:eastAsia="Times New Roman" w:hAnsi="Times New Roman" w:cs="Times New Roman"/>
          <w:sz w:val="24"/>
          <w:szCs w:val="24"/>
        </w:rPr>
        <w:t xml:space="preserve"> das redes sociais criadas pelos grupos sírios e libaneses. As tramas sociais estab</w:t>
      </w:r>
      <w:r>
        <w:rPr>
          <w:rFonts w:ascii="Times New Roman" w:eastAsia="Times New Roman" w:hAnsi="Times New Roman" w:cs="Times New Roman"/>
          <w:sz w:val="24"/>
          <w:szCs w:val="24"/>
        </w:rPr>
        <w:t>elecidas deram conexão aos primeiros imigrantes e adequaram certas formas de padrões indenitários que auxiliaram a chegada do segundo grupo com as entidades criadas para darem certo suporte econômico e financeiro, laços de fraternidade, certas perspectivas</w:t>
      </w:r>
      <w:r>
        <w:rPr>
          <w:rFonts w:ascii="Times New Roman" w:eastAsia="Times New Roman" w:hAnsi="Times New Roman" w:cs="Times New Roman"/>
          <w:sz w:val="24"/>
          <w:szCs w:val="24"/>
        </w:rPr>
        <w:t xml:space="preserve"> de trabalho, base familiar e religiosa, além de festas sociais e convívio familiar, com visitas para jogos de cartas, lanches e piqueniques.</w:t>
      </w:r>
    </w:p>
    <w:p w14:paraId="00000043" w14:textId="77777777" w:rsidR="006F5E28" w:rsidRDefault="00FB34BD">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convivendo com a nova cartografia e tipologia do hemisfério sul das Américas os sírios e libaneses tiver</w:t>
      </w:r>
      <w:r>
        <w:rPr>
          <w:rFonts w:ascii="Times New Roman" w:eastAsia="Times New Roman" w:hAnsi="Times New Roman" w:cs="Times New Roman"/>
          <w:sz w:val="24"/>
          <w:szCs w:val="24"/>
        </w:rPr>
        <w:t>am que vencer alguns estereótipos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com as denominações de “turco”, de “</w:t>
      </w:r>
      <w:proofErr w:type="spellStart"/>
      <w:r>
        <w:rPr>
          <w:rFonts w:ascii="Times New Roman" w:eastAsia="Times New Roman" w:hAnsi="Times New Roman" w:cs="Times New Roman"/>
          <w:sz w:val="24"/>
          <w:szCs w:val="24"/>
        </w:rPr>
        <w:t>batrício</w:t>
      </w:r>
      <w:proofErr w:type="spellEnd"/>
      <w:r>
        <w:rPr>
          <w:rFonts w:ascii="Times New Roman" w:eastAsia="Times New Roman" w:hAnsi="Times New Roman" w:cs="Times New Roman"/>
          <w:sz w:val="24"/>
          <w:szCs w:val="24"/>
        </w:rPr>
        <w:t xml:space="preserve">” ou de “espertos comerciantes”, mas a determinação e o desejo de manter um bom relacionamento entre as etnias com a </w:t>
      </w:r>
      <w:r>
        <w:rPr>
          <w:rFonts w:ascii="Times New Roman" w:eastAsia="Times New Roman" w:hAnsi="Times New Roman" w:cs="Times New Roman"/>
          <w:sz w:val="24"/>
          <w:szCs w:val="24"/>
        </w:rPr>
        <w:lastRenderedPageBreak/>
        <w:t>vontade de inclusão social fizeram parte dos movimentos dess</w:t>
      </w:r>
      <w:r>
        <w:rPr>
          <w:rFonts w:ascii="Times New Roman" w:eastAsia="Times New Roman" w:hAnsi="Times New Roman" w:cs="Times New Roman"/>
          <w:sz w:val="24"/>
          <w:szCs w:val="24"/>
        </w:rPr>
        <w:t>es grupos que tiveram a capacidade de sonhar para  manter e construir redes e objetos sociais que fortaleceram suas identidades com agraciamento à sociedade local.</w:t>
      </w:r>
    </w:p>
    <w:p w14:paraId="00000044" w14:textId="77777777" w:rsidR="006F5E28" w:rsidRDefault="006F5E28">
      <w:pPr>
        <w:spacing w:line="240" w:lineRule="auto"/>
        <w:jc w:val="left"/>
        <w:rPr>
          <w:rFonts w:ascii="Times New Roman" w:eastAsia="Times New Roman" w:hAnsi="Times New Roman" w:cs="Times New Roman"/>
          <w:b/>
          <w:sz w:val="24"/>
          <w:szCs w:val="24"/>
        </w:rPr>
      </w:pPr>
    </w:p>
    <w:p w14:paraId="00000045" w14:textId="77777777" w:rsidR="006F5E28" w:rsidRDefault="00FB34BD">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finais</w:t>
      </w:r>
    </w:p>
    <w:p w14:paraId="00000046" w14:textId="77777777" w:rsidR="006F5E28" w:rsidRDefault="006F5E28">
      <w:pPr>
        <w:spacing w:line="282" w:lineRule="auto"/>
        <w:jc w:val="left"/>
        <w:rPr>
          <w:rFonts w:ascii="Times New Roman" w:eastAsia="Times New Roman" w:hAnsi="Times New Roman" w:cs="Times New Roman"/>
          <w:sz w:val="24"/>
          <w:szCs w:val="24"/>
        </w:rPr>
      </w:pPr>
    </w:p>
    <w:p w14:paraId="00000047" w14:textId="77777777" w:rsidR="006F5E28" w:rsidRDefault="00FB34BD">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formas estabelecidas como identidade dos grupos imigrantes sírios </w:t>
      </w:r>
      <w:r>
        <w:rPr>
          <w:rFonts w:ascii="Times New Roman" w:eastAsia="Times New Roman" w:hAnsi="Times New Roman" w:cs="Times New Roman"/>
          <w:sz w:val="24"/>
          <w:szCs w:val="24"/>
        </w:rPr>
        <w:t xml:space="preserve">e libaneses implicaram em compreender o novo, porém sem deixar que suas marcas de etnia e identidade social fossem abandonadas para que os grupos pudessem ser acolhidos para viverem como atores sociais em aceitação e protagonismo.  Os mecanismos seletivos </w:t>
      </w:r>
      <w:r>
        <w:rPr>
          <w:rFonts w:ascii="Times New Roman" w:eastAsia="Times New Roman" w:hAnsi="Times New Roman" w:cs="Times New Roman"/>
          <w:sz w:val="24"/>
          <w:szCs w:val="24"/>
        </w:rPr>
        <w:t xml:space="preserve">para a legitimidade faziam parte para fixar os atributos de identidade étnica. Para conviver com os diferentes, para entender as mudanças e transformações vividas sem perder suas narrativas e símbolos </w:t>
      </w:r>
      <w:proofErr w:type="spellStart"/>
      <w:r>
        <w:rPr>
          <w:rFonts w:ascii="Times New Roman" w:eastAsia="Times New Roman" w:hAnsi="Times New Roman" w:cs="Times New Roman"/>
          <w:sz w:val="24"/>
          <w:szCs w:val="24"/>
        </w:rPr>
        <w:t>identitários</w:t>
      </w:r>
      <w:proofErr w:type="spellEnd"/>
      <w:r>
        <w:rPr>
          <w:rFonts w:ascii="Times New Roman" w:eastAsia="Times New Roman" w:hAnsi="Times New Roman" w:cs="Times New Roman"/>
          <w:sz w:val="24"/>
          <w:szCs w:val="24"/>
        </w:rPr>
        <w:t xml:space="preserve"> criaram meios de integração e redes sociai</w:t>
      </w:r>
      <w:r>
        <w:rPr>
          <w:rFonts w:ascii="Times New Roman" w:eastAsia="Times New Roman" w:hAnsi="Times New Roman" w:cs="Times New Roman"/>
          <w:sz w:val="24"/>
          <w:szCs w:val="24"/>
        </w:rPr>
        <w:t xml:space="preserve">s dotados de sentido e legitimidade para os grupos que pretendiam uma inserção social e ocupacional. </w:t>
      </w:r>
    </w:p>
    <w:p w14:paraId="00000048" w14:textId="77777777" w:rsidR="006F5E28" w:rsidRDefault="006F5E28">
      <w:pPr>
        <w:rPr>
          <w:rFonts w:ascii="Times New Roman" w:eastAsia="Times New Roman" w:hAnsi="Times New Roman" w:cs="Times New Roman"/>
          <w:sz w:val="24"/>
          <w:szCs w:val="24"/>
        </w:rPr>
      </w:pPr>
    </w:p>
    <w:p w14:paraId="00000049" w14:textId="77777777" w:rsidR="006F5E28" w:rsidRDefault="00FB34BD">
      <w:pPr>
        <w:spacing w:line="24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A" w14:textId="77777777" w:rsidR="006F5E28" w:rsidRDefault="00FB34BD">
      <w:pPr>
        <w:spacing w:line="24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B" w14:textId="77777777" w:rsidR="006F5E28" w:rsidRDefault="006F5E28">
      <w:pPr>
        <w:spacing w:line="356" w:lineRule="auto"/>
        <w:ind w:right="20"/>
        <w:rPr>
          <w:rFonts w:ascii="Times New Roman" w:eastAsia="Times New Roman" w:hAnsi="Times New Roman" w:cs="Times New Roman"/>
          <w:sz w:val="24"/>
          <w:szCs w:val="24"/>
        </w:rPr>
      </w:pPr>
    </w:p>
    <w:sectPr w:rsidR="006F5E28">
      <w:headerReference w:type="default" r:id="rId7"/>
      <w:pgSz w:w="11906" w:h="16838"/>
      <w:pgMar w:top="1417" w:right="1274" w:bottom="1417" w:left="2552"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9B197" w14:textId="77777777" w:rsidR="00FB34BD" w:rsidRDefault="00FB34BD">
      <w:pPr>
        <w:spacing w:line="240" w:lineRule="auto"/>
      </w:pPr>
      <w:r>
        <w:separator/>
      </w:r>
    </w:p>
  </w:endnote>
  <w:endnote w:type="continuationSeparator" w:id="0">
    <w:p w14:paraId="29109696" w14:textId="77777777" w:rsidR="00FB34BD" w:rsidRDefault="00FB34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534F7" w14:textId="77777777" w:rsidR="00FB34BD" w:rsidRDefault="00FB34BD">
      <w:pPr>
        <w:spacing w:line="240" w:lineRule="auto"/>
      </w:pPr>
      <w:r>
        <w:separator/>
      </w:r>
    </w:p>
  </w:footnote>
  <w:footnote w:type="continuationSeparator" w:id="0">
    <w:p w14:paraId="4F36D50E" w14:textId="77777777" w:rsidR="00FB34BD" w:rsidRDefault="00FB34BD">
      <w:pPr>
        <w:spacing w:line="240" w:lineRule="auto"/>
      </w:pPr>
      <w:r>
        <w:continuationSeparator/>
      </w:r>
    </w:p>
  </w:footnote>
  <w:footnote w:id="1">
    <w:p w14:paraId="0000004C" w14:textId="77777777" w:rsidR="006F5E28" w:rsidRDefault="00FB34BD">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SAYAD, </w:t>
      </w:r>
      <w:proofErr w:type="spellStart"/>
      <w:r>
        <w:rPr>
          <w:rFonts w:ascii="Times New Roman" w:eastAsia="Times New Roman" w:hAnsi="Times New Roman" w:cs="Times New Roman"/>
          <w:color w:val="000000"/>
          <w:sz w:val="20"/>
          <w:szCs w:val="20"/>
        </w:rPr>
        <w:t>Abdelmalek</w:t>
      </w:r>
      <w:proofErr w:type="spellEnd"/>
      <w:r>
        <w:rPr>
          <w:rFonts w:ascii="Times New Roman" w:eastAsia="Times New Roman" w:hAnsi="Times New Roman" w:cs="Times New Roman"/>
          <w:color w:val="000000"/>
          <w:sz w:val="20"/>
          <w:szCs w:val="20"/>
        </w:rPr>
        <w:t xml:space="preserve">. A imigração ou os paradoxos da alteridade. São Paulo: Editora da USP, 1998. </w:t>
      </w:r>
      <w:proofErr w:type="gramStart"/>
      <w:r>
        <w:rPr>
          <w:rFonts w:ascii="Times New Roman" w:eastAsia="Times New Roman" w:hAnsi="Times New Roman" w:cs="Times New Roman"/>
          <w:color w:val="000000"/>
          <w:sz w:val="20"/>
          <w:szCs w:val="20"/>
        </w:rPr>
        <w:t>p.</w:t>
      </w:r>
      <w:proofErr w:type="gramEnd"/>
      <w:r>
        <w:rPr>
          <w:rFonts w:ascii="Times New Roman" w:eastAsia="Times New Roman" w:hAnsi="Times New Roman" w:cs="Times New Roman"/>
          <w:color w:val="000000"/>
          <w:sz w:val="20"/>
          <w:szCs w:val="20"/>
        </w:rPr>
        <w:t xml:space="preserve"> 52.  </w:t>
      </w:r>
    </w:p>
  </w:footnote>
  <w:footnote w:id="2">
    <w:p w14:paraId="0000004D" w14:textId="77777777" w:rsidR="006F5E28" w:rsidRDefault="00FB34BD">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SAYAD, </w:t>
      </w:r>
      <w:proofErr w:type="spellStart"/>
      <w:r>
        <w:rPr>
          <w:rFonts w:ascii="Times New Roman" w:eastAsia="Times New Roman" w:hAnsi="Times New Roman" w:cs="Times New Roman"/>
          <w:color w:val="000000"/>
          <w:sz w:val="20"/>
          <w:szCs w:val="20"/>
        </w:rPr>
        <w:t>Abdelmalek</w:t>
      </w:r>
      <w:proofErr w:type="spellEnd"/>
      <w:r>
        <w:rPr>
          <w:rFonts w:ascii="Times New Roman" w:eastAsia="Times New Roman" w:hAnsi="Times New Roman" w:cs="Times New Roman"/>
          <w:color w:val="000000"/>
          <w:sz w:val="20"/>
          <w:szCs w:val="20"/>
        </w:rPr>
        <w:t xml:space="preserve">. A imigração ou os paradoxos da alteridade. São Paulo: Editora da USP, 1998. </w:t>
      </w:r>
      <w:proofErr w:type="gramStart"/>
      <w:r>
        <w:rPr>
          <w:rFonts w:ascii="Times New Roman" w:eastAsia="Times New Roman" w:hAnsi="Times New Roman" w:cs="Times New Roman"/>
          <w:color w:val="000000"/>
          <w:sz w:val="20"/>
          <w:szCs w:val="20"/>
        </w:rPr>
        <w:t>p.</w:t>
      </w:r>
      <w:proofErr w:type="gramEnd"/>
      <w:r>
        <w:rPr>
          <w:rFonts w:ascii="Times New Roman" w:eastAsia="Times New Roman" w:hAnsi="Times New Roman" w:cs="Times New Roman"/>
          <w:color w:val="000000"/>
          <w:sz w:val="20"/>
          <w:szCs w:val="20"/>
        </w:rPr>
        <w:t xml:space="preserve"> 45.</w:t>
      </w:r>
    </w:p>
  </w:footnote>
  <w:footnote w:id="3">
    <w:p w14:paraId="0000004E" w14:textId="77777777" w:rsidR="006F5E28" w:rsidRDefault="00FB34BD">
      <w:pPr>
        <w:spacing w:line="240" w:lineRule="auto"/>
        <w:rPr>
          <w:color w:val="000000"/>
          <w:sz w:val="20"/>
          <w:szCs w:val="20"/>
        </w:rPr>
      </w:pPr>
      <w:r>
        <w:rPr>
          <w:vertAlign w:val="superscript"/>
        </w:rPr>
        <w:footnoteRef/>
      </w:r>
      <w:r>
        <w:rPr>
          <w:highlight w:val="white"/>
        </w:rPr>
        <w:t xml:space="preserve"> </w:t>
      </w:r>
      <w:r>
        <w:rPr>
          <w:rFonts w:ascii="Times New Roman" w:eastAsia="Times New Roman" w:hAnsi="Times New Roman" w:cs="Times New Roman"/>
          <w:sz w:val="20"/>
          <w:szCs w:val="20"/>
          <w:highlight w:val="white"/>
        </w:rPr>
        <w:t>BAUMAN,</w:t>
      </w:r>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Zygmunt</w:t>
      </w:r>
      <w:proofErr w:type="spellEnd"/>
      <w:r>
        <w:rPr>
          <w:rFonts w:ascii="Times New Roman" w:eastAsia="Times New Roman" w:hAnsi="Times New Roman" w:cs="Times New Roman"/>
          <w:sz w:val="20"/>
          <w:szCs w:val="20"/>
          <w:highlight w:val="white"/>
        </w:rPr>
        <w:t>. I</w:t>
      </w:r>
      <w:r>
        <w:rPr>
          <w:rFonts w:ascii="Times New Roman" w:eastAsia="Times New Roman" w:hAnsi="Times New Roman" w:cs="Times New Roman"/>
          <w:sz w:val="20"/>
          <w:szCs w:val="20"/>
        </w:rPr>
        <w:t>dentidade: entrevista a Ben</w:t>
      </w:r>
      <w:r>
        <w:rPr>
          <w:rFonts w:ascii="Times New Roman" w:eastAsia="Times New Roman" w:hAnsi="Times New Roman" w:cs="Times New Roman"/>
          <w:sz w:val="20"/>
          <w:szCs w:val="20"/>
        </w:rPr>
        <w:t>edetto Vecchi. Rio de Janeiro: Jorge Zahar. 2005</w:t>
      </w:r>
    </w:p>
  </w:footnote>
  <w:footnote w:id="4">
    <w:p w14:paraId="0000004F" w14:textId="77777777" w:rsidR="006F5E28" w:rsidRDefault="00FB34BD">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color w:val="000000"/>
          <w:sz w:val="20"/>
          <w:szCs w:val="20"/>
        </w:rPr>
        <w:t xml:space="preserve"> </w:t>
      </w:r>
      <w:r>
        <w:rPr>
          <w:rFonts w:ascii="Times New Roman" w:eastAsia="Times New Roman" w:hAnsi="Times New Roman" w:cs="Times New Roman"/>
          <w:color w:val="000000"/>
          <w:sz w:val="20"/>
          <w:szCs w:val="20"/>
        </w:rPr>
        <w:t xml:space="preserve">BAUMAN, </w:t>
      </w:r>
      <w:proofErr w:type="spellStart"/>
      <w:r>
        <w:rPr>
          <w:rFonts w:ascii="Times New Roman" w:eastAsia="Times New Roman" w:hAnsi="Times New Roman" w:cs="Times New Roman"/>
          <w:color w:val="000000"/>
          <w:sz w:val="20"/>
          <w:szCs w:val="20"/>
        </w:rPr>
        <w:t>Zygmunt</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Modernidade líquida</w:t>
      </w:r>
      <w:r>
        <w:rPr>
          <w:rFonts w:ascii="Times New Roman" w:eastAsia="Times New Roman" w:hAnsi="Times New Roman" w:cs="Times New Roman"/>
          <w:color w:val="000000"/>
          <w:sz w:val="20"/>
          <w:szCs w:val="20"/>
        </w:rPr>
        <w:t>. Rio de Janeiro: Jorge Zahar Ed., 2001.</w:t>
      </w:r>
    </w:p>
  </w:footnote>
  <w:footnote w:id="5">
    <w:p w14:paraId="00000050" w14:textId="77777777" w:rsidR="006F5E28" w:rsidRDefault="00FB34BD">
      <w:pPr>
        <w:pBdr>
          <w:top w:val="nil"/>
          <w:left w:val="nil"/>
          <w:bottom w:val="nil"/>
          <w:right w:val="nil"/>
          <w:between w:val="nil"/>
        </w:pBdr>
        <w:spacing w:line="240" w:lineRule="auto"/>
        <w:rPr>
          <w:color w:val="000000"/>
          <w:sz w:val="20"/>
          <w:szCs w:val="20"/>
        </w:rPr>
      </w:pPr>
      <w:r>
        <w:rPr>
          <w:vertAlign w:val="superscript"/>
        </w:rPr>
        <w:footnoteRef/>
      </w:r>
      <w:r>
        <w:rPr>
          <w:rFonts w:ascii="Times New Roman" w:eastAsia="Times New Roman" w:hAnsi="Times New Roman" w:cs="Times New Roman"/>
          <w:color w:val="000000"/>
          <w:sz w:val="20"/>
          <w:szCs w:val="20"/>
          <w:highlight w:val="white"/>
        </w:rPr>
        <w:t xml:space="preserve"> HOBSBAWM, Eric J. </w:t>
      </w:r>
      <w:r>
        <w:rPr>
          <w:rFonts w:ascii="Times New Roman" w:eastAsia="Times New Roman" w:hAnsi="Times New Roman" w:cs="Times New Roman"/>
          <w:i/>
          <w:color w:val="000000"/>
          <w:sz w:val="20"/>
          <w:szCs w:val="20"/>
        </w:rPr>
        <w:t>A era das revoluções: Europa – 1789-1848</w:t>
      </w:r>
      <w:r>
        <w:rPr>
          <w:rFonts w:ascii="Times New Roman" w:eastAsia="Times New Roman" w:hAnsi="Times New Roman" w:cs="Times New Roman"/>
          <w:color w:val="000000"/>
          <w:sz w:val="20"/>
          <w:szCs w:val="20"/>
        </w:rPr>
        <w:t xml:space="preserve">. 3. </w:t>
      </w:r>
      <w:proofErr w:type="gramStart"/>
      <w:r>
        <w:rPr>
          <w:rFonts w:ascii="Times New Roman" w:eastAsia="Times New Roman" w:hAnsi="Times New Roman" w:cs="Times New Roman"/>
          <w:color w:val="000000"/>
          <w:sz w:val="20"/>
          <w:szCs w:val="20"/>
        </w:rPr>
        <w:t>ed.</w:t>
      </w:r>
      <w:proofErr w:type="gramEnd"/>
      <w:r>
        <w:rPr>
          <w:rFonts w:ascii="Times New Roman" w:eastAsia="Times New Roman" w:hAnsi="Times New Roman" w:cs="Times New Roman"/>
          <w:color w:val="000000"/>
          <w:sz w:val="20"/>
          <w:szCs w:val="20"/>
        </w:rPr>
        <w:t xml:space="preserve"> Rio de Janeiro: Paz e Terra, 1998. 366p. (Pensamento crítico; 13)</w:t>
      </w:r>
    </w:p>
  </w:footnote>
  <w:footnote w:id="6">
    <w:p w14:paraId="00000051" w14:textId="77777777" w:rsidR="006F5E28" w:rsidRDefault="00FB34BD">
      <w:pPr>
        <w:spacing w:line="240" w:lineRule="auto"/>
        <w:rPr>
          <w:rFonts w:ascii="Times New Roman" w:eastAsia="Times New Roman" w:hAnsi="Times New Roman" w:cs="Times New Roman"/>
          <w:sz w:val="20"/>
          <w:szCs w:val="20"/>
        </w:rPr>
      </w:pPr>
      <w:r>
        <w:rPr>
          <w:vertAlign w:val="superscript"/>
        </w:rPr>
        <w:footnoteRef/>
      </w:r>
      <w:r>
        <w:t xml:space="preserve"> </w:t>
      </w:r>
      <w:r>
        <w:rPr>
          <w:rFonts w:ascii="Times New Roman" w:eastAsia="Times New Roman" w:hAnsi="Times New Roman" w:cs="Times New Roman"/>
          <w:sz w:val="20"/>
          <w:szCs w:val="20"/>
        </w:rPr>
        <w:t xml:space="preserve">TEDESCO, João Carlos. </w:t>
      </w:r>
      <w:r>
        <w:rPr>
          <w:rFonts w:ascii="Times New Roman" w:eastAsia="Times New Roman" w:hAnsi="Times New Roman" w:cs="Times New Roman"/>
          <w:i/>
          <w:sz w:val="20"/>
          <w:szCs w:val="20"/>
        </w:rPr>
        <w:t>Nas Cercanias da Memória: Temporalidade Experiência e Narração</w:t>
      </w:r>
      <w:r>
        <w:rPr>
          <w:rFonts w:ascii="Times New Roman" w:eastAsia="Times New Roman" w:hAnsi="Times New Roman" w:cs="Times New Roman"/>
          <w:sz w:val="20"/>
          <w:szCs w:val="20"/>
        </w:rPr>
        <w:t>. Passo Fundo: UPF; Caxias do Sul: EDUCS, 2004.</w:t>
      </w:r>
    </w:p>
  </w:footnote>
  <w:footnote w:id="7">
    <w:p w14:paraId="00000052" w14:textId="77777777" w:rsidR="006F5E28" w:rsidRDefault="00FB34BD">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HALBWACHS, Maurice. </w:t>
      </w:r>
      <w:r>
        <w:rPr>
          <w:rFonts w:ascii="Times New Roman" w:eastAsia="Times New Roman" w:hAnsi="Times New Roman" w:cs="Times New Roman"/>
          <w:i/>
          <w:color w:val="000000"/>
          <w:sz w:val="20"/>
          <w:szCs w:val="20"/>
        </w:rPr>
        <w:t>A Memória Coletiva</w:t>
      </w:r>
      <w:r>
        <w:rPr>
          <w:rFonts w:ascii="Times New Roman" w:eastAsia="Times New Roman" w:hAnsi="Times New Roman" w:cs="Times New Roman"/>
          <w:color w:val="000000"/>
          <w:sz w:val="20"/>
          <w:szCs w:val="20"/>
        </w:rPr>
        <w:t>. São P</w:t>
      </w:r>
      <w:r>
        <w:rPr>
          <w:rFonts w:ascii="Times New Roman" w:eastAsia="Times New Roman" w:hAnsi="Times New Roman" w:cs="Times New Roman"/>
          <w:color w:val="000000"/>
          <w:sz w:val="20"/>
          <w:szCs w:val="20"/>
        </w:rPr>
        <w:t xml:space="preserve">aulo: Centauro, 2004. </w:t>
      </w:r>
      <w:proofErr w:type="gramStart"/>
      <w:r>
        <w:rPr>
          <w:rFonts w:ascii="Times New Roman" w:eastAsia="Times New Roman" w:hAnsi="Times New Roman" w:cs="Times New Roman"/>
          <w:color w:val="000000"/>
          <w:sz w:val="20"/>
          <w:szCs w:val="20"/>
        </w:rPr>
        <w:t>p.</w:t>
      </w:r>
      <w:proofErr w:type="gramEnd"/>
      <w:r>
        <w:rPr>
          <w:rFonts w:ascii="Times New Roman" w:eastAsia="Times New Roman" w:hAnsi="Times New Roman" w:cs="Times New Roman"/>
          <w:color w:val="000000"/>
          <w:sz w:val="20"/>
          <w:szCs w:val="20"/>
        </w:rPr>
        <w:t>138.</w:t>
      </w:r>
    </w:p>
  </w:footnote>
  <w:footnote w:id="8">
    <w:p w14:paraId="00000053" w14:textId="77777777" w:rsidR="006F5E28" w:rsidRDefault="00FB34BD">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TEDESCO, João Carlos. </w:t>
      </w:r>
      <w:r>
        <w:rPr>
          <w:rFonts w:ascii="Times New Roman" w:eastAsia="Times New Roman" w:hAnsi="Times New Roman" w:cs="Times New Roman"/>
          <w:i/>
          <w:color w:val="000000"/>
          <w:sz w:val="20"/>
          <w:szCs w:val="20"/>
        </w:rPr>
        <w:t>Nas Cercanias da Memória: Temporalidade Experiência e Narração</w:t>
      </w:r>
      <w:r>
        <w:rPr>
          <w:rFonts w:ascii="Times New Roman" w:eastAsia="Times New Roman" w:hAnsi="Times New Roman" w:cs="Times New Roman"/>
          <w:color w:val="000000"/>
          <w:sz w:val="20"/>
          <w:szCs w:val="20"/>
        </w:rPr>
        <w:t>. Passo Fundo: UPF; Caxias do Sul: EDUCS, 2004.</w:t>
      </w:r>
    </w:p>
  </w:footnote>
  <w:footnote w:id="9">
    <w:p w14:paraId="00000054" w14:textId="77777777" w:rsidR="006F5E28" w:rsidRDefault="00FB34BD">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SILVA, Tomaz Tadeu </w:t>
      </w:r>
      <w:proofErr w:type="gramStart"/>
      <w:r>
        <w:rPr>
          <w:rFonts w:ascii="Times New Roman" w:eastAsia="Times New Roman" w:hAnsi="Times New Roman" w:cs="Times New Roman"/>
          <w:color w:val="000000"/>
          <w:sz w:val="20"/>
          <w:szCs w:val="20"/>
        </w:rPr>
        <w:t>da.</w:t>
      </w:r>
      <w:proofErr w:type="gramEnd"/>
      <w:r>
        <w:rPr>
          <w:rFonts w:ascii="Times New Roman" w:eastAsia="Times New Roman" w:hAnsi="Times New Roman" w:cs="Times New Roman"/>
          <w:color w:val="000000"/>
          <w:sz w:val="20"/>
          <w:szCs w:val="20"/>
        </w:rPr>
        <w:t xml:space="preserve"> “A produção social da identidade e da diferença”. In: SILVA, Tomaz T</w:t>
      </w:r>
      <w:r>
        <w:rPr>
          <w:rFonts w:ascii="Times New Roman" w:eastAsia="Times New Roman" w:hAnsi="Times New Roman" w:cs="Times New Roman"/>
          <w:color w:val="000000"/>
          <w:sz w:val="20"/>
          <w:szCs w:val="20"/>
        </w:rPr>
        <w:t>adeu da (Org.). Identidade e diferença: a perspectiva dos estudos culturais. Petrópolis: Vozes, 2009, p. 73-102.</w:t>
      </w:r>
    </w:p>
  </w:footnote>
  <w:footnote w:id="10">
    <w:p w14:paraId="00000055" w14:textId="77777777" w:rsidR="006F5E28" w:rsidRDefault="00FB34BD">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MARTINS</w:t>
      </w:r>
      <w:r>
        <w:rPr>
          <w:rFonts w:ascii="Times New Roman" w:eastAsia="Times New Roman" w:hAnsi="Times New Roman" w:cs="Times New Roman"/>
          <w:sz w:val="20"/>
          <w:szCs w:val="20"/>
          <w:highlight w:val="white"/>
        </w:rPr>
        <w:t>, José</w:t>
      </w:r>
      <w:proofErr w:type="gramStart"/>
      <w:r>
        <w:rPr>
          <w:rFonts w:ascii="Times New Roman" w:eastAsia="Times New Roman" w:hAnsi="Times New Roman" w:cs="Times New Roman"/>
          <w:sz w:val="20"/>
          <w:szCs w:val="20"/>
          <w:highlight w:val="white"/>
        </w:rPr>
        <w:t xml:space="preserve">  </w:t>
      </w:r>
      <w:proofErr w:type="gramEnd"/>
      <w:r>
        <w:rPr>
          <w:rFonts w:ascii="Times New Roman" w:eastAsia="Times New Roman" w:hAnsi="Times New Roman" w:cs="Times New Roman"/>
          <w:sz w:val="20"/>
          <w:szCs w:val="20"/>
          <w:highlight w:val="white"/>
        </w:rPr>
        <w:t xml:space="preserve">Souza de. </w:t>
      </w:r>
      <w:r>
        <w:rPr>
          <w:rFonts w:ascii="Times New Roman" w:eastAsia="Times New Roman" w:hAnsi="Times New Roman" w:cs="Times New Roman"/>
          <w:sz w:val="20"/>
          <w:szCs w:val="20"/>
        </w:rPr>
        <w:t xml:space="preserve">A imigração espanhola para o Brasil e a formação da força de trabalho na economia cafeeira: 1880-1930. </w:t>
      </w:r>
      <w:r>
        <w:rPr>
          <w:rFonts w:ascii="Times New Roman" w:eastAsia="Times New Roman" w:hAnsi="Times New Roman" w:cs="Times New Roman"/>
          <w:i/>
          <w:sz w:val="20"/>
          <w:szCs w:val="20"/>
        </w:rPr>
        <w:t>Revista de História</w:t>
      </w:r>
      <w:r>
        <w:rPr>
          <w:rFonts w:ascii="Times New Roman" w:eastAsia="Times New Roman" w:hAnsi="Times New Roman" w:cs="Times New Roman"/>
          <w:sz w:val="20"/>
          <w:szCs w:val="20"/>
        </w:rPr>
        <w:t>, 121: 5-2. 2007</w:t>
      </w:r>
    </w:p>
    <w:p w14:paraId="00000056" w14:textId="77777777" w:rsidR="006F5E28" w:rsidRDefault="006F5E28">
      <w:pPr>
        <w:pBdr>
          <w:top w:val="nil"/>
          <w:left w:val="nil"/>
          <w:bottom w:val="nil"/>
          <w:right w:val="nil"/>
          <w:between w:val="nil"/>
        </w:pBdr>
        <w:spacing w:line="240" w:lineRule="auto"/>
        <w:rPr>
          <w:color w:val="000000"/>
          <w:sz w:val="20"/>
          <w:szCs w:val="20"/>
        </w:rPr>
      </w:pPr>
    </w:p>
  </w:footnote>
  <w:footnote w:id="11">
    <w:p w14:paraId="00000057" w14:textId="77777777" w:rsidR="006F5E28" w:rsidRDefault="00FB34BD">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white"/>
        </w:rPr>
        <w:t xml:space="preserve">EL KADI, </w:t>
      </w:r>
      <w:proofErr w:type="spellStart"/>
      <w:r>
        <w:rPr>
          <w:rFonts w:ascii="Times New Roman" w:eastAsia="Times New Roman" w:hAnsi="Times New Roman" w:cs="Times New Roman"/>
          <w:color w:val="000000"/>
          <w:sz w:val="20"/>
          <w:szCs w:val="20"/>
          <w:highlight w:val="white"/>
        </w:rPr>
        <w:t>Nagile</w:t>
      </w:r>
      <w:proofErr w:type="spellEnd"/>
      <w:r>
        <w:rPr>
          <w:rFonts w:ascii="Times New Roman" w:eastAsia="Times New Roman" w:hAnsi="Times New Roman" w:cs="Times New Roman"/>
          <w:color w:val="000000"/>
          <w:sz w:val="20"/>
          <w:szCs w:val="20"/>
          <w:highlight w:val="white"/>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A migração </w:t>
      </w:r>
      <w:proofErr w:type="spellStart"/>
      <w:r>
        <w:rPr>
          <w:rFonts w:ascii="Times New Roman" w:eastAsia="Times New Roman" w:hAnsi="Times New Roman" w:cs="Times New Roman"/>
          <w:i/>
          <w:color w:val="000000"/>
          <w:sz w:val="20"/>
          <w:szCs w:val="20"/>
        </w:rPr>
        <w:t>druza</w:t>
      </w:r>
      <w:proofErr w:type="spellEnd"/>
      <w:r>
        <w:rPr>
          <w:rFonts w:ascii="Times New Roman" w:eastAsia="Times New Roman" w:hAnsi="Times New Roman" w:cs="Times New Roman"/>
          <w:i/>
          <w:color w:val="000000"/>
          <w:sz w:val="20"/>
          <w:szCs w:val="20"/>
        </w:rPr>
        <w:t>: passos e traços.</w:t>
      </w:r>
      <w:r>
        <w:rPr>
          <w:rFonts w:ascii="Times New Roman" w:eastAsia="Times New Roman" w:hAnsi="Times New Roman" w:cs="Times New Roman"/>
          <w:color w:val="000000"/>
          <w:sz w:val="20"/>
          <w:szCs w:val="20"/>
        </w:rPr>
        <w:t xml:space="preserve"> Belo Horizonte, dissertação de mestrado, UFMG. 1997</w:t>
      </w:r>
    </w:p>
  </w:footnote>
  <w:footnote w:id="12">
    <w:p w14:paraId="00000058" w14:textId="77777777" w:rsidR="006F5E28" w:rsidRDefault="00FB34BD">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Vale ressaltar que as redes de ajuda e de solidariedade criadas pelos imigrantes não são utilizadas apenas nas decisões de migrar e para onde migrar. Elas se mantêm em todo o processo de imigração, incluindo a</w:t>
      </w:r>
      <w:r>
        <w:rPr>
          <w:color w:val="000000"/>
          <w:sz w:val="28"/>
          <w:szCs w:val="28"/>
        </w:rPr>
        <w:t xml:space="preserve"> </w:t>
      </w:r>
      <w:r>
        <w:rPr>
          <w:rFonts w:ascii="Times New Roman" w:eastAsia="Times New Roman" w:hAnsi="Times New Roman" w:cs="Times New Roman"/>
          <w:color w:val="000000"/>
          <w:sz w:val="20"/>
          <w:szCs w:val="20"/>
        </w:rPr>
        <w:t>inserção no mercado de trabalho, a empregabili</w:t>
      </w:r>
      <w:r>
        <w:rPr>
          <w:rFonts w:ascii="Times New Roman" w:eastAsia="Times New Roman" w:hAnsi="Times New Roman" w:cs="Times New Roman"/>
          <w:color w:val="000000"/>
          <w:sz w:val="20"/>
          <w:szCs w:val="20"/>
        </w:rPr>
        <w:t>dade e a posição ocupacional dos membros do grupo.</w:t>
      </w:r>
    </w:p>
  </w:footnote>
  <w:footnote w:id="13">
    <w:p w14:paraId="00000059" w14:textId="77777777" w:rsidR="006F5E28" w:rsidRDefault="00FB34BD">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(Silva, 2008; </w:t>
      </w:r>
      <w:proofErr w:type="spellStart"/>
      <w:r>
        <w:rPr>
          <w:rFonts w:ascii="Times New Roman" w:eastAsia="Times New Roman" w:hAnsi="Times New Roman" w:cs="Times New Roman"/>
          <w:color w:val="000000"/>
          <w:sz w:val="20"/>
          <w:szCs w:val="20"/>
        </w:rPr>
        <w:t>Pitts</w:t>
      </w:r>
      <w:proofErr w:type="spellEnd"/>
      <w:r>
        <w:rPr>
          <w:rFonts w:ascii="Times New Roman" w:eastAsia="Times New Roman" w:hAnsi="Times New Roman" w:cs="Times New Roman"/>
          <w:color w:val="000000"/>
          <w:sz w:val="20"/>
          <w:szCs w:val="20"/>
        </w:rPr>
        <w:t xml:space="preserve"> Jr., 2006; </w:t>
      </w:r>
      <w:proofErr w:type="spellStart"/>
      <w:r>
        <w:rPr>
          <w:rFonts w:ascii="Times New Roman" w:eastAsia="Times New Roman" w:hAnsi="Times New Roman" w:cs="Times New Roman"/>
          <w:color w:val="000000"/>
          <w:sz w:val="20"/>
          <w:szCs w:val="20"/>
        </w:rPr>
        <w:t>Truzzi</w:t>
      </w:r>
      <w:proofErr w:type="spellEnd"/>
      <w:r>
        <w:rPr>
          <w:rFonts w:ascii="Times New Roman" w:eastAsia="Times New Roman" w:hAnsi="Times New Roman" w:cs="Times New Roman"/>
          <w:color w:val="000000"/>
          <w:sz w:val="20"/>
          <w:szCs w:val="20"/>
        </w:rPr>
        <w:t>, 1997</w:t>
      </w:r>
      <w:proofErr w:type="gramStart"/>
      <w:r>
        <w:rPr>
          <w:rFonts w:ascii="Times New Roman" w:eastAsia="Times New Roman" w:hAnsi="Times New Roman" w:cs="Times New Roman"/>
          <w:color w:val="000000"/>
          <w:sz w:val="20"/>
          <w:szCs w:val="20"/>
        </w:rPr>
        <w:t>)</w:t>
      </w:r>
      <w:proofErr w:type="gramEnd"/>
    </w:p>
    <w:p w14:paraId="0000005A" w14:textId="77777777" w:rsidR="006F5E28" w:rsidRDefault="00FB34BD">
      <w:pPr>
        <w:pBdr>
          <w:top w:val="nil"/>
          <w:left w:val="nil"/>
          <w:bottom w:val="nil"/>
          <w:right w:val="nil"/>
          <w:between w:val="nil"/>
        </w:pBdr>
        <w:spacing w:line="240" w:lineRule="auto"/>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 xml:space="preserve">SILVA, R.C.M.E. Reordenação de identidades dos imigrantes árabes </w:t>
      </w:r>
      <w:r>
        <w:rPr>
          <w:rFonts w:ascii="Times New Roman" w:eastAsia="Times New Roman" w:hAnsi="Times New Roman" w:cs="Times New Roman"/>
          <w:i/>
          <w:color w:val="000000"/>
          <w:sz w:val="20"/>
          <w:szCs w:val="20"/>
          <w:highlight w:val="white"/>
        </w:rPr>
        <w:t xml:space="preserve">Trab. Ling. </w:t>
      </w:r>
      <w:proofErr w:type="spellStart"/>
      <w:r>
        <w:rPr>
          <w:rFonts w:ascii="Times New Roman" w:eastAsia="Times New Roman" w:hAnsi="Times New Roman" w:cs="Times New Roman"/>
          <w:i/>
          <w:color w:val="000000"/>
          <w:sz w:val="20"/>
          <w:szCs w:val="20"/>
          <w:highlight w:val="white"/>
        </w:rPr>
        <w:t>Aplic</w:t>
      </w:r>
      <w:proofErr w:type="spellEnd"/>
      <w:r>
        <w:rPr>
          <w:rFonts w:ascii="Times New Roman" w:eastAsia="Times New Roman" w:hAnsi="Times New Roman" w:cs="Times New Roman"/>
          <w:i/>
          <w:color w:val="000000"/>
          <w:sz w:val="20"/>
          <w:szCs w:val="20"/>
          <w:highlight w:val="white"/>
        </w:rPr>
        <w:t>.</w:t>
      </w:r>
      <w:r>
        <w:rPr>
          <w:rFonts w:ascii="Times New Roman" w:eastAsia="Times New Roman" w:hAnsi="Times New Roman" w:cs="Times New Roman"/>
          <w:color w:val="000000"/>
          <w:sz w:val="20"/>
          <w:szCs w:val="20"/>
          <w:highlight w:val="white"/>
        </w:rPr>
        <w:t xml:space="preserve"> 47: 357 -373. 2008</w:t>
      </w:r>
    </w:p>
    <w:p w14:paraId="0000005B" w14:textId="77777777" w:rsidR="006F5E28" w:rsidRDefault="00FB34BD">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111111"/>
          <w:sz w:val="20"/>
          <w:szCs w:val="20"/>
        </w:rPr>
        <w:t xml:space="preserve"> TRUZZI, Oswaldo. </w:t>
      </w:r>
      <w:r>
        <w:rPr>
          <w:rFonts w:ascii="Times New Roman" w:eastAsia="Times New Roman" w:hAnsi="Times New Roman" w:cs="Times New Roman"/>
          <w:i/>
          <w:color w:val="111111"/>
          <w:sz w:val="20"/>
          <w:szCs w:val="20"/>
        </w:rPr>
        <w:t>Redes em processos migratórios</w:t>
      </w:r>
      <w:r>
        <w:rPr>
          <w:rFonts w:ascii="Times New Roman" w:eastAsia="Times New Roman" w:hAnsi="Times New Roman" w:cs="Times New Roman"/>
          <w:color w:val="111111"/>
          <w:sz w:val="20"/>
          <w:szCs w:val="20"/>
        </w:rPr>
        <w:t>. Tempo Social, São Paulo, vol. 20, p. 199-218. 2008</w:t>
      </w:r>
    </w:p>
  </w:footnote>
  <w:footnote w:id="14">
    <w:p w14:paraId="0000005C" w14:textId="77777777" w:rsidR="006F5E28" w:rsidRDefault="00FB34BD">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highlight w:val="white"/>
        </w:rPr>
        <w:t xml:space="preserve"> GATTAZ, André</w:t>
      </w:r>
      <w:proofErr w:type="gramStart"/>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sz w:val="20"/>
          <w:szCs w:val="20"/>
          <w:highlight w:val="white"/>
        </w:rPr>
        <w:t xml:space="preserve"> </w:t>
      </w:r>
      <w:proofErr w:type="gramEnd"/>
      <w:r>
        <w:rPr>
          <w:rFonts w:ascii="Times New Roman" w:eastAsia="Times New Roman" w:hAnsi="Times New Roman" w:cs="Times New Roman"/>
          <w:color w:val="000000"/>
          <w:sz w:val="20"/>
          <w:szCs w:val="20"/>
          <w:highlight w:val="white"/>
        </w:rPr>
        <w:t>C.  </w:t>
      </w:r>
      <w:r>
        <w:rPr>
          <w:rFonts w:ascii="Times New Roman" w:eastAsia="Times New Roman" w:hAnsi="Times New Roman" w:cs="Times New Roman"/>
          <w:i/>
          <w:color w:val="000000"/>
          <w:sz w:val="20"/>
          <w:szCs w:val="20"/>
          <w:highlight w:val="white"/>
        </w:rPr>
        <w:t>Do Líbano ao Brasil: história oral de imigrantes</w:t>
      </w:r>
      <w:r>
        <w:rPr>
          <w:rFonts w:ascii="Times New Roman" w:eastAsia="Times New Roman" w:hAnsi="Times New Roman" w:cs="Times New Roman"/>
          <w:color w:val="000000"/>
          <w:sz w:val="20"/>
          <w:szCs w:val="20"/>
          <w:highlight w:val="white"/>
        </w:rPr>
        <w:t>. São Paulo: Gandalf. 2005.</w:t>
      </w:r>
    </w:p>
  </w:footnote>
  <w:footnote w:id="15">
    <w:p w14:paraId="0000005D" w14:textId="77777777" w:rsidR="006F5E28" w:rsidRDefault="00FB34BD">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highlight w:val="white"/>
        </w:rPr>
        <w:t xml:space="preserve"> FIGOLI, L. H. &amp; VILELA, E. M.</w:t>
      </w:r>
      <w:r>
        <w:rPr>
          <w:rFonts w:ascii="Times New Roman" w:eastAsia="Times New Roman" w:hAnsi="Times New Roman" w:cs="Times New Roman"/>
          <w:color w:val="000000"/>
          <w:sz w:val="20"/>
          <w:szCs w:val="20"/>
        </w:rPr>
        <w:t xml:space="preserve"> "Migração internacional, multiculturalismo: sírios e libaneses em Minas Ge</w:t>
      </w:r>
      <w:r>
        <w:rPr>
          <w:rFonts w:ascii="Times New Roman" w:eastAsia="Times New Roman" w:hAnsi="Times New Roman" w:cs="Times New Roman"/>
          <w:color w:val="000000"/>
          <w:sz w:val="20"/>
          <w:szCs w:val="20"/>
        </w:rPr>
        <w:t xml:space="preserve">rais". Trabalho apresentado no </w:t>
      </w:r>
      <w:r>
        <w:rPr>
          <w:rFonts w:ascii="Times New Roman" w:eastAsia="Times New Roman" w:hAnsi="Times New Roman" w:cs="Times New Roman"/>
          <w:i/>
          <w:color w:val="000000"/>
          <w:sz w:val="20"/>
          <w:szCs w:val="20"/>
        </w:rPr>
        <w:t>XIV Encontro Nacional de Estudos Populacionais</w:t>
      </w:r>
      <w:r>
        <w:rPr>
          <w:rFonts w:ascii="Times New Roman" w:eastAsia="Times New Roman" w:hAnsi="Times New Roman" w:cs="Times New Roman"/>
          <w:color w:val="000000"/>
          <w:sz w:val="20"/>
          <w:szCs w:val="20"/>
        </w:rPr>
        <w:t xml:space="preserve">, Caxambu, MG, </w:t>
      </w:r>
      <w:proofErr w:type="gramStart"/>
      <w:r>
        <w:rPr>
          <w:rFonts w:ascii="Times New Roman" w:eastAsia="Times New Roman" w:hAnsi="Times New Roman" w:cs="Times New Roman"/>
          <w:color w:val="000000"/>
          <w:sz w:val="20"/>
          <w:szCs w:val="20"/>
        </w:rPr>
        <w:t>Abep.</w:t>
      </w:r>
      <w:proofErr w:type="gramEnd"/>
      <w:r>
        <w:rPr>
          <w:rFonts w:ascii="Times New Roman" w:eastAsia="Times New Roman" w:hAnsi="Times New Roman" w:cs="Times New Roman"/>
          <w:color w:val="000000"/>
          <w:sz w:val="20"/>
          <w:szCs w:val="20"/>
        </w:rPr>
        <w:t>2004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E" w14:textId="77777777" w:rsidR="006F5E28" w:rsidRDefault="006F5E2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F5E28"/>
    <w:rsid w:val="006F5E28"/>
    <w:rsid w:val="0077174F"/>
    <w:rsid w:val="007E19A4"/>
    <w:rsid w:val="00FB34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3316</Words>
  <Characters>17911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sala-23</dc:creator>
  <cp:lastModifiedBy>sala-23</cp:lastModifiedBy>
  <cp:revision>2</cp:revision>
  <dcterms:created xsi:type="dcterms:W3CDTF">2019-05-08T19:06:00Z</dcterms:created>
  <dcterms:modified xsi:type="dcterms:W3CDTF">2019-05-08T19:06:00Z</dcterms:modified>
</cp:coreProperties>
</file>