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FF" w:rsidRPr="003913AC" w:rsidRDefault="009534FF" w:rsidP="009534FF">
      <w:pPr>
        <w:spacing w:line="360" w:lineRule="auto"/>
        <w:jc w:val="both"/>
        <w:rPr>
          <w:sz w:val="22"/>
          <w:szCs w:val="22"/>
          <w:lang w:val="pt-BR"/>
        </w:rPr>
      </w:pPr>
      <w:bookmarkStart w:id="0" w:name="_GoBack"/>
      <w:bookmarkEnd w:id="0"/>
      <w:r>
        <w:rPr>
          <w:spacing w:val="-3"/>
          <w:sz w:val="22"/>
          <w:szCs w:val="22"/>
          <w:lang w:val="pt-BR"/>
        </w:rPr>
        <w:t>Tabela 3. S</w:t>
      </w:r>
      <w:r w:rsidRPr="00503CB0">
        <w:rPr>
          <w:spacing w:val="-3"/>
          <w:sz w:val="22"/>
          <w:szCs w:val="22"/>
          <w:lang w:val="pt-BR"/>
        </w:rPr>
        <w:t xml:space="preserve">ubgrupos </w:t>
      </w:r>
      <w:proofErr w:type="spellStart"/>
      <w:r w:rsidRPr="00503CB0">
        <w:rPr>
          <w:spacing w:val="-3"/>
          <w:sz w:val="22"/>
          <w:szCs w:val="22"/>
          <w:lang w:val="pt-BR"/>
        </w:rPr>
        <w:t>monofiléticos</w:t>
      </w:r>
      <w:proofErr w:type="spellEnd"/>
      <w:r w:rsidRPr="00503CB0">
        <w:rPr>
          <w:spacing w:val="-3"/>
          <w:sz w:val="22"/>
          <w:szCs w:val="22"/>
          <w:lang w:val="pt-BR"/>
        </w:rPr>
        <w:t xml:space="preserve"> de </w:t>
      </w:r>
      <w:proofErr w:type="spellStart"/>
      <w:r w:rsidRPr="00503CB0">
        <w:rPr>
          <w:spacing w:val="-3"/>
          <w:sz w:val="22"/>
          <w:szCs w:val="22"/>
          <w:lang w:val="pt-BR"/>
        </w:rPr>
        <w:t>Characidae</w:t>
      </w:r>
      <w:proofErr w:type="spellEnd"/>
      <w:r w:rsidRPr="00503CB0">
        <w:rPr>
          <w:spacing w:val="-3"/>
          <w:sz w:val="22"/>
          <w:szCs w:val="22"/>
          <w:lang w:val="pt-BR"/>
        </w:rPr>
        <w:t xml:space="preserve"> reconhecidos por Mirande (2019) e </w:t>
      </w:r>
      <w:proofErr w:type="spellStart"/>
      <w:r w:rsidRPr="00503CB0">
        <w:rPr>
          <w:spacing w:val="-3"/>
          <w:sz w:val="22"/>
          <w:szCs w:val="22"/>
          <w:lang w:val="pt-BR"/>
        </w:rPr>
        <w:t>Terán</w:t>
      </w:r>
      <w:proofErr w:type="spellEnd"/>
      <w:r w:rsidRPr="00503CB0">
        <w:rPr>
          <w:spacing w:val="-3"/>
          <w:sz w:val="22"/>
          <w:szCs w:val="22"/>
          <w:lang w:val="pt-BR"/>
        </w:rPr>
        <w:t xml:space="preserve"> </w:t>
      </w:r>
      <w:r w:rsidRPr="00503CB0">
        <w:rPr>
          <w:i/>
          <w:spacing w:val="-3"/>
          <w:sz w:val="22"/>
          <w:szCs w:val="22"/>
          <w:lang w:val="pt-BR"/>
        </w:rPr>
        <w:t>et al</w:t>
      </w:r>
      <w:r w:rsidRPr="00503CB0">
        <w:rPr>
          <w:spacing w:val="-3"/>
          <w:sz w:val="22"/>
          <w:szCs w:val="22"/>
          <w:lang w:val="pt-BR"/>
        </w:rPr>
        <w:t>. (2020)</w:t>
      </w:r>
      <w:r>
        <w:rPr>
          <w:spacing w:val="-3"/>
          <w:sz w:val="22"/>
          <w:szCs w:val="22"/>
          <w:lang w:val="pt-BR"/>
        </w:rPr>
        <w:t>, em ordem alfabética</w:t>
      </w:r>
      <w:r w:rsidRPr="00503CB0">
        <w:rPr>
          <w:spacing w:val="-3"/>
          <w:sz w:val="22"/>
          <w:szCs w:val="22"/>
          <w:lang w:val="pt-BR"/>
        </w:rPr>
        <w:t>.</w:t>
      </w:r>
      <w:r w:rsidRPr="00503CB0">
        <w:rPr>
          <w:sz w:val="22"/>
          <w:szCs w:val="22"/>
          <w:lang w:val="pt-BR"/>
        </w:rPr>
        <w:t xml:space="preserve"> 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proofErr w:type="gramStart"/>
      <w:r w:rsidRPr="00503CB0">
        <w:rPr>
          <w:i/>
          <w:spacing w:val="-3"/>
          <w:sz w:val="22"/>
          <w:szCs w:val="22"/>
          <w:lang w:val="es-CO"/>
        </w:rPr>
        <w:t>incertae</w:t>
      </w:r>
      <w:proofErr w:type="spellEnd"/>
      <w:proofErr w:type="gramEnd"/>
      <w:r w:rsidRPr="00503CB0">
        <w:rPr>
          <w:i/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sedis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Axelrodia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>, †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Bryconetes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Dectobrycon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Genycharax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Hasemania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Leptobrycon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>, †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Megacheirodon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Mixobrycon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Oligobrycon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Oxybrycon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>, †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Paleotetra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Parapristella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Schultzites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Scissor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Serrabrycon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Thrissobrycon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Trochilocharax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Tyttobrycon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Tucanoichthys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Aphyocharacinae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Aphyocharacidium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Aphyocharax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Leptagoniates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Paragoniates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Phenagoniates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Prionobrama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Xenagoniates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) 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Characinae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Acanthocharax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Acestrocephalus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Cynopotamus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Galeocharax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Microschemobrycon</w:t>
      </w:r>
      <w:proofErr w:type="spellEnd"/>
      <w:r w:rsidRPr="00503CB0">
        <w:rPr>
          <w:spacing w:val="-3"/>
          <w:sz w:val="22"/>
          <w:szCs w:val="22"/>
          <w:lang w:val="es-CO"/>
        </w:rPr>
        <w:t>,</w:t>
      </w:r>
      <w:r w:rsidRPr="00503CB0">
        <w:rPr>
          <w:i/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Phenacogaster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Priocharax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Roeboides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keepLines/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Cheirodontinae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Acinocheirodon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Aphyocheirodon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Cheirodontops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Compsura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Ctenocheirodon</w:t>
      </w:r>
      <w:proofErr w:type="spellEnd"/>
      <w:r w:rsidRPr="00503CB0">
        <w:rPr>
          <w:spacing w:val="-3"/>
          <w:sz w:val="22"/>
          <w:szCs w:val="22"/>
          <w:lang w:val="es-CO"/>
        </w:rPr>
        <w:t>,</w:t>
      </w:r>
      <w:r w:rsidRPr="00503CB0">
        <w:rPr>
          <w:i/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Heterocheirodon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Kolpotocheirodon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Macropsobrycon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>, +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Megacheirodon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Nanocheirodon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Odontostilbe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Prodontocharax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Protocheirodon</w:t>
      </w:r>
      <w:proofErr w:type="spellEnd"/>
      <w:r w:rsidRPr="00503CB0">
        <w:rPr>
          <w:spacing w:val="-3"/>
          <w:sz w:val="22"/>
          <w:szCs w:val="22"/>
          <w:lang w:val="es-CO"/>
        </w:rPr>
        <w:t>,</w:t>
      </w:r>
      <w:r w:rsidRPr="00503CB0">
        <w:rPr>
          <w:i/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Pseudocheirodon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Saccoderma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Serrapinnus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Exodontinae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Bryconexodon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Exodon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Roeboexodon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Spintherobolinae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Amazonspinter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Atopomesus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Spinterobolus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Stethaprioninae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Gymnocharacini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Andromakhe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Astyanax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Bario,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Carlana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Ctenobrycon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Grundulus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Gymnocharacinus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Hollandichthys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Inpaichthys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>, Jupiaba</w:t>
      </w:r>
      <w:r w:rsidRPr="00503CB0">
        <w:rPr>
          <w:spacing w:val="-3"/>
          <w:sz w:val="22"/>
          <w:szCs w:val="22"/>
          <w:lang w:val="es-CO"/>
        </w:rPr>
        <w:t>,</w:t>
      </w:r>
      <w:r w:rsidRPr="00503CB0">
        <w:rPr>
          <w:i/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Nematobrycon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Oligosarcus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Parastremma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Psalidodon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Pseudochalceus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Psellogrammus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Rachoviscus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Rhoadsia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Thayeria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. A incluso de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Hasemania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e/</w:t>
      </w:r>
      <w:proofErr w:type="spellStart"/>
      <w:r w:rsidRPr="00503CB0">
        <w:rPr>
          <w:spacing w:val="-3"/>
          <w:sz w:val="22"/>
          <w:szCs w:val="22"/>
          <w:lang w:val="es-CO"/>
        </w:rPr>
        <w:t>ou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</w:t>
      </w:r>
      <w:r w:rsidRPr="00503CB0">
        <w:rPr>
          <w:i/>
          <w:spacing w:val="-3"/>
          <w:sz w:val="22"/>
          <w:szCs w:val="22"/>
          <w:lang w:val="es-CO"/>
        </w:rPr>
        <w:t>Jupiaba</w:t>
      </w:r>
      <w:r w:rsidRPr="00503CB0">
        <w:rPr>
          <w:spacing w:val="-3"/>
          <w:sz w:val="22"/>
          <w:szCs w:val="22"/>
          <w:lang w:val="es-CO"/>
        </w:rPr>
        <w:t xml:space="preserve"> depende da </w:t>
      </w:r>
      <w:proofErr w:type="spellStart"/>
      <w:r w:rsidRPr="00503CB0">
        <w:rPr>
          <w:spacing w:val="-3"/>
          <w:sz w:val="22"/>
          <w:szCs w:val="22"/>
          <w:lang w:val="es-CO"/>
        </w:rPr>
        <w:t>resolução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do </w:t>
      </w:r>
      <w:proofErr w:type="spellStart"/>
      <w:r w:rsidRPr="00503CB0">
        <w:rPr>
          <w:spacing w:val="-3"/>
          <w:sz w:val="22"/>
          <w:szCs w:val="22"/>
          <w:lang w:val="es-CO"/>
        </w:rPr>
        <w:t>posicionamento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das </w:t>
      </w:r>
      <w:proofErr w:type="spellStart"/>
      <w:r w:rsidRPr="00503CB0">
        <w:rPr>
          <w:spacing w:val="-3"/>
          <w:sz w:val="22"/>
          <w:szCs w:val="22"/>
          <w:lang w:val="es-CO"/>
        </w:rPr>
        <w:t>espécies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tipo)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Probolodini</w:t>
      </w:r>
      <w:proofErr w:type="spellEnd"/>
      <w:r w:rsidRPr="00503CB0">
        <w:rPr>
          <w:b/>
          <w:spacing w:val="-3"/>
          <w:sz w:val="22"/>
          <w:szCs w:val="22"/>
          <w:lang w:val="es-CO"/>
        </w:rPr>
        <w:t xml:space="preserve"> </w:t>
      </w:r>
      <w:r w:rsidRPr="00503CB0">
        <w:rPr>
          <w:spacing w:val="-3"/>
          <w:sz w:val="22"/>
          <w:szCs w:val="22"/>
          <w:lang w:val="es-CO"/>
        </w:rPr>
        <w:t>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Coptob</w:t>
      </w:r>
      <w:r>
        <w:rPr>
          <w:i/>
          <w:spacing w:val="-3"/>
          <w:sz w:val="22"/>
          <w:szCs w:val="22"/>
          <w:lang w:val="es-CO"/>
        </w:rPr>
        <w:t>rycon</w:t>
      </w:r>
      <w:proofErr w:type="spellEnd"/>
      <w:r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>
        <w:rPr>
          <w:i/>
          <w:spacing w:val="-3"/>
          <w:sz w:val="22"/>
          <w:szCs w:val="22"/>
          <w:lang w:val="es-CO"/>
        </w:rPr>
        <w:t>Cyanogaster</w:t>
      </w:r>
      <w:proofErr w:type="spellEnd"/>
      <w:r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>
        <w:rPr>
          <w:i/>
          <w:spacing w:val="-3"/>
          <w:sz w:val="22"/>
          <w:szCs w:val="22"/>
          <w:lang w:val="es-CO"/>
        </w:rPr>
        <w:t>Deuterodon</w:t>
      </w:r>
      <w:proofErr w:type="spellEnd"/>
      <w:r>
        <w:rPr>
          <w:i/>
          <w:spacing w:val="-3"/>
          <w:sz w:val="22"/>
          <w:szCs w:val="22"/>
          <w:lang w:val="es-CO"/>
        </w:rPr>
        <w:t>,</w:t>
      </w:r>
      <w:r w:rsidRPr="00503CB0">
        <w:rPr>
          <w:i/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Erythrocharax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 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Parecbasis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Petitella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Brittanichthys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Hyphessobrycon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Makunaima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Paracheirodon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Phycocharax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Stygichthys</w:t>
      </w:r>
      <w:proofErr w:type="spellEnd"/>
      <w:r w:rsidRPr="00503CB0">
        <w:rPr>
          <w:spacing w:val="-3"/>
          <w:sz w:val="22"/>
          <w:szCs w:val="22"/>
          <w:lang w:val="es-CO"/>
        </w:rPr>
        <w:t>. (</w:t>
      </w:r>
      <w:proofErr w:type="spellStart"/>
      <w:r w:rsidRPr="00503CB0">
        <w:rPr>
          <w:spacing w:val="-3"/>
          <w:sz w:val="22"/>
          <w:szCs w:val="22"/>
          <w:lang w:val="es-CO"/>
        </w:rPr>
        <w:t>Probolodus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spacing w:val="-3"/>
          <w:sz w:val="22"/>
          <w:szCs w:val="22"/>
          <w:lang w:val="es-CO"/>
        </w:rPr>
        <w:t>foi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</w:t>
      </w:r>
      <w:proofErr w:type="spellStart"/>
      <w:r w:rsidRPr="00503CB0">
        <w:rPr>
          <w:spacing w:val="-3"/>
          <w:sz w:val="22"/>
          <w:szCs w:val="22"/>
          <w:lang w:val="es-CO"/>
        </w:rPr>
        <w:t>incluído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por </w:t>
      </w:r>
      <w:proofErr w:type="spellStart"/>
      <w:r w:rsidRPr="00503CB0">
        <w:rPr>
          <w:spacing w:val="-3"/>
          <w:sz w:val="22"/>
          <w:szCs w:val="22"/>
          <w:lang w:val="es-CO"/>
        </w:rPr>
        <w:t>Téran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</w:t>
      </w:r>
      <w:r w:rsidRPr="00503CB0">
        <w:rPr>
          <w:i/>
          <w:spacing w:val="-3"/>
          <w:sz w:val="22"/>
          <w:szCs w:val="22"/>
          <w:lang w:val="es-CO"/>
        </w:rPr>
        <w:t>et al</w:t>
      </w:r>
      <w:r w:rsidRPr="00503CB0">
        <w:rPr>
          <w:spacing w:val="-3"/>
          <w:sz w:val="22"/>
          <w:szCs w:val="22"/>
          <w:lang w:val="es-CO"/>
        </w:rPr>
        <w:t xml:space="preserve">., 2020, na sinonimia de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Deuterodon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). 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Stethaprionini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Aphyodite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Brachychalcinus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Bryconella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Ectrepopterus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Gymnocorymbus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Hemigrammus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Moenkhausia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Nematocharax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Orthospinus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Poptella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Pristella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Stethaprion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Stichonodon</w:t>
      </w:r>
      <w:proofErr w:type="spellEnd"/>
      <w:r w:rsidRPr="00503CB0">
        <w:rPr>
          <w:spacing w:val="-3"/>
          <w:sz w:val="22"/>
          <w:szCs w:val="22"/>
          <w:lang w:val="es-CO"/>
        </w:rPr>
        <w:t>.)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Stevardiinae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Creagrutini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Carlastyanax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Creagrutus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Lepidocharax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Microgenys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Planaltina</w:t>
      </w:r>
      <w:proofErr w:type="spellEnd"/>
      <w:r w:rsidRPr="00503CB0">
        <w:rPr>
          <w:spacing w:val="-3"/>
          <w:sz w:val="22"/>
          <w:szCs w:val="22"/>
          <w:lang w:val="es-CO"/>
        </w:rPr>
        <w:t>).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Diapomini</w:t>
      </w:r>
      <w:proofErr w:type="spellEnd"/>
      <w:r w:rsidRPr="00503CB0">
        <w:rPr>
          <w:spacing w:val="-3"/>
          <w:sz w:val="22"/>
          <w:szCs w:val="22"/>
          <w:lang w:val="es-CO"/>
        </w:rPr>
        <w:t> 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Attonitus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Aulixidens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Bryconacidnus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Bryconamericus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Ceratobranchia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Diapoma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Hypobrycon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Knodus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Landonia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Nantis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Odontostoechus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Piabarchus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Piabina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Rhinobrycon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Eretmobryconini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Erethmobrycon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Markiana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lastRenderedPageBreak/>
        <w:t>Glandulocaudini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Glandulocauda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Lophiobrycon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Mimagoniates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Hemibryconini</w:t>
      </w:r>
      <w:proofErr w:type="spellEnd"/>
      <w:r w:rsidRPr="00503CB0">
        <w:rPr>
          <w:b/>
          <w:spacing w:val="-3"/>
          <w:sz w:val="22"/>
          <w:szCs w:val="22"/>
          <w:lang w:val="es-CO"/>
        </w:rPr>
        <w:t xml:space="preserve"> </w:t>
      </w:r>
      <w:r w:rsidRPr="00503CB0">
        <w:rPr>
          <w:spacing w:val="-3"/>
          <w:sz w:val="22"/>
          <w:szCs w:val="22"/>
          <w:lang w:val="es-CO"/>
        </w:rPr>
        <w:t>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Acrobryco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Hemibrycon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keepLines/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Stevardiini</w:t>
      </w:r>
      <w:proofErr w:type="spellEnd"/>
      <w:r w:rsidRPr="00503CB0">
        <w:rPr>
          <w:spacing w:val="-3"/>
          <w:sz w:val="22"/>
          <w:szCs w:val="22"/>
          <w:lang w:val="es-CO"/>
        </w:rPr>
        <w:t> 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Argopleura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Chrysobrycon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Corynopoma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Gephyrocharax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Pseudocorynopoma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2268" w:hanging="567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Xenurobryconini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Scopaeocharax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Tyttobrycon</w:t>
      </w:r>
      <w:proofErr w:type="spellEnd"/>
      <w:r w:rsidRPr="00503CB0">
        <w:rPr>
          <w:i/>
          <w:spacing w:val="-3"/>
          <w:sz w:val="22"/>
          <w:szCs w:val="22"/>
          <w:lang w:val="es-CO"/>
        </w:rPr>
        <w:t xml:space="preserve">, 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Xenurobrycon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9534FF" w:rsidRPr="00503CB0" w:rsidRDefault="009534FF" w:rsidP="009534FF">
      <w:pPr>
        <w:tabs>
          <w:tab w:val="left" w:pos="-1440"/>
          <w:tab w:val="left" w:pos="-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1418" w:hanging="709"/>
        <w:jc w:val="both"/>
        <w:rPr>
          <w:spacing w:val="-3"/>
          <w:sz w:val="22"/>
          <w:szCs w:val="22"/>
          <w:lang w:val="es-CO"/>
        </w:rPr>
      </w:pPr>
      <w:proofErr w:type="spellStart"/>
      <w:r w:rsidRPr="00503CB0">
        <w:rPr>
          <w:b/>
          <w:spacing w:val="-3"/>
          <w:sz w:val="22"/>
          <w:szCs w:val="22"/>
          <w:lang w:val="es-CO"/>
        </w:rPr>
        <w:t>Tetragonopterinae</w:t>
      </w:r>
      <w:proofErr w:type="spellEnd"/>
      <w:r w:rsidRPr="00503CB0">
        <w:rPr>
          <w:spacing w:val="-3"/>
          <w:sz w:val="22"/>
          <w:szCs w:val="22"/>
          <w:lang w:val="es-CO"/>
        </w:rPr>
        <w:t xml:space="preserve"> (</w:t>
      </w:r>
      <w:proofErr w:type="spellStart"/>
      <w:r w:rsidRPr="00503CB0">
        <w:rPr>
          <w:i/>
          <w:spacing w:val="-3"/>
          <w:sz w:val="22"/>
          <w:szCs w:val="22"/>
          <w:lang w:val="es-CO"/>
        </w:rPr>
        <w:t>Tetragonopterus</w:t>
      </w:r>
      <w:proofErr w:type="spellEnd"/>
      <w:r w:rsidRPr="00503CB0">
        <w:rPr>
          <w:spacing w:val="-3"/>
          <w:sz w:val="22"/>
          <w:szCs w:val="22"/>
          <w:lang w:val="es-CO"/>
        </w:rPr>
        <w:t>)</w:t>
      </w:r>
    </w:p>
    <w:p w:rsidR="00C077C7" w:rsidRPr="009534FF" w:rsidRDefault="00C077C7">
      <w:pPr>
        <w:rPr>
          <w:lang w:val="es-CO"/>
        </w:rPr>
      </w:pPr>
    </w:p>
    <w:sectPr w:rsidR="00C077C7" w:rsidRPr="00953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FF"/>
    <w:rsid w:val="00095B92"/>
    <w:rsid w:val="009534FF"/>
    <w:rsid w:val="00C0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70508-5B4C-44B4-ADE6-315381F7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4F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Buckup</dc:creator>
  <cp:keywords/>
  <dc:description/>
  <cp:lastModifiedBy>Paulo Buckup</cp:lastModifiedBy>
  <cp:revision>2</cp:revision>
  <dcterms:created xsi:type="dcterms:W3CDTF">2021-05-03T00:52:00Z</dcterms:created>
  <dcterms:modified xsi:type="dcterms:W3CDTF">2021-05-03T00:52:00Z</dcterms:modified>
</cp:coreProperties>
</file>