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tag w:val="goog_rdk_50"/>
        <w:id w:val="1800347023"/>
      </w:sdtPr>
      <w:sdtContent>
        <w:p w:rsidR="00C41912" w:rsidRDefault="00C41912" w:rsidP="00C41912">
          <w:pPr>
            <w:jc w:val="both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sdt>
            <w:sdtPr>
              <w:tag w:val="goog_rdk_48"/>
              <w:id w:val="-55555287"/>
            </w:sdtPr>
            <w:sdtContent>
              <w:r w:rsidRPr="00674994">
                <w:t xml:space="preserve">Tabela 1. Padrões evolutivos associados ao pequeno porte das espécies componentes das </w:t>
              </w:r>
              <w:bookmarkStart w:id="0" w:name="_GoBack"/>
              <w:bookmarkEnd w:id="0"/>
              <w:proofErr w:type="spellStart"/>
              <w:r w:rsidRPr="00674994">
                <w:t>ictiofaunas</w:t>
              </w:r>
              <w:proofErr w:type="spellEnd"/>
              <w:r w:rsidRPr="00674994">
                <w:t xml:space="preserve"> de quatro riachos escolhidos como caso de estudo por mim na primeira versão desse artigo (Castro 1999).</w:t>
              </w:r>
            </w:sdtContent>
          </w:sdt>
          <w:sdt>
            <w:sdtPr>
              <w:tag w:val="goog_rdk_49"/>
              <w:id w:val="-1184429344"/>
              <w:showingPlcHdr/>
            </w:sdtPr>
            <w:sdtContent>
              <w:r>
                <w:t xml:space="preserve">     </w:t>
              </w:r>
            </w:sdtContent>
          </w:sdt>
        </w:p>
        <w:sdt>
          <w:sdtPr>
            <w:rPr>
              <w:lang w:val="en-US"/>
            </w:rPr>
            <w:tag w:val="goog_rdk_48"/>
            <w:id w:val="1003545485"/>
          </w:sdtPr>
          <w:sdtEndPr>
            <w:rPr>
              <w:lang w:val="pt-BR"/>
            </w:rPr>
          </w:sdtEndPr>
          <w:sdtContent>
            <w:p w:rsidR="00C41912" w:rsidRDefault="00C41912" w:rsidP="00C41912">
              <w:pPr>
                <w:jc w:val="both"/>
                <w:rPr>
                  <w:lang w:val="en-US"/>
                </w:rPr>
              </w:pPr>
            </w:p>
            <w:p w:rsidR="00C41912" w:rsidRPr="00C41912" w:rsidRDefault="00C41912" w:rsidP="00C41912">
              <w:pPr>
                <w:jc w:val="both"/>
                <w:rPr>
                  <w:lang w:val="en-US"/>
                </w:rPr>
              </w:pPr>
              <w:r w:rsidRPr="00117AB5">
                <w:rPr>
                  <w:lang w:val="en-US"/>
                </w:rPr>
                <w:t xml:space="preserve">Table 1. Evolutionary patterns associated with the small size of the component species of the fish faunas of four streams chosen as case studies in the first version of </w:t>
              </w:r>
              <w:r>
                <w:rPr>
                  <w:lang w:val="en-US"/>
                </w:rPr>
                <w:t>this article</w:t>
              </w:r>
              <w:r w:rsidRPr="00117AB5">
                <w:rPr>
                  <w:lang w:val="en-US"/>
                </w:rPr>
                <w:t xml:space="preserve"> (Castro 1999).</w:t>
              </w:r>
            </w:p>
          </w:sdtContent>
        </w:sdt>
      </w:sdtContent>
    </w:sdt>
    <w:tbl>
      <w:tblPr>
        <w:tblStyle w:val="TabelaSimples5"/>
        <w:tblW w:w="8493" w:type="dxa"/>
        <w:tblLayout w:type="fixed"/>
        <w:tblLook w:val="04A0" w:firstRow="1" w:lastRow="0" w:firstColumn="1" w:lastColumn="0" w:noHBand="0" w:noVBand="1"/>
      </w:tblPr>
      <w:tblGrid>
        <w:gridCol w:w="709"/>
        <w:gridCol w:w="7784"/>
      </w:tblGrid>
      <w:tr w:rsidR="00C41912" w:rsidTr="00542D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09" w:type="dxa"/>
          </w:tcPr>
          <w:p w:rsidR="00C41912" w:rsidRDefault="00C41912" w:rsidP="00542DBC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7784" w:type="dxa"/>
          </w:tcPr>
          <w:p w:rsidR="00C41912" w:rsidRDefault="00C41912" w:rsidP="00542DBC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41912" w:rsidTr="00542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C41912" w:rsidRDefault="00C41912" w:rsidP="00542DBC">
            <w:pPr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7784" w:type="dxa"/>
          </w:tcPr>
          <w:sdt>
            <w:sdtPr>
              <w:tag w:val="goog_rdk_53"/>
              <w:id w:val="-438294386"/>
            </w:sdtPr>
            <w:sdtContent>
              <w:p w:rsidR="00C41912" w:rsidRDefault="00C41912" w:rsidP="00542DBC">
                <w:pPr>
                  <w:spacing w:line="48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sdt>
                  <w:sdtPr>
                    <w:tag w:val="goog_rdk_51"/>
                    <w:id w:val="578788951"/>
                  </w:sdtPr>
                  <w:sdtContent>
                    <w:r w:rsidRPr="00674994">
                      <w:rPr>
                        <w:szCs w:val="22"/>
                      </w:rPr>
                      <w:t xml:space="preserve">número elevado de caracteres morfológicos "redutivos", aparentemente </w:t>
                    </w:r>
                    <w:proofErr w:type="spellStart"/>
                    <w:r w:rsidRPr="00674994">
                      <w:rPr>
                        <w:szCs w:val="22"/>
                      </w:rPr>
                      <w:t>pedomórficos</w:t>
                    </w:r>
                    <w:proofErr w:type="spellEnd"/>
                    <w:r w:rsidRPr="00674994">
                      <w:rPr>
                        <w:szCs w:val="22"/>
                      </w:rPr>
                      <w:t>, geralmente presentes.</w:t>
                    </w:r>
                  </w:sdtContent>
                </w:sdt>
                <w:sdt>
                  <w:sdtPr>
                    <w:tag w:val="goog_rdk_52"/>
                    <w:id w:val="-969436582"/>
                  </w:sdtPr>
                  <w:sdtContent/>
                </w:sdt>
              </w:p>
            </w:sdtContent>
          </w:sdt>
        </w:tc>
      </w:tr>
      <w:tr w:rsidR="00C41912" w:rsidTr="00542D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C41912" w:rsidRDefault="00C41912" w:rsidP="00542DBC">
            <w:pPr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7784" w:type="dxa"/>
          </w:tcPr>
          <w:sdt>
            <w:sdtPr>
              <w:tag w:val="goog_rdk_56"/>
              <w:id w:val="-1870213384"/>
            </w:sdtPr>
            <w:sdtContent>
              <w:p w:rsidR="00C41912" w:rsidRDefault="00C41912" w:rsidP="00542DBC">
                <w:pPr>
                  <w:spacing w:line="48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sdt>
                  <w:sdtPr>
                    <w:tag w:val="goog_rdk_54"/>
                    <w:id w:val="365803012"/>
                  </w:sdtPr>
                  <w:sdtContent>
                    <w:r w:rsidRPr="00674994">
                      <w:rPr>
                        <w:szCs w:val="22"/>
                      </w:rPr>
                      <w:t>elevado grau de endemismo, provavelmente associado a uma baixa capacidade de dispersão geográfica.</w:t>
                    </w:r>
                  </w:sdtContent>
                </w:sdt>
                <w:sdt>
                  <w:sdtPr>
                    <w:tag w:val="goog_rdk_55"/>
                    <w:id w:val="646248422"/>
                    <w:showingPlcHdr/>
                  </w:sdtPr>
                  <w:sdtContent>
                    <w:r>
                      <w:t xml:space="preserve">     </w:t>
                    </w:r>
                  </w:sdtContent>
                </w:sdt>
              </w:p>
            </w:sdtContent>
          </w:sdt>
        </w:tc>
      </w:tr>
      <w:tr w:rsidR="00C41912" w:rsidTr="00542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C41912" w:rsidRDefault="00C41912" w:rsidP="00542DBC">
            <w:pPr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7784" w:type="dxa"/>
          </w:tcPr>
          <w:sdt>
            <w:sdtPr>
              <w:tag w:val="goog_rdk_61"/>
              <w:id w:val="1843042819"/>
            </w:sdtPr>
            <w:sdtContent>
              <w:p w:rsidR="00C41912" w:rsidRDefault="00C41912" w:rsidP="00542DBC">
                <w:pPr>
                  <w:spacing w:line="48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sdt>
                  <w:sdtPr>
                    <w:tag w:val="goog_rdk_57"/>
                    <w:id w:val="-670563548"/>
                  </w:sdtPr>
                  <w:sdtContent>
                    <w:r w:rsidRPr="00674994">
                      <w:rPr>
                        <w:szCs w:val="22"/>
                      </w:rPr>
                      <w:t xml:space="preserve">ciclos de vida curtos e estratégias reprodutivas (tendendo ao tipo </w:t>
                    </w:r>
                  </w:sdtContent>
                </w:sdt>
                <w:sdt>
                  <w:sdtPr>
                    <w:tag w:val="goog_rdk_58"/>
                    <w:id w:val="-805011059"/>
                  </w:sdtPr>
                  <w:sdtContent>
                    <w:r w:rsidRPr="00674994">
                      <w:rPr>
                        <w:b/>
                        <w:szCs w:val="22"/>
                      </w:rPr>
                      <w:t>r</w:t>
                    </w:r>
                  </w:sdtContent>
                </w:sdt>
                <w:sdt>
                  <w:sdtPr>
                    <w:tag w:val="goog_rdk_59"/>
                    <w:id w:val="1227955711"/>
                  </w:sdtPr>
                  <w:sdtContent>
                    <w:r w:rsidRPr="00674994">
                      <w:rPr>
                        <w:szCs w:val="22"/>
                      </w:rPr>
                      <w:t>) adequadas à rápida ocupação ou reocupação de ambientes ecologicamente muito instáveis como os riachos.</w:t>
                    </w:r>
                  </w:sdtContent>
                </w:sdt>
                <w:sdt>
                  <w:sdtPr>
                    <w:tag w:val="goog_rdk_60"/>
                    <w:id w:val="284546809"/>
                  </w:sdtPr>
                  <w:sdtContent/>
                </w:sdt>
              </w:p>
            </w:sdtContent>
          </w:sdt>
        </w:tc>
      </w:tr>
      <w:tr w:rsidR="00C41912" w:rsidTr="00542D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C41912" w:rsidRDefault="00C41912" w:rsidP="00542DBC">
            <w:pPr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7784" w:type="dxa"/>
          </w:tcPr>
          <w:sdt>
            <w:sdtPr>
              <w:tag w:val="goog_rdk_64"/>
              <w:id w:val="-2141492093"/>
            </w:sdtPr>
            <w:sdtContent>
              <w:p w:rsidR="00C41912" w:rsidRDefault="00C41912" w:rsidP="00542DBC">
                <w:pPr>
                  <w:spacing w:line="48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sdt>
                  <w:sdtPr>
                    <w:tag w:val="goog_rdk_62"/>
                    <w:id w:val="-201335398"/>
                  </w:sdtPr>
                  <w:sdtContent>
                    <w:r w:rsidRPr="00674994">
                      <w:rPr>
                        <w:szCs w:val="22"/>
                      </w:rPr>
                      <w:t>utilização, permanente ou esporádica, dos muitos microambientes existentes nos riachos como abrigo contra predadores de porte maior.</w:t>
                    </w:r>
                  </w:sdtContent>
                </w:sdt>
                <w:sdt>
                  <w:sdtPr>
                    <w:tag w:val="goog_rdk_63"/>
                    <w:id w:val="-815338387"/>
                  </w:sdtPr>
                  <w:sdtContent/>
                </w:sdt>
              </w:p>
            </w:sdtContent>
          </w:sdt>
        </w:tc>
      </w:tr>
      <w:tr w:rsidR="00C41912" w:rsidTr="00542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C41912" w:rsidRDefault="00C41912" w:rsidP="00542DBC">
            <w:pPr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7784" w:type="dxa"/>
          </w:tcPr>
          <w:sdt>
            <w:sdtPr>
              <w:tag w:val="goog_rdk_67"/>
              <w:id w:val="-1335676599"/>
            </w:sdtPr>
            <w:sdtContent>
              <w:p w:rsidR="00C41912" w:rsidRDefault="00C41912" w:rsidP="00542DBC">
                <w:pPr>
                  <w:spacing w:line="48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sdt>
                  <w:sdtPr>
                    <w:tag w:val="goog_rdk_65"/>
                    <w:id w:val="296967911"/>
                  </w:sdtPr>
                  <w:sdtContent>
                    <w:r w:rsidRPr="00674994">
                      <w:rPr>
                        <w:szCs w:val="22"/>
                      </w:rPr>
                      <w:t>predominância de insetos terrestres e aquáticos de porte reduzido na sua alimentação.</w:t>
                    </w:r>
                  </w:sdtContent>
                </w:sdt>
                <w:sdt>
                  <w:sdtPr>
                    <w:tag w:val="goog_rdk_66"/>
                    <w:id w:val="459694764"/>
                  </w:sdtPr>
                  <w:sdtContent/>
                </w:sdt>
              </w:p>
            </w:sdtContent>
          </w:sdt>
        </w:tc>
      </w:tr>
    </w:tbl>
    <w:p w:rsidR="00C41912" w:rsidRDefault="00C41912" w:rsidP="00C41912">
      <w:pPr>
        <w:spacing w:line="480" w:lineRule="auto"/>
        <w:rPr>
          <w:sz w:val="22"/>
          <w:szCs w:val="22"/>
        </w:rPr>
      </w:pPr>
    </w:p>
    <w:p w:rsidR="00C41912" w:rsidRPr="00117AB5" w:rsidRDefault="00C41912" w:rsidP="00C41912">
      <w:pPr>
        <w:spacing w:line="480" w:lineRule="auto"/>
        <w:rPr>
          <w:sz w:val="22"/>
          <w:szCs w:val="22"/>
          <w:lang w:val="en-US"/>
        </w:rPr>
      </w:pPr>
    </w:p>
    <w:p w:rsidR="004A4E5B" w:rsidRDefault="004A4E5B"/>
    <w:sectPr w:rsidR="004A4E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912"/>
    <w:rsid w:val="004A4E5B"/>
    <w:rsid w:val="0055620B"/>
    <w:rsid w:val="00695256"/>
    <w:rsid w:val="007D2D9B"/>
    <w:rsid w:val="009E4080"/>
    <w:rsid w:val="00A71350"/>
    <w:rsid w:val="00C41912"/>
    <w:rsid w:val="00EC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32B7D"/>
  <w15:chartTrackingRefBased/>
  <w15:docId w15:val="{04E54026-1496-4DD6-8F81-69B9E626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912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Simples5">
    <w:name w:val="Plain Table 5"/>
    <w:basedOn w:val="Tabelanormal"/>
    <w:uiPriority w:val="45"/>
    <w:rsid w:val="00C4191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</dc:creator>
  <cp:keywords/>
  <dc:description/>
  <cp:lastModifiedBy>Novo</cp:lastModifiedBy>
  <cp:revision>1</cp:revision>
  <dcterms:created xsi:type="dcterms:W3CDTF">2021-05-01T00:45:00Z</dcterms:created>
  <dcterms:modified xsi:type="dcterms:W3CDTF">2021-05-01T00:49:00Z</dcterms:modified>
</cp:coreProperties>
</file>