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4829" w14:textId="01761FFC" w:rsidR="0018380A" w:rsidRPr="0018380A" w:rsidRDefault="00E96B02" w:rsidP="001838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“Box” explicativo</w:t>
      </w:r>
      <w:r w:rsidR="005C0AB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3: </w:t>
      </w:r>
      <w:r w:rsidR="0018380A" w:rsidRPr="0018380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Terminologia e interpretação geral dos resultados</w:t>
      </w:r>
    </w:p>
    <w:p w14:paraId="05A60CBD" w14:textId="5587367C" w:rsidR="0018380A" w:rsidRPr="0018380A" w:rsidRDefault="0018380A" w:rsidP="001A77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 composição isotópica de um determinado composto (representada por delta, δ) é calculada em relação a um padrão internacional, e expressa em partes por mil (‰): δx (‰) = [(R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vertAlign w:val="subscript"/>
          <w:lang w:eastAsia="pt-BR"/>
        </w:rPr>
        <w:t>amostra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/R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vertAlign w:val="subscript"/>
          <w:lang w:eastAsia="pt-BR"/>
        </w:rPr>
        <w:t>padrão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) – 1] x 10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vertAlign w:val="superscript"/>
          <w:lang w:eastAsia="pt-BR"/>
        </w:rPr>
        <w:t>3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, sendo x= isótopo estável (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vertAlign w:val="superscript"/>
          <w:lang w:eastAsia="pt-BR"/>
        </w:rPr>
        <w:t>13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C, 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vertAlign w:val="superscript"/>
          <w:lang w:eastAsia="pt-BR"/>
        </w:rPr>
        <w:t>15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N) e R= razão entre o isótopo mais pesado e o mais leve (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vertAlign w:val="superscript"/>
          <w:lang w:eastAsia="pt-BR"/>
        </w:rPr>
        <w:t>13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C/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vertAlign w:val="superscript"/>
          <w:lang w:eastAsia="pt-BR"/>
        </w:rPr>
        <w:t>12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C; 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vertAlign w:val="superscript"/>
          <w:lang w:eastAsia="pt-BR"/>
        </w:rPr>
        <w:t>15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N/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sz w:val="13"/>
          <w:szCs w:val="13"/>
          <w:vertAlign w:val="superscript"/>
          <w:lang w:eastAsia="pt-BR"/>
        </w:rPr>
        <w:t>14</w:t>
      </w:r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N) (Fry 2006). Os padrões internacionais utilizados atualmente como referência são o Vienna PDB (VPDB) para o carbono e o nitrogênio atmosférico para o nitrogênio (Fry 2006). Os valores de δ calculados são medidas da quantidade do isótopo mais pesado em uma amostra. Assim, o termo “enriquecida” significa que uma amostra tem maior proporção de isótopos pesados em relação aos leves (maior δx) do que outra amostra (menor δx), sendo esta última considerada “</w:t>
      </w:r>
      <w:proofErr w:type="gramStart"/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empobrecida”(</w:t>
      </w:r>
      <w:proofErr w:type="gramEnd"/>
      <w:r w:rsidRPr="0018380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depleted).</w:t>
      </w:r>
    </w:p>
    <w:p w14:paraId="4E4358D8" w14:textId="77777777" w:rsidR="0018380A" w:rsidRPr="0018380A" w:rsidRDefault="0018380A" w:rsidP="0018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8380A" w:rsidRPr="00183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0A"/>
    <w:rsid w:val="000C47CF"/>
    <w:rsid w:val="0018380A"/>
    <w:rsid w:val="001A77E3"/>
    <w:rsid w:val="002115AF"/>
    <w:rsid w:val="0021555F"/>
    <w:rsid w:val="0039295C"/>
    <w:rsid w:val="003A2D41"/>
    <w:rsid w:val="003F76C2"/>
    <w:rsid w:val="005C0AB0"/>
    <w:rsid w:val="00790373"/>
    <w:rsid w:val="0079349E"/>
    <w:rsid w:val="007D3AE7"/>
    <w:rsid w:val="008D3E8C"/>
    <w:rsid w:val="009173E1"/>
    <w:rsid w:val="00977D4E"/>
    <w:rsid w:val="00A02760"/>
    <w:rsid w:val="00A91B4C"/>
    <w:rsid w:val="00AD6C51"/>
    <w:rsid w:val="00BB6F6B"/>
    <w:rsid w:val="00E4689A"/>
    <w:rsid w:val="00E711A9"/>
    <w:rsid w:val="00E96B02"/>
    <w:rsid w:val="00F77B38"/>
    <w:rsid w:val="00F9624C"/>
    <w:rsid w:val="00FC6C39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4251"/>
  <w15:chartTrackingRefBased/>
  <w15:docId w15:val="{563B4A0D-7CDC-4F17-93CD-444200C5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8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Erica Caramaschi</cp:lastModifiedBy>
  <cp:revision>4</cp:revision>
  <dcterms:created xsi:type="dcterms:W3CDTF">2021-04-14T22:44:00Z</dcterms:created>
  <dcterms:modified xsi:type="dcterms:W3CDTF">2021-04-24T17:22:00Z</dcterms:modified>
</cp:coreProperties>
</file>