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rPr>
          <w:rFonts w:ascii="Times New Roman" w:hAnsi="Times New Roman" w:cs="Times New Roman"/>
          <w:b/>
          <w:b/>
          <w:sz w:val="20"/>
          <w:szCs w:val="20"/>
          <w:lang w:val="pt-BR"/>
        </w:rPr>
      </w:pPr>
      <w:r>
        <w:rPr>
          <w:rFonts w:cs="Times New Roman" w:ascii="Times New Roman" w:hAnsi="Times New Roman"/>
          <w:b/>
          <w:sz w:val="20"/>
          <w:szCs w:val="20"/>
          <w:lang w:val="pt-BR"/>
        </w:rPr>
        <w:t>Legendas das Figuras</w:t>
      </w:r>
      <w:bookmarkStart w:id="0" w:name="_GoBack"/>
      <w:bookmarkEnd w:id="0"/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Figura 1. Número de trabalhos publicados (barras pretas) e o número de vezes que os estudos na plataforma ISI foram citados acerca da Teoria da Rainha Vermelha (linha cinza) por ano.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Figura 2. Percentagem de artigos publicados por país de origem do primeiro autor. A categoria “</w:t>
      </w:r>
      <w:r>
        <w:rPr>
          <w:rFonts w:cs="Times New Roman" w:ascii="Times New Roman" w:hAnsi="Times New Roman"/>
          <w:bCs/>
          <w:i/>
          <w:iCs/>
          <w:sz w:val="20"/>
          <w:szCs w:val="20"/>
          <w:lang w:val="pt-BR"/>
        </w:rPr>
        <w:t>Outros</w:t>
      </w:r>
      <w:r>
        <w:rPr>
          <w:rFonts w:cs="Times New Roman" w:ascii="Times New Roman" w:hAnsi="Times New Roman"/>
          <w:bCs/>
          <w:sz w:val="20"/>
          <w:szCs w:val="20"/>
          <w:lang w:val="pt-BR"/>
        </w:rPr>
        <w:t xml:space="preserve">” refere-se aos países com menos de 5 artigos publicados. 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Figura 3. Número de artigos publicados acerca da Teoria da Rainha Vermelha por periódico.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Figura 4. Percentagem de artigos publicados acerca da Teoria da Rainha Vermelha por níveis ecológicos.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 xml:space="preserve">Figura 5. Percentagem de artigos publicados sobre a TRV por área por área de estudo. A categoria </w:t>
      </w:r>
      <w:r>
        <w:rPr>
          <w:rFonts w:cs="Times New Roman" w:ascii="Times New Roman" w:hAnsi="Times New Roman"/>
          <w:bCs/>
          <w:i/>
          <w:iCs/>
          <w:sz w:val="20"/>
          <w:szCs w:val="20"/>
          <w:lang w:val="pt-BR"/>
        </w:rPr>
        <w:t>“Outros”</w:t>
      </w:r>
      <w:r>
        <w:rPr>
          <w:rFonts w:cs="Times New Roman" w:ascii="Times New Roman" w:hAnsi="Times New Roman"/>
          <w:bCs/>
          <w:sz w:val="20"/>
          <w:szCs w:val="20"/>
          <w:lang w:val="pt-BR"/>
        </w:rPr>
        <w:t xml:space="preserve"> refere-se às áreas que publicaram menos de 15 artigos).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 xml:space="preserve">Figura 6. Percentagem de publicações por grupo taxonômico. 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 xml:space="preserve">Figura 7. Percentagem de publicações por abordagem. </w:t>
      </w:r>
    </w:p>
    <w:p>
      <w:pPr>
        <w:pStyle w:val="Normal"/>
        <w:rPr>
          <w:rFonts w:ascii="Times" w:hAnsi="Times"/>
          <w:b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Figure Captions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Figure 1: Number of papers published (black bars) and number of times studies on the ISI platform were cited about the Red Queen Theory (gray line) per year.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Figure 2. Percentage of articles published by country of origin of first author. The category “Other” refers to countries with less than 5 articles published.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Figure 3. Number of articles published about Red Queen Theory by journal.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Figure 4. Percentage of articles published about Red Queen Theory by ecological levels.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Figure 5. Percentage of articles published on TRV by area by study area. The category “Other” refers to areas that have published less than 15 articles).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Figure 6. Percentage of publications by taxonomic group.</w:t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  <w:t>Figure 7. Percentage of publications by approach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Times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472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LibreOffice/6.0.7.3$Linux_X86_64 LibreOffice_project/00m0$Build-3</Application>
  <Pages>1</Pages>
  <Words>251</Words>
  <Characters>1333</Characters>
  <CharactersWithSpaces>1571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2019-09-06T11:40:38Z</dcterms:created>
  <dc:creator>Revisor </dc:creator>
  <dc:description/>
  <dc:language>en-US</dc:language>
  <cp:lastModifiedBy>Revisor </cp:lastModifiedBy>
  <dcterms:modified xsi:type="dcterms:W3CDTF">2019-09-06T11:40:43Z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