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850" w:rsidRDefault="00B41850" w:rsidP="00B41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B4185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Table 1. </w:t>
      </w:r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>Mean (± SE) developmental time and adult longevity (days)</w:t>
      </w:r>
      <w:r w:rsidRPr="00B41850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 </w:t>
      </w:r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of </w:t>
      </w:r>
      <w:proofErr w:type="spellStart"/>
      <w:r w:rsidRPr="00B41850">
        <w:rPr>
          <w:rFonts w:ascii="Times New Roman" w:eastAsia="Times New Roman" w:hAnsi="Times New Roman" w:cs="Times New Roman"/>
          <w:i/>
          <w:color w:val="000000" w:themeColor="text1"/>
          <w:lang w:val="en-US"/>
        </w:rPr>
        <w:t>Panonychus</w:t>
      </w:r>
      <w:proofErr w:type="spellEnd"/>
      <w:r w:rsidRPr="00B41850">
        <w:rPr>
          <w:rFonts w:ascii="Times New Roman" w:eastAsia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B41850">
        <w:rPr>
          <w:rFonts w:ascii="Times New Roman" w:eastAsia="Times New Roman" w:hAnsi="Times New Roman" w:cs="Times New Roman"/>
          <w:i/>
          <w:color w:val="000000" w:themeColor="text1"/>
          <w:lang w:val="en-US"/>
        </w:rPr>
        <w:t>ulmi</w:t>
      </w:r>
      <w:proofErr w:type="spellEnd"/>
      <w:r w:rsidRPr="00B41850">
        <w:rPr>
          <w:rFonts w:ascii="Times New Roman" w:eastAsia="Times New Roman" w:hAnsi="Times New Roman" w:cs="Times New Roman"/>
          <w:i/>
          <w:color w:val="000000" w:themeColor="text1"/>
          <w:lang w:val="en-US"/>
        </w:rPr>
        <w:t xml:space="preserve"> </w:t>
      </w:r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feeding on Apple of Fuji variety and grapevines of BRS </w:t>
      </w:r>
      <w:proofErr w:type="spellStart"/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>Vitória</w:t>
      </w:r>
      <w:proofErr w:type="spellEnd"/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, Merlot and Concord varieties, under maintained in a climate chamber at 25 ± 1 °C, with a 12 </w:t>
      </w:r>
      <w:proofErr w:type="gramStart"/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>hours</w:t>
      </w:r>
      <w:proofErr w:type="gramEnd"/>
      <w:r w:rsidRPr="00B41850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photoperiod, and 80 ± 5% RH. </w:t>
      </w:r>
    </w:p>
    <w:tbl>
      <w:tblPr>
        <w:tblStyle w:val="SombreamentoClaro1"/>
        <w:tblW w:w="5213" w:type="pct"/>
        <w:tblInd w:w="-142" w:type="dxa"/>
        <w:tblLook w:val="06A0" w:firstRow="1" w:lastRow="0" w:firstColumn="1" w:lastColumn="0" w:noHBand="1" w:noVBand="1"/>
      </w:tblPr>
      <w:tblGrid>
        <w:gridCol w:w="960"/>
        <w:gridCol w:w="84"/>
        <w:gridCol w:w="1133"/>
        <w:gridCol w:w="1335"/>
        <w:gridCol w:w="1483"/>
        <w:gridCol w:w="1294"/>
        <w:gridCol w:w="1516"/>
        <w:gridCol w:w="1329"/>
        <w:gridCol w:w="1440"/>
        <w:gridCol w:w="1335"/>
        <w:gridCol w:w="1416"/>
        <w:gridCol w:w="1276"/>
      </w:tblGrid>
      <w:tr w:rsidR="00B41850" w:rsidRPr="0031610C" w:rsidTr="00025B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8" w:type="pct"/>
            <w:gridSpan w:val="2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Egg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Larva</w:t>
            </w:r>
          </w:p>
        </w:tc>
        <w:tc>
          <w:tcPr>
            <w:tcW w:w="508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Protochrysalid</w:t>
            </w:r>
            <w:proofErr w:type="spellEnd"/>
          </w:p>
        </w:tc>
        <w:tc>
          <w:tcPr>
            <w:tcW w:w="443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Protonymph</w:t>
            </w:r>
            <w:proofErr w:type="spellEnd"/>
          </w:p>
        </w:tc>
        <w:tc>
          <w:tcPr>
            <w:tcW w:w="519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Deutocrhysalid</w:t>
            </w:r>
            <w:proofErr w:type="spellEnd"/>
          </w:p>
        </w:tc>
        <w:tc>
          <w:tcPr>
            <w:tcW w:w="455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Deutonymph</w:t>
            </w:r>
            <w:proofErr w:type="spellEnd"/>
          </w:p>
        </w:tc>
        <w:tc>
          <w:tcPr>
            <w:tcW w:w="493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Teliochrysalid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Egg-adult</w:t>
            </w:r>
            <w:proofErr w:type="spellEnd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485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Egg-adult</w:t>
            </w:r>
            <w:proofErr w:type="spellEnd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437" w:type="pct"/>
            <w:shd w:val="clear" w:color="auto" w:fill="auto"/>
            <w:vAlign w:val="center"/>
          </w:tcPr>
          <w:p w:rsidR="00B41850" w:rsidRPr="0031610C" w:rsidRDefault="00B41850" w:rsidP="00025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Egg-adult</w:t>
            </w:r>
            <w:proofErr w:type="spellEnd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>period</w:t>
            </w:r>
            <w:proofErr w:type="spellEnd"/>
            <w:r w:rsidRPr="003161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Male</w:t>
            </w:r>
          </w:p>
        </w:tc>
      </w:tr>
      <w:tr w:rsidR="00B41850" w:rsidRPr="0031610C" w:rsidTr="0002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Fuji</w:t>
            </w:r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5.9 ± 0.15a*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0.82 ± 0.11a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0.51 ± 0.05b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0.82 ± 0.06a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0.64 ± 0.06a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0.66 ± 0.07b</w:t>
            </w: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0.74 ± 0.06a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11.81 ± 0.25b</w:t>
            </w: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11.96 ± 0.45ab</w:t>
            </w:r>
          </w:p>
        </w:tc>
        <w:tc>
          <w:tcPr>
            <w:tcW w:w="4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11.64 ± 0.22b</w:t>
            </w:r>
          </w:p>
        </w:tc>
      </w:tr>
      <w:tr w:rsidR="00B41850" w:rsidRPr="0031610C" w:rsidTr="0002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BRS Vitória</w:t>
            </w:r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5.89 ± 0.15a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0.90 ± 0.08a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0.60 ± 0.04b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0.78 ± 0.06a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0.62 ± 0.07a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1.09 ± 0.11a</w:t>
            </w: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0.76 ± 0.06a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12.18 ± 0.21b</w:t>
            </w: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12.25 ± 0.26ab</w:t>
            </w:r>
          </w:p>
        </w:tc>
        <w:tc>
          <w:tcPr>
            <w:tcW w:w="4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12.00 ± 0.40b</w:t>
            </w:r>
          </w:p>
        </w:tc>
      </w:tr>
      <w:tr w:rsidR="00B41850" w:rsidRPr="0031610C" w:rsidTr="0002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proofErr w:type="spellStart"/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Merlot</w:t>
            </w:r>
            <w:proofErr w:type="spellEnd"/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5.71 ± 0.16a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0.66 ± 0.07a</w:t>
            </w: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0.48 ± 0.04b</w:t>
            </w:r>
          </w:p>
        </w:tc>
        <w:tc>
          <w:tcPr>
            <w:tcW w:w="44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0.69 ± 0.10a</w:t>
            </w:r>
          </w:p>
        </w:tc>
        <w:tc>
          <w:tcPr>
            <w:tcW w:w="51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0.52 ± 0.05a</w:t>
            </w:r>
          </w:p>
        </w:tc>
        <w:tc>
          <w:tcPr>
            <w:tcW w:w="45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0.68 ± 0.10b</w:t>
            </w:r>
          </w:p>
        </w:tc>
        <w:tc>
          <w:tcPr>
            <w:tcW w:w="49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0.66 ± 0.09a</w:t>
            </w:r>
          </w:p>
        </w:tc>
        <w:tc>
          <w:tcPr>
            <w:tcW w:w="45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11.11 ± 0.31b</w:t>
            </w: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10.70 ± 0.38b</w:t>
            </w:r>
          </w:p>
        </w:tc>
        <w:tc>
          <w:tcPr>
            <w:tcW w:w="4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11.33 ± 0.43b</w:t>
            </w:r>
          </w:p>
        </w:tc>
      </w:tr>
      <w:tr w:rsidR="00B41850" w:rsidRPr="0031610C" w:rsidTr="00025B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Concord</w:t>
            </w:r>
          </w:p>
        </w:tc>
        <w:tc>
          <w:tcPr>
            <w:tcW w:w="417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5.86 ± 0.12a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0.92 ± 0.11a</w:t>
            </w:r>
          </w:p>
        </w:tc>
        <w:tc>
          <w:tcPr>
            <w:tcW w:w="508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0.80 ± 0.06a</w:t>
            </w:r>
          </w:p>
        </w:tc>
        <w:tc>
          <w:tcPr>
            <w:tcW w:w="443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0.88 ± 0.14a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0.72 ± 0.08a</w:t>
            </w:r>
          </w:p>
        </w:tc>
        <w:tc>
          <w:tcPr>
            <w:tcW w:w="455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1.38 ± 0.25a</w:t>
            </w:r>
          </w:p>
        </w:tc>
        <w:tc>
          <w:tcPr>
            <w:tcW w:w="493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0.88 ± 0.19a</w:t>
            </w:r>
          </w:p>
        </w:tc>
        <w:tc>
          <w:tcPr>
            <w:tcW w:w="457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13.91 ± 0.74a</w:t>
            </w:r>
          </w:p>
        </w:tc>
        <w:tc>
          <w:tcPr>
            <w:tcW w:w="485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14.13 ± 1.13a</w:t>
            </w:r>
          </w:p>
        </w:tc>
        <w:tc>
          <w:tcPr>
            <w:tcW w:w="437" w:type="pct"/>
            <w:tcBorders>
              <w:top w:val="nil"/>
            </w:tcBorders>
            <w:shd w:val="clear" w:color="auto" w:fill="auto"/>
            <w:vAlign w:val="center"/>
          </w:tcPr>
          <w:p w:rsidR="00B41850" w:rsidRPr="0031610C" w:rsidRDefault="00B41850" w:rsidP="00025BE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31610C">
              <w:rPr>
                <w:rFonts w:ascii="Times New Roman" w:eastAsia="Times New Roman" w:hAnsi="Times New Roman" w:cs="Times New Roman"/>
                <w:sz w:val="18"/>
                <w:szCs w:val="20"/>
              </w:rPr>
              <w:t>13.83 ± 0.96a</w:t>
            </w:r>
          </w:p>
        </w:tc>
      </w:tr>
    </w:tbl>
    <w:p w:rsidR="00B41850" w:rsidRDefault="00B41850" w:rsidP="00B41850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*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Values followed by the same letters do not significantly differ in the column regarding each parameter (P &lt; 0.05, ANOVA followed by post-hoc Tukey tests).</w:t>
      </w:r>
    </w:p>
    <w:p w:rsidR="00B41850" w:rsidRPr="00B41850" w:rsidRDefault="00B41850" w:rsidP="00B4185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:rsidR="00722874" w:rsidRPr="00B41850" w:rsidRDefault="00722874">
      <w:pPr>
        <w:rPr>
          <w:color w:val="000000" w:themeColor="text1"/>
          <w:lang w:val="en-US"/>
        </w:rPr>
      </w:pPr>
    </w:p>
    <w:sectPr w:rsidR="00722874" w:rsidRPr="00B41850" w:rsidSect="00B4185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50"/>
    <w:rsid w:val="00722874"/>
    <w:rsid w:val="00B4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E54A"/>
  <w15:chartTrackingRefBased/>
  <w15:docId w15:val="{42122532-98A2-4CE3-82CE-C25B81B9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8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SombreamentoClaro1">
    <w:name w:val="Sombreamento Claro1"/>
    <w:basedOn w:val="Tabelanormal"/>
    <w:next w:val="SombreamentoClaro"/>
    <w:uiPriority w:val="60"/>
    <w:rsid w:val="00B41850"/>
    <w:pPr>
      <w:spacing w:after="0" w:line="240" w:lineRule="auto"/>
    </w:pPr>
    <w:rPr>
      <w:color w:val="00000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">
    <w:name w:val="Light Shading"/>
    <w:basedOn w:val="Tabelanormal"/>
    <w:uiPriority w:val="60"/>
    <w:semiHidden/>
    <w:unhideWhenUsed/>
    <w:rsid w:val="00B418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2</dc:creator>
  <cp:keywords/>
  <dc:description/>
  <cp:lastModifiedBy>A 2</cp:lastModifiedBy>
  <cp:revision>1</cp:revision>
  <dcterms:created xsi:type="dcterms:W3CDTF">2020-08-26T18:23:00Z</dcterms:created>
  <dcterms:modified xsi:type="dcterms:W3CDTF">2020-08-26T18:25:00Z</dcterms:modified>
</cp:coreProperties>
</file>