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2CF6B4" w14:textId="77777777" w:rsidR="009526C0" w:rsidRPr="003650BA" w:rsidRDefault="009526C0" w:rsidP="009526C0">
      <w:pPr>
        <w:spacing w:line="480" w:lineRule="auto"/>
        <w:rPr>
          <w:rFonts w:ascii="Times New Roman" w:hAnsi="Times New Roman" w:cs="Times New Roman"/>
          <w:b/>
          <w:bCs/>
          <w:sz w:val="22"/>
          <w:szCs w:val="22"/>
        </w:rPr>
      </w:pPr>
      <w:r w:rsidRPr="003650BA">
        <w:rPr>
          <w:rFonts w:ascii="Times New Roman" w:hAnsi="Times New Roman" w:cs="Times New Roman"/>
          <w:b/>
          <w:bCs/>
          <w:sz w:val="22"/>
          <w:szCs w:val="22"/>
        </w:rPr>
        <w:t>Apêndice 1 - Análises complementares</w:t>
      </w:r>
    </w:p>
    <w:p w14:paraId="17997886" w14:textId="77777777" w:rsidR="00CE3F52" w:rsidRDefault="00CE3F52" w:rsidP="009526C0">
      <w:pPr>
        <w:spacing w:line="480" w:lineRule="auto"/>
        <w:rPr>
          <w:rFonts w:ascii="Times New Roman" w:hAnsi="Times New Roman" w:cs="Times New Roman"/>
          <w:i/>
          <w:sz w:val="22"/>
          <w:szCs w:val="22"/>
        </w:rPr>
      </w:pPr>
    </w:p>
    <w:p w14:paraId="2A97E67A" w14:textId="2DA46A94" w:rsidR="000A3DB2" w:rsidRDefault="000A3DB2" w:rsidP="009526C0">
      <w:pPr>
        <w:spacing w:line="480" w:lineRule="auto"/>
        <w:rPr>
          <w:rFonts w:ascii="Times New Roman" w:hAnsi="Times New Roman" w:cs="Times New Roman"/>
          <w:sz w:val="22"/>
          <w:szCs w:val="22"/>
        </w:rPr>
      </w:pPr>
      <w:r>
        <w:rPr>
          <w:rFonts w:ascii="Times New Roman" w:hAnsi="Times New Roman" w:cs="Times New Roman"/>
          <w:i/>
          <w:sz w:val="22"/>
          <w:szCs w:val="22"/>
        </w:rPr>
        <w:t>Análise RLQ</w:t>
      </w:r>
    </w:p>
    <w:p w14:paraId="09FAA8FC" w14:textId="40F3B13D" w:rsidR="000A3DB2" w:rsidRDefault="000A3DB2" w:rsidP="009526C0">
      <w:pPr>
        <w:spacing w:line="480" w:lineRule="auto"/>
        <w:rPr>
          <w:rFonts w:ascii="Times New Roman" w:hAnsi="Times New Roman" w:cs="Times New Roman"/>
          <w:sz w:val="22"/>
          <w:szCs w:val="22"/>
        </w:rPr>
      </w:pPr>
      <w:r w:rsidRPr="00C55567">
        <w:rPr>
          <w:rFonts w:ascii="Times New Roman" w:hAnsi="Times New Roman" w:cs="Times New Roman"/>
          <w:sz w:val="22"/>
          <w:szCs w:val="22"/>
        </w:rPr>
        <w:t>Outra abordagem desenvolvida para compreender a relação entre composição funcional de comunidades e características ambientais é a an</w:t>
      </w:r>
      <w:r w:rsidRPr="000A3DB2">
        <w:rPr>
          <w:rFonts w:ascii="Times New Roman" w:hAnsi="Times New Roman" w:cs="Times New Roman"/>
          <w:sz w:val="22"/>
          <w:szCs w:val="22"/>
        </w:rPr>
        <w:t>álise RLQ (</w:t>
      </w:r>
      <w:proofErr w:type="spellStart"/>
      <w:r w:rsidRPr="000A3DB2">
        <w:rPr>
          <w:rFonts w:ascii="Times New Roman" w:hAnsi="Times New Roman" w:cs="Times New Roman"/>
          <w:sz w:val="22"/>
          <w:szCs w:val="22"/>
        </w:rPr>
        <w:t>Dol</w:t>
      </w:r>
      <w:r w:rsidRPr="000A3DB2">
        <w:rPr>
          <w:rFonts w:ascii="Times New Roman" w:hAnsi="Times New Roman" w:cs="Times New Roman"/>
        </w:rPr>
        <w:t>é</w:t>
      </w:r>
      <w:r w:rsidRPr="000A3DB2">
        <w:rPr>
          <w:rFonts w:ascii="Times New Roman" w:hAnsi="Times New Roman" w:cs="Times New Roman"/>
          <w:sz w:val="22"/>
          <w:szCs w:val="22"/>
        </w:rPr>
        <w:t>dec</w:t>
      </w:r>
      <w:proofErr w:type="spellEnd"/>
      <w:r w:rsidRPr="000A3DB2">
        <w:rPr>
          <w:rFonts w:ascii="Times New Roman" w:hAnsi="Times New Roman" w:cs="Times New Roman"/>
          <w:sz w:val="22"/>
          <w:szCs w:val="22"/>
        </w:rPr>
        <w:t xml:space="preserve"> </w:t>
      </w:r>
      <w:r w:rsidRPr="000A3DB2">
        <w:rPr>
          <w:rFonts w:ascii="Times New Roman" w:hAnsi="Times New Roman" w:cs="Times New Roman"/>
          <w:i/>
          <w:iCs/>
          <w:sz w:val="22"/>
          <w:szCs w:val="22"/>
        </w:rPr>
        <w:t>et al.</w:t>
      </w:r>
      <w:r w:rsidRPr="000A3DB2">
        <w:rPr>
          <w:rFonts w:ascii="Times New Roman" w:hAnsi="Times New Roman" w:cs="Times New Roman"/>
          <w:sz w:val="22"/>
          <w:szCs w:val="22"/>
        </w:rPr>
        <w:t xml:space="preserve"> 1996). A RLQ não</w:t>
      </w:r>
      <w:r w:rsidRPr="00C55567">
        <w:rPr>
          <w:rFonts w:ascii="Times New Roman" w:hAnsi="Times New Roman" w:cs="Times New Roman"/>
          <w:sz w:val="22"/>
          <w:szCs w:val="22"/>
        </w:rPr>
        <w:t xml:space="preserve"> </w:t>
      </w:r>
      <w:r>
        <w:rPr>
          <w:rFonts w:ascii="Times New Roman" w:hAnsi="Times New Roman" w:cs="Times New Roman"/>
        </w:rPr>
        <w:t>envolve</w:t>
      </w:r>
      <w:r w:rsidRPr="00C55567">
        <w:rPr>
          <w:rFonts w:ascii="Times New Roman" w:hAnsi="Times New Roman" w:cs="Times New Roman"/>
          <w:sz w:val="22"/>
          <w:szCs w:val="22"/>
        </w:rPr>
        <w:t xml:space="preserve"> cálculo de índices, mas sim em uma ordenação baseada em três matrizes: a matriz R, constituída pelas variáveis ambientais nas amostras; a matriz L, com a presença/ausência ou abundância das espécies nas amostras; e a matriz Q, representada pela matriz de atributos funcionais </w:t>
      </w:r>
      <w:r>
        <w:rPr>
          <w:rFonts w:ascii="Times New Roman" w:hAnsi="Times New Roman" w:cs="Times New Roman"/>
        </w:rPr>
        <w:t>d</w:t>
      </w:r>
      <w:r w:rsidRPr="00C55567">
        <w:rPr>
          <w:rFonts w:ascii="Times New Roman" w:hAnsi="Times New Roman" w:cs="Times New Roman"/>
          <w:sz w:val="22"/>
          <w:szCs w:val="22"/>
        </w:rPr>
        <w:t xml:space="preserve">as espécies. A matriz L proporciona a ligação entre as matrizes R e Q e a análise permite detectar padrões de </w:t>
      </w:r>
      <w:proofErr w:type="spellStart"/>
      <w:r w:rsidRPr="00C55567">
        <w:rPr>
          <w:rFonts w:ascii="Times New Roman" w:hAnsi="Times New Roman" w:cs="Times New Roman"/>
          <w:sz w:val="22"/>
          <w:szCs w:val="22"/>
        </w:rPr>
        <w:t>co-relacionamento</w:t>
      </w:r>
      <w:proofErr w:type="spellEnd"/>
      <w:r w:rsidRPr="00C55567">
        <w:rPr>
          <w:rFonts w:ascii="Times New Roman" w:hAnsi="Times New Roman" w:cs="Times New Roman"/>
          <w:sz w:val="22"/>
          <w:szCs w:val="22"/>
        </w:rPr>
        <w:t xml:space="preserve"> entre essas matrizes. Para testar a significância do relacionamento das variáveis ambientais, os estudos têm utilizado a análise do quarto canto (</w:t>
      </w:r>
      <w:proofErr w:type="spellStart"/>
      <w:r w:rsidRPr="001E503F">
        <w:rPr>
          <w:rFonts w:ascii="Times New Roman" w:hAnsi="Times New Roman" w:cs="Times New Roman"/>
          <w:i/>
          <w:iCs/>
          <w:sz w:val="22"/>
          <w:szCs w:val="22"/>
        </w:rPr>
        <w:t>Fourth</w:t>
      </w:r>
      <w:proofErr w:type="spellEnd"/>
      <w:r w:rsidRPr="001E503F">
        <w:rPr>
          <w:rFonts w:ascii="Times New Roman" w:hAnsi="Times New Roman" w:cs="Times New Roman"/>
          <w:i/>
          <w:iCs/>
          <w:sz w:val="22"/>
          <w:szCs w:val="22"/>
        </w:rPr>
        <w:t xml:space="preserve"> corner</w:t>
      </w:r>
      <w:r w:rsidRPr="00C55567">
        <w:rPr>
          <w:rFonts w:ascii="Times New Roman" w:hAnsi="Times New Roman" w:cs="Times New Roman"/>
          <w:sz w:val="22"/>
          <w:szCs w:val="22"/>
        </w:rPr>
        <w:t xml:space="preserve">; </w:t>
      </w:r>
      <w:proofErr w:type="spellStart"/>
      <w:r w:rsidRPr="00C55567">
        <w:rPr>
          <w:rFonts w:ascii="Times New Roman" w:hAnsi="Times New Roman" w:cs="Times New Roman"/>
          <w:sz w:val="22"/>
          <w:szCs w:val="22"/>
        </w:rPr>
        <w:t>Dray</w:t>
      </w:r>
      <w:proofErr w:type="spellEnd"/>
      <w:r w:rsidRPr="00C55567">
        <w:rPr>
          <w:rFonts w:ascii="Times New Roman" w:hAnsi="Times New Roman" w:cs="Times New Roman"/>
          <w:sz w:val="22"/>
          <w:szCs w:val="22"/>
        </w:rPr>
        <w:t xml:space="preserve"> </w:t>
      </w:r>
      <w:r w:rsidRPr="00C9319B">
        <w:rPr>
          <w:rFonts w:ascii="Times New Roman" w:hAnsi="Times New Roman" w:cs="Times New Roman"/>
          <w:i/>
          <w:iCs/>
          <w:sz w:val="22"/>
          <w:szCs w:val="22"/>
        </w:rPr>
        <w:t>et al.</w:t>
      </w:r>
      <w:r w:rsidRPr="00C55567">
        <w:rPr>
          <w:rFonts w:ascii="Times New Roman" w:hAnsi="Times New Roman" w:cs="Times New Roman"/>
          <w:sz w:val="22"/>
          <w:szCs w:val="22"/>
        </w:rPr>
        <w:t xml:space="preserve"> 2014), ou testes de associação entre os eixos da RLQ com os dados originais dos atributos (</w:t>
      </w:r>
      <w:proofErr w:type="spellStart"/>
      <w:r w:rsidRPr="00C55567">
        <w:rPr>
          <w:rFonts w:ascii="Times New Roman" w:hAnsi="Times New Roman" w:cs="Times New Roman"/>
          <w:sz w:val="22"/>
          <w:szCs w:val="22"/>
        </w:rPr>
        <w:t>Vallet</w:t>
      </w:r>
      <w:proofErr w:type="spellEnd"/>
      <w:r w:rsidRPr="00C55567">
        <w:rPr>
          <w:rFonts w:ascii="Times New Roman" w:hAnsi="Times New Roman" w:cs="Times New Roman"/>
          <w:sz w:val="22"/>
          <w:szCs w:val="22"/>
        </w:rPr>
        <w:t xml:space="preserve"> </w:t>
      </w:r>
      <w:r w:rsidRPr="00C9319B">
        <w:rPr>
          <w:rFonts w:ascii="Times New Roman" w:hAnsi="Times New Roman" w:cs="Times New Roman"/>
          <w:i/>
          <w:iCs/>
          <w:sz w:val="22"/>
          <w:szCs w:val="22"/>
        </w:rPr>
        <w:t>et al.</w:t>
      </w:r>
      <w:r w:rsidRPr="00C55567">
        <w:rPr>
          <w:rFonts w:ascii="Times New Roman" w:hAnsi="Times New Roman" w:cs="Times New Roman"/>
          <w:sz w:val="22"/>
          <w:szCs w:val="22"/>
        </w:rPr>
        <w:t xml:space="preserve"> 2010). Dentre alguns estudos que aplicaram a RLQ para a ictiofauna de riachos no Brasil, destacam-se Ribeiro </w:t>
      </w:r>
      <w:r w:rsidRPr="00C9319B">
        <w:rPr>
          <w:rFonts w:ascii="Times New Roman" w:hAnsi="Times New Roman" w:cs="Times New Roman"/>
          <w:i/>
          <w:iCs/>
          <w:sz w:val="22"/>
          <w:szCs w:val="22"/>
        </w:rPr>
        <w:t>et al.</w:t>
      </w:r>
      <w:r w:rsidRPr="00C55567">
        <w:rPr>
          <w:rFonts w:ascii="Times New Roman" w:hAnsi="Times New Roman" w:cs="Times New Roman"/>
          <w:sz w:val="22"/>
          <w:szCs w:val="22"/>
        </w:rPr>
        <w:t xml:space="preserve"> (201</w:t>
      </w:r>
      <w:r w:rsidR="00B83443">
        <w:rPr>
          <w:rFonts w:ascii="Times New Roman" w:hAnsi="Times New Roman" w:cs="Times New Roman"/>
          <w:sz w:val="22"/>
          <w:szCs w:val="22"/>
        </w:rPr>
        <w:t>6</w:t>
      </w:r>
      <w:r w:rsidRPr="00C55567">
        <w:rPr>
          <w:rFonts w:ascii="Times New Roman" w:hAnsi="Times New Roman" w:cs="Times New Roman"/>
          <w:sz w:val="22"/>
          <w:szCs w:val="22"/>
        </w:rPr>
        <w:t xml:space="preserve">), Zeni </w:t>
      </w:r>
      <w:r w:rsidRPr="00C9319B">
        <w:rPr>
          <w:rFonts w:ascii="Times New Roman" w:hAnsi="Times New Roman" w:cs="Times New Roman"/>
          <w:i/>
          <w:iCs/>
          <w:sz w:val="22"/>
          <w:szCs w:val="22"/>
        </w:rPr>
        <w:t>et al.</w:t>
      </w:r>
      <w:r w:rsidRPr="00C55567">
        <w:rPr>
          <w:rFonts w:ascii="Times New Roman" w:hAnsi="Times New Roman" w:cs="Times New Roman"/>
          <w:sz w:val="22"/>
          <w:szCs w:val="22"/>
        </w:rPr>
        <w:t xml:space="preserve"> 2019 e Santos </w:t>
      </w:r>
      <w:r w:rsidRPr="00C9319B">
        <w:rPr>
          <w:rFonts w:ascii="Times New Roman" w:hAnsi="Times New Roman" w:cs="Times New Roman"/>
          <w:i/>
          <w:iCs/>
          <w:sz w:val="22"/>
          <w:szCs w:val="22"/>
        </w:rPr>
        <w:t>et al.</w:t>
      </w:r>
      <w:r w:rsidRPr="00C55567">
        <w:rPr>
          <w:rFonts w:ascii="Times New Roman" w:hAnsi="Times New Roman" w:cs="Times New Roman"/>
          <w:sz w:val="22"/>
          <w:szCs w:val="22"/>
        </w:rPr>
        <w:t xml:space="preserve"> (2019).</w:t>
      </w:r>
    </w:p>
    <w:p w14:paraId="280A2FCB" w14:textId="77777777" w:rsidR="000A3DB2" w:rsidRDefault="000A3DB2" w:rsidP="009526C0">
      <w:pPr>
        <w:spacing w:line="480" w:lineRule="auto"/>
        <w:rPr>
          <w:rFonts w:ascii="Times New Roman" w:hAnsi="Times New Roman" w:cs="Times New Roman"/>
          <w:i/>
          <w:sz w:val="22"/>
          <w:szCs w:val="22"/>
        </w:rPr>
      </w:pPr>
    </w:p>
    <w:p w14:paraId="7BCC1C5D" w14:textId="77777777" w:rsidR="009526C0" w:rsidRPr="00764CAD" w:rsidRDefault="009526C0" w:rsidP="009526C0">
      <w:pPr>
        <w:spacing w:line="480" w:lineRule="auto"/>
        <w:rPr>
          <w:rFonts w:ascii="Times New Roman" w:hAnsi="Times New Roman" w:cs="Times New Roman"/>
          <w:i/>
          <w:sz w:val="22"/>
          <w:szCs w:val="22"/>
        </w:rPr>
      </w:pPr>
      <w:r w:rsidRPr="00764CAD">
        <w:rPr>
          <w:rFonts w:ascii="Times New Roman" w:hAnsi="Times New Roman" w:cs="Times New Roman"/>
          <w:i/>
          <w:sz w:val="22"/>
          <w:szCs w:val="22"/>
        </w:rPr>
        <w:t>Modelos nulos</w:t>
      </w:r>
    </w:p>
    <w:p w14:paraId="6069061B" w14:textId="6C6C2F1C" w:rsidR="009526C0" w:rsidRPr="003650BA" w:rsidRDefault="009526C0" w:rsidP="009526C0">
      <w:pPr>
        <w:spacing w:line="480" w:lineRule="auto"/>
        <w:rPr>
          <w:rFonts w:ascii="Times New Roman" w:hAnsi="Times New Roman" w:cs="Times New Roman"/>
          <w:iCs/>
          <w:sz w:val="22"/>
          <w:szCs w:val="22"/>
        </w:rPr>
      </w:pPr>
      <w:r w:rsidRPr="003650BA">
        <w:rPr>
          <w:rFonts w:ascii="Times New Roman" w:hAnsi="Times New Roman" w:cs="Times New Roman"/>
          <w:iCs/>
          <w:sz w:val="22"/>
          <w:szCs w:val="22"/>
        </w:rPr>
        <w:t xml:space="preserve">Os índices de diversidade funcional são informativos por si só. No entanto, procedimentos de randomizações podem ser utilizados para testar os padrões observados podem ser explicados por processos ecológicos particulares ou meramente pelo acaso. Estamos falando dos modelos nulos </w:t>
      </w:r>
      <w:r w:rsidRPr="003650BA">
        <w:rPr>
          <w:rFonts w:ascii="Times New Roman" w:hAnsi="Times New Roman" w:cs="Times New Roman"/>
          <w:iCs/>
          <w:sz w:val="22"/>
          <w:szCs w:val="22"/>
        </w:rPr>
        <w:fldChar w:fldCharType="begin" w:fldLock="1"/>
      </w:r>
      <w:r w:rsidRPr="003650BA">
        <w:rPr>
          <w:rFonts w:ascii="Times New Roman" w:hAnsi="Times New Roman" w:cs="Times New Roman"/>
          <w:iCs/>
          <w:sz w:val="22"/>
          <w:szCs w:val="22"/>
        </w:rPr>
        <w:instrText>ADDIN CSL_CITATION {"citationItems":[{"id":"ITEM-1","itemData":{"ISBN":"9789896540821","ISSN":"00223530","PMID":"25246403","author":[{"dropping-particle":"","family":"Gotelli","given":"N.J.","non-dropping-particle":"","parse-names":false,"suffix":""},{"dropping-particle":"","family":"Graves","given":"R.G.","non-dropping-particle":"","parse-names":false,"suffix":""}],"id":"ITEM-1","issued":{"date-parts":[["1996"]]},"number-of-pages":"368","publisher":"Smithsonian","title":"Null models in ecology","type":"book"},"uris":["http://www.mendeley.com/documents/?uuid=11b1e6bd-c7e9-4df0-9fb8-5e16a21178e6"]}],"mendeley":{"formattedCitation":"(Gotelli &amp; Graves 1996)","plainTextFormattedCitation":"(Gotelli &amp; Graves 1996)","previouslyFormattedCitation":"(Gotelli &amp; Graves 1996)"},"properties":{"noteIndex":0},"schema":"https://github.com/citation-style-language/schema/raw/master/csl-citation.json"}</w:instrText>
      </w:r>
      <w:r w:rsidRPr="003650BA">
        <w:rPr>
          <w:rFonts w:ascii="Times New Roman" w:hAnsi="Times New Roman" w:cs="Times New Roman"/>
          <w:iCs/>
          <w:sz w:val="22"/>
          <w:szCs w:val="22"/>
        </w:rPr>
        <w:fldChar w:fldCharType="separate"/>
      </w:r>
      <w:r w:rsidRPr="003650BA">
        <w:rPr>
          <w:rFonts w:ascii="Times New Roman" w:hAnsi="Times New Roman" w:cs="Times New Roman"/>
          <w:iCs/>
          <w:noProof/>
          <w:sz w:val="22"/>
          <w:szCs w:val="22"/>
        </w:rPr>
        <w:t>(Gotelli &amp; Graves 1996)</w:t>
      </w:r>
      <w:r w:rsidRPr="003650BA">
        <w:rPr>
          <w:rFonts w:ascii="Times New Roman" w:hAnsi="Times New Roman" w:cs="Times New Roman"/>
          <w:iCs/>
          <w:sz w:val="22"/>
          <w:szCs w:val="22"/>
        </w:rPr>
        <w:fldChar w:fldCharType="end"/>
      </w:r>
      <w:r w:rsidRPr="003650BA">
        <w:rPr>
          <w:rFonts w:ascii="Times New Roman" w:hAnsi="Times New Roman" w:cs="Times New Roman"/>
          <w:iCs/>
          <w:sz w:val="22"/>
          <w:szCs w:val="22"/>
        </w:rPr>
        <w:t xml:space="preserve">, em que são geradas comunidades hipotéticas a partir da aleatorização da matriz original (comunidades observadas). Por exemplo, podemos simular comunidades onde a importância de seleção de nicho seja mínima; i.e., montagem das comunidades nulas ocorre independentemente dos atributos funcionais das espécies. Tais comunidades nulas podem ser utilizadas para testar a importância da seleção nicho em estruturar as comunidades reais. </w:t>
      </w:r>
    </w:p>
    <w:p w14:paraId="381C306C" w14:textId="49EB2998" w:rsidR="009526C0" w:rsidRPr="003650BA" w:rsidRDefault="009526C0" w:rsidP="009526C0">
      <w:pPr>
        <w:spacing w:line="480" w:lineRule="auto"/>
        <w:rPr>
          <w:rFonts w:ascii="Times New Roman" w:hAnsi="Times New Roman" w:cs="Times New Roman"/>
          <w:sz w:val="22"/>
          <w:szCs w:val="22"/>
        </w:rPr>
      </w:pPr>
      <w:r w:rsidRPr="003650BA">
        <w:rPr>
          <w:rFonts w:ascii="Times New Roman" w:hAnsi="Times New Roman" w:cs="Times New Roman"/>
          <w:sz w:val="22"/>
          <w:szCs w:val="22"/>
        </w:rPr>
        <w:t>A construção de modelos nulos pode ser resumida em cinco passos principais (Fig</w:t>
      </w:r>
      <w:r w:rsidR="00290341">
        <w:rPr>
          <w:rFonts w:ascii="Times New Roman" w:hAnsi="Times New Roman" w:cs="Times New Roman"/>
          <w:sz w:val="22"/>
          <w:szCs w:val="22"/>
        </w:rPr>
        <w:t>.</w:t>
      </w:r>
      <w:r w:rsidRPr="003650BA">
        <w:rPr>
          <w:rFonts w:ascii="Times New Roman" w:hAnsi="Times New Roman" w:cs="Times New Roman"/>
          <w:sz w:val="22"/>
          <w:szCs w:val="22"/>
        </w:rPr>
        <w:t xml:space="preserve"> </w:t>
      </w:r>
      <w:r w:rsidR="00290341">
        <w:rPr>
          <w:rFonts w:ascii="Times New Roman" w:hAnsi="Times New Roman" w:cs="Times New Roman"/>
          <w:sz w:val="22"/>
          <w:szCs w:val="22"/>
        </w:rPr>
        <w:t>A1</w:t>
      </w:r>
      <w:r w:rsidRPr="003650BA">
        <w:rPr>
          <w:rFonts w:ascii="Times New Roman" w:hAnsi="Times New Roman" w:cs="Times New Roman"/>
          <w:sz w:val="22"/>
          <w:szCs w:val="22"/>
        </w:rPr>
        <w:t xml:space="preserve">): </w:t>
      </w:r>
    </w:p>
    <w:p w14:paraId="2C7A6751" w14:textId="77777777" w:rsidR="009526C0" w:rsidRPr="003650BA" w:rsidRDefault="009526C0" w:rsidP="009526C0">
      <w:pPr>
        <w:pStyle w:val="PargrafodaLista"/>
        <w:numPr>
          <w:ilvl w:val="0"/>
          <w:numId w:val="1"/>
        </w:numPr>
        <w:spacing w:after="160" w:line="480" w:lineRule="auto"/>
        <w:ind w:left="0"/>
        <w:rPr>
          <w:rFonts w:ascii="Times New Roman" w:hAnsi="Times New Roman" w:cs="Times New Roman"/>
          <w:sz w:val="22"/>
          <w:szCs w:val="22"/>
        </w:rPr>
      </w:pPr>
      <w:r w:rsidRPr="003650BA">
        <w:rPr>
          <w:rFonts w:ascii="Times New Roman" w:hAnsi="Times New Roman" w:cs="Times New Roman"/>
          <w:sz w:val="22"/>
          <w:szCs w:val="22"/>
        </w:rPr>
        <w:lastRenderedPageBreak/>
        <w:t>Inicialmente é necessário calcular um índice de diversidade funcional a partir da matriz original de ocorrência das espécies e de atributos funcionais;</w:t>
      </w:r>
    </w:p>
    <w:p w14:paraId="6EDA5E39" w14:textId="682617EB" w:rsidR="009526C0" w:rsidRPr="003650BA" w:rsidRDefault="009526C0" w:rsidP="009526C0">
      <w:pPr>
        <w:pStyle w:val="PargrafodaLista"/>
        <w:numPr>
          <w:ilvl w:val="0"/>
          <w:numId w:val="1"/>
        </w:numPr>
        <w:spacing w:after="160" w:line="480" w:lineRule="auto"/>
        <w:ind w:left="0"/>
        <w:rPr>
          <w:rFonts w:ascii="Times New Roman" w:hAnsi="Times New Roman" w:cs="Times New Roman"/>
          <w:sz w:val="22"/>
          <w:szCs w:val="22"/>
        </w:rPr>
      </w:pPr>
      <w:r w:rsidRPr="003650BA">
        <w:rPr>
          <w:rFonts w:ascii="Times New Roman" w:hAnsi="Times New Roman" w:cs="Times New Roman"/>
          <w:sz w:val="22"/>
          <w:szCs w:val="22"/>
        </w:rPr>
        <w:t xml:space="preserve">Em seguida, </w:t>
      </w:r>
      <w:proofErr w:type="spellStart"/>
      <w:r w:rsidRPr="003650BA">
        <w:rPr>
          <w:rFonts w:ascii="Times New Roman" w:hAnsi="Times New Roman" w:cs="Times New Roman"/>
          <w:sz w:val="22"/>
          <w:szCs w:val="22"/>
        </w:rPr>
        <w:t>aleatorizamos</w:t>
      </w:r>
      <w:proofErr w:type="spellEnd"/>
      <w:r w:rsidRPr="003650BA">
        <w:rPr>
          <w:rFonts w:ascii="Times New Roman" w:hAnsi="Times New Roman" w:cs="Times New Roman"/>
          <w:sz w:val="22"/>
          <w:szCs w:val="22"/>
        </w:rPr>
        <w:t xml:space="preserve"> as comunidades observadas para construir comunidades nulas. Esse representa o passo mais importante para a realização de modelos nulos e consiste em determinar a forma mais apropriada de se montar comunidades nulas, que pode ser a de ocorrência das espécies ou de seus atributos funcionais, a partir do </w:t>
      </w:r>
      <w:r w:rsidRPr="003650BA">
        <w:rPr>
          <w:rFonts w:ascii="Times New Roman" w:hAnsi="Times New Roman" w:cs="Times New Roman"/>
          <w:i/>
          <w:iCs/>
          <w:sz w:val="22"/>
          <w:szCs w:val="22"/>
        </w:rPr>
        <w:t>pool</w:t>
      </w:r>
      <w:r w:rsidRPr="003650BA">
        <w:rPr>
          <w:rFonts w:ascii="Times New Roman" w:hAnsi="Times New Roman" w:cs="Times New Roman"/>
          <w:sz w:val="22"/>
          <w:szCs w:val="22"/>
        </w:rPr>
        <w:t xml:space="preserve">. Isso se torna ainda mais desafiador em vista à grande diversidade de métodos disponíveis na literatura, mas um ótimo ponto de partida pode ser encontrado em </w:t>
      </w:r>
      <w:r w:rsidRPr="003650BA">
        <w:rPr>
          <w:rFonts w:ascii="Times New Roman" w:hAnsi="Times New Roman" w:cs="Times New Roman"/>
          <w:sz w:val="22"/>
          <w:szCs w:val="22"/>
        </w:rPr>
        <w:fldChar w:fldCharType="begin" w:fldLock="1"/>
      </w:r>
      <w:r w:rsidRPr="003650BA">
        <w:rPr>
          <w:rFonts w:ascii="Times New Roman" w:hAnsi="Times New Roman" w:cs="Times New Roman"/>
          <w:sz w:val="22"/>
          <w:szCs w:val="22"/>
        </w:rPr>
        <w:instrText>ADDIN CSL_CITATION {"citationItems":[{"id":"ITEM-1","itemData":{"ISBN":"0012-9658","abstract":"The analysis of presence-absence matrices with ''null model'' randomization tests has been a major source of controversy in community ecology for over two decades. In this paper, I systematically compare the performance of nine null model algorithms and four co-occurrence indices with respect to Type I and Type II errors. The nine algorithms differ in whether rows and columns are treated as fixed sums, equiprobable, or proportional. The three models that maintain fixed row sums are invulnerable to Type I errors (false positives). One of these three is a modified version of the original algorithm of E. F. Conner and D. Simberloff. Of the four co-occurrence indices, the number of checkerboard combinations and the number of species combinations may be prone to Type II errors (false negatives), and may not reveal significant patterns in noisy data sets. L. Stone and A. Robert's checkerboard score has good power for detecting species pairs that do nut co-occur together frequently, whereas D. Schluter's V ratio reveals nonrandom patterns in the row and column totals of the matrix. Degenerate matrices (matrices with empty rows or columns) do not. Greatly alter the outcome of null model analyses. The choice of an appropriate null model and index may depend on whether the data represent classic ''island lists'' of species in an archipelago or standardized ''sample lists'' of species collected with equal sampling effort. Systematic examination of a set of related null models can pinpoint how violation of the assumptions of the model contributes to nonrandom patterns.","author":[{"dropping-particle":"","family":"Gotelli","given":"N.J.","non-dropping-particle":"","parse-names":false,"suffix":""}],"container-title":"Ecology","id":"ITEM-1","issue":"9","issued":{"date-parts":[["2000"]]},"page":"2606-2621","title":"Null model analysis of species co-occurrence patterns","type":"article-journal","volume":"81"},"uris":["http://www.mendeley.com/documents/?uuid=ffa29c16-8379-4e6f-99ff-ba8cbd2a4bf8"]}],"mendeley":{"formattedCitation":"(Gotelli 2000)","manualFormatting":"Gotelli (2000)","plainTextFormattedCitation":"(Gotelli 2000)","previouslyFormattedCitation":"(Gotelli 2000)"},"properties":{"noteIndex":0},"schema":"https://github.com/citation-style-language/schema/raw/master/csl-citation.json"}</w:instrText>
      </w:r>
      <w:r w:rsidRPr="003650BA">
        <w:rPr>
          <w:rFonts w:ascii="Times New Roman" w:hAnsi="Times New Roman" w:cs="Times New Roman"/>
          <w:sz w:val="22"/>
          <w:szCs w:val="22"/>
        </w:rPr>
        <w:fldChar w:fldCharType="separate"/>
      </w:r>
      <w:r w:rsidRPr="003650BA">
        <w:rPr>
          <w:rFonts w:ascii="Times New Roman" w:hAnsi="Times New Roman" w:cs="Times New Roman"/>
          <w:noProof/>
          <w:sz w:val="22"/>
          <w:szCs w:val="22"/>
        </w:rPr>
        <w:t>Gotelli (2000)</w:t>
      </w:r>
      <w:r w:rsidRPr="003650BA">
        <w:rPr>
          <w:rFonts w:ascii="Times New Roman" w:hAnsi="Times New Roman" w:cs="Times New Roman"/>
          <w:sz w:val="22"/>
          <w:szCs w:val="22"/>
        </w:rPr>
        <w:fldChar w:fldCharType="end"/>
      </w:r>
      <w:r w:rsidRPr="003650BA">
        <w:rPr>
          <w:rFonts w:ascii="Times New Roman" w:hAnsi="Times New Roman" w:cs="Times New Roman"/>
          <w:sz w:val="22"/>
          <w:szCs w:val="22"/>
        </w:rPr>
        <w:t xml:space="preserve"> e </w:t>
      </w:r>
      <w:r w:rsidRPr="003650BA">
        <w:rPr>
          <w:rFonts w:ascii="Times New Roman" w:hAnsi="Times New Roman" w:cs="Times New Roman"/>
          <w:sz w:val="22"/>
          <w:szCs w:val="22"/>
        </w:rPr>
        <w:fldChar w:fldCharType="begin" w:fldLock="1"/>
      </w:r>
      <w:r w:rsidRPr="003650BA">
        <w:rPr>
          <w:rFonts w:ascii="Times New Roman" w:hAnsi="Times New Roman" w:cs="Times New Roman"/>
          <w:sz w:val="22"/>
          <w:szCs w:val="22"/>
        </w:rPr>
        <w:instrText>ADDIN CSL_CITATION {"citationItems":[{"id":"ITEM-1","itemData":{"ISBN":"1461495415","author":[{"dropping-particle":"","family":"Swenson","given":"N.G.","non-dropping-particle":"","parse-names":false,"suffix":""}],"id":"ITEM-1","issued":{"date-parts":[["2014"]]},"number-of-pages":"212","publisher":"Springer","publisher-place":"New York","title":"Functional and phylogenetic ecology in R","type":"book"},"uris":["http://www.mendeley.com/documents/?uuid=b09479bd-9400-4f69-a08f-8daa33827668"]}],"mendeley":{"formattedCitation":"(Swenson 2014)","manualFormatting":"Swenson (2014)","plainTextFormattedCitation":"(Swenson 2014)","previouslyFormattedCitation":"(Swenson 2014)"},"properties":{"noteIndex":0},"schema":"https://github.com/citation-style-language/schema/raw/master/csl-citation.json"}</w:instrText>
      </w:r>
      <w:r w:rsidRPr="003650BA">
        <w:rPr>
          <w:rFonts w:ascii="Times New Roman" w:hAnsi="Times New Roman" w:cs="Times New Roman"/>
          <w:sz w:val="22"/>
          <w:szCs w:val="22"/>
        </w:rPr>
        <w:fldChar w:fldCharType="separate"/>
      </w:r>
      <w:r w:rsidRPr="003650BA">
        <w:rPr>
          <w:rFonts w:ascii="Times New Roman" w:hAnsi="Times New Roman" w:cs="Times New Roman"/>
          <w:noProof/>
          <w:sz w:val="22"/>
          <w:szCs w:val="22"/>
        </w:rPr>
        <w:t>Swenson (2014)</w:t>
      </w:r>
      <w:r w:rsidRPr="003650BA">
        <w:rPr>
          <w:rFonts w:ascii="Times New Roman" w:hAnsi="Times New Roman" w:cs="Times New Roman"/>
          <w:sz w:val="22"/>
          <w:szCs w:val="22"/>
        </w:rPr>
        <w:fldChar w:fldCharType="end"/>
      </w:r>
      <w:r w:rsidRPr="003650BA">
        <w:rPr>
          <w:rFonts w:ascii="Times New Roman" w:hAnsi="Times New Roman" w:cs="Times New Roman"/>
          <w:sz w:val="22"/>
          <w:szCs w:val="22"/>
        </w:rPr>
        <w:t>;</w:t>
      </w:r>
    </w:p>
    <w:p w14:paraId="4A5D9BB4" w14:textId="77777777" w:rsidR="009526C0" w:rsidRPr="003650BA" w:rsidRDefault="009526C0" w:rsidP="009526C0">
      <w:pPr>
        <w:pStyle w:val="PargrafodaLista"/>
        <w:numPr>
          <w:ilvl w:val="0"/>
          <w:numId w:val="1"/>
        </w:numPr>
        <w:spacing w:after="160" w:line="480" w:lineRule="auto"/>
        <w:ind w:left="0"/>
        <w:rPr>
          <w:rFonts w:ascii="Times New Roman" w:hAnsi="Times New Roman" w:cs="Times New Roman"/>
          <w:sz w:val="22"/>
          <w:szCs w:val="22"/>
        </w:rPr>
      </w:pPr>
      <w:r w:rsidRPr="003650BA">
        <w:rPr>
          <w:rFonts w:ascii="Times New Roman" w:hAnsi="Times New Roman" w:cs="Times New Roman"/>
          <w:sz w:val="22"/>
          <w:szCs w:val="22"/>
        </w:rPr>
        <w:t>Após a criação da comunidade nula devemos calcular o mesmo índice de diversidade calculado para as matrizes originais (passo i);</w:t>
      </w:r>
    </w:p>
    <w:p w14:paraId="042B30EB" w14:textId="187084DD" w:rsidR="009526C0" w:rsidRPr="003650BA" w:rsidRDefault="009526C0" w:rsidP="009526C0">
      <w:pPr>
        <w:pStyle w:val="PargrafodaLista"/>
        <w:numPr>
          <w:ilvl w:val="0"/>
          <w:numId w:val="1"/>
        </w:numPr>
        <w:spacing w:after="160" w:line="480" w:lineRule="auto"/>
        <w:ind w:left="0"/>
        <w:rPr>
          <w:rFonts w:ascii="Times New Roman" w:hAnsi="Times New Roman" w:cs="Times New Roman"/>
          <w:sz w:val="22"/>
          <w:szCs w:val="22"/>
        </w:rPr>
      </w:pPr>
      <w:r w:rsidRPr="003650BA">
        <w:rPr>
          <w:rFonts w:ascii="Times New Roman" w:hAnsi="Times New Roman" w:cs="Times New Roman"/>
          <w:sz w:val="22"/>
          <w:szCs w:val="22"/>
        </w:rPr>
        <w:t xml:space="preserve">Os passos </w:t>
      </w:r>
      <w:proofErr w:type="spellStart"/>
      <w:r w:rsidRPr="003650BA">
        <w:rPr>
          <w:rFonts w:ascii="Times New Roman" w:hAnsi="Times New Roman" w:cs="Times New Roman"/>
          <w:sz w:val="22"/>
          <w:szCs w:val="22"/>
        </w:rPr>
        <w:t>ii</w:t>
      </w:r>
      <w:proofErr w:type="spellEnd"/>
      <w:r w:rsidRPr="003650BA">
        <w:rPr>
          <w:rFonts w:ascii="Times New Roman" w:hAnsi="Times New Roman" w:cs="Times New Roman"/>
          <w:sz w:val="22"/>
          <w:szCs w:val="22"/>
        </w:rPr>
        <w:t xml:space="preserve"> e </w:t>
      </w:r>
      <w:proofErr w:type="spellStart"/>
      <w:r w:rsidRPr="003650BA">
        <w:rPr>
          <w:rFonts w:ascii="Times New Roman" w:hAnsi="Times New Roman" w:cs="Times New Roman"/>
          <w:sz w:val="22"/>
          <w:szCs w:val="22"/>
        </w:rPr>
        <w:t>iii</w:t>
      </w:r>
      <w:proofErr w:type="spellEnd"/>
      <w:r w:rsidRPr="003650BA">
        <w:rPr>
          <w:rFonts w:ascii="Times New Roman" w:hAnsi="Times New Roman" w:cs="Times New Roman"/>
          <w:sz w:val="22"/>
          <w:szCs w:val="22"/>
        </w:rPr>
        <w:t xml:space="preserve"> devem ser repetidos inúmeras vezes (em geral 1000) para gerar um conjunto de comunidades nulas com as quais as comunidades originais são comparadas;</w:t>
      </w:r>
    </w:p>
    <w:p w14:paraId="080069C3" w14:textId="2FA5DABE" w:rsidR="009526C0" w:rsidRPr="003650BA" w:rsidRDefault="009526C0" w:rsidP="009526C0">
      <w:pPr>
        <w:pStyle w:val="PargrafodaLista"/>
        <w:numPr>
          <w:ilvl w:val="0"/>
          <w:numId w:val="1"/>
        </w:numPr>
        <w:spacing w:after="160" w:line="480" w:lineRule="auto"/>
        <w:ind w:left="0"/>
        <w:rPr>
          <w:rFonts w:ascii="Times New Roman" w:hAnsi="Times New Roman" w:cs="Times New Roman"/>
          <w:sz w:val="22"/>
          <w:szCs w:val="22"/>
        </w:rPr>
      </w:pPr>
      <w:r w:rsidRPr="003650BA">
        <w:rPr>
          <w:rFonts w:ascii="Times New Roman" w:hAnsi="Times New Roman" w:cs="Times New Roman"/>
          <w:sz w:val="22"/>
          <w:szCs w:val="22"/>
        </w:rPr>
        <w:t xml:space="preserve">Por fim, deve-se posicionar os valores da métrica de interesse obtidos para a matriz original (passo i) dentro da distribuição de frequência dos valores obtidos para as comunidades nulas (passo </w:t>
      </w:r>
      <w:proofErr w:type="spellStart"/>
      <w:r w:rsidRPr="003650BA">
        <w:rPr>
          <w:rFonts w:ascii="Times New Roman" w:hAnsi="Times New Roman" w:cs="Times New Roman"/>
          <w:sz w:val="22"/>
          <w:szCs w:val="22"/>
        </w:rPr>
        <w:t>iii</w:t>
      </w:r>
      <w:proofErr w:type="spellEnd"/>
      <w:r w:rsidRPr="003650BA">
        <w:rPr>
          <w:rFonts w:ascii="Times New Roman" w:hAnsi="Times New Roman" w:cs="Times New Roman"/>
          <w:sz w:val="22"/>
          <w:szCs w:val="22"/>
        </w:rPr>
        <w:t xml:space="preserve">). Se os valores observados são localizados nos extremos da distribuição de frequência (&lt; 2,5% ou &gt; 97,5%) podemos concluir que o processo de interesse, que gerou as comunidades nulas, potencialmente não explica os dados reais. </w:t>
      </w:r>
    </w:p>
    <w:p w14:paraId="12E60EC5" w14:textId="77777777" w:rsidR="009526C0" w:rsidRPr="003650BA" w:rsidRDefault="009526C0" w:rsidP="009526C0">
      <w:pPr>
        <w:keepNext/>
        <w:spacing w:line="480" w:lineRule="auto"/>
        <w:ind w:firstLine="709"/>
        <w:jc w:val="center"/>
        <w:rPr>
          <w:rFonts w:ascii="Times New Roman" w:hAnsi="Times New Roman" w:cs="Times New Roman"/>
          <w:sz w:val="22"/>
          <w:szCs w:val="22"/>
        </w:rPr>
      </w:pPr>
      <w:r w:rsidRPr="003650BA">
        <w:rPr>
          <w:rFonts w:ascii="Times New Roman" w:hAnsi="Times New Roman" w:cs="Times New Roman"/>
          <w:noProof/>
          <w:sz w:val="22"/>
          <w:szCs w:val="22"/>
        </w:rPr>
        <w:lastRenderedPageBreak/>
        <w:drawing>
          <wp:inline distT="0" distB="0" distL="0" distR="0" wp14:anchorId="072A7B3E" wp14:editId="03C6B911">
            <wp:extent cx="3340725" cy="5400000"/>
            <wp:effectExtent l="0" t="0" r="0" b="0"/>
            <wp:docPr id="23" name="Imagem 23" descr="Uma imagem contendo placa, display, relóg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delo_nulo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40725" cy="5400000"/>
                    </a:xfrm>
                    <a:prstGeom prst="rect">
                      <a:avLst/>
                    </a:prstGeom>
                  </pic:spPr>
                </pic:pic>
              </a:graphicData>
            </a:graphic>
          </wp:inline>
        </w:drawing>
      </w:r>
    </w:p>
    <w:p w14:paraId="1ED1667F" w14:textId="7801264A" w:rsidR="009526C0" w:rsidRPr="003650BA" w:rsidRDefault="009526C0" w:rsidP="009526C0">
      <w:pPr>
        <w:pStyle w:val="Legenda"/>
        <w:spacing w:line="480" w:lineRule="auto"/>
        <w:rPr>
          <w:rFonts w:ascii="Times New Roman" w:hAnsi="Times New Roman" w:cs="Times New Roman"/>
          <w:i w:val="0"/>
          <w:color w:val="auto"/>
          <w:sz w:val="22"/>
          <w:szCs w:val="22"/>
          <w:lang w:val="pt-BR"/>
        </w:rPr>
      </w:pPr>
      <w:r w:rsidRPr="003650BA">
        <w:rPr>
          <w:rFonts w:ascii="Times New Roman" w:hAnsi="Times New Roman" w:cs="Times New Roman"/>
          <w:i w:val="0"/>
          <w:color w:val="auto"/>
          <w:sz w:val="22"/>
          <w:szCs w:val="22"/>
          <w:lang w:val="pt-BR"/>
        </w:rPr>
        <w:t xml:space="preserve">Figura </w:t>
      </w:r>
      <w:r w:rsidR="00290341">
        <w:rPr>
          <w:rFonts w:ascii="Times New Roman" w:hAnsi="Times New Roman" w:cs="Times New Roman"/>
          <w:i w:val="0"/>
          <w:color w:val="auto"/>
          <w:sz w:val="22"/>
          <w:szCs w:val="22"/>
          <w:lang w:val="pt-BR"/>
        </w:rPr>
        <w:t>A1</w:t>
      </w:r>
      <w:r w:rsidRPr="003650BA">
        <w:rPr>
          <w:rFonts w:ascii="Times New Roman" w:hAnsi="Times New Roman" w:cs="Times New Roman"/>
          <w:i w:val="0"/>
          <w:color w:val="auto"/>
          <w:sz w:val="22"/>
          <w:szCs w:val="22"/>
          <w:lang w:val="pt-BR"/>
        </w:rPr>
        <w:t xml:space="preserve">. Representação esquemática dos cinco principais passos necessários para a construção de um modelo nulo (vide texto). </w:t>
      </w:r>
    </w:p>
    <w:p w14:paraId="6255E230" w14:textId="2FC35CEC" w:rsidR="009526C0" w:rsidRPr="003650BA" w:rsidRDefault="009526C0" w:rsidP="009526C0">
      <w:pPr>
        <w:spacing w:line="480" w:lineRule="auto"/>
        <w:rPr>
          <w:rFonts w:ascii="Times New Roman" w:hAnsi="Times New Roman" w:cs="Times New Roman"/>
          <w:sz w:val="22"/>
          <w:szCs w:val="22"/>
        </w:rPr>
      </w:pPr>
      <w:r w:rsidRPr="003650BA">
        <w:rPr>
          <w:rFonts w:ascii="Times New Roman" w:hAnsi="Times New Roman" w:cs="Times New Roman"/>
          <w:sz w:val="22"/>
          <w:szCs w:val="22"/>
        </w:rPr>
        <w:t xml:space="preserve">De fato, a utilização de modelos nulos em conjunto com índices de diversidade funcional tem sido de grande valia para o melhor entendimento de processos ecológicos. Exemplos recentes aplicados para a ictiofauna de riachos brasileiros têm evidenciado a importância de espécies raras nos padrões regionais de diversidade funcional </w:t>
      </w:r>
      <w:r w:rsidRPr="003650BA">
        <w:rPr>
          <w:rFonts w:ascii="Times New Roman" w:hAnsi="Times New Roman" w:cs="Times New Roman"/>
          <w:sz w:val="22"/>
          <w:szCs w:val="22"/>
        </w:rPr>
        <w:fldChar w:fldCharType="begin" w:fldLock="1"/>
      </w:r>
      <w:r w:rsidRPr="003650BA">
        <w:rPr>
          <w:rFonts w:ascii="Times New Roman" w:hAnsi="Times New Roman" w:cs="Times New Roman"/>
          <w:sz w:val="22"/>
          <w:szCs w:val="22"/>
        </w:rPr>
        <w:instrText>ADDIN CSL_CITATION {"citationItems":[{"id":"ITEM-1","itemData":{"DOI":"10.1098/rspb.2016.0084","ISSN":"0962-8452","abstract":"There is broad consensus that the diversity of functional traits within species assemblages drives several ecological processes. It is also widely recognized that rare species are the first to become extinct following human-induced disturbances. Surprisingly, however, the functional importance of rare species is still poorly understood, particularly in tropical species-rich assemblages where the majority of species are rare, and the rate of species extinction can be high. Here, we investigated the consequences of local and regional extinctions on the functional structure of species assemblages. We used three extensive datasets (stream fish from the Brazilian Amazon, rainforest trees from French Guiana, and birds from the Australian Wet Tropics) and built an integrative measure of species rarity versuscommonness, combining local abundance, geographical range, andhabitat breadth. Using different scenarios of species loss, we found a disproportionate impact of rare species extinction for the three groups, with significant reductions in levels of functional richness, specialization, and originality of assemblages, which may severely undermine the integrity of ecological processes. The whole breadth of functional abilities within species assemblages, which is disproportionately supported by rare species, is certainly critical in maintaining ecosystems particularly under the ongoing rapid environmental transitions.","author":[{"dropping-particle":"","family":"Leitão","given":"Rafael P.","non-dropping-particle":"","parse-names":false,"suffix":""},{"dropping-particle":"","family":"Zuanon","given":"Jansen","non-dropping-particle":"","parse-names":false,"suffix":""},{"dropping-particle":"","family":"Villéger","given":"Sébastien","non-dropping-particle":"","parse-names":false,"suffix":""},{"dropping-particle":"","family":"Williams","given":"Stephen E.","non-dropping-particle":"","parse-names":false,"suffix":""},{"dropping-particle":"","family":"Baraloto","given":"Christopher","non-dropping-particle":"","parse-names":false,"suffix":""},{"dropping-particle":"","family":"Fortunel","given":"Claire","non-dropping-particle":"","parse-names":false,"suffix":""},{"dropping-particle":"","family":"Mendonça","given":"Fernando P.","non-dropping-particle":"","parse-names":false,"suffix":""},{"dropping-particle":"","family":"Mouillot","given":"David","non-dropping-particle":"","parse-names":false,"suffix":""}],"container-title":"Proceedings of the Royal Society B: Biological Sciences","id":"ITEM-1","issue":"1828","issued":{"date-parts":[["2016","4","13"]]},"page":"20160084","title":"Rare species contribute disproportionately to the functional structure of species assemblages","type":"article-journal","volume":"283"},"uris":["http://www.mendeley.com/documents/?uuid=31281df6-50d4-4dd9-a464-292430e34579"]}],"mendeley":{"formattedCitation":"(Leitão &lt;i&gt;et al.&lt;/i&gt; 2016)","plainTextFormattedCitation":"(Leitão et al. 2016)","previouslyFormattedCitation":"(Leitão &lt;i&gt;et al.&lt;/i&gt; 2016)"},"properties":{"noteIndex":0},"schema":"https://github.com/citation-style-language/schema/raw/master/csl-citation.json"}</w:instrText>
      </w:r>
      <w:r w:rsidRPr="003650BA">
        <w:rPr>
          <w:rFonts w:ascii="Times New Roman" w:hAnsi="Times New Roman" w:cs="Times New Roman"/>
          <w:sz w:val="22"/>
          <w:szCs w:val="22"/>
        </w:rPr>
        <w:fldChar w:fldCharType="separate"/>
      </w:r>
      <w:r w:rsidRPr="003650BA">
        <w:rPr>
          <w:rFonts w:ascii="Times New Roman" w:hAnsi="Times New Roman" w:cs="Times New Roman"/>
          <w:noProof/>
          <w:sz w:val="22"/>
          <w:szCs w:val="22"/>
        </w:rPr>
        <w:t xml:space="preserve">(Leitão </w:t>
      </w:r>
      <w:r w:rsidRPr="003650BA">
        <w:rPr>
          <w:rFonts w:ascii="Times New Roman" w:hAnsi="Times New Roman" w:cs="Times New Roman"/>
          <w:i/>
          <w:noProof/>
          <w:sz w:val="22"/>
          <w:szCs w:val="22"/>
        </w:rPr>
        <w:t>et al.</w:t>
      </w:r>
      <w:r w:rsidRPr="003650BA">
        <w:rPr>
          <w:rFonts w:ascii="Times New Roman" w:hAnsi="Times New Roman" w:cs="Times New Roman"/>
          <w:noProof/>
          <w:sz w:val="22"/>
          <w:szCs w:val="22"/>
        </w:rPr>
        <w:t xml:space="preserve"> 2016)</w:t>
      </w:r>
      <w:r w:rsidRPr="003650BA">
        <w:rPr>
          <w:rFonts w:ascii="Times New Roman" w:hAnsi="Times New Roman" w:cs="Times New Roman"/>
          <w:sz w:val="22"/>
          <w:szCs w:val="22"/>
        </w:rPr>
        <w:fldChar w:fldCharType="end"/>
      </w:r>
      <w:r w:rsidRPr="003650BA">
        <w:rPr>
          <w:rFonts w:ascii="Times New Roman" w:hAnsi="Times New Roman" w:cs="Times New Roman"/>
          <w:sz w:val="22"/>
          <w:szCs w:val="22"/>
        </w:rPr>
        <w:t xml:space="preserve">, consequências de distúrbios históricos na estrutura funcional de comunidades locais </w:t>
      </w:r>
      <w:r w:rsidRPr="003650BA">
        <w:rPr>
          <w:rFonts w:ascii="Times New Roman" w:hAnsi="Times New Roman" w:cs="Times New Roman"/>
          <w:sz w:val="22"/>
          <w:szCs w:val="22"/>
        </w:rPr>
        <w:fldChar w:fldCharType="begin" w:fldLock="1"/>
      </w:r>
      <w:r w:rsidRPr="003650BA">
        <w:rPr>
          <w:rFonts w:ascii="Times New Roman" w:hAnsi="Times New Roman" w:cs="Times New Roman"/>
          <w:sz w:val="22"/>
          <w:szCs w:val="22"/>
        </w:rPr>
        <w:instrText>ADDIN CSL_CITATION {"citationItems":[{"id":"ITEM-1","itemData":{"DOI":"10.1111/jbi.13205","ISSN":"13652699","abstract":"Aim: Disturbances are events that influence the structure of biological assemblages, yet how historical disturbances have affected the functional structure of recent assemblages is still poorly known. We used species functional traits to investigate the effects of historical disturbances, such as past climate change (aridification), on the current structure of stream fish assemblages. Location: Amazon Basin and Brazilian Northeast streams. Methods: We used measures of functional specialization and originality to assess the effects of historical disturbances on the structure of fish assemblages in streams with similar local environmental conditions in each biome (Amazonia and Caatinga). For this, we measured 15 traits related to locomotion, feeding and habitat use for each species sampled. We then compared the functional structure of each assemblage expressed as functional richness (FRic) and evenness (FEve) between biomes. We also used structured and random simulations of species extinctions to identify the influence of the loss of original and specialized species due to historical disturbance. Results: We found high levels of functional specialization in Amazonia (historically more stable) and redundancy in Caatinga (higher frequency of historical disturbances) regional assemblages, regardless of the inter-biome differences in species richness. These results were also detected in local assemblages, suggesting that the effect of historical disturbances influences the structure of fish assemblages, both at small and large spatial scales. Main conclusions: The historical stability in Amazonian fish assemblages may have favoured a higher taxonomic and FRic, as well as greater functional specialization and originality, compared to Caatinga assemblages. Our results reinforce the importance of understanding and evaluating the evolutionary history of ecosystems in order to describe the current functional structure of species assemblages.","author":[{"dropping-particle":"","family":"Rodrigues-Filho","given":"C.A.S.","non-dropping-particle":"","parse-names":false,"suffix":""},{"dropping-particle":"","family":"Leitão","given":"R.P.","non-dropping-particle":"","parse-names":false,"suffix":""},{"dropping-particle":"","family":"Zuanon","given":"J.","non-dropping-particle":"","parse-names":false,"suffix":""},{"dropping-particle":"","family":"Sánchez-Botero","given":"J.I.","non-dropping-particle":"","parse-names":false,"suffix":""},{"dropping-particle":"","family":"Baccaro","given":"F.B.","non-dropping-particle":"","parse-names":false,"suffix":""}],"container-title":"Journal of Biogeography","id":"ITEM-1","issue":"6","issued":{"date-parts":[["2018"]]},"page":"1345-1354","title":"Historical stability promoted higher functional specialization and originality in Neotropical stream fish assemblages","type":"article-journal","volume":"45"},"uris":["http://www.mendeley.com/documents/?uuid=0f94dd9d-8b59-4a50-9a62-9eb401554bbe"]}],"mendeley":{"formattedCitation":"(Rodrigues-Filho &lt;i&gt;et al.&lt;/i&gt; 2018)","plainTextFormattedCitation":"(Rodrigues-Filho et al. 2018)","previouslyFormattedCitation":"(Rodrigues-Filho &lt;i&gt;et al.&lt;/i&gt; 2018)"},"properties":{"noteIndex":0},"schema":"https://github.com/citation-style-language/schema/raw/master/csl-citation.json"}</w:instrText>
      </w:r>
      <w:r w:rsidRPr="003650BA">
        <w:rPr>
          <w:rFonts w:ascii="Times New Roman" w:hAnsi="Times New Roman" w:cs="Times New Roman"/>
          <w:sz w:val="22"/>
          <w:szCs w:val="22"/>
        </w:rPr>
        <w:fldChar w:fldCharType="separate"/>
      </w:r>
      <w:r w:rsidRPr="003650BA">
        <w:rPr>
          <w:rFonts w:ascii="Times New Roman" w:hAnsi="Times New Roman" w:cs="Times New Roman"/>
          <w:noProof/>
          <w:sz w:val="22"/>
          <w:szCs w:val="22"/>
        </w:rPr>
        <w:t xml:space="preserve">(Rodrigues-Filho </w:t>
      </w:r>
      <w:r w:rsidRPr="003650BA">
        <w:rPr>
          <w:rFonts w:ascii="Times New Roman" w:hAnsi="Times New Roman" w:cs="Times New Roman"/>
          <w:i/>
          <w:noProof/>
          <w:sz w:val="22"/>
          <w:szCs w:val="22"/>
        </w:rPr>
        <w:t>et al.</w:t>
      </w:r>
      <w:r w:rsidRPr="003650BA">
        <w:rPr>
          <w:rFonts w:ascii="Times New Roman" w:hAnsi="Times New Roman" w:cs="Times New Roman"/>
          <w:noProof/>
          <w:sz w:val="22"/>
          <w:szCs w:val="22"/>
        </w:rPr>
        <w:t xml:space="preserve"> 2018)</w:t>
      </w:r>
      <w:r w:rsidRPr="003650BA">
        <w:rPr>
          <w:rFonts w:ascii="Times New Roman" w:hAnsi="Times New Roman" w:cs="Times New Roman"/>
          <w:sz w:val="22"/>
          <w:szCs w:val="22"/>
        </w:rPr>
        <w:fldChar w:fldCharType="end"/>
      </w:r>
      <w:r w:rsidRPr="003650BA">
        <w:rPr>
          <w:rFonts w:ascii="Times New Roman" w:hAnsi="Times New Roman" w:cs="Times New Roman"/>
          <w:sz w:val="22"/>
          <w:szCs w:val="22"/>
        </w:rPr>
        <w:t xml:space="preserve">, importância de processos determinísticos (e.g. seleção de nicho) </w:t>
      </w:r>
      <w:r w:rsidRPr="003650BA">
        <w:rPr>
          <w:rFonts w:ascii="Times New Roman" w:hAnsi="Times New Roman" w:cs="Times New Roman"/>
          <w:sz w:val="22"/>
          <w:szCs w:val="22"/>
        </w:rPr>
        <w:fldChar w:fldCharType="begin" w:fldLock="1"/>
      </w:r>
      <w:r w:rsidRPr="003650BA">
        <w:rPr>
          <w:rFonts w:ascii="Times New Roman" w:hAnsi="Times New Roman" w:cs="Times New Roman"/>
          <w:sz w:val="22"/>
          <w:szCs w:val="22"/>
        </w:rPr>
        <w:instrText>ADDIN CSL_CITATION {"citationItems":[{"id":"ITEM-1","itemData":{"DOI":"10.1111/fwb.13233","ISSN":"00465070","abstract":"A multi-faceted assessment of diversity is needed to improve our understanding of the mechanisms underlying biodiversity patterns and to reveal the impacts of land use alterations on β-diversity. In this study, we analysed stream fish β-diversity based on taxonomic, functional, and phylogenetic facets in an intensively cultivated tropical region. We sampled 43 stream reaches in the northwest of São Paulo State, south-eastern Brazil. Each sampling site was characterised according to catchment-scale features, landscape dynamic indicators, local-scale features, and distance between stream reaches as network distance (a proxy for dispersal processes). As response variables, we considered taxonomic, functional, and phylogenetic β-diversities coupled with a null-model approach. For each β-diversity metric, we calculated the mean overall value and tested whether the mean value was different from that expected by chance. To examine variation in β-diversity for the three facets and determine the relative contributions of predictor variables, we used a distance-based approach. Taxonomic and functional β-diversities were higher from the expected value under a null model, suggesting that community assembly of these facets was dominated by deterministic processes. In contrast, phylogenetic β-diversity was not different from that expected by chance, suggesting that the lineage composition of these assemblages was random. Furthermore, for all three facets, there was a positive environment-β-diversity relationship that was determined primarily by local-scale features, whereas catchment features and landscape dynamic indicators were not important. In addition, none of the β-diversity facets was correlated with stream network distance, indicating that dispersal processes were not strongly structuring fish assemblages. Our study suggested that although multiple facets of stream fish β-diversity are ruled mainly by deterministic processes (e.g. species sorting), stochasticity is also important in community assembly. An interesting finding was the mismatch between phylogenetic versus taxonomic and functional β-diversity. It is likely that the lack of non-random structure in phylogenetic β-diversity is due to the variation of phylogenetic signal in some functional traits. Given that landscape dynamic indicators were not correlated with measures of β-diversity, we suggest that the recent sugarcane expansion in our study area probably has not critically affected stream fish β-…","author":[{"dropping-particle":"","family":"Roa-Fuentes","given":"C.A.","non-dropping-particle":"","parse-names":false,"suffix":""},{"dropping-particle":"","family":"Heino","given":"J.","non-dropping-particle":"","parse-names":false,"suffix":""},{"dropping-particle":"","family":"Cianciaruso","given":"M.V.","non-dropping-particle":"","parse-names":false,"suffix":""},{"dropping-particle":"","family":"Ferraz","given":"S.","non-dropping-particle":"","parse-names":false,"suffix":""},{"dropping-particle":"","family":"Zeni","given":"J.O.","non-dropping-particle":"","parse-names":false,"suffix":""},{"dropping-particle":"","family":"Casatti","given":"L.","non-dropping-particle":"","parse-names":false,"suffix":""}],"container-title":"Freshwater Biology","id":"ITEM-1","issue":"3","issued":{"date-parts":[["2019","3"]]},"page":"447-460","title":"Taxonomic, functional, and phylogenetic β-diversity patterns of stream fish assemblages in tropical agroecosystems","type":"article-journal","volume":"64"},"uris":["http://www.mendeley.com/documents/?uuid=c06c0cd9-8f87-4ccf-b5d8-8039a2c4dcba"]}],"mendeley":{"formattedCitation":"(Roa-Fuentes &lt;i&gt;et al.&lt;/i&gt; 2019)","plainTextFormattedCitation":"(Roa-Fuentes et al. 2019)","previouslyFormattedCitation":"(Roa-Fuentes &lt;i&gt;et al.&lt;/i&gt; 2019)"},"properties":{"noteIndex":0},"schema":"https://github.com/citation-style-language/schema/raw/master/csl-citation.json"}</w:instrText>
      </w:r>
      <w:r w:rsidRPr="003650BA">
        <w:rPr>
          <w:rFonts w:ascii="Times New Roman" w:hAnsi="Times New Roman" w:cs="Times New Roman"/>
          <w:sz w:val="22"/>
          <w:szCs w:val="22"/>
        </w:rPr>
        <w:fldChar w:fldCharType="separate"/>
      </w:r>
      <w:r w:rsidRPr="003650BA">
        <w:rPr>
          <w:rFonts w:ascii="Times New Roman" w:hAnsi="Times New Roman" w:cs="Times New Roman"/>
          <w:noProof/>
          <w:sz w:val="22"/>
          <w:szCs w:val="22"/>
        </w:rPr>
        <w:t xml:space="preserve">(Roa-Fuentes </w:t>
      </w:r>
      <w:r w:rsidRPr="003650BA">
        <w:rPr>
          <w:rFonts w:ascii="Times New Roman" w:hAnsi="Times New Roman" w:cs="Times New Roman"/>
          <w:i/>
          <w:noProof/>
          <w:sz w:val="22"/>
          <w:szCs w:val="22"/>
        </w:rPr>
        <w:t>et al.</w:t>
      </w:r>
      <w:r w:rsidRPr="003650BA">
        <w:rPr>
          <w:rFonts w:ascii="Times New Roman" w:hAnsi="Times New Roman" w:cs="Times New Roman"/>
          <w:noProof/>
          <w:sz w:val="22"/>
          <w:szCs w:val="22"/>
        </w:rPr>
        <w:t xml:space="preserve"> 2019)</w:t>
      </w:r>
      <w:r w:rsidRPr="003650BA">
        <w:rPr>
          <w:rFonts w:ascii="Times New Roman" w:hAnsi="Times New Roman" w:cs="Times New Roman"/>
          <w:sz w:val="22"/>
          <w:szCs w:val="22"/>
        </w:rPr>
        <w:fldChar w:fldCharType="end"/>
      </w:r>
      <w:r w:rsidRPr="003650BA">
        <w:rPr>
          <w:rFonts w:ascii="Times New Roman" w:hAnsi="Times New Roman" w:cs="Times New Roman"/>
          <w:sz w:val="22"/>
          <w:szCs w:val="22"/>
        </w:rPr>
        <w:t xml:space="preserve"> e consequências de exploração de espécies ornamentais </w:t>
      </w:r>
      <w:r w:rsidRPr="003650BA">
        <w:rPr>
          <w:rFonts w:ascii="Times New Roman" w:hAnsi="Times New Roman" w:cs="Times New Roman"/>
          <w:sz w:val="22"/>
          <w:szCs w:val="22"/>
        </w:rPr>
        <w:fldChar w:fldCharType="begin" w:fldLock="1"/>
      </w:r>
      <w:r w:rsidRPr="003650BA">
        <w:rPr>
          <w:rFonts w:ascii="Times New Roman" w:hAnsi="Times New Roman" w:cs="Times New Roman"/>
          <w:sz w:val="22"/>
          <w:szCs w:val="22"/>
        </w:rPr>
        <w:instrText>ADDIN CSL_CITATION {"citationItems":[{"id":"ITEM-1","itemData":{"DOI":"10.1111/eff.12524","ISSN":"0906-6691","abstract":"The consequences of over-exploitation may seriously impair the integrity and functioning of ecosystems. When loss of species is accompanied by the loss of ecological processes, the effects are no longer just taxonomic and may affect the stability of the environments. Ornamental fishing is one of the main economic activities of the middle Negro River. Such activity is directed to a small number of species and has the Cardinal Tetra (Paracheirodon axelrodi) as the main target species. Given the potential effects this pressure and the lack of information on its consequences, the present study analysed, through simulations, the possible effects of depletion of ornamental fish populations on the functional structure of fish assemblages, represented by functional diversity (FD) and functional redundancy (FR) indexes. We sampled 13 streams exploited by the ornamental fishery, where we collected 4,286 specimens of 110 species, of which 22 were targeted as ornamental fishing. We found that the ornamental species corresponded, on average, to 27.8% of the species and 33.3% of the FD of the assemblages. In a scenario of complete exclusion of ornamental species, local communities would lose 24.6% of the FD and reduce up to 12% of the FR. With these results, it is possible to infer that the local extinction of exploited species would cause negative impacts on the multifunctionality and the resilience of the streams ecosystems. In this way, we emphasise the need for proper management of the ornamental fisheries aiming to the sustainability of the activity and to the conservation of ecosystem functionality.","author":[{"dropping-particle":"","family":"Castanho","given":"Danilo G. R.","non-dropping-particle":"","parse-names":false,"suffix":""},{"dropping-particle":"","family":"Deus","given":"Cláudia P.","non-dropping-particle":"","parse-names":false,"suffix":""},{"dropping-particle":"","family":"Zuanon","given":"Jansen","non-dropping-particle":"","parse-names":false,"suffix":""},{"dropping-particle":"","family":"Santorelli","given":"Sergio","non-dropping-particle":"","parse-names":false,"suffix":""},{"dropping-particle":"","family":"Leitão","given":"Rafael P.","non-dropping-particle":"","parse-names":false,"suffix":""},{"dropping-particle":"","family":"Teresa","given":"Fabrício B.","non-dropping-particle":"","parse-names":false,"suffix":""}],"container-title":"Ecology of Freshwater Fish","id":"ITEM-1","issue":"December","issued":{"date-parts":[["2019","12","29"]]},"page":"eff.12524","title":"Simulation of over‐exploitation of ornamental fish and its consequences for the functional structure of assemblages of Amazonian streams","type":"article-journal"},"uris":["http://www.mendeley.com/documents/?uuid=fd5f4de6-68f4-405c-ab92-6f0bdc935259"]}],"mendeley":{"formattedCitation":"(Castanho &lt;i&gt;et al.&lt;/i&gt; 2019)","plainTextFormattedCitation":"(Castanho et al. 2019)","previouslyFormattedCitation":"(Castanho &lt;i&gt;et al.&lt;/i&gt; 2019)"},"properties":{"noteIndex":0},"schema":"https://github.com/citation-style-language/schema/raw/master/csl-citation.json"}</w:instrText>
      </w:r>
      <w:r w:rsidRPr="003650BA">
        <w:rPr>
          <w:rFonts w:ascii="Times New Roman" w:hAnsi="Times New Roman" w:cs="Times New Roman"/>
          <w:sz w:val="22"/>
          <w:szCs w:val="22"/>
        </w:rPr>
        <w:fldChar w:fldCharType="separate"/>
      </w:r>
      <w:r w:rsidRPr="003650BA">
        <w:rPr>
          <w:rFonts w:ascii="Times New Roman" w:hAnsi="Times New Roman" w:cs="Times New Roman"/>
          <w:noProof/>
          <w:sz w:val="22"/>
          <w:szCs w:val="22"/>
        </w:rPr>
        <w:t xml:space="preserve">(Castanho </w:t>
      </w:r>
      <w:r w:rsidRPr="003650BA">
        <w:rPr>
          <w:rFonts w:ascii="Times New Roman" w:hAnsi="Times New Roman" w:cs="Times New Roman"/>
          <w:i/>
          <w:noProof/>
          <w:sz w:val="22"/>
          <w:szCs w:val="22"/>
        </w:rPr>
        <w:t>et al.</w:t>
      </w:r>
      <w:r w:rsidRPr="003650BA">
        <w:rPr>
          <w:rFonts w:ascii="Times New Roman" w:hAnsi="Times New Roman" w:cs="Times New Roman"/>
          <w:noProof/>
          <w:sz w:val="22"/>
          <w:szCs w:val="22"/>
        </w:rPr>
        <w:t xml:space="preserve"> 2020)</w:t>
      </w:r>
      <w:r w:rsidRPr="003650BA">
        <w:rPr>
          <w:rFonts w:ascii="Times New Roman" w:hAnsi="Times New Roman" w:cs="Times New Roman"/>
          <w:sz w:val="22"/>
          <w:szCs w:val="22"/>
        </w:rPr>
        <w:fldChar w:fldCharType="end"/>
      </w:r>
      <w:r w:rsidRPr="003650BA">
        <w:rPr>
          <w:rFonts w:ascii="Times New Roman" w:hAnsi="Times New Roman" w:cs="Times New Roman"/>
          <w:sz w:val="22"/>
          <w:szCs w:val="22"/>
        </w:rPr>
        <w:t xml:space="preserve">. </w:t>
      </w:r>
    </w:p>
    <w:p w14:paraId="13D3334B" w14:textId="2035B5E0" w:rsidR="009526C0" w:rsidRPr="003650BA" w:rsidRDefault="009526C0" w:rsidP="009526C0">
      <w:pPr>
        <w:spacing w:line="480" w:lineRule="auto"/>
        <w:rPr>
          <w:rFonts w:ascii="Times New Roman" w:hAnsi="Times New Roman" w:cs="Times New Roman"/>
          <w:sz w:val="22"/>
          <w:szCs w:val="22"/>
        </w:rPr>
      </w:pPr>
      <w:r w:rsidRPr="003650BA">
        <w:rPr>
          <w:rFonts w:ascii="Times New Roman" w:hAnsi="Times New Roman" w:cs="Times New Roman"/>
          <w:sz w:val="22"/>
          <w:szCs w:val="22"/>
        </w:rPr>
        <w:lastRenderedPageBreak/>
        <w:t xml:space="preserve">Os resultados obtidos por modelos nulos também podem ser comparados entre diferentes estudos com a utilização do tamanho de efeito padronizado (do inglês </w:t>
      </w:r>
      <w:r w:rsidRPr="003650BA">
        <w:rPr>
          <w:rFonts w:ascii="Times New Roman" w:hAnsi="Times New Roman" w:cs="Times New Roman"/>
          <w:i/>
          <w:sz w:val="22"/>
          <w:szCs w:val="22"/>
        </w:rPr>
        <w:t>SES</w:t>
      </w:r>
      <w:r w:rsidRPr="003650BA">
        <w:rPr>
          <w:rFonts w:ascii="Times New Roman" w:hAnsi="Times New Roman" w:cs="Times New Roman"/>
          <w:sz w:val="22"/>
          <w:szCs w:val="22"/>
        </w:rPr>
        <w:t>):</w:t>
      </w:r>
    </w:p>
    <w:p w14:paraId="28636E48" w14:textId="77777777" w:rsidR="009526C0" w:rsidRPr="003650BA" w:rsidRDefault="009526C0" w:rsidP="009526C0">
      <w:pPr>
        <w:spacing w:line="480" w:lineRule="auto"/>
        <w:ind w:firstLine="708"/>
        <w:rPr>
          <w:rFonts w:ascii="Times New Roman" w:hAnsi="Times New Roman" w:cs="Times New Roman"/>
          <w:sz w:val="22"/>
          <w:szCs w:val="22"/>
        </w:rPr>
      </w:pPr>
    </w:p>
    <w:p w14:paraId="098A962D" w14:textId="6C741AD1" w:rsidR="009526C0" w:rsidRPr="003650BA" w:rsidRDefault="009526C0" w:rsidP="009526C0">
      <w:pPr>
        <w:spacing w:line="480" w:lineRule="auto"/>
        <w:ind w:firstLine="708"/>
        <w:rPr>
          <w:rFonts w:ascii="Times New Roman" w:hAnsi="Times New Roman" w:cs="Times New Roman"/>
          <w:sz w:val="22"/>
          <w:szCs w:val="22"/>
        </w:rPr>
      </w:pPr>
      <m:oMathPara>
        <m:oMath>
          <m:r>
            <w:rPr>
              <w:rFonts w:ascii="Cambria Math" w:hAnsi="Cambria Math" w:cs="Times New Roman"/>
              <w:sz w:val="22"/>
              <w:szCs w:val="22"/>
            </w:rPr>
            <m:t>SES=</m:t>
          </m:r>
          <m:f>
            <m:fPr>
              <m:ctrlPr>
                <w:rPr>
                  <w:rFonts w:ascii="Cambria Math" w:hAnsi="Cambria Math" w:cs="Times New Roman"/>
                  <w:i/>
                  <w:sz w:val="22"/>
                  <w:szCs w:val="22"/>
                </w:rPr>
              </m:ctrlPr>
            </m:fPr>
            <m:num>
              <m:r>
                <w:rPr>
                  <w:rFonts w:ascii="Cambria Math" w:hAnsi="Cambria Math" w:cs="Times New Roman"/>
                  <w:sz w:val="22"/>
                  <w:szCs w:val="22"/>
                </w:rPr>
                <m:t>ínice de DF observado-média DFs calculados para comunidades nulas</m:t>
              </m:r>
            </m:num>
            <m:den>
              <m:r>
                <w:rPr>
                  <w:rFonts w:ascii="Cambria Math" w:hAnsi="Cambria Math" w:cs="Times New Roman"/>
                  <w:sz w:val="22"/>
                  <w:szCs w:val="22"/>
                </w:rPr>
                <m:t xml:space="preserve">desvio padrão DFs das comunidades nulas </m:t>
              </m:r>
            </m:den>
          </m:f>
          <m:r>
            <w:rPr>
              <w:rFonts w:ascii="Cambria Math" w:hAnsi="Cambria Math" w:cs="Times New Roman"/>
              <w:sz w:val="22"/>
              <w:szCs w:val="22"/>
            </w:rPr>
            <m:t xml:space="preserve">  </m:t>
          </m:r>
        </m:oMath>
      </m:oMathPara>
    </w:p>
    <w:p w14:paraId="24B003E8" w14:textId="77777777" w:rsidR="009526C0" w:rsidRPr="003650BA" w:rsidRDefault="009526C0" w:rsidP="009526C0">
      <w:pPr>
        <w:spacing w:line="480" w:lineRule="auto"/>
        <w:ind w:firstLine="708"/>
        <w:rPr>
          <w:rFonts w:ascii="Times New Roman" w:hAnsi="Times New Roman" w:cs="Times New Roman"/>
          <w:sz w:val="22"/>
          <w:szCs w:val="22"/>
        </w:rPr>
      </w:pPr>
    </w:p>
    <w:p w14:paraId="0F92A0AB" w14:textId="77777777" w:rsidR="009526C0" w:rsidRPr="003650BA" w:rsidRDefault="009526C0" w:rsidP="009526C0">
      <w:pPr>
        <w:spacing w:line="480" w:lineRule="auto"/>
        <w:rPr>
          <w:rFonts w:ascii="Times New Roman" w:hAnsi="Times New Roman" w:cs="Times New Roman"/>
          <w:sz w:val="22"/>
          <w:szCs w:val="22"/>
        </w:rPr>
      </w:pPr>
      <w:r w:rsidRPr="003650BA">
        <w:rPr>
          <w:rFonts w:ascii="Times New Roman" w:hAnsi="Times New Roman" w:cs="Times New Roman"/>
          <w:sz w:val="22"/>
          <w:szCs w:val="22"/>
        </w:rPr>
        <w:t>O SES serve como uma medida de afastamento do valor observado em relação ao que seria esperado ao acaso. Valores de SES distantes de zero (positivos ou negativos) indicam que o valor observado difere do que seria esperado pelo processo ecológico simulado. Convencionalmente, valores de SES acima de 1,96 e abaixo de -1,96 são considerados significativos, em um nível de significância de 5%.</w:t>
      </w:r>
    </w:p>
    <w:p w14:paraId="34235509" w14:textId="7CAA222A" w:rsidR="00981651" w:rsidRPr="003650BA" w:rsidRDefault="00981651">
      <w:pPr>
        <w:rPr>
          <w:rFonts w:ascii="Times New Roman" w:hAnsi="Times New Roman" w:cs="Times New Roman"/>
          <w:sz w:val="22"/>
          <w:szCs w:val="22"/>
        </w:rPr>
      </w:pPr>
    </w:p>
    <w:p w14:paraId="25EDA35D" w14:textId="45DBEC45" w:rsidR="003650BA" w:rsidRPr="00CE3F52" w:rsidRDefault="003650BA">
      <w:pPr>
        <w:rPr>
          <w:rFonts w:ascii="Times New Roman" w:hAnsi="Times New Roman" w:cs="Times New Roman"/>
          <w:b/>
          <w:bCs/>
          <w:sz w:val="22"/>
          <w:szCs w:val="22"/>
        </w:rPr>
      </w:pPr>
      <w:r w:rsidRPr="00CE3F52">
        <w:rPr>
          <w:rFonts w:ascii="Times New Roman" w:hAnsi="Times New Roman" w:cs="Times New Roman"/>
          <w:b/>
          <w:bCs/>
          <w:sz w:val="22"/>
          <w:szCs w:val="22"/>
        </w:rPr>
        <w:t>Referências</w:t>
      </w:r>
    </w:p>
    <w:p w14:paraId="2103E6FD" w14:textId="77777777" w:rsidR="002E44F9" w:rsidRPr="00CE3F52" w:rsidRDefault="002E44F9">
      <w:pPr>
        <w:rPr>
          <w:rFonts w:ascii="Times New Roman" w:hAnsi="Times New Roman" w:cs="Times New Roman"/>
          <w:b/>
          <w:bCs/>
          <w:sz w:val="22"/>
          <w:szCs w:val="22"/>
        </w:rPr>
      </w:pPr>
    </w:p>
    <w:p w14:paraId="2B3B04DD" w14:textId="5CBA8B86" w:rsidR="000A3DB2" w:rsidRPr="00CE3F52" w:rsidRDefault="000A3DB2" w:rsidP="000A3DB2">
      <w:pPr>
        <w:widowControl w:val="0"/>
        <w:autoSpaceDE w:val="0"/>
        <w:autoSpaceDN w:val="0"/>
        <w:adjustRightInd w:val="0"/>
        <w:spacing w:line="360" w:lineRule="auto"/>
        <w:ind w:left="480" w:hanging="480"/>
        <w:rPr>
          <w:rFonts w:ascii="Times New Roman" w:hAnsi="Times New Roman" w:cs="Times New Roman"/>
          <w:noProof/>
          <w:sz w:val="22"/>
          <w:szCs w:val="22"/>
          <w:lang w:val="en-US"/>
        </w:rPr>
      </w:pPr>
      <w:proofErr w:type="spellStart"/>
      <w:r w:rsidRPr="0029440D">
        <w:rPr>
          <w:rFonts w:ascii="Times New Roman" w:hAnsi="Times New Roman" w:cs="Times New Roman"/>
          <w:sz w:val="22"/>
          <w:szCs w:val="22"/>
        </w:rPr>
        <w:t>Dolédec</w:t>
      </w:r>
      <w:proofErr w:type="spellEnd"/>
      <w:r w:rsidRPr="0029440D">
        <w:rPr>
          <w:rFonts w:ascii="Times New Roman" w:hAnsi="Times New Roman" w:cs="Times New Roman"/>
          <w:sz w:val="22"/>
          <w:szCs w:val="22"/>
        </w:rPr>
        <w:t xml:space="preserve">, S., </w:t>
      </w:r>
      <w:proofErr w:type="spellStart"/>
      <w:r w:rsidRPr="0029440D">
        <w:rPr>
          <w:rFonts w:ascii="Times New Roman" w:hAnsi="Times New Roman" w:cs="Times New Roman"/>
          <w:sz w:val="22"/>
          <w:szCs w:val="22"/>
        </w:rPr>
        <w:t>Chessel</w:t>
      </w:r>
      <w:proofErr w:type="spellEnd"/>
      <w:r w:rsidRPr="0029440D">
        <w:rPr>
          <w:rFonts w:ascii="Times New Roman" w:hAnsi="Times New Roman" w:cs="Times New Roman"/>
          <w:sz w:val="22"/>
          <w:szCs w:val="22"/>
        </w:rPr>
        <w:t xml:space="preserve">, D., ter </w:t>
      </w:r>
      <w:proofErr w:type="spellStart"/>
      <w:r w:rsidRPr="0029440D">
        <w:rPr>
          <w:rFonts w:ascii="Times New Roman" w:hAnsi="Times New Roman" w:cs="Times New Roman"/>
          <w:sz w:val="22"/>
          <w:szCs w:val="22"/>
        </w:rPr>
        <w:t>Braak</w:t>
      </w:r>
      <w:proofErr w:type="spellEnd"/>
      <w:r w:rsidRPr="0029440D">
        <w:rPr>
          <w:rFonts w:ascii="Times New Roman" w:hAnsi="Times New Roman" w:cs="Times New Roman"/>
          <w:sz w:val="22"/>
          <w:szCs w:val="22"/>
        </w:rPr>
        <w:t xml:space="preserve">, C. J. C., &amp; </w:t>
      </w:r>
      <w:proofErr w:type="spellStart"/>
      <w:r w:rsidRPr="0029440D">
        <w:rPr>
          <w:rFonts w:ascii="Times New Roman" w:hAnsi="Times New Roman" w:cs="Times New Roman"/>
          <w:sz w:val="22"/>
          <w:szCs w:val="22"/>
        </w:rPr>
        <w:t>Champely</w:t>
      </w:r>
      <w:proofErr w:type="spellEnd"/>
      <w:r w:rsidRPr="0029440D">
        <w:rPr>
          <w:rFonts w:ascii="Times New Roman" w:hAnsi="Times New Roman" w:cs="Times New Roman"/>
          <w:sz w:val="22"/>
          <w:szCs w:val="22"/>
        </w:rPr>
        <w:t xml:space="preserve">, S. 1996. </w:t>
      </w:r>
      <w:r w:rsidRPr="00CE3F52">
        <w:rPr>
          <w:rFonts w:ascii="Times New Roman" w:hAnsi="Times New Roman" w:cs="Times New Roman"/>
          <w:sz w:val="22"/>
          <w:szCs w:val="22"/>
          <w:lang w:val="en-US"/>
        </w:rPr>
        <w:t>Matching species traits to environmental variables: a new three-table ordination method. Catheterization and Cardiovascular Interventions, 3, 143–166. DOI: 10.1002/ccd.27419</w:t>
      </w:r>
    </w:p>
    <w:p w14:paraId="280BD9A4" w14:textId="77777777" w:rsidR="00377AC2" w:rsidRPr="00CE3F52" w:rsidRDefault="00377AC2" w:rsidP="00377AC2">
      <w:pPr>
        <w:widowControl w:val="0"/>
        <w:autoSpaceDE w:val="0"/>
        <w:autoSpaceDN w:val="0"/>
        <w:adjustRightInd w:val="0"/>
        <w:spacing w:line="360" w:lineRule="auto"/>
        <w:ind w:left="480" w:hanging="480"/>
        <w:rPr>
          <w:rFonts w:ascii="Times New Roman" w:hAnsi="Times New Roman" w:cs="Times New Roman"/>
          <w:noProof/>
          <w:sz w:val="22"/>
          <w:szCs w:val="22"/>
          <w:lang w:val="en-US"/>
        </w:rPr>
      </w:pPr>
      <w:r w:rsidRPr="00CE3F52">
        <w:rPr>
          <w:rFonts w:ascii="Times New Roman" w:hAnsi="Times New Roman" w:cs="Times New Roman"/>
          <w:noProof/>
          <w:sz w:val="22"/>
          <w:szCs w:val="22"/>
          <w:lang w:val="en-US"/>
        </w:rPr>
        <w:t>Gotelli, N. J. 2000. Null model analysis of species co-occurrence patterns. Ecology, 81(9), 2606–2621.</w:t>
      </w:r>
    </w:p>
    <w:p w14:paraId="386F7C99" w14:textId="7DB2317E" w:rsidR="00377AC2" w:rsidRPr="00CE3F52" w:rsidRDefault="00377AC2" w:rsidP="00377AC2">
      <w:pPr>
        <w:widowControl w:val="0"/>
        <w:autoSpaceDE w:val="0"/>
        <w:autoSpaceDN w:val="0"/>
        <w:adjustRightInd w:val="0"/>
        <w:spacing w:line="360" w:lineRule="auto"/>
        <w:ind w:left="480" w:hanging="480"/>
        <w:rPr>
          <w:rFonts w:ascii="Times New Roman" w:hAnsi="Times New Roman" w:cs="Times New Roman"/>
          <w:noProof/>
          <w:sz w:val="22"/>
          <w:szCs w:val="22"/>
          <w:lang w:val="en-US"/>
        </w:rPr>
      </w:pPr>
      <w:r w:rsidRPr="00CE3F52">
        <w:rPr>
          <w:rFonts w:ascii="Times New Roman" w:hAnsi="Times New Roman" w:cs="Times New Roman"/>
          <w:noProof/>
          <w:sz w:val="22"/>
          <w:szCs w:val="22"/>
          <w:lang w:val="en-US"/>
        </w:rPr>
        <w:t>Gotelli, N. J., &amp; Graves, R. G. 1996. Null models in ecology.Smithsonian: p. 368.</w:t>
      </w:r>
    </w:p>
    <w:p w14:paraId="166B75CA" w14:textId="7DA39FDE" w:rsidR="000A3DB2" w:rsidRPr="00CE3F52" w:rsidRDefault="000A3DB2" w:rsidP="000A3DB2">
      <w:pPr>
        <w:spacing w:line="480" w:lineRule="auto"/>
        <w:rPr>
          <w:rFonts w:ascii="Times New Roman" w:hAnsi="Times New Roman" w:cs="Times New Roman"/>
          <w:sz w:val="22"/>
          <w:szCs w:val="22"/>
        </w:rPr>
      </w:pPr>
      <w:r w:rsidRPr="00CE3F52">
        <w:rPr>
          <w:rFonts w:ascii="Times New Roman" w:hAnsi="Times New Roman" w:cs="Times New Roman"/>
          <w:sz w:val="22"/>
          <w:szCs w:val="22"/>
          <w:lang w:val="en-US"/>
        </w:rPr>
        <w:t xml:space="preserve">stream fish assemblages across a habitat gradient. </w:t>
      </w:r>
      <w:r w:rsidRPr="00CE3F52">
        <w:rPr>
          <w:rFonts w:ascii="Times New Roman" w:hAnsi="Times New Roman" w:cs="Times New Roman"/>
          <w:sz w:val="22"/>
          <w:szCs w:val="22"/>
        </w:rPr>
        <w:t xml:space="preserve">Neotropical </w:t>
      </w:r>
      <w:proofErr w:type="spellStart"/>
      <w:r w:rsidRPr="00CE3F52">
        <w:rPr>
          <w:rFonts w:ascii="Times New Roman" w:hAnsi="Times New Roman" w:cs="Times New Roman"/>
          <w:sz w:val="22"/>
          <w:szCs w:val="22"/>
        </w:rPr>
        <w:t>Ichthyology</w:t>
      </w:r>
      <w:proofErr w:type="spellEnd"/>
      <w:r w:rsidRPr="00CE3F52">
        <w:rPr>
          <w:rFonts w:ascii="Times New Roman" w:hAnsi="Times New Roman" w:cs="Times New Roman"/>
          <w:sz w:val="22"/>
          <w:szCs w:val="22"/>
        </w:rPr>
        <w:t>, 14(1), 1–10. DOI: 10.1590/1982-0224-20140185</w:t>
      </w:r>
    </w:p>
    <w:p w14:paraId="215640E8" w14:textId="77777777" w:rsidR="000A3DB2" w:rsidRPr="0096737C" w:rsidRDefault="00271154" w:rsidP="000A3DB2">
      <w:pPr>
        <w:widowControl w:val="0"/>
        <w:autoSpaceDE w:val="0"/>
        <w:autoSpaceDN w:val="0"/>
        <w:adjustRightInd w:val="0"/>
        <w:spacing w:line="360" w:lineRule="auto"/>
        <w:ind w:left="480" w:hanging="480"/>
        <w:rPr>
          <w:rFonts w:ascii="Times New Roman" w:hAnsi="Times New Roman" w:cs="Times New Roman"/>
          <w:noProof/>
          <w:sz w:val="22"/>
          <w:szCs w:val="22"/>
          <w:lang w:val="en-US"/>
        </w:rPr>
      </w:pPr>
      <w:r w:rsidRPr="00CE3F52">
        <w:rPr>
          <w:rFonts w:ascii="Times New Roman" w:hAnsi="Times New Roman" w:cs="Times New Roman"/>
          <w:noProof/>
          <w:sz w:val="22"/>
          <w:szCs w:val="22"/>
        </w:rPr>
        <w:t xml:space="preserve">Roa-Fuentes, C. A., Casatti, L., &amp; Romero, R. M. 2015. </w:t>
      </w:r>
      <w:r w:rsidRPr="00CE3F52">
        <w:rPr>
          <w:rFonts w:ascii="Times New Roman" w:hAnsi="Times New Roman" w:cs="Times New Roman"/>
          <w:noProof/>
          <w:sz w:val="22"/>
          <w:szCs w:val="22"/>
          <w:lang w:val="en-US"/>
        </w:rPr>
        <w:t xml:space="preserve">Phylogenetic signal and major ecological shifts in the ecomorphological structure of stream fish in two river basins in Brazil. Neotropical Ichthyology, 13(1), 165–178. </w:t>
      </w:r>
      <w:r w:rsidRPr="0096737C">
        <w:rPr>
          <w:rFonts w:ascii="Times New Roman" w:hAnsi="Times New Roman" w:cs="Times New Roman"/>
          <w:noProof/>
          <w:sz w:val="22"/>
          <w:szCs w:val="22"/>
          <w:lang w:val="en-US"/>
        </w:rPr>
        <w:t>DOI: 10.1590/1982-0224-20140045</w:t>
      </w:r>
    </w:p>
    <w:p w14:paraId="35DDAE05" w14:textId="5139614A" w:rsidR="000A3DB2" w:rsidRPr="00CE3F52" w:rsidRDefault="000A3DB2" w:rsidP="000A3DB2">
      <w:pPr>
        <w:widowControl w:val="0"/>
        <w:autoSpaceDE w:val="0"/>
        <w:autoSpaceDN w:val="0"/>
        <w:adjustRightInd w:val="0"/>
        <w:spacing w:line="360" w:lineRule="auto"/>
        <w:ind w:left="480" w:hanging="480"/>
        <w:rPr>
          <w:rFonts w:ascii="Times New Roman" w:hAnsi="Times New Roman" w:cs="Times New Roman"/>
          <w:noProof/>
          <w:sz w:val="22"/>
          <w:szCs w:val="22"/>
          <w:lang w:val="en-US"/>
        </w:rPr>
      </w:pPr>
      <w:r w:rsidRPr="0096737C">
        <w:rPr>
          <w:rFonts w:ascii="Times New Roman" w:hAnsi="Times New Roman" w:cs="Times New Roman"/>
          <w:sz w:val="22"/>
          <w:szCs w:val="22"/>
          <w:lang w:val="en-US"/>
        </w:rPr>
        <w:t xml:space="preserve">Santos, L. L., </w:t>
      </w:r>
      <w:proofErr w:type="spellStart"/>
      <w:r w:rsidRPr="0096737C">
        <w:rPr>
          <w:rFonts w:ascii="Times New Roman" w:hAnsi="Times New Roman" w:cs="Times New Roman"/>
          <w:sz w:val="22"/>
          <w:szCs w:val="22"/>
          <w:lang w:val="en-US"/>
        </w:rPr>
        <w:t>Benone</w:t>
      </w:r>
      <w:proofErr w:type="spellEnd"/>
      <w:r w:rsidRPr="0096737C">
        <w:rPr>
          <w:rFonts w:ascii="Times New Roman" w:hAnsi="Times New Roman" w:cs="Times New Roman"/>
          <w:sz w:val="22"/>
          <w:szCs w:val="22"/>
          <w:lang w:val="en-US"/>
        </w:rPr>
        <w:t xml:space="preserve">, N. L., Soares, B. E., </w:t>
      </w:r>
      <w:proofErr w:type="spellStart"/>
      <w:r w:rsidRPr="0096737C">
        <w:rPr>
          <w:rFonts w:ascii="Times New Roman" w:hAnsi="Times New Roman" w:cs="Times New Roman"/>
          <w:sz w:val="22"/>
          <w:szCs w:val="22"/>
          <w:lang w:val="en-US"/>
        </w:rPr>
        <w:t>Barthem</w:t>
      </w:r>
      <w:proofErr w:type="spellEnd"/>
      <w:r w:rsidRPr="0096737C">
        <w:rPr>
          <w:rFonts w:ascii="Times New Roman" w:hAnsi="Times New Roman" w:cs="Times New Roman"/>
          <w:sz w:val="22"/>
          <w:szCs w:val="22"/>
          <w:lang w:val="en-US"/>
        </w:rPr>
        <w:t xml:space="preserve">, R. B., &amp; Montag, L. F. A. 2019. </w:t>
      </w:r>
      <w:r w:rsidRPr="00CE3F52">
        <w:rPr>
          <w:rFonts w:ascii="Times New Roman" w:hAnsi="Times New Roman" w:cs="Times New Roman"/>
          <w:sz w:val="22"/>
          <w:szCs w:val="22"/>
          <w:lang w:val="en-US"/>
        </w:rPr>
        <w:t>Trait–environment relationships in Amazon stream fish assemblages. Ecology of Freshwater Fish, 28(3), 424–433. DOI: 10.1111/eff.12465</w:t>
      </w:r>
    </w:p>
    <w:p w14:paraId="63FE9A2C" w14:textId="77777777" w:rsidR="00A274C4" w:rsidRPr="00CE3F52" w:rsidRDefault="00EA6B1C" w:rsidP="00A274C4">
      <w:pPr>
        <w:widowControl w:val="0"/>
        <w:autoSpaceDE w:val="0"/>
        <w:autoSpaceDN w:val="0"/>
        <w:adjustRightInd w:val="0"/>
        <w:spacing w:line="360" w:lineRule="auto"/>
        <w:ind w:left="480" w:hanging="480"/>
        <w:rPr>
          <w:rFonts w:ascii="Times New Roman" w:hAnsi="Times New Roman" w:cs="Times New Roman"/>
          <w:noProof/>
          <w:sz w:val="22"/>
          <w:szCs w:val="22"/>
          <w:lang w:val="en-US"/>
        </w:rPr>
      </w:pPr>
      <w:r w:rsidRPr="00CE3F52">
        <w:rPr>
          <w:rFonts w:ascii="Times New Roman" w:hAnsi="Times New Roman" w:cs="Times New Roman"/>
          <w:noProof/>
          <w:sz w:val="22"/>
          <w:szCs w:val="22"/>
          <w:lang w:val="en-US"/>
        </w:rPr>
        <w:t>Swenson, N. G. 2014. Functional and phylogenetic ecology in R. New York: Springer: p. 212.</w:t>
      </w:r>
    </w:p>
    <w:p w14:paraId="6960BC70" w14:textId="087D68F0" w:rsidR="00A274C4" w:rsidRPr="00CE3F52" w:rsidRDefault="000A3DB2" w:rsidP="0029440D">
      <w:pPr>
        <w:widowControl w:val="0"/>
        <w:autoSpaceDE w:val="0"/>
        <w:autoSpaceDN w:val="0"/>
        <w:adjustRightInd w:val="0"/>
        <w:spacing w:line="360" w:lineRule="auto"/>
        <w:ind w:left="480" w:hanging="480"/>
        <w:rPr>
          <w:rFonts w:ascii="Times New Roman" w:hAnsi="Times New Roman" w:cs="Times New Roman"/>
          <w:noProof/>
          <w:sz w:val="22"/>
          <w:szCs w:val="22"/>
          <w:lang w:val="en-US"/>
        </w:rPr>
      </w:pPr>
      <w:r w:rsidRPr="00CE3F52">
        <w:rPr>
          <w:rFonts w:ascii="Times New Roman" w:hAnsi="Times New Roman" w:cs="Times New Roman"/>
          <w:sz w:val="22"/>
          <w:szCs w:val="22"/>
        </w:rPr>
        <w:t>Zeni</w:t>
      </w:r>
      <w:r w:rsidR="00A274C4" w:rsidRPr="00CE3F52">
        <w:rPr>
          <w:rFonts w:ascii="Times New Roman" w:hAnsi="Times New Roman" w:cs="Times New Roman"/>
          <w:sz w:val="22"/>
          <w:szCs w:val="22"/>
        </w:rPr>
        <w:t>, J. O.</w:t>
      </w:r>
      <w:r w:rsidR="00CE3F52" w:rsidRPr="00CE3F52">
        <w:rPr>
          <w:rFonts w:ascii="Times New Roman" w:hAnsi="Times New Roman" w:cs="Times New Roman"/>
          <w:sz w:val="22"/>
          <w:szCs w:val="22"/>
        </w:rPr>
        <w:t xml:space="preserve">, Pérez-Mayorga, M. A., Roa-Fuentes, C. A., Brejão, G. L. &amp; </w:t>
      </w:r>
      <w:proofErr w:type="spellStart"/>
      <w:r w:rsidR="00CE3F52" w:rsidRPr="00CE3F52">
        <w:rPr>
          <w:rFonts w:ascii="Times New Roman" w:hAnsi="Times New Roman" w:cs="Times New Roman"/>
          <w:sz w:val="22"/>
          <w:szCs w:val="22"/>
        </w:rPr>
        <w:t>Casatti</w:t>
      </w:r>
      <w:proofErr w:type="spellEnd"/>
      <w:r w:rsidR="00CE3F52" w:rsidRPr="00CE3F52">
        <w:rPr>
          <w:rFonts w:ascii="Times New Roman" w:hAnsi="Times New Roman" w:cs="Times New Roman"/>
          <w:sz w:val="22"/>
          <w:szCs w:val="22"/>
        </w:rPr>
        <w:t>, L.</w:t>
      </w:r>
      <w:r w:rsidR="00A274C4" w:rsidRPr="00CE3F52">
        <w:rPr>
          <w:rFonts w:ascii="Times New Roman" w:hAnsi="Times New Roman" w:cs="Times New Roman"/>
          <w:sz w:val="22"/>
          <w:szCs w:val="22"/>
        </w:rPr>
        <w:t xml:space="preserve"> </w:t>
      </w:r>
      <w:r w:rsidRPr="00CE3F52">
        <w:rPr>
          <w:rFonts w:ascii="Times New Roman" w:hAnsi="Times New Roman" w:cs="Times New Roman"/>
          <w:sz w:val="22"/>
          <w:szCs w:val="22"/>
        </w:rPr>
        <w:t>2019</w:t>
      </w:r>
      <w:r w:rsidR="00A274C4" w:rsidRPr="00CE3F52">
        <w:rPr>
          <w:rFonts w:ascii="Times New Roman" w:hAnsi="Times New Roman" w:cs="Times New Roman"/>
          <w:sz w:val="22"/>
          <w:szCs w:val="22"/>
        </w:rPr>
        <w:t xml:space="preserve">. </w:t>
      </w:r>
      <w:r w:rsidR="00C53A05" w:rsidRPr="00CE3F52">
        <w:rPr>
          <w:rFonts w:ascii="Times New Roman" w:hAnsi="Times New Roman" w:cs="Times New Roman"/>
          <w:sz w:val="22"/>
          <w:szCs w:val="22"/>
          <w:lang w:val="en-US"/>
        </w:rPr>
        <w:t>How deforestation drives stream habitat changes and the functional structure of fish assemblages in different tropical regions</w:t>
      </w:r>
      <w:r w:rsidR="00A274C4" w:rsidRPr="00CE3F52">
        <w:rPr>
          <w:rFonts w:ascii="Times New Roman" w:hAnsi="Times New Roman" w:cs="Times New Roman"/>
          <w:sz w:val="22"/>
          <w:szCs w:val="22"/>
          <w:lang w:val="en-US"/>
        </w:rPr>
        <w:t xml:space="preserve">. Aquatic Conservation: Marine and Freshwater Ecosystems. </w:t>
      </w:r>
      <w:r w:rsidR="00CE3F52" w:rsidRPr="00CE3F52">
        <w:rPr>
          <w:rFonts w:ascii="Times New Roman" w:hAnsi="Times New Roman" w:cs="Times New Roman"/>
          <w:sz w:val="22"/>
          <w:szCs w:val="22"/>
          <w:lang w:val="en-US"/>
        </w:rPr>
        <w:t>29(8): 1238-1252. DOI:</w:t>
      </w:r>
      <w:r w:rsidR="00CE3F52" w:rsidRPr="00CE3F52">
        <w:rPr>
          <w:rFonts w:ascii="Times New Roman" w:hAnsi="Times New Roman" w:cs="Times New Roman"/>
          <w:sz w:val="22"/>
          <w:szCs w:val="22"/>
        </w:rPr>
        <w:t xml:space="preserve">10.1002/aqc.3128 </w:t>
      </w:r>
    </w:p>
    <w:p w14:paraId="303D31D7" w14:textId="77777777" w:rsidR="002E44F9" w:rsidRPr="00CE3F52" w:rsidRDefault="002E44F9">
      <w:pPr>
        <w:rPr>
          <w:rFonts w:ascii="Times New Roman" w:hAnsi="Times New Roman" w:cs="Times New Roman"/>
          <w:sz w:val="22"/>
          <w:szCs w:val="22"/>
          <w:lang w:val="en-US"/>
        </w:rPr>
      </w:pPr>
    </w:p>
    <w:sectPr w:rsidR="002E44F9" w:rsidRPr="00CE3F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742849"/>
    <w:multiLevelType w:val="hybridMultilevel"/>
    <w:tmpl w:val="85E085FA"/>
    <w:lvl w:ilvl="0" w:tplc="85D6045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6C0"/>
    <w:rsid w:val="000A3DB2"/>
    <w:rsid w:val="00271154"/>
    <w:rsid w:val="0028217C"/>
    <w:rsid w:val="00290341"/>
    <w:rsid w:val="0029440D"/>
    <w:rsid w:val="002E44F9"/>
    <w:rsid w:val="003650BA"/>
    <w:rsid w:val="00366619"/>
    <w:rsid w:val="00377AC2"/>
    <w:rsid w:val="003F3AEA"/>
    <w:rsid w:val="004B71D1"/>
    <w:rsid w:val="00622232"/>
    <w:rsid w:val="00764CAD"/>
    <w:rsid w:val="007C50E5"/>
    <w:rsid w:val="008A4C48"/>
    <w:rsid w:val="00920592"/>
    <w:rsid w:val="009526C0"/>
    <w:rsid w:val="0096737C"/>
    <w:rsid w:val="00981651"/>
    <w:rsid w:val="00A274C4"/>
    <w:rsid w:val="00B83443"/>
    <w:rsid w:val="00C53A05"/>
    <w:rsid w:val="00C96358"/>
    <w:rsid w:val="00CE3F52"/>
    <w:rsid w:val="00D876BA"/>
    <w:rsid w:val="00EA6B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2A723"/>
  <w15:chartTrackingRefBased/>
  <w15:docId w15:val="{7946347F-3FFA-4A2E-BB9C-105E3B919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6C0"/>
    <w:pPr>
      <w:spacing w:after="0" w:line="240" w:lineRule="auto"/>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526C0"/>
    <w:rPr>
      <w:rFonts w:ascii="Segoe UI" w:hAnsi="Segoe UI" w:cs="Segoe UI"/>
      <w:sz w:val="18"/>
      <w:szCs w:val="18"/>
    </w:rPr>
  </w:style>
  <w:style w:type="character" w:customStyle="1" w:styleId="TextodebaloChar">
    <w:name w:val="Texto de balão Char"/>
    <w:basedOn w:val="Fontepargpadro"/>
    <w:link w:val="Textodebalo"/>
    <w:uiPriority w:val="99"/>
    <w:semiHidden/>
    <w:rsid w:val="009526C0"/>
    <w:rPr>
      <w:rFonts w:ascii="Segoe UI" w:hAnsi="Segoe UI" w:cs="Segoe UI"/>
      <w:sz w:val="18"/>
      <w:szCs w:val="18"/>
      <w:lang w:val="en-US"/>
    </w:rPr>
  </w:style>
  <w:style w:type="character" w:styleId="Refdecomentrio">
    <w:name w:val="annotation reference"/>
    <w:basedOn w:val="Fontepargpadro"/>
    <w:uiPriority w:val="99"/>
    <w:semiHidden/>
    <w:unhideWhenUsed/>
    <w:rsid w:val="009526C0"/>
    <w:rPr>
      <w:sz w:val="16"/>
      <w:szCs w:val="16"/>
    </w:rPr>
  </w:style>
  <w:style w:type="paragraph" w:styleId="Textodecomentrio">
    <w:name w:val="annotation text"/>
    <w:basedOn w:val="Normal"/>
    <w:link w:val="TextodecomentrioChar"/>
    <w:uiPriority w:val="99"/>
    <w:semiHidden/>
    <w:unhideWhenUsed/>
    <w:rsid w:val="009526C0"/>
    <w:rPr>
      <w:sz w:val="20"/>
      <w:szCs w:val="20"/>
    </w:rPr>
  </w:style>
  <w:style w:type="character" w:customStyle="1" w:styleId="TextodecomentrioChar">
    <w:name w:val="Texto de comentário Char"/>
    <w:basedOn w:val="Fontepargpadro"/>
    <w:link w:val="Textodecomentrio"/>
    <w:uiPriority w:val="99"/>
    <w:semiHidden/>
    <w:rsid w:val="009526C0"/>
    <w:rPr>
      <w:sz w:val="20"/>
      <w:szCs w:val="20"/>
    </w:rPr>
  </w:style>
  <w:style w:type="paragraph" w:styleId="PargrafodaLista">
    <w:name w:val="List Paragraph"/>
    <w:basedOn w:val="Normal"/>
    <w:uiPriority w:val="34"/>
    <w:qFormat/>
    <w:rsid w:val="009526C0"/>
    <w:pPr>
      <w:ind w:left="720"/>
      <w:contextualSpacing/>
    </w:pPr>
  </w:style>
  <w:style w:type="paragraph" w:styleId="Legenda">
    <w:name w:val="caption"/>
    <w:basedOn w:val="Normal"/>
    <w:next w:val="Normal"/>
    <w:uiPriority w:val="35"/>
    <w:unhideWhenUsed/>
    <w:qFormat/>
    <w:rsid w:val="009526C0"/>
    <w:pPr>
      <w:spacing w:after="200"/>
    </w:pPr>
    <w:rPr>
      <w:i/>
      <w:iCs/>
      <w:color w:val="44546A" w:themeColor="text2"/>
      <w:sz w:val="18"/>
      <w:szCs w:val="18"/>
      <w:lang w:val="en-US"/>
    </w:rPr>
  </w:style>
  <w:style w:type="paragraph" w:styleId="NormalWeb">
    <w:name w:val="Normal (Web)"/>
    <w:basedOn w:val="Normal"/>
    <w:uiPriority w:val="99"/>
    <w:semiHidden/>
    <w:unhideWhenUsed/>
    <w:rsid w:val="00C53A05"/>
    <w:pPr>
      <w:spacing w:before="100" w:beforeAutospacing="1" w:after="100" w:afterAutospacing="1"/>
    </w:pPr>
    <w:rPr>
      <w:rFonts w:ascii="Times New Roman" w:eastAsia="Times New Roman" w:hAnsi="Times New Roman" w:cs="Times New Roman"/>
      <w:lang w:eastAsia="pt-BR"/>
    </w:rPr>
  </w:style>
  <w:style w:type="paragraph" w:styleId="Assuntodocomentrio">
    <w:name w:val="annotation subject"/>
    <w:basedOn w:val="Textodecomentrio"/>
    <w:next w:val="Textodecomentrio"/>
    <w:link w:val="AssuntodocomentrioChar"/>
    <w:uiPriority w:val="99"/>
    <w:semiHidden/>
    <w:unhideWhenUsed/>
    <w:rsid w:val="0028217C"/>
    <w:rPr>
      <w:b/>
      <w:bCs/>
    </w:rPr>
  </w:style>
  <w:style w:type="character" w:customStyle="1" w:styleId="AssuntodocomentrioChar">
    <w:name w:val="Assunto do comentário Char"/>
    <w:basedOn w:val="TextodecomentrioChar"/>
    <w:link w:val="Assuntodocomentrio"/>
    <w:uiPriority w:val="99"/>
    <w:semiHidden/>
    <w:rsid w:val="002821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2065266">
      <w:bodyDiv w:val="1"/>
      <w:marLeft w:val="0"/>
      <w:marRight w:val="0"/>
      <w:marTop w:val="0"/>
      <w:marBottom w:val="0"/>
      <w:divBdr>
        <w:top w:val="none" w:sz="0" w:space="0" w:color="auto"/>
        <w:left w:val="none" w:sz="0" w:space="0" w:color="auto"/>
        <w:bottom w:val="none" w:sz="0" w:space="0" w:color="auto"/>
        <w:right w:val="none" w:sz="0" w:space="0" w:color="auto"/>
      </w:divBdr>
      <w:divsChild>
        <w:div w:id="397939181">
          <w:marLeft w:val="0"/>
          <w:marRight w:val="0"/>
          <w:marTop w:val="0"/>
          <w:marBottom w:val="0"/>
          <w:divBdr>
            <w:top w:val="none" w:sz="0" w:space="0" w:color="auto"/>
            <w:left w:val="none" w:sz="0" w:space="0" w:color="auto"/>
            <w:bottom w:val="none" w:sz="0" w:space="0" w:color="auto"/>
            <w:right w:val="none" w:sz="0" w:space="0" w:color="auto"/>
          </w:divBdr>
          <w:divsChild>
            <w:div w:id="1641036544">
              <w:marLeft w:val="0"/>
              <w:marRight w:val="0"/>
              <w:marTop w:val="0"/>
              <w:marBottom w:val="0"/>
              <w:divBdr>
                <w:top w:val="none" w:sz="0" w:space="0" w:color="auto"/>
                <w:left w:val="none" w:sz="0" w:space="0" w:color="auto"/>
                <w:bottom w:val="none" w:sz="0" w:space="0" w:color="auto"/>
                <w:right w:val="none" w:sz="0" w:space="0" w:color="auto"/>
              </w:divBdr>
              <w:divsChild>
                <w:div w:id="21313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967146">
      <w:bodyDiv w:val="1"/>
      <w:marLeft w:val="0"/>
      <w:marRight w:val="0"/>
      <w:marTop w:val="0"/>
      <w:marBottom w:val="0"/>
      <w:divBdr>
        <w:top w:val="none" w:sz="0" w:space="0" w:color="auto"/>
        <w:left w:val="none" w:sz="0" w:space="0" w:color="auto"/>
        <w:bottom w:val="none" w:sz="0" w:space="0" w:color="auto"/>
        <w:right w:val="none" w:sz="0" w:space="0" w:color="auto"/>
      </w:divBdr>
      <w:divsChild>
        <w:div w:id="704407348">
          <w:marLeft w:val="0"/>
          <w:marRight w:val="0"/>
          <w:marTop w:val="0"/>
          <w:marBottom w:val="0"/>
          <w:divBdr>
            <w:top w:val="none" w:sz="0" w:space="0" w:color="auto"/>
            <w:left w:val="none" w:sz="0" w:space="0" w:color="auto"/>
            <w:bottom w:val="none" w:sz="0" w:space="0" w:color="auto"/>
            <w:right w:val="none" w:sz="0" w:space="0" w:color="auto"/>
          </w:divBdr>
          <w:divsChild>
            <w:div w:id="1584217640">
              <w:marLeft w:val="0"/>
              <w:marRight w:val="0"/>
              <w:marTop w:val="0"/>
              <w:marBottom w:val="0"/>
              <w:divBdr>
                <w:top w:val="none" w:sz="0" w:space="0" w:color="auto"/>
                <w:left w:val="none" w:sz="0" w:space="0" w:color="auto"/>
                <w:bottom w:val="none" w:sz="0" w:space="0" w:color="auto"/>
                <w:right w:val="none" w:sz="0" w:space="0" w:color="auto"/>
              </w:divBdr>
              <w:divsChild>
                <w:div w:id="3634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185297">
      <w:bodyDiv w:val="1"/>
      <w:marLeft w:val="0"/>
      <w:marRight w:val="0"/>
      <w:marTop w:val="0"/>
      <w:marBottom w:val="0"/>
      <w:divBdr>
        <w:top w:val="none" w:sz="0" w:space="0" w:color="auto"/>
        <w:left w:val="none" w:sz="0" w:space="0" w:color="auto"/>
        <w:bottom w:val="none" w:sz="0" w:space="0" w:color="auto"/>
        <w:right w:val="none" w:sz="0" w:space="0" w:color="auto"/>
      </w:divBdr>
      <w:divsChild>
        <w:div w:id="635380167">
          <w:marLeft w:val="0"/>
          <w:marRight w:val="0"/>
          <w:marTop w:val="0"/>
          <w:marBottom w:val="0"/>
          <w:divBdr>
            <w:top w:val="none" w:sz="0" w:space="0" w:color="auto"/>
            <w:left w:val="none" w:sz="0" w:space="0" w:color="auto"/>
            <w:bottom w:val="none" w:sz="0" w:space="0" w:color="auto"/>
            <w:right w:val="none" w:sz="0" w:space="0" w:color="auto"/>
          </w:divBdr>
          <w:divsChild>
            <w:div w:id="1206716654">
              <w:marLeft w:val="0"/>
              <w:marRight w:val="0"/>
              <w:marTop w:val="0"/>
              <w:marBottom w:val="0"/>
              <w:divBdr>
                <w:top w:val="none" w:sz="0" w:space="0" w:color="auto"/>
                <w:left w:val="none" w:sz="0" w:space="0" w:color="auto"/>
                <w:bottom w:val="none" w:sz="0" w:space="0" w:color="auto"/>
                <w:right w:val="none" w:sz="0" w:space="0" w:color="auto"/>
              </w:divBdr>
              <w:divsChild>
                <w:div w:id="81206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3792</Words>
  <Characters>20481</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filho</dc:creator>
  <cp:keywords/>
  <dc:description/>
  <cp:lastModifiedBy>Rafael Leitao</cp:lastModifiedBy>
  <cp:revision>5</cp:revision>
  <dcterms:created xsi:type="dcterms:W3CDTF">2021-02-09T18:01:00Z</dcterms:created>
  <dcterms:modified xsi:type="dcterms:W3CDTF">2021-02-16T00:07:00Z</dcterms:modified>
</cp:coreProperties>
</file>