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3A22" w14:textId="77777777" w:rsidR="00905A4A" w:rsidRDefault="00905A4A" w:rsidP="00905A4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bookmarkStart w:id="0" w:name="_Ref105060205"/>
      <w:r w:rsidRPr="00905A4A">
        <w:rPr>
          <w:i/>
          <w:iCs/>
          <w:color w:val="000000"/>
          <w:lang w:val="pt-BR"/>
        </w:rPr>
        <w:t xml:space="preserve">Seleção de abrigos por </w:t>
      </w:r>
      <w:proofErr w:type="spellStart"/>
      <w:r w:rsidRPr="00905A4A">
        <w:rPr>
          <w:i/>
          <w:iCs/>
          <w:color w:val="000000"/>
          <w:u w:val="single"/>
          <w:lang w:val="pt-BR"/>
        </w:rPr>
        <w:t>Caluromys</w:t>
      </w:r>
      <w:proofErr w:type="spellEnd"/>
      <w:r w:rsidRPr="00905A4A">
        <w:rPr>
          <w:i/>
          <w:iCs/>
          <w:color w:val="000000"/>
          <w:u w:val="single"/>
          <w:lang w:val="pt-BR"/>
        </w:rPr>
        <w:t xml:space="preserve"> </w:t>
      </w:r>
      <w:proofErr w:type="spellStart"/>
      <w:r w:rsidRPr="00905A4A">
        <w:rPr>
          <w:i/>
          <w:iCs/>
          <w:color w:val="000000"/>
          <w:u w:val="single"/>
          <w:lang w:val="pt-BR"/>
        </w:rPr>
        <w:t>philander</w:t>
      </w:r>
      <w:proofErr w:type="spellEnd"/>
    </w:p>
    <w:p w14:paraId="77FDD4AF" w14:textId="77777777" w:rsidR="00905A4A" w:rsidRDefault="00905A4A" w:rsidP="00905A4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5FD52F77" w14:textId="77777777" w:rsidR="00905A4A" w:rsidRPr="007326DA" w:rsidRDefault="00905A4A" w:rsidP="00905A4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7326D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SELEÇÃO DE LOCAIS DE ABRIGO POR </w:t>
      </w:r>
      <w:proofErr w:type="spellStart"/>
      <w:r w:rsidRPr="007326DA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Caluromys</w:t>
      </w:r>
      <w:proofErr w:type="spellEnd"/>
      <w:r w:rsidRPr="007326DA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 xml:space="preserve"> </w:t>
      </w:r>
      <w:proofErr w:type="spellStart"/>
      <w:r w:rsidRPr="007326DA">
        <w:rPr>
          <w:rFonts w:ascii="Times New Roman" w:hAnsi="Times New Roman" w:cs="Times New Roman"/>
          <w:b/>
          <w:bCs/>
          <w:i/>
          <w:iCs/>
          <w:sz w:val="26"/>
          <w:szCs w:val="26"/>
          <w:lang w:val="pt-BR"/>
        </w:rPr>
        <w:t>philander</w:t>
      </w:r>
      <w:proofErr w:type="spellEnd"/>
      <w:r w:rsidRPr="007326D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(DIDELPHIMORPHIA, DIDELPHIDAE), 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UTILIZANDO</w:t>
      </w:r>
      <w:r w:rsidRPr="007326DA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NINHOS ARTIFICIAIS</w:t>
      </w: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, EM ÁREA DE MATA ATLÂNTICA, GUAPIMIRIM, RJ, BRASIL</w:t>
      </w:r>
    </w:p>
    <w:p w14:paraId="108AC5AB" w14:textId="77777777" w:rsidR="00905A4A" w:rsidRPr="00534EF8" w:rsidRDefault="00905A4A" w:rsidP="00905A4A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871375" w14:textId="77777777" w:rsidR="002B1D6E" w:rsidRPr="003E32EA" w:rsidRDefault="002B1D6E" w:rsidP="002B1D6E">
      <w:pPr>
        <w:pStyle w:val="NormalWeb"/>
        <w:spacing w:before="0" w:beforeAutospacing="0" w:after="0" w:afterAutospacing="0" w:line="480" w:lineRule="auto"/>
        <w:jc w:val="center"/>
        <w:rPr>
          <w:color w:val="000000"/>
          <w:vertAlign w:val="superscript"/>
        </w:rPr>
      </w:pPr>
      <w:r w:rsidRPr="003E32EA">
        <w:rPr>
          <w:color w:val="000000" w:themeColor="text1"/>
        </w:rPr>
        <w:t>Priscilla Cobra</w:t>
      </w:r>
      <w:r w:rsidRPr="003E32EA">
        <w:rPr>
          <w:vertAlign w:val="superscript"/>
        </w:rPr>
        <w:t>1,2*</w:t>
      </w:r>
      <w:r w:rsidRPr="003E32EA">
        <w:rPr>
          <w:color w:val="000000" w:themeColor="text1"/>
        </w:rPr>
        <w:t>, Diogo Loretto</w:t>
      </w:r>
      <w:r>
        <w:rPr>
          <w:vertAlign w:val="superscript"/>
        </w:rPr>
        <w:t>2</w:t>
      </w:r>
      <w:r w:rsidRPr="003E32EA">
        <w:rPr>
          <w:color w:val="000000" w:themeColor="text1"/>
        </w:rPr>
        <w:t>, Marcos S. L. Figueiredo</w:t>
      </w:r>
      <w:r>
        <w:rPr>
          <w:vertAlign w:val="superscript"/>
        </w:rPr>
        <w:t>3</w:t>
      </w:r>
      <w:r w:rsidRPr="003E32EA">
        <w:rPr>
          <w:vertAlign w:val="superscript"/>
        </w:rPr>
        <w:t xml:space="preserve">, </w:t>
      </w:r>
      <w:r w:rsidRPr="003E32EA">
        <w:rPr>
          <w:color w:val="000000" w:themeColor="text1"/>
        </w:rPr>
        <w:t>Bernardo Papi</w:t>
      </w:r>
      <w:r w:rsidRPr="003E32EA">
        <w:rPr>
          <w:vertAlign w:val="superscript"/>
        </w:rPr>
        <w:t>1,</w:t>
      </w:r>
      <w:r>
        <w:rPr>
          <w:vertAlign w:val="superscript"/>
        </w:rPr>
        <w:t>4</w:t>
      </w:r>
      <w:r w:rsidRPr="003E32EA">
        <w:rPr>
          <w:color w:val="000000" w:themeColor="text1"/>
        </w:rPr>
        <w:t>,</w:t>
      </w:r>
      <w:r w:rsidRPr="003E32EA">
        <w:rPr>
          <w:vertAlign w:val="superscript"/>
        </w:rPr>
        <w:t xml:space="preserve"> </w:t>
      </w:r>
      <w:r w:rsidRPr="003E32EA">
        <w:rPr>
          <w:color w:val="000000" w:themeColor="text1"/>
        </w:rPr>
        <w:t>Matheus Fernandes Dalloz</w:t>
      </w:r>
      <w:r>
        <w:rPr>
          <w:vertAlign w:val="superscript"/>
        </w:rPr>
        <w:t>5</w:t>
      </w:r>
      <w:r w:rsidRPr="003E32EA">
        <w:rPr>
          <w:color w:val="000000" w:themeColor="text1"/>
        </w:rPr>
        <w:t xml:space="preserve">, </w:t>
      </w:r>
      <w:proofErr w:type="spellStart"/>
      <w:r w:rsidRPr="003E32EA">
        <w:rPr>
          <w:color w:val="000000" w:themeColor="text1"/>
        </w:rPr>
        <w:t>Nadjha</w:t>
      </w:r>
      <w:proofErr w:type="spellEnd"/>
      <w:r w:rsidRPr="003E32EA">
        <w:rPr>
          <w:color w:val="000000" w:themeColor="text1"/>
        </w:rPr>
        <w:t xml:space="preserve"> Rezende</w:t>
      </w:r>
      <w:r>
        <w:rPr>
          <w:color w:val="000000" w:themeColor="text1"/>
          <w:vertAlign w:val="superscript"/>
        </w:rPr>
        <w:t>4</w:t>
      </w:r>
      <w:r w:rsidRPr="003E32EA">
        <w:rPr>
          <w:color w:val="000000" w:themeColor="text1"/>
        </w:rPr>
        <w:t xml:space="preserve"> &amp;</w:t>
      </w:r>
      <w:r w:rsidRPr="003E32EA">
        <w:rPr>
          <w:color w:val="000000" w:themeColor="text1"/>
          <w:vertAlign w:val="superscript"/>
        </w:rPr>
        <w:t xml:space="preserve"> </w:t>
      </w:r>
      <w:r w:rsidRPr="003E32EA">
        <w:rPr>
          <w:color w:val="000000" w:themeColor="text1"/>
        </w:rPr>
        <w:t>Marcus Vinícius Vieira</w:t>
      </w:r>
      <w:r w:rsidRPr="003E32EA">
        <w:rPr>
          <w:vertAlign w:val="superscript"/>
        </w:rPr>
        <w:t>2</w:t>
      </w:r>
    </w:p>
    <w:p w14:paraId="3B024F43" w14:textId="77777777" w:rsidR="002B1D6E" w:rsidRPr="00C26FBA" w:rsidRDefault="002B1D6E" w:rsidP="002B1D6E">
      <w:pPr>
        <w:pStyle w:val="Normal1"/>
        <w:spacing w:line="480" w:lineRule="auto"/>
        <w:rPr>
          <w:sz w:val="16"/>
          <w:szCs w:val="16"/>
        </w:rPr>
      </w:pPr>
      <w:r w:rsidRPr="00C26FBA">
        <w:rPr>
          <w:sz w:val="16"/>
          <w:szCs w:val="16"/>
        </w:rPr>
        <w:t>¹ Universidade do Estado do Rio de Janeiro, Programa de Pós-graduação em Meio Ambiente, Rua São Francisco Xavier, 524 - bloco F - sala 12.005, Maracanã, Rio de Janeiro-RJ, Brasil, CEP 20.550-900.</w:t>
      </w:r>
    </w:p>
    <w:p w14:paraId="62A79C6C" w14:textId="77777777" w:rsidR="002B1D6E" w:rsidRPr="00C26FBA" w:rsidRDefault="002B1D6E" w:rsidP="002B1D6E">
      <w:pPr>
        <w:pStyle w:val="Normal1"/>
        <w:spacing w:line="480" w:lineRule="auto"/>
        <w:rPr>
          <w:sz w:val="16"/>
          <w:szCs w:val="16"/>
        </w:rPr>
      </w:pPr>
      <w:r w:rsidRPr="00C26FBA">
        <w:rPr>
          <w:sz w:val="16"/>
          <w:szCs w:val="16"/>
        </w:rPr>
        <w:t>² Universidade Federal do Rio de Janeiro, Instituto de Biologia, Departamento de Ecologia, Laboratório de Vertebrados, CP 68020, Ilha do Fundão, Rio de Janeiro, RJ, Brasil, CEP: 21941-902.</w:t>
      </w:r>
    </w:p>
    <w:p w14:paraId="5328C854" w14:textId="77777777" w:rsidR="002B1D6E" w:rsidRDefault="002B1D6E" w:rsidP="002B1D6E">
      <w:pPr>
        <w:pStyle w:val="Normal1"/>
        <w:spacing w:line="48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3</w:t>
      </w:r>
      <w:r w:rsidRPr="0A242225">
        <w:rPr>
          <w:sz w:val="16"/>
          <w:szCs w:val="16"/>
        </w:rPr>
        <w:t xml:space="preserve"> Universidade Federal do Estado do Rio de Janeiro, Instituto de Biociências, Programa de Pós-Graduação em Biodiversidade Neotropical, Avenida Pasteur, 458, Prédio do IBIO/CCET Secretaria de Pós-Graduação, Sala 506-A, Urca, Rio de Janeiro, RJ, Brasil, CEP: 22.290-240.</w:t>
      </w:r>
    </w:p>
    <w:p w14:paraId="5E9A2A56" w14:textId="77777777" w:rsidR="002B1D6E" w:rsidRPr="00761CC4" w:rsidRDefault="002B1D6E" w:rsidP="002B1D6E">
      <w:pPr>
        <w:pStyle w:val="Normal1"/>
        <w:spacing w:line="48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 w:rsidRPr="00761CC4">
        <w:rPr>
          <w:sz w:val="16"/>
          <w:szCs w:val="16"/>
        </w:rPr>
        <w:t xml:space="preserve"> </w:t>
      </w:r>
      <w:proofErr w:type="spellStart"/>
      <w:r w:rsidRPr="00761CC4">
        <w:rPr>
          <w:sz w:val="16"/>
          <w:szCs w:val="16"/>
        </w:rPr>
        <w:t>Ecotrópica</w:t>
      </w:r>
      <w:proofErr w:type="spellEnd"/>
      <w:r w:rsidRPr="00761CC4">
        <w:rPr>
          <w:sz w:val="16"/>
          <w:szCs w:val="16"/>
        </w:rPr>
        <w:t xml:space="preserve"> Ambiental Ltda.-ME, Rua Prefeito João Felipe, 583/S-101, Santa Teresa, Rio de Janeiro, RJ, Brasil, CEP: 20251-140.</w:t>
      </w:r>
    </w:p>
    <w:p w14:paraId="5B570DB1" w14:textId="77777777" w:rsidR="002B1D6E" w:rsidRPr="00761CC4" w:rsidRDefault="002B1D6E" w:rsidP="002B1D6E">
      <w:pPr>
        <w:pStyle w:val="Normal1"/>
        <w:spacing w:line="48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 w:rsidRPr="00761CC4">
        <w:rPr>
          <w:sz w:val="16"/>
          <w:szCs w:val="16"/>
        </w:rPr>
        <w:t xml:space="preserve"> Instituto Brasileiro do Meio Ambiente e dos Recursos Naturais Renováveis – Ibama, Edifício Sede, SCEN Trecho 2, Brasília, DF, Brasil, CEP  70818-900.</w:t>
      </w:r>
    </w:p>
    <w:p w14:paraId="35B52115" w14:textId="77777777" w:rsidR="002B1D6E" w:rsidRDefault="002B1D6E" w:rsidP="002B1D6E">
      <w:pPr>
        <w:pStyle w:val="Normal1"/>
        <w:spacing w:line="480" w:lineRule="auto"/>
        <w:rPr>
          <w:sz w:val="16"/>
          <w:szCs w:val="16"/>
        </w:rPr>
      </w:pPr>
    </w:p>
    <w:p w14:paraId="00C2FE0C" w14:textId="77777777" w:rsidR="002B1D6E" w:rsidRDefault="002B1D6E" w:rsidP="002B1D6E">
      <w:pPr>
        <w:pStyle w:val="Normal1"/>
        <w:spacing w:line="480" w:lineRule="auto"/>
        <w:rPr>
          <w:sz w:val="16"/>
          <w:szCs w:val="16"/>
          <w:lang w:val="en-US"/>
        </w:rPr>
      </w:pPr>
      <w:r w:rsidRPr="003E32EA">
        <w:rPr>
          <w:sz w:val="16"/>
          <w:szCs w:val="16"/>
          <w:lang w:val="en-US"/>
        </w:rPr>
        <w:t xml:space="preserve">E-mails: </w:t>
      </w:r>
      <w:r w:rsidRPr="00E208D9">
        <w:rPr>
          <w:sz w:val="16"/>
          <w:szCs w:val="16"/>
          <w:lang w:val="en-US"/>
        </w:rPr>
        <w:t>priscillacobra@gmail.com</w:t>
      </w:r>
      <w:r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3E32EA">
        <w:rPr>
          <w:color w:val="000000"/>
          <w:sz w:val="16"/>
          <w:szCs w:val="16"/>
          <w:shd w:val="clear" w:color="auto" w:fill="FFFFFF"/>
          <w:lang w:val="en-US"/>
        </w:rPr>
        <w:t>(*corresponding author)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diogoloretto@gmail.com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berpapi@gmail.com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mfdalloz@gmail.com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mslfigueiredo@gmail.com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nadjharezende@ecotropica.eco.br</w:t>
      </w:r>
      <w:r w:rsidRPr="003E32EA">
        <w:rPr>
          <w:sz w:val="16"/>
          <w:szCs w:val="16"/>
          <w:lang w:val="en-US"/>
        </w:rPr>
        <w:t xml:space="preserve">; </w:t>
      </w:r>
      <w:r w:rsidRPr="00E208D9">
        <w:rPr>
          <w:sz w:val="16"/>
          <w:szCs w:val="16"/>
          <w:lang w:val="en-US"/>
        </w:rPr>
        <w:t>mvvieira@biologia.ufrj.br</w:t>
      </w:r>
    </w:p>
    <w:p w14:paraId="7C1069B6" w14:textId="77777777" w:rsidR="00905A4A" w:rsidRPr="002B1D6E" w:rsidRDefault="00905A4A">
      <w:pPr>
        <w:spacing w:after="160" w:line="259" w:lineRule="auto"/>
        <w:rPr>
          <w:rFonts w:ascii="Times New Roman" w:hAnsi="Times New Roman"/>
        </w:rPr>
      </w:pPr>
    </w:p>
    <w:p w14:paraId="7C6041B8" w14:textId="7FABC779" w:rsidR="00905A4A" w:rsidRPr="002B1D6E" w:rsidRDefault="00905A4A" w:rsidP="00905A4A">
      <w:pPr>
        <w:spacing w:after="160" w:line="259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2B1D6E">
        <w:rPr>
          <w:rFonts w:ascii="Times New Roman" w:hAnsi="Times New Roman" w:cs="Times New Roman"/>
          <w:b/>
          <w:bCs/>
          <w:lang w:val="pt-BR"/>
        </w:rPr>
        <w:t>Material Suplementar</w:t>
      </w:r>
    </w:p>
    <w:p w14:paraId="3CC7E622" w14:textId="77777777" w:rsidR="00905A4A" w:rsidRDefault="00905A4A">
      <w:pPr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val="pt-BR"/>
        </w:rPr>
      </w:pPr>
    </w:p>
    <w:p w14:paraId="4D44600A" w14:textId="77777777" w:rsidR="00905A4A" w:rsidRDefault="00905A4A">
      <w:pPr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  <w:lang w:val="pt-BR"/>
        </w:rPr>
      </w:pPr>
      <w:r w:rsidRPr="002B1D6E">
        <w:rPr>
          <w:rFonts w:ascii="Times New Roman" w:hAnsi="Times New Roman"/>
          <w:lang w:val="pt-BR"/>
        </w:rPr>
        <w:br w:type="page"/>
      </w:r>
    </w:p>
    <w:p w14:paraId="036AB751" w14:textId="3ED178E3" w:rsidR="00A86102" w:rsidRPr="000C6C8A" w:rsidRDefault="00A86102" w:rsidP="00A86102">
      <w:pPr>
        <w:pStyle w:val="Legenda"/>
        <w:keepNext/>
        <w:spacing w:after="0" w:line="240" w:lineRule="auto"/>
        <w:jc w:val="both"/>
        <w:rPr>
          <w:rFonts w:ascii="Times New Roman" w:hAnsi="Times New Roman"/>
          <w:b w:val="0"/>
        </w:rPr>
      </w:pPr>
      <w:r w:rsidRPr="000C6C8A">
        <w:rPr>
          <w:rFonts w:ascii="Times New Roman" w:hAnsi="Times New Roman"/>
        </w:rPr>
        <w:lastRenderedPageBreak/>
        <w:t xml:space="preserve">Tabela </w:t>
      </w:r>
      <w:r>
        <w:rPr>
          <w:rFonts w:ascii="Times New Roman" w:hAnsi="Times New Roman"/>
        </w:rPr>
        <w:t>S</w:t>
      </w:r>
      <w:r w:rsidRPr="000C6C8A">
        <w:rPr>
          <w:rFonts w:ascii="Times New Roman" w:hAnsi="Times New Roman"/>
        </w:rPr>
        <w:fldChar w:fldCharType="begin"/>
      </w:r>
      <w:r w:rsidRPr="000C6C8A">
        <w:rPr>
          <w:rFonts w:ascii="Times New Roman" w:hAnsi="Times New Roman"/>
        </w:rPr>
        <w:instrText xml:space="preserve"> SEQ Tabela \* ARABIC </w:instrText>
      </w:r>
      <w:r w:rsidRPr="000C6C8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</w:t>
      </w:r>
      <w:r w:rsidRPr="000C6C8A">
        <w:rPr>
          <w:rFonts w:ascii="Times New Roman" w:hAnsi="Times New Roman"/>
        </w:rPr>
        <w:fldChar w:fldCharType="end"/>
      </w:r>
      <w:bookmarkEnd w:id="0"/>
      <w:r w:rsidRPr="000C6C8A">
        <w:rPr>
          <w:rFonts w:ascii="Times New Roman" w:hAnsi="Times New Roman"/>
        </w:rPr>
        <w:t xml:space="preserve">. </w:t>
      </w:r>
      <w:r w:rsidRPr="000C6C8A">
        <w:rPr>
          <w:rFonts w:ascii="Times New Roman" w:hAnsi="Times New Roman"/>
          <w:b w:val="0"/>
        </w:rPr>
        <w:t xml:space="preserve">Variáveis de </w:t>
      </w:r>
      <w:r>
        <w:rPr>
          <w:rFonts w:ascii="Times New Roman" w:hAnsi="Times New Roman"/>
          <w:b w:val="0"/>
        </w:rPr>
        <w:t>Micro-habitat</w:t>
      </w:r>
      <w:r w:rsidRPr="000C6C8A">
        <w:rPr>
          <w:rFonts w:ascii="Times New Roman" w:hAnsi="Times New Roman"/>
          <w:b w:val="0"/>
        </w:rPr>
        <w:t xml:space="preserve"> Descritivo da Árvore (MDA) dos ninhos artificiais</w:t>
      </w:r>
      <w:r>
        <w:rPr>
          <w:rFonts w:ascii="Times New Roman" w:hAnsi="Times New Roman"/>
          <w:b w:val="0"/>
        </w:rPr>
        <w:t xml:space="preserve"> e de Micro-habitat</w:t>
      </w:r>
      <w:r w:rsidRPr="000C6C8A">
        <w:rPr>
          <w:rFonts w:ascii="Times New Roman" w:hAnsi="Times New Roman"/>
          <w:b w:val="0"/>
        </w:rPr>
        <w:t xml:space="preserve"> Descritivo (MD) </w:t>
      </w:r>
      <w:r>
        <w:rPr>
          <w:rFonts w:ascii="Times New Roman" w:hAnsi="Times New Roman"/>
          <w:b w:val="0"/>
        </w:rPr>
        <w:t xml:space="preserve">da parcela onde estão localizados </w:t>
      </w:r>
      <w:r w:rsidRPr="000C6C8A">
        <w:rPr>
          <w:rFonts w:ascii="Times New Roman" w:hAnsi="Times New Roman"/>
          <w:b w:val="0"/>
        </w:rPr>
        <w:t xml:space="preserve">os ninhos </w:t>
      </w:r>
      <w:r w:rsidR="005007A6" w:rsidRPr="000C6C8A">
        <w:rPr>
          <w:rFonts w:ascii="Times New Roman" w:hAnsi="Times New Roman"/>
          <w:b w:val="0"/>
        </w:rPr>
        <w:t>artificiais</w:t>
      </w:r>
      <w:r w:rsidR="005007A6">
        <w:rPr>
          <w:rFonts w:ascii="Times New Roman" w:hAnsi="Times New Roman"/>
          <w:b w:val="0"/>
        </w:rPr>
        <w:t>,</w:t>
      </w:r>
      <w:r w:rsidRPr="009603B8">
        <w:rPr>
          <w:rFonts w:ascii="Times New Roman" w:hAnsi="Times New Roman"/>
          <w:b w:val="0"/>
        </w:rPr>
        <w:t xml:space="preserve"> medidas em campo </w:t>
      </w:r>
      <w:r>
        <w:rPr>
          <w:rFonts w:ascii="Times New Roman" w:hAnsi="Times New Roman"/>
          <w:b w:val="0"/>
        </w:rPr>
        <w:t xml:space="preserve">para o estudo de seleção de micro-habitat </w:t>
      </w:r>
      <w:r w:rsidRPr="000C6C8A">
        <w:rPr>
          <w:rFonts w:ascii="Times New Roman" w:hAnsi="Times New Roman"/>
          <w:b w:val="0"/>
        </w:rPr>
        <w:t xml:space="preserve">de </w:t>
      </w:r>
      <w:proofErr w:type="spellStart"/>
      <w:r w:rsidRPr="000C6C8A">
        <w:rPr>
          <w:rFonts w:ascii="Times New Roman" w:hAnsi="Times New Roman"/>
          <w:b w:val="0"/>
          <w:i/>
          <w:iCs/>
        </w:rPr>
        <w:t>Caluromys</w:t>
      </w:r>
      <w:proofErr w:type="spellEnd"/>
      <w:r w:rsidRPr="000C6C8A">
        <w:rPr>
          <w:rFonts w:ascii="Times New Roman" w:hAnsi="Times New Roman"/>
          <w:b w:val="0"/>
          <w:i/>
          <w:iCs/>
        </w:rPr>
        <w:t xml:space="preserve"> </w:t>
      </w:r>
      <w:proofErr w:type="spellStart"/>
      <w:r w:rsidRPr="000C6C8A">
        <w:rPr>
          <w:rFonts w:ascii="Times New Roman" w:hAnsi="Times New Roman"/>
          <w:b w:val="0"/>
          <w:i/>
          <w:iCs/>
        </w:rPr>
        <w:t>philander</w:t>
      </w:r>
      <w:proofErr w:type="spellEnd"/>
      <w:r w:rsidRPr="000C6C8A">
        <w:rPr>
          <w:rFonts w:ascii="Times New Roman" w:hAnsi="Times New Roman"/>
          <w:b w:val="0"/>
        </w:rPr>
        <w:t xml:space="preserve">, na localidade do Garrafão, </w:t>
      </w:r>
      <w:r>
        <w:rPr>
          <w:rFonts w:ascii="Times New Roman" w:hAnsi="Times New Roman"/>
          <w:b w:val="0"/>
        </w:rPr>
        <w:t xml:space="preserve">Guapimirim, </w:t>
      </w:r>
      <w:r w:rsidRPr="000C6C8A">
        <w:rPr>
          <w:rFonts w:ascii="Times New Roman" w:hAnsi="Times New Roman"/>
          <w:b w:val="0"/>
        </w:rPr>
        <w:t>RJ.</w:t>
      </w:r>
    </w:p>
    <w:p w14:paraId="30073E59" w14:textId="47D6F945" w:rsidR="00A86102" w:rsidRPr="001C37E0" w:rsidRDefault="00A86102" w:rsidP="00A8610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C37E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1C37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. Descriptive Microhabitat variables of the artificial nests trees (DMT)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>Descriptive Microhabitat Variables (DM) of the plot where the artificial nests are placed,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measured in the field during the microhabitat selection study of </w:t>
      </w:r>
      <w:proofErr w:type="spellStart"/>
      <w:r w:rsidRPr="00D17102">
        <w:rPr>
          <w:rFonts w:ascii="Times New Roman" w:hAnsi="Times New Roman" w:cs="Times New Roman"/>
          <w:i/>
          <w:iCs/>
          <w:sz w:val="20"/>
          <w:szCs w:val="20"/>
        </w:rPr>
        <w:t>Caluromys</w:t>
      </w:r>
      <w:proofErr w:type="spellEnd"/>
      <w:r w:rsidRPr="00D17102">
        <w:rPr>
          <w:rFonts w:ascii="Times New Roman" w:hAnsi="Times New Roman" w:cs="Times New Roman"/>
          <w:i/>
          <w:iCs/>
          <w:sz w:val="20"/>
          <w:szCs w:val="20"/>
        </w:rPr>
        <w:t xml:space="preserve"> philander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, at the </w:t>
      </w:r>
      <w:proofErr w:type="spellStart"/>
      <w:r w:rsidRPr="001C37E0">
        <w:rPr>
          <w:rFonts w:ascii="Times New Roman" w:hAnsi="Times New Roman" w:cs="Times New Roman"/>
          <w:i/>
          <w:iCs/>
          <w:sz w:val="20"/>
          <w:szCs w:val="20"/>
        </w:rPr>
        <w:t>Garrafão</w:t>
      </w:r>
      <w:proofErr w:type="spellEnd"/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 site, </w:t>
      </w:r>
      <w:proofErr w:type="spellStart"/>
      <w:r w:rsidRPr="001C37E0">
        <w:rPr>
          <w:rFonts w:ascii="Times New Roman" w:hAnsi="Times New Roman" w:cs="Times New Roman"/>
          <w:i/>
          <w:iCs/>
          <w:sz w:val="20"/>
          <w:szCs w:val="20"/>
        </w:rPr>
        <w:t>Guapimirim</w:t>
      </w:r>
      <w:proofErr w:type="spellEnd"/>
      <w:r w:rsidRPr="001C37E0">
        <w:rPr>
          <w:rFonts w:ascii="Times New Roman" w:hAnsi="Times New Roman" w:cs="Times New Roman"/>
          <w:i/>
          <w:iCs/>
          <w:sz w:val="20"/>
          <w:szCs w:val="20"/>
        </w:rPr>
        <w:t>, RJ, Brazil.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3614"/>
        <w:gridCol w:w="2351"/>
      </w:tblGrid>
      <w:tr w:rsidR="00A86102" w:rsidRPr="005E7861" w14:paraId="5EA689FA" w14:textId="77777777" w:rsidTr="00047781">
        <w:trPr>
          <w:trHeight w:val="284"/>
        </w:trPr>
        <w:tc>
          <w:tcPr>
            <w:tcW w:w="1493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EF9E59" w14:textId="77777777" w:rsidR="00A86102" w:rsidRPr="005E7861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</w:pPr>
            <w:r w:rsidRPr="005E786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  <w:t>Variáveis de MDA</w:t>
            </w:r>
          </w:p>
        </w:tc>
        <w:tc>
          <w:tcPr>
            <w:tcW w:w="2125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A70C9" w14:textId="77777777" w:rsidR="00A86102" w:rsidRPr="005E7861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</w:pPr>
            <w:r w:rsidRPr="005E786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  <w:t>Caracterização geral</w:t>
            </w:r>
          </w:p>
        </w:tc>
        <w:tc>
          <w:tcPr>
            <w:tcW w:w="138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E58830" w14:textId="77777777" w:rsidR="00A86102" w:rsidRPr="005E7861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</w:pPr>
            <w:r w:rsidRPr="005E7861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szCs w:val="20"/>
                <w:lang w:val="pt-BR"/>
              </w:rPr>
              <w:t>Natureza dos dados</w:t>
            </w:r>
          </w:p>
        </w:tc>
      </w:tr>
      <w:tr w:rsidR="00A86102" w:rsidRPr="005E7861" w14:paraId="71F185F2" w14:textId="77777777" w:rsidTr="00047781">
        <w:trPr>
          <w:trHeight w:val="284"/>
        </w:trPr>
        <w:tc>
          <w:tcPr>
            <w:tcW w:w="149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08356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Lianas (LA)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F68F3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N° de Lianas até um metro da árvore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E1B535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05605A0A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AC90F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Bromélias (BA)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4358A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N° de Bromélias na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E0771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33BE8419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6AD8E5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Bromélias (BROM + 3)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FA9E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N° de Bromélias a mais três metros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F6AFA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2A6D823D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DE7D6A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Palmeiras (PA)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7E062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N° de Palmeiras até um metro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BFCEC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7001BDAE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2A29F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Rochas (ROC)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99A1D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Presença de rochas e afloramentos rochosos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E32B52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Categórica</w:t>
            </w:r>
          </w:p>
        </w:tc>
      </w:tr>
      <w:tr w:rsidR="00A86102" w:rsidRPr="005E7861" w14:paraId="4E3B74C9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D6B4B3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Rochas (ROCE)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DEED81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Rochas encostadas na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A235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Categórica</w:t>
            </w:r>
          </w:p>
        </w:tc>
      </w:tr>
      <w:tr w:rsidR="00A86102" w:rsidRPr="005E7861" w14:paraId="6F5814A8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FC2BBA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Súber (SUBER)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2674F5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Textura do súber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61B48A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Categórica</w:t>
            </w:r>
          </w:p>
        </w:tc>
      </w:tr>
      <w:tr w:rsidR="00A86102" w:rsidRPr="005E7861" w14:paraId="3EB4FFCB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1D5B0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Diâmetro na Altura do Peito (DAP)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3B02D2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Diâmetro a altura do peito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E83138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1F8278FC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C5EF67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Fuste (FUS)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7E2866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Altura do fuste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E08CB2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3FD713A8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6819C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Altura do dossel (ALTDOS)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B3183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Altura do dossel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B556F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08BA0DA4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919F584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Profundidade da copa (PCOPA)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EC887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Profundidade da copa da árvore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3D24D0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B44CC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  <w:t>Contínua</w:t>
            </w:r>
          </w:p>
        </w:tc>
      </w:tr>
      <w:tr w:rsidR="00A86102" w:rsidRPr="005E7861" w14:paraId="183767DC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AA0A64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5D98E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C002C8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</w:p>
        </w:tc>
      </w:tr>
      <w:tr w:rsidR="00A86102" w:rsidRPr="005E7861" w14:paraId="4D59B7F1" w14:textId="77777777" w:rsidTr="00047781">
        <w:trPr>
          <w:trHeight w:val="284"/>
        </w:trPr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098150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Variáveis de MD</w:t>
            </w:r>
          </w:p>
        </w:tc>
        <w:tc>
          <w:tcPr>
            <w:tcW w:w="2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56C5B0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Caracterização geral</w:t>
            </w:r>
          </w:p>
        </w:tc>
        <w:tc>
          <w:tcPr>
            <w:tcW w:w="13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8EDFEE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 w:eastAsia="pt-BR"/>
              </w:rPr>
              <w:t>Natureza dos dados</w:t>
            </w:r>
          </w:p>
        </w:tc>
      </w:tr>
      <w:tr w:rsidR="00A86102" w:rsidRPr="005E7861" w14:paraId="37395528" w14:textId="77777777" w:rsidTr="00047781">
        <w:trPr>
          <w:trHeight w:val="284"/>
        </w:trPr>
        <w:tc>
          <w:tcPr>
            <w:tcW w:w="149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5F27D55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Dos</w:t>
            </w: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sel (DOS)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2BEE51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Densidade/abertura do dossel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068956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2D110A62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D84C237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Altura Dossel (ALTDOS)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91B73EC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Altura média do dossel na parcela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D3B0A91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Contín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ua</w:t>
            </w:r>
          </w:p>
        </w:tc>
      </w:tr>
      <w:tr w:rsidR="00A86102" w:rsidRPr="005E7861" w14:paraId="0AC17F22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1C823C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Sub-bosque (SUB)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6122CE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Densidade do sub-bosque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251E4C1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20E6FCCD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C36E59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Clareira (CLA)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1137C9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Clareira existente na parcela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39FB4C8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0B9D1B42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87D1B63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N° de árvores mortas (NAMOR)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29099C7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Número de árvores mortas presentes (caída + de pé)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06847F4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Contínu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412B01F8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52B6E9F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Folhiço (FOL)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0E3F93B8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Abundância de folhiço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812B80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0ECA018B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9F752A0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Epífitas (EPI)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0297B33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Quantidade de epífitas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2681A6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5FF5BDA4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6A9EB56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Plântulas (PLA)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6FB64B22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Quantidade de plântulas presente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F6D522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1C473172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179391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Relevo (RE)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5290BCAA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Inclinação do relevo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5A2A957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690FCB3A" w14:textId="77777777" w:rsidTr="00047781">
        <w:trPr>
          <w:trHeight w:val="284"/>
        </w:trPr>
        <w:tc>
          <w:tcPr>
            <w:tcW w:w="1493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724096C9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Curso d'água (CUR)</w:t>
            </w:r>
          </w:p>
        </w:tc>
        <w:tc>
          <w:tcPr>
            <w:tcW w:w="2125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32E59BF3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Presença de curso d 'água</w:t>
            </w:r>
          </w:p>
        </w:tc>
        <w:tc>
          <w:tcPr>
            <w:tcW w:w="1382" w:type="pct"/>
            <w:tcBorders>
              <w:left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D9C87B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Categóric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  <w:tr w:rsidR="00A86102" w:rsidRPr="005E7861" w14:paraId="33067600" w14:textId="77777777" w:rsidTr="00047781">
        <w:trPr>
          <w:trHeight w:val="284"/>
        </w:trPr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1DF4560D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Densidade (DENS)</w:t>
            </w:r>
          </w:p>
        </w:tc>
        <w:tc>
          <w:tcPr>
            <w:tcW w:w="212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4195EC5E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Densidade de indivíduos arbóreo</w:t>
            </w:r>
          </w:p>
        </w:tc>
        <w:tc>
          <w:tcPr>
            <w:tcW w:w="13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14:paraId="2F999C1B" w14:textId="77777777" w:rsidR="00A86102" w:rsidRPr="00B44CCF" w:rsidRDefault="00A86102" w:rsidP="0004778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val="pt-BR"/>
              </w:rPr>
            </w:pPr>
            <w:r w:rsidRPr="00815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Contínu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</w:tr>
    </w:tbl>
    <w:p w14:paraId="13A54F90" w14:textId="77777777" w:rsidR="000D0385" w:rsidRDefault="000D0385"/>
    <w:p w14:paraId="5E0057F3" w14:textId="4E3ADBF8" w:rsidR="0024711A" w:rsidRDefault="0024711A">
      <w:pPr>
        <w:spacing w:after="160" w:line="259" w:lineRule="auto"/>
      </w:pPr>
      <w:r>
        <w:br w:type="page"/>
      </w:r>
    </w:p>
    <w:p w14:paraId="2E9B8206" w14:textId="00E73F95" w:rsidR="0024711A" w:rsidRPr="001C37E0" w:rsidRDefault="0024711A" w:rsidP="0024711A">
      <w:pPr>
        <w:pStyle w:val="Legenda"/>
        <w:rPr>
          <w:rFonts w:ascii="Times New Roman" w:hAnsi="Times New Roman"/>
          <w:b w:val="0"/>
          <w:bCs w:val="0"/>
        </w:rPr>
      </w:pPr>
      <w:bookmarkStart w:id="1" w:name="_Ref126656109"/>
      <w:r w:rsidRPr="00E75AA7">
        <w:rPr>
          <w:rFonts w:ascii="Times New Roman" w:hAnsi="Times New Roman"/>
        </w:rPr>
        <w:lastRenderedPageBreak/>
        <w:t xml:space="preserve">Tabela </w:t>
      </w:r>
      <w:bookmarkEnd w:id="1"/>
      <w:r>
        <w:rPr>
          <w:rFonts w:ascii="Times New Roman" w:hAnsi="Times New Roman"/>
        </w:rPr>
        <w:t>S2</w:t>
      </w:r>
      <w:r w:rsidRPr="00E75AA7">
        <w:rPr>
          <w:rFonts w:ascii="Times New Roman" w:hAnsi="Times New Roman"/>
        </w:rPr>
        <w:t>.</w:t>
      </w:r>
      <w:r w:rsidRPr="00E75AA7">
        <w:rPr>
          <w:rFonts w:ascii="Times New Roman" w:hAnsi="Times New Roman"/>
          <w:b w:val="0"/>
          <w:bCs w:val="0"/>
        </w:rPr>
        <w:t xml:space="preserve"> Somatório dos pesos de evidência (w</w:t>
      </w:r>
      <w:r w:rsidRPr="00E75AA7">
        <w:rPr>
          <w:rFonts w:ascii="Times New Roman" w:hAnsi="Times New Roman"/>
          <w:b w:val="0"/>
          <w:bCs w:val="0"/>
          <w:i/>
          <w:iCs/>
          <w:vertAlign w:val="subscript"/>
        </w:rPr>
        <w:t>+</w:t>
      </w:r>
      <w:r w:rsidRPr="00E75AA7">
        <w:rPr>
          <w:rFonts w:ascii="Times New Roman" w:hAnsi="Times New Roman"/>
          <w:b w:val="0"/>
          <w:bCs w:val="0"/>
        </w:rPr>
        <w:t>) e coeficiente de inclinação médio (</w:t>
      </w:r>
      <w:r w:rsidRPr="00E75AA7">
        <w:rPr>
          <w:rFonts w:ascii="Times New Roman" w:hAnsi="Times New Roman"/>
          <w:b w:val="0"/>
          <w:bCs w:val="0"/>
          <w:i/>
          <w:iCs/>
        </w:rPr>
        <w:t>b</w:t>
      </w:r>
      <w:r w:rsidRPr="00E75AA7">
        <w:rPr>
          <w:rFonts w:ascii="Times New Roman" w:hAnsi="Times New Roman"/>
          <w:b w:val="0"/>
          <w:bCs w:val="0"/>
        </w:rPr>
        <w:t>) dos parâmetros presentes nos</w:t>
      </w:r>
      <w:r w:rsidRPr="001C37E0">
        <w:rPr>
          <w:rFonts w:ascii="Times New Roman" w:hAnsi="Times New Roman"/>
          <w:b w:val="0"/>
          <w:bCs w:val="0"/>
        </w:rPr>
        <w:t xml:space="preserve"> modelos mais plausíveis para a relação entre o Micro-habitat Descritivo da Árvore (MDA)</w:t>
      </w:r>
      <w:r>
        <w:rPr>
          <w:rFonts w:ascii="Times New Roman" w:hAnsi="Times New Roman"/>
          <w:b w:val="0"/>
          <w:bCs w:val="0"/>
        </w:rPr>
        <w:t xml:space="preserve"> e </w:t>
      </w:r>
      <w:r w:rsidRPr="00BF2756">
        <w:rPr>
          <w:rFonts w:ascii="Times New Roman" w:hAnsi="Times New Roman"/>
          <w:b w:val="0"/>
          <w:bCs w:val="0"/>
        </w:rPr>
        <w:t>Micro-habitat Descritivo (MD)</w:t>
      </w:r>
      <w:r w:rsidRPr="001C37E0">
        <w:rPr>
          <w:rFonts w:ascii="Times New Roman" w:hAnsi="Times New Roman"/>
          <w:b w:val="0"/>
          <w:bCs w:val="0"/>
        </w:rPr>
        <w:t xml:space="preserve"> e a frequência de ocorrência de </w:t>
      </w:r>
      <w:proofErr w:type="spellStart"/>
      <w:r w:rsidRPr="001C37E0">
        <w:rPr>
          <w:rFonts w:ascii="Times New Roman" w:hAnsi="Times New Roman"/>
          <w:b w:val="0"/>
          <w:bCs w:val="0"/>
          <w:i/>
          <w:iCs/>
        </w:rPr>
        <w:t>Caluromys</w:t>
      </w:r>
      <w:proofErr w:type="spellEnd"/>
      <w:r w:rsidRPr="001C37E0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1C37E0">
        <w:rPr>
          <w:rFonts w:ascii="Times New Roman" w:hAnsi="Times New Roman"/>
          <w:b w:val="0"/>
          <w:bCs w:val="0"/>
          <w:i/>
          <w:iCs/>
        </w:rPr>
        <w:t>philander</w:t>
      </w:r>
      <w:proofErr w:type="spellEnd"/>
      <w:r w:rsidRPr="001C37E0">
        <w:rPr>
          <w:rFonts w:ascii="Times New Roman" w:hAnsi="Times New Roman"/>
          <w:b w:val="0"/>
          <w:bCs w:val="0"/>
        </w:rPr>
        <w:t>. BA–nº de bromélias na árvore, LA–nº de lianas na árvore e até 1 m, DOS–altura do dossel, DAP–diâmetro a altura do peito</w:t>
      </w:r>
      <w:r>
        <w:rPr>
          <w:rFonts w:ascii="Times New Roman" w:hAnsi="Times New Roman"/>
          <w:b w:val="0"/>
          <w:bCs w:val="0"/>
        </w:rPr>
        <w:t xml:space="preserve">, </w:t>
      </w:r>
      <w:r w:rsidRPr="00E331EC">
        <w:rPr>
          <w:rFonts w:ascii="Times New Roman" w:hAnsi="Times New Roman"/>
          <w:b w:val="0"/>
          <w:bCs w:val="0"/>
        </w:rPr>
        <w:t xml:space="preserve">ALTDOS-altura </w:t>
      </w:r>
      <w:r>
        <w:rPr>
          <w:rFonts w:ascii="Times New Roman" w:hAnsi="Times New Roman"/>
          <w:b w:val="0"/>
          <w:bCs w:val="0"/>
        </w:rPr>
        <w:t xml:space="preserve">média </w:t>
      </w:r>
      <w:r w:rsidRPr="00E331EC">
        <w:rPr>
          <w:rFonts w:ascii="Times New Roman" w:hAnsi="Times New Roman"/>
          <w:b w:val="0"/>
          <w:bCs w:val="0"/>
        </w:rPr>
        <w:t>do dossel</w:t>
      </w:r>
      <w:r>
        <w:rPr>
          <w:rFonts w:ascii="Times New Roman" w:hAnsi="Times New Roman"/>
          <w:b w:val="0"/>
          <w:bCs w:val="0"/>
        </w:rPr>
        <w:t xml:space="preserve"> da parcela</w:t>
      </w:r>
      <w:r w:rsidRPr="00E331EC">
        <w:rPr>
          <w:rFonts w:ascii="Times New Roman" w:hAnsi="Times New Roman"/>
          <w:b w:val="0"/>
          <w:bCs w:val="0"/>
        </w:rPr>
        <w:t xml:space="preserve">, FOL-abundância de folhiço, </w:t>
      </w:r>
      <w:proofErr w:type="spellStart"/>
      <w:r w:rsidRPr="00E331EC">
        <w:rPr>
          <w:rFonts w:ascii="Times New Roman" w:hAnsi="Times New Roman"/>
          <w:b w:val="0"/>
          <w:bCs w:val="0"/>
        </w:rPr>
        <w:t>RE-inclinação</w:t>
      </w:r>
      <w:proofErr w:type="spellEnd"/>
      <w:r w:rsidRPr="00E331EC">
        <w:rPr>
          <w:rFonts w:ascii="Times New Roman" w:hAnsi="Times New Roman"/>
          <w:b w:val="0"/>
          <w:bCs w:val="0"/>
        </w:rPr>
        <w:t xml:space="preserve"> do relevo</w:t>
      </w:r>
      <w:r>
        <w:rPr>
          <w:rFonts w:ascii="Times New Roman" w:hAnsi="Times New Roman"/>
          <w:b w:val="0"/>
          <w:bCs w:val="0"/>
        </w:rPr>
        <w:t xml:space="preserve"> e</w:t>
      </w:r>
      <w:r w:rsidRPr="00E331EC">
        <w:rPr>
          <w:rFonts w:ascii="Times New Roman" w:hAnsi="Times New Roman"/>
          <w:b w:val="0"/>
          <w:bCs w:val="0"/>
        </w:rPr>
        <w:t xml:space="preserve"> NAMOR-quantidade de árvores mortas</w:t>
      </w:r>
      <w:r w:rsidRPr="001C37E0">
        <w:rPr>
          <w:rFonts w:ascii="Times New Roman" w:hAnsi="Times New Roman"/>
          <w:b w:val="0"/>
          <w:bCs w:val="0"/>
        </w:rPr>
        <w:t xml:space="preserve">. Os sinais negativos (-) e positivos (+) na frente das variáveis dos modelos demostram a relação da variável com a frequência de registros de </w:t>
      </w:r>
      <w:proofErr w:type="spellStart"/>
      <w:r w:rsidRPr="001C37E0">
        <w:rPr>
          <w:rFonts w:ascii="Times New Roman" w:hAnsi="Times New Roman"/>
          <w:b w:val="0"/>
          <w:bCs w:val="0"/>
          <w:i/>
          <w:iCs/>
        </w:rPr>
        <w:t>Caluromys</w:t>
      </w:r>
      <w:proofErr w:type="spellEnd"/>
      <w:r w:rsidRPr="001C37E0">
        <w:rPr>
          <w:rFonts w:ascii="Times New Roman" w:hAnsi="Times New Roman"/>
          <w:b w:val="0"/>
          <w:bCs w:val="0"/>
          <w:i/>
          <w:iCs/>
        </w:rPr>
        <w:t xml:space="preserve"> </w:t>
      </w:r>
      <w:proofErr w:type="spellStart"/>
      <w:r w:rsidRPr="001C37E0">
        <w:rPr>
          <w:rFonts w:ascii="Times New Roman" w:hAnsi="Times New Roman"/>
          <w:b w:val="0"/>
          <w:bCs w:val="0"/>
          <w:i/>
          <w:iCs/>
        </w:rPr>
        <w:t>philander</w:t>
      </w:r>
      <w:proofErr w:type="spellEnd"/>
      <w:r w:rsidRPr="001C37E0">
        <w:rPr>
          <w:rFonts w:ascii="Times New Roman" w:hAnsi="Times New Roman"/>
          <w:b w:val="0"/>
          <w:bCs w:val="0"/>
        </w:rPr>
        <w:t>.</w:t>
      </w:r>
      <w:r>
        <w:rPr>
          <w:rFonts w:ascii="Times New Roman" w:hAnsi="Times New Roman"/>
          <w:b w:val="0"/>
          <w:bCs w:val="0"/>
        </w:rPr>
        <w:t xml:space="preserve"> </w:t>
      </w:r>
    </w:p>
    <w:p w14:paraId="1ED7DEAC" w14:textId="3A2A341F" w:rsidR="0024711A" w:rsidRPr="001C37E0" w:rsidRDefault="0024711A" w:rsidP="0024711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C37E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S2</w:t>
      </w:r>
      <w:r w:rsidRPr="001C37E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 Sum of the weight of evidence (w</w:t>
      </w:r>
      <w:r w:rsidRPr="001C37E0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+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) and average slope (b) from the parameters included in the most plausible models to the relation between the Descriptive Microhabitat variables of the trees (DMT)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>the Microhabitat Descriptive (MD)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and the frequency of </w:t>
      </w:r>
      <w:proofErr w:type="spellStart"/>
      <w:r w:rsidRPr="001C37E0">
        <w:rPr>
          <w:rFonts w:ascii="Times New Roman" w:hAnsi="Times New Roman" w:cs="Times New Roman"/>
          <w:i/>
          <w:iCs/>
          <w:sz w:val="20"/>
          <w:szCs w:val="20"/>
        </w:rPr>
        <w:t>Caluromys</w:t>
      </w:r>
      <w:proofErr w:type="spellEnd"/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 philander records. </w:t>
      </w:r>
      <w:r>
        <w:rPr>
          <w:rFonts w:ascii="Times New Roman" w:hAnsi="Times New Roman" w:cs="Times New Roman"/>
          <w:i/>
          <w:iCs/>
          <w:sz w:val="20"/>
          <w:szCs w:val="20"/>
        </w:rPr>
        <w:t>BA-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number of bromeliads on the tree, </w:t>
      </w:r>
      <w:r>
        <w:rPr>
          <w:rFonts w:ascii="Times New Roman" w:hAnsi="Times New Roman" w:cs="Times New Roman"/>
          <w:i/>
          <w:iCs/>
          <w:sz w:val="20"/>
          <w:szCs w:val="20"/>
        </w:rPr>
        <w:t>LA-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numbers of lianas on the tree and up to 1 m, </w:t>
      </w:r>
      <w:r>
        <w:rPr>
          <w:rFonts w:ascii="Times New Roman" w:hAnsi="Times New Roman" w:cs="Times New Roman"/>
          <w:i/>
          <w:iCs/>
          <w:sz w:val="20"/>
          <w:szCs w:val="20"/>
        </w:rPr>
        <w:t>DOS-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tree canopy height, </w:t>
      </w:r>
      <w:r>
        <w:rPr>
          <w:rFonts w:ascii="Times New Roman" w:hAnsi="Times New Roman" w:cs="Times New Roman"/>
          <w:i/>
          <w:iCs/>
          <w:sz w:val="20"/>
          <w:szCs w:val="20"/>
        </w:rPr>
        <w:t>DAP-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>diameter at breast height</w:t>
      </w:r>
      <w:r>
        <w:rPr>
          <w:rFonts w:ascii="Times New Roman" w:hAnsi="Times New Roman" w:cs="Times New Roman"/>
          <w:i/>
          <w:iCs/>
          <w:sz w:val="20"/>
          <w:szCs w:val="20"/>
        </w:rPr>
        <w:t>, ALTDOS-</w:t>
      </w:r>
      <w:r w:rsidRPr="002D24CB">
        <w:rPr>
          <w:rFonts w:ascii="Times New Roman" w:hAnsi="Times New Roman" w:cs="Times New Roman"/>
          <w:i/>
          <w:iCs/>
          <w:sz w:val="20"/>
          <w:szCs w:val="20"/>
        </w:rPr>
        <w:t>average canopy height of the plot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FOL-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 xml:space="preserve">leaf litter abundance, </w:t>
      </w:r>
      <w:r>
        <w:rPr>
          <w:rFonts w:ascii="Times New Roman" w:hAnsi="Times New Roman" w:cs="Times New Roman"/>
          <w:i/>
          <w:iCs/>
          <w:sz w:val="20"/>
          <w:szCs w:val="20"/>
        </w:rPr>
        <w:t>RE-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>relief slope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 xml:space="preserve"> and </w:t>
      </w:r>
      <w:r>
        <w:rPr>
          <w:rFonts w:ascii="Times New Roman" w:hAnsi="Times New Roman" w:cs="Times New Roman"/>
          <w:i/>
          <w:iCs/>
          <w:sz w:val="20"/>
          <w:szCs w:val="20"/>
        </w:rPr>
        <w:t>NAMOR-</w:t>
      </w:r>
      <w:r w:rsidRPr="00CC33F0">
        <w:rPr>
          <w:rFonts w:ascii="Times New Roman" w:hAnsi="Times New Roman" w:cs="Times New Roman"/>
          <w:i/>
          <w:iCs/>
          <w:sz w:val="20"/>
          <w:szCs w:val="20"/>
        </w:rPr>
        <w:t>number of dead trees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. Negative (-) and positive (+) signs in front of the model variables show the relationship of the variable to the frequency of </w:t>
      </w:r>
      <w:proofErr w:type="spellStart"/>
      <w:r w:rsidRPr="001C37E0">
        <w:rPr>
          <w:rFonts w:ascii="Times New Roman" w:hAnsi="Times New Roman" w:cs="Times New Roman"/>
          <w:i/>
          <w:iCs/>
          <w:sz w:val="20"/>
          <w:szCs w:val="20"/>
          <w:u w:val="single"/>
        </w:rPr>
        <w:t>Caluromys</w:t>
      </w:r>
      <w:proofErr w:type="spellEnd"/>
      <w:r w:rsidRPr="001C37E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philander</w:t>
      </w:r>
      <w:r w:rsidRPr="001C37E0">
        <w:rPr>
          <w:rFonts w:ascii="Times New Roman" w:hAnsi="Times New Roman" w:cs="Times New Roman"/>
          <w:i/>
          <w:iCs/>
          <w:sz w:val="20"/>
          <w:szCs w:val="20"/>
        </w:rPr>
        <w:t xml:space="preserve"> records.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439"/>
        <w:gridCol w:w="2049"/>
        <w:gridCol w:w="3016"/>
      </w:tblGrid>
      <w:tr w:rsidR="0024711A" w:rsidRPr="00DA4B1F" w14:paraId="7C0C5E18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5A8632B1" w14:textId="77777777" w:rsidR="0024711A" w:rsidRPr="00DA4B1F" w:rsidRDefault="0024711A" w:rsidP="0004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DA4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Variável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 xml:space="preserve"> (MDA)</w:t>
            </w:r>
          </w:p>
        </w:tc>
        <w:tc>
          <w:tcPr>
            <w:tcW w:w="1205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695391B5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w+</w:t>
            </w:r>
          </w:p>
        </w:tc>
        <w:tc>
          <w:tcPr>
            <w:tcW w:w="177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4609ABB0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pt-BR" w:eastAsia="pt-BR"/>
              </w:rPr>
              <w:t>b</w:t>
            </w:r>
          </w:p>
        </w:tc>
      </w:tr>
      <w:tr w:rsidR="0024711A" w:rsidRPr="00DA4B1F" w14:paraId="47630AC1" w14:textId="77777777" w:rsidTr="00047781">
        <w:trPr>
          <w:trHeight w:val="288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2B2C9" w14:textId="77777777" w:rsidR="0024711A" w:rsidRPr="00DA4B1F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</w:t>
            </w: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BA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18A6F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0,98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88DC1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-0,2072</w:t>
            </w:r>
          </w:p>
        </w:tc>
      </w:tr>
      <w:tr w:rsidR="0024711A" w:rsidRPr="00DA4B1F" w14:paraId="4AD5489E" w14:textId="77777777" w:rsidTr="00047781">
        <w:trPr>
          <w:trHeight w:val="288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063FB" w14:textId="77777777" w:rsidR="0024711A" w:rsidRPr="00DA4B1F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+</w:t>
            </w: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DOS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28742B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0,75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D6340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0,0897</w:t>
            </w:r>
          </w:p>
        </w:tc>
      </w:tr>
      <w:tr w:rsidR="0024711A" w:rsidRPr="00DA4B1F" w14:paraId="6BF1135E" w14:textId="77777777" w:rsidTr="00047781">
        <w:trPr>
          <w:trHeight w:val="288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FC257" w14:textId="77777777" w:rsidR="0024711A" w:rsidRPr="00DA4B1F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+</w:t>
            </w: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 xml:space="preserve">DAP 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F87DA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0,60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BA6F6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0,0182</w:t>
            </w:r>
          </w:p>
        </w:tc>
      </w:tr>
      <w:tr w:rsidR="0024711A" w:rsidRPr="00DA4B1F" w14:paraId="45574C99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0DB7C" w14:textId="77777777" w:rsidR="0024711A" w:rsidRPr="00DA4B1F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-</w:t>
            </w:r>
            <w:r w:rsidRPr="00DA4B1F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LA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0F1E5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0,35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CD3D3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DA4B1F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-0,0390</w:t>
            </w:r>
          </w:p>
        </w:tc>
      </w:tr>
      <w:tr w:rsidR="0024711A" w:rsidRPr="00DA4B1F" w14:paraId="62677AE7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12268AB" w14:textId="77777777" w:rsidR="0024711A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0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162EDA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77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104D04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4711A" w:rsidRPr="00DA4B1F" w14:paraId="56B9F1E2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E2D1B3" w14:textId="77777777" w:rsidR="0024711A" w:rsidRDefault="0024711A" w:rsidP="00047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Variável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 xml:space="preserve"> (MD)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939B71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w+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BF089A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  <w:lang w:val="pt-BR" w:eastAsia="pt-BR"/>
              </w:rPr>
              <w:t>b</w:t>
            </w:r>
          </w:p>
        </w:tc>
      </w:tr>
      <w:tr w:rsidR="0024711A" w:rsidRPr="00DA4B1F" w14:paraId="5E4B322B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14132" w14:textId="77777777" w:rsidR="0024711A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</w:t>
            </w: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FOL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EE9B1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1,00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EC91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-1,0336</w:t>
            </w:r>
          </w:p>
        </w:tc>
      </w:tr>
      <w:tr w:rsidR="0024711A" w:rsidRPr="00DA4B1F" w14:paraId="1F416E06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07E01" w14:textId="77777777" w:rsidR="0024711A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</w:t>
            </w: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RE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EB2CC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0,99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0C0E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-0,8062</w:t>
            </w:r>
          </w:p>
        </w:tc>
      </w:tr>
      <w:tr w:rsidR="0024711A" w:rsidRPr="00DA4B1F" w14:paraId="36443B52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6961A" w14:textId="77777777" w:rsidR="0024711A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</w:t>
            </w: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ALTDOS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92694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0,64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9F260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pt-BR" w:eastAsia="pt-BR"/>
              </w:rPr>
              <w:t>-0,2499</w:t>
            </w:r>
          </w:p>
        </w:tc>
      </w:tr>
      <w:tr w:rsidR="0024711A" w:rsidRPr="00DA4B1F" w14:paraId="595145B8" w14:textId="77777777" w:rsidTr="00047781">
        <w:trPr>
          <w:trHeight w:val="300"/>
          <w:jc w:val="center"/>
        </w:trPr>
        <w:tc>
          <w:tcPr>
            <w:tcW w:w="2022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72A488BC" w14:textId="77777777" w:rsidR="0024711A" w:rsidRDefault="0024711A" w:rsidP="00047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NAMOR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2D1E8D3C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0,54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bottom"/>
          </w:tcPr>
          <w:p w14:paraId="081CF0DF" w14:textId="77777777" w:rsidR="0024711A" w:rsidRPr="00DA4B1F" w:rsidRDefault="0024711A" w:rsidP="00047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CC33F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0,1957</w:t>
            </w:r>
          </w:p>
        </w:tc>
      </w:tr>
    </w:tbl>
    <w:p w14:paraId="43159901" w14:textId="282BB55C" w:rsidR="0024711A" w:rsidRPr="0024711A" w:rsidRDefault="0024711A">
      <w:pPr>
        <w:rPr>
          <w:rFonts w:ascii="Times New Roman" w:eastAsia="Times New Roman" w:hAnsi="Times New Roman" w:cs="Times New Roman"/>
        </w:rPr>
      </w:pPr>
    </w:p>
    <w:sectPr w:rsidR="0024711A" w:rsidRPr="00247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79"/>
    <w:rsid w:val="000D0385"/>
    <w:rsid w:val="0024711A"/>
    <w:rsid w:val="002B1D6E"/>
    <w:rsid w:val="005007A6"/>
    <w:rsid w:val="00905A4A"/>
    <w:rsid w:val="00A86102"/>
    <w:rsid w:val="00E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2906"/>
  <w15:chartTrackingRefBased/>
  <w15:docId w15:val="{811EDBEE-B90F-4BD8-9F5B-2B882C1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0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A86102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unhideWhenUsed/>
    <w:rsid w:val="0090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ormal1">
    <w:name w:val="Normal1"/>
    <w:rsid w:val="00905A4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SILVA FERREIRA</dc:creator>
  <cp:keywords/>
  <dc:description/>
  <cp:lastModifiedBy>MARIANA SILVA FERREIRA</cp:lastModifiedBy>
  <cp:revision>6</cp:revision>
  <dcterms:created xsi:type="dcterms:W3CDTF">2023-04-15T01:35:00Z</dcterms:created>
  <dcterms:modified xsi:type="dcterms:W3CDTF">2023-04-17T21:32:00Z</dcterms:modified>
</cp:coreProperties>
</file>