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83" w:rsidRDefault="00FE0A83" w:rsidP="00FE0A83">
      <w:pPr>
        <w:widowControl w:val="0"/>
        <w:spacing w:line="100" w:lineRule="atLeast"/>
        <w:ind w:left="-540" w:right="-1068" w:firstLine="709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E0A83">
        <w:rPr>
          <w:rFonts w:ascii="Times New Roman" w:hAnsi="Times New Roman" w:cs="Times New Roman"/>
          <w:b/>
          <w:caps/>
          <w:sz w:val="26"/>
          <w:szCs w:val="26"/>
        </w:rPr>
        <w:pict>
          <v:rect id="_x0000_s1211" style="position:absolute;left:0;text-align:left;margin-left:386.8pt;margin-top:-36.8pt;width:15pt;height:17.25pt;z-index:251666432" strokecolor="white"/>
        </w:pict>
      </w:r>
      <w:r w:rsidRPr="00FE0A83">
        <w:rPr>
          <w:rFonts w:ascii="Times New Roman" w:hAnsi="Times New Roman" w:cs="Times New Roman"/>
          <w:b/>
          <w:caps/>
          <w:sz w:val="26"/>
          <w:szCs w:val="26"/>
        </w:rPr>
        <w:t>An introduction</w:t>
      </w:r>
      <w:r w:rsidRPr="00FE0A83">
        <w:rPr>
          <w:rFonts w:ascii="Times New Roman" w:hAnsi="Times New Roman" w:cs="Times New Roman"/>
          <w:b/>
          <w:noProof/>
          <w:sz w:val="26"/>
          <w:szCs w:val="26"/>
        </w:rPr>
        <w:t xml:space="preserve"> TO</w:t>
      </w:r>
      <w:r w:rsidRPr="00FE0A8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FE0A83">
        <w:rPr>
          <w:rFonts w:ascii="Times New Roman" w:hAnsi="Times New Roman" w:cs="Times New Roman"/>
          <w:b/>
          <w:caps/>
          <w:sz w:val="26"/>
          <w:szCs w:val="26"/>
        </w:rPr>
        <w:t>Dynamical systemS applied to exploited populations</w:t>
      </w:r>
    </w:p>
    <w:p w:rsidR="00FE0A83" w:rsidRPr="00FE0A83" w:rsidRDefault="00FE0A83" w:rsidP="00FE0A83">
      <w:pPr>
        <w:widowControl w:val="0"/>
        <w:spacing w:line="100" w:lineRule="atLeast"/>
        <w:ind w:left="-540" w:right="-1068" w:firstLine="709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THE FIGURES IN THE ARTICLE</w:t>
      </w:r>
    </w:p>
    <w:p w:rsidR="006229AC" w:rsidRDefault="006229AC" w:rsidP="00FE0A83">
      <w:pPr>
        <w:widowControl w:val="0"/>
        <w:autoSpaceDE w:val="0"/>
        <w:autoSpaceDN w:val="0"/>
        <w:adjustRightInd w:val="0"/>
        <w:spacing w:line="100" w:lineRule="atLeast"/>
        <w:ind w:left="-540" w:right="-1068"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6229AC" w:rsidRDefault="006229AC" w:rsidP="00FE0A83">
      <w:pPr>
        <w:widowControl w:val="0"/>
        <w:autoSpaceDE w:val="0"/>
        <w:autoSpaceDN w:val="0"/>
        <w:adjustRightInd w:val="0"/>
        <w:spacing w:line="100" w:lineRule="atLeast"/>
        <w:ind w:left="-540" w:right="-1068"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E0A83" w:rsidRPr="00FE0A83" w:rsidRDefault="00FE0A83" w:rsidP="00FE0A83">
      <w:pPr>
        <w:widowControl w:val="0"/>
        <w:autoSpaceDE w:val="0"/>
        <w:autoSpaceDN w:val="0"/>
        <w:adjustRightInd w:val="0"/>
        <w:spacing w:line="100" w:lineRule="atLeast"/>
        <w:ind w:left="-540" w:right="-1068"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E0A83">
        <w:rPr>
          <w:rFonts w:ascii="Times New Roman" w:hAnsi="Times New Roman" w:cs="Times New Roman"/>
          <w:noProof/>
          <w:sz w:val="20"/>
          <w:szCs w:val="20"/>
          <w:lang w:val="pt-BR" w:eastAsia="pt-BR"/>
        </w:rPr>
        <w:drawing>
          <wp:inline distT="0" distB="0" distL="0" distR="0">
            <wp:extent cx="5019675" cy="3209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83" w:rsidRPr="00FE0A83" w:rsidRDefault="00FE0A83" w:rsidP="00FE0A83">
      <w:pPr>
        <w:widowControl w:val="0"/>
        <w:tabs>
          <w:tab w:val="left" w:pos="7200"/>
        </w:tabs>
        <w:spacing w:line="100" w:lineRule="atLeast"/>
        <w:ind w:left="720" w:right="153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E0A83">
        <w:rPr>
          <w:rFonts w:ascii="Times New Roman" w:hAnsi="Times New Roman" w:cs="Times New Roman"/>
          <w:b/>
          <w:sz w:val="20"/>
          <w:szCs w:val="20"/>
        </w:rPr>
        <w:t>Figure 1</w:t>
      </w:r>
      <w:r w:rsidRPr="00FE0A8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FE0A8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E0A83">
        <w:rPr>
          <w:rFonts w:ascii="Times New Roman" w:hAnsi="Times New Roman" w:cs="Times New Roman"/>
          <w:sz w:val="20"/>
          <w:szCs w:val="20"/>
        </w:rPr>
        <w:t>corresponds</w:t>
      </w:r>
      <w:proofErr w:type="gramEnd"/>
      <w:r w:rsidRPr="00FE0A83">
        <w:rPr>
          <w:rFonts w:ascii="Times New Roman" w:hAnsi="Times New Roman" w:cs="Times New Roman"/>
          <w:sz w:val="20"/>
          <w:szCs w:val="20"/>
        </w:rPr>
        <w:t xml:space="preserve"> to (2.2). The natural growth of the population, </w:t>
      </w:r>
      <w:proofErr w:type="spellStart"/>
      <w:r w:rsidRPr="00FE0A83">
        <w:rPr>
          <w:rFonts w:ascii="Times New Roman" w:hAnsi="Times New Roman" w:cs="Times New Roman"/>
          <w:i/>
          <w:sz w:val="20"/>
          <w:szCs w:val="20"/>
        </w:rPr>
        <w:t>dn</w:t>
      </w:r>
      <w:proofErr w:type="spellEnd"/>
      <w:r w:rsidRPr="00FE0A83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FE0A83">
        <w:rPr>
          <w:rFonts w:ascii="Times New Roman" w:hAnsi="Times New Roman" w:cs="Times New Roman"/>
          <w:i/>
          <w:sz w:val="20"/>
          <w:szCs w:val="20"/>
        </w:rPr>
        <w:t>dt</w:t>
      </w:r>
      <w:proofErr w:type="spellEnd"/>
      <w:r w:rsidRPr="00FE0A83">
        <w:rPr>
          <w:rFonts w:ascii="Times New Roman" w:hAnsi="Times New Roman" w:cs="Times New Roman"/>
          <w:sz w:val="20"/>
          <w:szCs w:val="20"/>
        </w:rPr>
        <w:t xml:space="preserve"> is shown as a function of </w:t>
      </w:r>
      <w:r w:rsidRPr="00FE0A83">
        <w:rPr>
          <w:rFonts w:ascii="Times New Roman" w:hAnsi="Times New Roman" w:cs="Times New Roman"/>
          <w:i/>
          <w:sz w:val="20"/>
          <w:szCs w:val="20"/>
        </w:rPr>
        <w:t>n</w:t>
      </w:r>
      <w:r w:rsidRPr="00FE0A83">
        <w:rPr>
          <w:rFonts w:ascii="Times New Roman" w:hAnsi="Times New Roman" w:cs="Times New Roman"/>
          <w:sz w:val="20"/>
          <w:szCs w:val="20"/>
        </w:rPr>
        <w:t>. The growth of the population is positive whenever it is less than K (</w:t>
      </w:r>
      <w:proofErr w:type="spellStart"/>
      <w:r w:rsidRPr="00FE0A83">
        <w:rPr>
          <w:rFonts w:ascii="Times New Roman" w:hAnsi="Times New Roman" w:cs="Times New Roman"/>
          <w:i/>
          <w:sz w:val="20"/>
          <w:szCs w:val="20"/>
        </w:rPr>
        <w:t>dn</w:t>
      </w:r>
      <w:proofErr w:type="spellEnd"/>
      <w:r w:rsidRPr="00FE0A83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FE0A83">
        <w:rPr>
          <w:rFonts w:ascii="Times New Roman" w:hAnsi="Times New Roman" w:cs="Times New Roman"/>
          <w:i/>
          <w:sz w:val="20"/>
          <w:szCs w:val="20"/>
        </w:rPr>
        <w:t>dt</w:t>
      </w:r>
      <w:proofErr w:type="spellEnd"/>
      <w:r w:rsidRPr="00FE0A83">
        <w:rPr>
          <w:rFonts w:ascii="Times New Roman" w:hAnsi="Times New Roman" w:cs="Times New Roman"/>
          <w:i/>
          <w:sz w:val="20"/>
          <w:szCs w:val="20"/>
        </w:rPr>
        <w:t xml:space="preserve">&gt;0 </w:t>
      </w:r>
      <w:r w:rsidRPr="00FE0A83">
        <w:rPr>
          <w:rFonts w:ascii="Times New Roman" w:hAnsi="Times New Roman" w:cs="Times New Roman"/>
          <w:sz w:val="20"/>
          <w:szCs w:val="20"/>
        </w:rPr>
        <w:t>if</w:t>
      </w:r>
      <w:r w:rsidRPr="00FE0A83">
        <w:rPr>
          <w:rFonts w:ascii="Times New Roman" w:hAnsi="Times New Roman" w:cs="Times New Roman"/>
          <w:i/>
          <w:sz w:val="20"/>
          <w:szCs w:val="20"/>
        </w:rPr>
        <w:t xml:space="preserve"> 0&lt;n&lt;K</w:t>
      </w:r>
      <w:r w:rsidRPr="00FE0A83">
        <w:rPr>
          <w:rFonts w:ascii="Times New Roman" w:hAnsi="Times New Roman" w:cs="Times New Roman"/>
          <w:sz w:val="20"/>
          <w:szCs w:val="20"/>
        </w:rPr>
        <w:t xml:space="preserve">). </w:t>
      </w:r>
      <w:r w:rsidRPr="00FE0A83">
        <w:rPr>
          <w:rFonts w:ascii="Times New Roman" w:hAnsi="Times New Roman" w:cs="Times New Roman"/>
          <w:i/>
          <w:sz w:val="20"/>
          <w:szCs w:val="20"/>
        </w:rPr>
        <w:t>K</w:t>
      </w:r>
      <w:r w:rsidRPr="00FE0A83">
        <w:rPr>
          <w:rFonts w:ascii="Times New Roman" w:hAnsi="Times New Roman" w:cs="Times New Roman"/>
          <w:sz w:val="20"/>
          <w:szCs w:val="20"/>
        </w:rPr>
        <w:t xml:space="preserve"> is the </w:t>
      </w:r>
      <w:r w:rsidRPr="00FE0A83">
        <w:rPr>
          <w:rFonts w:ascii="Times New Roman" w:hAnsi="Times New Roman" w:cs="Times New Roman"/>
          <w:bCs/>
          <w:sz w:val="20"/>
          <w:szCs w:val="20"/>
        </w:rPr>
        <w:t>environmental carrying capacity and r the intrinsic growth rate. The parabola reaches its maximum value, MSY when n=</w:t>
      </w:r>
      <w:proofErr w:type="spellStart"/>
      <w:r w:rsidRPr="00FE0A83">
        <w:rPr>
          <w:rFonts w:ascii="Times New Roman" w:hAnsi="Times New Roman" w:cs="Times New Roman"/>
          <w:bCs/>
          <w:sz w:val="20"/>
          <w:szCs w:val="20"/>
        </w:rPr>
        <w:t>nmsy</w:t>
      </w:r>
      <w:proofErr w:type="spellEnd"/>
      <w:r w:rsidRPr="00FE0A83">
        <w:rPr>
          <w:rFonts w:ascii="Times New Roman" w:hAnsi="Times New Roman" w:cs="Times New Roman"/>
          <w:bCs/>
          <w:sz w:val="20"/>
          <w:szCs w:val="20"/>
        </w:rPr>
        <w:t xml:space="preserve">. MSY = </w:t>
      </w:r>
      <w:proofErr w:type="spellStart"/>
      <w:r w:rsidRPr="00FE0A83">
        <w:rPr>
          <w:rFonts w:ascii="Times New Roman" w:hAnsi="Times New Roman" w:cs="Times New Roman"/>
          <w:bCs/>
          <w:i/>
          <w:sz w:val="20"/>
          <w:szCs w:val="20"/>
        </w:rPr>
        <w:t>rK</w:t>
      </w:r>
      <w:proofErr w:type="spellEnd"/>
      <w:r w:rsidRPr="00FE0A83">
        <w:rPr>
          <w:rFonts w:ascii="Times New Roman" w:hAnsi="Times New Roman" w:cs="Times New Roman"/>
          <w:bCs/>
          <w:i/>
          <w:sz w:val="20"/>
          <w:szCs w:val="20"/>
        </w:rPr>
        <w:t>/4</w:t>
      </w:r>
      <w:r w:rsidRPr="00FE0A83">
        <w:rPr>
          <w:rFonts w:ascii="Times New Roman" w:hAnsi="Times New Roman" w:cs="Times New Roman"/>
          <w:bCs/>
          <w:sz w:val="20"/>
          <w:szCs w:val="20"/>
        </w:rPr>
        <w:t xml:space="preserve"> and </w:t>
      </w:r>
      <w:proofErr w:type="spellStart"/>
      <w:r w:rsidRPr="00FE0A83">
        <w:rPr>
          <w:rFonts w:ascii="Times New Roman" w:hAnsi="Times New Roman" w:cs="Times New Roman"/>
          <w:bCs/>
          <w:sz w:val="20"/>
          <w:szCs w:val="20"/>
        </w:rPr>
        <w:t>nmsy</w:t>
      </w:r>
      <w:proofErr w:type="spellEnd"/>
      <w:r w:rsidRPr="00FE0A83">
        <w:rPr>
          <w:rFonts w:ascii="Times New Roman" w:hAnsi="Times New Roman" w:cs="Times New Roman"/>
          <w:bCs/>
          <w:sz w:val="20"/>
          <w:szCs w:val="20"/>
          <w:vertAlign w:val="subscript"/>
        </w:rPr>
        <w:t xml:space="preserve"> </w:t>
      </w:r>
      <w:r w:rsidRPr="00FE0A83">
        <w:rPr>
          <w:rFonts w:ascii="Times New Roman" w:hAnsi="Times New Roman" w:cs="Times New Roman"/>
          <w:bCs/>
          <w:sz w:val="20"/>
          <w:szCs w:val="20"/>
        </w:rPr>
        <w:t xml:space="preserve">= </w:t>
      </w:r>
      <w:r w:rsidRPr="00FE0A83">
        <w:rPr>
          <w:rFonts w:ascii="Times New Roman" w:hAnsi="Times New Roman" w:cs="Times New Roman"/>
          <w:bCs/>
          <w:i/>
          <w:sz w:val="20"/>
          <w:szCs w:val="20"/>
        </w:rPr>
        <w:t>K/2.</w:t>
      </w:r>
    </w:p>
    <w:p w:rsidR="00A23C30" w:rsidRPr="00FE0A83" w:rsidRDefault="002647E6">
      <w:pPr>
        <w:rPr>
          <w:rFonts w:ascii="Times New Roman" w:hAnsi="Times New Roman" w:cs="Times New Roman"/>
        </w:rPr>
      </w:pPr>
    </w:p>
    <w:p w:rsidR="00FE0A83" w:rsidRPr="00FE0A83" w:rsidRDefault="00FE0A83">
      <w:pPr>
        <w:rPr>
          <w:rFonts w:ascii="Times New Roman" w:hAnsi="Times New Roman" w:cs="Times New Roman"/>
        </w:rPr>
      </w:pPr>
    </w:p>
    <w:p w:rsidR="00FE0A83" w:rsidRPr="00FE0A83" w:rsidRDefault="00FE0A83">
      <w:pPr>
        <w:rPr>
          <w:rFonts w:ascii="Times New Roman" w:hAnsi="Times New Roman" w:cs="Times New Roman"/>
        </w:rPr>
      </w:pPr>
    </w:p>
    <w:p w:rsidR="00FE0A83" w:rsidRPr="006229AC" w:rsidRDefault="00FE0A83" w:rsidP="00FE0A83">
      <w:pPr>
        <w:widowControl w:val="0"/>
        <w:spacing w:line="100" w:lineRule="atLeast"/>
        <w:ind w:left="-540" w:right="-106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229AC">
        <w:rPr>
          <w:rFonts w:ascii="Times New Roman" w:hAnsi="Times New Roman" w:cs="Times New Roman"/>
          <w:noProof/>
          <w:sz w:val="20"/>
          <w:szCs w:val="20"/>
          <w:lang w:val="pt-BR" w:eastAsia="pt-BR"/>
        </w:rPr>
        <w:lastRenderedPageBreak/>
        <w:drawing>
          <wp:inline distT="0" distB="0" distL="0" distR="0">
            <wp:extent cx="5072935" cy="2809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93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83" w:rsidRDefault="00FE0A83" w:rsidP="00FE0A83">
      <w:pPr>
        <w:widowControl w:val="0"/>
        <w:spacing w:line="100" w:lineRule="atLeast"/>
        <w:ind w:left="720" w:right="81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229AC">
        <w:rPr>
          <w:rFonts w:ascii="Times New Roman" w:hAnsi="Times New Roman" w:cs="Times New Roman"/>
          <w:b/>
          <w:sz w:val="20"/>
          <w:szCs w:val="20"/>
        </w:rPr>
        <w:t>Figure 2.</w:t>
      </w:r>
      <w:proofErr w:type="gramEnd"/>
      <w:r w:rsidRPr="006229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229AC">
        <w:rPr>
          <w:rFonts w:ascii="Times New Roman" w:hAnsi="Times New Roman" w:cs="Times New Roman"/>
          <w:sz w:val="20"/>
          <w:szCs w:val="20"/>
        </w:rPr>
        <w:t>corresponds</w:t>
      </w:r>
      <w:proofErr w:type="gramEnd"/>
      <w:r w:rsidRPr="006229AC">
        <w:rPr>
          <w:rFonts w:ascii="Times New Roman" w:hAnsi="Times New Roman" w:cs="Times New Roman"/>
          <w:sz w:val="20"/>
          <w:szCs w:val="20"/>
        </w:rPr>
        <w:t xml:space="preserve"> to (3.1.1). The net growth of the population, </w:t>
      </w:r>
      <w:proofErr w:type="spellStart"/>
      <w:r w:rsidRPr="006229AC">
        <w:rPr>
          <w:rFonts w:ascii="Times New Roman" w:hAnsi="Times New Roman" w:cs="Times New Roman"/>
          <w:i/>
          <w:sz w:val="20"/>
          <w:szCs w:val="20"/>
        </w:rPr>
        <w:t>dn</w:t>
      </w:r>
      <w:proofErr w:type="spellEnd"/>
      <w:r w:rsidRPr="006229AC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6229AC">
        <w:rPr>
          <w:rFonts w:ascii="Times New Roman" w:hAnsi="Times New Roman" w:cs="Times New Roman"/>
          <w:i/>
          <w:sz w:val="20"/>
          <w:szCs w:val="20"/>
        </w:rPr>
        <w:t>dt</w:t>
      </w:r>
      <w:proofErr w:type="spellEnd"/>
      <w:r w:rsidRPr="006229AC">
        <w:rPr>
          <w:rFonts w:ascii="Times New Roman" w:hAnsi="Times New Roman" w:cs="Times New Roman"/>
          <w:sz w:val="20"/>
          <w:szCs w:val="20"/>
        </w:rPr>
        <w:t xml:space="preserve"> is shown as a function of </w:t>
      </w:r>
      <w:r w:rsidRPr="006229AC">
        <w:rPr>
          <w:rFonts w:ascii="Times New Roman" w:hAnsi="Times New Roman" w:cs="Times New Roman"/>
          <w:i/>
          <w:sz w:val="20"/>
          <w:szCs w:val="20"/>
        </w:rPr>
        <w:t>n</w:t>
      </w:r>
      <w:r w:rsidRPr="006229AC">
        <w:rPr>
          <w:rFonts w:ascii="Times New Roman" w:hAnsi="Times New Roman" w:cs="Times New Roman"/>
          <w:sz w:val="20"/>
          <w:szCs w:val="20"/>
        </w:rPr>
        <w:t xml:space="preserve">. </w:t>
      </w:r>
      <w:r w:rsidRPr="006229AC">
        <w:rPr>
          <w:rFonts w:ascii="Times New Roman" w:hAnsi="Times New Roman" w:cs="Times New Roman"/>
          <w:i/>
          <w:sz w:val="20"/>
          <w:szCs w:val="20"/>
        </w:rPr>
        <w:t>K</w:t>
      </w:r>
      <w:r w:rsidRPr="006229AC">
        <w:rPr>
          <w:rFonts w:ascii="Times New Roman" w:hAnsi="Times New Roman" w:cs="Times New Roman"/>
          <w:sz w:val="20"/>
          <w:szCs w:val="20"/>
        </w:rPr>
        <w:t xml:space="preserve"> is the </w:t>
      </w:r>
      <w:r w:rsidRPr="006229AC">
        <w:rPr>
          <w:rFonts w:ascii="Times New Roman" w:hAnsi="Times New Roman" w:cs="Times New Roman"/>
          <w:bCs/>
          <w:sz w:val="20"/>
          <w:szCs w:val="20"/>
        </w:rPr>
        <w:t>environmental carrying capacity and</w:t>
      </w:r>
      <w:r w:rsidRPr="006229AC">
        <w:rPr>
          <w:rFonts w:ascii="Times New Roman" w:hAnsi="Times New Roman" w:cs="Times New Roman"/>
          <w:bCs/>
          <w:i/>
          <w:sz w:val="20"/>
          <w:szCs w:val="20"/>
        </w:rPr>
        <w:t xml:space="preserve"> r</w:t>
      </w:r>
      <w:r w:rsidRPr="006229AC">
        <w:rPr>
          <w:rFonts w:ascii="Times New Roman" w:hAnsi="Times New Roman" w:cs="Times New Roman"/>
          <w:bCs/>
          <w:sz w:val="20"/>
          <w:szCs w:val="20"/>
        </w:rPr>
        <w:t xml:space="preserve"> the intrinsic growth rate. The parabola reaches its maximum when n</w:t>
      </w:r>
      <w:r w:rsidRPr="006229AC">
        <w:rPr>
          <w:rFonts w:ascii="Times New Roman" w:hAnsi="Times New Roman" w:cs="Times New Roman"/>
          <w:bCs/>
          <w:sz w:val="20"/>
          <w:szCs w:val="20"/>
          <w:vertAlign w:val="subscript"/>
        </w:rPr>
        <w:t xml:space="preserve"> </w:t>
      </w:r>
      <w:r w:rsidRPr="006229AC">
        <w:rPr>
          <w:rFonts w:ascii="Times New Roman" w:hAnsi="Times New Roman" w:cs="Times New Roman"/>
          <w:bCs/>
          <w:sz w:val="20"/>
          <w:szCs w:val="20"/>
        </w:rPr>
        <w:t xml:space="preserve">= </w:t>
      </w:r>
      <w:r w:rsidRPr="006229AC">
        <w:rPr>
          <w:rFonts w:ascii="Times New Roman" w:hAnsi="Times New Roman" w:cs="Times New Roman"/>
          <w:bCs/>
          <w:i/>
          <w:sz w:val="20"/>
          <w:szCs w:val="20"/>
        </w:rPr>
        <w:t>K/2.</w:t>
      </w:r>
      <w:r w:rsidRPr="006229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229AC">
        <w:rPr>
          <w:rFonts w:ascii="Times New Roman" w:hAnsi="Times New Roman" w:cs="Times New Roman"/>
          <w:sz w:val="20"/>
          <w:szCs w:val="20"/>
        </w:rPr>
        <w:t xml:space="preserve">The parabola is the natural growth of the population while the horizontal lines are the constant yields, </w:t>
      </w:r>
      <w:r w:rsidRPr="006229AC">
        <w:rPr>
          <w:rFonts w:ascii="Times New Roman" w:hAnsi="Times New Roman" w:cs="Times New Roman"/>
          <w:i/>
          <w:sz w:val="20"/>
          <w:szCs w:val="20"/>
        </w:rPr>
        <w:t>H</w:t>
      </w:r>
      <w:r w:rsidRPr="006229AC">
        <w:rPr>
          <w:rFonts w:ascii="Times New Roman" w:hAnsi="Times New Roman" w:cs="Times New Roman"/>
          <w:sz w:val="20"/>
          <w:szCs w:val="20"/>
        </w:rPr>
        <w:t xml:space="preserve"> at three different predating levels. Where the line lies above the parabola; the net growth rate is negative. Where the line lies below the parabola, the net growth rate is positive. The points of intersection correspond to possible </w:t>
      </w:r>
      <w:proofErr w:type="spellStart"/>
      <w:r w:rsidRPr="006229AC">
        <w:rPr>
          <w:rFonts w:ascii="Times New Roman" w:hAnsi="Times New Roman" w:cs="Times New Roman"/>
          <w:sz w:val="20"/>
          <w:szCs w:val="20"/>
        </w:rPr>
        <w:t>equilibria</w:t>
      </w:r>
      <w:proofErr w:type="spellEnd"/>
      <w:r w:rsidRPr="006229AC">
        <w:rPr>
          <w:rFonts w:ascii="Times New Roman" w:hAnsi="Times New Roman" w:cs="Times New Roman"/>
          <w:sz w:val="20"/>
          <w:szCs w:val="20"/>
        </w:rPr>
        <w:t xml:space="preserve"> and the arrows indicate the stability of the </w:t>
      </w:r>
      <w:proofErr w:type="spellStart"/>
      <w:r w:rsidRPr="006229AC">
        <w:rPr>
          <w:rFonts w:ascii="Times New Roman" w:hAnsi="Times New Roman" w:cs="Times New Roman"/>
          <w:sz w:val="20"/>
          <w:szCs w:val="20"/>
        </w:rPr>
        <w:t>equilibria</w:t>
      </w:r>
      <w:proofErr w:type="spellEnd"/>
      <w:r w:rsidRPr="006229AC">
        <w:rPr>
          <w:rFonts w:ascii="Times New Roman" w:hAnsi="Times New Roman" w:cs="Times New Roman"/>
          <w:sz w:val="20"/>
          <w:szCs w:val="20"/>
        </w:rPr>
        <w:t>.</w:t>
      </w:r>
    </w:p>
    <w:p w:rsidR="006229AC" w:rsidRDefault="006229AC" w:rsidP="00FE0A83">
      <w:pPr>
        <w:widowControl w:val="0"/>
        <w:spacing w:line="100" w:lineRule="atLeast"/>
        <w:ind w:left="720" w:right="818"/>
        <w:jc w:val="both"/>
        <w:rPr>
          <w:rFonts w:ascii="Times New Roman" w:hAnsi="Times New Roman" w:cs="Times New Roman"/>
          <w:sz w:val="20"/>
          <w:szCs w:val="20"/>
        </w:rPr>
      </w:pPr>
    </w:p>
    <w:p w:rsidR="006229AC" w:rsidRPr="006229AC" w:rsidRDefault="006229AC" w:rsidP="006229AC">
      <w:pPr>
        <w:widowControl w:val="0"/>
        <w:spacing w:line="100" w:lineRule="atLeast"/>
        <w:ind w:left="720" w:right="81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logistic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curve with Type I</w:t>
      </w:r>
    </w:p>
    <w:p w:rsidR="00FE0A83" w:rsidRPr="006229AC" w:rsidRDefault="00FE0A83" w:rsidP="006229AC">
      <w:pPr>
        <w:widowControl w:val="0"/>
        <w:spacing w:line="100" w:lineRule="atLeast"/>
        <w:ind w:left="-540" w:right="-1068" w:firstLine="630"/>
        <w:jc w:val="both"/>
        <w:rPr>
          <w:rFonts w:ascii="Times New Roman" w:hAnsi="Times New Roman" w:cs="Times New Roman"/>
          <w:sz w:val="20"/>
          <w:szCs w:val="20"/>
        </w:rPr>
      </w:pPr>
      <w:r w:rsidRPr="006229AC">
        <w:rPr>
          <w:rFonts w:ascii="Times New Roman" w:hAnsi="Times New Roman" w:cs="Times New Roman"/>
          <w:noProof/>
          <w:sz w:val="20"/>
          <w:szCs w:val="20"/>
          <w:lang w:val="pt-BR" w:eastAsia="pt-BR"/>
        </w:rPr>
        <w:drawing>
          <wp:inline distT="0" distB="0" distL="0" distR="0">
            <wp:extent cx="5035288" cy="2781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375" cy="278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83" w:rsidRPr="006229AC" w:rsidRDefault="00FE0A83" w:rsidP="00FE0A83">
      <w:pPr>
        <w:widowControl w:val="0"/>
        <w:tabs>
          <w:tab w:val="left" w:pos="7920"/>
        </w:tabs>
        <w:spacing w:line="100" w:lineRule="atLeast"/>
        <w:ind w:left="720" w:right="81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229AC">
        <w:rPr>
          <w:rFonts w:ascii="Times New Roman" w:hAnsi="Times New Roman" w:cs="Times New Roman"/>
          <w:sz w:val="20"/>
          <w:szCs w:val="20"/>
        </w:rPr>
        <w:t>Figure 3.</w:t>
      </w:r>
      <w:proofErr w:type="gramEnd"/>
      <w:r w:rsidRPr="006229A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229AC">
        <w:rPr>
          <w:rFonts w:ascii="Times New Roman" w:hAnsi="Times New Roman" w:cs="Times New Roman"/>
          <w:sz w:val="20"/>
          <w:szCs w:val="20"/>
        </w:rPr>
        <w:t>corresponds</w:t>
      </w:r>
      <w:proofErr w:type="gramEnd"/>
      <w:r w:rsidRPr="006229AC">
        <w:rPr>
          <w:rFonts w:ascii="Times New Roman" w:hAnsi="Times New Roman" w:cs="Times New Roman"/>
          <w:sz w:val="20"/>
          <w:szCs w:val="20"/>
        </w:rPr>
        <w:t xml:space="preserve"> to (3.2.2). The net growth of the population, </w:t>
      </w:r>
      <w:proofErr w:type="spellStart"/>
      <w:r w:rsidRPr="006229AC">
        <w:rPr>
          <w:rFonts w:ascii="Times New Roman" w:hAnsi="Times New Roman" w:cs="Times New Roman"/>
          <w:i/>
          <w:sz w:val="20"/>
          <w:szCs w:val="20"/>
        </w:rPr>
        <w:t>dn</w:t>
      </w:r>
      <w:proofErr w:type="spellEnd"/>
      <w:r w:rsidRPr="006229AC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6229AC">
        <w:rPr>
          <w:rFonts w:ascii="Times New Roman" w:hAnsi="Times New Roman" w:cs="Times New Roman"/>
          <w:i/>
          <w:sz w:val="20"/>
          <w:szCs w:val="20"/>
        </w:rPr>
        <w:t>dt</w:t>
      </w:r>
      <w:proofErr w:type="spellEnd"/>
      <w:r w:rsidRPr="006229AC">
        <w:rPr>
          <w:rFonts w:ascii="Times New Roman" w:hAnsi="Times New Roman" w:cs="Times New Roman"/>
          <w:sz w:val="20"/>
          <w:szCs w:val="20"/>
        </w:rPr>
        <w:t xml:space="preserve"> is shown as a function of </w:t>
      </w:r>
      <w:r w:rsidRPr="006229AC">
        <w:rPr>
          <w:rFonts w:ascii="Times New Roman" w:hAnsi="Times New Roman" w:cs="Times New Roman"/>
          <w:i/>
          <w:sz w:val="20"/>
          <w:szCs w:val="20"/>
        </w:rPr>
        <w:t>n</w:t>
      </w:r>
      <w:r w:rsidRPr="006229AC">
        <w:rPr>
          <w:rFonts w:ascii="Times New Roman" w:hAnsi="Times New Roman" w:cs="Times New Roman"/>
          <w:sz w:val="20"/>
          <w:szCs w:val="20"/>
        </w:rPr>
        <w:t xml:space="preserve">. </w:t>
      </w:r>
      <w:r w:rsidRPr="006229AC">
        <w:rPr>
          <w:rFonts w:ascii="Times New Roman" w:hAnsi="Times New Roman" w:cs="Times New Roman"/>
          <w:i/>
          <w:sz w:val="20"/>
          <w:szCs w:val="20"/>
        </w:rPr>
        <w:t>K</w:t>
      </w:r>
      <w:r w:rsidRPr="006229AC">
        <w:rPr>
          <w:rFonts w:ascii="Times New Roman" w:hAnsi="Times New Roman" w:cs="Times New Roman"/>
          <w:sz w:val="20"/>
          <w:szCs w:val="20"/>
        </w:rPr>
        <w:t xml:space="preserve"> is the </w:t>
      </w:r>
      <w:r w:rsidRPr="006229AC">
        <w:rPr>
          <w:rFonts w:ascii="Times New Roman" w:hAnsi="Times New Roman" w:cs="Times New Roman"/>
          <w:bCs/>
          <w:sz w:val="20"/>
          <w:szCs w:val="20"/>
        </w:rPr>
        <w:t>environmental carrying capacity,</w:t>
      </w:r>
      <w:r w:rsidRPr="006229AC">
        <w:rPr>
          <w:rFonts w:ascii="Times New Roman" w:hAnsi="Times New Roman" w:cs="Times New Roman"/>
          <w:bCs/>
          <w:i/>
          <w:sz w:val="20"/>
          <w:szCs w:val="20"/>
        </w:rPr>
        <w:t xml:space="preserve"> r</w:t>
      </w:r>
      <w:r w:rsidRPr="006229AC">
        <w:rPr>
          <w:rFonts w:ascii="Times New Roman" w:hAnsi="Times New Roman" w:cs="Times New Roman"/>
          <w:bCs/>
          <w:sz w:val="20"/>
          <w:szCs w:val="20"/>
        </w:rPr>
        <w:t xml:space="preserve"> is the intrinsic growth rate, </w:t>
      </w:r>
      <w:r w:rsidRPr="006229AC">
        <w:rPr>
          <w:rFonts w:ascii="Times New Roman" w:hAnsi="Times New Roman" w:cs="Times New Roman"/>
          <w:bCs/>
          <w:i/>
          <w:sz w:val="20"/>
          <w:szCs w:val="20"/>
        </w:rPr>
        <w:t>e</w:t>
      </w:r>
      <w:r w:rsidRPr="006229AC">
        <w:rPr>
          <w:rFonts w:ascii="Times New Roman" w:hAnsi="Times New Roman" w:cs="Times New Roman"/>
          <w:bCs/>
          <w:sz w:val="20"/>
          <w:szCs w:val="20"/>
        </w:rPr>
        <w:t xml:space="preserve"> is the effort and </w:t>
      </w:r>
      <w:r w:rsidRPr="006229AC">
        <w:rPr>
          <w:rFonts w:ascii="Times New Roman" w:hAnsi="Times New Roman" w:cs="Times New Roman"/>
          <w:bCs/>
          <w:i/>
          <w:sz w:val="20"/>
          <w:szCs w:val="20"/>
        </w:rPr>
        <w:t>q</w:t>
      </w:r>
      <w:r w:rsidRPr="006229AC">
        <w:rPr>
          <w:rFonts w:ascii="Times New Roman" w:hAnsi="Times New Roman" w:cs="Times New Roman"/>
          <w:bCs/>
          <w:sz w:val="20"/>
          <w:szCs w:val="20"/>
        </w:rPr>
        <w:t xml:space="preserve"> is the </w:t>
      </w:r>
      <w:proofErr w:type="spellStart"/>
      <w:r w:rsidRPr="006229AC">
        <w:rPr>
          <w:rFonts w:ascii="Times New Roman" w:hAnsi="Times New Roman" w:cs="Times New Roman"/>
          <w:bCs/>
          <w:sz w:val="20"/>
          <w:szCs w:val="20"/>
        </w:rPr>
        <w:t>capturability</w:t>
      </w:r>
      <w:proofErr w:type="spellEnd"/>
      <w:r w:rsidRPr="006229AC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6229AC">
        <w:rPr>
          <w:rFonts w:ascii="Times New Roman" w:hAnsi="Times New Roman" w:cs="Times New Roman"/>
          <w:sz w:val="20"/>
          <w:szCs w:val="20"/>
        </w:rPr>
        <w:t xml:space="preserve">The parabola is the natural growth of the population while lines are loss due to predation using constant effort, </w:t>
      </w:r>
      <w:r w:rsidRPr="006229AC">
        <w:rPr>
          <w:rFonts w:ascii="Times New Roman" w:hAnsi="Times New Roman" w:cs="Times New Roman"/>
          <w:i/>
          <w:sz w:val="20"/>
          <w:szCs w:val="20"/>
        </w:rPr>
        <w:t>h=</w:t>
      </w:r>
      <w:proofErr w:type="spellStart"/>
      <w:proofErr w:type="gramStart"/>
      <w:r w:rsidRPr="006229AC">
        <w:rPr>
          <w:rFonts w:ascii="Times New Roman" w:hAnsi="Times New Roman" w:cs="Times New Roman"/>
          <w:i/>
          <w:sz w:val="20"/>
          <w:szCs w:val="20"/>
        </w:rPr>
        <w:t>qe</w:t>
      </w:r>
      <w:proofErr w:type="spellEnd"/>
      <w:r w:rsidRPr="006229AC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6229AC">
        <w:rPr>
          <w:rFonts w:ascii="Times New Roman" w:hAnsi="Times New Roman" w:cs="Times New Roman"/>
          <w:i/>
          <w:sz w:val="20"/>
          <w:szCs w:val="20"/>
        </w:rPr>
        <w:t>t)n</w:t>
      </w:r>
      <w:r w:rsidRPr="006229AC">
        <w:rPr>
          <w:rFonts w:ascii="Times New Roman" w:hAnsi="Times New Roman" w:cs="Times New Roman"/>
          <w:sz w:val="20"/>
          <w:szCs w:val="20"/>
        </w:rPr>
        <w:t xml:space="preserve">.  When </w:t>
      </w:r>
      <w:proofErr w:type="gramStart"/>
      <w:r w:rsidRPr="006229AC">
        <w:rPr>
          <w:rFonts w:ascii="Times New Roman" w:hAnsi="Times New Roman" w:cs="Times New Roman"/>
          <w:i/>
          <w:sz w:val="20"/>
          <w:szCs w:val="20"/>
        </w:rPr>
        <w:t>e(</w:t>
      </w:r>
      <w:proofErr w:type="gramEnd"/>
      <w:r w:rsidRPr="006229AC">
        <w:rPr>
          <w:rFonts w:ascii="Times New Roman" w:hAnsi="Times New Roman" w:cs="Times New Roman"/>
          <w:i/>
          <w:sz w:val="20"/>
          <w:szCs w:val="20"/>
        </w:rPr>
        <w:t>t)</w:t>
      </w:r>
      <w:r w:rsidRPr="006229AC">
        <w:rPr>
          <w:rFonts w:ascii="Times New Roman" w:hAnsi="Times New Roman" w:cs="Times New Roman"/>
          <w:sz w:val="20"/>
          <w:szCs w:val="20"/>
        </w:rPr>
        <w:t xml:space="preserve"> is increased, </w:t>
      </w:r>
      <w:r w:rsidRPr="006229AC">
        <w:rPr>
          <w:rFonts w:ascii="Times New Roman" w:hAnsi="Times New Roman" w:cs="Times New Roman"/>
          <w:i/>
          <w:sz w:val="20"/>
          <w:szCs w:val="20"/>
        </w:rPr>
        <w:t>h</w:t>
      </w:r>
      <w:r w:rsidRPr="006229AC">
        <w:rPr>
          <w:rFonts w:ascii="Times New Roman" w:hAnsi="Times New Roman" w:cs="Times New Roman"/>
          <w:i/>
          <w:sz w:val="20"/>
          <w:szCs w:val="20"/>
          <w:vertAlign w:val="subscript"/>
        </w:rPr>
        <w:t>1</w:t>
      </w:r>
      <w:r w:rsidRPr="006229AC">
        <w:rPr>
          <w:rFonts w:ascii="Times New Roman" w:hAnsi="Times New Roman" w:cs="Times New Roman"/>
          <w:sz w:val="20"/>
          <w:szCs w:val="20"/>
        </w:rPr>
        <w:t xml:space="preserve"> moves to the left to </w:t>
      </w:r>
      <w:r w:rsidRPr="006229AC">
        <w:rPr>
          <w:rFonts w:ascii="Times New Roman" w:hAnsi="Times New Roman" w:cs="Times New Roman"/>
          <w:i/>
          <w:sz w:val="20"/>
          <w:szCs w:val="20"/>
        </w:rPr>
        <w:t>h</w:t>
      </w:r>
      <w:r w:rsidRPr="006229AC">
        <w:rPr>
          <w:rFonts w:ascii="Times New Roman" w:hAnsi="Times New Roman" w:cs="Times New Roman"/>
          <w:i/>
          <w:sz w:val="20"/>
          <w:szCs w:val="20"/>
          <w:vertAlign w:val="subscript"/>
        </w:rPr>
        <w:t>2</w:t>
      </w:r>
      <w:r w:rsidRPr="006229AC">
        <w:rPr>
          <w:rFonts w:ascii="Times New Roman" w:hAnsi="Times New Roman" w:cs="Times New Roman"/>
          <w:sz w:val="20"/>
          <w:szCs w:val="20"/>
        </w:rPr>
        <w:t xml:space="preserve">. Where the line lies above the parabola; the net growth rate is negative. Where the line lies below the parabola, the net growth rate is positive. The points of intersection correspond to possible </w:t>
      </w:r>
      <w:proofErr w:type="spellStart"/>
      <w:r w:rsidRPr="006229AC">
        <w:rPr>
          <w:rFonts w:ascii="Times New Roman" w:hAnsi="Times New Roman" w:cs="Times New Roman"/>
          <w:sz w:val="20"/>
          <w:szCs w:val="20"/>
        </w:rPr>
        <w:t>equilibria</w:t>
      </w:r>
      <w:proofErr w:type="spellEnd"/>
      <w:r w:rsidRPr="006229AC">
        <w:rPr>
          <w:rFonts w:ascii="Times New Roman" w:hAnsi="Times New Roman" w:cs="Times New Roman"/>
          <w:sz w:val="20"/>
          <w:szCs w:val="20"/>
        </w:rPr>
        <w:t xml:space="preserve"> and the arrows indicate the stability of the </w:t>
      </w:r>
      <w:proofErr w:type="spellStart"/>
      <w:r w:rsidRPr="006229AC">
        <w:rPr>
          <w:rFonts w:ascii="Times New Roman" w:hAnsi="Times New Roman" w:cs="Times New Roman"/>
          <w:sz w:val="20"/>
          <w:szCs w:val="20"/>
        </w:rPr>
        <w:t>equilibria</w:t>
      </w:r>
      <w:proofErr w:type="spellEnd"/>
      <w:r w:rsidRPr="006229AC">
        <w:rPr>
          <w:rFonts w:ascii="Times New Roman" w:hAnsi="Times New Roman" w:cs="Times New Roman"/>
          <w:sz w:val="20"/>
          <w:szCs w:val="20"/>
        </w:rPr>
        <w:t>.</w:t>
      </w:r>
    </w:p>
    <w:p w:rsidR="00FE0A83" w:rsidRPr="006229AC" w:rsidRDefault="00FE0A83" w:rsidP="00FE0A83">
      <w:pPr>
        <w:tabs>
          <w:tab w:val="left" w:pos="7200"/>
        </w:tabs>
        <w:jc w:val="both"/>
        <w:rPr>
          <w:b/>
          <w:sz w:val="20"/>
          <w:szCs w:val="20"/>
        </w:rPr>
      </w:pPr>
      <w:r w:rsidRPr="008238E7">
        <w:rPr>
          <w:b/>
          <w:noProof/>
          <w:szCs w:val="16"/>
          <w:lang w:val="pt-B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8" type="#_x0000_t202" style="position:absolute;left:0;text-align:left;margin-left:336pt;margin-top:204.75pt;width:12pt;height:27pt;z-index:251660288" filled="f" stroked="f">
            <v:textbox style="mso-next-textbox:#_x0000_s1208">
              <w:txbxContent>
                <w:p w:rsidR="00FE0A83" w:rsidRPr="00BB7499" w:rsidRDefault="00FE0A83" w:rsidP="00FE0A83">
                  <w:pPr>
                    <w:rPr>
                      <w:i/>
                      <w:sz w:val="18"/>
                      <w:lang w:val="pt-BR"/>
                    </w:rPr>
                  </w:pPr>
                  <w:r w:rsidRPr="00BB7499">
                    <w:rPr>
                      <w:i/>
                      <w:sz w:val="18"/>
                      <w:lang w:val="pt-BR"/>
                    </w:rPr>
                    <w:t>K</w:t>
                  </w:r>
                </w:p>
              </w:txbxContent>
            </v:textbox>
          </v:shape>
        </w:pict>
      </w:r>
      <w:r w:rsidRPr="006229AC">
        <w:rPr>
          <w:b/>
          <w:noProof/>
          <w:sz w:val="20"/>
          <w:szCs w:val="20"/>
          <w:lang w:val="pt-BR" w:eastAsia="pt-BR"/>
        </w:rPr>
        <w:drawing>
          <wp:inline distT="0" distB="0" distL="0" distR="0">
            <wp:extent cx="5029200" cy="3200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83" w:rsidRPr="006229AC" w:rsidRDefault="00FE0A83" w:rsidP="00FE0A83">
      <w:pPr>
        <w:tabs>
          <w:tab w:val="left" w:pos="7200"/>
        </w:tabs>
        <w:ind w:left="720" w:right="818"/>
        <w:jc w:val="both"/>
        <w:rPr>
          <w:rFonts w:ascii="Times New Roman" w:hAnsi="Times New Roman" w:cs="Times New Roman"/>
          <w:sz w:val="20"/>
          <w:szCs w:val="20"/>
        </w:rPr>
      </w:pPr>
      <w:r w:rsidRPr="006229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229AC">
        <w:rPr>
          <w:rFonts w:ascii="Times New Roman" w:hAnsi="Times New Roman" w:cs="Times New Roman"/>
          <w:b/>
          <w:sz w:val="20"/>
          <w:szCs w:val="20"/>
        </w:rPr>
        <w:t>Figure 4.</w:t>
      </w:r>
      <w:proofErr w:type="gramEnd"/>
      <w:r w:rsidRPr="006229A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229AC">
        <w:rPr>
          <w:rFonts w:ascii="Times New Roman" w:hAnsi="Times New Roman" w:cs="Times New Roman"/>
          <w:sz w:val="20"/>
          <w:szCs w:val="20"/>
        </w:rPr>
        <w:t>corresponds</w:t>
      </w:r>
      <w:proofErr w:type="gramEnd"/>
      <w:r w:rsidRPr="006229AC">
        <w:rPr>
          <w:rFonts w:ascii="Times New Roman" w:hAnsi="Times New Roman" w:cs="Times New Roman"/>
          <w:sz w:val="20"/>
          <w:szCs w:val="20"/>
        </w:rPr>
        <w:t xml:space="preserve"> to (3.3.2) and (3.3.3). The net growth of the population, </w:t>
      </w:r>
      <w:proofErr w:type="spellStart"/>
      <w:r w:rsidRPr="006229AC">
        <w:rPr>
          <w:rFonts w:ascii="Times New Roman" w:hAnsi="Times New Roman" w:cs="Times New Roman"/>
          <w:i/>
          <w:sz w:val="20"/>
          <w:szCs w:val="20"/>
        </w:rPr>
        <w:t>dn</w:t>
      </w:r>
      <w:proofErr w:type="spellEnd"/>
      <w:r w:rsidRPr="006229AC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6229AC">
        <w:rPr>
          <w:rFonts w:ascii="Times New Roman" w:hAnsi="Times New Roman" w:cs="Times New Roman"/>
          <w:i/>
          <w:sz w:val="20"/>
          <w:szCs w:val="20"/>
        </w:rPr>
        <w:t>dt</w:t>
      </w:r>
      <w:proofErr w:type="spellEnd"/>
      <w:r w:rsidRPr="006229AC">
        <w:rPr>
          <w:rFonts w:ascii="Times New Roman" w:hAnsi="Times New Roman" w:cs="Times New Roman"/>
          <w:sz w:val="20"/>
          <w:szCs w:val="20"/>
        </w:rPr>
        <w:t xml:space="preserve"> is shown as a function of </w:t>
      </w:r>
      <w:r w:rsidRPr="006229AC">
        <w:rPr>
          <w:rFonts w:ascii="Times New Roman" w:hAnsi="Times New Roman" w:cs="Times New Roman"/>
          <w:i/>
          <w:sz w:val="20"/>
          <w:szCs w:val="20"/>
        </w:rPr>
        <w:t>n.</w:t>
      </w:r>
      <w:r w:rsidRPr="006229AC">
        <w:rPr>
          <w:rFonts w:ascii="Times New Roman" w:hAnsi="Times New Roman" w:cs="Times New Roman"/>
          <w:sz w:val="20"/>
          <w:szCs w:val="20"/>
        </w:rPr>
        <w:t xml:space="preserve"> </w:t>
      </w:r>
      <w:r w:rsidRPr="006229AC">
        <w:rPr>
          <w:rFonts w:ascii="Times New Roman" w:hAnsi="Times New Roman" w:cs="Times New Roman"/>
          <w:i/>
          <w:sz w:val="20"/>
          <w:szCs w:val="20"/>
        </w:rPr>
        <w:t>K</w:t>
      </w:r>
      <w:r w:rsidRPr="006229AC">
        <w:rPr>
          <w:rFonts w:ascii="Times New Roman" w:hAnsi="Times New Roman" w:cs="Times New Roman"/>
          <w:sz w:val="20"/>
          <w:szCs w:val="20"/>
        </w:rPr>
        <w:t xml:space="preserve"> is the environmental carrying capacity and </w:t>
      </w:r>
      <w:proofErr w:type="gramStart"/>
      <w:r w:rsidRPr="006229AC">
        <w:rPr>
          <w:rFonts w:ascii="Times New Roman" w:hAnsi="Times New Roman" w:cs="Times New Roman"/>
          <w:i/>
          <w:sz w:val="20"/>
          <w:szCs w:val="20"/>
        </w:rPr>
        <w:t>H(</w:t>
      </w:r>
      <w:proofErr w:type="gramEnd"/>
      <w:r w:rsidRPr="006229AC">
        <w:rPr>
          <w:rFonts w:ascii="Times New Roman" w:hAnsi="Times New Roman" w:cs="Times New Roman"/>
          <w:i/>
          <w:sz w:val="20"/>
          <w:szCs w:val="20"/>
        </w:rPr>
        <w:t>n)</w:t>
      </w:r>
      <w:r w:rsidRPr="006229AC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6229AC">
        <w:rPr>
          <w:rFonts w:ascii="Times New Roman" w:hAnsi="Times New Roman" w:cs="Times New Roman"/>
          <w:sz w:val="20"/>
          <w:szCs w:val="20"/>
        </w:rPr>
        <w:t>Holling</w:t>
      </w:r>
      <w:proofErr w:type="spellEnd"/>
      <w:r w:rsidRPr="006229AC">
        <w:rPr>
          <w:rFonts w:ascii="Times New Roman" w:hAnsi="Times New Roman" w:cs="Times New Roman"/>
          <w:sz w:val="20"/>
          <w:szCs w:val="20"/>
        </w:rPr>
        <w:t xml:space="preserve"> Type II functional response. The points of intersection correspond to the possible </w:t>
      </w:r>
      <w:proofErr w:type="spellStart"/>
      <w:r w:rsidRPr="006229AC">
        <w:rPr>
          <w:rFonts w:ascii="Times New Roman" w:hAnsi="Times New Roman" w:cs="Times New Roman"/>
          <w:sz w:val="20"/>
          <w:szCs w:val="20"/>
        </w:rPr>
        <w:t>equilibria</w:t>
      </w:r>
      <w:proofErr w:type="spellEnd"/>
      <w:r w:rsidRPr="006229AC">
        <w:rPr>
          <w:rFonts w:ascii="Times New Roman" w:hAnsi="Times New Roman" w:cs="Times New Roman"/>
          <w:sz w:val="20"/>
          <w:szCs w:val="20"/>
        </w:rPr>
        <w:t xml:space="preserve">. Where the parabola is above the curve, the net growth rate is positive (the flow along the x-axis is to the right). Where the curve is above the parabola, the net growth rate is negative (the flow along the x-axis is to the left). </w:t>
      </w:r>
      <w:r w:rsidRPr="006229AC">
        <w:rPr>
          <w:rFonts w:ascii="Times New Roman" w:hAnsi="Times New Roman" w:cs="Times New Roman"/>
          <w:i/>
          <w:sz w:val="20"/>
          <w:szCs w:val="20"/>
        </w:rPr>
        <w:t>h(1),h(2),h(3),h(4),h(5)</w:t>
      </w:r>
      <w:r w:rsidRPr="006229AC">
        <w:rPr>
          <w:rFonts w:ascii="Times New Roman" w:hAnsi="Times New Roman" w:cs="Times New Roman"/>
          <w:sz w:val="20"/>
          <w:szCs w:val="20"/>
        </w:rPr>
        <w:t xml:space="preserve"> are predation levels with </w:t>
      </w:r>
      <w:r w:rsidRPr="006229AC">
        <w:rPr>
          <w:rFonts w:ascii="Times New Roman" w:hAnsi="Times New Roman" w:cs="Times New Roman"/>
          <w:i/>
          <w:sz w:val="20"/>
          <w:szCs w:val="20"/>
        </w:rPr>
        <w:t>a</w:t>
      </w:r>
      <w:r w:rsidRPr="006229AC">
        <w:rPr>
          <w:rFonts w:ascii="Times New Roman" w:hAnsi="Times New Roman" w:cs="Times New Roman"/>
          <w:sz w:val="20"/>
          <w:szCs w:val="20"/>
        </w:rPr>
        <w:t xml:space="preserve"> =0.12 and η =0.048, 0.136, 0.224, 0.312 and 0.48 respectively.</w:t>
      </w:r>
    </w:p>
    <w:p w:rsidR="00FE0A83" w:rsidRDefault="00FE0A83" w:rsidP="00FE0A83">
      <w:pPr>
        <w:widowControl w:val="0"/>
        <w:tabs>
          <w:tab w:val="left" w:pos="7920"/>
        </w:tabs>
        <w:spacing w:line="100" w:lineRule="atLeast"/>
        <w:ind w:left="720" w:right="818"/>
        <w:jc w:val="both"/>
        <w:rPr>
          <w:rFonts w:ascii="Times New Roman" w:hAnsi="Times New Roman" w:cs="Times New Roman"/>
          <w:sz w:val="18"/>
          <w:szCs w:val="18"/>
        </w:rPr>
      </w:pPr>
    </w:p>
    <w:p w:rsidR="006229AC" w:rsidRDefault="006229AC" w:rsidP="00FE0A83">
      <w:pPr>
        <w:widowControl w:val="0"/>
        <w:tabs>
          <w:tab w:val="left" w:pos="7920"/>
        </w:tabs>
        <w:spacing w:line="100" w:lineRule="atLeast"/>
        <w:ind w:left="720" w:right="818"/>
        <w:jc w:val="both"/>
        <w:rPr>
          <w:rFonts w:ascii="Times New Roman" w:hAnsi="Times New Roman" w:cs="Times New Roman"/>
          <w:sz w:val="18"/>
          <w:szCs w:val="18"/>
        </w:rPr>
      </w:pPr>
    </w:p>
    <w:p w:rsidR="006229AC" w:rsidRDefault="006229AC" w:rsidP="00FE0A83">
      <w:pPr>
        <w:widowControl w:val="0"/>
        <w:tabs>
          <w:tab w:val="left" w:pos="7920"/>
        </w:tabs>
        <w:spacing w:line="100" w:lineRule="atLeast"/>
        <w:ind w:left="720" w:right="818"/>
        <w:jc w:val="both"/>
        <w:rPr>
          <w:rFonts w:ascii="Times New Roman" w:hAnsi="Times New Roman" w:cs="Times New Roman"/>
          <w:sz w:val="18"/>
          <w:szCs w:val="18"/>
        </w:rPr>
      </w:pPr>
    </w:p>
    <w:p w:rsidR="006229AC" w:rsidRDefault="006229AC" w:rsidP="00FE0A83">
      <w:pPr>
        <w:widowControl w:val="0"/>
        <w:tabs>
          <w:tab w:val="left" w:pos="7920"/>
        </w:tabs>
        <w:spacing w:line="100" w:lineRule="atLeast"/>
        <w:ind w:left="720" w:right="818"/>
        <w:jc w:val="both"/>
        <w:rPr>
          <w:rFonts w:ascii="Times New Roman" w:hAnsi="Times New Roman" w:cs="Times New Roman"/>
          <w:sz w:val="18"/>
          <w:szCs w:val="18"/>
        </w:rPr>
      </w:pPr>
    </w:p>
    <w:p w:rsidR="006229AC" w:rsidRDefault="006229AC" w:rsidP="00FE0A83">
      <w:pPr>
        <w:widowControl w:val="0"/>
        <w:tabs>
          <w:tab w:val="left" w:pos="7920"/>
        </w:tabs>
        <w:spacing w:line="100" w:lineRule="atLeast"/>
        <w:ind w:left="720" w:right="818"/>
        <w:jc w:val="both"/>
        <w:rPr>
          <w:rFonts w:ascii="Times New Roman" w:hAnsi="Times New Roman" w:cs="Times New Roman"/>
          <w:sz w:val="18"/>
          <w:szCs w:val="18"/>
        </w:rPr>
      </w:pPr>
    </w:p>
    <w:p w:rsidR="006229AC" w:rsidRDefault="006229AC" w:rsidP="00FE0A83">
      <w:pPr>
        <w:widowControl w:val="0"/>
        <w:tabs>
          <w:tab w:val="left" w:pos="7920"/>
        </w:tabs>
        <w:spacing w:line="100" w:lineRule="atLeast"/>
        <w:ind w:left="720" w:right="818"/>
        <w:jc w:val="both"/>
        <w:rPr>
          <w:rFonts w:ascii="Times New Roman" w:hAnsi="Times New Roman" w:cs="Times New Roman"/>
          <w:sz w:val="18"/>
          <w:szCs w:val="18"/>
        </w:rPr>
      </w:pPr>
    </w:p>
    <w:p w:rsidR="00FE0A83" w:rsidRPr="00FE0A83" w:rsidRDefault="00FE0A83" w:rsidP="00FE0A83">
      <w:pPr>
        <w:ind w:right="-982"/>
        <w:jc w:val="both"/>
        <w:rPr>
          <w:rFonts w:ascii="Times New Roman" w:hAnsi="Times New Roman" w:cs="Times New Roman"/>
        </w:rPr>
      </w:pPr>
      <w:r w:rsidRPr="00FE0A83">
        <w:rPr>
          <w:rFonts w:ascii="Times New Roman" w:hAnsi="Times New Roman" w:cs="Times New Roman"/>
          <w:noProof/>
          <w:lang w:val="pt-BR"/>
        </w:rPr>
        <w:lastRenderedPageBreak/>
        <w:pict>
          <v:shape id="_x0000_s1209" type="#_x0000_t202" style="position:absolute;left:0;text-align:left;margin-left:342pt;margin-top:198pt;width:6pt;height:18pt;z-index:251662336" filled="f" stroked="f">
            <v:textbox>
              <w:txbxContent>
                <w:p w:rsidR="00FE0A83" w:rsidRPr="00BB7499" w:rsidRDefault="00FE0A83" w:rsidP="00FE0A83">
                  <w:pPr>
                    <w:rPr>
                      <w:i/>
                      <w:sz w:val="16"/>
                      <w:lang w:val="pt-BR"/>
                    </w:rPr>
                  </w:pPr>
                  <w:r w:rsidRPr="00BB7499">
                    <w:rPr>
                      <w:i/>
                      <w:sz w:val="16"/>
                      <w:lang w:val="pt-BR"/>
                    </w:rPr>
                    <w:t>K</w:t>
                  </w:r>
                </w:p>
              </w:txbxContent>
            </v:textbox>
          </v:shape>
        </w:pict>
      </w:r>
      <w:r w:rsidRPr="00FE0A83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5105400" cy="27622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83" w:rsidRPr="00FE0A83" w:rsidRDefault="00FE0A83" w:rsidP="00FE0A83">
      <w:pPr>
        <w:tabs>
          <w:tab w:val="left" w:pos="7200"/>
        </w:tabs>
        <w:ind w:left="720" w:right="81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E0A83">
        <w:rPr>
          <w:rFonts w:ascii="Times New Roman" w:hAnsi="Times New Roman" w:cs="Times New Roman"/>
          <w:b/>
          <w:sz w:val="18"/>
          <w:szCs w:val="18"/>
        </w:rPr>
        <w:t>Figure 5.</w:t>
      </w:r>
      <w:proofErr w:type="gramEnd"/>
      <w:r w:rsidRPr="00FE0A83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FE0A83">
        <w:rPr>
          <w:rFonts w:ascii="Times New Roman" w:hAnsi="Times New Roman" w:cs="Times New Roman"/>
          <w:sz w:val="18"/>
          <w:szCs w:val="18"/>
        </w:rPr>
        <w:t>corresponds</w:t>
      </w:r>
      <w:proofErr w:type="gramEnd"/>
      <w:r w:rsidRPr="00FE0A83">
        <w:rPr>
          <w:rFonts w:ascii="Times New Roman" w:hAnsi="Times New Roman" w:cs="Times New Roman"/>
          <w:sz w:val="18"/>
          <w:szCs w:val="18"/>
        </w:rPr>
        <w:t xml:space="preserve"> to (3.4.2) and (3.4.3). The net growth of the population, </w:t>
      </w:r>
      <w:proofErr w:type="spellStart"/>
      <w:r w:rsidRPr="00FE0A83">
        <w:rPr>
          <w:rFonts w:ascii="Times New Roman" w:hAnsi="Times New Roman" w:cs="Times New Roman"/>
          <w:i/>
          <w:sz w:val="18"/>
          <w:szCs w:val="18"/>
        </w:rPr>
        <w:t>dn</w:t>
      </w:r>
      <w:proofErr w:type="spellEnd"/>
      <w:r w:rsidRPr="00FE0A83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FE0A83">
        <w:rPr>
          <w:rFonts w:ascii="Times New Roman" w:hAnsi="Times New Roman" w:cs="Times New Roman"/>
          <w:i/>
          <w:sz w:val="18"/>
          <w:szCs w:val="18"/>
        </w:rPr>
        <w:t>dt</w:t>
      </w:r>
      <w:proofErr w:type="spellEnd"/>
      <w:r w:rsidRPr="00FE0A83">
        <w:rPr>
          <w:rFonts w:ascii="Times New Roman" w:hAnsi="Times New Roman" w:cs="Times New Roman"/>
          <w:sz w:val="18"/>
          <w:szCs w:val="18"/>
        </w:rPr>
        <w:t xml:space="preserve"> is shown as a function of </w:t>
      </w:r>
      <w:r w:rsidRPr="00FE0A83">
        <w:rPr>
          <w:rFonts w:ascii="Times New Roman" w:hAnsi="Times New Roman" w:cs="Times New Roman"/>
          <w:i/>
          <w:sz w:val="18"/>
          <w:szCs w:val="18"/>
        </w:rPr>
        <w:t>n.</w:t>
      </w:r>
      <w:r w:rsidRPr="00FE0A83">
        <w:rPr>
          <w:rFonts w:ascii="Times New Roman" w:hAnsi="Times New Roman" w:cs="Times New Roman"/>
          <w:sz w:val="18"/>
          <w:szCs w:val="18"/>
        </w:rPr>
        <w:t xml:space="preserve"> </w:t>
      </w:r>
      <w:r w:rsidRPr="00FE0A83">
        <w:rPr>
          <w:rFonts w:ascii="Times New Roman" w:hAnsi="Times New Roman" w:cs="Times New Roman"/>
          <w:i/>
          <w:sz w:val="18"/>
          <w:szCs w:val="18"/>
        </w:rPr>
        <w:t>K</w:t>
      </w:r>
      <w:r w:rsidRPr="00FE0A83">
        <w:rPr>
          <w:rFonts w:ascii="Times New Roman" w:hAnsi="Times New Roman" w:cs="Times New Roman"/>
          <w:sz w:val="18"/>
          <w:szCs w:val="18"/>
        </w:rPr>
        <w:t xml:space="preserve"> is the environmental carrying capacity and </w:t>
      </w:r>
      <w:proofErr w:type="gramStart"/>
      <w:r w:rsidRPr="00FE0A83">
        <w:rPr>
          <w:rFonts w:ascii="Times New Roman" w:hAnsi="Times New Roman" w:cs="Times New Roman"/>
          <w:i/>
          <w:sz w:val="18"/>
          <w:szCs w:val="18"/>
        </w:rPr>
        <w:t>H(</w:t>
      </w:r>
      <w:proofErr w:type="gramEnd"/>
      <w:r w:rsidRPr="00FE0A83">
        <w:rPr>
          <w:rFonts w:ascii="Times New Roman" w:hAnsi="Times New Roman" w:cs="Times New Roman"/>
          <w:i/>
          <w:sz w:val="18"/>
          <w:szCs w:val="18"/>
        </w:rPr>
        <w:t>n)</w:t>
      </w:r>
      <w:r w:rsidRPr="00FE0A83">
        <w:rPr>
          <w:rFonts w:ascii="Times New Roman" w:hAnsi="Times New Roman" w:cs="Times New Roman"/>
          <w:sz w:val="18"/>
          <w:szCs w:val="18"/>
        </w:rPr>
        <w:t xml:space="preserve"> is </w:t>
      </w:r>
      <w:proofErr w:type="spellStart"/>
      <w:r w:rsidRPr="00FE0A83">
        <w:rPr>
          <w:rFonts w:ascii="Times New Roman" w:hAnsi="Times New Roman" w:cs="Times New Roman"/>
          <w:sz w:val="18"/>
          <w:szCs w:val="18"/>
        </w:rPr>
        <w:t>Holling</w:t>
      </w:r>
      <w:proofErr w:type="spellEnd"/>
      <w:r w:rsidRPr="00FE0A83">
        <w:rPr>
          <w:rFonts w:ascii="Times New Roman" w:hAnsi="Times New Roman" w:cs="Times New Roman"/>
          <w:sz w:val="18"/>
          <w:szCs w:val="18"/>
        </w:rPr>
        <w:t xml:space="preserve"> Type III functional response. The points of intersection correspond to the possible </w:t>
      </w:r>
      <w:proofErr w:type="spellStart"/>
      <w:r w:rsidRPr="00FE0A83">
        <w:rPr>
          <w:rFonts w:ascii="Times New Roman" w:hAnsi="Times New Roman" w:cs="Times New Roman"/>
          <w:sz w:val="18"/>
          <w:szCs w:val="18"/>
        </w:rPr>
        <w:t>equilibria</w:t>
      </w:r>
      <w:proofErr w:type="spellEnd"/>
      <w:r w:rsidRPr="00FE0A83">
        <w:rPr>
          <w:rFonts w:ascii="Times New Roman" w:hAnsi="Times New Roman" w:cs="Times New Roman"/>
          <w:sz w:val="18"/>
          <w:szCs w:val="18"/>
        </w:rPr>
        <w:t xml:space="preserve">. Where the parabola is above the curve, the net growth rate is positive (the flow along the x-axis is to the right). Where the curve is above the parabola, the net growth rate is negative (the flow along the x-axis is to the left). </w:t>
      </w:r>
      <w:r w:rsidRPr="00FE0A83">
        <w:rPr>
          <w:rFonts w:ascii="Times New Roman" w:hAnsi="Times New Roman" w:cs="Times New Roman"/>
          <w:i/>
          <w:sz w:val="18"/>
          <w:szCs w:val="18"/>
        </w:rPr>
        <w:t>H(1),H(2),H(3),H(4),H(5)</w:t>
      </w:r>
      <w:r w:rsidRPr="00FE0A83">
        <w:rPr>
          <w:rFonts w:ascii="Times New Roman" w:hAnsi="Times New Roman" w:cs="Times New Roman"/>
          <w:sz w:val="18"/>
          <w:szCs w:val="18"/>
        </w:rPr>
        <w:t xml:space="preserve"> are predation levels with </w:t>
      </w:r>
      <w:r w:rsidRPr="00FE0A83">
        <w:rPr>
          <w:rFonts w:ascii="Times New Roman" w:hAnsi="Times New Roman" w:cs="Times New Roman"/>
          <w:i/>
          <w:sz w:val="18"/>
          <w:szCs w:val="18"/>
        </w:rPr>
        <w:t>a</w:t>
      </w:r>
      <w:r w:rsidRPr="00FE0A83">
        <w:rPr>
          <w:rFonts w:ascii="Times New Roman" w:hAnsi="Times New Roman" w:cs="Times New Roman"/>
          <w:sz w:val="18"/>
          <w:szCs w:val="18"/>
        </w:rPr>
        <w:t xml:space="preserve"> =1.2 and η =0.12, 0.24 , 0.36, 0.48 and 0.64 respectively.</w:t>
      </w:r>
    </w:p>
    <w:p w:rsidR="00FE0A83" w:rsidRDefault="00FE0A83" w:rsidP="00FE0A83">
      <w:pPr>
        <w:widowControl w:val="0"/>
        <w:tabs>
          <w:tab w:val="left" w:pos="7920"/>
        </w:tabs>
        <w:spacing w:line="100" w:lineRule="atLeast"/>
        <w:ind w:left="720" w:right="818"/>
        <w:jc w:val="both"/>
        <w:rPr>
          <w:rFonts w:ascii="Times New Roman" w:hAnsi="Times New Roman" w:cs="Times New Roman"/>
          <w:sz w:val="18"/>
          <w:szCs w:val="18"/>
        </w:rPr>
      </w:pPr>
    </w:p>
    <w:p w:rsidR="00FE0A83" w:rsidRPr="00FE0A83" w:rsidRDefault="00FE0A83" w:rsidP="00FE0A83">
      <w:pPr>
        <w:rPr>
          <w:rFonts w:ascii="Times New Roman" w:hAnsi="Times New Roman" w:cs="Times New Roman"/>
        </w:rPr>
      </w:pPr>
      <w:r w:rsidRPr="00FE0A83">
        <w:rPr>
          <w:rFonts w:ascii="Times New Roman" w:hAnsi="Times New Roman" w:cs="Times New Roman"/>
          <w:noProof/>
          <w:lang w:val="pt-BR"/>
        </w:rPr>
        <w:pict>
          <v:shape id="_x0000_s1210" type="#_x0000_t202" style="position:absolute;margin-left:5in;margin-top:237.7pt;width:12pt;height:18pt;z-index:251664384" filled="f" stroked="f">
            <v:textbox style="mso-next-textbox:#_x0000_s1210">
              <w:txbxContent>
                <w:p w:rsidR="00FE0A83" w:rsidRPr="00BB7499" w:rsidRDefault="00FE0A83" w:rsidP="00FE0A83">
                  <w:pPr>
                    <w:rPr>
                      <w:i/>
                      <w:sz w:val="16"/>
                      <w:lang w:val="pt-BR"/>
                    </w:rPr>
                  </w:pPr>
                  <w:r w:rsidRPr="00BB7499">
                    <w:rPr>
                      <w:i/>
                      <w:sz w:val="16"/>
                      <w:lang w:val="pt-BR"/>
                    </w:rPr>
                    <w:t>K</w:t>
                  </w:r>
                </w:p>
              </w:txbxContent>
            </v:textbox>
          </v:shape>
        </w:pict>
      </w:r>
      <w:r w:rsidRPr="00FE0A83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5334000" cy="3276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A83" w:rsidRPr="00FE0A83" w:rsidRDefault="00FE0A83" w:rsidP="00FE0A83">
      <w:pPr>
        <w:tabs>
          <w:tab w:val="left" w:pos="7200"/>
        </w:tabs>
        <w:ind w:left="720" w:right="818"/>
        <w:jc w:val="both"/>
        <w:rPr>
          <w:rFonts w:ascii="Times New Roman" w:hAnsi="Times New Roman" w:cs="Times New Roman"/>
        </w:rPr>
      </w:pPr>
      <w:proofErr w:type="gramStart"/>
      <w:r w:rsidRPr="00FE0A83">
        <w:rPr>
          <w:rFonts w:ascii="Times New Roman" w:hAnsi="Times New Roman" w:cs="Times New Roman"/>
          <w:b/>
          <w:sz w:val="18"/>
          <w:szCs w:val="18"/>
        </w:rPr>
        <w:t>Figure 6.</w:t>
      </w:r>
      <w:proofErr w:type="gramEnd"/>
      <w:r w:rsidRPr="00FE0A83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FE0A83">
        <w:rPr>
          <w:rFonts w:ascii="Times New Roman" w:hAnsi="Times New Roman" w:cs="Times New Roman"/>
          <w:sz w:val="18"/>
          <w:szCs w:val="18"/>
        </w:rPr>
        <w:t>corresponds</w:t>
      </w:r>
      <w:proofErr w:type="gramEnd"/>
      <w:r w:rsidRPr="00FE0A83">
        <w:rPr>
          <w:rFonts w:ascii="Times New Roman" w:hAnsi="Times New Roman" w:cs="Times New Roman"/>
          <w:sz w:val="18"/>
          <w:szCs w:val="18"/>
        </w:rPr>
        <w:t xml:space="preserve"> to (3.4.2) and (3.4.3). The net growth of the population, </w:t>
      </w:r>
      <w:proofErr w:type="spellStart"/>
      <w:r w:rsidRPr="00FE0A83">
        <w:rPr>
          <w:rFonts w:ascii="Times New Roman" w:hAnsi="Times New Roman" w:cs="Times New Roman"/>
          <w:i/>
          <w:sz w:val="18"/>
          <w:szCs w:val="18"/>
        </w:rPr>
        <w:t>dn</w:t>
      </w:r>
      <w:proofErr w:type="spellEnd"/>
      <w:r w:rsidRPr="00FE0A83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FE0A83">
        <w:rPr>
          <w:rFonts w:ascii="Times New Roman" w:hAnsi="Times New Roman" w:cs="Times New Roman"/>
          <w:i/>
          <w:sz w:val="18"/>
          <w:szCs w:val="18"/>
        </w:rPr>
        <w:t>dt</w:t>
      </w:r>
      <w:proofErr w:type="spellEnd"/>
      <w:r w:rsidRPr="00FE0A83">
        <w:rPr>
          <w:rFonts w:ascii="Times New Roman" w:hAnsi="Times New Roman" w:cs="Times New Roman"/>
          <w:sz w:val="18"/>
          <w:szCs w:val="18"/>
        </w:rPr>
        <w:t xml:space="preserve"> is shown as a function of </w:t>
      </w:r>
      <w:r w:rsidRPr="00FE0A83">
        <w:rPr>
          <w:rFonts w:ascii="Times New Roman" w:hAnsi="Times New Roman" w:cs="Times New Roman"/>
          <w:i/>
          <w:sz w:val="18"/>
          <w:szCs w:val="18"/>
        </w:rPr>
        <w:t>n.</w:t>
      </w:r>
      <w:r w:rsidRPr="00FE0A83">
        <w:rPr>
          <w:rFonts w:ascii="Times New Roman" w:hAnsi="Times New Roman" w:cs="Times New Roman"/>
          <w:sz w:val="18"/>
          <w:szCs w:val="18"/>
        </w:rPr>
        <w:t xml:space="preserve"> </w:t>
      </w:r>
      <w:r w:rsidRPr="00FE0A83">
        <w:rPr>
          <w:rFonts w:ascii="Times New Roman" w:hAnsi="Times New Roman" w:cs="Times New Roman"/>
          <w:i/>
          <w:sz w:val="18"/>
          <w:szCs w:val="18"/>
        </w:rPr>
        <w:t>K</w:t>
      </w:r>
      <w:r w:rsidRPr="00FE0A83">
        <w:rPr>
          <w:rFonts w:ascii="Times New Roman" w:hAnsi="Times New Roman" w:cs="Times New Roman"/>
          <w:sz w:val="18"/>
          <w:szCs w:val="18"/>
        </w:rPr>
        <w:t xml:space="preserve"> is the environmental carrying capacity and </w:t>
      </w:r>
      <w:proofErr w:type="gramStart"/>
      <w:r w:rsidRPr="00FE0A83">
        <w:rPr>
          <w:rFonts w:ascii="Times New Roman" w:hAnsi="Times New Roman" w:cs="Times New Roman"/>
          <w:i/>
          <w:sz w:val="18"/>
          <w:szCs w:val="18"/>
        </w:rPr>
        <w:t>H(</w:t>
      </w:r>
      <w:proofErr w:type="gramEnd"/>
      <w:r w:rsidRPr="00FE0A83">
        <w:rPr>
          <w:rFonts w:ascii="Times New Roman" w:hAnsi="Times New Roman" w:cs="Times New Roman"/>
          <w:i/>
          <w:sz w:val="18"/>
          <w:szCs w:val="18"/>
        </w:rPr>
        <w:t>n)</w:t>
      </w:r>
      <w:r w:rsidRPr="00FE0A83">
        <w:rPr>
          <w:rFonts w:ascii="Times New Roman" w:hAnsi="Times New Roman" w:cs="Times New Roman"/>
          <w:sz w:val="18"/>
          <w:szCs w:val="18"/>
        </w:rPr>
        <w:t xml:space="preserve"> is </w:t>
      </w:r>
      <w:proofErr w:type="spellStart"/>
      <w:r w:rsidRPr="00FE0A83">
        <w:rPr>
          <w:rFonts w:ascii="Times New Roman" w:hAnsi="Times New Roman" w:cs="Times New Roman"/>
          <w:sz w:val="18"/>
          <w:szCs w:val="18"/>
        </w:rPr>
        <w:t>Holling</w:t>
      </w:r>
      <w:proofErr w:type="spellEnd"/>
      <w:r w:rsidRPr="00FE0A83">
        <w:rPr>
          <w:rFonts w:ascii="Times New Roman" w:hAnsi="Times New Roman" w:cs="Times New Roman"/>
          <w:sz w:val="18"/>
          <w:szCs w:val="18"/>
        </w:rPr>
        <w:t xml:space="preserve"> Type III functional response. The points of intersection correspond to the possible </w:t>
      </w:r>
      <w:proofErr w:type="spellStart"/>
      <w:r w:rsidRPr="00FE0A83">
        <w:rPr>
          <w:rFonts w:ascii="Times New Roman" w:hAnsi="Times New Roman" w:cs="Times New Roman"/>
          <w:sz w:val="18"/>
          <w:szCs w:val="18"/>
        </w:rPr>
        <w:t>equilibria</w:t>
      </w:r>
      <w:proofErr w:type="spellEnd"/>
      <w:r w:rsidRPr="00FE0A83">
        <w:rPr>
          <w:rFonts w:ascii="Times New Roman" w:hAnsi="Times New Roman" w:cs="Times New Roman"/>
          <w:sz w:val="18"/>
          <w:szCs w:val="18"/>
        </w:rPr>
        <w:t xml:space="preserve">. Where the parabola is above the curve, the net growth rate is positive (the flow along the x-axis is to the right). Where the curve is above the parabola, the net growth rate is negative (the flow along the x-axis is to the left). </w:t>
      </w:r>
      <w:r w:rsidRPr="00FE0A83">
        <w:rPr>
          <w:rFonts w:ascii="Times New Roman" w:hAnsi="Times New Roman" w:cs="Times New Roman"/>
          <w:i/>
          <w:sz w:val="18"/>
          <w:szCs w:val="18"/>
        </w:rPr>
        <w:t>h(1),h(2),h(3),h(4),h(5)</w:t>
      </w:r>
      <w:r w:rsidRPr="00FE0A83">
        <w:rPr>
          <w:rFonts w:ascii="Times New Roman" w:hAnsi="Times New Roman" w:cs="Times New Roman"/>
          <w:sz w:val="18"/>
          <w:szCs w:val="18"/>
        </w:rPr>
        <w:t xml:space="preserve"> are predation levels with </w:t>
      </w:r>
      <w:r w:rsidRPr="00FE0A83">
        <w:rPr>
          <w:rFonts w:ascii="Times New Roman" w:hAnsi="Times New Roman" w:cs="Times New Roman"/>
          <w:i/>
          <w:sz w:val="18"/>
          <w:szCs w:val="18"/>
        </w:rPr>
        <w:t>a</w:t>
      </w:r>
      <w:r w:rsidRPr="00FE0A83">
        <w:rPr>
          <w:rFonts w:ascii="Times New Roman" w:hAnsi="Times New Roman" w:cs="Times New Roman"/>
          <w:sz w:val="18"/>
          <w:szCs w:val="18"/>
        </w:rPr>
        <w:t xml:space="preserve"> =0.12 and η =0.048, 0.136, 0.224, 0.312 and 0.48 respectively.</w:t>
      </w:r>
    </w:p>
    <w:sectPr w:rsidR="00FE0A83" w:rsidRPr="00FE0A83" w:rsidSect="0011774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A83"/>
    <w:rsid w:val="0011774D"/>
    <w:rsid w:val="001D1B30"/>
    <w:rsid w:val="002647E6"/>
    <w:rsid w:val="004E2D22"/>
    <w:rsid w:val="00533B48"/>
    <w:rsid w:val="006229AC"/>
    <w:rsid w:val="006D32FC"/>
    <w:rsid w:val="00716664"/>
    <w:rsid w:val="009252D7"/>
    <w:rsid w:val="00944B6F"/>
    <w:rsid w:val="00FE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8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baaba</dc:creator>
  <cp:lastModifiedBy>baaba</cp:lastModifiedBy>
  <cp:revision>1</cp:revision>
  <dcterms:created xsi:type="dcterms:W3CDTF">2011-08-18T15:36:00Z</dcterms:created>
  <dcterms:modified xsi:type="dcterms:W3CDTF">2011-08-18T15:55:00Z</dcterms:modified>
</cp:coreProperties>
</file>