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29C5" w14:textId="12199E38" w:rsidR="001B07F3" w:rsidRDefault="001B07F3" w:rsidP="00866B49">
      <w:pPr>
        <w:spacing w:after="0" w:line="360" w:lineRule="auto"/>
        <w:ind w:firstLine="708"/>
        <w:jc w:val="both"/>
        <w:rPr>
          <w:rFonts w:ascii="Times New Roman" w:eastAsia="Times New Roman" w:hAnsi="Times New Roman" w:cs="Times New Roman"/>
          <w:sz w:val="24"/>
          <w:szCs w:val="24"/>
        </w:rPr>
      </w:pPr>
      <w:r w:rsidRPr="00866B49">
        <w:rPr>
          <w:rFonts w:ascii="Times New Roman" w:eastAsia="Times New Roman" w:hAnsi="Times New Roman" w:cs="Times New Roman"/>
          <w:sz w:val="24"/>
          <w:szCs w:val="24"/>
        </w:rPr>
        <w:t xml:space="preserve">A pandemia da COVID-19, causada pelo vírus SARS-COV-2, é uma ameaça sem precedentes para todos, independentemente de idade, classe socioeconômica e nacionalidade e traz inúmeros desafios para o cuidado do paciente. </w:t>
      </w:r>
      <w:r w:rsidR="00866B49" w:rsidRPr="00866B49">
        <w:rPr>
          <w:rFonts w:ascii="Times New Roman" w:eastAsia="Times New Roman" w:hAnsi="Times New Roman" w:cs="Times New Roman"/>
          <w:sz w:val="24"/>
          <w:szCs w:val="24"/>
        </w:rPr>
        <w:t>Sua origem, atualmente, é desconhecida, mas há especulações de que ela tenha origem animal</w:t>
      </w:r>
      <w:r w:rsidR="00866B49">
        <w:rPr>
          <w:rFonts w:ascii="Times New Roman" w:eastAsia="Times New Roman" w:hAnsi="Times New Roman" w:cs="Times New Roman"/>
          <w:sz w:val="24"/>
          <w:szCs w:val="24"/>
        </w:rPr>
        <w:t xml:space="preserve"> </w:t>
      </w:r>
      <w:r w:rsidR="006546D6">
        <w:rPr>
          <w:rFonts w:ascii="Times New Roman" w:eastAsia="Times New Roman" w:hAnsi="Times New Roman" w:cs="Times New Roman"/>
          <w:sz w:val="24"/>
          <w:szCs w:val="24"/>
          <w:highlight w:val="white"/>
        </w:rPr>
        <w:fldChar w:fldCharType="begin" w:fldLock="1"/>
      </w:r>
      <w:r w:rsidR="009C596E">
        <w:rPr>
          <w:rFonts w:ascii="Times New Roman" w:eastAsia="Times New Roman" w:hAnsi="Times New Roman" w:cs="Times New Roman"/>
          <w:sz w:val="24"/>
          <w:szCs w:val="24"/>
          <w:highlight w:val="white"/>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3","20"]]},"publisher":"StatPearls Publishing","title":"Features, Evaluation and Treatment Coronavirus (COVID-19)","type":"book"},"uris":["http://www.mendeley.com/documents/?uuid=dd6c7ddc-871d-3341-b99e-3688eb0bdef5"]},{"id":"ITEM-2","itemData":{"author":[{"dropping-particle":"","family":"Secretaria de Vigilância em Saúde","given":"Ministério da Saúde.","non-dropping-particle":"","parse-names":false,"suffix":""}],"id":"ITEM-2","issued":{"date-parts":[["2020"]]},"title":"Infecção humana pelo novo coronavírus (2019-nCoV).","type":"article"},"uris":["http://www.mendeley.com/documents/?uuid=a27c1db0-25d4-4a81-be47-74ae4ce16a23"]}],"mendeley":{"formattedCitation":"&lt;sup&gt;1,2&lt;/sup&gt;","plainTextFormattedCitation":"1,2","previouslyFormattedCitation":"&lt;sup&gt;1,2&lt;/sup&gt;"},"properties":{"noteIndex":0},"schema":"https://github.com/citation-style-language/schema/raw/master/csl-citation.json"}</w:instrText>
      </w:r>
      <w:r w:rsidR="006546D6">
        <w:rPr>
          <w:rFonts w:ascii="Times New Roman" w:eastAsia="Times New Roman" w:hAnsi="Times New Roman" w:cs="Times New Roman"/>
          <w:sz w:val="24"/>
          <w:szCs w:val="24"/>
          <w:highlight w:val="white"/>
        </w:rPr>
        <w:fldChar w:fldCharType="separate"/>
      </w:r>
      <w:r w:rsidR="009C596E" w:rsidRPr="009C596E">
        <w:rPr>
          <w:rFonts w:ascii="Times New Roman" w:eastAsia="Times New Roman" w:hAnsi="Times New Roman" w:cs="Times New Roman"/>
          <w:noProof/>
          <w:sz w:val="24"/>
          <w:szCs w:val="24"/>
          <w:highlight w:val="white"/>
          <w:vertAlign w:val="superscript"/>
        </w:rPr>
        <w:t>1,2</w:t>
      </w:r>
      <w:r w:rsidR="006546D6">
        <w:rPr>
          <w:rFonts w:ascii="Times New Roman" w:eastAsia="Times New Roman" w:hAnsi="Times New Roman" w:cs="Times New Roman"/>
          <w:sz w:val="24"/>
          <w:szCs w:val="24"/>
          <w:highlight w:val="white"/>
        </w:rPr>
        <w:fldChar w:fldCharType="end"/>
      </w:r>
      <w:r w:rsidR="008235D0">
        <w:rPr>
          <w:rFonts w:ascii="Times New Roman" w:eastAsia="Times New Roman" w:hAnsi="Times New Roman" w:cs="Times New Roman"/>
          <w:sz w:val="24"/>
          <w:szCs w:val="24"/>
        </w:rPr>
        <w:t>.</w:t>
      </w:r>
    </w:p>
    <w:p w14:paraId="0000000B" w14:textId="0C56DDCA" w:rsidR="000C7A2A" w:rsidRPr="00866B49" w:rsidRDefault="00866B49" w:rsidP="00866B49">
      <w:pPr>
        <w:spacing w:after="0" w:line="360" w:lineRule="auto"/>
        <w:ind w:firstLine="708"/>
        <w:jc w:val="both"/>
        <w:rPr>
          <w:rFonts w:ascii="Times New Roman" w:eastAsia="Times New Roman" w:hAnsi="Times New Roman" w:cs="Times New Roman"/>
          <w:sz w:val="24"/>
          <w:szCs w:val="24"/>
          <w:highlight w:val="white"/>
        </w:rPr>
      </w:pPr>
      <w:r w:rsidRPr="00866B49">
        <w:rPr>
          <w:rFonts w:ascii="Times New Roman" w:eastAsia="Times New Roman" w:hAnsi="Times New Roman" w:cs="Times New Roman"/>
          <w:sz w:val="24"/>
          <w:szCs w:val="24"/>
        </w:rPr>
        <w:t xml:space="preserve">A transmissão pode ocorrer por gotículas respiratórias da tosse e do espirro, além da transmissão aerossol, em circunstâncias e configurações específicas, quando há exposição prolongada e concentrada em espaços fechados. Indivíduos assintomáticos também podem transmitir o vírus. Estima-se que cada sujeito infectado transmita o vírus para mais 2,2 indivíduos e que o seu tempo de incubação seja, geralmente, de 3 a 7 </w:t>
      </w:r>
      <w:r w:rsidRPr="00DE082D">
        <w:rPr>
          <w:rFonts w:ascii="Times New Roman" w:eastAsia="Times New Roman" w:hAnsi="Times New Roman" w:cs="Times New Roman"/>
          <w:sz w:val="24"/>
          <w:szCs w:val="24"/>
        </w:rPr>
        <w:t xml:space="preserve">dias </w:t>
      </w:r>
      <w:r w:rsidR="006546D6" w:rsidRPr="00DE082D">
        <w:rPr>
          <w:rFonts w:ascii="Times New Roman" w:eastAsia="Times New Roman" w:hAnsi="Times New Roman" w:cs="Times New Roman"/>
          <w:sz w:val="24"/>
          <w:szCs w:val="24"/>
        </w:rPr>
        <w:fldChar w:fldCharType="begin" w:fldLock="1"/>
      </w:r>
      <w:r w:rsidR="00437FBD" w:rsidRPr="00DE082D">
        <w:rPr>
          <w:rFonts w:ascii="Times New Roman" w:eastAsia="Times New Roman" w:hAnsi="Times New Roman" w:cs="Times New Roman"/>
          <w:sz w:val="24"/>
          <w:szCs w:val="24"/>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3","20"]]},"publisher":"StatPearls Publishing","title":"Features, Evaluation and Treatment Coronavirus (COVID-19)","type":"book"},"uris":["http://www.mendeley.com/documents/?uuid=dd6c7ddc-871d-3341-b99e-3688eb0bdef5"]}],"mendeley":{"formattedCitation":"&lt;sup&gt;1&lt;/sup&gt;","plainTextFormattedCitation":"1","previouslyFormattedCitation":"&lt;sup&gt;1&lt;/sup&gt;"},"properties":{"noteIndex":0},"schema":"https://github.com/citation-style-language/schema/raw/master/csl-citation.json"}</w:instrText>
      </w:r>
      <w:r w:rsidR="006546D6" w:rsidRPr="00DE082D">
        <w:rPr>
          <w:rFonts w:ascii="Times New Roman" w:eastAsia="Times New Roman" w:hAnsi="Times New Roman" w:cs="Times New Roman"/>
          <w:sz w:val="24"/>
          <w:szCs w:val="24"/>
        </w:rPr>
        <w:fldChar w:fldCharType="separate"/>
      </w:r>
      <w:r w:rsidR="006546D6" w:rsidRPr="00DE082D">
        <w:rPr>
          <w:rFonts w:ascii="Times New Roman" w:eastAsia="Times New Roman" w:hAnsi="Times New Roman" w:cs="Times New Roman"/>
          <w:noProof/>
          <w:sz w:val="24"/>
          <w:szCs w:val="24"/>
          <w:vertAlign w:val="superscript"/>
        </w:rPr>
        <w:t>1</w:t>
      </w:r>
      <w:r w:rsidR="006546D6" w:rsidRPr="00DE082D">
        <w:rPr>
          <w:rFonts w:ascii="Times New Roman" w:eastAsia="Times New Roman" w:hAnsi="Times New Roman" w:cs="Times New Roman"/>
          <w:sz w:val="24"/>
          <w:szCs w:val="24"/>
        </w:rPr>
        <w:fldChar w:fldCharType="end"/>
      </w:r>
      <w:r w:rsidR="00DE082D" w:rsidRPr="00DE082D">
        <w:rPr>
          <w:rFonts w:ascii="Times New Roman" w:eastAsia="Times New Roman" w:hAnsi="Times New Roman" w:cs="Times New Roman"/>
          <w:sz w:val="24"/>
          <w:szCs w:val="24"/>
        </w:rPr>
        <w:t>.</w:t>
      </w:r>
    </w:p>
    <w:p w14:paraId="65E2E58A" w14:textId="7E2D7E93" w:rsidR="001B07F3" w:rsidRPr="00866B49" w:rsidRDefault="00866B49" w:rsidP="00866B49">
      <w:pPr>
        <w:spacing w:after="0" w:line="360" w:lineRule="auto"/>
        <w:ind w:firstLine="708"/>
        <w:jc w:val="both"/>
        <w:rPr>
          <w:rFonts w:ascii="Times New Roman" w:eastAsia="Times New Roman" w:hAnsi="Times New Roman" w:cs="Times New Roman"/>
          <w:sz w:val="24"/>
          <w:szCs w:val="24"/>
          <w:highlight w:val="yellow"/>
        </w:rPr>
      </w:pPr>
      <w:r w:rsidRPr="00866B49">
        <w:rPr>
          <w:rFonts w:ascii="Times New Roman" w:eastAsia="Times New Roman" w:hAnsi="Times New Roman" w:cs="Times New Roman"/>
          <w:sz w:val="24"/>
          <w:szCs w:val="24"/>
        </w:rPr>
        <w:t>Os principais sintomas são febre, tosse, falta de ar, dor muscular, confusão, dor de cabeça, dor de garganta, rinorreia, dor pleurítica, diarreia, náusea e vômito</w:t>
      </w:r>
      <w:r>
        <w:rPr>
          <w:rFonts w:ascii="Times New Roman" w:eastAsia="Times New Roman" w:hAnsi="Times New Roman" w:cs="Times New Roman"/>
          <w:sz w:val="24"/>
          <w:szCs w:val="24"/>
        </w:rPr>
        <w:t xml:space="preserve"> </w:t>
      </w:r>
      <w:r w:rsidR="00437FBD">
        <w:rPr>
          <w:rFonts w:ascii="Times New Roman" w:eastAsia="Times New Roman" w:hAnsi="Times New Roman" w:cs="Times New Roman"/>
          <w:sz w:val="24"/>
          <w:szCs w:val="24"/>
        </w:rPr>
        <w:fldChar w:fldCharType="begin" w:fldLock="1"/>
      </w:r>
      <w:r w:rsidR="009C596E">
        <w:rPr>
          <w:rFonts w:ascii="Times New Roman" w:eastAsia="Times New Roman" w:hAnsi="Times New Roman" w:cs="Times New Roman"/>
          <w:sz w:val="24"/>
          <w:szCs w:val="24"/>
        </w:rPr>
        <w:instrText>ADDIN CSL_CITATION {"citationItems":[{"id":"ITEM-1","itemData":{"author":[{"dropping-particle":"","family":"MINISTÉRIO DA SAÚDE","given":"","non-dropping-particle":"","parse-names":false,"suffix":""}],"id":"ITEM-1","issued":{"date-parts":[["2020"]]},"publisher-place":"Brasília","title":"Protocolo de manejo clínico para o novo coronavírus (2019-nCoV)","type":"report"},"uris":["http://www.mendeley.com/documents/?uuid=f336ce49-361b-3424-8ac5-92a16137de45"]}],"mendeley":{"formattedCitation":"&lt;sup&gt;3&lt;/sup&gt;","plainTextFormattedCitation":"3","previouslyFormattedCitation":"&lt;sup&gt;3&lt;/sup&gt;"},"properties":{"noteIndex":0},"schema":"https://github.com/citation-style-language/schema/raw/master/csl-citation.json"}</w:instrText>
      </w:r>
      <w:r w:rsidR="00437FBD">
        <w:rPr>
          <w:rFonts w:ascii="Times New Roman" w:eastAsia="Times New Roman" w:hAnsi="Times New Roman" w:cs="Times New Roman"/>
          <w:sz w:val="24"/>
          <w:szCs w:val="24"/>
        </w:rPr>
        <w:fldChar w:fldCharType="separate"/>
      </w:r>
      <w:r w:rsidR="00B14ED3" w:rsidRPr="00B14ED3">
        <w:rPr>
          <w:rFonts w:ascii="Times New Roman" w:eastAsia="Times New Roman" w:hAnsi="Times New Roman" w:cs="Times New Roman"/>
          <w:noProof/>
          <w:sz w:val="24"/>
          <w:szCs w:val="24"/>
          <w:vertAlign w:val="superscript"/>
        </w:rPr>
        <w:t>3</w:t>
      </w:r>
      <w:r w:rsidR="00437FBD">
        <w:rPr>
          <w:rFonts w:ascii="Times New Roman" w:eastAsia="Times New Roman" w:hAnsi="Times New Roman" w:cs="Times New Roman"/>
          <w:sz w:val="24"/>
          <w:szCs w:val="24"/>
        </w:rPr>
        <w:fldChar w:fldCharType="end"/>
      </w:r>
      <w:r w:rsidR="00DE0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Algumas pessoas são infectadas, mas não apresentam sintomas. Cerca de 80% dos indivíduos se recuperam da doença sem precisar de tratamento especial, entretanto uma em cada seis pessoas que é infectada </w:t>
      </w:r>
      <w:r w:rsidRPr="00DE082D">
        <w:rPr>
          <w:rFonts w:ascii="Times New Roman" w:eastAsia="Times New Roman" w:hAnsi="Times New Roman" w:cs="Times New Roman"/>
          <w:sz w:val="24"/>
          <w:szCs w:val="24"/>
          <w:highlight w:val="white"/>
        </w:rPr>
        <w:t>pela</w:t>
      </w:r>
      <w:r>
        <w:rPr>
          <w:rFonts w:ascii="Times New Roman" w:eastAsia="Times New Roman" w:hAnsi="Times New Roman" w:cs="Times New Roman"/>
          <w:sz w:val="24"/>
          <w:szCs w:val="24"/>
          <w:highlight w:val="white"/>
        </w:rPr>
        <w:t xml:space="preserve"> COVID-19 fica gravemente doente e desenvolve dificuldade de respira</w:t>
      </w:r>
      <w:r w:rsidRPr="00866B49">
        <w:rPr>
          <w:rFonts w:ascii="Times New Roman" w:eastAsia="Times New Roman" w:hAnsi="Times New Roman" w:cs="Times New Roman"/>
          <w:sz w:val="24"/>
          <w:szCs w:val="24"/>
        </w:rPr>
        <w:t>r</w:t>
      </w:r>
      <w:r w:rsidR="00FD1F69">
        <w:rPr>
          <w:rFonts w:ascii="Times New Roman" w:eastAsia="Times New Roman" w:hAnsi="Times New Roman" w:cs="Times New Roman"/>
          <w:sz w:val="24"/>
          <w:szCs w:val="24"/>
        </w:rPr>
        <w:t xml:space="preserve"> </w:t>
      </w:r>
      <w:r w:rsidRPr="00866B49">
        <w:rPr>
          <w:rFonts w:ascii="Times New Roman" w:eastAsia="Times New Roman" w:hAnsi="Times New Roman" w:cs="Times New Roman"/>
          <w:sz w:val="24"/>
          <w:szCs w:val="24"/>
        </w:rPr>
        <w:t xml:space="preserve"> </w:t>
      </w:r>
      <w:r w:rsidR="00437FBD">
        <w:rPr>
          <w:rFonts w:ascii="Times New Roman" w:eastAsia="Times New Roman" w:hAnsi="Times New Roman" w:cs="Times New Roman"/>
          <w:sz w:val="24"/>
          <w:szCs w:val="24"/>
          <w:highlight w:val="white"/>
        </w:rPr>
        <w:fldChar w:fldCharType="begin" w:fldLock="1"/>
      </w:r>
      <w:r w:rsidR="009C596E">
        <w:rPr>
          <w:rFonts w:ascii="Times New Roman" w:eastAsia="Times New Roman" w:hAnsi="Times New Roman" w:cs="Times New Roman"/>
          <w:sz w:val="24"/>
          <w:szCs w:val="24"/>
          <w:highlight w:val="white"/>
        </w:rPr>
        <w:instrText>ADDIN CSL_CITATION {"citationItems":[{"id":"ITEM-1","itemData":{"URL":"https://www.paho.org/bra/index.php?option=com_content&amp;view=article&amp;id=6101:covid19&amp;Itemid=875","accessed":{"date-parts":[["2020","4","15"]]},"author":[{"dropping-particle":"","family":"OPAS BRASIL","given":"","non-dropping-particle":"","parse-names":false,"suffix":""}],"id":"ITEM-1","issued":{"date-parts":[["0"]]},"title":"Folha informativa – COVID-19 (doença causada pelo novo coronavírus)","type":"webpage"},"uris":["http://www.mendeley.com/documents/?uuid=5c088af5-87e6-3078-89b1-3d4df9c826c7"]}],"mendeley":{"formattedCitation":"&lt;sup&gt;4&lt;/sup&gt;","plainTextFormattedCitation":"4","previouslyFormattedCitation":"&lt;sup&gt;4&lt;/sup&gt;"},"properties":{"noteIndex":0},"schema":"https://github.com/citation-style-language/schema/raw/master/csl-citation.json"}</w:instrText>
      </w:r>
      <w:r w:rsidR="00437FBD">
        <w:rPr>
          <w:rFonts w:ascii="Times New Roman" w:eastAsia="Times New Roman" w:hAnsi="Times New Roman" w:cs="Times New Roman"/>
          <w:sz w:val="24"/>
          <w:szCs w:val="24"/>
          <w:highlight w:val="white"/>
        </w:rPr>
        <w:fldChar w:fldCharType="separate"/>
      </w:r>
      <w:r w:rsidR="00B14ED3" w:rsidRPr="00B14ED3">
        <w:rPr>
          <w:rFonts w:ascii="Times New Roman" w:eastAsia="Times New Roman" w:hAnsi="Times New Roman" w:cs="Times New Roman"/>
          <w:noProof/>
          <w:sz w:val="24"/>
          <w:szCs w:val="24"/>
          <w:highlight w:val="white"/>
          <w:vertAlign w:val="superscript"/>
        </w:rPr>
        <w:t>4</w:t>
      </w:r>
      <w:r w:rsidR="00437FBD">
        <w:rPr>
          <w:rFonts w:ascii="Times New Roman" w:eastAsia="Times New Roman" w:hAnsi="Times New Roman" w:cs="Times New Roman"/>
          <w:sz w:val="24"/>
          <w:szCs w:val="24"/>
          <w:highlight w:val="white"/>
        </w:rPr>
        <w:fldChar w:fldCharType="end"/>
      </w:r>
      <w:r w:rsidR="00DE082D">
        <w:rPr>
          <w:rFonts w:ascii="Times New Roman" w:eastAsia="Times New Roman" w:hAnsi="Times New Roman" w:cs="Times New Roman"/>
          <w:sz w:val="24"/>
          <w:szCs w:val="24"/>
          <w:highlight w:val="white"/>
        </w:rPr>
        <w:t xml:space="preserve">. </w:t>
      </w:r>
      <w:r w:rsidR="00282FF0">
        <w:rPr>
          <w:rFonts w:ascii="Times New Roman" w:eastAsia="Times New Roman" w:hAnsi="Times New Roman" w:cs="Times New Roman"/>
          <w:sz w:val="24"/>
          <w:szCs w:val="24"/>
          <w:highlight w:val="white"/>
        </w:rPr>
        <w:t xml:space="preserve">Idosos e pessoas com doenças crônicas como doenças cardiovasculares, diabetes, </w:t>
      </w:r>
      <w:r w:rsidR="00282FF0" w:rsidRPr="001E09E2">
        <w:rPr>
          <w:rFonts w:ascii="Times New Roman" w:eastAsia="Times New Roman" w:hAnsi="Times New Roman" w:cs="Times New Roman"/>
          <w:sz w:val="24"/>
          <w:szCs w:val="24"/>
          <w:highlight w:val="white"/>
        </w:rPr>
        <w:t xml:space="preserve">doenças respiratórias crônicas e doenças oncológicas estão entre o grupo de risco e apresentam maior risco de </w:t>
      </w:r>
      <w:r w:rsidR="00282FF0" w:rsidRPr="00590655">
        <w:rPr>
          <w:rFonts w:ascii="Times New Roman" w:eastAsia="Times New Roman" w:hAnsi="Times New Roman" w:cs="Times New Roman"/>
          <w:sz w:val="24"/>
          <w:szCs w:val="24"/>
        </w:rPr>
        <w:t xml:space="preserve">mortalidade </w:t>
      </w:r>
      <w:r w:rsidR="00B14ED3" w:rsidRPr="00590655">
        <w:rPr>
          <w:rFonts w:ascii="Times New Roman" w:eastAsia="Times New Roman" w:hAnsi="Times New Roman" w:cs="Times New Roman"/>
          <w:sz w:val="24"/>
          <w:szCs w:val="24"/>
        </w:rPr>
        <w:fldChar w:fldCharType="begin" w:fldLock="1"/>
      </w:r>
      <w:r w:rsidR="009C596E" w:rsidRPr="00590655">
        <w:rPr>
          <w:rFonts w:ascii="Times New Roman" w:eastAsia="Times New Roman" w:hAnsi="Times New Roman" w:cs="Times New Roman"/>
          <w:sz w:val="24"/>
          <w:szCs w:val="24"/>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3","20"]]},"publisher":"StatPearls Publishing","title":"Features, Evaluation and Treatment Coronavirus (COVID-19)","type":"book"},"uris":["http://www.mendeley.com/documents/?uuid=dd6c7ddc-871d-3341-b99e-3688eb0bdef5"]},{"id":"ITEM-2","itemData":{"DOI":"10.1016/S0140-6736(20)30566-3","ISSN":"1474547X","PMID":"32171076","abstract":"Background: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Lancet","id":"ITEM-2","issue":"10229","issued":{"date-parts":[["2020","3","28"]]},"page":"1054-1062","publisher":"Lancet Publishing Group","title":"Clinical course and risk factors for mortality of adult inpatients with COVID-19 in Wuhan, China: a retrospective cohort study","type":"article-journal","volume":"395"},"uris":["http://www.mendeley.com/documents/?uuid=cb213489-1028-331f-bd53-685babac0f9d"]},{"id":"ITEM-3","itemData":{"DOI":"10.1111/jgs.16480","ISSN":"00028614","author":[{"dropping-particle":"","family":"LaHue","given":"Sara C.","non-dropping-particle":"","parse-names":false,"suffix":""},{"dropping-particle":"","family":"James","given":"Todd C.","non-dropping-particle":"","parse-names":false,"suffix":""},{"dropping-particle":"","family":"Newman","given":"John C.","non-dropping-particle":"","parse-names":false,"suffix":""},{"dropping-particle":"","family":"Esmaili","given":"Armond M.","non-dropping-particle":"","parse-names":false,"suffix":""},{"dropping-particle":"","family":"Ormseth","given":"Cora H.","non-dropping-particle":"","parse-names":false,"suffix":""},{"dropping-particle":"","family":"Ely","given":"E. Wesley","non-dropping-particle":"","parse-names":false,"suffix":""}],"container-title":"Journal of the American Geriatrics Society","id":"ITEM-3","issued":{"date-parts":[["2020","4","11"]]},"publisher":"John Wiley &amp; Sons, Ltd","title":"Collaborative Delirium Prevention in the Age of COVID-19","type":"article-journal"},"uris":["http://www.mendeley.com/documents/?uuid=8dfc33ad-3a23-3092-b164-8ab06d51d4e3"]}],"mendeley":{"formattedCitation":"&lt;sup&gt;1,5,6&lt;/sup&gt;","plainTextFormattedCitation":"1,5,6","previouslyFormattedCitation":"&lt;sup&gt;1,5,6&lt;/sup&gt;"},"properties":{"noteIndex":0},"schema":"https://github.com/citation-style-language/schema/raw/master/csl-citation.json"}</w:instrText>
      </w:r>
      <w:r w:rsidR="00B14ED3" w:rsidRPr="00590655">
        <w:rPr>
          <w:rFonts w:ascii="Times New Roman" w:eastAsia="Times New Roman" w:hAnsi="Times New Roman" w:cs="Times New Roman"/>
          <w:sz w:val="24"/>
          <w:szCs w:val="24"/>
        </w:rPr>
        <w:fldChar w:fldCharType="separate"/>
      </w:r>
      <w:r w:rsidR="00B14ED3" w:rsidRPr="00590655">
        <w:rPr>
          <w:rFonts w:ascii="Times New Roman" w:eastAsia="Times New Roman" w:hAnsi="Times New Roman" w:cs="Times New Roman"/>
          <w:noProof/>
          <w:sz w:val="24"/>
          <w:szCs w:val="24"/>
          <w:vertAlign w:val="superscript"/>
        </w:rPr>
        <w:t>1,5,6</w:t>
      </w:r>
      <w:r w:rsidR="00B14ED3" w:rsidRPr="00590655">
        <w:rPr>
          <w:rFonts w:ascii="Times New Roman" w:eastAsia="Times New Roman" w:hAnsi="Times New Roman" w:cs="Times New Roman"/>
          <w:sz w:val="24"/>
          <w:szCs w:val="24"/>
        </w:rPr>
        <w:fldChar w:fldCharType="end"/>
      </w:r>
      <w:r w:rsidR="00590655" w:rsidRPr="00590655">
        <w:rPr>
          <w:rFonts w:ascii="Times New Roman" w:eastAsia="Times New Roman" w:hAnsi="Times New Roman" w:cs="Times New Roman"/>
          <w:sz w:val="24"/>
          <w:szCs w:val="24"/>
        </w:rPr>
        <w:t xml:space="preserve">. </w:t>
      </w:r>
    </w:p>
    <w:p w14:paraId="4AC91C0C" w14:textId="1CC369CA" w:rsidR="00ED18F0" w:rsidRDefault="00866B49" w:rsidP="00ED18F0">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Até o momento não há tratamento antiviral específico recomendado para a </w:t>
      </w:r>
      <w:r w:rsidR="00843C73">
        <w:rPr>
          <w:rFonts w:ascii="Times New Roman" w:eastAsia="Times New Roman" w:hAnsi="Times New Roman" w:cs="Times New Roman"/>
          <w:sz w:val="24"/>
          <w:szCs w:val="24"/>
          <w:highlight w:val="white"/>
        </w:rPr>
        <w:t>COVID-19</w:t>
      </w:r>
      <w:r>
        <w:rPr>
          <w:rFonts w:ascii="Times New Roman" w:eastAsia="Times New Roman" w:hAnsi="Times New Roman" w:cs="Times New Roman"/>
          <w:sz w:val="24"/>
          <w:szCs w:val="24"/>
          <w:highlight w:val="white"/>
        </w:rPr>
        <w:t xml:space="preserve">, e nenhuma vacina está disponível. A maioria dos </w:t>
      </w:r>
      <w:sdt>
        <w:sdtPr>
          <w:tag w:val="goog_rdk_1"/>
          <w:id w:val="1042253691"/>
        </w:sdtPr>
        <w:sdtEndPr/>
        <w:sdtContent/>
      </w:sdt>
      <w:sdt>
        <w:sdtPr>
          <w:tag w:val="goog_rdk_2"/>
          <w:id w:val="-758218498"/>
        </w:sdtPr>
        <w:sdtEndPr/>
        <w:sdtContent/>
      </w:sdt>
      <w:r>
        <w:rPr>
          <w:rFonts w:ascii="Times New Roman" w:eastAsia="Times New Roman" w:hAnsi="Times New Roman" w:cs="Times New Roman"/>
          <w:sz w:val="24"/>
          <w:szCs w:val="24"/>
          <w:highlight w:val="white"/>
        </w:rPr>
        <w:t xml:space="preserve">pacientes infectados não desenvolve complicações ou apresenta apenas sintomas leves. </w:t>
      </w:r>
      <w:r w:rsidRPr="00590655">
        <w:rPr>
          <w:rFonts w:ascii="Times New Roman" w:eastAsia="Times New Roman" w:hAnsi="Times New Roman" w:cs="Times New Roman"/>
          <w:sz w:val="24"/>
          <w:szCs w:val="24"/>
        </w:rPr>
        <w:t xml:space="preserve">Cerca de 14% evoluem </w:t>
      </w:r>
      <w:r>
        <w:rPr>
          <w:rFonts w:ascii="Times New Roman" w:eastAsia="Times New Roman" w:hAnsi="Times New Roman" w:cs="Times New Roman"/>
          <w:sz w:val="24"/>
          <w:szCs w:val="24"/>
          <w:highlight w:val="white"/>
        </w:rPr>
        <w:t xml:space="preserve">para um nível mais grave que requer internação em uma Unidade de Terapia Intensiva (UTI), suporte de oxigênio e, por vezes, Ventilação Mecânica (VM) </w:t>
      </w:r>
      <w:r w:rsidR="009C596E">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{"citationItems":[{"id":"ITEM-1","itemData":{"PMID":"32150360","abstract":"According to the World Health Organization (WHO), viral diseases continue to emerge and represent a serious issue to public health. In the last twenty years, several viral epidemics such as the severe acute respiratory syndrome coronavirus (SARS-CoV) in 2002 to 2003, and H1N1 influenza in 2009, have been recorded. Most recently, the Middle East respiratory syndrome coronavirus (MERS-CoV) was first identified in Saudi Arabia in 2012. In a timeline that reaches the present day, an epidemic of cases with unexplained low respiratory infections detected in Wuhan, the largest metropolitan area in China's Hubei province, was first reported to the WHO Country Office in China, on December 31, 2019. Published literature can trace the beginning of symptomatic individuals back to the beginning of December 2019. As they were unable to identify the causative agent, these first cases were classified as \"pneumonia of unknown etiology.\" The Chinese Center for Disease Control and Prevention (CDC) and local CDCs organized an intensive outbreak investigation program. The etiology of this illness is now attributed to a novel virus belonging to the coronavirus (CoV) family, COVID-19. On February 11, 2020, the WHO Director-General, Dr. Tedros Adhanom Ghebreyesus, announced that the disease caused by this new CoV was a \"COVID-19,\" which is the acronym of \"coronavirus disease 2019\". In the past twenty years, two additional coronavirus epidemics have occurred. SARS-CoV provoked a large-scale epidemic beginning in China and involving two dozen countries with approximately 8000 cases and 800 deaths, and the MERS-CoV that began in Saudi Arabia and has approximately 2,500 cases and 800 deaths and still causes as sporadic cases. This new virus seems to be very contagious and has quickly spread globally. In a meeting on January 30, 2020, per the International Health Regulations (IHR, 2005), the outbreak was declared by the WHO a Public Health Emergency of International Concern (PHEIC) as it had spread to 18 countries with four countries reporting human-to-human transmission. An additional landmark occurred on February 26, 2020, as the first case of the disease, not imported from China, was recorded in the United States.  Initially, the new virus was called 2019-nCoV. Subsequently, the task of experts of the International Committee on Taxonomy of Viruses (ICTV) termed it the SARS-CoV-2 virus as it is very similar to the one that caused the SARS outbreak (SARS-CoVs). The CoVs have becom…","author":[{"dropping-particle":"","family":"Cascella","given":"Marco","non-dropping-particle":"","parse-names":false,"suffix":""},{"dropping-particle":"","family":"Rajnik","given":"Michael","non-dropping-particle":"","parse-names":false,"suffix":""},{"dropping-particle":"","family":"Cuomo","given":"Arturo","non-dropping-particle":"","parse-names":false,"suffix":""},{"dropping-particle":"","family":"Dulebohn","given":"Scott C.","non-dropping-particle":"","parse-names":false,"suffix":""},{"dropping-particle":"","family":"Napoli","given":"Raffaela","non-dropping-particle":"Di","parse-names":false,"suffix":""}],"container-title":"StatPearls","id":"ITEM-1","issued":{"date-parts":[["2020","3","20"]]},"publisher":"StatPearls Publishing","title":"Features, Evaluation and Treatment Coronavirus (COVID-19)","type":"book"},"uris":["http://www.mendeley.com/documents/?uuid=dd6c7ddc-871d-3341-b99e-3688eb0bdef5"]},{"id":"ITEM-2","itemData":{"DOI":"10.1016/S0140-6736(20)30566-3","ISSN":"1474547X","PMID":"32171076","abstract":"Background: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Lancet","id":"ITEM-2","issue":"10229","issued":{"date-parts":[["2020","3","28"]]},"page":"1054-1062","publisher":"Lancet Publishing Group","title":"Clinical course and risk factors for mortality of adult inpatients with COVID-19 in Wuhan, China: a retrospective cohort study","type":"article-journal","volume":"395"},"uris":["http://www.mendeley.com/documents/?uuid=b394cb19-d838-3511-bd50-eda3fadc819b"]}],"mendeley":{"formattedCitation":"&lt;sup&gt;1,5&lt;/sup&gt;","plainTextFormattedCitation":"1,5","previouslyFormattedCitation":"&lt;sup&gt;1,5&lt;/sup&gt;"},"properties":{"noteIndex":0},"schema":"https://github.com/citation-style-language/schema/raw/master/csl-citation.json"}</w:instrText>
      </w:r>
      <w:r w:rsidR="009C596E">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1,5</w:t>
      </w:r>
      <w:r w:rsidR="009C596E">
        <w:rPr>
          <w:rFonts w:ascii="Times New Roman" w:eastAsia="Times New Roman" w:hAnsi="Times New Roman" w:cs="Times New Roman"/>
          <w:sz w:val="24"/>
          <w:szCs w:val="24"/>
          <w:highlight w:val="white"/>
        </w:rPr>
        <w:fldChar w:fldCharType="end"/>
      </w:r>
      <w:r w:rsidR="00590655">
        <w:rPr>
          <w:rFonts w:ascii="Times New Roman" w:eastAsia="Times New Roman" w:hAnsi="Times New Roman" w:cs="Times New Roman"/>
          <w:sz w:val="24"/>
          <w:szCs w:val="24"/>
          <w:highlight w:val="white"/>
        </w:rPr>
        <w:t xml:space="preserve">. </w:t>
      </w:r>
    </w:p>
    <w:p w14:paraId="0000000E" w14:textId="08F59BF9" w:rsidR="000C7A2A" w:rsidRPr="001E0750" w:rsidRDefault="00282FF0" w:rsidP="001E075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O paciente em UTI tem </w:t>
      </w:r>
      <w:r w:rsidR="00981C74">
        <w:rPr>
          <w:rFonts w:ascii="Times New Roman" w:eastAsia="Times New Roman" w:hAnsi="Times New Roman" w:cs="Times New Roman"/>
          <w:color w:val="000000"/>
          <w:sz w:val="24"/>
          <w:szCs w:val="24"/>
          <w:highlight w:val="white"/>
        </w:rPr>
        <w:t>à</w:t>
      </w:r>
      <w:r>
        <w:rPr>
          <w:rFonts w:ascii="Times New Roman" w:eastAsia="Times New Roman" w:hAnsi="Times New Roman" w:cs="Times New Roman"/>
          <w:color w:val="000000"/>
          <w:sz w:val="24"/>
          <w:szCs w:val="24"/>
          <w:highlight w:val="white"/>
        </w:rPr>
        <w:t xml:space="preserve"> disposição equipamentos de alta tecnologia para manutenção da vida e uma equipe de saúde especializada na assistência, dentre eles o </w:t>
      </w:r>
      <w:r w:rsidR="00843C73">
        <w:rPr>
          <w:rFonts w:ascii="Times New Roman" w:eastAsia="Times New Roman" w:hAnsi="Times New Roman" w:cs="Times New Roman"/>
          <w:color w:val="000000"/>
          <w:sz w:val="24"/>
          <w:szCs w:val="24"/>
          <w:highlight w:val="white"/>
        </w:rPr>
        <w:t>t</w:t>
      </w:r>
      <w:r>
        <w:rPr>
          <w:rFonts w:ascii="Times New Roman" w:eastAsia="Times New Roman" w:hAnsi="Times New Roman" w:cs="Times New Roman"/>
          <w:color w:val="000000"/>
          <w:sz w:val="24"/>
          <w:szCs w:val="24"/>
          <w:highlight w:val="white"/>
        </w:rPr>
        <w:t xml:space="preserve">erapeuta </w:t>
      </w:r>
      <w:r w:rsidR="00843C73">
        <w:rPr>
          <w:rFonts w:ascii="Times New Roman" w:eastAsia="Times New Roman" w:hAnsi="Times New Roman" w:cs="Times New Roman"/>
          <w:color w:val="000000"/>
          <w:sz w:val="24"/>
          <w:szCs w:val="24"/>
          <w:highlight w:val="white"/>
        </w:rPr>
        <w:t>o</w:t>
      </w:r>
      <w:r>
        <w:rPr>
          <w:rFonts w:ascii="Times New Roman" w:eastAsia="Times New Roman" w:hAnsi="Times New Roman" w:cs="Times New Roman"/>
          <w:color w:val="000000"/>
          <w:sz w:val="24"/>
          <w:szCs w:val="24"/>
          <w:highlight w:val="white"/>
        </w:rPr>
        <w:t>cupacional que é recomendado pela legislação brasileira</w:t>
      </w:r>
      <w:r>
        <w:rPr>
          <w:rFonts w:ascii="Times New Roman" w:eastAsia="Times New Roman" w:hAnsi="Times New Roman" w:cs="Times New Roman"/>
          <w:sz w:val="24"/>
          <w:szCs w:val="24"/>
        </w:rPr>
        <w:t xml:space="preserve"> </w:t>
      </w:r>
      <w:r w:rsidR="004B50C9">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URL":"https://bvsms.saude.gov.br/bvs/saudelegis/gm/2017/prt0895_26_04_2017.html","accessed":{"date-parts":[["2020","4","15"]]},"author":[{"dropping-particle":"","family":"BRASIL.","given":"","non-dropping-particle":"","parse-names":false,"suffix":""}],"id":"ITEM-1","issued":{"date-parts":[["0"]]},"title":"Portaria no 895, de 31 de março de 2017.","type":"webpage"},"uris":["http://www.mendeley.com/documents/?uuid=345cc009-3983-3d62-8737-84ea5a36a544"]},{"id":"ITEM-2","itemData":{"URL":"https://bvsms.saude.gov.br/bvs/saudelegis/anvisa/2010/res0007_24_02_2010.html","accessed":{"date-parts":[["2020","4","15"]]},"author":[{"dropping-particle":"","family":"BRASIL","given":"","non-dropping-particle":"","parse-names":false,"suffix":""}],"id":"ITEM-2","issued":{"date-parts":[["2010"]]},"title":"Resolução no 7, de 24 de fevereiro de 2010.","type":"webpage"},"uris":["http://www.mendeley.com/documents/?uuid=87403eed-6ffb-3353-b2e1-405863e497b9"]}],"mendeley":{"formattedCitation":"&lt;sup&gt;7,8&lt;/sup&gt;","plainTextFormattedCitation":"7,8","previouslyFormattedCitation":"&lt;sup&gt;7,8&lt;/sup&gt;"},"properties":{"noteIndex":0},"schema":"https://github.com/citation-style-language/schema/raw/master/csl-citation.json"}</w:instrText>
      </w:r>
      <w:r w:rsidR="004B50C9">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7,8</w:t>
      </w:r>
      <w:r w:rsidR="004B50C9">
        <w:rPr>
          <w:rFonts w:ascii="Times New Roman" w:eastAsia="Times New Roman" w:hAnsi="Times New Roman" w:cs="Times New Roman"/>
          <w:sz w:val="24"/>
          <w:szCs w:val="24"/>
        </w:rPr>
        <w:fldChar w:fldCharType="end"/>
      </w:r>
      <w:r w:rsidR="005906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A atuação do terapeuta ocupacional neste ambiente é efetiva e está consolidada na literatura em condutas que favorecem o processo de reabilitação do paciente crítico, considerando seu desempenho e </w:t>
      </w:r>
      <w:r>
        <w:rPr>
          <w:rFonts w:ascii="Times New Roman" w:eastAsia="Times New Roman" w:hAnsi="Times New Roman" w:cs="Times New Roman"/>
          <w:sz w:val="24"/>
          <w:szCs w:val="24"/>
          <w:highlight w:val="white"/>
        </w:rPr>
        <w:t>papéis</w:t>
      </w:r>
      <w:r>
        <w:rPr>
          <w:rFonts w:ascii="Times New Roman" w:eastAsia="Times New Roman" w:hAnsi="Times New Roman" w:cs="Times New Roman"/>
          <w:color w:val="000000"/>
          <w:sz w:val="24"/>
          <w:szCs w:val="24"/>
          <w:highlight w:val="white"/>
        </w:rPr>
        <w:t xml:space="preserve"> ocupacionais, habilidades, rotinas, hábitos e contextos </w:t>
      </w:r>
      <w:r w:rsidR="00F55CEC">
        <w:rPr>
          <w:rFonts w:ascii="Times New Roman" w:eastAsia="Times New Roman" w:hAnsi="Times New Roman" w:cs="Times New Roman"/>
          <w:color w:val="000000"/>
          <w:sz w:val="24"/>
          <w:szCs w:val="24"/>
          <w:highlight w:val="white"/>
        </w:rPr>
        <w:fldChar w:fldCharType="begin" w:fldLock="1"/>
      </w:r>
      <w:r w:rsidR="00C71CCE">
        <w:rPr>
          <w:rFonts w:ascii="Times New Roman" w:eastAsia="Times New Roman" w:hAnsi="Times New Roman" w:cs="Times New Roman"/>
          <w:color w:val="000000"/>
          <w:sz w:val="24"/>
          <w:szCs w:val="24"/>
          <w:highlight w:val="white"/>
        </w:rPr>
        <w:instrText>ADDIN CSL_CITATION {"citationItems":[{"id":"ITEM-1","itemData":{"author":[{"dropping-particle":"","family":"Barbosa","given":"Felipe Douglas Silva","non-dropping-particle":"","parse-names":false,"suffix":""},{"dropping-particle":"","family":"Reis","given":"Monique Carla da Silva","non-dropping-particle":"","parse-names":false,"suffix":""}],"id":"ITEM-1","issue":"2","issued":{"date-parts":[["2015"]]},"page":"221-239","title":"O papel da Terapia Ocupacional nas Unidades de Terapia Intensiva – uma revisão de literatura","type":"article-journal","volume":"1"},"uris":["http://www.mendeley.com/documents/?uuid=ac52bd52-8b50-4a13-8b76-6ffa9a7146ef"]},{"id":"ITEM-2","itemData":{"author":[{"dropping-particle":"","family":"Moreno-Chaparro","given":"Jaime","non-dropping-particle":"","parse-names":false,"suffix":""},{"dropping-particle":"","family":"Cubillos-Mesa","given":"Cristian","non-dropping-particle":"","parse-names":false,"suffix":""},{"dropping-particle":"","family":"Duarte-Torres","given":"Sylvia Cristina","non-dropping-particle":"","parse-names":false,"suffix":""}],"container-title":"Rev. Fac. Med. (Bogotá)","id":"ITEM-2","issued":{"date-parts":[["2017"]]},"page":"291-296","title":"Terapia ocupacional en unidad de cuidados intensivos","type":"article-journal"},"uris":["http://www.mendeley.com/documents/?uuid=6cdfb165-7d2d-33f1-9878-06bc3d2c8336"]},{"id":"ITEM-3","itemData":{"ISSN":"2526-3544","abstract":"A internação na UTI (Unidade de Terapia Intensiva), e o processo de adoecimento podem gerar implicações negativas ao sujeito como alterações motoras, cognitivas e na participação nas atividades de vida diária. Muitos pacientes compartilham más experiências vivenciadas durante a internação em UTI (as quais desorganizam o sujeito, identificar as necessidades pode contribuir na elaboração do plano de tratamento adequado às demandas do paciente. Dessa forma,o objetivo do trabalho foi de caracterizar o perfil desses pacientes atendidos pela Terapia Ocupacional na UTI Adulto. Realizou-se uma pesquisa transversal observacional da qual participaram 37 sujeitos internados na UTI adulto de um hospital público da Zona Leste do município de São Paulo no período de junho a agosto de 2016. Verificou-se que as características mais presentes entre os participantes dos grupos conforme gênero, idade e dias de internação foram: fraqueza, dor, mobilidade reduzida, limitação no autocuidado, banho e higiene foram os mais presentes entre os participantes. Déficit cognitivo e queixa de memória foram os mais elencados no grupo dos idosos. A internação na UTI e o processo de adoecimento podem gerar implicações negativas ao sujeito como alterações motoras, cognitivas e na participação nas atividades de vida diária. Com base nos resultados identificou-se que os pacientes internados apresentaram fatores que interferem na participação nas atividades de vida diária (autocuidado, banho, higiene, arrumar-se no leito, alimentação e controle de esfíncter), e a atuação da Terapia Ocupacional pode contribuir de forma a minimizar os efeitos deletérios decorrentes da hospitalizaçãoAbstractMany patients live bad experiences during their stay in ICU, that disrupt the subject. Identifying the needs of the person can contribute to the elaboration of the treatment plan. Thus, is importante to identify the profile of the patients treated by Occupational Therapy in an Adult Intensive Care Unit. The study consisted of an observational cross-sectional study in which 37 subjects were hospitalized in the adult ICU of a public hospital in the East of the city of São Paulo from June to August 2016. The presence of weakness, pain, reduced mobility, self-care limitation, bathing and hygiene were the most frequent among the participants according to gender, age and days of hospitalization. Cognitive deficit and memory complaints were the most prominent in the elderly group. ICU hospitalization and the proce…","author":[{"dropping-particle":"","family":"Okuma","given":"Silvia Mayumi","non-dropping-particle":"","parse-names":false,"suffix":""},{"dropping-particle":"de","family":"Paula","given":"Ana Flávia Marostegan","non-dropping-particle":"","parse-names":false,"suffix":""},{"dropping-particle":"do","family":"Carmo","given":"Gabriela Pereira","non-dropping-particle":"","parse-names":false,"suffix":""},{"dropping-particle":"","family":"Pandolfi","given":"Marcela Maria","non-dropping-particle":"","parse-names":false,"suffix":""}],"container-title":"Revisbrato","id":"ITEM-3","issue":"5","issued":{"date-parts":[["2017","11","1"]]},"page":"574-588","title":"Caracterização dos pacientes atendidos pela terapia ocupacional em uma unidade de terapia intensiva adulto / Characterization of patients assisted by occupational therapy in adult intenvise care unit","type":"article-journal","volume":"1"},"uris":["http://www.mendeley.com/documents/?uuid=4c89fc8e-2f10-3a25-a469-2ceb29ef9e0c"]},{"id":"ITEM-4","itemData":{"DOI":"10.1080/07380577.2017.1340690","ISSN":"15413098","abstract":"This paper is a synthesis of the available literature on occupational therapy interventions performed in the adult intensive care unit (ICU). The databases of Ovid MEDLINE, Embase, the Cochrane Library, ClinicalTrials.gov and CINAHL databases were systematically searched from inception through August 2016 for studies of adults who received occupational therapy interventions in the ICU. Of 1,938 citations reviewed, 10 studies met inclusion criteria. Only one study explicitly discussed occupational therapy interventions performed and only one study specifically tested the efficacy of occupational therapy. Future research is needed to clarify the specific interventions and role of occupational therapy in the ICU and the efficacy of these interventions.","author":[{"dropping-particle":"","family":"Weinreich","given":"Mark","non-dropping-particle":"","parse-names":false,"suffix":""},{"dropping-particle":"","family":"Herman","given":"Jennifer","non-dropping-particle":"","parse-names":false,"suffix":""},{"dropping-particle":"","family":"Dickason","given":"Stephanie","non-dropping-particle":"","parse-names":false,"suffix":""},{"dropping-particle":"","family":"Mayo","given":"Helen","non-dropping-particle":"","parse-names":false,"suffix":""}],"container-title":"Occupational Therapy in Health Care","id":"ITEM-4","issue":"3","issued":{"date-parts":[["2017"]]},"page":"205-213","publisher":"Taylor &amp; Francis","title":"Occupational Therapy in the Intensive Care Unit: A Systematic Review","type":"article-journal","volume":"31"},"uris":["http://www.mendeley.com/documents/?uuid=bba0e6e6-262a-4010-ab29-415ddf9c50a1"]},{"id":"ITEM-5","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Projects","id":"ITEM-5","issued":{"date-parts":[["2017","5","1"]]},"publisher":"Dominican University of California","publisher-place":"San Rafael, California","title":"Occupational Therapy in the Intensive Care Unit","type":"thesis"},"uris":["http://www.mendeley.com/documents/?uuid=8769eb1c-50e7-3aa5-9f45-d58aca3df250"]},{"id":"ITEM-6","itemData":{"DOI":"10.1002/ncp.10077","ISSN":"19412452","PMID":"29658187","abstract":"Rehabilitation after critical illness requires a multidisciplinary effort. Nutrition support of critically ill patients aims to correct the imbalance between protein synthesis and protein degradation to maximize strengthening and muscle mass, whereas physical and occupational therapists focus on optimizing strength and mobility through functional activity to help intensive care (ICU) patients return to their precritical illness level of function and improve quality of life. Early mobility has become the new standard of care for ICU patients. Therapists utilize various devices and technologies to increase the feasibility of early mobility and enhance the rehabilitation process to ensure that patients reach their rehabilitation goals. Tools such as electrical stimulation, cycle ergometers, dynamic tilt tables, and resistive bands aid in strengthening. Therapists use safe patient-handling equipment and ambulation aids to address gait impairments. Adaptive toileting, dressing, bathing, and feeding tools facilitate greater independence with activities of daily living. Augmentative and alternative communication devices promote well-being and communication of basic needs. Splints prevent joint contracture and maintain functional range of motion. Overall, many rehabilitation devices are safe and feasible for use in an ICU setting and serve to maximize strength and functional independence. The purpose of this narrative review is to discuss the benefits and limitations of available rehabilitation devices in the context of critical illness rehabilitation goals.","author":[{"dropping-particle":"","family":"Koester","given":"Katie","non-dropping-particle":"","parse-names":false,"suffix":""},{"dropping-particle":"","family":"Troeller","given":"Heidi","non-dropping-particle":"","parse-names":false,"suffix":""},{"dropping-particle":"","family":"Panter","given":"Sara","non-dropping-particle":"","parse-names":false,"suffix":""},{"dropping-particle":"","family":"Winter","given":"Emily","non-dropping-particle":"","parse-names":false,"suffix":""},{"dropping-particle":"","family":"Patel","given":"Jayshil J.","non-dropping-particle":"","parse-names":false,"suffix":""}],"container-title":"Nutrition in Clinical Practice","id":"ITEM-6","issue":"2","issued":{"date-parts":[["2018","4","1"]]},"page":"177-184","publisher":"John Wiley and Sons Inc.","title":"Overview of Intensive Care Unit-Related Physical and Functional Impairments and Rehabilitation-Related Devices","type":"article","volume":"33"},"uris":["http://www.mendeley.com/documents/?uuid=658f36c7-2d76-379c-8016-564656a348e3"]},{"id":"ITEM-7","itemData":{"DOI":"10.1097/CCM.0000000000003999","ISSN":"15300293","abstract":"Objectives: Occupational therapists have specialized expertise to enable people to perform meaningful \"occupations\" that support health, well-being, and participation in life roles. Given the physical, cognitive, and psychologic disability experienced by ICU survivors, occupational therapists could play an important role in their recovery. We conducted a scoping review to determine the state of knowledge of interventions delivered by occupational therapists in adult ICU patients. Data Sources: Eight electronic databases from inception to 05/2018. Study Selection: We included reports of adult patients receiving direct patient care from an occupational therapist in the ICU, all study designs, and quantitative and qualitative traditions. Data Extraction: Independently in duplicate, interprofessional team members screened titles, abstracts, and full texts and extracted report and intervention characteristics. From original research articles, we also extracted study design, number of patients, and primary outcomes. We resolved disagreements by consensus. Data Synthesis: Of 50,700 citations, 221 reports met inclusion criteria, 74 (79%) published after 2010, and 125 (56%) appeared in critical care journals. The three most commonly reported types of interventions were mobility (81%), physical rehabilitation (61%), and activities of daily living (31%). We identified 46 unique original research studies of occupational therapy interventions; the most common study research design was before-after studies (33%). Conclusions: The role of occupational therapists in ICU rehabilitation is not currently well established. Current interventions in the ICU are dominated by physical rehabilitation with a growing role in communication and delirium prevention and care. Given the diverse needs of ICU patients and the scope of occupational therapy, there could be an opportunities for occupational therapists to expand their role and spearhead original research investigating an enriched breadth of ICU interventions.","author":[{"dropping-particle":"","family":"Costigan","given":"F. Aileen","non-dropping-particle":"","parse-names":false,"suffix":""},{"dropping-particle":"","family":"Duffett","given":"Mark","non-dropping-particle":"","parse-names":false,"suffix":""},{"dropping-particle":"","family":"Harris","given":"Jocelyn E.","non-dropping-particle":"","parse-names":false,"suffix":""},{"dropping-particle":"","family":"Baptiste","given":"Susan","non-dropping-particle":"","parse-names":false,"suffix":""},{"dropping-particle":"","family":"Kho","given":"Michelle E.","non-dropping-particle":"","parse-names":false,"suffix":""}],"container-title":"Critical Care Medicine","id":"ITEM-7","issue":"12","issued":{"date-parts":[["2019","12","1"]]},"page":"e1014-e1021","publisher":"Lippincott Williams and Wilkins","title":"Occupational Therapy in the ICU: A Scoping Review of 221 Documents","type":"article","volume":"47"},"uris":["http://www.mendeley.com/documents/?uuid=a18817ab-b388-38d8-bb26-3c23ca34d02d"]},{"id":"ITEM-8","itemData":{"DOI":"10.1108/IJOT-04-2019-0005","ISSN":"07918437","abstract":"Purpose: A recent paradigm-shift in patient care advocates for long-term recovery and quality of life in survivors of critical illness. Evidence suggests that occupational therapists in critical care can contribute to recovery in areas such as functional outcomes, length of stay and delirium, although poor role understanding can limit service-utilisation. The purpose of this study is to investigate current and future roles and practices of critical care occupational therapists in the UK. Design/methodology/approach: Occupational therapists with clinical experience in adult critical care were invited to participate in a mixed-methods design using a locally developed online questionnaire and semi-structured interviews, concurrently. Descriptive statistics were generated through SPSS. Qualitative data were analysed using the framework approach. Findings: Twelve occupational therapists participated in the survey element, with five continuing to interview. Occupational therapists described a multifaceted role in critical care where the majority reported practice in upper limb function, seating/positioning, cognition, psychosocial sequelae and discharge planning. Role and internal characteristics impacted on service delivery. It is envisaged that earlier intervention in a greater percentage of patients, a greater evidence-base, raising awareness and adequate staffing will be features for future development. Originality/value: This study provides new insight into the current role and practices of adult critical care occupational therapists in England and generates insights into their role in addressing physical and non-physical morbidity for this patient cohort. Findings are preliminary in nature; however, future research is warranted to evaluate the effectiveness of interventions.","author":[{"dropping-particle":"","family":"Algeo","given":"Naomi","non-dropping-particle":"","parse-names":false,"suffix":""},{"dropping-particle":"","family":"Aitken","given":"Leanne M.","non-dropping-particle":"","parse-names":false,"suffix":""}],"container-title":"Irish Journal of Occupational Therapy","id":"ITEM-8","issue":"2","issued":{"date-parts":[["2019","11","4"]]},"page":"74-94","publisher":"Emerald Group Publishing Ltd.","title":"The evolving role of occupational therapists in adult critical care in England: A mixed methods design using role theory","type":"article-journal","volume":"47"},"uris":["http://www.mendeley.com/documents/?uuid=f718a167-ccbd-333b-b093-d38e5860cc7d"]}],"mendeley":{"formattedCitation":"&lt;sup&gt;9–16&lt;/sup&gt;","plainTextFormattedCitation":"9–16","previouslyFormattedCitation":"&lt;sup&gt;9–16&lt;/sup&gt;"},"properties":{"noteIndex":0},"schema":"https://github.com/citation-style-language/schema/raw/master/csl-citation.json"}</w:instrText>
      </w:r>
      <w:r w:rsidR="00F55CEC">
        <w:rPr>
          <w:rFonts w:ascii="Times New Roman" w:eastAsia="Times New Roman" w:hAnsi="Times New Roman" w:cs="Times New Roman"/>
          <w:color w:val="000000"/>
          <w:sz w:val="24"/>
          <w:szCs w:val="24"/>
          <w:highlight w:val="white"/>
        </w:rPr>
        <w:fldChar w:fldCharType="separate"/>
      </w:r>
      <w:r w:rsidR="00680888" w:rsidRPr="00680888">
        <w:rPr>
          <w:rFonts w:ascii="Times New Roman" w:eastAsia="Times New Roman" w:hAnsi="Times New Roman" w:cs="Times New Roman"/>
          <w:noProof/>
          <w:color w:val="000000"/>
          <w:sz w:val="24"/>
          <w:szCs w:val="24"/>
          <w:highlight w:val="white"/>
          <w:vertAlign w:val="superscript"/>
        </w:rPr>
        <w:t>9–16</w:t>
      </w:r>
      <w:r w:rsidR="00F55CEC">
        <w:rPr>
          <w:rFonts w:ascii="Times New Roman" w:eastAsia="Times New Roman" w:hAnsi="Times New Roman" w:cs="Times New Roman"/>
          <w:color w:val="000000"/>
          <w:sz w:val="24"/>
          <w:szCs w:val="24"/>
          <w:highlight w:val="white"/>
        </w:rPr>
        <w:fldChar w:fldCharType="end"/>
      </w:r>
      <w:r w:rsidR="00590655">
        <w:rPr>
          <w:rFonts w:ascii="Times New Roman" w:eastAsia="Times New Roman" w:hAnsi="Times New Roman" w:cs="Times New Roman"/>
          <w:color w:val="000000"/>
          <w:sz w:val="24"/>
          <w:szCs w:val="24"/>
        </w:rPr>
        <w:t>.</w:t>
      </w:r>
    </w:p>
    <w:p w14:paraId="0000000F" w14:textId="05F7E351" w:rsidR="000C7A2A" w:rsidRDefault="00282FF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da emergência de novas doenças </w:t>
      </w:r>
      <w:r w:rsidR="00F55CEC">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{"citationItems":[{"id":"ITEM-1","itemData":{"DOI":"10.1590/0102-311x00019620","ISSN":"16784464","author":[{"dropping-particle":"","family":"Lana","given":"Raquel Martins","non-dropping-particle":"","parse-names":false,"suffix":""},{"dropping-particle":"","family":"Coelho","given":"Flávio Codeço","non-dropping-particle":"","parse-names":false,"suffix":""},{"dropping-particle":"","family":"Gomes","given":"Marcelo Ferreira da Costa","non-dropping-particle":"","parse-names":false,"suffix":""},{"dropping-particle":"","family":"Cruz","given":"Oswaldo Gonçalves","non-dropping-particle":"","parse-names":false,"suffix":""},{"dropping-particle":"","family":"Bastos","given":"Leonardo Soares","non-dropping-particle":"","parse-names":false,"suffix":""},{"dropping-particle":"","family":"Villela","given":"Daniel Antunes Maciel","non-dropping-particle":"","parse-names":false,"suffix":""},{"dropping-particle":"","family":"Codeço","given":"Cláudia Torres","non-dropping-particle":"","parse-names":false,"suffix":""}],"container-title":"Cadernos de saude publica","id":"ITEM-1","issue":"3","issued":{"date-parts":[["2020"]]},"page":"e00019620","publisher":"NLM (Medline)","title":"Emergência do novo coronavírus (SARS-CoV-2) e o papel de uma vigilância nacional em saúde oportuna e efetiva","type":"article-journal","volume":"36"},"uris":["http://www.mendeley.com/documents/?uuid=888f7c01-9fde-3f80-bb8c-cc221b579565"]}],"mendeley":{"formattedCitation":"&lt;sup&gt;17&lt;/sup&gt;","plainTextFormattedCitation":"17","previouslyFormattedCitation":"&lt;sup&gt;17&lt;/sup&gt;"},"properties":{"noteIndex":0},"schema":"https://github.com/citation-style-language/schema/raw/master/csl-citation.json"}</w:instrText>
      </w:r>
      <w:r w:rsidR="00F55CEC">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17</w:t>
      </w:r>
      <w:r w:rsidR="00F55CEC">
        <w:rPr>
          <w:rFonts w:ascii="Times New Roman" w:eastAsia="Times New Roman" w:hAnsi="Times New Roman" w:cs="Times New Roman"/>
          <w:sz w:val="24"/>
          <w:szCs w:val="24"/>
        </w:rPr>
        <w:fldChar w:fldCharType="end"/>
      </w:r>
      <w:r w:rsidR="00590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a COVID-19, o compartilhamento de experiências e conhecimentos sobre a atuação do terapeuta ocupacional é um dos métodos essenciais para contribuir para</w:t>
      </w:r>
      <w:r w:rsidR="00843C7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prática. O exemplo positivo é que existe um esforço mundial de terapeutas ocupacionais para gerar informações para as atuações oportunas e construir documentos que validem essas ações. </w:t>
      </w:r>
    </w:p>
    <w:p w14:paraId="25AAC769" w14:textId="4B9D3445" w:rsidR="00843C73" w:rsidRPr="00843C73" w:rsidRDefault="00843C73" w:rsidP="00843C73">
      <w:pPr>
        <w:spacing w:after="0" w:line="360" w:lineRule="auto"/>
        <w:ind w:firstLine="720"/>
        <w:jc w:val="both"/>
        <w:rPr>
          <w:rFonts w:ascii="Times New Roman" w:eastAsia="Times New Roman" w:hAnsi="Times New Roman" w:cs="Times New Roman"/>
          <w:sz w:val="24"/>
          <w:szCs w:val="24"/>
        </w:rPr>
      </w:pPr>
      <w:r w:rsidRPr="00843C73">
        <w:rPr>
          <w:rFonts w:ascii="Times New Roman" w:eastAsia="Times New Roman" w:hAnsi="Times New Roman" w:cs="Times New Roman"/>
          <w:sz w:val="24"/>
          <w:szCs w:val="24"/>
        </w:rPr>
        <w:lastRenderedPageBreak/>
        <w:t xml:space="preserve">Nessa perspectiva, o objetivo deste artigo é discutir </w:t>
      </w:r>
      <w:r w:rsidRPr="00843C73">
        <w:rPr>
          <w:rFonts w:ascii="Times New Roman" w:eastAsia="Times New Roman" w:hAnsi="Times New Roman" w:cs="Times New Roman"/>
          <w:color w:val="000000"/>
          <w:sz w:val="24"/>
          <w:szCs w:val="24"/>
        </w:rPr>
        <w:t>alg</w:t>
      </w:r>
      <w:r w:rsidRPr="00843C73">
        <w:rPr>
          <w:rFonts w:ascii="Times New Roman" w:eastAsia="Times New Roman" w:hAnsi="Times New Roman" w:cs="Times New Roman"/>
          <w:sz w:val="24"/>
          <w:szCs w:val="24"/>
        </w:rPr>
        <w:t>umas possibilidades de</w:t>
      </w:r>
      <w:r w:rsidRPr="00843C73">
        <w:rPr>
          <w:rFonts w:ascii="Times New Roman" w:eastAsia="Times New Roman" w:hAnsi="Times New Roman" w:cs="Times New Roman"/>
          <w:color w:val="000000"/>
          <w:sz w:val="24"/>
          <w:szCs w:val="24"/>
        </w:rPr>
        <w:t xml:space="preserve"> </w:t>
      </w:r>
      <w:r w:rsidRPr="00843C73">
        <w:rPr>
          <w:rFonts w:ascii="Times New Roman" w:eastAsia="Times New Roman" w:hAnsi="Times New Roman" w:cs="Times New Roman"/>
          <w:sz w:val="24"/>
          <w:szCs w:val="24"/>
        </w:rPr>
        <w:t>intervenção</w:t>
      </w:r>
      <w:r w:rsidRPr="00843C73">
        <w:rPr>
          <w:rFonts w:ascii="Times New Roman" w:eastAsia="Times New Roman" w:hAnsi="Times New Roman" w:cs="Times New Roman"/>
          <w:color w:val="000000"/>
          <w:sz w:val="24"/>
          <w:szCs w:val="24"/>
        </w:rPr>
        <w:t xml:space="preserve"> do terapeuta ocupacional com o paciente diagnosticado com a </w:t>
      </w:r>
      <w:r w:rsidR="002F0F3A" w:rsidRPr="00866B49">
        <w:rPr>
          <w:rFonts w:ascii="Times New Roman" w:eastAsia="Times New Roman" w:hAnsi="Times New Roman" w:cs="Times New Roman"/>
          <w:sz w:val="24"/>
          <w:szCs w:val="24"/>
        </w:rPr>
        <w:t>COVID-19</w:t>
      </w:r>
      <w:r w:rsidR="002F0F3A">
        <w:rPr>
          <w:rFonts w:ascii="Times New Roman" w:eastAsia="Times New Roman" w:hAnsi="Times New Roman" w:cs="Times New Roman"/>
          <w:sz w:val="24"/>
          <w:szCs w:val="24"/>
        </w:rPr>
        <w:t xml:space="preserve"> </w:t>
      </w:r>
      <w:r w:rsidRPr="00843C73">
        <w:rPr>
          <w:rFonts w:ascii="Times New Roman" w:eastAsia="Times New Roman" w:hAnsi="Times New Roman" w:cs="Times New Roman"/>
          <w:sz w:val="24"/>
          <w:szCs w:val="24"/>
        </w:rPr>
        <w:t>na UTI</w:t>
      </w:r>
      <w:r w:rsidRPr="00843C73">
        <w:rPr>
          <w:rFonts w:ascii="Times New Roman" w:eastAsia="Times New Roman" w:hAnsi="Times New Roman" w:cs="Times New Roman"/>
          <w:color w:val="000000"/>
          <w:sz w:val="24"/>
          <w:szCs w:val="24"/>
        </w:rPr>
        <w:t>, a partir da experiência de quatr</w:t>
      </w:r>
      <w:r w:rsidRPr="00843C73">
        <w:rPr>
          <w:rFonts w:ascii="Times New Roman" w:eastAsia="Times New Roman" w:hAnsi="Times New Roman" w:cs="Times New Roman"/>
          <w:sz w:val="24"/>
          <w:szCs w:val="24"/>
        </w:rPr>
        <w:t xml:space="preserve">o terapeutas ocupacionais nesse ambiente. </w:t>
      </w:r>
    </w:p>
    <w:p w14:paraId="51892E2E" w14:textId="6757FA54" w:rsidR="00843C73" w:rsidRDefault="00843C73" w:rsidP="00A9725A">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Os temas discutidos estão relacionados a adaptações para favorecer o posicionamento </w:t>
      </w:r>
      <w:r>
        <w:rPr>
          <w:rFonts w:ascii="Times New Roman" w:eastAsia="Times New Roman" w:hAnsi="Times New Roman" w:cs="Times New Roman"/>
          <w:sz w:val="24"/>
          <w:szCs w:val="24"/>
          <w:highlight w:val="white"/>
        </w:rPr>
        <w:t>em pronação no leito</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desempenho de Atividades de Vida Diária (AVD), </w:t>
      </w:r>
      <w:r w:rsidR="00A9725A">
        <w:rPr>
          <w:rFonts w:ascii="Times New Roman" w:eastAsia="Times New Roman" w:hAnsi="Times New Roman" w:cs="Times New Roman"/>
          <w:sz w:val="24"/>
          <w:szCs w:val="24"/>
          <w:highlight w:val="white"/>
        </w:rPr>
        <w:t xml:space="preserve">apontamentos para identificação e gerenciamento </w:t>
      </w:r>
      <w:r>
        <w:rPr>
          <w:rFonts w:ascii="Times New Roman" w:eastAsia="Times New Roman" w:hAnsi="Times New Roman" w:cs="Times New Roman"/>
          <w:sz w:val="24"/>
          <w:szCs w:val="24"/>
          <w:highlight w:val="white"/>
        </w:rPr>
        <w:t>não farmacológic</w:t>
      </w:r>
      <w:r w:rsidR="00A9725A">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de </w:t>
      </w:r>
      <w:r>
        <w:rPr>
          <w:rFonts w:ascii="Times New Roman" w:eastAsia="Times New Roman" w:hAnsi="Times New Roman" w:cs="Times New Roman"/>
          <w:i/>
          <w:sz w:val="24"/>
          <w:szCs w:val="24"/>
          <w:highlight w:val="white"/>
        </w:rPr>
        <w:t>delirium</w:t>
      </w:r>
      <w:r>
        <w:rPr>
          <w:rFonts w:ascii="Times New Roman" w:eastAsia="Times New Roman" w:hAnsi="Times New Roman" w:cs="Times New Roman"/>
          <w:sz w:val="24"/>
          <w:szCs w:val="24"/>
          <w:highlight w:val="white"/>
        </w:rPr>
        <w:t xml:space="preserve"> e </w:t>
      </w:r>
      <w:r>
        <w:rPr>
          <w:rFonts w:ascii="Times New Roman" w:eastAsia="Times New Roman" w:hAnsi="Times New Roman" w:cs="Times New Roman"/>
          <w:color w:val="000000"/>
          <w:sz w:val="24"/>
          <w:szCs w:val="24"/>
          <w:highlight w:val="white"/>
        </w:rPr>
        <w:t xml:space="preserve">Comunicação Alternativa e Ampliada (CAA) na UTI. Em cada um dos temas, </w:t>
      </w:r>
      <w:r>
        <w:rPr>
          <w:rFonts w:ascii="Times New Roman" w:eastAsia="Times New Roman" w:hAnsi="Times New Roman" w:cs="Times New Roman"/>
          <w:sz w:val="24"/>
          <w:szCs w:val="24"/>
          <w:highlight w:val="white"/>
        </w:rPr>
        <w:t xml:space="preserve">as considerações sobre intervenção potencial do terapeuta ocupacional devem ser norteadas pela condição clínica do paciente e o desempenho ocupacional. </w:t>
      </w:r>
    </w:p>
    <w:p w14:paraId="352B66FF" w14:textId="77777777" w:rsidR="002F0F3A" w:rsidRDefault="002F0F3A" w:rsidP="00A9725A">
      <w:pPr>
        <w:spacing w:after="0" w:line="360" w:lineRule="auto"/>
        <w:ind w:firstLine="708"/>
        <w:jc w:val="both"/>
        <w:rPr>
          <w:rFonts w:ascii="Times New Roman" w:eastAsia="Times New Roman" w:hAnsi="Times New Roman" w:cs="Times New Roman"/>
          <w:sz w:val="24"/>
          <w:szCs w:val="24"/>
          <w:highlight w:val="white"/>
        </w:rPr>
      </w:pPr>
    </w:p>
    <w:p w14:paraId="00000021" w14:textId="2099550C" w:rsidR="000C7A2A" w:rsidRDefault="009F5EB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Favorecimento da posição prona </w:t>
      </w:r>
    </w:p>
    <w:p w14:paraId="01904839" w14:textId="00E335DF" w:rsidR="00981C74" w:rsidRDefault="00282FF0" w:rsidP="00D40E30">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sdt>
        <w:sdtPr>
          <w:rPr>
            <w:rFonts w:ascii="Times New Roman" w:eastAsia="Times New Roman" w:hAnsi="Times New Roman" w:cs="Times New Roman"/>
            <w:sz w:val="24"/>
            <w:szCs w:val="24"/>
            <w:highlight w:val="white"/>
          </w:rPr>
          <w:tag w:val="goog_rdk_3"/>
          <w:id w:val="-2030249882"/>
        </w:sdtPr>
        <w:sdtEndPr/>
        <w:sdtContent/>
      </w:sdt>
      <w:r w:rsidR="00981C74" w:rsidRPr="00981C74">
        <w:rPr>
          <w:rFonts w:ascii="Times New Roman" w:eastAsia="Times New Roman" w:hAnsi="Times New Roman" w:cs="Times New Roman"/>
          <w:sz w:val="24"/>
          <w:szCs w:val="24"/>
          <w:highlight w:val="white"/>
        </w:rPr>
        <w:t xml:space="preserve">Os profissionais de saúde </w:t>
      </w:r>
      <w:r>
        <w:rPr>
          <w:rFonts w:ascii="Times New Roman" w:eastAsia="Times New Roman" w:hAnsi="Times New Roman" w:cs="Times New Roman"/>
          <w:sz w:val="24"/>
          <w:szCs w:val="24"/>
          <w:highlight w:val="white"/>
        </w:rPr>
        <w:t>se apropriam das opções de decúbitos</w:t>
      </w:r>
      <w:r w:rsidR="00981C74">
        <w:rPr>
          <w:rFonts w:ascii="Times New Roman" w:eastAsia="Times New Roman" w:hAnsi="Times New Roman" w:cs="Times New Roman"/>
          <w:sz w:val="24"/>
          <w:szCs w:val="24"/>
          <w:highlight w:val="white"/>
        </w:rPr>
        <w:t xml:space="preserve"> (dorsal, lateral e pronação)</w:t>
      </w:r>
      <w:r>
        <w:rPr>
          <w:rFonts w:ascii="Times New Roman" w:eastAsia="Times New Roman" w:hAnsi="Times New Roman" w:cs="Times New Roman"/>
          <w:sz w:val="24"/>
          <w:szCs w:val="24"/>
          <w:highlight w:val="white"/>
        </w:rPr>
        <w:t xml:space="preserve">, como estratégia de tratamento e prevenção </w:t>
      </w:r>
      <w:r w:rsidR="00D40E30">
        <w:rPr>
          <w:rFonts w:ascii="Times New Roman" w:eastAsia="Times New Roman" w:hAnsi="Times New Roman" w:cs="Times New Roman"/>
          <w:sz w:val="24"/>
          <w:szCs w:val="24"/>
          <w:highlight w:val="white"/>
        </w:rPr>
        <w:t xml:space="preserve">de eventos </w:t>
      </w:r>
      <w:r>
        <w:rPr>
          <w:rFonts w:ascii="Times New Roman" w:eastAsia="Times New Roman" w:hAnsi="Times New Roman" w:cs="Times New Roman"/>
          <w:sz w:val="24"/>
          <w:szCs w:val="24"/>
          <w:highlight w:val="white"/>
        </w:rPr>
        <w:t>que acometem o aparelho locomotor de pacientes que estão internados nas</w:t>
      </w:r>
      <w:r w:rsidR="00D40E30">
        <w:rPr>
          <w:rFonts w:ascii="Times New Roman" w:eastAsia="Times New Roman" w:hAnsi="Times New Roman" w:cs="Times New Roman"/>
          <w:sz w:val="24"/>
          <w:szCs w:val="24"/>
          <w:highlight w:val="white"/>
        </w:rPr>
        <w:t xml:space="preserve"> UTI</w:t>
      </w:r>
      <w:r w:rsidR="00981C7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As mudanças de decúbitos favorecem </w:t>
      </w:r>
      <w:r w:rsidR="00D40E30">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precaução de</w:t>
      </w:r>
      <w:r w:rsidR="00981C74">
        <w:rPr>
          <w:rFonts w:ascii="Times New Roman" w:eastAsia="Times New Roman" w:hAnsi="Times New Roman" w:cs="Times New Roman"/>
          <w:sz w:val="24"/>
          <w:szCs w:val="24"/>
          <w:highlight w:val="white"/>
        </w:rPr>
        <w:t xml:space="preserve"> lesão por pressão (LPP),</w:t>
      </w:r>
      <w:r>
        <w:rPr>
          <w:rFonts w:ascii="Times New Roman" w:eastAsia="Times New Roman" w:hAnsi="Times New Roman" w:cs="Times New Roman"/>
          <w:sz w:val="24"/>
          <w:szCs w:val="24"/>
          <w:highlight w:val="white"/>
        </w:rPr>
        <w:t xml:space="preserve"> pneumonia, refluxo gastroesofágico e aspiração subsequente </w:t>
      </w:r>
      <w:r w:rsidR="00753731">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{"citationItems":[{"id":"ITEM-1","itemData":{"abstract":"The prone position is a maneuver used to combat hypoxemia in patients with acute respiratory distress syndrome. Despite the fact that this is currently considered an efficient way to improve oxygenation, the physiological mechanisms that bring about improvements in respiratory function are not yet fully understood. The aim of this review is to discuss the physiological and clinical aspects of the prone position in patients with acute respiratory distress syndrome.","author":[{"dropping-particle":"","family":"Paiva","given":"Kca","non-dropping-particle":"","parse-names":false,"suffix":""},{"dropping-particle":"","family":"Beppu","given":"O S","non-dropping-particle":"","parse-names":false,"suffix":""}],"container-title":"J Bras Pneumol","id":"ITEM-1","issue":"4","issued":{"date-parts":[["2005"]]},"number-of-pages":"332-372","publisher":"Jornal Brasileiro de Pneumologia","title":"Prone position*","type":"report","volume":"31"},"uris":["http://www.mendeley.com/documents/?uuid=20f93d49-3813-33b8-9613-4d0ea16fee52"]},{"id":"ITEM-2","itemData":{"DOI":"10.1016/S0140-6736(98)12251-1","ISSN":"01406736","abstract":"Background. Risk factors for nosocomial pneumonia, such as gastro-oesophageal reflux and subsequent aspiration, can be reduced by semirecumbent body position in intensive-care patients. The objective of this study was to assess whether the incidence of nosocomial pneumonia can also be reduced by this measure. Methods. This trial was stopped after the planned interim analysis. 86 intubated and mechanically ventilated patients of one medical and one respiratory intensive-care unit at a tertiary-care university hospital were randomly assigned to semirecumbent (n = 39) or supine (n = 47) body position. The frequency of clinically suspected and microbiologically confirmed nosocomial pneumonia (clinical plus quantitative bacteriological criteria) was assessed in both groups. Body position was analysed together with known risk factors for nosocomial pneumonia. Findings. The frequency of clinically suspected nosocomial pneumonia was lower in the semirecumbent group than in the supine group (three of 39 [8%] vs 16 of 47 [34%]; 95% CI for difference 10.0-42.0, p = 0.003). This was also true for microbiologically confirmed pneumonia (semirecumbent 2/39 [5%] vs supine 11/47 [23%]; 4.2-31.8, p = 0.018). Supine body position (odds ratio 6-8 [1.7-26.7], p = 0.006) and enteral nutrition (5.7 [1.5-22.8], p = 0.013) were independent risk factors for nosocomial pneumonia and the frequency was highest for patients receiving enteral nutrition in the supine body position (14/28, 50%). Mechanical ventilation for 7 days or more (10.9 [3.0-40.4], p = 0.001) and a Glasgow coma scale score of less than 9 were additional risk factors. Interpretation. The semirecumbent body position reduces frequency and risk of nosocomial pneumonia, especially in patients who receive enteral nutrition. The risk of nosocomial pneumonia is increased by long-duration mechanical ventilation and decreased consciousness.","author":[{"dropping-particle":"","family":"Drakulovic","given":"Mitra B.","non-dropping-particle":"","parse-names":false,"suffix":""},{"dropping-particle":"","family":"Torres","given":"Antoni","non-dropping-particle":"","parse-names":false,"suffix":""},{"dropping-particle":"","family":"Bauer","given":"Torsten T.","non-dropping-particle":"","parse-names":false,"suffix":""},{"dropping-particle":"","family":"Nicolas","given":"Jose M.","non-dropping-particle":"","parse-names":false,"suffix":""},{"dropping-particle":"","family":"Nogué","given":"Santiago","non-dropping-particle":"","parse-names":false,"suffix":""},{"dropping-particle":"","family":"Ferrer","given":"Miquel","non-dropping-particle":"","parse-names":false,"suffix":""}],"container-title":"Lancet","id":"ITEM-2","issue":"9193","issued":{"date-parts":[["1999","11","27"]]},"page":"1851-1858","publisher":"Elsevier Limited","title":"Supine body position as a risk factor for nosocomial pneumonia in mechanically ventilated patients: A randomised trial","type":"article-journal","volume":"354"},"uris":["http://www.mendeley.com/documents/?uuid=6776aa68-8b9f-34bc-a0b9-e04f93e9d242"]}],"mendeley":{"formattedCitation":"&lt;sup&gt;18,19&lt;/sup&gt;","plainTextFormattedCitation":"18,19","previouslyFormattedCitation":"&lt;sup&gt;18,19&lt;/sup&gt;"},"properties":{"noteIndex":0},"schema":"https://github.com/citation-style-language/schema/raw/master/csl-citation.json"}</w:instrText>
      </w:r>
      <w:r w:rsidR="00753731">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18,19</w:t>
      </w:r>
      <w:r w:rsidR="00753731">
        <w:rPr>
          <w:rFonts w:ascii="Times New Roman" w:eastAsia="Times New Roman" w:hAnsi="Times New Roman" w:cs="Times New Roman"/>
          <w:sz w:val="24"/>
          <w:szCs w:val="24"/>
          <w:highlight w:val="white"/>
        </w:rPr>
        <w:fldChar w:fldCharType="end"/>
      </w:r>
      <w:r w:rsidR="00590655">
        <w:rPr>
          <w:rFonts w:ascii="Times New Roman" w:eastAsia="Times New Roman" w:hAnsi="Times New Roman" w:cs="Times New Roman"/>
          <w:sz w:val="24"/>
          <w:szCs w:val="24"/>
          <w:highlight w:val="white"/>
        </w:rPr>
        <w:t xml:space="preserve">. </w:t>
      </w:r>
    </w:p>
    <w:p w14:paraId="00000023" w14:textId="04F55CD7" w:rsidR="000C7A2A" w:rsidRDefault="00282FF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COVID-19 pode provocar complicações como sepse (58%), parada respiratória (50%), insuficiência renal aguda (15% a 29%), insuficiência cardíaca (16% a 28%) e síndrome do desconforto respiratório agudo (SDRA) (31% a 67%) </w:t>
      </w:r>
      <w:r w:rsidR="00753731">
        <w:rPr>
          <w:rFonts w:ascii="Times New Roman" w:eastAsia="Times New Roman" w:hAnsi="Times New Roman" w:cs="Times New Roman"/>
          <w:sz w:val="24"/>
          <w:szCs w:val="24"/>
        </w:rPr>
        <w:fldChar w:fldCharType="begin" w:fldLock="1"/>
      </w:r>
      <w:r w:rsidR="000E0E65">
        <w:rPr>
          <w:rFonts w:ascii="Times New Roman" w:eastAsia="Times New Roman" w:hAnsi="Times New Roman" w:cs="Times New Roman"/>
          <w:sz w:val="24"/>
          <w:szCs w:val="24"/>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Lancet","id":"ITEM-1","issue":"10229","issued":{"date-parts":[["2020","3","28"]]},"page":"1054-1062","publisher":"Lancet Publishing Group","title":"Clinical course and risk factors for mortality of adult inpatients with COVID-19 in Wuhan, China: a retrospective cohort study","type":"article-journal","volume":"395"},"uris":["http://www.mendeley.com/documents/?uuid=cb213489-1028-331f-bd53-685babac0f9d"]}],"mendeley":{"formattedCitation":"&lt;sup&gt;5&lt;/sup&gt;","plainTextFormattedCitation":"5","previouslyFormattedCitation":"&lt;sup&gt;5&lt;/sup&gt;"},"properties":{"noteIndex":0},"schema":"https://github.com/citation-style-language/schema/raw/master/csl-citation.json"}</w:instrText>
      </w:r>
      <w:r w:rsidR="00753731">
        <w:rPr>
          <w:rFonts w:ascii="Times New Roman" w:eastAsia="Times New Roman" w:hAnsi="Times New Roman" w:cs="Times New Roman"/>
          <w:sz w:val="24"/>
          <w:szCs w:val="24"/>
        </w:rPr>
        <w:fldChar w:fldCharType="separate"/>
      </w:r>
      <w:r w:rsidR="00753731" w:rsidRPr="00753731">
        <w:rPr>
          <w:rFonts w:ascii="Times New Roman" w:eastAsia="Times New Roman" w:hAnsi="Times New Roman" w:cs="Times New Roman"/>
          <w:noProof/>
          <w:sz w:val="24"/>
          <w:szCs w:val="24"/>
          <w:vertAlign w:val="superscript"/>
        </w:rPr>
        <w:t>5</w:t>
      </w:r>
      <w:r w:rsidR="00753731">
        <w:rPr>
          <w:rFonts w:ascii="Times New Roman" w:eastAsia="Times New Roman" w:hAnsi="Times New Roman" w:cs="Times New Roman"/>
          <w:sz w:val="24"/>
          <w:szCs w:val="24"/>
        </w:rPr>
        <w:fldChar w:fldCharType="end"/>
      </w:r>
      <w:r w:rsidR="00590655">
        <w:rPr>
          <w:rFonts w:ascii="Times New Roman" w:eastAsia="Times New Roman" w:hAnsi="Times New Roman" w:cs="Times New Roman"/>
          <w:sz w:val="24"/>
          <w:szCs w:val="24"/>
        </w:rPr>
        <w:t>.</w:t>
      </w:r>
    </w:p>
    <w:p w14:paraId="287B26BA" w14:textId="2A573EBA" w:rsidR="00D40E30" w:rsidRDefault="00282FF0" w:rsidP="00D40E3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tratamento de pacientes com SDRA, uma estratégia que se destaca é a posição prona. Este procedimento consiste em posicionar o paciente em decúbito ventral. </w:t>
      </w:r>
      <w:sdt>
        <w:sdtPr>
          <w:tag w:val="goog_rdk_4"/>
          <w:id w:val="-664553502"/>
        </w:sdtPr>
        <w:sdtEndPr/>
        <w:sdtContent/>
      </w:sdt>
      <w:r>
        <w:rPr>
          <w:rFonts w:ascii="Times New Roman" w:eastAsia="Times New Roman" w:hAnsi="Times New Roman" w:cs="Times New Roman"/>
          <w:sz w:val="24"/>
          <w:szCs w:val="24"/>
          <w:highlight w:val="white"/>
        </w:rPr>
        <w:t xml:space="preserve">O primeiro estudo mostrando que a posição prona poderia produzir efeitos benéficos foi realizado em 1974, com pacientes sedados. A posição </w:t>
      </w:r>
      <w:r w:rsidR="00843C73">
        <w:rPr>
          <w:rFonts w:ascii="Times New Roman" w:eastAsia="Times New Roman" w:hAnsi="Times New Roman" w:cs="Times New Roman"/>
          <w:sz w:val="24"/>
          <w:szCs w:val="24"/>
          <w:highlight w:val="white"/>
        </w:rPr>
        <w:t>proporcionou</w:t>
      </w:r>
      <w:r>
        <w:rPr>
          <w:rFonts w:ascii="Times New Roman" w:eastAsia="Times New Roman" w:hAnsi="Times New Roman" w:cs="Times New Roman"/>
          <w:sz w:val="24"/>
          <w:szCs w:val="24"/>
          <w:highlight w:val="white"/>
        </w:rPr>
        <w:t xml:space="preserve"> melhor expansão dos pulmões e, consequentemente, resultando na melhora da oxigenação. </w:t>
      </w:r>
      <w:r>
        <w:rPr>
          <w:rFonts w:ascii="Times New Roman" w:eastAsia="Times New Roman" w:hAnsi="Times New Roman" w:cs="Times New Roman"/>
          <w:sz w:val="24"/>
          <w:szCs w:val="24"/>
        </w:rPr>
        <w:t xml:space="preserve">Os resultados de outra pesquisa também demonstraram evidências de que a aplicação precoce do posicionamento prono por 16 horas </w:t>
      </w:r>
      <w:r w:rsidR="00843C73">
        <w:rPr>
          <w:rFonts w:ascii="Times New Roman" w:eastAsia="Times New Roman" w:hAnsi="Times New Roman" w:cs="Times New Roman"/>
          <w:sz w:val="24"/>
          <w:szCs w:val="24"/>
        </w:rPr>
        <w:t xml:space="preserve">diárias </w:t>
      </w:r>
      <w:r>
        <w:rPr>
          <w:rFonts w:ascii="Times New Roman" w:eastAsia="Times New Roman" w:hAnsi="Times New Roman" w:cs="Times New Roman"/>
          <w:sz w:val="24"/>
          <w:szCs w:val="24"/>
        </w:rPr>
        <w:t xml:space="preserve">pode diminuir significativamente a mortalidade em comparação à ventilação supina convencional </w:t>
      </w:r>
      <w:r w:rsidR="000E0E65">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author":[{"dropping-particle":"","family":"Bamford","given":"P","non-dropping-particle":"","parse-names":false,"suffix":""},{"dropping-particle":"","family":"Denmade","given":"C","non-dropping-particle":"","parse-names":false,"suffix":""},{"dropping-particle":"","family":"Newmarch","given":"C","non-dropping-particle":"","parse-names":false,"suffix":""},{"dropping-particle":"","family":"Shirley","given":"P","non-dropping-particle":"","parse-names":false,"suffix":""},{"dropping-particle":"","family":"Singer","given":"B","non-dropping-particle":"","parse-names":false,"suffix":""},{"dropping-particle":"","family":"Webb","given":"S","non-dropping-particle":"","parse-names":false,"suffix":""},{"dropping-particle":"","family":"Whitmore","given":"D","non-dropping-particle":"","parse-names":false,"suffix":""}],"container-title":"Intensive Care Society","id":"ITEM-1","issued":{"date-parts":[["2019"]]},"page":"1-39","title":"Guidance For : Prone Positioning in Adult Critical Care","type":"article-journal"},"uris":["http://www.mendeley.com/documents/?uuid=6be8e18e-386d-486f-97dd-3be1add47d8a"]}],"mendeley":{"formattedCitation":"&lt;sup&gt;20&lt;/sup&gt;","plainTextFormattedCitation":"20","previouslyFormattedCitation":"&lt;sup&gt;20&lt;/sup&gt;"},"properties":{"noteIndex":0},"schema":"https://github.com/citation-style-language/schema/raw/master/csl-citation.json"}</w:instrText>
      </w:r>
      <w:r w:rsidR="000E0E65">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20</w:t>
      </w:r>
      <w:r w:rsidR="000E0E65">
        <w:rPr>
          <w:rFonts w:ascii="Times New Roman" w:eastAsia="Times New Roman" w:hAnsi="Times New Roman" w:cs="Times New Roman"/>
          <w:sz w:val="24"/>
          <w:szCs w:val="24"/>
        </w:rPr>
        <w:fldChar w:fldCharType="end"/>
      </w:r>
      <w:r w:rsidR="00590655">
        <w:rPr>
          <w:rFonts w:ascii="Times New Roman" w:eastAsia="Times New Roman" w:hAnsi="Times New Roman" w:cs="Times New Roman"/>
          <w:sz w:val="24"/>
          <w:szCs w:val="24"/>
        </w:rPr>
        <w:t xml:space="preserve">. </w:t>
      </w:r>
    </w:p>
    <w:p w14:paraId="12D4E191" w14:textId="08CD074B" w:rsidR="00D40E30" w:rsidRDefault="00282FF0" w:rsidP="00D40E3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revisão sistemática da Cochrane, publicada em 2015, recomenda que a ventilação propensa por 16 ou mais horas por dia seja considerada ativamente em pacientes com hipoxemia grave dentro de 48 horas após a ventilação mecânica </w:t>
      </w:r>
      <w:r w:rsidR="004A38F2">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{"citationItems":[{"id":"ITEM-1","itemData":{"DOI":"10.1002/14651858.CD008095.pub2","ISSN":"1469493X","abstract":"Background: Acute hypoxaemia de novo or on a background of chronic hypoxaemia is a common reason for admission to intensive care and for provision of mechanical ventilation. Various refinements of mechanical ventilation or adjuncts are employed to improve patient outcomes. Mortality from acute respiratory distress syndrome, one of the main contributors to the need for mechanical ventilation for hypoxaemia, remains approximately 40%. Ventilation in the prone position may improve lung mechanics and gas exchange and could improve outcomes. Objectives: The objectives of this review are (1) to ascertain whether prone ventilation offers a mortality advantage when compared with traditional supine or semi recumbent ventilation in patients with severe acute respiratory failure requiring conventional invasive artificial ventilation, and (2) to supplement previous systematic reviews on prone ventilation for hypoxaemic respiratory failure in an adult population. Search methods: We searched the Cochrane Central Register of Controlled Trials (CENTRAL; 2014, Issue 1), Ovid MEDLINE (1950 to 31 January 2014), EMBASE (1980 to 31 January 2014), the Cumulative Index to Nursing and Allied Health Literature (CINAHL) (1982 to 31 January 2014) and Latin American Caribbean Health Sciences Literature (LILACS) (1992 to 31 January 2014) in Ovid MEDLINE for eligible randomized controlled trials. We also searched for studies by handsearching reference lists of relevant articles, by contacting colleagues and by handsearching published proceedings of relevant journals. We applied no language constraints, and we reran the searches in CENTRAL, MEDLINE, EMBASE, CINAHL and LILACS in June 2015. We added five new studies of potential interest to the list of \"Studies awaiting classification\" and will incorporate them into formal review findings during the review update. Selection criteria: We included randomized controlled trials (RCTs) that examined the effects of prone position versus supine/semi recumbent position during conventional mechanical ventilation in adult participants with acute hypoxaemia. Data collection and analysis: Two review authors independently reviewed all trials identified by the search and assessed them for suitability, methods and quality. Two review authors extracted data, and three review authors reviewed the data extracted. We analysed data using Review Manager software and pooled included studies to determine the risk ratio (RR) for mortality and the risk ratio o…","author":[{"dropping-particle":"","family":"Bloomfield","given":"Roxanna","non-dropping-particle":"","parse-names":false,"suffix":""},{"dropping-particle":"","family":"Noble","given":"David W.","non-dropping-particle":"","parse-names":false,"suffix":""},{"dropping-particle":"","family":"Sudlow","given":"Alexis","non-dropping-particle":"","parse-names":false,"suffix":""}],"container-title":"Cochrane Database of Systematic Reviews","id":"ITEM-1","issue":"11","issued":{"date-parts":[["2015","11","13"]]},"publisher":"John Wiley and Sons Ltd","title":"Prone position for acute respiratory failure in adults","type":"article","volume":"2015"},"uris":["http://www.mendeley.com/documents/?uuid=a3ce5053-5e64-3122-8dc8-466c9581a560"]}],"mendeley":{"formattedCitation":"&lt;sup&gt;21&lt;/sup&gt;","plainTextFormattedCitation":"21","previouslyFormattedCitation":"&lt;sup&gt;21&lt;/sup&gt;"},"properties":{"noteIndex":0},"schema":"https://github.com/citation-style-language/schema/raw/master/csl-citation.json"}</w:instrText>
      </w:r>
      <w:r w:rsidR="004A38F2">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21</w:t>
      </w:r>
      <w:r w:rsidR="004A38F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D40E30">
        <w:rPr>
          <w:rFonts w:ascii="Times New Roman" w:eastAsia="Times New Roman" w:hAnsi="Times New Roman" w:cs="Times New Roman"/>
          <w:sz w:val="24"/>
          <w:szCs w:val="24"/>
        </w:rPr>
        <w:t xml:space="preserve">Apesar das evidências dos benefícios do posicionamento em prono, orientações e cuidados devem </w:t>
      </w:r>
      <w:r w:rsidR="00843C73">
        <w:rPr>
          <w:rFonts w:ascii="Times New Roman" w:eastAsia="Times New Roman" w:hAnsi="Times New Roman" w:cs="Times New Roman"/>
          <w:sz w:val="24"/>
          <w:szCs w:val="24"/>
        </w:rPr>
        <w:t xml:space="preserve">ser </w:t>
      </w:r>
      <w:r w:rsidR="00D40E30">
        <w:rPr>
          <w:rFonts w:ascii="Times New Roman" w:eastAsia="Times New Roman" w:hAnsi="Times New Roman" w:cs="Times New Roman"/>
          <w:sz w:val="24"/>
          <w:szCs w:val="24"/>
        </w:rPr>
        <w:t xml:space="preserve">respeitados para evitar complicações desse posicionamento: LPP, edema facial, lesões ocular e do plexo braquial </w:t>
      </w:r>
      <w:r w:rsidR="000E0E65">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{"citationItems":[{"id":"ITEM-1","itemData":{"DOI":"10.1097/CM9.0000000000000848","abstract":"Coronavirus disease-2019 (COVID-19) is a highly infectious respiratory disease that leads to respiratory, physical, and psychological dysfunction in patients. Respiratory rehabilitation is an important intervention as well as cure for clinical patients. With increased understanding of COVID-19 and the accumulation of clinical experience, we proposed recommendations for respiratory rehabilitation in adults with COVID-19 based on the opinions of frontline clinical experts involved in the management of this epidemic and a review of the relevant literature and evidence. Our recommendations are as follows: 1. for inpatients with COVID-19, respiratory rehabilitation would relieve the symptoms of dyspnea, anxiety, and depression and eventually improve physical functions and the quality of life; 2. for severe/critical inpatients, early respiratory rehabilitation is not suggested; 3. for patients in isolation, respiratory rehabilitation guidance should be conducted through educational videos, instruction manuals, or remote consultation; 4. assessment and monitoring should be performed throughout the respiratory rehabilitation process; 5. proper grade protection should be used following the present guidelines. These recommendations can guide clinical practice and form the basis for respiratory rehabilitation in COVID-19 patients.","author":[{"dropping-particle":"","family":"Zhao","given":"Hong-Mei","non-dropping-particle":"","parse-names":false,"suffix":""},{"dropping-particle":"","family":"Xie","given":"Yu-Xiao","non-dropping-particle":"","parse-names":false,"suffix":""},{"dropping-particle":"","family":"Wang","given":"Chen","non-dropping-particle":"","parse-names":false,"suffix":""}],"container-title":"Chin Med J (Engl)","id":"ITEM-1","issue":" PG  -","issued":{"date-parts":[["2020"]]},"title":"Recommendations for respiratory rehabilitation in adults with COVID-19","type":"article-journal"},"uris":["http://www.mendeley.com/documents/?uuid=6cee6054-f2b8-38f9-b9db-f18601dbc7d1"]}],"mendeley":{"formattedCitation":"&lt;sup&gt;22&lt;/sup&gt;","plainTextFormattedCitation":"22","previouslyFormattedCitation":"&lt;sup&gt;22&lt;/sup&gt;"},"properties":{"noteIndex":0},"schema":"https://github.com/citation-style-language/schema/raw/master/csl-citation.json"}</w:instrText>
      </w:r>
      <w:r w:rsidR="000E0E65">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22</w:t>
      </w:r>
      <w:r w:rsidR="000E0E65">
        <w:rPr>
          <w:rFonts w:ascii="Times New Roman" w:eastAsia="Times New Roman" w:hAnsi="Times New Roman" w:cs="Times New Roman"/>
          <w:sz w:val="24"/>
          <w:szCs w:val="24"/>
        </w:rPr>
        <w:fldChar w:fldCharType="end"/>
      </w:r>
      <w:r w:rsidR="00590655">
        <w:rPr>
          <w:rFonts w:ascii="Times New Roman" w:eastAsia="Times New Roman" w:hAnsi="Times New Roman" w:cs="Times New Roman"/>
          <w:sz w:val="24"/>
          <w:szCs w:val="24"/>
        </w:rPr>
        <w:t xml:space="preserve">. </w:t>
      </w:r>
      <w:r w:rsidR="00D40E30">
        <w:rPr>
          <w:rFonts w:ascii="Times New Roman" w:eastAsia="Times New Roman" w:hAnsi="Times New Roman" w:cs="Times New Roman"/>
          <w:sz w:val="24"/>
          <w:szCs w:val="24"/>
        </w:rPr>
        <w:t xml:space="preserve"> </w:t>
      </w:r>
    </w:p>
    <w:p w14:paraId="19069D74" w14:textId="66C2A3F9" w:rsidR="00D40E30" w:rsidRDefault="00282FF0" w:rsidP="00D40E3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Ao compreender as demandas desse momento de pandemia, em que </w:t>
      </w:r>
      <w:r w:rsidR="00D40E30">
        <w:rPr>
          <w:rFonts w:ascii="Times New Roman" w:eastAsia="Times New Roman" w:hAnsi="Times New Roman" w:cs="Times New Roman"/>
          <w:sz w:val="24"/>
          <w:szCs w:val="24"/>
        </w:rPr>
        <w:t>uma parcela dos pacientes infectados está</w:t>
      </w:r>
      <w:r>
        <w:rPr>
          <w:rFonts w:ascii="Times New Roman" w:eastAsia="Times New Roman" w:hAnsi="Times New Roman" w:cs="Times New Roman"/>
          <w:sz w:val="24"/>
          <w:szCs w:val="24"/>
        </w:rPr>
        <w:t xml:space="preserve"> internad</w:t>
      </w:r>
      <w:r w:rsidR="00843C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em UTI e submetid</w:t>
      </w:r>
      <w:r w:rsidR="00843C73">
        <w:rPr>
          <w:rFonts w:ascii="Times New Roman" w:eastAsia="Times New Roman" w:hAnsi="Times New Roman" w:cs="Times New Roman"/>
          <w:sz w:val="24"/>
          <w:szCs w:val="24"/>
        </w:rPr>
        <w:t>a à</w:t>
      </w:r>
      <w:r>
        <w:rPr>
          <w:rFonts w:ascii="Times New Roman" w:eastAsia="Times New Roman" w:hAnsi="Times New Roman" w:cs="Times New Roman"/>
          <w:sz w:val="24"/>
          <w:szCs w:val="24"/>
        </w:rPr>
        <w:t xml:space="preserve"> pronação, o terapeuta ocupacional tem um papel importante de atuação </w:t>
      </w:r>
      <w:r w:rsidR="00843C73">
        <w:rPr>
          <w:rFonts w:ascii="Times New Roman" w:eastAsia="Times New Roman" w:hAnsi="Times New Roman" w:cs="Times New Roman"/>
          <w:sz w:val="24"/>
          <w:szCs w:val="24"/>
        </w:rPr>
        <w:t xml:space="preserve">em conjunto com </w:t>
      </w:r>
      <w:r>
        <w:rPr>
          <w:rFonts w:ascii="Times New Roman" w:eastAsia="Times New Roman" w:hAnsi="Times New Roman" w:cs="Times New Roman"/>
          <w:sz w:val="24"/>
          <w:szCs w:val="24"/>
        </w:rPr>
        <w:t xml:space="preserve">a equipe de cuidados intensivos, diante da sua expertise de </w:t>
      </w:r>
      <w:r w:rsidR="00D40E30">
        <w:rPr>
          <w:rFonts w:ascii="Times New Roman" w:eastAsia="Times New Roman" w:hAnsi="Times New Roman" w:cs="Times New Roman"/>
          <w:sz w:val="24"/>
          <w:szCs w:val="24"/>
        </w:rPr>
        <w:t>prescrever e desenvolver</w:t>
      </w:r>
      <w:r>
        <w:rPr>
          <w:rFonts w:ascii="Times New Roman" w:eastAsia="Times New Roman" w:hAnsi="Times New Roman" w:cs="Times New Roman"/>
          <w:sz w:val="24"/>
          <w:szCs w:val="24"/>
        </w:rPr>
        <w:t xml:space="preserve"> </w:t>
      </w:r>
      <w:r w:rsidR="00D40E30">
        <w:rPr>
          <w:rFonts w:ascii="Times New Roman" w:eastAsia="Times New Roman" w:hAnsi="Times New Roman" w:cs="Times New Roman"/>
          <w:sz w:val="24"/>
          <w:szCs w:val="24"/>
        </w:rPr>
        <w:t xml:space="preserve">recursos de tecnologia assistiva, como </w:t>
      </w:r>
      <w:r>
        <w:rPr>
          <w:rFonts w:ascii="Times New Roman" w:eastAsia="Times New Roman" w:hAnsi="Times New Roman" w:cs="Times New Roman"/>
          <w:sz w:val="24"/>
          <w:szCs w:val="24"/>
        </w:rPr>
        <w:t>adaptações</w:t>
      </w:r>
      <w:r w:rsidR="00D40E30">
        <w:rPr>
          <w:rFonts w:ascii="Times New Roman" w:eastAsia="Times New Roman" w:hAnsi="Times New Roman" w:cs="Times New Roman"/>
          <w:sz w:val="24"/>
          <w:szCs w:val="24"/>
        </w:rPr>
        <w:t xml:space="preserve"> para o posicionamento no leito, </w:t>
      </w:r>
      <w:r>
        <w:rPr>
          <w:rFonts w:ascii="Times New Roman" w:eastAsia="Times New Roman" w:hAnsi="Times New Roman" w:cs="Times New Roman"/>
          <w:sz w:val="24"/>
          <w:szCs w:val="24"/>
          <w:highlight w:val="white"/>
        </w:rPr>
        <w:t>para fins de manutenção/recuperação d</w:t>
      </w:r>
      <w:r w:rsidR="00D40E30">
        <w:rPr>
          <w:rFonts w:ascii="Times New Roman" w:eastAsia="Times New Roman" w:hAnsi="Times New Roman" w:cs="Times New Roman"/>
          <w:sz w:val="24"/>
          <w:szCs w:val="24"/>
        </w:rPr>
        <w:t xml:space="preserve">o desempenho ocupacional. </w:t>
      </w:r>
    </w:p>
    <w:p w14:paraId="6D823E00" w14:textId="3B09B545" w:rsidR="00D40E30" w:rsidRDefault="00282FF0" w:rsidP="00D40E3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das sugestões é a realização de kits para o posicionamento em prono, </w:t>
      </w:r>
      <w:r w:rsidR="00D40E30">
        <w:rPr>
          <w:rFonts w:ascii="Times New Roman" w:eastAsia="Times New Roman" w:hAnsi="Times New Roman" w:cs="Times New Roman"/>
          <w:sz w:val="24"/>
          <w:szCs w:val="24"/>
        </w:rPr>
        <w:t xml:space="preserve">envolvendo as regiões torácica, pélvica e cabeça. Para essa confecção orienta-se a utilização de </w:t>
      </w:r>
      <w:r>
        <w:rPr>
          <w:rFonts w:ascii="Times New Roman" w:eastAsia="Times New Roman" w:hAnsi="Times New Roman" w:cs="Times New Roman"/>
          <w:sz w:val="24"/>
          <w:szCs w:val="24"/>
        </w:rPr>
        <w:t xml:space="preserve">uma espuma, que seja macia e leve, em formato casca de ovo ou não. </w:t>
      </w:r>
      <w:r w:rsidR="00D40E30">
        <w:rPr>
          <w:rFonts w:ascii="Times New Roman" w:eastAsia="Times New Roman" w:hAnsi="Times New Roman" w:cs="Times New Roman"/>
          <w:sz w:val="24"/>
          <w:szCs w:val="24"/>
        </w:rPr>
        <w:t xml:space="preserve">Nas figuras abaixo, estão sinalizadas medidas </w:t>
      </w:r>
      <w:r w:rsidR="00843C73">
        <w:rPr>
          <w:rFonts w:ascii="Times New Roman" w:eastAsia="Times New Roman" w:hAnsi="Times New Roman" w:cs="Times New Roman"/>
          <w:sz w:val="24"/>
          <w:szCs w:val="24"/>
        </w:rPr>
        <w:t xml:space="preserve">aproximadas </w:t>
      </w:r>
      <w:r w:rsidR="00D40E30">
        <w:rPr>
          <w:rFonts w:ascii="Times New Roman" w:eastAsia="Times New Roman" w:hAnsi="Times New Roman" w:cs="Times New Roman"/>
          <w:sz w:val="24"/>
          <w:szCs w:val="24"/>
        </w:rPr>
        <w:t xml:space="preserve">e as estratégias que podem favorecer essa confecção. Ressalta-se que a referência do comprimento para as regiões do tórax e pelve é a medida do colchão do leito. </w:t>
      </w:r>
    </w:p>
    <w:p w14:paraId="25785A39" w14:textId="77777777" w:rsidR="00843C73" w:rsidRDefault="00843C73" w:rsidP="00843C73">
      <w:pPr>
        <w:spacing w:after="0" w:line="360" w:lineRule="auto"/>
        <w:jc w:val="both"/>
        <w:rPr>
          <w:rFonts w:ascii="Times New Roman" w:eastAsia="Times New Roman" w:hAnsi="Times New Roman" w:cs="Times New Roman"/>
          <w:sz w:val="24"/>
          <w:szCs w:val="24"/>
        </w:rPr>
      </w:pPr>
    </w:p>
    <w:p w14:paraId="152A08C3" w14:textId="5CC7D114" w:rsidR="00843C73" w:rsidRDefault="00843C73" w:rsidP="00843C73">
      <w:pPr>
        <w:spacing w:after="0" w:line="360" w:lineRule="auto"/>
        <w:jc w:val="both"/>
        <w:rPr>
          <w:rFonts w:ascii="Times New Roman" w:eastAsia="Times New Roman" w:hAnsi="Times New Roman" w:cs="Times New Roman"/>
          <w:sz w:val="24"/>
          <w:szCs w:val="24"/>
        </w:rPr>
      </w:pPr>
      <w:r w:rsidRPr="001D7BA1">
        <w:rPr>
          <w:rFonts w:ascii="Times New Roman" w:eastAsia="Times New Roman" w:hAnsi="Times New Roman" w:cs="Times New Roman"/>
          <w:b/>
          <w:sz w:val="24"/>
          <w:szCs w:val="24"/>
        </w:rPr>
        <w:t>Figura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Região torácica: Comprimento 90cm/ largura 20cm/ altura 11 cm</w:t>
      </w:r>
      <w:r w:rsidR="00945C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2B" w14:textId="77777777" w:rsidR="000C7A2A" w:rsidRDefault="00282F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682E93" wp14:editId="42CF6CC2">
            <wp:extent cx="1742758" cy="1153826"/>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2758" cy="1153826"/>
                    </a:xfrm>
                    <a:prstGeom prst="rect">
                      <a:avLst/>
                    </a:prstGeom>
                    <a:ln/>
                  </pic:spPr>
                </pic:pic>
              </a:graphicData>
            </a:graphic>
          </wp:inline>
        </w:drawing>
      </w:r>
    </w:p>
    <w:p w14:paraId="0000002C" w14:textId="78ACC6A0" w:rsidR="000C7A2A" w:rsidRDefault="00843C73">
      <w:pPr>
        <w:spacing w:after="0" w:line="360" w:lineRule="auto"/>
        <w:jc w:val="both"/>
        <w:rPr>
          <w:rFonts w:ascii="Times New Roman" w:eastAsia="Times New Roman" w:hAnsi="Times New Roman" w:cs="Times New Roman"/>
          <w:sz w:val="24"/>
          <w:szCs w:val="24"/>
        </w:rPr>
      </w:pPr>
      <w:r w:rsidRPr="001D7BA1">
        <w:rPr>
          <w:rFonts w:ascii="Times New Roman" w:eastAsia="Times New Roman" w:hAnsi="Times New Roman" w:cs="Times New Roman"/>
          <w:b/>
          <w:sz w:val="24"/>
          <w:szCs w:val="24"/>
        </w:rPr>
        <w:t>Figura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Região pélvica: Comprimento 90cm/ largura 20cm/ altura 6cm</w:t>
      </w:r>
      <w:r w:rsidR="00945C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2D" w14:textId="77777777" w:rsidR="000C7A2A" w:rsidRDefault="00282FF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8C2086" wp14:editId="5CC88A8C">
            <wp:extent cx="1990408" cy="131339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90408" cy="1313398"/>
                    </a:xfrm>
                    <a:prstGeom prst="rect">
                      <a:avLst/>
                    </a:prstGeom>
                    <a:ln/>
                  </pic:spPr>
                </pic:pic>
              </a:graphicData>
            </a:graphic>
          </wp:inline>
        </w:drawing>
      </w:r>
    </w:p>
    <w:p w14:paraId="0FDD5F13" w14:textId="174CEA94" w:rsidR="00D40E30" w:rsidRDefault="00843C73" w:rsidP="00D40E30">
      <w:pPr>
        <w:spacing w:after="0" w:line="360" w:lineRule="auto"/>
        <w:jc w:val="both"/>
        <w:rPr>
          <w:rFonts w:ascii="Times New Roman" w:eastAsia="Times New Roman" w:hAnsi="Times New Roman" w:cs="Times New Roman"/>
          <w:sz w:val="24"/>
          <w:szCs w:val="24"/>
        </w:rPr>
      </w:pPr>
      <w:r w:rsidRPr="001D7BA1">
        <w:rPr>
          <w:rFonts w:ascii="Times New Roman" w:eastAsia="Times New Roman" w:hAnsi="Times New Roman" w:cs="Times New Roman"/>
          <w:b/>
          <w:sz w:val="24"/>
          <w:szCs w:val="24"/>
        </w:rPr>
        <w:t>Figura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Região da cabeça</w:t>
      </w:r>
      <w:r w:rsidR="008424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medidas da imagem</w:t>
      </w:r>
      <w:r w:rsidR="00945C28">
        <w:rPr>
          <w:rFonts w:ascii="Times New Roman" w:eastAsia="Times New Roman" w:hAnsi="Times New Roman" w:cs="Times New Roman"/>
          <w:sz w:val="24"/>
          <w:szCs w:val="24"/>
        </w:rPr>
        <w:t>.</w:t>
      </w:r>
      <w:r w:rsidR="00282FF0">
        <w:rPr>
          <w:rFonts w:ascii="Times New Roman" w:eastAsia="Times New Roman" w:hAnsi="Times New Roman" w:cs="Times New Roman"/>
          <w:sz w:val="24"/>
          <w:szCs w:val="24"/>
        </w:rPr>
        <w:t xml:space="preserve"> </w:t>
      </w:r>
    </w:p>
    <w:p w14:paraId="402E4DE9" w14:textId="3F1AAD27" w:rsidR="00D40E30" w:rsidRDefault="00843C73" w:rsidP="00D40E3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717520" wp14:editId="04A7432A">
            <wp:extent cx="2191380" cy="1723707"/>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91380" cy="1723707"/>
                    </a:xfrm>
                    <a:prstGeom prst="rect">
                      <a:avLst/>
                    </a:prstGeom>
                    <a:ln/>
                  </pic:spPr>
                </pic:pic>
              </a:graphicData>
            </a:graphic>
          </wp:inline>
        </w:drawing>
      </w:r>
    </w:p>
    <w:p w14:paraId="00000032" w14:textId="2EDC104E" w:rsidR="000C7A2A" w:rsidRDefault="00282FF0">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maioria das complicações associada ao posicionamento prono de pacientes sob ventilação mecânica é evitável. Além disso, o material para produção dos kits para esse posicionamento demanda investimento de baixo custo. Diante disso, espera-se que a adoção das orientações contidas neste artigo ajude a melhorar a segurança e a reduzir a ocorrência desses eventos. </w:t>
      </w:r>
    </w:p>
    <w:p w14:paraId="46F5BFC7" w14:textId="45A48611" w:rsidR="00D40E30" w:rsidRPr="00D40E30" w:rsidRDefault="009F5EB0" w:rsidP="00D40E30">
      <w:pPr>
        <w:spacing w:after="0" w:line="360" w:lineRule="auto"/>
        <w:jc w:val="both"/>
        <w:rPr>
          <w:rFonts w:ascii="Times New Roman" w:eastAsia="Times New Roman" w:hAnsi="Times New Roman" w:cs="Times New Roman"/>
          <w:b/>
          <w:bCs/>
          <w:sz w:val="24"/>
          <w:szCs w:val="24"/>
          <w:highlight w:val="white"/>
        </w:rPr>
      </w:pPr>
      <w:r w:rsidRPr="00D40E30">
        <w:rPr>
          <w:rFonts w:ascii="Times New Roman" w:eastAsia="Times New Roman" w:hAnsi="Times New Roman" w:cs="Times New Roman"/>
          <w:b/>
          <w:bCs/>
          <w:sz w:val="24"/>
          <w:szCs w:val="24"/>
          <w:highlight w:val="white"/>
        </w:rPr>
        <w:t>Desempenho de atividades de vida diária (</w:t>
      </w:r>
      <w:r w:rsidR="00FD1F69">
        <w:rPr>
          <w:rFonts w:ascii="Times New Roman" w:eastAsia="Times New Roman" w:hAnsi="Times New Roman" w:cs="Times New Roman"/>
          <w:b/>
          <w:bCs/>
          <w:sz w:val="24"/>
          <w:szCs w:val="24"/>
          <w:highlight w:val="white"/>
        </w:rPr>
        <w:t>AVD</w:t>
      </w:r>
      <w:r w:rsidRPr="00D40E30">
        <w:rPr>
          <w:rFonts w:ascii="Times New Roman" w:eastAsia="Times New Roman" w:hAnsi="Times New Roman" w:cs="Times New Roman"/>
          <w:b/>
          <w:bCs/>
          <w:sz w:val="24"/>
          <w:szCs w:val="24"/>
          <w:highlight w:val="white"/>
        </w:rPr>
        <w:t>)</w:t>
      </w:r>
    </w:p>
    <w:p w14:paraId="203FABAD" w14:textId="77777777" w:rsidR="00D40E30" w:rsidRDefault="00D40E30" w:rsidP="00D40E30">
      <w:pPr>
        <w:spacing w:after="0" w:line="360" w:lineRule="auto"/>
        <w:jc w:val="both"/>
        <w:rPr>
          <w:rFonts w:ascii="Times New Roman" w:eastAsia="Times New Roman" w:hAnsi="Times New Roman" w:cs="Times New Roman"/>
          <w:sz w:val="24"/>
          <w:szCs w:val="24"/>
          <w:highlight w:val="white"/>
        </w:rPr>
      </w:pPr>
    </w:p>
    <w:p w14:paraId="00000034" w14:textId="5E5D3397" w:rsidR="000C7A2A" w:rsidRDefault="0021638B" w:rsidP="006A54BA">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Tornam-se fundamentais intervenções interdisciplinares capazes de melhorar a autonomia e a independência do paciente com a </w:t>
      </w:r>
      <w:r w:rsidR="002F0F3A" w:rsidRPr="00866B49">
        <w:rPr>
          <w:rFonts w:ascii="Times New Roman" w:eastAsia="Times New Roman" w:hAnsi="Times New Roman" w:cs="Times New Roman"/>
          <w:sz w:val="24"/>
          <w:szCs w:val="24"/>
        </w:rPr>
        <w:t>COVID-19</w:t>
      </w:r>
      <w:r>
        <w:rPr>
          <w:rFonts w:ascii="Times New Roman" w:eastAsia="Times New Roman" w:hAnsi="Times New Roman" w:cs="Times New Roman"/>
          <w:sz w:val="24"/>
          <w:szCs w:val="24"/>
          <w:highlight w:val="white"/>
        </w:rPr>
        <w:t xml:space="preserve">. Assim, os terapeutas ocupacionais têm um papel singular, pois </w:t>
      </w:r>
      <w:r w:rsidR="006A54BA">
        <w:rPr>
          <w:rFonts w:ascii="Times New Roman" w:eastAsia="Times New Roman" w:hAnsi="Times New Roman" w:cs="Times New Roman"/>
          <w:sz w:val="24"/>
          <w:szCs w:val="24"/>
          <w:highlight w:val="white"/>
        </w:rPr>
        <w:t>o uso de</w:t>
      </w:r>
      <w:r>
        <w:rPr>
          <w:rFonts w:ascii="Times New Roman" w:eastAsia="Times New Roman" w:hAnsi="Times New Roman" w:cs="Times New Roman"/>
          <w:sz w:val="24"/>
          <w:szCs w:val="24"/>
          <w:highlight w:val="white"/>
        </w:rPr>
        <w:t xml:space="preserve"> atividades diárias (ocupações)</w:t>
      </w:r>
      <w:r w:rsidR="00F126E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como recurso terapêutico</w:t>
      </w:r>
      <w:r w:rsidR="00F126E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em todo o processo de intervenção </w:t>
      </w:r>
      <w:r w:rsidR="006A54BA">
        <w:rPr>
          <w:rFonts w:ascii="Times New Roman" w:eastAsia="Times New Roman" w:hAnsi="Times New Roman" w:cs="Times New Roman"/>
          <w:sz w:val="24"/>
          <w:szCs w:val="24"/>
        </w:rPr>
        <w:t xml:space="preserve">está entre os </w:t>
      </w:r>
      <w:r w:rsidR="00F126EC">
        <w:rPr>
          <w:rFonts w:ascii="Times New Roman" w:eastAsia="Times New Roman" w:hAnsi="Times New Roman" w:cs="Times New Roman"/>
          <w:sz w:val="24"/>
          <w:szCs w:val="24"/>
        </w:rPr>
        <w:t xml:space="preserve">seus </w:t>
      </w:r>
      <w:r w:rsidR="006A54BA" w:rsidRPr="006A54BA">
        <w:rPr>
          <w:rFonts w:ascii="Times New Roman" w:eastAsia="Times New Roman" w:hAnsi="Times New Roman" w:cs="Times New Roman"/>
          <w:sz w:val="24"/>
          <w:szCs w:val="24"/>
        </w:rPr>
        <w:t xml:space="preserve">atos privativos </w:t>
      </w:r>
      <w:r w:rsidR="00422272">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{"citationItems":[{"id":"ITEM-1","itemData":{"DOI":"10.11606/issn.2238-6149.v26iespp1-49","ISSN":"1415-9104","abstract":"A Estrutura da Prática da Terapia Ocupacional: Domínio e Processo, 3ª Edição (aqui sendo referida como “a Estrutura”), é o documento oficial da Associação Americana de Terapia Ocupacional (AOTA). Destinado aos profissionais da terapia ocupacional e a estudantes, outros profissionais da saúde, educadores, pesquisadores, compradores e a consumidores, a Estrutura apresenta um resumo dos construtos inter-relacionados que descrevem a prática da terapia ocupacional. [Traduzido para o português por Alessandra Cavalcanti - UFTM, Fabiana Caetano Martins Silva e Dutra - UFTM e Valéria Meirelles Carril Elui - FMRP-USP; autorizada para publicação em português, acesso aberto na Revista de Terapia Ocupacional da Universidade de São Paulo. 2015;26(ed. esp.):1-49].","author":[{"dropping-particle":"","family":"Association","given":"AOTA American Occupational Therapy","non-dropping-particle":"","parse-names":false,"suffix":""}],"container-title":"Revista Terapia Ocupacional da USP","id":"ITEM-1","issue":"esp","issued":{"date-parts":[["2015","4","24"]]},"page":"1-49","title":"Estrutura da prática da Terapia Ocupacional: domínio &amp; processo - 3ª ed. traduzida","type":"article-journal","volume":"26"},"uris":["http://www.mendeley.com/documents/?uuid=e55cb6c2-6c48-333e-be6f-8deaac1e39dc"]},{"id":"ITEM-2","itemData":{"author":[{"dropping-particle":"","family":"Associação Brasileira dos Terapeutas Ocupacionais (ABRATO).","given":"","non-dropping-particle":"","parse-names":false,"suffix":""}],"id":"ITEM-2","issued":{"date-parts":[["2015"]]},"title":"Estudo sobre atividades da vida diária, atividades instrumentais da vida diária e tecnologia assistiva.","type":"book"},"uris":["http://www.mendeley.com/documents/?uuid=2d2616e0-37b9-4586-bf04-ab75200f3b52"]}],"mendeley":{"formattedCitation":"&lt;sup&gt;23,24&lt;/sup&gt;","plainTextFormattedCitation":"23,24","previouslyFormattedCitation":"&lt;sup&gt;23,24&lt;/sup&gt;"},"properties":{"noteIndex":0},"schema":"https://github.com/citation-style-language/schema/raw/master/csl-citation.json"}</w:instrText>
      </w:r>
      <w:r w:rsidR="00422272">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23,24</w:t>
      </w:r>
      <w:r w:rsidR="00422272">
        <w:rPr>
          <w:rFonts w:ascii="Times New Roman" w:eastAsia="Times New Roman" w:hAnsi="Times New Roman" w:cs="Times New Roman"/>
          <w:sz w:val="24"/>
          <w:szCs w:val="24"/>
          <w:highlight w:val="white"/>
        </w:rPr>
        <w:fldChar w:fldCharType="end"/>
      </w:r>
      <w:r w:rsidR="00590655">
        <w:rPr>
          <w:rFonts w:ascii="Times New Roman" w:eastAsia="Times New Roman" w:hAnsi="Times New Roman" w:cs="Times New Roman"/>
          <w:sz w:val="24"/>
          <w:szCs w:val="24"/>
          <w:highlight w:val="white"/>
        </w:rPr>
        <w:t>.</w:t>
      </w:r>
      <w:r w:rsidR="006A54BA">
        <w:rPr>
          <w:rFonts w:ascii="Times New Roman" w:eastAsia="Times New Roman" w:hAnsi="Times New Roman" w:cs="Times New Roman"/>
          <w:sz w:val="24"/>
          <w:szCs w:val="24"/>
          <w:highlight w:val="white"/>
        </w:rPr>
        <w:t xml:space="preserve"> </w:t>
      </w:r>
    </w:p>
    <w:p w14:paraId="238BB0A6" w14:textId="3D3984ED" w:rsidR="00ED18F0" w:rsidRDefault="0021638B" w:rsidP="0021638B">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Ao compreender que os pacientes que estão com a </w:t>
      </w:r>
      <w:r w:rsidR="002F0F3A" w:rsidRPr="00866B49">
        <w:rPr>
          <w:rFonts w:ascii="Times New Roman" w:eastAsia="Times New Roman" w:hAnsi="Times New Roman" w:cs="Times New Roman"/>
          <w:sz w:val="24"/>
          <w:szCs w:val="24"/>
        </w:rPr>
        <w:t>COVID-19</w:t>
      </w:r>
      <w:r w:rsidR="002F0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apresentam numerosos sintomas clínicos ou tiveram condições </w:t>
      </w:r>
      <w:r w:rsidRPr="0021638B">
        <w:rPr>
          <w:rFonts w:ascii="Times New Roman" w:eastAsia="Times New Roman" w:hAnsi="Times New Roman" w:cs="Times New Roman"/>
          <w:sz w:val="24"/>
          <w:szCs w:val="24"/>
        </w:rPr>
        <w:t xml:space="preserve">severas, como insuficiência </w:t>
      </w:r>
      <w:r>
        <w:rPr>
          <w:rFonts w:ascii="Times New Roman" w:eastAsia="Times New Roman" w:hAnsi="Times New Roman" w:cs="Times New Roman"/>
          <w:sz w:val="24"/>
          <w:szCs w:val="24"/>
          <w:highlight w:val="white"/>
        </w:rPr>
        <w:t>respiratória</w:t>
      </w:r>
      <w:r w:rsidR="00590655">
        <w:rPr>
          <w:rFonts w:ascii="Times New Roman" w:eastAsia="Times New Roman" w:hAnsi="Times New Roman" w:cs="Times New Roman"/>
          <w:sz w:val="24"/>
          <w:szCs w:val="24"/>
          <w:highlight w:val="white"/>
        </w:rPr>
        <w:t xml:space="preserve"> </w:t>
      </w:r>
      <w:r w:rsidR="006A5E60">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{"citationItems":[{"id":"ITEM-1","itemData":{"URL":"https://www.who.int/emergencies/diseases/novel-coronavirus-2019/situation reports","author":[{"dropping-particle":"","family":"WORLD HEALTH ORGANIZATION","given":"","non-dropping-particle":"","parse-names":false,"suffix":""}],"id":"ITEM-1","issued":{"date-parts":[["2020"]]},"title":"Coronavirus disease (COVID-2019) situation reports: Situation report - 83.","type":"webpage"},"uris":["http://www.mendeley.com/documents/?uuid=1ba80a9b-7468-48ba-b3db-f5875857ddfd"]}],"mendeley":{"formattedCitation":"&lt;sup&gt;25&lt;/sup&gt;","plainTextFormattedCitation":"25","previouslyFormattedCitation":"&lt;sup&gt;25&lt;/sup&gt;"},"properties":{"noteIndex":0},"schema":"https://github.com/citation-style-language/schema/raw/master/csl-citation.json"}</w:instrText>
      </w:r>
      <w:r w:rsidR="006A5E60">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25</w:t>
      </w:r>
      <w:r w:rsidR="006A5E60">
        <w:rPr>
          <w:rFonts w:ascii="Times New Roman" w:eastAsia="Times New Roman" w:hAnsi="Times New Roman" w:cs="Times New Roman"/>
          <w:sz w:val="24"/>
          <w:szCs w:val="24"/>
          <w:highlight w:val="white"/>
        </w:rPr>
        <w:fldChar w:fldCharType="end"/>
      </w:r>
      <w:r w:rsidR="00282FF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naturalmente muitos enfrentarão dificuldades para desempenhar suas AVD (realizar higiene íntima; usar utensílios para alimentação; mobilidade funcional; higiene pessoal) na UTI. </w:t>
      </w:r>
    </w:p>
    <w:p w14:paraId="400D89EC" w14:textId="00801C16" w:rsidR="00ED18F0" w:rsidRDefault="0021638B" w:rsidP="00ED18F0">
      <w:pPr>
        <w:spacing w:after="0" w:line="360" w:lineRule="auto"/>
        <w:ind w:firstLine="709"/>
        <w:jc w:val="both"/>
        <w:rPr>
          <w:rFonts w:ascii="Times New Roman" w:eastAsia="Times New Roman" w:hAnsi="Times New Roman" w:cs="Times New Roman"/>
          <w:sz w:val="24"/>
          <w:szCs w:val="24"/>
        </w:rPr>
      </w:pPr>
      <w:r w:rsidRPr="0021638B">
        <w:rPr>
          <w:rFonts w:ascii="Times New Roman" w:eastAsia="Times New Roman" w:hAnsi="Times New Roman" w:cs="Times New Roman"/>
          <w:sz w:val="24"/>
          <w:szCs w:val="24"/>
        </w:rPr>
        <w:t xml:space="preserve">Essas dificuldades podem ser exacerbadas pela sedação, síndrome do imobilismo, pelo tempo de internação, o qual ocorre em torno de 15 a 25 dias, pelo uso prolongado da ventilação mecânica e pelos efeitos adversos da medicação </w:t>
      </w:r>
      <w:r w:rsidR="008A6C05">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{"citationItems":[{"id":"ITEM-1","itemData":{"author":[{"dropping-particle":"","family":"CAZEIRO","given":"ANA PAULA M.","non-dropping-particle":"","parse-names":false,"suffix":""},{"dropping-particle":"","family":"PERES","given":"PATRÍCIA T.","non-dropping-particle":"","parse-names":false,"suffix":""}],"container-title":"Cadernos Brasileiros de Terapia Ocupacionaladernos Brasileiros de Terapia Ocupacional","id":"ITEM-1","issue":"2","issued":{"date-parts":[["2010"]]},"page":"149-167","title":"A TERAPIA OCUPACIONAL NA PREVENÇÃO E NO TRATAMENTO DE COMPLICAÇÕES DECORRENTES DA IMOBILIZAÇÃO NO LEITO","type":"article-journal","volume":"18"},"uris":["http://www.mendeley.com/documents/?uuid=423469a2-84b2-344a-b1e3-48b65bda7cd6"]},{"id":"ITEM-2","itemData":{"DOI":"10.5935/0103-507X.20130019","ISSN":"0103507X","abstract":"Objective: 1) To evaluate the functional independence measures immediately after discharge from an intensive care unit and to compare these values with the FIMs 30 days after that period. 2) To evaluate the possible associated risk factors. Methods: The present investigation was a prospective cohort study that included individuals who were discharged from the intensive care unit and underwent physiotherapy in the unit. Functional independence was evaluated using the functional independence measure immediately upon discharge from the intensive care unit and 30 days thereafter via a phone call. The patients were admitted to the Hospital Santa Clara intensive care unit during the period from May 2011 to August 2011. Results: During the predetermined period of data collection, 44 patients met the criteria for inclusion in the study. The mean age of the patients was 55.4±10.5 years. Twenty-seven of the subjects were female, and 15 patients were admitted due to pulmonary disease. The patients exhibited an functional independence measure of 84.1±24.2. When this measure was compared to the measure at 30 days after discharge, there was improvement across the functional independence variables except for that concerned with sphincter control. There were no significant differences when comparing the gender, age, clinical diagnosis, length of stay in the intensive care unit, duration of mechanical ventilation, and the presence of sepsis during this period. Conclusion: Functional independence, as evaluated by the functional independence measure scale, was improved at 30 days after discharge from the intensive care unit, but it was not possible to define the potentially related factors.","author":[{"dropping-particle":"","family":"Curzel","given":"Juliane","non-dropping-particle":"","parse-names":false,"suffix":""},{"dropping-particle":"","family":"Junior","given":"Luiz Alberto Forgiarini","non-dropping-particle":"","parse-names":false,"suffix":""},{"dropping-particle":"","family":"Mello Rieder","given":"Marcelo","non-dropping-particle":"De","parse-names":false,"suffix":""}],"container-title":"Revista Brasileira de Terapia Intensiva","id":"ITEM-2","issue":"2","issued":{"date-parts":[["2013","4"]]},"page":"93-98","publisher":"AMIB","title":"Evaluation of functional independence after discharge from the intensive care unit","type":"article-journal","volume":"25"},"uris":["http://www.mendeley.com/documents/?uuid=a8b3a3cd-6db2-37b0-828d-7f1b609d0d4b"]},{"id":"ITEM-3","itemData":{"DOI":"10.1016/S0140-6736(20)30566-3","ISSN":"1474547X","PMID":"32171076","abstract":"Background: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Lancet","id":"ITEM-3","issue":"10229","issued":{"date-parts":[["2020","3","28"]]},"page":"1054-1062","publisher":"Lancet Publishing Group","title":"Clinical course and risk factors for mortality of adult inpatients with COVID-19 in Wuhan, China: a retrospective cohort study","type":"article-journal","volume":"395"},"uris":["http://www.mendeley.com/documents/?uuid=b394cb19-d838-3511-bd50-eda3fadc819b"]}],"mendeley":{"formattedCitation":"&lt;sup&gt;5,26,27&lt;/sup&gt;","plainTextFormattedCitation":"5,26,27","previouslyFormattedCitation":"&lt;sup&gt;5,26,27&lt;/sup&gt;"},"properties":{"noteIndex":0},"schema":"https://github.com/citation-style-language/schema/raw/master/csl-citation.json"}</w:instrText>
      </w:r>
      <w:r w:rsidR="008A6C05">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5,26,27</w:t>
      </w:r>
      <w:r w:rsidR="008A6C05">
        <w:rPr>
          <w:rFonts w:ascii="Times New Roman" w:eastAsia="Times New Roman" w:hAnsi="Times New Roman" w:cs="Times New Roman"/>
          <w:sz w:val="24"/>
          <w:szCs w:val="24"/>
          <w:highlight w:val="white"/>
        </w:rPr>
        <w:fldChar w:fldCharType="end"/>
      </w:r>
      <w:r w:rsidR="00590655">
        <w:rPr>
          <w:rFonts w:ascii="Times New Roman" w:eastAsia="Times New Roman" w:hAnsi="Times New Roman" w:cs="Times New Roman"/>
          <w:sz w:val="24"/>
          <w:szCs w:val="24"/>
        </w:rPr>
        <w:t>.</w:t>
      </w:r>
    </w:p>
    <w:p w14:paraId="7E310CED" w14:textId="7B28C072" w:rsidR="00BD2A8C" w:rsidRPr="00F07992" w:rsidRDefault="0021638B" w:rsidP="00BD2A8C">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necessidade de avaliações e intervenções do terapeuta ocupacional no ambiente da UTI tem sido reconhecida como um componente essencial para resultados</w:t>
      </w:r>
      <w:r>
        <w:rPr>
          <w:rFonts w:ascii="Times New Roman" w:eastAsia="Times New Roman" w:hAnsi="Times New Roman" w:cs="Times New Roman"/>
          <w:sz w:val="24"/>
          <w:szCs w:val="24"/>
        </w:rPr>
        <w:t xml:space="preserve"> e satisfação </w:t>
      </w:r>
      <w:r w:rsidRPr="00282FF0">
        <w:rPr>
          <w:rFonts w:ascii="Times New Roman" w:eastAsia="Times New Roman" w:hAnsi="Times New Roman" w:cs="Times New Roman"/>
          <w:sz w:val="24"/>
          <w:szCs w:val="24"/>
          <w:highlight w:val="white"/>
        </w:rPr>
        <w:t xml:space="preserve">dos pacientes </w:t>
      </w:r>
      <w:r w:rsidR="00C13E78">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{"citationItems":[{"id":"ITEM-1","itemData":{"author":[{"dropping-particle":"","family":"BARTHOLOMEW","given":"TONYA et al.","non-dropping-particle":"","parse-names":false,"suffix":""}],"container-title":"Occupational therapy with elders: strategies for the cota.","editor":[{"dropping-particle":"","family":"St Louis: Mosby","given":"","non-dropping-particle":"","parse-names":false,"suffix":""}],"id":"ITEM-1","issued":{"date-parts":[["2011"]]},"page":"297-305","title":"Working with Elders Who Have Cardiovascular Conditions","type":"chapter"},"uris":["http://www.mendeley.com/documents/?uuid=c17da880-8264-3d93-be0a-3b09e908c4c4"]},{"id":"ITEM-2","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Projects","id":"ITEM-2","issued":{"date-parts":[["2017","5","1"]]},"publisher":"Dominican University of California","publisher-place":"San Rafael, California","title":"Occupational Therapy in the Intensive Care Unit","type":"thesis"},"uris":["http://www.mendeley.com/documents/?uuid=8769eb1c-50e7-3aa5-9f45-d58aca3df250"]},{"id":"ITEM-3","itemData":{"DOI":"10.1080/07380577.2017.1340690","ISSN":"15413098","abstract":"This paper is a synthesis of the available literature on occupational therapy interventions performed in the adult intensive care unit (ICU). The databases of Ovid MEDLINE, Embase, the Cochrane Library, ClinicalTrials.gov and CINAHL databases were systematically searched from inception through August 2016 for studies of adults who received occupational therapy interventions in the ICU. Of 1,938 citations reviewed, 10 studies met inclusion criteria. Only one study explicitly discussed occupational therapy interventions performed and only one study specifically tested the efficacy of occupational therapy. Future research is needed to clarify the specific interventions and role of occupational therapy in the ICU and the efficacy of these interventions.","author":[{"dropping-particle":"","family":"Weinreich","given":"Mark","non-dropping-particle":"","parse-names":false,"suffix":""},{"dropping-particle":"","family":"Herman","given":"Jennifer","non-dropping-particle":"","parse-names":false,"suffix":""},{"dropping-particle":"","family":"Dickason","given":"Stephanie","non-dropping-particle":"","parse-names":false,"suffix":""},{"dropping-particle":"","family":"Mayo","given":"Helen","non-dropping-particle":"","parse-names":false,"suffix":""}],"container-title":"Occupational Therapy in Health Care","id":"ITEM-3","issue":"3","issued":{"date-parts":[["2017"]]},"page":"205-213","publisher":"Taylor &amp; Francis","title":"Occupational Therapy in the Intensive Care Unit: A Systematic Review","type":"article-journal","volume":"31"},"uris":["http://www.mendeley.com/documents/?uuid=bba0e6e6-262a-4010-ab29-415ddf9c50a1"]}],"mendeley":{"formattedCitation":"&lt;sup&gt;12,13,28&lt;/sup&gt;","plainTextFormattedCitation":"12,13,28","previouslyFormattedCitation":"&lt;sup&gt;12,13,28&lt;/sup&gt;"},"properties":{"noteIndex":0},"schema":"https://github.com/citation-style-language/schema/raw/master/csl-citation.json"}</w:instrText>
      </w:r>
      <w:r w:rsidR="00C13E78">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12,13,28</w:t>
      </w:r>
      <w:r w:rsidR="00C13E78">
        <w:rPr>
          <w:rFonts w:ascii="Times New Roman" w:eastAsia="Times New Roman" w:hAnsi="Times New Roman" w:cs="Times New Roman"/>
          <w:sz w:val="24"/>
          <w:szCs w:val="24"/>
          <w:highlight w:val="white"/>
        </w:rPr>
        <w:fldChar w:fldCharType="end"/>
      </w:r>
      <w:r w:rsidR="00ED18F0" w:rsidRPr="00282FF0">
        <w:rPr>
          <w:rFonts w:ascii="Times New Roman" w:eastAsia="Times New Roman" w:hAnsi="Times New Roman" w:cs="Times New Roman"/>
          <w:sz w:val="24"/>
          <w:szCs w:val="24"/>
        </w:rPr>
        <w:t xml:space="preserve">. </w:t>
      </w:r>
      <w:r w:rsidR="00BD2A8C">
        <w:rPr>
          <w:rFonts w:ascii="Times New Roman" w:eastAsia="Times New Roman" w:hAnsi="Times New Roman" w:cs="Times New Roman"/>
          <w:sz w:val="24"/>
          <w:szCs w:val="24"/>
        </w:rPr>
        <w:t xml:space="preserve">Nesse sentido, descreve-se abaixo critérios de riscos que devem ser considerados e as avaliações que podem ser utilizadas para nortear a sua prática na UTI. </w:t>
      </w:r>
    </w:p>
    <w:p w14:paraId="5BE5E59E" w14:textId="77777777" w:rsidR="00BD2A8C" w:rsidRDefault="00BD2A8C" w:rsidP="00BD2A8C">
      <w:pPr>
        <w:spacing w:after="0" w:line="360" w:lineRule="auto"/>
        <w:ind w:firstLine="709"/>
        <w:jc w:val="both"/>
        <w:rPr>
          <w:rFonts w:ascii="Times New Roman" w:eastAsia="Times New Roman" w:hAnsi="Times New Roman" w:cs="Times New Roman"/>
          <w:sz w:val="24"/>
          <w:szCs w:val="24"/>
        </w:rPr>
      </w:pPr>
    </w:p>
    <w:p w14:paraId="08A91639" w14:textId="5BEBE79E" w:rsidR="00282FF0" w:rsidRPr="00BD2A8C" w:rsidRDefault="00BD2A8C" w:rsidP="00BD2A8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relação aos c</w:t>
      </w:r>
      <w:r w:rsidRPr="00D1107B">
        <w:rPr>
          <w:rFonts w:ascii="Times New Roman" w:eastAsia="Times New Roman" w:hAnsi="Times New Roman" w:cs="Times New Roman"/>
          <w:sz w:val="24"/>
          <w:szCs w:val="24"/>
        </w:rPr>
        <w:t>ritérios de risco e avaliações</w:t>
      </w:r>
      <w:r>
        <w:rPr>
          <w:rFonts w:ascii="Times New Roman" w:eastAsia="Times New Roman" w:hAnsi="Times New Roman" w:cs="Times New Roman"/>
          <w:sz w:val="24"/>
          <w:szCs w:val="24"/>
        </w:rPr>
        <w:t xml:space="preserve">, deve-se considerar: </w:t>
      </w:r>
    </w:p>
    <w:p w14:paraId="61F56C6E" w14:textId="525E6B03" w:rsidR="006D44A0" w:rsidRDefault="00282FF0" w:rsidP="006D44A0">
      <w:pPr>
        <w:pStyle w:val="PargrafodaLista"/>
        <w:numPr>
          <w:ilvl w:val="1"/>
          <w:numId w:val="5"/>
        </w:numPr>
        <w:spacing w:before="240" w:after="240" w:line="360" w:lineRule="auto"/>
        <w:jc w:val="both"/>
        <w:rPr>
          <w:rFonts w:ascii="Times New Roman" w:eastAsia="Times New Roman" w:hAnsi="Times New Roman" w:cs="Times New Roman"/>
          <w:sz w:val="24"/>
          <w:szCs w:val="24"/>
        </w:rPr>
      </w:pPr>
      <w:r w:rsidRPr="006D44A0">
        <w:rPr>
          <w:rFonts w:ascii="Times New Roman" w:eastAsia="Times New Roman" w:hAnsi="Times New Roman" w:cs="Times New Roman"/>
          <w:sz w:val="24"/>
          <w:szCs w:val="24"/>
        </w:rPr>
        <w:t>Nível de mobilidade prévio e atual;</w:t>
      </w:r>
    </w:p>
    <w:p w14:paraId="0B3C2C28" w14:textId="4DC22F70" w:rsidR="001E2B1F" w:rsidRPr="001E2B1F" w:rsidRDefault="001E2B1F" w:rsidP="001E2B1F">
      <w:pPr>
        <w:pStyle w:val="PargrafodaLista"/>
        <w:numPr>
          <w:ilvl w:val="1"/>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Nível de independência funcional, por meio Índice de Barthel </w:t>
      </w:r>
      <w:r w:rsidR="00C13E78">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{"citationItems":[{"id":"ITEM-1","itemData":{"author":[{"dropping-particle":"","family":"Mahoney FI","given":"Barthel D.","non-dropping-particle":"","parse-names":false,"suffix":""}],"container-title":"Maryland State Medical Journal","id":"ITEM-1","issued":{"date-parts":[["1965"]]},"page":"56-61","title":"FUNCTIONAL EVALUATION: THE BARTHEL INDEX","type":"article-journal","volume":"14"},"uris":["http://www.mendeley.com/documents/?uuid=10d10295-6d91-4ad6-9176-aa3e3114370a"]}],"mendeley":{"formattedCitation":"&lt;sup&gt;29&lt;/sup&gt;","plainTextFormattedCitation":"29","previouslyFormattedCitation":"&lt;sup&gt;29&lt;/sup&gt;"},"properties":{"noteIndex":0},"schema":"https://github.com/citation-style-language/schema/raw/master/csl-citation.json"}</w:instrText>
      </w:r>
      <w:r w:rsidR="00C13E78">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29</w:t>
      </w:r>
      <w:r w:rsidR="00C13E78">
        <w:rPr>
          <w:rFonts w:ascii="Times New Roman" w:eastAsia="Times New Roman" w:hAnsi="Times New Roman" w:cs="Times New Roman"/>
          <w:sz w:val="24"/>
          <w:szCs w:val="24"/>
          <w:highlight w:val="white"/>
        </w:rPr>
        <w:fldChar w:fldCharType="end"/>
      </w:r>
      <w:r w:rsidR="00C13E7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ou outros instrumentos validados; </w:t>
      </w:r>
    </w:p>
    <w:p w14:paraId="2F571CB2" w14:textId="3F62F23A" w:rsidR="006D44A0" w:rsidRDefault="00282FF0" w:rsidP="006D44A0">
      <w:pPr>
        <w:pStyle w:val="PargrafodaLista"/>
        <w:numPr>
          <w:ilvl w:val="1"/>
          <w:numId w:val="5"/>
        </w:numPr>
        <w:spacing w:before="240" w:after="240" w:line="360" w:lineRule="auto"/>
        <w:jc w:val="both"/>
        <w:rPr>
          <w:rFonts w:ascii="Times New Roman" w:eastAsia="Times New Roman" w:hAnsi="Times New Roman" w:cs="Times New Roman"/>
          <w:sz w:val="24"/>
          <w:szCs w:val="24"/>
        </w:rPr>
      </w:pPr>
      <w:r w:rsidRPr="006D44A0">
        <w:rPr>
          <w:rFonts w:ascii="Times New Roman" w:eastAsia="Times New Roman" w:hAnsi="Times New Roman" w:cs="Times New Roman"/>
          <w:sz w:val="14"/>
          <w:szCs w:val="14"/>
        </w:rPr>
        <w:t xml:space="preserve"> </w:t>
      </w:r>
      <w:r w:rsidRPr="006D44A0">
        <w:rPr>
          <w:rFonts w:ascii="Times New Roman" w:eastAsia="Times New Roman" w:hAnsi="Times New Roman" w:cs="Times New Roman"/>
          <w:sz w:val="24"/>
          <w:szCs w:val="24"/>
        </w:rPr>
        <w:t>Reserva cardiovascular (pressão arterial</w:t>
      </w:r>
      <w:r w:rsidR="006D44A0">
        <w:rPr>
          <w:rFonts w:ascii="Times New Roman" w:eastAsia="Times New Roman" w:hAnsi="Times New Roman" w:cs="Times New Roman"/>
          <w:sz w:val="24"/>
          <w:szCs w:val="24"/>
        </w:rPr>
        <w:t xml:space="preserve"> sistêmica</w:t>
      </w:r>
      <w:r w:rsidRPr="006D44A0">
        <w:rPr>
          <w:rFonts w:ascii="Times New Roman" w:eastAsia="Times New Roman" w:hAnsi="Times New Roman" w:cs="Times New Roman"/>
          <w:sz w:val="24"/>
          <w:szCs w:val="24"/>
        </w:rPr>
        <w:t xml:space="preserve"> - PA, frequência cardíaca - FC, saturação de pulso de oxigênio - SpO2, índice de percepção de esforço (IPE) mensurado na escala de </w:t>
      </w:r>
      <w:proofErr w:type="spellStart"/>
      <w:r w:rsidRPr="006D44A0">
        <w:rPr>
          <w:rFonts w:ascii="Times New Roman" w:eastAsia="Times New Roman" w:hAnsi="Times New Roman" w:cs="Times New Roman"/>
          <w:sz w:val="24"/>
          <w:szCs w:val="24"/>
        </w:rPr>
        <w:t>Borg</w:t>
      </w:r>
      <w:proofErr w:type="spellEnd"/>
      <w:r w:rsidRPr="006D44A0">
        <w:rPr>
          <w:rFonts w:ascii="Times New Roman" w:eastAsia="Times New Roman" w:hAnsi="Times New Roman" w:cs="Times New Roman"/>
          <w:sz w:val="24"/>
          <w:szCs w:val="24"/>
        </w:rPr>
        <w:t>);</w:t>
      </w:r>
    </w:p>
    <w:p w14:paraId="0EC3696E" w14:textId="77777777" w:rsidR="006D44A0" w:rsidRDefault="00282FF0" w:rsidP="006D44A0">
      <w:pPr>
        <w:pStyle w:val="PargrafodaLista"/>
        <w:numPr>
          <w:ilvl w:val="1"/>
          <w:numId w:val="5"/>
        </w:numPr>
        <w:spacing w:before="240" w:after="240" w:line="360" w:lineRule="auto"/>
        <w:jc w:val="both"/>
        <w:rPr>
          <w:rFonts w:ascii="Times New Roman" w:eastAsia="Times New Roman" w:hAnsi="Times New Roman" w:cs="Times New Roman"/>
          <w:sz w:val="24"/>
          <w:szCs w:val="24"/>
        </w:rPr>
      </w:pPr>
      <w:r w:rsidRPr="006D44A0">
        <w:rPr>
          <w:rFonts w:ascii="Times New Roman" w:eastAsia="Times New Roman" w:hAnsi="Times New Roman" w:cs="Times New Roman"/>
          <w:sz w:val="14"/>
          <w:szCs w:val="14"/>
        </w:rPr>
        <w:t xml:space="preserve"> </w:t>
      </w:r>
      <w:r w:rsidRPr="006D44A0">
        <w:rPr>
          <w:rFonts w:ascii="Times New Roman" w:eastAsia="Times New Roman" w:hAnsi="Times New Roman" w:cs="Times New Roman"/>
          <w:sz w:val="24"/>
          <w:szCs w:val="24"/>
        </w:rPr>
        <w:t>Frequência respiratória - FR e outros parâmetros quando necessários, principalmente os que constam no hemograma completo do paciente;</w:t>
      </w:r>
    </w:p>
    <w:p w14:paraId="0000003C" w14:textId="13FCEAC1" w:rsidR="000C7A2A" w:rsidRDefault="00282FF0" w:rsidP="006D44A0">
      <w:pPr>
        <w:pStyle w:val="PargrafodaLista"/>
        <w:numPr>
          <w:ilvl w:val="1"/>
          <w:numId w:val="5"/>
        </w:numPr>
        <w:spacing w:before="240" w:after="240" w:line="360" w:lineRule="auto"/>
        <w:jc w:val="both"/>
        <w:rPr>
          <w:rFonts w:ascii="Times New Roman" w:eastAsia="Times New Roman" w:hAnsi="Times New Roman" w:cs="Times New Roman"/>
          <w:sz w:val="24"/>
          <w:szCs w:val="24"/>
        </w:rPr>
      </w:pPr>
      <w:r w:rsidRPr="006D44A0">
        <w:rPr>
          <w:rFonts w:ascii="Times New Roman" w:eastAsia="Times New Roman" w:hAnsi="Times New Roman" w:cs="Times New Roman"/>
          <w:sz w:val="14"/>
          <w:szCs w:val="14"/>
        </w:rPr>
        <w:lastRenderedPageBreak/>
        <w:t xml:space="preserve">  </w:t>
      </w:r>
      <w:r w:rsidRPr="006D44A0">
        <w:rPr>
          <w:rFonts w:ascii="Times New Roman" w:eastAsia="Times New Roman" w:hAnsi="Times New Roman" w:cs="Times New Roman"/>
          <w:sz w:val="24"/>
          <w:szCs w:val="24"/>
        </w:rPr>
        <w:t>Grau de força muscular (FM)</w:t>
      </w:r>
      <w:r w:rsidR="00BD2A8C">
        <w:rPr>
          <w:rFonts w:ascii="Times New Roman" w:eastAsia="Times New Roman" w:hAnsi="Times New Roman" w:cs="Times New Roman"/>
          <w:sz w:val="24"/>
          <w:szCs w:val="24"/>
        </w:rPr>
        <w:t>;</w:t>
      </w:r>
    </w:p>
    <w:p w14:paraId="6037F192" w14:textId="79912FD9" w:rsidR="00D1107B" w:rsidRDefault="001E2B1F" w:rsidP="00D1107B">
      <w:pPr>
        <w:pStyle w:val="PargrafodaLista"/>
        <w:numPr>
          <w:ilvl w:val="1"/>
          <w:numId w:val="5"/>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Outros sinais e sintomas, sendo uma possibilidade a aplicação do instrumento </w:t>
      </w:r>
      <w:r>
        <w:rPr>
          <w:rFonts w:ascii="Times New Roman" w:eastAsia="Times New Roman" w:hAnsi="Times New Roman" w:cs="Times New Roman"/>
          <w:i/>
          <w:sz w:val="24"/>
          <w:szCs w:val="24"/>
          <w:highlight w:val="white"/>
        </w:rPr>
        <w:t xml:space="preserve">Edmonton </w:t>
      </w:r>
      <w:proofErr w:type="spellStart"/>
      <w:r>
        <w:rPr>
          <w:rFonts w:ascii="Times New Roman" w:eastAsia="Times New Roman" w:hAnsi="Times New Roman" w:cs="Times New Roman"/>
          <w:i/>
          <w:sz w:val="24"/>
          <w:szCs w:val="24"/>
          <w:highlight w:val="white"/>
        </w:rPr>
        <w:t>Symptom</w:t>
      </w:r>
      <w:proofErr w:type="spellEnd"/>
      <w:r>
        <w:rPr>
          <w:rFonts w:ascii="Times New Roman" w:eastAsia="Times New Roman" w:hAnsi="Times New Roman" w:cs="Times New Roman"/>
          <w:i/>
          <w:sz w:val="24"/>
          <w:szCs w:val="24"/>
          <w:highlight w:val="white"/>
        </w:rPr>
        <w:t xml:space="preserve"> Assessment System</w:t>
      </w:r>
      <w:r>
        <w:rPr>
          <w:rFonts w:ascii="Times New Roman" w:eastAsia="Times New Roman" w:hAnsi="Times New Roman" w:cs="Times New Roman"/>
          <w:sz w:val="24"/>
          <w:szCs w:val="24"/>
          <w:highlight w:val="white"/>
        </w:rPr>
        <w:t xml:space="preserve"> (ESAS-r) </w:t>
      </w:r>
      <w:r w:rsidR="00C13E78">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{"citationItems":[{"id":"ITEM-1","itemData":{"DOI":"10.1590/S1983-14472013000200021","ISSN":"01026933","PMID":"24015476","abstract":"The objective of the study was translation and cross-cultural adaptation into Brazilian Portuguese of the instrument Edmonton Symptom Assessment System (ESAS-r). The ESAS-r is a revised version of the instrument ESAS that assesses nine symptoms in Palliative Care. This is a methodological study based on a benchmark composed of six steps: translation, synthesis, backtranslation, expert committee, pre-test and submission of translated version for consideration of the authors. As a result changes were made to the title, statements and certain terms to ensure adequacy of grammar and vocabulary. In the pre-test the term 'nausea' raised doubts, and an additional explanation on this word was suggested. Standardization of instrument columns and the replacement of the term 'depression' for 'sadness' was also recommended. In this study, the ESAS-r instrument was translated and adapted to Brazilian Portuguese, and the next step will be testing the psychometric properties.","author":[{"dropping-particle":"","family":"Monteiro","given":"Daiane da Rosa","non-dropping-particle":"","parse-names":false,"suffix":""},{"dropping-particle":"","family":"Almeida","given":"Miriam de Abreu","non-dropping-particle":"","parse-names":false,"suffix":""},{"dropping-particle":"","family":"Kruse","given":"Maria Henriqueta Luce","non-dropping-particle":"","parse-names":false,"suffix":""}],"container-title":"Revista gaúcha de enfermagem / EENFUFRGS","id":"ITEM-1","issue":"2","issued":{"date-parts":[["2013"]]},"page":"163-171","publisher":"Universidade Federal do Rio Grande do Sul. Escola de Enfermagem","title":"[Translation and cross-cultural adaptation of the Edmonton Symptom Assessment System for use in Palliative Care].","type":"article-journal","volume":"34"},"uris":["http://www.mendeley.com/documents/?uuid=ae9207da-8073-3165-a051-643f7ccae04a"]}],"mendeley":{"formattedCitation":"&lt;sup&gt;30&lt;/sup&gt;","plainTextFormattedCitation":"30","previouslyFormattedCitation":"&lt;sup&gt;30&lt;/sup&gt;"},"properties":{"noteIndex":0},"schema":"https://github.com/citation-style-language/schema/raw/master/csl-citation.json"}</w:instrText>
      </w:r>
      <w:r w:rsidR="00C13E78">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30</w:t>
      </w:r>
      <w:r w:rsidR="00C13E78">
        <w:rPr>
          <w:rFonts w:ascii="Times New Roman" w:eastAsia="Times New Roman" w:hAnsi="Times New Roman" w:cs="Times New Roman"/>
          <w:sz w:val="24"/>
          <w:szCs w:val="24"/>
          <w:highlight w:val="white"/>
        </w:rPr>
        <w:fldChar w:fldCharType="end"/>
      </w:r>
      <w:r w:rsidR="00590655">
        <w:rPr>
          <w:rFonts w:ascii="Times New Roman" w:eastAsia="Times New Roman" w:hAnsi="Times New Roman" w:cs="Times New Roman"/>
          <w:sz w:val="24"/>
          <w:szCs w:val="24"/>
          <w:highlight w:val="white"/>
        </w:rPr>
        <w:t>.</w:t>
      </w:r>
      <w:r w:rsidR="00C13E78">
        <w:rPr>
          <w:rFonts w:ascii="Times New Roman" w:eastAsia="Times New Roman" w:hAnsi="Times New Roman" w:cs="Times New Roman"/>
          <w:sz w:val="24"/>
          <w:szCs w:val="24"/>
          <w:highlight w:val="white"/>
        </w:rPr>
        <w:t xml:space="preserve"> </w:t>
      </w:r>
    </w:p>
    <w:p w14:paraId="5D1F05E7" w14:textId="3C9D890F" w:rsidR="00BD2A8C" w:rsidRPr="00D1107B" w:rsidRDefault="00D1107B" w:rsidP="002C6028">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1107B">
        <w:rPr>
          <w:rFonts w:ascii="Times New Roman" w:eastAsia="Times New Roman" w:hAnsi="Times New Roman" w:cs="Times New Roman"/>
          <w:sz w:val="24"/>
          <w:szCs w:val="24"/>
        </w:rPr>
        <w:t xml:space="preserve"> partir da literatura</w:t>
      </w:r>
      <w:r w:rsidR="00F85BDB">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URL":"https://assobrafir.com.br/covid-19-mobilizacao-precoce-na-insuficiencia-respiratoria-aguda/","accessed":{"date-parts":[["2020","4","15"]]},"author":[{"dropping-particle":"","family":"ASSOBRAFIR","given":"","non-dropping-particle":"","parse-names":false,"suffix":""}],"id":"ITEM-1","issued":{"date-parts":[["0"]]},"title":"COVID-19 – Mobilização Precoce na Insuficiência Respiratória Aguda » ASSOBRAFIR","type":"webpage"},"uris":["http://www.mendeley.com/documents/?uuid=42c26952-db2b-3a3d-a8c0-2d7fc50e9b55"]}],"mendeley":{"formattedCitation":"&lt;sup&gt;31&lt;/sup&gt;","plainTextFormattedCitation":"31","previouslyFormattedCitation":"&lt;sup&gt;31&lt;/sup&gt;"},"properties":{"noteIndex":0},"schema":"https://github.com/citation-style-language/schema/raw/master/csl-citation.json"}</w:instrText>
      </w:r>
      <w:r w:rsidR="00F85BDB">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31</w:t>
      </w:r>
      <w:r w:rsidR="00F85BDB">
        <w:rPr>
          <w:rFonts w:ascii="Times New Roman" w:eastAsia="Times New Roman" w:hAnsi="Times New Roman" w:cs="Times New Roman"/>
          <w:sz w:val="24"/>
          <w:szCs w:val="24"/>
        </w:rPr>
        <w:fldChar w:fldCharType="end"/>
      </w:r>
      <w:r w:rsidRPr="00D1107B">
        <w:rPr>
          <w:rFonts w:ascii="Times New Roman" w:eastAsia="Times New Roman" w:hAnsi="Times New Roman" w:cs="Times New Roman"/>
          <w:sz w:val="24"/>
          <w:szCs w:val="24"/>
        </w:rPr>
        <w:t xml:space="preserve">, </w:t>
      </w:r>
      <w:r w:rsidR="00BD2A8C" w:rsidRPr="00D1107B">
        <w:rPr>
          <w:rFonts w:ascii="Times New Roman" w:eastAsia="Times New Roman" w:hAnsi="Times New Roman" w:cs="Times New Roman"/>
          <w:sz w:val="24"/>
          <w:szCs w:val="24"/>
        </w:rPr>
        <w:t>assim como da experiência</w:t>
      </w:r>
      <w:r w:rsidR="00BD2A8C">
        <w:rPr>
          <w:rFonts w:ascii="Times New Roman" w:eastAsia="Times New Roman" w:hAnsi="Times New Roman" w:cs="Times New Roman"/>
          <w:sz w:val="24"/>
          <w:szCs w:val="24"/>
        </w:rPr>
        <w:t xml:space="preserve"> das autoras, as c</w:t>
      </w:r>
      <w:r w:rsidR="00BD2A8C" w:rsidRPr="00D1107B">
        <w:rPr>
          <w:rFonts w:ascii="Times New Roman" w:eastAsia="Times New Roman" w:hAnsi="Times New Roman" w:cs="Times New Roman"/>
          <w:sz w:val="24"/>
          <w:szCs w:val="24"/>
        </w:rPr>
        <w:t xml:space="preserve">onsiderações respiratórias, cardiovasculares, neurológicas e clínicas para </w:t>
      </w:r>
      <w:r w:rsidR="00BD2A8C">
        <w:rPr>
          <w:rFonts w:ascii="Times New Roman" w:eastAsia="Times New Roman" w:hAnsi="Times New Roman" w:cs="Times New Roman"/>
          <w:sz w:val="24"/>
          <w:szCs w:val="24"/>
        </w:rPr>
        <w:t xml:space="preserve">a </w:t>
      </w:r>
      <w:r w:rsidR="00BD2A8C" w:rsidRPr="00D1107B">
        <w:rPr>
          <w:rFonts w:ascii="Times New Roman" w:eastAsia="Times New Roman" w:hAnsi="Times New Roman" w:cs="Times New Roman"/>
          <w:sz w:val="24"/>
          <w:szCs w:val="24"/>
        </w:rPr>
        <w:t xml:space="preserve">tomada de decisões do terapeuta ocupacional, tanto com os pacientes com a </w:t>
      </w:r>
      <w:r w:rsidR="002F0F3A" w:rsidRPr="00866B49">
        <w:rPr>
          <w:rFonts w:ascii="Times New Roman" w:eastAsia="Times New Roman" w:hAnsi="Times New Roman" w:cs="Times New Roman"/>
          <w:sz w:val="24"/>
          <w:szCs w:val="24"/>
        </w:rPr>
        <w:t>COVID-19</w:t>
      </w:r>
      <w:r w:rsidR="002F0F3A">
        <w:rPr>
          <w:rFonts w:ascii="Times New Roman" w:eastAsia="Times New Roman" w:hAnsi="Times New Roman" w:cs="Times New Roman"/>
          <w:sz w:val="24"/>
          <w:szCs w:val="24"/>
        </w:rPr>
        <w:t xml:space="preserve"> </w:t>
      </w:r>
      <w:r w:rsidR="00BD2A8C" w:rsidRPr="00D1107B">
        <w:rPr>
          <w:rFonts w:ascii="Times New Roman" w:eastAsia="Times New Roman" w:hAnsi="Times New Roman" w:cs="Times New Roman"/>
          <w:sz w:val="24"/>
          <w:szCs w:val="24"/>
        </w:rPr>
        <w:t xml:space="preserve">como os demais internados na UTI, </w:t>
      </w:r>
      <w:r w:rsidR="00BD2A8C">
        <w:rPr>
          <w:rFonts w:ascii="Times New Roman" w:eastAsia="Times New Roman" w:hAnsi="Times New Roman" w:cs="Times New Roman"/>
          <w:sz w:val="24"/>
          <w:szCs w:val="24"/>
        </w:rPr>
        <w:t>foram descritas nas Figuras 4, 5, 6 e 7. Ressalta-se que a presença de alterações cardiovasculares e/ou respiratórias</w:t>
      </w:r>
      <w:r w:rsidR="00BD2A8C">
        <w:rPr>
          <w:rFonts w:ascii="Times New Roman" w:eastAsia="Times New Roman" w:hAnsi="Times New Roman" w:cs="Times New Roman"/>
          <w:color w:val="000000" w:themeColor="text1"/>
          <w:sz w:val="24"/>
          <w:szCs w:val="24"/>
        </w:rPr>
        <w:t xml:space="preserve"> sinalizadas</w:t>
      </w:r>
      <w:r w:rsidR="00BD2A8C">
        <w:rPr>
          <w:rFonts w:ascii="Times New Roman" w:eastAsia="Times New Roman" w:hAnsi="Times New Roman" w:cs="Times New Roman"/>
          <w:sz w:val="24"/>
          <w:szCs w:val="24"/>
        </w:rPr>
        <w:t>, durante a aplicação das atividades terapêuticas, podem ser utilizadas para interrupção ou substituição da atividade por uma de menor intensidade.</w:t>
      </w:r>
      <w:r w:rsidR="00680888">
        <w:rPr>
          <w:rFonts w:ascii="Times New Roman" w:eastAsia="Times New Roman" w:hAnsi="Times New Roman" w:cs="Times New Roman"/>
          <w:sz w:val="24"/>
          <w:szCs w:val="24"/>
        </w:rPr>
        <w:t xml:space="preserve"> </w:t>
      </w:r>
    </w:p>
    <w:p w14:paraId="0A326934" w14:textId="77777777" w:rsidR="00BD2A8C" w:rsidRPr="00590655" w:rsidRDefault="00BD2A8C" w:rsidP="002C6028">
      <w:pPr>
        <w:spacing w:after="0" w:line="360" w:lineRule="auto"/>
        <w:jc w:val="both"/>
        <w:rPr>
          <w:rFonts w:ascii="Times New Roman" w:eastAsia="Times New Roman" w:hAnsi="Times New Roman" w:cs="Times New Roman"/>
          <w:sz w:val="24"/>
          <w:szCs w:val="24"/>
        </w:rPr>
      </w:pPr>
      <w:r w:rsidRPr="00590655">
        <w:rPr>
          <w:rFonts w:ascii="Times New Roman" w:eastAsia="Times New Roman" w:hAnsi="Times New Roman" w:cs="Times New Roman"/>
          <w:b/>
          <w:sz w:val="24"/>
          <w:szCs w:val="24"/>
        </w:rPr>
        <w:t>Verde</w:t>
      </w:r>
      <w:r w:rsidRPr="00590655">
        <w:rPr>
          <w:rFonts w:ascii="Times New Roman" w:eastAsia="Times New Roman" w:hAnsi="Times New Roman" w:cs="Times New Roman"/>
          <w:sz w:val="24"/>
          <w:szCs w:val="24"/>
        </w:rPr>
        <w:t>: baixo risco de eventos adversos para a mobilização precoce, treinos de AVD e estimulação de habilidades cognitivas e da comunicação alternativa.</w:t>
      </w:r>
    </w:p>
    <w:p w14:paraId="4AFAB426" w14:textId="77777777" w:rsidR="00BD2A8C" w:rsidRPr="00590655" w:rsidRDefault="00BD2A8C" w:rsidP="002C6028">
      <w:pPr>
        <w:spacing w:after="0" w:line="360" w:lineRule="auto"/>
        <w:jc w:val="both"/>
        <w:rPr>
          <w:rFonts w:ascii="Times New Roman" w:eastAsia="Times New Roman" w:hAnsi="Times New Roman" w:cs="Times New Roman"/>
          <w:sz w:val="24"/>
          <w:szCs w:val="24"/>
        </w:rPr>
      </w:pPr>
      <w:r w:rsidRPr="00590655">
        <w:rPr>
          <w:rFonts w:ascii="Times New Roman" w:eastAsia="Times New Roman" w:hAnsi="Times New Roman" w:cs="Times New Roman"/>
          <w:b/>
          <w:sz w:val="24"/>
          <w:szCs w:val="24"/>
        </w:rPr>
        <w:t>Amarelo:</w:t>
      </w:r>
      <w:r w:rsidRPr="00590655">
        <w:rPr>
          <w:rFonts w:ascii="Times New Roman" w:eastAsia="Times New Roman" w:hAnsi="Times New Roman" w:cs="Times New Roman"/>
          <w:sz w:val="24"/>
          <w:szCs w:val="24"/>
        </w:rPr>
        <w:t xml:space="preserve"> Observa-se a possibilidade de realização das atividades, mas antes o profissional deverá discutir e solicitar a aprovação da equipe multidisciplinar.</w:t>
      </w:r>
    </w:p>
    <w:p w14:paraId="0EDE01DB" w14:textId="51E583A7" w:rsidR="00BD2A8C" w:rsidRDefault="00BD2A8C" w:rsidP="002C6028">
      <w:pPr>
        <w:spacing w:after="0" w:line="360" w:lineRule="auto"/>
        <w:jc w:val="both"/>
        <w:rPr>
          <w:rFonts w:ascii="Times New Roman" w:eastAsia="Times New Roman" w:hAnsi="Times New Roman" w:cs="Times New Roman"/>
          <w:sz w:val="24"/>
          <w:szCs w:val="24"/>
        </w:rPr>
      </w:pPr>
      <w:r w:rsidRPr="00590655">
        <w:rPr>
          <w:rFonts w:ascii="Times New Roman" w:eastAsia="Times New Roman" w:hAnsi="Times New Roman" w:cs="Times New Roman"/>
          <w:b/>
          <w:sz w:val="24"/>
          <w:szCs w:val="24"/>
        </w:rPr>
        <w:t>Vermelho:</w:t>
      </w:r>
      <w:r w:rsidRPr="00590655">
        <w:rPr>
          <w:rFonts w:ascii="Times New Roman" w:eastAsia="Times New Roman" w:hAnsi="Times New Roman" w:cs="Times New Roman"/>
          <w:sz w:val="24"/>
          <w:szCs w:val="24"/>
        </w:rPr>
        <w:t xml:space="preserve"> alto risco de eventos adversos</w:t>
      </w:r>
      <w:r w:rsidR="00590655">
        <w:rPr>
          <w:rFonts w:ascii="Times New Roman" w:eastAsia="Times New Roman" w:hAnsi="Times New Roman" w:cs="Times New Roman"/>
          <w:sz w:val="24"/>
          <w:szCs w:val="24"/>
        </w:rPr>
        <w:t>.</w:t>
      </w:r>
    </w:p>
    <w:p w14:paraId="75F9DF2F" w14:textId="77777777" w:rsidR="00BD2A8C" w:rsidRPr="00F07992" w:rsidRDefault="00BD2A8C" w:rsidP="002C6028">
      <w:pPr>
        <w:spacing w:after="0" w:line="360" w:lineRule="auto"/>
        <w:jc w:val="both"/>
        <w:rPr>
          <w:rFonts w:ascii="Times New Roman" w:eastAsia="Times New Roman" w:hAnsi="Times New Roman" w:cs="Times New Roman"/>
          <w:sz w:val="24"/>
          <w:szCs w:val="24"/>
        </w:rPr>
      </w:pPr>
    </w:p>
    <w:p w14:paraId="0DF409DC" w14:textId="7D17F0C2" w:rsidR="00BD2A8C" w:rsidRDefault="00BD2A8C" w:rsidP="00BD2A8C">
      <w:pPr>
        <w:spacing w:after="0" w:line="240" w:lineRule="auto"/>
        <w:jc w:val="both"/>
        <w:rPr>
          <w:rFonts w:ascii="Times New Roman" w:eastAsia="Times New Roman" w:hAnsi="Times New Roman" w:cs="Times New Roman"/>
          <w:sz w:val="24"/>
          <w:szCs w:val="24"/>
        </w:rPr>
      </w:pPr>
      <w:r w:rsidRPr="00E321F8">
        <w:rPr>
          <w:rFonts w:ascii="Times New Roman" w:eastAsia="Times New Roman" w:hAnsi="Times New Roman" w:cs="Times New Roman"/>
          <w:b/>
          <w:sz w:val="24"/>
          <w:szCs w:val="24"/>
        </w:rPr>
        <w:t>Figura 4 –</w:t>
      </w:r>
      <w:r>
        <w:rPr>
          <w:rFonts w:ascii="Times New Roman" w:eastAsia="Times New Roman" w:hAnsi="Times New Roman" w:cs="Times New Roman"/>
          <w:sz w:val="24"/>
          <w:szCs w:val="24"/>
        </w:rPr>
        <w:t xml:space="preserve"> </w:t>
      </w:r>
      <w:r w:rsidRPr="009E10F6">
        <w:rPr>
          <w:rFonts w:ascii="Times New Roman" w:eastAsia="Times New Roman" w:hAnsi="Times New Roman" w:cs="Times New Roman"/>
          <w:sz w:val="24"/>
          <w:szCs w:val="24"/>
        </w:rPr>
        <w:t>Considerações respiratórias anteriores ao desempenho das intervenções terapêuticas ocupacionais</w:t>
      </w:r>
      <w:r>
        <w:rPr>
          <w:rFonts w:ascii="Times New Roman" w:eastAsia="Times New Roman" w:hAnsi="Times New Roman" w:cs="Times New Roman"/>
          <w:sz w:val="24"/>
          <w:szCs w:val="24"/>
        </w:rPr>
        <w:t>.</w:t>
      </w:r>
    </w:p>
    <w:tbl>
      <w:tblPr>
        <w:tblStyle w:val="Tabelacomgrade"/>
        <w:tblW w:w="0" w:type="auto"/>
        <w:tblLook w:val="04A0" w:firstRow="1" w:lastRow="0" w:firstColumn="1" w:lastColumn="0" w:noHBand="0" w:noVBand="1"/>
      </w:tblPr>
      <w:tblGrid>
        <w:gridCol w:w="2311"/>
        <w:gridCol w:w="1690"/>
        <w:gridCol w:w="1676"/>
        <w:gridCol w:w="1690"/>
        <w:gridCol w:w="1693"/>
      </w:tblGrid>
      <w:tr w:rsidR="008235D0" w:rsidRPr="00441500" w14:paraId="2E740AEE" w14:textId="77777777" w:rsidTr="002C6028">
        <w:tc>
          <w:tcPr>
            <w:tcW w:w="1707" w:type="dxa"/>
          </w:tcPr>
          <w:p w14:paraId="29877C72" w14:textId="77777777" w:rsidR="008235D0" w:rsidRPr="00441500" w:rsidRDefault="008235D0" w:rsidP="002C6028">
            <w:pPr>
              <w:spacing w:line="360" w:lineRule="auto"/>
              <w:jc w:val="center"/>
              <w:rPr>
                <w:rFonts w:ascii="Times New Roman" w:hAnsi="Times New Roman" w:cs="Times New Roman"/>
                <w:b/>
                <w:sz w:val="24"/>
                <w:szCs w:val="24"/>
              </w:rPr>
            </w:pPr>
            <w:r w:rsidRPr="00441500">
              <w:rPr>
                <w:rFonts w:ascii="Times New Roman" w:hAnsi="Times New Roman" w:cs="Times New Roman"/>
                <w:b/>
                <w:sz w:val="24"/>
                <w:szCs w:val="24"/>
              </w:rPr>
              <w:t>CONSIDERAÇÕES RESPIRATÓRIAS</w:t>
            </w:r>
          </w:p>
        </w:tc>
        <w:tc>
          <w:tcPr>
            <w:tcW w:w="1697" w:type="dxa"/>
            <w:tcBorders>
              <w:bottom w:val="single" w:sz="12" w:space="0" w:color="auto"/>
            </w:tcBorders>
          </w:tcPr>
          <w:p w14:paraId="4DBDEE4A"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Mobilização Precoce</w:t>
            </w:r>
          </w:p>
        </w:tc>
        <w:tc>
          <w:tcPr>
            <w:tcW w:w="1696" w:type="dxa"/>
            <w:tcBorders>
              <w:bottom w:val="single" w:sz="12" w:space="0" w:color="auto"/>
            </w:tcBorders>
            <w:vAlign w:val="center"/>
          </w:tcPr>
          <w:p w14:paraId="0A6B74A9"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Treino de AVD</w:t>
            </w:r>
          </w:p>
        </w:tc>
        <w:tc>
          <w:tcPr>
            <w:tcW w:w="1697" w:type="dxa"/>
            <w:tcBorders>
              <w:bottom w:val="single" w:sz="12" w:space="0" w:color="auto"/>
            </w:tcBorders>
          </w:tcPr>
          <w:p w14:paraId="576740D3"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Estimulação Cognitiva</w:t>
            </w:r>
          </w:p>
        </w:tc>
        <w:tc>
          <w:tcPr>
            <w:tcW w:w="1697" w:type="dxa"/>
            <w:tcBorders>
              <w:bottom w:val="single" w:sz="12" w:space="0" w:color="auto"/>
            </w:tcBorders>
          </w:tcPr>
          <w:p w14:paraId="2F2EB8CB"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Comunicação Alternativa</w:t>
            </w:r>
          </w:p>
        </w:tc>
      </w:tr>
      <w:tr w:rsidR="008235D0" w:rsidRPr="00441500" w14:paraId="3CF2E56F" w14:textId="77777777" w:rsidTr="002C6028">
        <w:tc>
          <w:tcPr>
            <w:tcW w:w="1707" w:type="dxa"/>
            <w:tcBorders>
              <w:right w:val="single" w:sz="12" w:space="0" w:color="auto"/>
            </w:tcBorders>
          </w:tcPr>
          <w:p w14:paraId="34D4155E"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Tubo Orotraqueal</w:t>
            </w: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474486DF" w14:textId="77777777" w:rsidR="008235D0" w:rsidRPr="00441500" w:rsidRDefault="008235D0" w:rsidP="002C6028">
            <w:pPr>
              <w:spacing w:line="360" w:lineRule="auto"/>
              <w:jc w:val="both"/>
              <w:rPr>
                <w:rFonts w:ascii="Times New Roman" w:hAnsi="Times New Roman" w:cs="Times New Roman"/>
                <w:sz w:val="24"/>
                <w:szCs w:val="24"/>
                <w:highlight w:val="green"/>
              </w:rPr>
            </w:pPr>
          </w:p>
        </w:tc>
        <w:tc>
          <w:tcPr>
            <w:tcW w:w="1696" w:type="dxa"/>
            <w:tcBorders>
              <w:top w:val="single" w:sz="12" w:space="0" w:color="auto"/>
              <w:left w:val="single" w:sz="12" w:space="0" w:color="auto"/>
              <w:bottom w:val="single" w:sz="12" w:space="0" w:color="auto"/>
              <w:right w:val="single" w:sz="12" w:space="0" w:color="auto"/>
            </w:tcBorders>
            <w:shd w:val="clear" w:color="auto" w:fill="92D050"/>
          </w:tcPr>
          <w:p w14:paraId="2AF6FD0B" w14:textId="77777777" w:rsidR="008235D0" w:rsidRPr="00441500" w:rsidRDefault="008235D0" w:rsidP="002C6028">
            <w:pPr>
              <w:spacing w:line="360" w:lineRule="auto"/>
              <w:jc w:val="both"/>
              <w:rPr>
                <w:rFonts w:ascii="Times New Roman" w:hAnsi="Times New Roman" w:cs="Times New Roman"/>
                <w:sz w:val="24"/>
                <w:szCs w:val="24"/>
                <w:highlight w:val="green"/>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60565547" w14:textId="77777777" w:rsidR="008235D0" w:rsidRPr="00441500" w:rsidRDefault="008235D0" w:rsidP="002C6028">
            <w:pPr>
              <w:spacing w:line="360" w:lineRule="auto"/>
              <w:jc w:val="both"/>
              <w:rPr>
                <w:rFonts w:ascii="Times New Roman" w:hAnsi="Times New Roman" w:cs="Times New Roman"/>
                <w:sz w:val="24"/>
                <w:szCs w:val="24"/>
                <w:highlight w:val="green"/>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6B126D2A" w14:textId="77777777" w:rsidR="008235D0" w:rsidRPr="00441500" w:rsidRDefault="008235D0" w:rsidP="002C6028">
            <w:pPr>
              <w:spacing w:line="360" w:lineRule="auto"/>
              <w:jc w:val="both"/>
              <w:rPr>
                <w:rFonts w:ascii="Times New Roman" w:hAnsi="Times New Roman" w:cs="Times New Roman"/>
                <w:sz w:val="24"/>
                <w:szCs w:val="24"/>
                <w:highlight w:val="green"/>
              </w:rPr>
            </w:pPr>
          </w:p>
        </w:tc>
      </w:tr>
      <w:tr w:rsidR="008235D0" w:rsidRPr="00441500" w14:paraId="7286F9C6" w14:textId="77777777" w:rsidTr="002C6028">
        <w:tc>
          <w:tcPr>
            <w:tcW w:w="1707" w:type="dxa"/>
            <w:tcBorders>
              <w:right w:val="single" w:sz="12" w:space="0" w:color="auto"/>
            </w:tcBorders>
          </w:tcPr>
          <w:p w14:paraId="4D58B2DB"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Traqueostomia</w:t>
            </w: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5ED26C19" w14:textId="77777777" w:rsidR="008235D0" w:rsidRPr="00441500" w:rsidRDefault="008235D0" w:rsidP="002C6028">
            <w:pPr>
              <w:spacing w:line="360" w:lineRule="auto"/>
              <w:jc w:val="both"/>
              <w:rPr>
                <w:rFonts w:ascii="Times New Roman" w:hAnsi="Times New Roman" w:cs="Times New Roman"/>
                <w:sz w:val="24"/>
                <w:szCs w:val="24"/>
              </w:rPr>
            </w:pPr>
          </w:p>
        </w:tc>
        <w:tc>
          <w:tcPr>
            <w:tcW w:w="1696" w:type="dxa"/>
            <w:tcBorders>
              <w:top w:val="single" w:sz="12" w:space="0" w:color="auto"/>
              <w:left w:val="single" w:sz="12" w:space="0" w:color="auto"/>
              <w:bottom w:val="single" w:sz="12" w:space="0" w:color="auto"/>
              <w:right w:val="single" w:sz="12" w:space="0" w:color="auto"/>
            </w:tcBorders>
            <w:shd w:val="clear" w:color="auto" w:fill="92D050"/>
          </w:tcPr>
          <w:p w14:paraId="4989F48A"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4C773CD5"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15658409" w14:textId="77777777" w:rsidR="008235D0" w:rsidRPr="00441500" w:rsidRDefault="008235D0" w:rsidP="002C6028">
            <w:pPr>
              <w:spacing w:line="360" w:lineRule="auto"/>
              <w:jc w:val="both"/>
              <w:rPr>
                <w:rFonts w:ascii="Times New Roman" w:hAnsi="Times New Roman" w:cs="Times New Roman"/>
                <w:sz w:val="24"/>
                <w:szCs w:val="24"/>
              </w:rPr>
            </w:pPr>
          </w:p>
        </w:tc>
      </w:tr>
      <w:tr w:rsidR="008235D0" w:rsidRPr="00441500" w14:paraId="72EF53E6" w14:textId="77777777" w:rsidTr="002C6028">
        <w:tc>
          <w:tcPr>
            <w:tcW w:w="1707" w:type="dxa"/>
            <w:tcBorders>
              <w:right w:val="single" w:sz="12" w:space="0" w:color="auto"/>
            </w:tcBorders>
          </w:tcPr>
          <w:p w14:paraId="3F291D16"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SpO2 &gt; 90%</w:t>
            </w: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274DAE15" w14:textId="77777777" w:rsidR="008235D0" w:rsidRPr="00441500" w:rsidRDefault="008235D0" w:rsidP="002C6028">
            <w:pPr>
              <w:spacing w:line="360" w:lineRule="auto"/>
              <w:jc w:val="both"/>
              <w:rPr>
                <w:rFonts w:ascii="Times New Roman" w:hAnsi="Times New Roman" w:cs="Times New Roman"/>
                <w:sz w:val="24"/>
                <w:szCs w:val="24"/>
              </w:rPr>
            </w:pPr>
          </w:p>
        </w:tc>
        <w:tc>
          <w:tcPr>
            <w:tcW w:w="1696" w:type="dxa"/>
            <w:tcBorders>
              <w:top w:val="single" w:sz="12" w:space="0" w:color="auto"/>
              <w:left w:val="single" w:sz="12" w:space="0" w:color="auto"/>
              <w:bottom w:val="single" w:sz="12" w:space="0" w:color="auto"/>
              <w:right w:val="single" w:sz="12" w:space="0" w:color="auto"/>
            </w:tcBorders>
            <w:shd w:val="clear" w:color="auto" w:fill="92D050"/>
          </w:tcPr>
          <w:p w14:paraId="6A1C3457"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5710F034"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3FDBEBBC" w14:textId="77777777" w:rsidR="008235D0" w:rsidRPr="00441500" w:rsidRDefault="008235D0" w:rsidP="002C6028">
            <w:pPr>
              <w:spacing w:line="360" w:lineRule="auto"/>
              <w:jc w:val="both"/>
              <w:rPr>
                <w:rFonts w:ascii="Times New Roman" w:hAnsi="Times New Roman" w:cs="Times New Roman"/>
                <w:sz w:val="24"/>
                <w:szCs w:val="24"/>
              </w:rPr>
            </w:pPr>
          </w:p>
        </w:tc>
      </w:tr>
      <w:tr w:rsidR="008235D0" w:rsidRPr="00441500" w14:paraId="41EAB523" w14:textId="77777777" w:rsidTr="002C6028">
        <w:tc>
          <w:tcPr>
            <w:tcW w:w="1707" w:type="dxa"/>
            <w:tcBorders>
              <w:right w:val="single" w:sz="12" w:space="0" w:color="auto"/>
            </w:tcBorders>
          </w:tcPr>
          <w:p w14:paraId="62729F21"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SpO2 &lt; 90%</w:t>
            </w:r>
          </w:p>
        </w:tc>
        <w:tc>
          <w:tcPr>
            <w:tcW w:w="1697" w:type="dxa"/>
            <w:tcBorders>
              <w:top w:val="single" w:sz="12" w:space="0" w:color="auto"/>
              <w:left w:val="single" w:sz="12" w:space="0" w:color="auto"/>
              <w:bottom w:val="single" w:sz="12" w:space="0" w:color="auto"/>
              <w:right w:val="single" w:sz="12" w:space="0" w:color="auto"/>
            </w:tcBorders>
            <w:shd w:val="clear" w:color="auto" w:fill="FF0000"/>
          </w:tcPr>
          <w:p w14:paraId="624FA980" w14:textId="77777777" w:rsidR="008235D0" w:rsidRPr="00441500" w:rsidRDefault="008235D0" w:rsidP="002C6028">
            <w:pPr>
              <w:spacing w:line="360" w:lineRule="auto"/>
              <w:jc w:val="both"/>
              <w:rPr>
                <w:rFonts w:ascii="Times New Roman" w:hAnsi="Times New Roman" w:cs="Times New Roman"/>
                <w:sz w:val="24"/>
                <w:szCs w:val="24"/>
              </w:rPr>
            </w:pPr>
          </w:p>
        </w:tc>
        <w:tc>
          <w:tcPr>
            <w:tcW w:w="1696" w:type="dxa"/>
            <w:tcBorders>
              <w:top w:val="single" w:sz="12" w:space="0" w:color="auto"/>
              <w:left w:val="single" w:sz="12" w:space="0" w:color="auto"/>
              <w:bottom w:val="single" w:sz="12" w:space="0" w:color="auto"/>
              <w:right w:val="single" w:sz="12" w:space="0" w:color="auto"/>
            </w:tcBorders>
            <w:shd w:val="clear" w:color="auto" w:fill="FF0000"/>
          </w:tcPr>
          <w:p w14:paraId="25267EA6"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FFFF00"/>
          </w:tcPr>
          <w:p w14:paraId="50D57667"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FFFF00"/>
          </w:tcPr>
          <w:p w14:paraId="282C2DED" w14:textId="77777777" w:rsidR="008235D0" w:rsidRPr="00441500" w:rsidRDefault="008235D0" w:rsidP="002C6028">
            <w:pPr>
              <w:spacing w:line="360" w:lineRule="auto"/>
              <w:jc w:val="both"/>
              <w:rPr>
                <w:rFonts w:ascii="Times New Roman" w:hAnsi="Times New Roman" w:cs="Times New Roman"/>
                <w:sz w:val="24"/>
                <w:szCs w:val="24"/>
              </w:rPr>
            </w:pPr>
          </w:p>
        </w:tc>
      </w:tr>
      <w:tr w:rsidR="008235D0" w:rsidRPr="00441500" w14:paraId="111FE1FB" w14:textId="77777777" w:rsidTr="002C6028">
        <w:tc>
          <w:tcPr>
            <w:tcW w:w="1707" w:type="dxa"/>
            <w:tcBorders>
              <w:right w:val="single" w:sz="12" w:space="0" w:color="auto"/>
            </w:tcBorders>
          </w:tcPr>
          <w:p w14:paraId="6433E9F6"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 xml:space="preserve">FR &lt; 30 </w:t>
            </w:r>
            <w:proofErr w:type="spellStart"/>
            <w:r w:rsidRPr="00441500">
              <w:rPr>
                <w:rFonts w:ascii="Times New Roman" w:hAnsi="Times New Roman" w:cs="Times New Roman"/>
                <w:sz w:val="24"/>
                <w:szCs w:val="24"/>
              </w:rPr>
              <w:t>ipm</w:t>
            </w:r>
            <w:proofErr w:type="spellEnd"/>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36A371F0" w14:textId="77777777" w:rsidR="008235D0" w:rsidRPr="00441500" w:rsidRDefault="008235D0" w:rsidP="002C6028">
            <w:pPr>
              <w:spacing w:line="360" w:lineRule="auto"/>
              <w:jc w:val="both"/>
              <w:rPr>
                <w:rFonts w:ascii="Times New Roman" w:hAnsi="Times New Roman" w:cs="Times New Roman"/>
                <w:sz w:val="24"/>
                <w:szCs w:val="24"/>
              </w:rPr>
            </w:pPr>
          </w:p>
        </w:tc>
        <w:tc>
          <w:tcPr>
            <w:tcW w:w="1696" w:type="dxa"/>
            <w:tcBorders>
              <w:top w:val="single" w:sz="12" w:space="0" w:color="auto"/>
              <w:left w:val="single" w:sz="12" w:space="0" w:color="auto"/>
              <w:bottom w:val="single" w:sz="12" w:space="0" w:color="auto"/>
              <w:right w:val="single" w:sz="12" w:space="0" w:color="auto"/>
            </w:tcBorders>
            <w:shd w:val="clear" w:color="auto" w:fill="92D050"/>
          </w:tcPr>
          <w:p w14:paraId="3756C96C"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177A07C8"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92D050"/>
          </w:tcPr>
          <w:p w14:paraId="3F894B70" w14:textId="77777777" w:rsidR="008235D0" w:rsidRPr="00441500" w:rsidRDefault="008235D0" w:rsidP="002C6028">
            <w:pPr>
              <w:spacing w:line="360" w:lineRule="auto"/>
              <w:jc w:val="both"/>
              <w:rPr>
                <w:rFonts w:ascii="Times New Roman" w:hAnsi="Times New Roman" w:cs="Times New Roman"/>
                <w:sz w:val="24"/>
                <w:szCs w:val="24"/>
              </w:rPr>
            </w:pPr>
          </w:p>
        </w:tc>
      </w:tr>
      <w:tr w:rsidR="008235D0" w:rsidRPr="00441500" w14:paraId="60CD3F5B" w14:textId="77777777" w:rsidTr="002C6028">
        <w:tc>
          <w:tcPr>
            <w:tcW w:w="1707" w:type="dxa"/>
            <w:tcBorders>
              <w:right w:val="single" w:sz="12" w:space="0" w:color="auto"/>
            </w:tcBorders>
          </w:tcPr>
          <w:p w14:paraId="0F2D08F1"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 xml:space="preserve">FR &gt; 30 </w:t>
            </w:r>
            <w:proofErr w:type="spellStart"/>
            <w:r w:rsidRPr="00441500">
              <w:rPr>
                <w:rFonts w:ascii="Times New Roman" w:hAnsi="Times New Roman" w:cs="Times New Roman"/>
                <w:sz w:val="24"/>
                <w:szCs w:val="24"/>
              </w:rPr>
              <w:t>ipm</w:t>
            </w:r>
            <w:proofErr w:type="spellEnd"/>
          </w:p>
        </w:tc>
        <w:tc>
          <w:tcPr>
            <w:tcW w:w="1697" w:type="dxa"/>
            <w:tcBorders>
              <w:top w:val="single" w:sz="12" w:space="0" w:color="auto"/>
              <w:left w:val="single" w:sz="12" w:space="0" w:color="auto"/>
              <w:bottom w:val="single" w:sz="12" w:space="0" w:color="auto"/>
              <w:right w:val="single" w:sz="12" w:space="0" w:color="auto"/>
            </w:tcBorders>
            <w:shd w:val="clear" w:color="auto" w:fill="FFFF00"/>
          </w:tcPr>
          <w:p w14:paraId="4DBCC637" w14:textId="77777777" w:rsidR="008235D0" w:rsidRPr="00441500" w:rsidRDefault="008235D0" w:rsidP="002C6028">
            <w:pPr>
              <w:spacing w:line="360" w:lineRule="auto"/>
              <w:jc w:val="both"/>
              <w:rPr>
                <w:rFonts w:ascii="Times New Roman" w:hAnsi="Times New Roman" w:cs="Times New Roman"/>
                <w:sz w:val="24"/>
                <w:szCs w:val="24"/>
              </w:rPr>
            </w:pPr>
          </w:p>
        </w:tc>
        <w:tc>
          <w:tcPr>
            <w:tcW w:w="1696" w:type="dxa"/>
            <w:tcBorders>
              <w:top w:val="single" w:sz="12" w:space="0" w:color="auto"/>
              <w:left w:val="single" w:sz="12" w:space="0" w:color="auto"/>
              <w:bottom w:val="single" w:sz="12" w:space="0" w:color="auto"/>
              <w:right w:val="single" w:sz="12" w:space="0" w:color="auto"/>
            </w:tcBorders>
            <w:shd w:val="clear" w:color="auto" w:fill="FFFF00"/>
          </w:tcPr>
          <w:p w14:paraId="5E0CFC74"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FFFF00"/>
          </w:tcPr>
          <w:p w14:paraId="333DCB21"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FFFF00"/>
          </w:tcPr>
          <w:p w14:paraId="64A6746C" w14:textId="77777777" w:rsidR="008235D0" w:rsidRPr="00441500" w:rsidRDefault="008235D0" w:rsidP="002C6028">
            <w:pPr>
              <w:spacing w:line="360" w:lineRule="auto"/>
              <w:jc w:val="both"/>
              <w:rPr>
                <w:rFonts w:ascii="Times New Roman" w:hAnsi="Times New Roman" w:cs="Times New Roman"/>
                <w:sz w:val="24"/>
                <w:szCs w:val="24"/>
              </w:rPr>
            </w:pPr>
          </w:p>
        </w:tc>
      </w:tr>
      <w:tr w:rsidR="008235D0" w:rsidRPr="00441500" w14:paraId="332204F1" w14:textId="77777777" w:rsidTr="002C6028">
        <w:tc>
          <w:tcPr>
            <w:tcW w:w="1707" w:type="dxa"/>
            <w:tcBorders>
              <w:right w:val="single" w:sz="12" w:space="0" w:color="auto"/>
            </w:tcBorders>
          </w:tcPr>
          <w:p w14:paraId="3D046405" w14:textId="77777777" w:rsidR="008235D0" w:rsidRPr="00441500" w:rsidRDefault="008235D0" w:rsidP="002C6028">
            <w:pPr>
              <w:spacing w:line="360" w:lineRule="auto"/>
              <w:jc w:val="both"/>
              <w:rPr>
                <w:rFonts w:ascii="Times New Roman" w:hAnsi="Times New Roman" w:cs="Times New Roman"/>
                <w:sz w:val="24"/>
                <w:szCs w:val="24"/>
              </w:rPr>
            </w:pPr>
            <w:r w:rsidRPr="00441500">
              <w:rPr>
                <w:rFonts w:ascii="Times New Roman" w:hAnsi="Times New Roman" w:cs="Times New Roman"/>
                <w:sz w:val="24"/>
                <w:szCs w:val="24"/>
              </w:rPr>
              <w:t>Posição Prona</w:t>
            </w:r>
          </w:p>
        </w:tc>
        <w:tc>
          <w:tcPr>
            <w:tcW w:w="1697" w:type="dxa"/>
            <w:tcBorders>
              <w:top w:val="single" w:sz="12" w:space="0" w:color="auto"/>
              <w:left w:val="single" w:sz="12" w:space="0" w:color="auto"/>
              <w:bottom w:val="single" w:sz="12" w:space="0" w:color="auto"/>
              <w:right w:val="single" w:sz="12" w:space="0" w:color="auto"/>
            </w:tcBorders>
            <w:shd w:val="clear" w:color="auto" w:fill="FF0000"/>
          </w:tcPr>
          <w:p w14:paraId="6C7DE51C" w14:textId="77777777" w:rsidR="008235D0" w:rsidRPr="00441500" w:rsidRDefault="008235D0" w:rsidP="002C6028">
            <w:pPr>
              <w:spacing w:line="360" w:lineRule="auto"/>
              <w:jc w:val="both"/>
              <w:rPr>
                <w:rFonts w:ascii="Times New Roman" w:hAnsi="Times New Roman" w:cs="Times New Roman"/>
                <w:sz w:val="24"/>
                <w:szCs w:val="24"/>
              </w:rPr>
            </w:pPr>
          </w:p>
        </w:tc>
        <w:tc>
          <w:tcPr>
            <w:tcW w:w="1696" w:type="dxa"/>
            <w:tcBorders>
              <w:top w:val="single" w:sz="12" w:space="0" w:color="auto"/>
              <w:left w:val="single" w:sz="12" w:space="0" w:color="auto"/>
              <w:bottom w:val="single" w:sz="12" w:space="0" w:color="auto"/>
              <w:right w:val="single" w:sz="12" w:space="0" w:color="auto"/>
            </w:tcBorders>
            <w:shd w:val="clear" w:color="auto" w:fill="FF0000"/>
          </w:tcPr>
          <w:p w14:paraId="34CB6672"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FF0000"/>
          </w:tcPr>
          <w:p w14:paraId="7A26063E" w14:textId="77777777" w:rsidR="008235D0" w:rsidRPr="00441500" w:rsidRDefault="008235D0" w:rsidP="002C6028">
            <w:pPr>
              <w:spacing w:line="360" w:lineRule="auto"/>
              <w:jc w:val="both"/>
              <w:rPr>
                <w:rFonts w:ascii="Times New Roman" w:hAnsi="Times New Roman" w:cs="Times New Roman"/>
                <w:sz w:val="24"/>
                <w:szCs w:val="24"/>
              </w:rPr>
            </w:pPr>
          </w:p>
        </w:tc>
        <w:tc>
          <w:tcPr>
            <w:tcW w:w="1697" w:type="dxa"/>
            <w:tcBorders>
              <w:top w:val="single" w:sz="12" w:space="0" w:color="auto"/>
              <w:left w:val="single" w:sz="12" w:space="0" w:color="auto"/>
              <w:bottom w:val="single" w:sz="12" w:space="0" w:color="auto"/>
              <w:right w:val="single" w:sz="12" w:space="0" w:color="auto"/>
            </w:tcBorders>
            <w:shd w:val="clear" w:color="auto" w:fill="FF0000"/>
          </w:tcPr>
          <w:p w14:paraId="1FCA68C5" w14:textId="77777777" w:rsidR="008235D0" w:rsidRPr="00441500" w:rsidRDefault="008235D0" w:rsidP="002C6028">
            <w:pPr>
              <w:spacing w:line="360" w:lineRule="auto"/>
              <w:jc w:val="both"/>
              <w:rPr>
                <w:rFonts w:ascii="Times New Roman" w:hAnsi="Times New Roman" w:cs="Times New Roman"/>
                <w:sz w:val="24"/>
                <w:szCs w:val="24"/>
              </w:rPr>
            </w:pPr>
          </w:p>
        </w:tc>
      </w:tr>
    </w:tbl>
    <w:p w14:paraId="1D077F07" w14:textId="6CF88631" w:rsidR="00BD2A8C" w:rsidRDefault="00BD2A8C" w:rsidP="008C5CC8">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2FF0">
        <w:rPr>
          <w:rFonts w:ascii="Times New Roman" w:eastAsia="Times New Roman" w:hAnsi="Times New Roman" w:cs="Times New Roman"/>
          <w:sz w:val="24"/>
          <w:szCs w:val="24"/>
        </w:rPr>
        <w:t xml:space="preserve">SpO2 = saturação de pulso de oxigênio; </w:t>
      </w:r>
      <w:r>
        <w:rPr>
          <w:rFonts w:ascii="Times New Roman" w:eastAsia="Times New Roman" w:hAnsi="Times New Roman" w:cs="Times New Roman"/>
          <w:sz w:val="24"/>
          <w:szCs w:val="24"/>
        </w:rPr>
        <w:t>**</w:t>
      </w:r>
      <w:r w:rsidR="00282FF0">
        <w:rPr>
          <w:rFonts w:ascii="Times New Roman" w:eastAsia="Times New Roman" w:hAnsi="Times New Roman" w:cs="Times New Roman"/>
          <w:sz w:val="24"/>
          <w:szCs w:val="24"/>
        </w:rPr>
        <w:t>FR = frequência respiratória</w:t>
      </w:r>
      <w:r w:rsidR="008C5CC8">
        <w:rPr>
          <w:rFonts w:ascii="Times New Roman" w:eastAsia="Times New Roman" w:hAnsi="Times New Roman" w:cs="Times New Roman"/>
          <w:sz w:val="24"/>
          <w:szCs w:val="24"/>
        </w:rPr>
        <w:t>.</w:t>
      </w:r>
    </w:p>
    <w:p w14:paraId="755CD410" w14:textId="0D962174" w:rsidR="00BD2A8C" w:rsidRDefault="00BD2A8C" w:rsidP="00BD2A8C">
      <w:pPr>
        <w:shd w:val="clear" w:color="auto" w:fill="FFFFFF"/>
        <w:spacing w:after="0" w:line="240" w:lineRule="auto"/>
        <w:jc w:val="both"/>
        <w:rPr>
          <w:rFonts w:ascii="Times New Roman" w:eastAsia="Times New Roman" w:hAnsi="Times New Roman" w:cs="Times New Roman"/>
          <w:sz w:val="24"/>
          <w:szCs w:val="24"/>
        </w:rPr>
      </w:pPr>
      <w:r w:rsidRPr="00E321F8">
        <w:rPr>
          <w:rFonts w:ascii="Times New Roman" w:eastAsia="Times New Roman" w:hAnsi="Times New Roman" w:cs="Times New Roman"/>
          <w:b/>
          <w:color w:val="000000" w:themeColor="text1"/>
          <w:sz w:val="24"/>
          <w:szCs w:val="24"/>
        </w:rPr>
        <w:t>Figura 5 –</w:t>
      </w:r>
      <w:r>
        <w:rPr>
          <w:rFonts w:ascii="Times New Roman" w:eastAsia="Times New Roman" w:hAnsi="Times New Roman" w:cs="Times New Roman"/>
          <w:color w:val="000000" w:themeColor="text1"/>
          <w:sz w:val="24"/>
          <w:szCs w:val="24"/>
        </w:rPr>
        <w:t xml:space="preserve"> </w:t>
      </w:r>
      <w:r w:rsidRPr="009E10F6">
        <w:rPr>
          <w:rFonts w:ascii="Times New Roman" w:eastAsia="Times New Roman" w:hAnsi="Times New Roman" w:cs="Times New Roman"/>
          <w:sz w:val="24"/>
          <w:szCs w:val="24"/>
        </w:rPr>
        <w:t>Considerações cardiovasculares anteriores ao desempenho das intervenções terapêuticas ocupacionais</w:t>
      </w:r>
      <w:r>
        <w:rPr>
          <w:rFonts w:ascii="Times New Roman" w:eastAsia="Times New Roman" w:hAnsi="Times New Roman" w:cs="Times New Roman"/>
          <w:sz w:val="24"/>
          <w:szCs w:val="24"/>
        </w:rPr>
        <w:t>.</w:t>
      </w:r>
    </w:p>
    <w:tbl>
      <w:tblPr>
        <w:tblStyle w:val="Tabelacomgrade"/>
        <w:tblW w:w="0" w:type="auto"/>
        <w:tblLook w:val="04A0" w:firstRow="1" w:lastRow="0" w:firstColumn="1" w:lastColumn="0" w:noHBand="0" w:noVBand="1"/>
      </w:tblPr>
      <w:tblGrid>
        <w:gridCol w:w="2817"/>
        <w:gridCol w:w="1583"/>
        <w:gridCol w:w="1473"/>
        <w:gridCol w:w="1581"/>
        <w:gridCol w:w="1606"/>
      </w:tblGrid>
      <w:tr w:rsidR="008235D0" w:rsidRPr="00441500" w14:paraId="44E15263" w14:textId="77777777" w:rsidTr="002C6028">
        <w:tc>
          <w:tcPr>
            <w:tcW w:w="2167" w:type="dxa"/>
          </w:tcPr>
          <w:p w14:paraId="0E38F462" w14:textId="77777777" w:rsidR="008235D0" w:rsidRPr="00441500" w:rsidRDefault="008235D0" w:rsidP="002C6028">
            <w:pPr>
              <w:spacing w:line="360" w:lineRule="auto"/>
              <w:jc w:val="center"/>
              <w:rPr>
                <w:rFonts w:ascii="Times New Roman" w:hAnsi="Times New Roman" w:cs="Times New Roman"/>
                <w:b/>
                <w:sz w:val="24"/>
                <w:szCs w:val="24"/>
              </w:rPr>
            </w:pPr>
            <w:r w:rsidRPr="00441500">
              <w:rPr>
                <w:rFonts w:ascii="Times New Roman" w:hAnsi="Times New Roman" w:cs="Times New Roman"/>
                <w:b/>
                <w:sz w:val="24"/>
                <w:szCs w:val="24"/>
              </w:rPr>
              <w:t>CONSIDERAÇÕES CARDIOVASCULARES</w:t>
            </w:r>
          </w:p>
        </w:tc>
        <w:tc>
          <w:tcPr>
            <w:tcW w:w="1597" w:type="dxa"/>
            <w:tcBorders>
              <w:bottom w:val="single" w:sz="12" w:space="0" w:color="auto"/>
            </w:tcBorders>
          </w:tcPr>
          <w:p w14:paraId="3A03FF6F"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Mobilização Precoce</w:t>
            </w:r>
          </w:p>
        </w:tc>
        <w:tc>
          <w:tcPr>
            <w:tcW w:w="1523" w:type="dxa"/>
            <w:tcBorders>
              <w:bottom w:val="single" w:sz="12" w:space="0" w:color="auto"/>
            </w:tcBorders>
            <w:vAlign w:val="center"/>
          </w:tcPr>
          <w:p w14:paraId="466B2921"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Treino de AVD</w:t>
            </w:r>
          </w:p>
        </w:tc>
        <w:tc>
          <w:tcPr>
            <w:tcW w:w="1595" w:type="dxa"/>
            <w:tcBorders>
              <w:bottom w:val="single" w:sz="12" w:space="0" w:color="auto"/>
            </w:tcBorders>
          </w:tcPr>
          <w:p w14:paraId="1815AEBB"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Estimulação Cognitiva</w:t>
            </w:r>
          </w:p>
        </w:tc>
        <w:tc>
          <w:tcPr>
            <w:tcW w:w="1612" w:type="dxa"/>
            <w:tcBorders>
              <w:bottom w:val="single" w:sz="12" w:space="0" w:color="auto"/>
            </w:tcBorders>
          </w:tcPr>
          <w:p w14:paraId="12DD0A50"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Comunicação Alternativa</w:t>
            </w:r>
          </w:p>
        </w:tc>
      </w:tr>
      <w:tr w:rsidR="008235D0" w:rsidRPr="00441500" w14:paraId="5C6CB769" w14:textId="77777777" w:rsidTr="002C6028">
        <w:tc>
          <w:tcPr>
            <w:tcW w:w="2167" w:type="dxa"/>
            <w:tcBorders>
              <w:right w:val="single" w:sz="12" w:space="0" w:color="auto"/>
            </w:tcBorders>
          </w:tcPr>
          <w:p w14:paraId="13228A11"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 xml:space="preserve">FC &gt; 40 </w:t>
            </w:r>
            <w:proofErr w:type="spellStart"/>
            <w:r w:rsidRPr="008235D0">
              <w:rPr>
                <w:rFonts w:ascii="Times New Roman" w:hAnsi="Times New Roman" w:cs="Times New Roman"/>
                <w:sz w:val="24"/>
                <w:szCs w:val="24"/>
                <w:shd w:val="clear" w:color="auto" w:fill="FFFFFF"/>
              </w:rPr>
              <w:t>bpm</w:t>
            </w:r>
            <w:proofErr w:type="spellEnd"/>
            <w:r w:rsidRPr="008235D0">
              <w:rPr>
                <w:rFonts w:ascii="Times New Roman" w:hAnsi="Times New Roman" w:cs="Times New Roman"/>
                <w:sz w:val="24"/>
                <w:szCs w:val="24"/>
                <w:shd w:val="clear" w:color="auto" w:fill="FFFFFF"/>
              </w:rPr>
              <w:t xml:space="preserve"> e &lt; 130 </w:t>
            </w:r>
            <w:proofErr w:type="spellStart"/>
            <w:r w:rsidRPr="008235D0">
              <w:rPr>
                <w:rFonts w:ascii="Times New Roman" w:hAnsi="Times New Roman" w:cs="Times New Roman"/>
                <w:sz w:val="24"/>
                <w:szCs w:val="24"/>
                <w:shd w:val="clear" w:color="auto" w:fill="FFFFFF"/>
              </w:rPr>
              <w:t>bpm</w:t>
            </w:r>
            <w:proofErr w:type="spellEnd"/>
          </w:p>
        </w:tc>
        <w:tc>
          <w:tcPr>
            <w:tcW w:w="1597" w:type="dxa"/>
            <w:tcBorders>
              <w:top w:val="single" w:sz="12" w:space="0" w:color="auto"/>
              <w:left w:val="single" w:sz="12" w:space="0" w:color="auto"/>
              <w:bottom w:val="single" w:sz="12" w:space="0" w:color="auto"/>
              <w:right w:val="single" w:sz="12" w:space="0" w:color="auto"/>
            </w:tcBorders>
            <w:shd w:val="clear" w:color="auto" w:fill="92D050"/>
          </w:tcPr>
          <w:p w14:paraId="2F176972"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92D050"/>
          </w:tcPr>
          <w:p w14:paraId="303507E4"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92D050"/>
          </w:tcPr>
          <w:p w14:paraId="7D7C889F"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92D050"/>
          </w:tcPr>
          <w:p w14:paraId="2D9230F3"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27F2E5D8" w14:textId="77777777" w:rsidTr="002C6028">
        <w:tc>
          <w:tcPr>
            <w:tcW w:w="2167" w:type="dxa"/>
            <w:tcBorders>
              <w:right w:val="single" w:sz="12" w:space="0" w:color="auto"/>
            </w:tcBorders>
          </w:tcPr>
          <w:p w14:paraId="51C52EE1"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lastRenderedPageBreak/>
              <w:t xml:space="preserve">FC entre 120 </w:t>
            </w:r>
            <w:proofErr w:type="spellStart"/>
            <w:r w:rsidRPr="008235D0">
              <w:rPr>
                <w:rFonts w:ascii="Times New Roman" w:hAnsi="Times New Roman" w:cs="Times New Roman"/>
                <w:sz w:val="24"/>
                <w:szCs w:val="24"/>
                <w:shd w:val="clear" w:color="auto" w:fill="FFFFFF"/>
              </w:rPr>
              <w:t>bpm</w:t>
            </w:r>
            <w:proofErr w:type="spellEnd"/>
            <w:r w:rsidRPr="008235D0">
              <w:rPr>
                <w:rFonts w:ascii="Times New Roman" w:hAnsi="Times New Roman" w:cs="Times New Roman"/>
                <w:sz w:val="24"/>
                <w:szCs w:val="24"/>
                <w:shd w:val="clear" w:color="auto" w:fill="FFFFFF"/>
              </w:rPr>
              <w:t xml:space="preserve"> e 150 </w:t>
            </w:r>
            <w:proofErr w:type="spellStart"/>
            <w:r w:rsidRPr="008235D0">
              <w:rPr>
                <w:rFonts w:ascii="Times New Roman" w:hAnsi="Times New Roman" w:cs="Times New Roman"/>
                <w:sz w:val="24"/>
                <w:szCs w:val="24"/>
                <w:shd w:val="clear" w:color="auto" w:fill="FFFFFF"/>
              </w:rPr>
              <w:t>bpm</w:t>
            </w:r>
            <w:proofErr w:type="spellEnd"/>
          </w:p>
        </w:tc>
        <w:tc>
          <w:tcPr>
            <w:tcW w:w="1597" w:type="dxa"/>
            <w:tcBorders>
              <w:top w:val="single" w:sz="12" w:space="0" w:color="auto"/>
              <w:left w:val="single" w:sz="12" w:space="0" w:color="auto"/>
              <w:bottom w:val="single" w:sz="12" w:space="0" w:color="auto"/>
              <w:right w:val="single" w:sz="12" w:space="0" w:color="auto"/>
            </w:tcBorders>
            <w:shd w:val="clear" w:color="auto" w:fill="FFFF00"/>
          </w:tcPr>
          <w:p w14:paraId="14A4519F"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FF00"/>
          </w:tcPr>
          <w:p w14:paraId="7EDBF91B"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FFFF00"/>
          </w:tcPr>
          <w:p w14:paraId="57F0716D"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FFFF00"/>
          </w:tcPr>
          <w:p w14:paraId="3E3C3CBD"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5FC66649" w14:textId="77777777" w:rsidTr="002C6028">
        <w:tc>
          <w:tcPr>
            <w:tcW w:w="2167" w:type="dxa"/>
            <w:tcBorders>
              <w:right w:val="single" w:sz="12" w:space="0" w:color="auto"/>
            </w:tcBorders>
          </w:tcPr>
          <w:p w14:paraId="2C685860"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 xml:space="preserve">FC &gt; 150 </w:t>
            </w:r>
            <w:proofErr w:type="spellStart"/>
            <w:r w:rsidRPr="008235D0">
              <w:rPr>
                <w:rFonts w:ascii="Times New Roman" w:hAnsi="Times New Roman" w:cs="Times New Roman"/>
                <w:sz w:val="24"/>
                <w:szCs w:val="24"/>
                <w:shd w:val="clear" w:color="auto" w:fill="FFFFFF"/>
              </w:rPr>
              <w:t>bpm</w:t>
            </w:r>
            <w:proofErr w:type="spellEnd"/>
          </w:p>
        </w:tc>
        <w:tc>
          <w:tcPr>
            <w:tcW w:w="1597" w:type="dxa"/>
            <w:tcBorders>
              <w:top w:val="single" w:sz="12" w:space="0" w:color="auto"/>
              <w:left w:val="single" w:sz="12" w:space="0" w:color="auto"/>
              <w:bottom w:val="single" w:sz="12" w:space="0" w:color="auto"/>
              <w:right w:val="single" w:sz="12" w:space="0" w:color="auto"/>
            </w:tcBorders>
            <w:shd w:val="clear" w:color="auto" w:fill="FF0000"/>
          </w:tcPr>
          <w:p w14:paraId="3A132A99"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0000"/>
          </w:tcPr>
          <w:p w14:paraId="0C56139D" w14:textId="77777777" w:rsidR="008235D0" w:rsidRPr="00441500" w:rsidRDefault="008235D0" w:rsidP="002C6028">
            <w:pPr>
              <w:jc w:val="both"/>
              <w:rPr>
                <w:rFonts w:ascii="Times New Roman" w:hAnsi="Times New Roman" w:cs="Times New Roman"/>
                <w:color w:val="FF0000"/>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FFFF00"/>
          </w:tcPr>
          <w:p w14:paraId="5D3B3451"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FFFF00"/>
          </w:tcPr>
          <w:p w14:paraId="4352EFCD"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5B21AF11" w14:textId="77777777" w:rsidTr="002C6028">
        <w:tc>
          <w:tcPr>
            <w:tcW w:w="2167" w:type="dxa"/>
            <w:tcBorders>
              <w:right w:val="single" w:sz="12" w:space="0" w:color="auto"/>
            </w:tcBorders>
          </w:tcPr>
          <w:p w14:paraId="594EDE0D" w14:textId="478F5FCC"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Pressão arterial alta causando sintomas</w:t>
            </w:r>
          </w:p>
        </w:tc>
        <w:tc>
          <w:tcPr>
            <w:tcW w:w="1597" w:type="dxa"/>
            <w:tcBorders>
              <w:top w:val="single" w:sz="12" w:space="0" w:color="auto"/>
              <w:left w:val="single" w:sz="12" w:space="0" w:color="auto"/>
              <w:bottom w:val="single" w:sz="12" w:space="0" w:color="auto"/>
              <w:right w:val="single" w:sz="12" w:space="0" w:color="auto"/>
            </w:tcBorders>
            <w:shd w:val="clear" w:color="auto" w:fill="FF0000"/>
          </w:tcPr>
          <w:p w14:paraId="41A98944"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0000"/>
          </w:tcPr>
          <w:p w14:paraId="2003C8CD"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FFFF00"/>
          </w:tcPr>
          <w:p w14:paraId="4C3B24CF"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92D050"/>
          </w:tcPr>
          <w:p w14:paraId="13FFE5DB"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7E2850C2" w14:textId="77777777" w:rsidTr="002C6028">
        <w:tc>
          <w:tcPr>
            <w:tcW w:w="2167" w:type="dxa"/>
            <w:tcBorders>
              <w:right w:val="single" w:sz="12" w:space="0" w:color="auto"/>
            </w:tcBorders>
          </w:tcPr>
          <w:p w14:paraId="3645F4F8" w14:textId="2CD3772A"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Pressão arterial baixa com DVA</w:t>
            </w:r>
          </w:p>
        </w:tc>
        <w:tc>
          <w:tcPr>
            <w:tcW w:w="1597" w:type="dxa"/>
            <w:tcBorders>
              <w:top w:val="single" w:sz="12" w:space="0" w:color="auto"/>
              <w:left w:val="single" w:sz="12" w:space="0" w:color="auto"/>
              <w:bottom w:val="single" w:sz="12" w:space="0" w:color="auto"/>
              <w:right w:val="single" w:sz="12" w:space="0" w:color="auto"/>
            </w:tcBorders>
            <w:shd w:val="clear" w:color="auto" w:fill="FF0000"/>
          </w:tcPr>
          <w:p w14:paraId="34D3A71C"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FF00"/>
          </w:tcPr>
          <w:p w14:paraId="36BEAEEB"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92D050"/>
          </w:tcPr>
          <w:p w14:paraId="4C494DBA"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92D050"/>
          </w:tcPr>
          <w:p w14:paraId="3337C90A"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597B5D71" w14:textId="77777777" w:rsidTr="002C6028">
        <w:tc>
          <w:tcPr>
            <w:tcW w:w="2167" w:type="dxa"/>
            <w:tcBorders>
              <w:right w:val="single" w:sz="12" w:space="0" w:color="auto"/>
            </w:tcBorders>
          </w:tcPr>
          <w:p w14:paraId="6BAF114B"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Pressão arterial alta com baixa dose de drogas</w:t>
            </w:r>
          </w:p>
        </w:tc>
        <w:tc>
          <w:tcPr>
            <w:tcW w:w="1597" w:type="dxa"/>
            <w:tcBorders>
              <w:top w:val="single" w:sz="12" w:space="0" w:color="auto"/>
              <w:left w:val="single" w:sz="12" w:space="0" w:color="auto"/>
              <w:bottom w:val="single" w:sz="12" w:space="0" w:color="auto"/>
              <w:right w:val="single" w:sz="12" w:space="0" w:color="auto"/>
            </w:tcBorders>
            <w:shd w:val="clear" w:color="auto" w:fill="92D050"/>
          </w:tcPr>
          <w:p w14:paraId="36375CF6"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92D050"/>
          </w:tcPr>
          <w:p w14:paraId="04F626CF"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92D050"/>
          </w:tcPr>
          <w:p w14:paraId="723B73B7"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92D050"/>
          </w:tcPr>
          <w:p w14:paraId="6DD32D3D"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73ED5782" w14:textId="77777777" w:rsidTr="002C6028">
        <w:tc>
          <w:tcPr>
            <w:tcW w:w="2167" w:type="dxa"/>
            <w:tcBorders>
              <w:right w:val="single" w:sz="12" w:space="0" w:color="auto"/>
            </w:tcBorders>
          </w:tcPr>
          <w:p w14:paraId="6CBCA19F"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Pressão arterial alta com alta dose de drogas</w:t>
            </w:r>
          </w:p>
        </w:tc>
        <w:tc>
          <w:tcPr>
            <w:tcW w:w="1597" w:type="dxa"/>
            <w:tcBorders>
              <w:top w:val="single" w:sz="12" w:space="0" w:color="auto"/>
              <w:left w:val="single" w:sz="12" w:space="0" w:color="auto"/>
              <w:bottom w:val="single" w:sz="12" w:space="0" w:color="auto"/>
              <w:right w:val="single" w:sz="12" w:space="0" w:color="auto"/>
            </w:tcBorders>
            <w:shd w:val="clear" w:color="auto" w:fill="FF0000"/>
          </w:tcPr>
          <w:p w14:paraId="1B914E58" w14:textId="77777777" w:rsidR="008235D0" w:rsidRPr="00441500" w:rsidRDefault="008235D0" w:rsidP="002C6028">
            <w:pPr>
              <w:jc w:val="both"/>
              <w:rPr>
                <w:rFonts w:ascii="Times New Roman" w:hAnsi="Times New Roman" w:cs="Times New Roman"/>
                <w:color w:val="FF0000"/>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0000"/>
          </w:tcPr>
          <w:p w14:paraId="307749EE" w14:textId="77777777" w:rsidR="008235D0" w:rsidRPr="00441500" w:rsidRDefault="008235D0" w:rsidP="002C6028">
            <w:pPr>
              <w:jc w:val="both"/>
              <w:rPr>
                <w:rFonts w:ascii="Times New Roman" w:hAnsi="Times New Roman" w:cs="Times New Roman"/>
                <w:color w:val="FF0000"/>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FFFF00"/>
          </w:tcPr>
          <w:p w14:paraId="6B5BFFA2"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FFFF00"/>
          </w:tcPr>
          <w:p w14:paraId="436AD154"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4F62442D" w14:textId="77777777" w:rsidTr="002C6028">
        <w:tc>
          <w:tcPr>
            <w:tcW w:w="2167" w:type="dxa"/>
            <w:tcBorders>
              <w:right w:val="single" w:sz="12" w:space="0" w:color="auto"/>
            </w:tcBorders>
          </w:tcPr>
          <w:p w14:paraId="734307D1"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Bradicardia aguardando colocação de marcapasso (MP)</w:t>
            </w:r>
          </w:p>
        </w:tc>
        <w:tc>
          <w:tcPr>
            <w:tcW w:w="1597" w:type="dxa"/>
            <w:tcBorders>
              <w:top w:val="single" w:sz="12" w:space="0" w:color="auto"/>
              <w:left w:val="single" w:sz="12" w:space="0" w:color="auto"/>
              <w:bottom w:val="single" w:sz="12" w:space="0" w:color="auto"/>
              <w:right w:val="single" w:sz="12" w:space="0" w:color="auto"/>
            </w:tcBorders>
            <w:shd w:val="clear" w:color="auto" w:fill="FF0000"/>
          </w:tcPr>
          <w:p w14:paraId="6D8FC4D9"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FF00"/>
          </w:tcPr>
          <w:p w14:paraId="3F7FB6A3"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FFFF00"/>
          </w:tcPr>
          <w:p w14:paraId="218E6428"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92D050"/>
          </w:tcPr>
          <w:p w14:paraId="6EA51D4F"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r w:rsidR="008235D0" w:rsidRPr="00441500" w14:paraId="140C0975" w14:textId="77777777" w:rsidTr="002C6028">
        <w:tc>
          <w:tcPr>
            <w:tcW w:w="2167" w:type="dxa"/>
            <w:tcBorders>
              <w:right w:val="single" w:sz="12" w:space="0" w:color="auto"/>
            </w:tcBorders>
          </w:tcPr>
          <w:p w14:paraId="07DE6285" w14:textId="77777777" w:rsidR="008235D0" w:rsidRPr="008235D0" w:rsidRDefault="008235D0" w:rsidP="008235D0">
            <w:pPr>
              <w:jc w:val="both"/>
              <w:rPr>
                <w:rFonts w:ascii="Times New Roman" w:hAnsi="Times New Roman" w:cs="Times New Roman"/>
                <w:sz w:val="24"/>
                <w:szCs w:val="24"/>
                <w:shd w:val="clear" w:color="auto" w:fill="FFFFFF"/>
              </w:rPr>
            </w:pPr>
            <w:r w:rsidRPr="008235D0">
              <w:rPr>
                <w:rFonts w:ascii="Times New Roman" w:hAnsi="Times New Roman" w:cs="Times New Roman"/>
                <w:sz w:val="24"/>
                <w:szCs w:val="24"/>
                <w:shd w:val="clear" w:color="auto" w:fill="FFFFFF"/>
              </w:rPr>
              <w:t>Bradicardia que não necessita de colocação de MP</w:t>
            </w:r>
          </w:p>
        </w:tc>
        <w:tc>
          <w:tcPr>
            <w:tcW w:w="1597" w:type="dxa"/>
            <w:tcBorders>
              <w:top w:val="single" w:sz="12" w:space="0" w:color="auto"/>
              <w:left w:val="single" w:sz="12" w:space="0" w:color="auto"/>
              <w:bottom w:val="single" w:sz="12" w:space="0" w:color="auto"/>
              <w:right w:val="single" w:sz="12" w:space="0" w:color="auto"/>
            </w:tcBorders>
            <w:shd w:val="clear" w:color="auto" w:fill="FFFF00"/>
          </w:tcPr>
          <w:p w14:paraId="79763891"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23" w:type="dxa"/>
            <w:tcBorders>
              <w:top w:val="single" w:sz="12" w:space="0" w:color="auto"/>
              <w:left w:val="single" w:sz="12" w:space="0" w:color="auto"/>
              <w:bottom w:val="single" w:sz="12" w:space="0" w:color="auto"/>
              <w:right w:val="single" w:sz="12" w:space="0" w:color="auto"/>
            </w:tcBorders>
            <w:shd w:val="clear" w:color="auto" w:fill="FFFF00"/>
          </w:tcPr>
          <w:p w14:paraId="476511FB"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595" w:type="dxa"/>
            <w:tcBorders>
              <w:top w:val="single" w:sz="12" w:space="0" w:color="auto"/>
              <w:left w:val="single" w:sz="12" w:space="0" w:color="auto"/>
              <w:bottom w:val="single" w:sz="12" w:space="0" w:color="auto"/>
              <w:right w:val="single" w:sz="12" w:space="0" w:color="auto"/>
            </w:tcBorders>
            <w:shd w:val="clear" w:color="auto" w:fill="92D050"/>
          </w:tcPr>
          <w:p w14:paraId="0B6F950A"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c>
          <w:tcPr>
            <w:tcW w:w="1612" w:type="dxa"/>
            <w:tcBorders>
              <w:top w:val="single" w:sz="12" w:space="0" w:color="auto"/>
              <w:left w:val="single" w:sz="12" w:space="0" w:color="auto"/>
              <w:bottom w:val="single" w:sz="12" w:space="0" w:color="auto"/>
              <w:right w:val="single" w:sz="12" w:space="0" w:color="auto"/>
            </w:tcBorders>
            <w:shd w:val="clear" w:color="auto" w:fill="92D050"/>
          </w:tcPr>
          <w:p w14:paraId="52B565B7" w14:textId="77777777" w:rsidR="008235D0" w:rsidRPr="00441500" w:rsidRDefault="008235D0" w:rsidP="002C6028">
            <w:pPr>
              <w:jc w:val="both"/>
              <w:rPr>
                <w:rFonts w:ascii="Times New Roman" w:hAnsi="Times New Roman" w:cs="Times New Roman"/>
                <w:color w:val="414141"/>
                <w:sz w:val="24"/>
                <w:szCs w:val="24"/>
                <w:shd w:val="clear" w:color="auto" w:fill="FFFFFF"/>
              </w:rPr>
            </w:pPr>
          </w:p>
        </w:tc>
      </w:tr>
    </w:tbl>
    <w:p w14:paraId="3A7A5A9B" w14:textId="625AF145" w:rsidR="00BD2A8C" w:rsidRPr="008235D0" w:rsidRDefault="00BD2A8C" w:rsidP="008C5CC8">
      <w:pPr>
        <w:shd w:val="clear" w:color="auto" w:fill="FFFFFF"/>
        <w:spacing w:before="240" w:after="240" w:line="360" w:lineRule="auto"/>
        <w:jc w:val="both"/>
        <w:rPr>
          <w:rFonts w:ascii="Times New Roman" w:eastAsia="Times New Roman" w:hAnsi="Times New Roman" w:cs="Times New Roman"/>
          <w:sz w:val="24"/>
          <w:szCs w:val="24"/>
          <w:highlight w:val="white"/>
        </w:rPr>
      </w:pPr>
      <w:r w:rsidRPr="008235D0">
        <w:rPr>
          <w:rFonts w:ascii="Times New Roman" w:eastAsia="Times New Roman" w:hAnsi="Times New Roman" w:cs="Times New Roman"/>
          <w:sz w:val="24"/>
          <w:szCs w:val="24"/>
          <w:highlight w:val="white"/>
        </w:rPr>
        <w:t>*</w:t>
      </w:r>
      <w:r w:rsidR="00282FF0" w:rsidRPr="008235D0">
        <w:rPr>
          <w:rFonts w:ascii="Times New Roman" w:eastAsia="Times New Roman" w:hAnsi="Times New Roman" w:cs="Times New Roman"/>
          <w:sz w:val="24"/>
          <w:szCs w:val="24"/>
          <w:highlight w:val="white"/>
        </w:rPr>
        <w:t xml:space="preserve">FC = frequência cardíaca; </w:t>
      </w:r>
      <w:r w:rsidRPr="008235D0">
        <w:rPr>
          <w:rFonts w:ascii="Times New Roman" w:eastAsia="Times New Roman" w:hAnsi="Times New Roman" w:cs="Times New Roman"/>
          <w:sz w:val="24"/>
          <w:szCs w:val="24"/>
          <w:highlight w:val="white"/>
        </w:rPr>
        <w:t>**</w:t>
      </w:r>
      <w:proofErr w:type="spellStart"/>
      <w:r w:rsidR="00282FF0" w:rsidRPr="008235D0">
        <w:rPr>
          <w:rFonts w:ascii="Times New Roman" w:eastAsia="Times New Roman" w:hAnsi="Times New Roman" w:cs="Times New Roman"/>
          <w:sz w:val="24"/>
          <w:szCs w:val="24"/>
          <w:highlight w:val="white"/>
        </w:rPr>
        <w:t>bpm</w:t>
      </w:r>
      <w:proofErr w:type="spellEnd"/>
      <w:r w:rsidR="00282FF0" w:rsidRPr="008235D0">
        <w:rPr>
          <w:rFonts w:ascii="Times New Roman" w:eastAsia="Times New Roman" w:hAnsi="Times New Roman" w:cs="Times New Roman"/>
          <w:sz w:val="24"/>
          <w:szCs w:val="24"/>
          <w:highlight w:val="white"/>
        </w:rPr>
        <w:t xml:space="preserve"> = batimentos por minuto</w:t>
      </w:r>
      <w:r w:rsidRPr="008235D0">
        <w:rPr>
          <w:rFonts w:ascii="Times New Roman" w:eastAsia="Times New Roman" w:hAnsi="Times New Roman" w:cs="Times New Roman"/>
          <w:sz w:val="24"/>
          <w:szCs w:val="24"/>
          <w:highlight w:val="white"/>
        </w:rPr>
        <w:t>; ***MP = marcapasso</w:t>
      </w:r>
    </w:p>
    <w:p w14:paraId="710F727C" w14:textId="058FF68E" w:rsidR="00BD2A8C" w:rsidRDefault="00BD2A8C" w:rsidP="00BD2A8C">
      <w:pPr>
        <w:shd w:val="clear" w:color="auto" w:fill="FFFFFF"/>
        <w:spacing w:after="0" w:line="240" w:lineRule="auto"/>
        <w:jc w:val="both"/>
        <w:rPr>
          <w:rFonts w:ascii="Times New Roman" w:eastAsia="Times New Roman" w:hAnsi="Times New Roman" w:cs="Times New Roman"/>
          <w:sz w:val="24"/>
          <w:szCs w:val="24"/>
        </w:rPr>
      </w:pPr>
      <w:r w:rsidRPr="00E321F8">
        <w:rPr>
          <w:rFonts w:ascii="Times New Roman" w:eastAsia="Times New Roman" w:hAnsi="Times New Roman" w:cs="Times New Roman"/>
          <w:b/>
          <w:color w:val="000000" w:themeColor="text1"/>
          <w:sz w:val="24"/>
          <w:szCs w:val="24"/>
          <w:highlight w:val="white"/>
        </w:rPr>
        <w:t>Figura 6 –</w:t>
      </w:r>
      <w:r w:rsidRPr="009F0645">
        <w:rPr>
          <w:rFonts w:ascii="Times New Roman" w:eastAsia="Times New Roman" w:hAnsi="Times New Roman" w:cs="Times New Roman"/>
          <w:color w:val="000000" w:themeColor="text1"/>
          <w:sz w:val="24"/>
          <w:szCs w:val="24"/>
          <w:highlight w:val="white"/>
        </w:rPr>
        <w:t xml:space="preserve"> </w:t>
      </w:r>
      <w:r w:rsidRPr="009E10F6">
        <w:rPr>
          <w:rFonts w:ascii="Times New Roman" w:eastAsia="Times New Roman" w:hAnsi="Times New Roman" w:cs="Times New Roman"/>
          <w:sz w:val="24"/>
          <w:szCs w:val="24"/>
        </w:rPr>
        <w:t>Considerações neurológicas anteriores ao desempenho das intervenções terapêuticas ocupacionais</w:t>
      </w:r>
      <w:r>
        <w:rPr>
          <w:rFonts w:ascii="Times New Roman" w:eastAsia="Times New Roman" w:hAnsi="Times New Roman" w:cs="Times New Roman"/>
          <w:sz w:val="24"/>
          <w:szCs w:val="24"/>
        </w:rPr>
        <w:t>.</w:t>
      </w:r>
    </w:p>
    <w:tbl>
      <w:tblPr>
        <w:tblStyle w:val="Tabelacomgrade"/>
        <w:tblW w:w="0" w:type="auto"/>
        <w:tblLook w:val="04A0" w:firstRow="1" w:lastRow="0" w:firstColumn="1" w:lastColumn="0" w:noHBand="0" w:noVBand="1"/>
      </w:tblPr>
      <w:tblGrid>
        <w:gridCol w:w="2310"/>
        <w:gridCol w:w="1679"/>
        <w:gridCol w:w="1666"/>
        <w:gridCol w:w="1679"/>
        <w:gridCol w:w="1683"/>
      </w:tblGrid>
      <w:tr w:rsidR="008235D0" w:rsidRPr="00441500" w14:paraId="2A89F002" w14:textId="77777777" w:rsidTr="002C6028">
        <w:tc>
          <w:tcPr>
            <w:tcW w:w="1787" w:type="dxa"/>
          </w:tcPr>
          <w:p w14:paraId="326C4B31" w14:textId="77777777" w:rsidR="008235D0" w:rsidRPr="00441500" w:rsidRDefault="008235D0" w:rsidP="002C6028">
            <w:pPr>
              <w:spacing w:line="360" w:lineRule="auto"/>
              <w:jc w:val="center"/>
              <w:rPr>
                <w:rFonts w:ascii="Times New Roman" w:hAnsi="Times New Roman" w:cs="Times New Roman"/>
                <w:b/>
                <w:sz w:val="24"/>
                <w:szCs w:val="24"/>
              </w:rPr>
            </w:pPr>
            <w:r w:rsidRPr="00441500">
              <w:rPr>
                <w:rFonts w:ascii="Times New Roman" w:hAnsi="Times New Roman" w:cs="Times New Roman"/>
                <w:b/>
                <w:sz w:val="24"/>
                <w:szCs w:val="24"/>
              </w:rPr>
              <w:t>CONSIDERAÇÕES NEUROLÓGICAS</w:t>
            </w:r>
          </w:p>
        </w:tc>
        <w:tc>
          <w:tcPr>
            <w:tcW w:w="1679" w:type="dxa"/>
            <w:tcBorders>
              <w:bottom w:val="single" w:sz="12" w:space="0" w:color="auto"/>
            </w:tcBorders>
          </w:tcPr>
          <w:p w14:paraId="7F8D6D57"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Mobilização Precoce</w:t>
            </w:r>
          </w:p>
        </w:tc>
        <w:tc>
          <w:tcPr>
            <w:tcW w:w="1666" w:type="dxa"/>
            <w:tcBorders>
              <w:bottom w:val="single" w:sz="12" w:space="0" w:color="auto"/>
            </w:tcBorders>
            <w:vAlign w:val="center"/>
          </w:tcPr>
          <w:p w14:paraId="6FA89AF0"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Treino de AVD</w:t>
            </w:r>
          </w:p>
        </w:tc>
        <w:tc>
          <w:tcPr>
            <w:tcW w:w="1679" w:type="dxa"/>
            <w:tcBorders>
              <w:bottom w:val="single" w:sz="12" w:space="0" w:color="auto"/>
            </w:tcBorders>
          </w:tcPr>
          <w:p w14:paraId="324CDE9A"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Estimulação Cognitiva</w:t>
            </w:r>
          </w:p>
        </w:tc>
        <w:tc>
          <w:tcPr>
            <w:tcW w:w="1683" w:type="dxa"/>
            <w:tcBorders>
              <w:bottom w:val="single" w:sz="12" w:space="0" w:color="auto"/>
            </w:tcBorders>
          </w:tcPr>
          <w:p w14:paraId="4A0485B3" w14:textId="77777777" w:rsidR="008235D0" w:rsidRPr="00441500" w:rsidRDefault="008235D0" w:rsidP="002C6028">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Comunicação Alternativa</w:t>
            </w:r>
          </w:p>
        </w:tc>
      </w:tr>
      <w:tr w:rsidR="008235D0" w:rsidRPr="00441500" w14:paraId="4BE8565A" w14:textId="77777777" w:rsidTr="002C6028">
        <w:tc>
          <w:tcPr>
            <w:tcW w:w="1787" w:type="dxa"/>
            <w:tcBorders>
              <w:right w:val="single" w:sz="12" w:space="0" w:color="auto"/>
            </w:tcBorders>
          </w:tcPr>
          <w:p w14:paraId="08C93740" w14:textId="77777777"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Paciente sonolento, calmo e em repouso</w:t>
            </w: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2A594068"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92D050"/>
          </w:tcPr>
          <w:p w14:paraId="3D08AB6D"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10A53FAE"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2E88A9D7" w14:textId="77777777" w:rsidR="008235D0" w:rsidRPr="00441500" w:rsidRDefault="008235D0" w:rsidP="008235D0">
            <w:pPr>
              <w:jc w:val="both"/>
              <w:rPr>
                <w:rFonts w:ascii="Times New Roman" w:hAnsi="Times New Roman" w:cs="Times New Roman"/>
                <w:sz w:val="24"/>
                <w:szCs w:val="24"/>
              </w:rPr>
            </w:pPr>
          </w:p>
        </w:tc>
      </w:tr>
      <w:tr w:rsidR="008235D0" w:rsidRPr="00441500" w14:paraId="75A2C2B0" w14:textId="77777777" w:rsidTr="002C6028">
        <w:tc>
          <w:tcPr>
            <w:tcW w:w="1787" w:type="dxa"/>
            <w:tcBorders>
              <w:right w:val="single" w:sz="12" w:space="0" w:color="auto"/>
            </w:tcBorders>
          </w:tcPr>
          <w:p w14:paraId="2B458BD8" w14:textId="77777777" w:rsidR="008235D0" w:rsidRPr="00441500" w:rsidRDefault="008235D0" w:rsidP="008235D0">
            <w:pPr>
              <w:rPr>
                <w:rFonts w:ascii="Times New Roman" w:hAnsi="Times New Roman" w:cs="Times New Roman"/>
                <w:sz w:val="24"/>
                <w:szCs w:val="24"/>
              </w:rPr>
            </w:pPr>
            <w:r w:rsidRPr="00441500">
              <w:rPr>
                <w:rFonts w:ascii="Times New Roman" w:hAnsi="Times New Roman" w:cs="Times New Roman"/>
                <w:sz w:val="24"/>
                <w:szCs w:val="24"/>
              </w:rPr>
              <w:t>Paciente muito sedado (RASS &lt; -5)</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2612AC72"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0000"/>
          </w:tcPr>
          <w:p w14:paraId="356E5620"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64EAD2C1"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FF0000"/>
          </w:tcPr>
          <w:p w14:paraId="1FA41ABF" w14:textId="77777777" w:rsidR="008235D0" w:rsidRPr="00441500" w:rsidRDefault="008235D0" w:rsidP="008235D0">
            <w:pPr>
              <w:jc w:val="both"/>
              <w:rPr>
                <w:rFonts w:ascii="Times New Roman" w:hAnsi="Times New Roman" w:cs="Times New Roman"/>
                <w:sz w:val="24"/>
                <w:szCs w:val="24"/>
              </w:rPr>
            </w:pPr>
          </w:p>
        </w:tc>
      </w:tr>
      <w:tr w:rsidR="008235D0" w:rsidRPr="00441500" w14:paraId="6264C74A" w14:textId="77777777" w:rsidTr="002C6028">
        <w:tc>
          <w:tcPr>
            <w:tcW w:w="1787" w:type="dxa"/>
            <w:tcBorders>
              <w:right w:val="single" w:sz="12" w:space="0" w:color="auto"/>
            </w:tcBorders>
          </w:tcPr>
          <w:p w14:paraId="0013C7B6" w14:textId="77777777" w:rsidR="008235D0" w:rsidRPr="00441500" w:rsidRDefault="008235D0" w:rsidP="008235D0">
            <w:pPr>
              <w:rPr>
                <w:rFonts w:ascii="Times New Roman" w:hAnsi="Times New Roman" w:cs="Times New Roman"/>
                <w:sz w:val="24"/>
                <w:szCs w:val="24"/>
              </w:rPr>
            </w:pPr>
            <w:r w:rsidRPr="00441500">
              <w:rPr>
                <w:rFonts w:ascii="Times New Roman" w:hAnsi="Times New Roman" w:cs="Times New Roman"/>
                <w:sz w:val="24"/>
                <w:szCs w:val="24"/>
              </w:rPr>
              <w:t>Paciente agitado ou combativo</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11E148A4"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0000"/>
          </w:tcPr>
          <w:p w14:paraId="0AAC85E9"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FFFF00"/>
          </w:tcPr>
          <w:p w14:paraId="179A03F9"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FFFF00"/>
          </w:tcPr>
          <w:p w14:paraId="0A971DF4" w14:textId="77777777" w:rsidR="008235D0" w:rsidRPr="00441500" w:rsidRDefault="008235D0" w:rsidP="008235D0">
            <w:pPr>
              <w:jc w:val="both"/>
              <w:rPr>
                <w:rFonts w:ascii="Times New Roman" w:hAnsi="Times New Roman" w:cs="Times New Roman"/>
                <w:sz w:val="24"/>
                <w:szCs w:val="24"/>
              </w:rPr>
            </w:pPr>
          </w:p>
        </w:tc>
      </w:tr>
      <w:tr w:rsidR="008235D0" w:rsidRPr="00441500" w14:paraId="03B3DE54" w14:textId="77777777" w:rsidTr="002C6028">
        <w:trPr>
          <w:trHeight w:val="841"/>
        </w:trPr>
        <w:tc>
          <w:tcPr>
            <w:tcW w:w="1787" w:type="dxa"/>
            <w:tcBorders>
              <w:right w:val="single" w:sz="12" w:space="0" w:color="auto"/>
            </w:tcBorders>
          </w:tcPr>
          <w:p w14:paraId="4F3E4BA0" w14:textId="77777777"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Paciente com o Glasgow entre 14 e 15</w:t>
            </w: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23E8166A"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92D050"/>
          </w:tcPr>
          <w:p w14:paraId="19B09975"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26FBD2C8"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25D1FBC1" w14:textId="77777777" w:rsidR="008235D0" w:rsidRPr="00441500" w:rsidRDefault="008235D0" w:rsidP="008235D0">
            <w:pPr>
              <w:jc w:val="both"/>
              <w:rPr>
                <w:rFonts w:ascii="Times New Roman" w:hAnsi="Times New Roman" w:cs="Times New Roman"/>
                <w:sz w:val="24"/>
                <w:szCs w:val="24"/>
              </w:rPr>
            </w:pPr>
          </w:p>
        </w:tc>
      </w:tr>
      <w:tr w:rsidR="008235D0" w:rsidRPr="00441500" w14:paraId="3FB8654C" w14:textId="77777777" w:rsidTr="002C6028">
        <w:tc>
          <w:tcPr>
            <w:tcW w:w="1787" w:type="dxa"/>
            <w:tcBorders>
              <w:right w:val="single" w:sz="12" w:space="0" w:color="auto"/>
            </w:tcBorders>
          </w:tcPr>
          <w:p w14:paraId="2664ED5F" w14:textId="77777777" w:rsidR="008235D0" w:rsidRPr="00441500" w:rsidRDefault="008235D0" w:rsidP="008235D0">
            <w:pPr>
              <w:rPr>
                <w:rFonts w:ascii="Times New Roman" w:hAnsi="Times New Roman" w:cs="Times New Roman"/>
                <w:sz w:val="24"/>
                <w:szCs w:val="24"/>
              </w:rPr>
            </w:pPr>
            <w:r w:rsidRPr="00441500">
              <w:rPr>
                <w:rFonts w:ascii="Times New Roman" w:hAnsi="Times New Roman" w:cs="Times New Roman"/>
                <w:sz w:val="24"/>
                <w:szCs w:val="24"/>
              </w:rPr>
              <w:t>Paciente com monitorização da pressão intracraniana</w:t>
            </w:r>
          </w:p>
        </w:tc>
        <w:tc>
          <w:tcPr>
            <w:tcW w:w="1679" w:type="dxa"/>
            <w:tcBorders>
              <w:top w:val="single" w:sz="12" w:space="0" w:color="auto"/>
              <w:left w:val="single" w:sz="12" w:space="0" w:color="auto"/>
              <w:bottom w:val="single" w:sz="12" w:space="0" w:color="auto"/>
              <w:right w:val="single" w:sz="12" w:space="0" w:color="auto"/>
            </w:tcBorders>
            <w:shd w:val="clear" w:color="auto" w:fill="FFFF00"/>
          </w:tcPr>
          <w:p w14:paraId="08F3197A"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FF00"/>
          </w:tcPr>
          <w:p w14:paraId="71250721"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348F6477"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7C0DFD39" w14:textId="77777777" w:rsidR="008235D0" w:rsidRPr="00441500" w:rsidRDefault="008235D0" w:rsidP="008235D0">
            <w:pPr>
              <w:jc w:val="both"/>
              <w:rPr>
                <w:rFonts w:ascii="Times New Roman" w:hAnsi="Times New Roman" w:cs="Times New Roman"/>
                <w:sz w:val="24"/>
                <w:szCs w:val="24"/>
              </w:rPr>
            </w:pPr>
          </w:p>
        </w:tc>
      </w:tr>
      <w:tr w:rsidR="008235D0" w:rsidRPr="00441500" w14:paraId="66424BE1" w14:textId="77777777" w:rsidTr="002C6028">
        <w:tc>
          <w:tcPr>
            <w:tcW w:w="1787" w:type="dxa"/>
            <w:tcBorders>
              <w:right w:val="single" w:sz="12" w:space="0" w:color="auto"/>
            </w:tcBorders>
          </w:tcPr>
          <w:p w14:paraId="2012FC8A" w14:textId="77777777"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Lesão da coluna sem devida fixação</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136EEB24"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0000"/>
          </w:tcPr>
          <w:p w14:paraId="213F6F9D"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FFFF00"/>
          </w:tcPr>
          <w:p w14:paraId="19A9A1F8"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FFFF00"/>
          </w:tcPr>
          <w:p w14:paraId="1BB768F5" w14:textId="77777777" w:rsidR="008235D0" w:rsidRPr="00441500" w:rsidRDefault="008235D0" w:rsidP="008235D0">
            <w:pPr>
              <w:jc w:val="both"/>
              <w:rPr>
                <w:rFonts w:ascii="Times New Roman" w:hAnsi="Times New Roman" w:cs="Times New Roman"/>
                <w:sz w:val="24"/>
                <w:szCs w:val="24"/>
              </w:rPr>
            </w:pPr>
          </w:p>
        </w:tc>
      </w:tr>
      <w:tr w:rsidR="008235D0" w:rsidRPr="00441500" w14:paraId="2BAF5A9F" w14:textId="77777777" w:rsidTr="002C6028">
        <w:tc>
          <w:tcPr>
            <w:tcW w:w="1787" w:type="dxa"/>
            <w:tcBorders>
              <w:right w:val="single" w:sz="12" w:space="0" w:color="auto"/>
            </w:tcBorders>
          </w:tcPr>
          <w:p w14:paraId="1865DE84" w14:textId="77777777"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Tonturas e síncopes não controladas</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17163763"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0000"/>
          </w:tcPr>
          <w:p w14:paraId="4A5784BD"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1A8C3435"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FF0000"/>
          </w:tcPr>
          <w:p w14:paraId="0FBB9E2A" w14:textId="77777777" w:rsidR="008235D0" w:rsidRPr="00441500" w:rsidRDefault="008235D0" w:rsidP="008235D0">
            <w:pPr>
              <w:jc w:val="both"/>
              <w:rPr>
                <w:rFonts w:ascii="Times New Roman" w:hAnsi="Times New Roman" w:cs="Times New Roman"/>
                <w:sz w:val="24"/>
                <w:szCs w:val="24"/>
              </w:rPr>
            </w:pPr>
          </w:p>
        </w:tc>
      </w:tr>
    </w:tbl>
    <w:p w14:paraId="72BBA8D4" w14:textId="5D1B0F7D" w:rsidR="008235D0" w:rsidRDefault="00BD2A8C" w:rsidP="00590655">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2FF0">
        <w:rPr>
          <w:rFonts w:ascii="Times New Roman" w:eastAsia="Times New Roman" w:hAnsi="Times New Roman" w:cs="Times New Roman"/>
          <w:sz w:val="24"/>
          <w:szCs w:val="24"/>
        </w:rPr>
        <w:t>RASS = Escala de Sedação e Agitação de Richmond</w:t>
      </w:r>
    </w:p>
    <w:p w14:paraId="722E19DB" w14:textId="77777777" w:rsidR="002F0F3A" w:rsidRDefault="002F0F3A" w:rsidP="00590655">
      <w:pPr>
        <w:shd w:val="clear" w:color="auto" w:fill="FFFFFF"/>
        <w:spacing w:before="240" w:after="240" w:line="360" w:lineRule="auto"/>
        <w:jc w:val="both"/>
        <w:rPr>
          <w:rFonts w:ascii="Times New Roman" w:eastAsia="Times New Roman" w:hAnsi="Times New Roman" w:cs="Times New Roman"/>
          <w:sz w:val="24"/>
          <w:szCs w:val="24"/>
        </w:rPr>
      </w:pPr>
    </w:p>
    <w:p w14:paraId="1ABEE059" w14:textId="2A1B85EB" w:rsidR="008235D0" w:rsidRDefault="00BD2A8C" w:rsidP="008235D0">
      <w:pPr>
        <w:spacing w:before="240" w:after="240" w:line="240" w:lineRule="auto"/>
        <w:jc w:val="both"/>
        <w:rPr>
          <w:rFonts w:ascii="Times New Roman" w:eastAsia="Times New Roman" w:hAnsi="Times New Roman" w:cs="Times New Roman"/>
          <w:sz w:val="24"/>
          <w:szCs w:val="24"/>
        </w:rPr>
      </w:pPr>
      <w:r w:rsidRPr="00AB0D57">
        <w:rPr>
          <w:rFonts w:ascii="Times New Roman" w:eastAsia="Times New Roman" w:hAnsi="Times New Roman" w:cs="Times New Roman"/>
          <w:b/>
          <w:sz w:val="24"/>
          <w:szCs w:val="24"/>
        </w:rPr>
        <w:lastRenderedPageBreak/>
        <w:t>Figura 7 –</w:t>
      </w:r>
      <w:r>
        <w:rPr>
          <w:rFonts w:ascii="Times New Roman" w:eastAsia="Times New Roman" w:hAnsi="Times New Roman" w:cs="Times New Roman"/>
          <w:sz w:val="24"/>
          <w:szCs w:val="24"/>
        </w:rPr>
        <w:t xml:space="preserve"> </w:t>
      </w:r>
      <w:r w:rsidRPr="009E10F6">
        <w:rPr>
          <w:rFonts w:ascii="Times New Roman" w:eastAsia="Times New Roman" w:hAnsi="Times New Roman" w:cs="Times New Roman"/>
          <w:sz w:val="24"/>
          <w:szCs w:val="24"/>
        </w:rPr>
        <w:t>Considerações clínicas anteriores ao desempenho das intervenções terapêuticas ocupacionais</w:t>
      </w:r>
      <w:r w:rsidR="008235D0">
        <w:rPr>
          <w:rFonts w:ascii="Times New Roman" w:eastAsia="Times New Roman" w:hAnsi="Times New Roman" w:cs="Times New Roman"/>
          <w:sz w:val="24"/>
          <w:szCs w:val="24"/>
        </w:rPr>
        <w:t>.</w:t>
      </w:r>
    </w:p>
    <w:tbl>
      <w:tblPr>
        <w:tblStyle w:val="Tabelacomgrade"/>
        <w:tblpPr w:leftFromText="141" w:rightFromText="141" w:vertAnchor="text" w:horzAnchor="margin" w:tblpY="2"/>
        <w:tblW w:w="9350" w:type="dxa"/>
        <w:tblLook w:val="04A0" w:firstRow="1" w:lastRow="0" w:firstColumn="1" w:lastColumn="0" w:noHBand="0" w:noVBand="1"/>
      </w:tblPr>
      <w:tblGrid>
        <w:gridCol w:w="2643"/>
        <w:gridCol w:w="1679"/>
        <w:gridCol w:w="1666"/>
        <w:gridCol w:w="1679"/>
        <w:gridCol w:w="1683"/>
      </w:tblGrid>
      <w:tr w:rsidR="008235D0" w:rsidRPr="00441500" w14:paraId="4A52DA26" w14:textId="77777777" w:rsidTr="008235D0">
        <w:tc>
          <w:tcPr>
            <w:tcW w:w="2643" w:type="dxa"/>
          </w:tcPr>
          <w:p w14:paraId="302548DD" w14:textId="7BE0EFB9" w:rsidR="008235D0" w:rsidRPr="00441500" w:rsidRDefault="008235D0" w:rsidP="008235D0">
            <w:pPr>
              <w:spacing w:line="360" w:lineRule="auto"/>
              <w:jc w:val="center"/>
              <w:rPr>
                <w:rFonts w:ascii="Times New Roman" w:hAnsi="Times New Roman" w:cs="Times New Roman"/>
                <w:b/>
                <w:sz w:val="24"/>
                <w:szCs w:val="24"/>
              </w:rPr>
            </w:pPr>
            <w:r w:rsidRPr="00441500">
              <w:rPr>
                <w:rFonts w:ascii="Times New Roman" w:hAnsi="Times New Roman" w:cs="Times New Roman"/>
                <w:b/>
                <w:sz w:val="24"/>
                <w:szCs w:val="24"/>
              </w:rPr>
              <w:t xml:space="preserve">CONSIDERAÇÕES </w:t>
            </w:r>
            <w:r>
              <w:rPr>
                <w:rFonts w:ascii="Times New Roman" w:hAnsi="Times New Roman" w:cs="Times New Roman"/>
                <w:b/>
                <w:sz w:val="24"/>
                <w:szCs w:val="24"/>
              </w:rPr>
              <w:t>CLÍNICAS</w:t>
            </w:r>
          </w:p>
        </w:tc>
        <w:tc>
          <w:tcPr>
            <w:tcW w:w="1679" w:type="dxa"/>
            <w:tcBorders>
              <w:bottom w:val="single" w:sz="12" w:space="0" w:color="auto"/>
            </w:tcBorders>
          </w:tcPr>
          <w:p w14:paraId="21691496" w14:textId="77777777" w:rsidR="008235D0" w:rsidRPr="00441500" w:rsidRDefault="008235D0" w:rsidP="008235D0">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Mobilização Precoce</w:t>
            </w:r>
          </w:p>
        </w:tc>
        <w:tc>
          <w:tcPr>
            <w:tcW w:w="1666" w:type="dxa"/>
            <w:tcBorders>
              <w:bottom w:val="single" w:sz="12" w:space="0" w:color="auto"/>
            </w:tcBorders>
            <w:vAlign w:val="center"/>
          </w:tcPr>
          <w:p w14:paraId="57479136" w14:textId="77777777" w:rsidR="008235D0" w:rsidRPr="00441500" w:rsidRDefault="008235D0" w:rsidP="008235D0">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Treino de AVD</w:t>
            </w:r>
          </w:p>
        </w:tc>
        <w:tc>
          <w:tcPr>
            <w:tcW w:w="1679" w:type="dxa"/>
            <w:tcBorders>
              <w:bottom w:val="single" w:sz="12" w:space="0" w:color="auto"/>
            </w:tcBorders>
          </w:tcPr>
          <w:p w14:paraId="6F9AB2D6" w14:textId="77777777" w:rsidR="008235D0" w:rsidRPr="00441500" w:rsidRDefault="008235D0" w:rsidP="008235D0">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Estimulação Cognitiva</w:t>
            </w:r>
          </w:p>
        </w:tc>
        <w:tc>
          <w:tcPr>
            <w:tcW w:w="1683" w:type="dxa"/>
            <w:tcBorders>
              <w:bottom w:val="single" w:sz="12" w:space="0" w:color="auto"/>
            </w:tcBorders>
          </w:tcPr>
          <w:p w14:paraId="1CCB9D00" w14:textId="77777777" w:rsidR="008235D0" w:rsidRPr="00441500" w:rsidRDefault="008235D0" w:rsidP="008235D0">
            <w:pPr>
              <w:spacing w:line="360" w:lineRule="auto"/>
              <w:jc w:val="center"/>
              <w:rPr>
                <w:rFonts w:ascii="Times New Roman" w:hAnsi="Times New Roman" w:cs="Times New Roman"/>
                <w:sz w:val="24"/>
                <w:szCs w:val="24"/>
              </w:rPr>
            </w:pPr>
            <w:r w:rsidRPr="00441500">
              <w:rPr>
                <w:rFonts w:ascii="Times New Roman" w:hAnsi="Times New Roman" w:cs="Times New Roman"/>
                <w:sz w:val="24"/>
                <w:szCs w:val="24"/>
              </w:rPr>
              <w:t>Comunicação Alternativa</w:t>
            </w:r>
          </w:p>
        </w:tc>
      </w:tr>
      <w:tr w:rsidR="008235D0" w:rsidRPr="00441500" w14:paraId="2E85CD53" w14:textId="77777777" w:rsidTr="008235D0">
        <w:tc>
          <w:tcPr>
            <w:tcW w:w="2643" w:type="dxa"/>
            <w:tcBorders>
              <w:right w:val="single" w:sz="12" w:space="0" w:color="auto"/>
            </w:tcBorders>
          </w:tcPr>
          <w:p w14:paraId="6787B2C7" w14:textId="77777777"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Fratura instável de pelve, ossos longos do membro inferior e coluna</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5BE2675D"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FF00"/>
          </w:tcPr>
          <w:p w14:paraId="17A44A48"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14C26A6D"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017988E8" w14:textId="77777777" w:rsidR="008235D0" w:rsidRPr="00441500" w:rsidRDefault="008235D0" w:rsidP="008235D0">
            <w:pPr>
              <w:jc w:val="both"/>
              <w:rPr>
                <w:rFonts w:ascii="Times New Roman" w:hAnsi="Times New Roman" w:cs="Times New Roman"/>
                <w:sz w:val="24"/>
                <w:szCs w:val="24"/>
              </w:rPr>
            </w:pPr>
          </w:p>
        </w:tc>
      </w:tr>
      <w:tr w:rsidR="008235D0" w:rsidRPr="00441500" w14:paraId="2630FB38" w14:textId="77777777" w:rsidTr="008235D0">
        <w:tc>
          <w:tcPr>
            <w:tcW w:w="2643" w:type="dxa"/>
            <w:tcBorders>
              <w:right w:val="single" w:sz="12" w:space="0" w:color="auto"/>
            </w:tcBorders>
          </w:tcPr>
          <w:p w14:paraId="5E22C6F6" w14:textId="77777777" w:rsidR="008235D0" w:rsidRPr="00441500" w:rsidRDefault="008235D0" w:rsidP="008235D0">
            <w:pPr>
              <w:rPr>
                <w:rFonts w:ascii="Times New Roman" w:hAnsi="Times New Roman" w:cs="Times New Roman"/>
                <w:sz w:val="24"/>
                <w:szCs w:val="24"/>
              </w:rPr>
            </w:pPr>
            <w:r w:rsidRPr="00441500">
              <w:rPr>
                <w:rFonts w:ascii="Times New Roman" w:hAnsi="Times New Roman" w:cs="Times New Roman"/>
                <w:sz w:val="24"/>
                <w:szCs w:val="24"/>
              </w:rPr>
              <w:t>Grande ferida cirúrgica aberta</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7737C097"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FF00"/>
          </w:tcPr>
          <w:p w14:paraId="30E454B2"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4292039C"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76A1546E" w14:textId="77777777" w:rsidR="008235D0" w:rsidRPr="00441500" w:rsidRDefault="008235D0" w:rsidP="008235D0">
            <w:pPr>
              <w:jc w:val="both"/>
              <w:rPr>
                <w:rFonts w:ascii="Times New Roman" w:hAnsi="Times New Roman" w:cs="Times New Roman"/>
                <w:sz w:val="24"/>
                <w:szCs w:val="24"/>
              </w:rPr>
            </w:pPr>
          </w:p>
        </w:tc>
      </w:tr>
      <w:tr w:rsidR="008235D0" w:rsidRPr="00441500" w14:paraId="550F0158" w14:textId="77777777" w:rsidTr="008235D0">
        <w:tc>
          <w:tcPr>
            <w:tcW w:w="2643" w:type="dxa"/>
            <w:tcBorders>
              <w:right w:val="single" w:sz="12" w:space="0" w:color="auto"/>
            </w:tcBorders>
          </w:tcPr>
          <w:p w14:paraId="4022658A" w14:textId="77777777"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Paciente febril</w:t>
            </w:r>
          </w:p>
        </w:tc>
        <w:tc>
          <w:tcPr>
            <w:tcW w:w="1679" w:type="dxa"/>
            <w:tcBorders>
              <w:top w:val="single" w:sz="12" w:space="0" w:color="auto"/>
              <w:left w:val="single" w:sz="12" w:space="0" w:color="auto"/>
              <w:bottom w:val="single" w:sz="12" w:space="0" w:color="auto"/>
              <w:right w:val="single" w:sz="12" w:space="0" w:color="auto"/>
            </w:tcBorders>
            <w:shd w:val="clear" w:color="auto" w:fill="FF0000"/>
          </w:tcPr>
          <w:p w14:paraId="029E42F1" w14:textId="77777777" w:rsidR="008235D0" w:rsidRPr="00441500" w:rsidRDefault="008235D0" w:rsidP="008235D0">
            <w:pPr>
              <w:jc w:val="both"/>
              <w:rPr>
                <w:rFonts w:ascii="Times New Roman" w:hAnsi="Times New Roman" w:cs="Times New Roman"/>
                <w:color w:val="FF0000"/>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FFFF00"/>
          </w:tcPr>
          <w:p w14:paraId="0C7AC8EF"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5D7B20D6"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57A7A26D" w14:textId="77777777" w:rsidR="008235D0" w:rsidRPr="00441500" w:rsidRDefault="008235D0" w:rsidP="008235D0">
            <w:pPr>
              <w:jc w:val="both"/>
              <w:rPr>
                <w:rFonts w:ascii="Times New Roman" w:hAnsi="Times New Roman" w:cs="Times New Roman"/>
                <w:sz w:val="24"/>
                <w:szCs w:val="24"/>
              </w:rPr>
            </w:pPr>
          </w:p>
        </w:tc>
      </w:tr>
      <w:tr w:rsidR="008235D0" w:rsidRPr="00441500" w14:paraId="6C64E380" w14:textId="77777777" w:rsidTr="008235D0">
        <w:tc>
          <w:tcPr>
            <w:tcW w:w="2643" w:type="dxa"/>
            <w:tcBorders>
              <w:right w:val="single" w:sz="12" w:space="0" w:color="auto"/>
            </w:tcBorders>
          </w:tcPr>
          <w:p w14:paraId="3BB36D54" w14:textId="77777777" w:rsidR="008235D0" w:rsidRPr="00441500" w:rsidRDefault="008235D0" w:rsidP="008235D0">
            <w:pPr>
              <w:rPr>
                <w:rFonts w:ascii="Times New Roman" w:hAnsi="Times New Roman" w:cs="Times New Roman"/>
                <w:sz w:val="24"/>
                <w:szCs w:val="24"/>
              </w:rPr>
            </w:pPr>
            <w:r w:rsidRPr="00441500">
              <w:rPr>
                <w:rFonts w:ascii="Times New Roman" w:hAnsi="Times New Roman" w:cs="Times New Roman"/>
                <w:sz w:val="24"/>
                <w:szCs w:val="24"/>
              </w:rPr>
              <w:t>Fraqueza muscular adquirida na UTI</w:t>
            </w: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6D75F99E"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92D050"/>
          </w:tcPr>
          <w:p w14:paraId="61F614E3"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388C3749"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7631B7CB" w14:textId="77777777" w:rsidR="008235D0" w:rsidRPr="00441500" w:rsidRDefault="008235D0" w:rsidP="008235D0">
            <w:pPr>
              <w:jc w:val="both"/>
              <w:rPr>
                <w:rFonts w:ascii="Times New Roman" w:hAnsi="Times New Roman" w:cs="Times New Roman"/>
                <w:sz w:val="24"/>
                <w:szCs w:val="24"/>
              </w:rPr>
            </w:pPr>
          </w:p>
        </w:tc>
      </w:tr>
      <w:tr w:rsidR="008235D0" w:rsidRPr="00441500" w14:paraId="122AE95A" w14:textId="77777777" w:rsidTr="008235D0">
        <w:tc>
          <w:tcPr>
            <w:tcW w:w="2643" w:type="dxa"/>
            <w:tcBorders>
              <w:right w:val="single" w:sz="12" w:space="0" w:color="auto"/>
            </w:tcBorders>
          </w:tcPr>
          <w:p w14:paraId="75788FF8" w14:textId="41D93D5C" w:rsidR="008235D0" w:rsidRPr="00441500" w:rsidRDefault="008235D0" w:rsidP="008235D0">
            <w:pPr>
              <w:jc w:val="both"/>
              <w:rPr>
                <w:rFonts w:ascii="Times New Roman" w:hAnsi="Times New Roman" w:cs="Times New Roman"/>
                <w:sz w:val="24"/>
                <w:szCs w:val="24"/>
              </w:rPr>
            </w:pPr>
            <w:r w:rsidRPr="00441500">
              <w:rPr>
                <w:rFonts w:ascii="Times New Roman" w:hAnsi="Times New Roman" w:cs="Times New Roman"/>
                <w:sz w:val="24"/>
                <w:szCs w:val="24"/>
              </w:rPr>
              <w:t>Outros tipos de drenos e cateteres (dreno torácico, sonda nasoenteral ou gástrica, e sonda vesical</w:t>
            </w:r>
            <w:r w:rsidR="00966BEA">
              <w:rPr>
                <w:rFonts w:ascii="Times New Roman" w:hAnsi="Times New Roman" w:cs="Times New Roman"/>
                <w:sz w:val="24"/>
                <w:szCs w:val="24"/>
              </w:rPr>
              <w:t>)</w:t>
            </w:r>
            <w:r w:rsidRPr="00441500">
              <w:rPr>
                <w:rFonts w:ascii="Times New Roman" w:hAnsi="Times New Roman" w:cs="Times New Roman"/>
                <w:sz w:val="24"/>
                <w:szCs w:val="24"/>
              </w:rPr>
              <w:t>.</w:t>
            </w:r>
            <w:r w:rsidR="00966BEA">
              <w:rPr>
                <w:rFonts w:ascii="Times New Roman" w:hAnsi="Times New Roman" w:cs="Times New Roman"/>
                <w:sz w:val="24"/>
                <w:szCs w:val="24"/>
              </w:rPr>
              <w:t xml:space="preserve"> </w:t>
            </w:r>
            <w:r w:rsidR="00966BEA">
              <w:rPr>
                <w:rFonts w:ascii="Times New Roman" w:eastAsia="Times New Roman" w:hAnsi="Times New Roman" w:cs="Times New Roman"/>
                <w:sz w:val="24"/>
                <w:szCs w:val="24"/>
              </w:rPr>
              <w:t xml:space="preserve"> Cuidado para evitar </w:t>
            </w:r>
            <w:r w:rsidR="00966BEA" w:rsidRPr="008C5CC8">
              <w:rPr>
                <w:rFonts w:ascii="Times New Roman" w:eastAsia="Times New Roman" w:hAnsi="Times New Roman" w:cs="Times New Roman"/>
                <w:sz w:val="24"/>
                <w:szCs w:val="24"/>
              </w:rPr>
              <w:t>trações e deslocamentos</w:t>
            </w:r>
            <w:r w:rsidR="00966BEA">
              <w:rPr>
                <w:rFonts w:ascii="Times New Roman" w:eastAsia="Times New Roman" w:hAnsi="Times New Roman" w:cs="Times New Roman"/>
                <w:sz w:val="24"/>
                <w:szCs w:val="24"/>
              </w:rPr>
              <w:t xml:space="preserve"> </w:t>
            </w:r>
            <w:r w:rsidR="00966BEA" w:rsidRPr="008C5CC8">
              <w:rPr>
                <w:rFonts w:ascii="Times New Roman" w:eastAsia="Times New Roman" w:hAnsi="Times New Roman" w:cs="Times New Roman"/>
                <w:sz w:val="24"/>
                <w:szCs w:val="24"/>
              </w:rPr>
              <w:t>acidentais.</w:t>
            </w: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2D3821A5" w14:textId="77777777" w:rsidR="008235D0" w:rsidRPr="00441500" w:rsidRDefault="008235D0" w:rsidP="008235D0">
            <w:pPr>
              <w:jc w:val="both"/>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shd w:val="clear" w:color="auto" w:fill="92D050"/>
          </w:tcPr>
          <w:p w14:paraId="5D6F76DB" w14:textId="77777777" w:rsidR="008235D0" w:rsidRPr="00441500" w:rsidRDefault="008235D0" w:rsidP="008235D0">
            <w:pPr>
              <w:jc w:val="both"/>
              <w:rPr>
                <w:rFonts w:ascii="Times New Roman" w:hAnsi="Times New Roman" w:cs="Times New Roman"/>
                <w:sz w:val="24"/>
                <w:szCs w:val="24"/>
              </w:rPr>
            </w:pPr>
          </w:p>
        </w:tc>
        <w:tc>
          <w:tcPr>
            <w:tcW w:w="1679" w:type="dxa"/>
            <w:tcBorders>
              <w:top w:val="single" w:sz="12" w:space="0" w:color="auto"/>
              <w:left w:val="single" w:sz="12" w:space="0" w:color="auto"/>
              <w:bottom w:val="single" w:sz="12" w:space="0" w:color="auto"/>
              <w:right w:val="single" w:sz="12" w:space="0" w:color="auto"/>
            </w:tcBorders>
            <w:shd w:val="clear" w:color="auto" w:fill="92D050"/>
          </w:tcPr>
          <w:p w14:paraId="182F8714" w14:textId="77777777" w:rsidR="008235D0" w:rsidRPr="00441500" w:rsidRDefault="008235D0" w:rsidP="008235D0">
            <w:pPr>
              <w:jc w:val="both"/>
              <w:rPr>
                <w:rFonts w:ascii="Times New Roman" w:hAnsi="Times New Roman" w:cs="Times New Roman"/>
                <w:sz w:val="24"/>
                <w:szCs w:val="24"/>
              </w:rPr>
            </w:pPr>
          </w:p>
        </w:tc>
        <w:tc>
          <w:tcPr>
            <w:tcW w:w="1683" w:type="dxa"/>
            <w:tcBorders>
              <w:top w:val="single" w:sz="12" w:space="0" w:color="auto"/>
              <w:left w:val="single" w:sz="12" w:space="0" w:color="auto"/>
              <w:bottom w:val="single" w:sz="12" w:space="0" w:color="auto"/>
              <w:right w:val="single" w:sz="12" w:space="0" w:color="auto"/>
            </w:tcBorders>
            <w:shd w:val="clear" w:color="auto" w:fill="92D050"/>
          </w:tcPr>
          <w:p w14:paraId="725DC3BC" w14:textId="77777777" w:rsidR="008235D0" w:rsidRPr="00441500" w:rsidRDefault="008235D0" w:rsidP="008235D0">
            <w:pPr>
              <w:jc w:val="both"/>
              <w:rPr>
                <w:rFonts w:ascii="Times New Roman" w:hAnsi="Times New Roman" w:cs="Times New Roman"/>
                <w:sz w:val="24"/>
                <w:szCs w:val="24"/>
              </w:rPr>
            </w:pPr>
          </w:p>
        </w:tc>
      </w:tr>
    </w:tbl>
    <w:p w14:paraId="2C9C89C6" w14:textId="2C820BA2" w:rsidR="00D1107B" w:rsidRDefault="00D1107B" w:rsidP="008235D0">
      <w:pPr>
        <w:spacing w:after="0" w:line="360" w:lineRule="auto"/>
        <w:jc w:val="both"/>
        <w:rPr>
          <w:rFonts w:ascii="Times New Roman" w:eastAsia="Times New Roman" w:hAnsi="Times New Roman" w:cs="Times New Roman"/>
          <w:sz w:val="24"/>
          <w:szCs w:val="24"/>
          <w:highlight w:val="white"/>
        </w:rPr>
      </w:pPr>
    </w:p>
    <w:p w14:paraId="14F47F20" w14:textId="2C877EC1" w:rsidR="00AE7E96" w:rsidRPr="001B07F3" w:rsidRDefault="00BD2A8C" w:rsidP="001B07F3">
      <w:pPr>
        <w:pStyle w:val="NormalWeb"/>
        <w:spacing w:before="0" w:beforeAutospacing="0" w:after="0" w:afterAutospacing="0" w:line="360" w:lineRule="auto"/>
        <w:ind w:firstLine="709"/>
        <w:jc w:val="both"/>
        <w:rPr>
          <w:highlight w:val="white"/>
        </w:rPr>
      </w:pPr>
      <w:r>
        <w:rPr>
          <w:color w:val="000000"/>
        </w:rPr>
        <w:t xml:space="preserve">As intervenções realizadas por meio da mobilização precoce e treino das AVD fazem parte do escopo da Terapia Ocupacional </w:t>
      </w:r>
      <w:r w:rsidR="00D74CC6">
        <w:rPr>
          <w:color w:val="000000"/>
        </w:rPr>
        <w:fldChar w:fldCharType="begin" w:fldLock="1"/>
      </w:r>
      <w:r w:rsidR="00C71CCE">
        <w:rPr>
          <w:color w:val="000000"/>
        </w:rPr>
        <w:instrText>ADDIN CSL_CITATION {"citationItems":[{"id":"ITEM-1","itemData":{"DOI":"10.1097/CCM.0000000000003999","ISSN":"15300293","abstract":"Objectives: Occupational therapists have specialized expertise to enable people to perform meaningful \"occupations\" that support health, well-being, and participation in life roles. Given the physical, cognitive, and psychologic disability experienced by ICU survivors, occupational therapists could play an important role in their recovery. We conducted a scoping review to determine the state of knowledge of interventions delivered by occupational therapists in adult ICU patients. Data Sources: Eight electronic databases from inception to 05/2018. Study Selection: We included reports of adult patients receiving direct patient care from an occupational therapist in the ICU, all study designs, and quantitative and qualitative traditions. Data Extraction: Independently in duplicate, interprofessional team members screened titles, abstracts, and full texts and extracted report and intervention characteristics. From original research articles, we also extracted study design, number of patients, and primary outcomes. We resolved disagreements by consensus. Data Synthesis: Of 50,700 citations, 221 reports met inclusion criteria, 74 (79%) published after 2010, and 125 (56%) appeared in critical care journals. The three most commonly reported types of interventions were mobility (81%), physical rehabilitation (61%), and activities of daily living (31%). We identified 46 unique original research studies of occupational therapy interventions; the most common study research design was before-after studies (33%). Conclusions: The role of occupational therapists in ICU rehabilitation is not currently well established. Current interventions in the ICU are dominated by physical rehabilitation with a growing role in communication and delirium prevention and care. Given the diverse needs of ICU patients and the scope of occupational therapy, there could be an opportunities for occupational therapists to expand their role and spearhead original research investigating an enriched breadth of ICU interventions.","author":[{"dropping-particle":"","family":"Costigan","given":"F. Aileen","non-dropping-particle":"","parse-names":false,"suffix":""},{"dropping-particle":"","family":"Duffett","given":"Mark","non-dropping-particle":"","parse-names":false,"suffix":""},{"dropping-particle":"","family":"Harris","given":"Jocelyn E.","non-dropping-particle":"","parse-names":false,"suffix":""},{"dropping-particle":"","family":"Baptiste","given":"Susan","non-dropping-particle":"","parse-names":false,"suffix":""},{"dropping-particle":"","family":"Kho","given":"Michelle E.","non-dropping-particle":"","parse-names":false,"suffix":""}],"container-title":"Critical Care Medicine","id":"ITEM-1","issue":"12","issued":{"date-parts":[["2019","12","1"]]},"page":"e1014-e1021","publisher":"Lippincott Williams and Wilkins","title":"Occupational Therapy in the ICU: A Scoping Review of 221 Documents","type":"article","volume":"47"},"uris":["http://www.mendeley.com/documents/?uuid=a18817ab-b388-38d8-bb26-3c23ca34d02d"]}],"mendeley":{"formattedCitation":"&lt;sup&gt;15&lt;/sup&gt;","plainTextFormattedCitation":"15","previouslyFormattedCitation":"&lt;sup&gt;15&lt;/sup&gt;"},"properties":{"noteIndex":0},"schema":"https://github.com/citation-style-language/schema/raw/master/csl-citation.json"}</w:instrText>
      </w:r>
      <w:r w:rsidR="00D74CC6">
        <w:rPr>
          <w:color w:val="000000"/>
        </w:rPr>
        <w:fldChar w:fldCharType="separate"/>
      </w:r>
      <w:r w:rsidR="00680888" w:rsidRPr="00680888">
        <w:rPr>
          <w:noProof/>
          <w:color w:val="000000"/>
          <w:vertAlign w:val="superscript"/>
        </w:rPr>
        <w:t>15</w:t>
      </w:r>
      <w:r w:rsidR="00D74CC6">
        <w:rPr>
          <w:color w:val="000000"/>
        </w:rPr>
        <w:fldChar w:fldCharType="end"/>
      </w:r>
      <w:r w:rsidR="00590655">
        <w:rPr>
          <w:color w:val="000000"/>
        </w:rPr>
        <w:t xml:space="preserve">. </w:t>
      </w:r>
      <w:r w:rsidR="00F07992">
        <w:rPr>
          <w:color w:val="000000"/>
        </w:rPr>
        <w:t>E</w:t>
      </w:r>
      <w:r w:rsidR="00D1107B">
        <w:rPr>
          <w:color w:val="000000"/>
        </w:rPr>
        <w:t xml:space="preserve">ssas </w:t>
      </w:r>
      <w:r w:rsidR="00F07992">
        <w:rPr>
          <w:color w:val="000000"/>
        </w:rPr>
        <w:t>intervenções</w:t>
      </w:r>
      <w:r w:rsidR="00D1107B">
        <w:rPr>
          <w:color w:val="000000"/>
        </w:rPr>
        <w:t xml:space="preserve"> contribuem para redução do tempo de internação, melhora</w:t>
      </w:r>
      <w:r w:rsidR="00F07992">
        <w:rPr>
          <w:color w:val="000000"/>
        </w:rPr>
        <w:t xml:space="preserve"> das habilidades de desempenho</w:t>
      </w:r>
      <w:r w:rsidR="001B07F3">
        <w:rPr>
          <w:color w:val="000000"/>
        </w:rPr>
        <w:t xml:space="preserve"> e da funcionalidade</w:t>
      </w:r>
      <w:r w:rsidR="00D1107B">
        <w:rPr>
          <w:color w:val="000000"/>
        </w:rPr>
        <w:t>,</w:t>
      </w:r>
      <w:r w:rsidR="00F07992">
        <w:rPr>
          <w:color w:val="000000"/>
        </w:rPr>
        <w:t xml:space="preserve"> participação em atividades significavas</w:t>
      </w:r>
      <w:r w:rsidR="00D1107B">
        <w:rPr>
          <w:color w:val="000000"/>
        </w:rPr>
        <w:t xml:space="preserve"> e aceleração do processo de retorno às atividades pré-morbidade</w:t>
      </w:r>
      <w:r w:rsidR="00D74CC6">
        <w:rPr>
          <w:color w:val="000000"/>
        </w:rPr>
        <w:t xml:space="preserve"> </w:t>
      </w:r>
      <w:r w:rsidR="00D74CC6">
        <w:rPr>
          <w:color w:val="000000"/>
        </w:rPr>
        <w:fldChar w:fldCharType="begin" w:fldLock="1"/>
      </w:r>
      <w:r w:rsidR="00C71CCE">
        <w:rPr>
          <w:color w:val="000000"/>
        </w:rPr>
        <w:instrText>ADDIN CSL_CITATION {"citationItems":[{"id":"ITEM-1","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Projects","id":"ITEM-1","issued":{"date-parts":[["2017","5","1"]]},"publisher":"Dominican University of California","publisher-place":"San Rafael, California","title":"Occupational Therapy in the Intensive Care Unit","type":"thesis"},"uris":["http://www.mendeley.com/documents/?uuid=8769eb1c-50e7-3aa5-9f45-d58aca3df250"]},{"id":"ITEM-2","itemData":{"DOI":"10.1080/07380577.2017.1340690","ISSN":"15413098","abstract":"This paper is a synthesis of the available literature on occupational therapy interventions performed in the adult intensive care unit (ICU). The databases of Ovid MEDLINE, Embase, the Cochrane Library, ClinicalTrials.gov and CINAHL databases were systematically searched from inception through August 2016 for studies of adults who received occupational therapy interventions in the ICU. Of 1,938 citations reviewed, 10 studies met inclusion criteria. Only one study explicitly discussed occupational therapy interventions performed and only one study specifically tested the efficacy of occupational therapy. Future research is needed to clarify the specific interventions and role of occupational therapy in the ICU and the efficacy of these interventions.","author":[{"dropping-particle":"","family":"Weinreich","given":"Mark","non-dropping-particle":"","parse-names":false,"suffix":""},{"dropping-particle":"","family":"Herman","given":"Jennifer","non-dropping-particle":"","parse-names":false,"suffix":""},{"dropping-particle":"","family":"Dickason","given":"Stephanie","non-dropping-particle":"","parse-names":false,"suffix":""},{"dropping-particle":"","family":"Mayo","given":"Helen","non-dropping-particle":"","parse-names":false,"suffix":""}],"container-title":"Occupational Therapy in Health Care","id":"ITEM-2","issue":"3","issued":{"date-parts":[["2017"]]},"page":"205-213","publisher":"Taylor &amp; Francis","title":"Occupational Therapy in the Intensive Care Unit: A Systematic Review","type":"article-journal","volume":"31"},"uris":["http://www.mendeley.com/documents/?uuid=bba0e6e6-262a-4010-ab29-415ddf9c50a1"]},{"id":"ITEM-3","itemData":{"DOI":"10.1097/CCM.0000000000003999","ISSN":"15300293","abstract":"Objectives: Occupational therapists have specialized expertise to enable people to perform meaningful \"occupations\" that support health, well-being, and participation in life roles. Given the physical, cognitive, and psychologic disability experienced by ICU survivors, occupational therapists could play an important role in their recovery. We conducted a scoping review to determine the state of knowledge of interventions delivered by occupational therapists in adult ICU patients. Data Sources: Eight electronic databases from inception to 05/2018. Study Selection: We included reports of adult patients receiving direct patient care from an occupational therapist in the ICU, all study designs, and quantitative and qualitative traditions. Data Extraction: Independently in duplicate, interprofessional team members screened titles, abstracts, and full texts and extracted report and intervention characteristics. From original research articles, we also extracted study design, number of patients, and primary outcomes. We resolved disagreements by consensus. Data Synthesis: Of 50,700 citations, 221 reports met inclusion criteria, 74 (79%) published after 2010, and 125 (56%) appeared in critical care journals. The three most commonly reported types of interventions were mobility (81%), physical rehabilitation (61%), and activities of daily living (31%). We identified 46 unique original research studies of occupational therapy interventions; the most common study research design was before-after studies (33%). Conclusions: The role of occupational therapists in ICU rehabilitation is not currently well established. Current interventions in the ICU are dominated by physical rehabilitation with a growing role in communication and delirium prevention and care. Given the diverse needs of ICU patients and the scope of occupational therapy, there could be an opportunities for occupational therapists to expand their role and spearhead original research investigating an enriched breadth of ICU interventions.","author":[{"dropping-particle":"","family":"Costigan","given":"F. Aileen","non-dropping-particle":"","parse-names":false,"suffix":""},{"dropping-particle":"","family":"Duffett","given":"Mark","non-dropping-particle":"","parse-names":false,"suffix":""},{"dropping-particle":"","family":"Harris","given":"Jocelyn E.","non-dropping-particle":"","parse-names":false,"suffix":""},{"dropping-particle":"","family":"Baptiste","given":"Susan","non-dropping-particle":"","parse-names":false,"suffix":""},{"dropping-particle":"","family":"Kho","given":"Michelle E.","non-dropping-particle":"","parse-names":false,"suffix":""}],"container-title":"Critical Care Medicine","id":"ITEM-3","issue":"12","issued":{"date-parts":[["2019","12","1"]]},"page":"e1014-e1021","publisher":"Lippincott Williams and Wilkins","title":"Occupational Therapy in the ICU: A Scoping Review of 221 Documents","type":"article","volume":"47"},"uris":["http://www.mendeley.com/documents/?uuid=a18817ab-b388-38d8-bb26-3c23ca34d02d"]},{"id":"ITEM-4","itemData":{"DOI":"10.1108/IJOT-04-2019-0005","ISSN":"07918437","abstract":"Purpose: A recent paradigm-shift in patient care advocates for long-term recovery and quality of life in survivors of critical illness. Evidence suggests that occupational therapists in critical care can contribute to recovery in areas such as functional outcomes, length of stay and delirium, although poor role understanding can limit service-utilisation. The purpose of this study is to investigate current and future roles and practices of critical care occupational therapists in the UK. Design/methodology/approach: Occupational therapists with clinical experience in adult critical care were invited to participate in a mixed-methods design using a locally developed online questionnaire and semi-structured interviews, concurrently. Descriptive statistics were generated through SPSS. Qualitative data were analysed using the framework approach. Findings: Twelve occupational therapists participated in the survey element, with five continuing to interview. Occupational therapists described a multifaceted role in critical care where the majority reported practice in upper limb function, seating/positioning, cognition, psychosocial sequelae and discharge planning. Role and internal characteristics impacted on service delivery. It is envisaged that earlier intervention</w:instrText>
      </w:r>
      <w:r w:rsidR="00C71CCE" w:rsidRPr="00590655">
        <w:rPr>
          <w:color w:val="000000"/>
        </w:rPr>
        <w:instrText xml:space="preserve"> in a greater percentage of patients, a greater evidence-base, raising awareness and adequate staffing will be features for future development. Originality/value: This study provides new insight into the current role and practices of adult critical care occupational therapists in England and generates insights into their role in addressing physical and non-physical morbidity for this patient cohort. Findings are preliminary in nature; however, future research is warranted to evaluate the effectiveness of interventions.","author":[{"dropping-particle":"","family":"Algeo","given":"Naomi","non-dropping-particle":"","parse-names":false,"suffix":""},{"dropping-particle":"","family":"Aitken","given":"Leanne M.","non-dropping-particle":"","parse-names":false,"suffix":""}],"container-title":"Irish Journal of Occupational Therapy","id":"ITEM-4","issue":"2","issued":{"date-parts":[["2019","11","4"]]},"page":"74-94","publisher":"Emerald Group Publishing Ltd.","title":"The evolving role of occupational therapists in adult critical care in England: A mixed methods design using role theory","type":"article-journal","volume":"47"},"uris":["http://www.mendeley.com/documents/?uuid=f718a167-ccbd-333b-b093-d38e5860cc7d"]}],"mendeley":{"formattedCitation":"&lt;sup&gt;12,13,15,16&lt;/sup&gt;","plainTextFormattedCitation":"12,13,15,16","previouslyFormattedCitation":"&lt;sup&gt;12,13,15,16&lt;/sup&gt;"},"properties":{"noteIndex":0},"schema":"https://github.com/citation-style-language/schema/raw/master/csl-citation.json"}</w:instrText>
      </w:r>
      <w:r w:rsidR="00D74CC6">
        <w:rPr>
          <w:color w:val="000000"/>
        </w:rPr>
        <w:fldChar w:fldCharType="separate"/>
      </w:r>
      <w:r w:rsidR="00680888" w:rsidRPr="00590655">
        <w:rPr>
          <w:noProof/>
          <w:color w:val="000000"/>
          <w:vertAlign w:val="superscript"/>
        </w:rPr>
        <w:t>12,13,15,16</w:t>
      </w:r>
      <w:r w:rsidR="00D74CC6">
        <w:rPr>
          <w:color w:val="000000"/>
        </w:rPr>
        <w:fldChar w:fldCharType="end"/>
      </w:r>
      <w:r w:rsidR="00590655">
        <w:rPr>
          <w:color w:val="000000"/>
        </w:rPr>
        <w:t xml:space="preserve">. </w:t>
      </w:r>
      <w:r w:rsidR="00D1107B">
        <w:rPr>
          <w:color w:val="000000"/>
        </w:rPr>
        <w:t>Diante disso, não deverá ser diferente quando se trata d</w:t>
      </w:r>
      <w:r w:rsidR="00EA669B">
        <w:rPr>
          <w:color w:val="000000"/>
        </w:rPr>
        <w:t>e</w:t>
      </w:r>
      <w:r w:rsidR="00D1107B">
        <w:rPr>
          <w:color w:val="000000"/>
        </w:rPr>
        <w:t xml:space="preserve"> pacientes com a COVID – 19</w:t>
      </w:r>
      <w:r w:rsidR="00F126EC">
        <w:rPr>
          <w:color w:val="000000"/>
        </w:rPr>
        <w:t xml:space="preserve">, reforçando a importância do terapeuta ocupacional na equipe. </w:t>
      </w:r>
    </w:p>
    <w:p w14:paraId="000000FC" w14:textId="656BC954" w:rsidR="000C7A2A" w:rsidRDefault="00282FF0" w:rsidP="00ED18F0">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w:t>
      </w:r>
      <w:r w:rsidR="00AE7E96">
        <w:rPr>
          <w:rFonts w:ascii="Times New Roman" w:eastAsia="Times New Roman" w:hAnsi="Times New Roman" w:cs="Times New Roman"/>
          <w:sz w:val="24"/>
          <w:szCs w:val="24"/>
          <w:highlight w:val="white"/>
        </w:rPr>
        <w:t>alcançar esses resultados</w:t>
      </w:r>
      <w:r>
        <w:rPr>
          <w:rFonts w:ascii="Times New Roman" w:eastAsia="Times New Roman" w:hAnsi="Times New Roman" w:cs="Times New Roman"/>
          <w:sz w:val="24"/>
          <w:szCs w:val="24"/>
          <w:highlight w:val="white"/>
        </w:rPr>
        <w:t xml:space="preserve">, </w:t>
      </w:r>
      <w:r w:rsidR="006B069B">
        <w:rPr>
          <w:rFonts w:ascii="Times New Roman" w:eastAsia="Times New Roman" w:hAnsi="Times New Roman" w:cs="Times New Roman"/>
          <w:sz w:val="24"/>
          <w:szCs w:val="24"/>
          <w:highlight w:val="white"/>
        </w:rPr>
        <w:t>além da condição clínica do paciente</w:t>
      </w:r>
      <w:r w:rsidR="00ED18F0">
        <w:rPr>
          <w:rFonts w:ascii="Times New Roman" w:eastAsia="Times New Roman" w:hAnsi="Times New Roman" w:cs="Times New Roman"/>
          <w:sz w:val="24"/>
          <w:szCs w:val="24"/>
          <w:highlight w:val="white"/>
        </w:rPr>
        <w:t xml:space="preserve"> </w:t>
      </w:r>
      <w:r w:rsidR="00D74CC6">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Projects","id":"ITEM-1","issued":{"date-parts":[["2017","5","1"]]},"publisher":"Dominican University of California","publisher-place":"San Rafael, California","title":"Occupational Therapy in the Intensive Care Unit","type":"thesis"},"uris":["http://www.mendeley.com/documents/?uuid=8769eb1c-50e7-3aa5-9f45-d58aca3df250"]}],"mendeley":{"formattedCitation":"&lt;sup&gt;13&lt;/sup&gt;","plainTextFormattedCitation":"13","previouslyFormattedCitation":"&lt;sup&gt;13&lt;/sup&gt;"},"properties":{"noteIndex":0},"schema":"https://github.com/citation-style-language/schema/raw/master/csl-citation.json"}</w:instrText>
      </w:r>
      <w:r w:rsidR="00D74CC6">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13</w:t>
      </w:r>
      <w:r w:rsidR="00D74CC6">
        <w:rPr>
          <w:rFonts w:ascii="Times New Roman" w:eastAsia="Times New Roman" w:hAnsi="Times New Roman" w:cs="Times New Roman"/>
          <w:sz w:val="24"/>
          <w:szCs w:val="24"/>
          <w:highlight w:val="white"/>
        </w:rPr>
        <w:fldChar w:fldCharType="end"/>
      </w:r>
      <w:r w:rsidR="006B069B">
        <w:rPr>
          <w:rFonts w:ascii="Times New Roman" w:eastAsia="Times New Roman" w:hAnsi="Times New Roman" w:cs="Times New Roman"/>
          <w:sz w:val="24"/>
          <w:szCs w:val="24"/>
          <w:highlight w:val="white"/>
        </w:rPr>
        <w:t>,</w:t>
      </w:r>
      <w:r w:rsidR="00EA669B">
        <w:rPr>
          <w:rFonts w:ascii="Times New Roman" w:eastAsia="Times New Roman" w:hAnsi="Times New Roman" w:cs="Times New Roman"/>
          <w:sz w:val="24"/>
          <w:szCs w:val="24"/>
          <w:highlight w:val="white"/>
        </w:rPr>
        <w:t xml:space="preserve"> o terapeuta ocupacional deve realizar uma análise cuidadosa que perpassa pelo interesse e os valores do paciente, as demandas da própria atividade, as características da UTI </w:t>
      </w:r>
      <w:r w:rsidR="00CE1304">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{"citationItems":[{"id":"ITEM-1","itemData":{"author":[{"dropping-particle":"","family":"CREPEAU","given":"ELIZABETH BLESEDELL","non-dropping-particle":"","parse-names":false,"suffix":""},{"dropping-particle":"","family":"SCHELL","given":"E BARBARA A. BOYT","non-dropping-particle":"","parse-names":false,"suffix":""}],"container-title":"Terapia Ocupacional – Willard e Spackman.","edition":"Guanabara ","id":"ITEM-1","issued":{"date-parts":[["2011"]]},"page":"530-539","publisher-place":"Rio de Janeiro","title":"Analisando Ocupações e Atividades","type":"chapter"},"uris":["http://www.mendeley.com/documents/?uuid=25e85b84-9317-440e-ae31-7c6f10c91a37"]},{"id":"ITEM-2","itemData":{"DOI":"10.11606/issn.2238-6149.v26iespp1-49","ISSN":"1415-9104","abstract":"A Estrutura da Prática da Terapia Ocupacional: Domínio e Processo, 3ª Edição (aqui sendo referida como “a Estrutura”), é o documento oficial da Associação Americana de Terapia Ocupacional (AOTA). Destinado aos profissionais da terapia ocupacional e a estudantes, outros profissionais da saúde, educadores, pesquisadores, compradores e a consumidores, a Estrutura apresenta um resumo dos construtos inter-relacionados que descrevem a prática da terapia ocupacional. [Traduzido para o português por Alessandra Cavalcanti - UFTM, Fabiana Caetano Martins Silva e Dutra - UFTM e Valéria Meirelles Carril Elui - FMRP-USP; autorizada para publicação em português, acesso aberto na Revista de Terapia Ocupacional da Universidade de São Paulo. 2015;26(ed. esp.):1-49].","author":[{"dropping-particle":"","family":"Association","given":"AOTA American Occupational Therapy","non-dropping-particle":"","parse-names":false,"suffix":""}],"container-title":"Revista Terapia Ocupacional da USP","id":"ITEM-2","issue":"esp","issued":{"date-parts":[["2015","4","24"]]},"page":"1-49","title":"Estrutura da prática da Terapia Ocupacional: domínio &amp; processo - 3ª ed. traduzida","type":"article-journal","volume":"26"},"uris":["http://www.mendeley.com/documents/?uuid=e55cb6c2-6c48-333e-be6f-8deaac1e39dc"]}],"mendeley":{"formattedCitation":"&lt;sup&gt;23,32&lt;/sup&gt;","plainTextFormattedCitation":"23,32","previouslyFormattedCitation":"&lt;sup&gt;23,32&lt;/sup&gt;"},"properties":{"noteIndex":0},"schema":"https://github.com/citation-style-language/schema/raw/master/csl-citation.json"}</w:instrText>
      </w:r>
      <w:r w:rsidR="00CE1304">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23,32</w:t>
      </w:r>
      <w:r w:rsidR="00CE1304">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w:t>
      </w:r>
      <w:r w:rsidR="00EA669B">
        <w:rPr>
          <w:rFonts w:ascii="Times New Roman" w:eastAsia="Times New Roman" w:hAnsi="Times New Roman" w:cs="Times New Roman"/>
          <w:sz w:val="24"/>
          <w:szCs w:val="24"/>
          <w:highlight w:val="white"/>
        </w:rPr>
        <w:t xml:space="preserve">Acrescenta-se, ainda, a essas questões supracitadas a análise das habilidades motoras, sensitivas, cognitivas, sociais e emocionais que são necessárias para a sua execução </w:t>
      </w:r>
      <w:r w:rsidR="00CE1304">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{"citationItems":[{"id":"ITEM-1","itemData":{"author":[{"dropping-particle":"","family":"CREPEAU","given":"ELIZABETH BLESEDELL","non-dropping-particle":"","parse-names":false,"suffix":""},{"dropping-particle":"","family":"SCHELL","given":"E BARBARA A. BOYT","non-dropping-particle":"","parse-names":false,"suffix":""}],"container-title":"Terapia Ocupacional – Willard e Spackman.","edition":"Guanabara ","id":"ITEM-1","issued":{"date-parts":[["2011"]]},"page":"530-539","publisher-place":"Rio de Janeiro","title":"Analisando Ocupações e Atividades","type":"chapter"},"uris":["http://www.mendeley.com/documents/?uuid=25e85b84-9317-440e-ae31-7c6f10c91a37"]},{"id":"ITEM-2","itemData":{"DOI":"10.11606/issn.2238-6149.v26iespp1-49","ISSN":"1415-9104","abstract":"A Estrutura da Prática da Terapia Ocupacional: Domínio e Processo, 3ª Edição (aqui sendo referida como “a Estrutura”), é o documento oficial da Associação Americana de Terapia Ocupacional (AOTA). Destinado aos profissionais da terapia ocupacional e a estudantes, outros profissionais da saúde, educadores, pesquisadores, compradores e a consumidores, a Estrutura apresenta um resumo dos construtos inter-relacionados que descrevem a prática da terapia ocupacional. [Traduzido para o português por Alessandra Cavalcanti - UFTM, Fabiana Caetano Martins Silva e Dutra - UFTM e Valéria Meirelles Carril Elui - FMRP-USP; autorizada para publicação em português, acesso aberto na Revista de Terapia Ocupacional da Universidade de São Paulo. 2015;26(ed. esp.):1-49].","author":[{"dropping-particle":"","family":"Association","given":"AOTA American Occupational Therapy","non-dropping-particle":"","parse-names":false,"suffix":""}],"container-title":"Revista Terapia Ocupacional da USP","id":"ITEM-2","issue":"esp","issued":{"date-parts":[["2015","4","24"]]},"page":"1-49","title":"Estrutura da prática da Terapia Ocupacional: domínio &amp; processo - 3ª ed. traduzida","type":"article-journal","volume":"26"},"uris":["http://www.mendeley.com/documents/?uuid=e55cb6c2-6c48-333e-be6f-8deaac1e39dc"]}],"mendeley":{"formattedCitation":"&lt;sup&gt;23,32&lt;/sup&gt;","plainTextFormattedCitation":"23,32","previouslyFormattedCitation":"&lt;sup&gt;23,32&lt;/sup&gt;"},"properties":{"noteIndex":0},"schema":"https://github.com/citation-style-language/schema/raw/master/csl-citation.json"}</w:instrText>
      </w:r>
      <w:r w:rsidR="00CE1304">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23,32</w:t>
      </w:r>
      <w:r w:rsidR="00CE1304">
        <w:rPr>
          <w:rFonts w:ascii="Times New Roman" w:eastAsia="Times New Roman" w:hAnsi="Times New Roman" w:cs="Times New Roman"/>
          <w:sz w:val="24"/>
          <w:szCs w:val="24"/>
          <w:highlight w:val="white"/>
        </w:rPr>
        <w:fldChar w:fldCharType="end"/>
      </w:r>
      <w:r w:rsidR="00590655">
        <w:rPr>
          <w:rFonts w:ascii="Times New Roman" w:eastAsia="Times New Roman" w:hAnsi="Times New Roman" w:cs="Times New Roman"/>
          <w:sz w:val="24"/>
          <w:szCs w:val="24"/>
          <w:highlight w:val="white"/>
        </w:rPr>
        <w:t>.</w:t>
      </w:r>
    </w:p>
    <w:p w14:paraId="026CE1C2" w14:textId="769B2D35" w:rsidR="00F07992" w:rsidRPr="00F07992" w:rsidRDefault="00EA669B" w:rsidP="00F07992">
      <w:pPr>
        <w:pStyle w:val="NormalWeb"/>
        <w:spacing w:before="0" w:beforeAutospacing="0" w:after="0" w:afterAutospacing="0" w:line="360" w:lineRule="auto"/>
        <w:ind w:firstLine="709"/>
        <w:jc w:val="both"/>
      </w:pPr>
      <w:r>
        <w:t>Para os</w:t>
      </w:r>
      <w:r w:rsidR="00F07992" w:rsidRPr="006B069B">
        <w:t xml:space="preserve"> pacientes em período de sedação</w:t>
      </w:r>
      <w:r w:rsidR="00F07992">
        <w:t>,</w:t>
      </w:r>
      <w:r w:rsidR="00F07992" w:rsidRPr="006B069B">
        <w:t xml:space="preserve"> o profissional realiza ações de movimentação passiva de membros superiores e inferiores</w:t>
      </w:r>
      <w:r w:rsidR="00F07992">
        <w:t xml:space="preserve"> </w:t>
      </w:r>
      <w:r w:rsidR="00F07992" w:rsidRPr="006B069B">
        <w:t xml:space="preserve">e </w:t>
      </w:r>
      <w:r w:rsidR="00F07992">
        <w:t xml:space="preserve">o </w:t>
      </w:r>
      <w:r w:rsidR="00F07992" w:rsidRPr="006B069B">
        <w:t xml:space="preserve">posicionamento para prevenir posições viciosas e evitar a perda da amplitude de movimentos (ADM), situações que podem </w:t>
      </w:r>
      <w:r w:rsidR="00F07992">
        <w:t>interferir diretamente no desempenho ocupacional do</w:t>
      </w:r>
      <w:r>
        <w:t xml:space="preserve"> indivíduo</w:t>
      </w:r>
      <w:r w:rsidR="00F07992">
        <w:t xml:space="preserve">. </w:t>
      </w:r>
      <w:r w:rsidR="00F07992" w:rsidRPr="006B069B">
        <w:t xml:space="preserve">O uso de adaptações para o posicionamento adequado contribui para o conforto do paciente, suporte para proteção articular, redução da dor, controle do edema, prevenção de </w:t>
      </w:r>
      <w:r w:rsidR="00F07992">
        <w:t xml:space="preserve">LPP </w:t>
      </w:r>
      <w:r w:rsidR="00F07992" w:rsidRPr="006B069B">
        <w:t xml:space="preserve">e prevenção de pé equino </w:t>
      </w:r>
      <w:r>
        <w:fldChar w:fldCharType="begin" w:fldLock="1"/>
      </w:r>
      <w:r w:rsidR="00C71CCE">
        <w:instrText>ADDIN CSL_CITATION {"citationItems":[{"id":"ITEM-1","itemData":{"author":[{"dropping-particle":"","family":"SILVA TB, Xavier AMH","given":"Carmo GP. 478-493.","non-dropping-particle":"","parse-names":false,"suffix":""}],"container-title":"Rev. Interinst. Bras. Ter. Ocup. Rio de Janeiro.","id":"ITEM-1","issue":"4","issued":{"date-parts":[["2019"]]},"page":"478-493","title":"Terapia Ocupacional na Unidade de Terapia Intensiva: o uso de instrumentos de funcionalidade em pacientes críticos/Occupational therapy in the intensive care unit: the use of functional measurement tools in critically ill patients | Silva | Revista Interi","type":"article-journal","volume":"3"},"uris":["http://www.mendeley.com/documents/?uuid=98620a7e-4af4-3fe2-ae65-132c0c6e62d7"]}],"mendeley":{"formattedCitation":"&lt;sup&gt;33&lt;/sup&gt;","plainTextFormattedCitation":"33","previouslyFormattedCitation":"&lt;sup&gt;33&lt;/sup&gt;"},"properties":{"noteIndex":0},"schema":"https://github.com/citation-style-language/schema/raw/master/csl-citation.json"}</w:instrText>
      </w:r>
      <w:r>
        <w:fldChar w:fldCharType="separate"/>
      </w:r>
      <w:r w:rsidR="00680888" w:rsidRPr="00680888">
        <w:rPr>
          <w:noProof/>
          <w:vertAlign w:val="superscript"/>
        </w:rPr>
        <w:t>33</w:t>
      </w:r>
      <w:r>
        <w:fldChar w:fldCharType="end"/>
      </w:r>
      <w:r w:rsidR="00590655">
        <w:t>.</w:t>
      </w:r>
    </w:p>
    <w:p w14:paraId="0A64EDE2" w14:textId="7E0C3F64" w:rsidR="00EA669B" w:rsidRDefault="00EA669B" w:rsidP="00EA669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Após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elhora no nível de consciência, </w:t>
      </w:r>
      <w:r>
        <w:rPr>
          <w:rFonts w:ascii="Times New Roman" w:eastAsia="Times New Roman" w:hAnsi="Times New Roman" w:cs="Times New Roman"/>
          <w:sz w:val="24"/>
          <w:szCs w:val="24"/>
          <w:highlight w:val="white"/>
        </w:rPr>
        <w:t xml:space="preserve">a introdução das AVD no cotidiano do cuidado deve acontecer gradativamente pelo terapeuta ocupacional </w:t>
      </w:r>
      <w:r w:rsidR="00CE1304">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{"citationItems":[{"id":"ITEM-1","itemData":{"DOI":"10.1080/07380577.2017.1340690","ISSN":"15413098","abstract":"This paper is a synthesis of the available literature on occupational therapy interventions performed in the adult intensive care unit (ICU). The databases of Ovid MEDLINE, Embase, the Cochrane Library, ClinicalTrials.gov and CINAHL databases were systematically searched from inception through August 2016 for studies of adults who received occupational therapy interventions in the ICU. Of 1,938 citations reviewed, 10 studies met inclusion criteria. Only one study explicitly discussed occupational therapy interventions performed and only one study specifically tested the efficacy of occupational therapy. Future research is needed to clarify the specific interventions and role of occupational therapy in the ICU and the efficacy of these interventions.","author":[{"dropping-particle":"","family":"Weinreich","given":"Mark","non-dropping-particle":"","parse-names":false,"suffix":""},{"dropping-particle":"","family":"Herman","given":"Jennifer","non-dropping-particle":"","parse-names":false,"suffix":""},{"dropping-particle":"","family":"Dickason","given":"Stephanie","non-dropping-particle":"","parse-names":false,"suffix":""},{"dropping-particle":"","family":"Mayo","given":"Helen","non-dropping-particle":"","parse-names":false,"suffix":""}],"container-title":"Occupational Therapy in Health Care","id":"ITEM-1","issue":"3","issued":{"date-parts":[["2017"]]},"page":"205-213","publisher":"Taylor &amp; Francis","title":"Occupational Therapy in the Intensive Care Unit: A Systematic Review","type":"article-journal","volume":"31"},"uris":["http://www.mendeley.com/documents/?uuid=bba0e6e6-262a-4010-ab29-415ddf9c50a1"]}],"mendeley":{"formattedCitation":"&lt;sup&gt;12&lt;/sup&gt;","plainTextFormattedCitation":"12","previouslyFormattedCitation":"&lt;sup&gt;12&lt;/sup&gt;"},"properties":{"noteIndex":0},"schema":"https://github.com/citation-style-language/schema/raw/master/csl-citation.json"}</w:instrText>
      </w:r>
      <w:r w:rsidR="00CE1304">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12</w:t>
      </w:r>
      <w:r w:rsidR="00CE1304">
        <w:rPr>
          <w:rFonts w:ascii="Times New Roman" w:eastAsia="Times New Roman" w:hAnsi="Times New Roman" w:cs="Times New Roman"/>
          <w:sz w:val="24"/>
          <w:szCs w:val="24"/>
          <w:highlight w:val="white"/>
        </w:rPr>
        <w:fldChar w:fldCharType="end"/>
      </w:r>
      <w:r w:rsidR="00AE7E96">
        <w:rPr>
          <w:rFonts w:ascii="Times New Roman" w:eastAsia="Times New Roman" w:hAnsi="Times New Roman" w:cs="Times New Roman"/>
          <w:sz w:val="24"/>
          <w:szCs w:val="24"/>
          <w:highlight w:val="white"/>
        </w:rPr>
        <w:t>.</w:t>
      </w:r>
      <w:r w:rsidR="00AE7E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tanto, </w:t>
      </w:r>
      <w:r>
        <w:rPr>
          <w:rFonts w:ascii="Times New Roman" w:eastAsia="Times New Roman" w:hAnsi="Times New Roman" w:cs="Times New Roman"/>
          <w:sz w:val="24"/>
          <w:szCs w:val="24"/>
          <w:highlight w:val="white"/>
        </w:rPr>
        <w:t>ele precisa utilizar diferentes condutas, concomitantemente, de modo a facilitar o engajamento, melhorar o desempenho ou permitir a participação nas AVD, apesar das dificuldades</w:t>
      </w:r>
      <w:r>
        <w:rPr>
          <w:rFonts w:ascii="Times New Roman" w:eastAsia="Times New Roman" w:hAnsi="Times New Roman" w:cs="Times New Roman"/>
          <w:sz w:val="24"/>
          <w:szCs w:val="24"/>
        </w:rPr>
        <w:t xml:space="preserve"> impostas pela</w:t>
      </w:r>
      <w:r w:rsidR="002F0F3A">
        <w:rPr>
          <w:rFonts w:ascii="Times New Roman" w:eastAsia="Times New Roman" w:hAnsi="Times New Roman" w:cs="Times New Roman"/>
          <w:sz w:val="24"/>
          <w:szCs w:val="24"/>
        </w:rPr>
        <w:t xml:space="preserve"> </w:t>
      </w:r>
      <w:r w:rsidR="002F0F3A" w:rsidRPr="00866B49">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w:t>
      </w:r>
    </w:p>
    <w:p w14:paraId="01D39EC0" w14:textId="5996AC51" w:rsidR="00AE7E96" w:rsidRPr="00C6149B" w:rsidRDefault="00AE7E96" w:rsidP="00C6149B">
      <w:pPr>
        <w:spacing w:after="0" w:line="360" w:lineRule="auto"/>
        <w:jc w:val="both"/>
        <w:rPr>
          <w:sz w:val="24"/>
          <w:szCs w:val="24"/>
          <w:highlight w:val="white"/>
        </w:rPr>
      </w:pPr>
    </w:p>
    <w:p w14:paraId="10720545" w14:textId="50F0F7DA" w:rsidR="00C6149B" w:rsidRPr="00C6149B" w:rsidRDefault="00EA669B" w:rsidP="00C6149B">
      <w:pPr>
        <w:numPr>
          <w:ilvl w:val="0"/>
          <w:numId w:val="2"/>
        </w:numPr>
        <w:spacing w:after="0" w:line="360" w:lineRule="auto"/>
        <w:jc w:val="both"/>
        <w:rPr>
          <w:sz w:val="24"/>
          <w:szCs w:val="24"/>
          <w:highlight w:val="white"/>
        </w:rPr>
      </w:pPr>
      <w:r>
        <w:rPr>
          <w:rFonts w:ascii="Times New Roman" w:eastAsia="Times New Roman" w:hAnsi="Times New Roman" w:cs="Times New Roman"/>
          <w:color w:val="000000"/>
          <w:sz w:val="24"/>
          <w:szCs w:val="24"/>
          <w:highlight w:val="white"/>
        </w:rPr>
        <w:t xml:space="preserve">Iniciar com atividades leves, que podem ser estimadas com o Equivalente Metabólico da Tarefa (MET). </w:t>
      </w:r>
      <w:r w:rsidRPr="00C6149B">
        <w:rPr>
          <w:rFonts w:ascii="Times New Roman" w:eastAsia="Times New Roman" w:hAnsi="Times New Roman" w:cs="Times New Roman"/>
          <w:color w:val="000000"/>
          <w:sz w:val="24"/>
          <w:szCs w:val="24"/>
          <w:highlight w:val="white"/>
        </w:rPr>
        <w:t xml:space="preserve">As atividades leves são aquelas com 1,5 a 2 MET, como lavar o rosto e escovar os dentes </w:t>
      </w:r>
      <w:r w:rsidR="00CE1304">
        <w:rPr>
          <w:rFonts w:ascii="Times New Roman" w:eastAsia="Times New Roman" w:hAnsi="Times New Roman" w:cs="Times New Roman"/>
          <w:color w:val="000000"/>
          <w:sz w:val="24"/>
          <w:szCs w:val="24"/>
          <w:highlight w:val="white"/>
        </w:rPr>
        <w:fldChar w:fldCharType="begin" w:fldLock="1"/>
      </w:r>
      <w:r w:rsidR="00C71CCE">
        <w:rPr>
          <w:rFonts w:ascii="Times New Roman" w:eastAsia="Times New Roman" w:hAnsi="Times New Roman" w:cs="Times New Roman"/>
          <w:color w:val="000000"/>
          <w:sz w:val="24"/>
          <w:szCs w:val="24"/>
          <w:highlight w:val="white"/>
        </w:rPr>
        <w:instrText>ADDIN CSL_CITATION {"citationItems":[{"id":"ITEM-1","itemData":{"author":[{"dropping-particle":"","family":"BARTHOLOMEW","given":"TONYA et al.","non-dropping-particle":"","parse-names":false,"suffix":""}],"container-title":"Occupational therapy with elders: strategies for the cota.","editor":[{"dropping-particle":"","family":"St Louis: Mosby","given":"","non-dropping-particle":"","parse-names":false,"suffix":""}],"id":"ITEM-1","issued":{"date-parts":[["2011"]]},"page":"297-305","title":"Working with Elders Who Have Cardiovascular Conditions","type":"chapter"},"uris":["http://www.mendeley.com/documents/?uuid=c17da880-8264-3d93-be0a-3b09e908c4c4"]},{"id":"ITEM-2","itemData":{"DOI":"10.1249/MSS.0b013e31821ece12","ISSN":"01959131","PMID":"21681120","abstract":"Purpose: The Compendium of Physical Activities was developed to enhance the comparability of results across studies using self-report physical activity (PA) and is used to quantify the energy cost of a wide variety of PA. We provide the second update of the Compendium, called the 2011 Compendium. Methods: The 2011 Compendium retains the previous coding scheme to identify the major category headings and specific PA by their rate of energy expenditure in MET. Modifications in the 2011 Compendium include cataloging measured MET values and their source references, when available; addition of new codes and specific activities; an update of the Compendium tracking guide that links information in the 1993, 2000, and 2011 compendia versions; and the creation of a Web site to facilitate easy access and downloading of Compendium documents. Measured MET values were obtained from a systematic search of databases using defined key words. Results: The 2011 Compendium contains 821 codes for specific activities. Two hundred seventeen new codes were added, 68% (561/821) of which have measured MET values. Approximately half (317/604) of the codes from the 2000 Compendium were modified to improve the definitions and/or to consolidate specific activities and to update estimated MET values where measured values did not exist. Updated MET values accounted for 73% of all code changes. Conclusions: The Compendium is used globally to quantify the energy cost of PA in adults for surveillance activities, research studies, and, in clinical settings, to write PA recommendations and to assess energy expenditure in individuals. The 2011 Compendium is an update of a system for quantifying the energy cost of adult human PA and is a living document that is moving in the direction of being 100% evidence based. Copyright © 2011 by the American College of Sports Medicine.","author":[{"dropping-particle":"","family":"Ainsworth","given":"Barbara E.","non-dropping-particle":"","parse-names":false,"suffix":""},{"dropping-particle":"","family":"Haskell","given":"William L.","non-dropping-particle":"","parse-names":false,"suffix":""},{"dropping-particle":"","family":"Herrmann","given":"Stephen D.","non-dropping-particle":"","parse-names":false,"suffix":""},{"dropping-particle":"","family":"Meckes","given":"Nathanael","non-dropping-particle":"","parse-names":false,"suffix":""},{"dropping-particle":"","family":"Bassett","given":"David R.","non-dropping-particle":"","parse-names":false,"suffix":""},{"dropping-particle":"","family":"Tudor-Locke","given":"Catrine","non-dropping-particle":"","parse-names":false,"suffix":""},{"dropping-particle":"","family":"Greer","given":"Jennifer L.","non-dropping-particle":"","parse-names":false,"suffix":""},{"dropping-particle":"","family":"Vezina","given":"Jesse","non-dropping-particle":"","parse-names":false,"suffix":""},{"dropping-particle":"","family":"Whitt-Glover","given":"Melicia C.","non-dropping-particle":"","parse-names":false,"suffix":""},{"dropping-particle":"","family":"Leon","given":"Arthur S.","non-dropping-particle":"","parse-names":false,"suffix":""}],"container-title":"Medicine and Science in Sports and Exercise","id":"ITEM-2","issue":"8","issued":{"date-parts":[["2011"]]},"page":"1575-1581","title":"2011 compendium of physical activities: A second update of codes and MET values","type":"article-journal","volume":"43"},"uris":["http://www.mendeley.com/documents/?uuid=2454878c-84d8-4211-946e-db7326b5a47f"]},{"id":"ITEM-3","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Projects","id":"ITEM-3","issued":{"date-parts":[["2017","5","1"]]},"publisher":"Dominican University of California","publisher-place":"San Rafael, California","title":"Occupational Therapy in the Intensive Care Unit","type":"thesis"},"uris":["http://www.mendeley.com/documents/?uuid=8769eb1c-50e7-3aa5-9f45-d58aca3df250"]}],"mendeley":{"formattedCitation":"&lt;sup&gt;13,28,34&lt;/sup&gt;","plainTextFormattedCitation":"13,28,34","previouslyFormattedCitation":"&lt;sup&gt;13,28,34&lt;/sup&gt;"},"properties":{"noteIndex":0},"schema":"https://github.com/citation-style-language/schema/raw/master/csl-citation.json"}</w:instrText>
      </w:r>
      <w:r w:rsidR="00CE1304">
        <w:rPr>
          <w:rFonts w:ascii="Times New Roman" w:eastAsia="Times New Roman" w:hAnsi="Times New Roman" w:cs="Times New Roman"/>
          <w:color w:val="000000"/>
          <w:sz w:val="24"/>
          <w:szCs w:val="24"/>
          <w:highlight w:val="white"/>
        </w:rPr>
        <w:fldChar w:fldCharType="separate"/>
      </w:r>
      <w:r w:rsidR="00680888" w:rsidRPr="00680888">
        <w:rPr>
          <w:rFonts w:ascii="Times New Roman" w:eastAsia="Times New Roman" w:hAnsi="Times New Roman" w:cs="Times New Roman"/>
          <w:noProof/>
          <w:color w:val="000000"/>
          <w:sz w:val="24"/>
          <w:szCs w:val="24"/>
          <w:highlight w:val="white"/>
          <w:vertAlign w:val="superscript"/>
        </w:rPr>
        <w:t>13,28,34</w:t>
      </w:r>
      <w:r w:rsidR="00CE1304">
        <w:rPr>
          <w:rFonts w:ascii="Times New Roman" w:eastAsia="Times New Roman" w:hAnsi="Times New Roman" w:cs="Times New Roman"/>
          <w:color w:val="000000"/>
          <w:sz w:val="24"/>
          <w:szCs w:val="24"/>
          <w:highlight w:val="white"/>
        </w:rPr>
        <w:fldChar w:fldCharType="end"/>
      </w:r>
      <w:r w:rsidR="00282FF0" w:rsidRPr="00C6149B">
        <w:rPr>
          <w:rFonts w:ascii="Times New Roman" w:eastAsia="Times New Roman" w:hAnsi="Times New Roman" w:cs="Times New Roman"/>
          <w:color w:val="000000"/>
          <w:sz w:val="24"/>
          <w:szCs w:val="24"/>
          <w:highlight w:val="white"/>
        </w:rPr>
        <w:t xml:space="preserve">. </w:t>
      </w:r>
    </w:p>
    <w:p w14:paraId="30575459" w14:textId="77777777" w:rsidR="00EA669B" w:rsidRPr="00C6149B" w:rsidRDefault="00EA669B" w:rsidP="00EA669B">
      <w:pPr>
        <w:numPr>
          <w:ilvl w:val="0"/>
          <w:numId w:val="2"/>
        </w:numPr>
        <w:spacing w:after="0" w:line="360" w:lineRule="auto"/>
        <w:jc w:val="both"/>
        <w:rPr>
          <w:sz w:val="24"/>
          <w:szCs w:val="24"/>
          <w:highlight w:val="white"/>
        </w:rPr>
      </w:pPr>
      <w:r>
        <w:rPr>
          <w:rFonts w:ascii="Times New Roman" w:eastAsia="Times New Roman" w:hAnsi="Times New Roman" w:cs="Times New Roman"/>
          <w:sz w:val="24"/>
          <w:szCs w:val="24"/>
        </w:rPr>
        <w:t>Favorecer a mobilidade funcional, como mover-se no próprio leito.</w:t>
      </w:r>
      <w:r>
        <w:rPr>
          <w:sz w:val="24"/>
          <w:szCs w:val="24"/>
        </w:rPr>
        <w:t xml:space="preserve"> </w:t>
      </w:r>
      <w:r w:rsidRPr="00C6149B">
        <w:rPr>
          <w:rFonts w:ascii="Times New Roman" w:eastAsia="Times New Roman" w:hAnsi="Times New Roman" w:cs="Times New Roman"/>
          <w:sz w:val="24"/>
          <w:szCs w:val="24"/>
        </w:rPr>
        <w:t xml:space="preserve">Depois, durante o desempenho de </w:t>
      </w:r>
      <w:r>
        <w:rPr>
          <w:rFonts w:ascii="Times New Roman" w:eastAsia="Times New Roman" w:hAnsi="Times New Roman" w:cs="Times New Roman"/>
          <w:sz w:val="24"/>
          <w:szCs w:val="24"/>
        </w:rPr>
        <w:t xml:space="preserve">atividades significativas e básicas da vida diária, </w:t>
      </w:r>
      <w:r w:rsidRPr="00683EE2">
        <w:rPr>
          <w:rFonts w:ascii="Times New Roman" w:eastAsia="Times New Roman" w:hAnsi="Times New Roman" w:cs="Times New Roman"/>
          <w:sz w:val="24"/>
          <w:szCs w:val="24"/>
        </w:rPr>
        <w:t>como</w:t>
      </w:r>
      <w:r w:rsidRPr="00C6149B">
        <w:rPr>
          <w:rFonts w:ascii="Times New Roman" w:eastAsia="Times New Roman" w:hAnsi="Times New Roman" w:cs="Times New Roman"/>
          <w:sz w:val="24"/>
          <w:szCs w:val="24"/>
        </w:rPr>
        <w:t xml:space="preserve"> escovar os dentes</w:t>
      </w:r>
      <w:r>
        <w:rPr>
          <w:rFonts w:ascii="Times New Roman" w:eastAsia="Times New Roman" w:hAnsi="Times New Roman" w:cs="Times New Roman"/>
          <w:sz w:val="24"/>
          <w:szCs w:val="24"/>
        </w:rPr>
        <w:t xml:space="preserve"> e </w:t>
      </w:r>
      <w:r w:rsidRPr="00C6149B">
        <w:rPr>
          <w:rFonts w:ascii="Times New Roman" w:eastAsia="Times New Roman" w:hAnsi="Times New Roman" w:cs="Times New Roman"/>
          <w:sz w:val="24"/>
          <w:szCs w:val="24"/>
        </w:rPr>
        <w:t>lavar o rosto.</w:t>
      </w:r>
    </w:p>
    <w:p w14:paraId="7F467F84" w14:textId="4ED3AEBC" w:rsidR="00EA669B" w:rsidRPr="00EA669B" w:rsidRDefault="00EA669B" w:rsidP="001367F9">
      <w:pPr>
        <w:numPr>
          <w:ilvl w:val="0"/>
          <w:numId w:val="2"/>
        </w:numPr>
        <w:spacing w:after="0" w:line="360" w:lineRule="auto"/>
        <w:jc w:val="both"/>
        <w:rPr>
          <w:sz w:val="24"/>
          <w:szCs w:val="24"/>
          <w:highlight w:val="white"/>
        </w:rPr>
      </w:pPr>
      <w:r w:rsidRPr="00EA669B">
        <w:rPr>
          <w:rFonts w:ascii="Times New Roman" w:eastAsia="Times New Roman" w:hAnsi="Times New Roman" w:cs="Times New Roman"/>
          <w:color w:val="000000"/>
          <w:sz w:val="24"/>
          <w:szCs w:val="24"/>
          <w:highlight w:val="white"/>
        </w:rPr>
        <w:t xml:space="preserve">Adequar as demandas ocupacionais de acordo com as habilidades de desempenho (por exemplo, capacidade de preensão, de alcance, de flexão de cotovelo, de sustentar atenção, de iniciar a ação, de fazer contato visual com o terapeuta, de se comunicar por meio de gestos, fala ou recursos de CAA, dentre outras) e a motivação do paciente </w:t>
      </w:r>
      <w:r w:rsidR="00282FF0" w:rsidRPr="00EA669B">
        <w:rPr>
          <w:rFonts w:ascii="Times New Roman" w:eastAsia="Times New Roman" w:hAnsi="Times New Roman" w:cs="Times New Roman"/>
          <w:color w:val="000000"/>
          <w:sz w:val="24"/>
          <w:szCs w:val="24"/>
          <w:highlight w:val="white"/>
        </w:rPr>
        <w:t xml:space="preserve">(AOTA, 2014). </w:t>
      </w:r>
      <w:r>
        <w:rPr>
          <w:rFonts w:ascii="Times New Roman" w:eastAsia="Times New Roman" w:hAnsi="Times New Roman" w:cs="Times New Roman"/>
          <w:color w:val="000000"/>
          <w:sz w:val="24"/>
          <w:szCs w:val="24"/>
          <w:highlight w:val="white"/>
        </w:rPr>
        <w:t xml:space="preserve">Durante a higiene oral, por exemplo, o terapeuta ocupacional pode diminuir as etapas da </w:t>
      </w:r>
      <w:r w:rsidRPr="00EA669B">
        <w:rPr>
          <w:rFonts w:ascii="Times New Roman" w:eastAsia="Times New Roman" w:hAnsi="Times New Roman" w:cs="Times New Roman"/>
          <w:color w:val="000000"/>
          <w:sz w:val="24"/>
          <w:szCs w:val="24"/>
        </w:rPr>
        <w:t>atividade</w:t>
      </w:r>
      <w:r>
        <w:rPr>
          <w:rFonts w:ascii="Times New Roman" w:eastAsia="Times New Roman" w:hAnsi="Times New Roman" w:cs="Times New Roman"/>
          <w:color w:val="000000"/>
          <w:sz w:val="24"/>
          <w:szCs w:val="24"/>
          <w:highlight w:val="white"/>
        </w:rPr>
        <w:t>, separando os objetos, preparando a escova com creme dental e o copo com água, além de estimular com instruções claras em cada etapa e oferecer a assistência necessária</w:t>
      </w:r>
      <w:r w:rsidR="00646417">
        <w:rPr>
          <w:rFonts w:ascii="Times New Roman" w:eastAsia="Times New Roman" w:hAnsi="Times New Roman" w:cs="Times New Roman"/>
          <w:color w:val="000000"/>
          <w:sz w:val="24"/>
          <w:szCs w:val="24"/>
          <w:highlight w:val="white"/>
        </w:rPr>
        <w:t>.</w:t>
      </w:r>
    </w:p>
    <w:p w14:paraId="0B3149A2" w14:textId="41A1E592" w:rsidR="006B069B" w:rsidRPr="00EA669B" w:rsidRDefault="00282FF0" w:rsidP="001367F9">
      <w:pPr>
        <w:numPr>
          <w:ilvl w:val="0"/>
          <w:numId w:val="2"/>
        </w:numPr>
        <w:spacing w:after="0" w:line="360" w:lineRule="auto"/>
        <w:jc w:val="both"/>
        <w:rPr>
          <w:sz w:val="24"/>
          <w:szCs w:val="24"/>
          <w:highlight w:val="white"/>
        </w:rPr>
      </w:pPr>
      <w:r w:rsidRPr="00EA669B">
        <w:rPr>
          <w:rFonts w:ascii="Times New Roman" w:eastAsia="Times New Roman" w:hAnsi="Times New Roman" w:cs="Times New Roman"/>
          <w:color w:val="000000"/>
          <w:sz w:val="24"/>
          <w:szCs w:val="24"/>
          <w:highlight w:val="white"/>
        </w:rPr>
        <w:t>Orientações sobre conservação de energia</w:t>
      </w:r>
      <w:r w:rsidR="00AE7E96" w:rsidRPr="00EA669B">
        <w:rPr>
          <w:rFonts w:ascii="Times New Roman" w:eastAsia="Times New Roman" w:hAnsi="Times New Roman" w:cs="Times New Roman"/>
          <w:color w:val="000000"/>
          <w:sz w:val="24"/>
          <w:szCs w:val="24"/>
          <w:highlight w:val="white"/>
        </w:rPr>
        <w:t xml:space="preserve"> </w:t>
      </w:r>
      <w:r w:rsidR="0072015D" w:rsidRPr="00EA669B">
        <w:rPr>
          <w:rFonts w:ascii="Times New Roman" w:eastAsia="Times New Roman" w:hAnsi="Times New Roman" w:cs="Times New Roman"/>
          <w:color w:val="000000"/>
          <w:sz w:val="24"/>
          <w:szCs w:val="24"/>
          <w:highlight w:val="white"/>
        </w:rPr>
        <w:fldChar w:fldCharType="begin" w:fldLock="1"/>
      </w:r>
      <w:r w:rsidR="00C71CCE">
        <w:rPr>
          <w:rFonts w:ascii="Times New Roman" w:eastAsia="Times New Roman" w:hAnsi="Times New Roman" w:cs="Times New Roman"/>
          <w:color w:val="000000"/>
          <w:sz w:val="24"/>
          <w:szCs w:val="24"/>
          <w:highlight w:val="white"/>
        </w:rPr>
        <w:instrText>ADDIN CSL_CITATION {"citationItems":[{"id":"ITEM-1","itemData":{"DOI":"10.1590/S1806-37132006000600017","abstract":"Chronic obstructive pulmonary disease is a progressive and debilitating disease that is typically diagnosed only after a long period of gradual worsening. Dyspnea is the symptom that most often interferes with the execution of professional, family, social and daily-life activities of patients with chronic obstructive pulmonary disease. Such limitations can lead to a sedentary lifestyle and worsen overall quality of life. This article aims to address the functional limitations these patients deal with in carrying out their daily-life activities, establishing guidelines that health professionals can use to help their patients achieve maximum functionality. Guidelines for the use of energy conservation techniques are widely used in pulmonary rehabilitation programs. However, these guidelines should also be used in outpatient clinics and hospitals. A great number of human activities involve the legs and arms. The arms are involved in virtually all everyday activities - from the most simple to the most complex. Some studies have shown that upper-body exercises in which the arms are not supported cause thoracoabdominal asynchrony and dyspnea in shorter times and with less oxygen consumption than in exercises involving the legs. Even simple tasks can result in high oxygen consumption and minute ventilation, which accounts for the sensation of dyspnea reported by the patients. In view of these facts, it is appropriate to evaluate the impact that such incapacity has on daily life in patients with chronic obstructive pulmonary disease. Techniques of energy conservation that can be used as tools to minimize the discomfort of such patients are herein discussed, and those considered most appropriate are highlighted.","author":[{"dropping-particle":"","family":"Velloso","given":"Marcelo","non-dropping-particle":"","parse-names":false,"suffix":""},{"dropping-particle":"","family":"Jardim","given":"JR","non-dropping-particle":"","parse-names":false,"suffix":""}],"container-title":"Jornaldepneumologia.Com.Br","id":"ITEM-1","issue":"6","issued":{"date-parts":[["2006"]]},"page":"580-586","title":"Funcionalidade do paciente com doença pulmonar obstrutiva crônica e técnicas de conservação de energia. Functionality of patients with chronic obstructive pulmonary disease: energy conservation techniques","type":"article-journal","volume":"32"},"uris":["http://www.mendeley.com/documents/?uuid=fc52a9a7-fab6-4655-b4b8-eaa222aa820a"]},{"id":"ITEM-2","itemData":{"author":[{"dropping-particle":"","family":"BARTHOLOMEW","given":"TONYA et al.","non-dropping-particle":"","parse-names":false,"suffix":""}],"container-title":"Occupational therapy with elders: strategies for the cota.","editor":[{"dropping-particle":"","family":"St Louis: Mosby","given":"","non-dropping-particle":"","parse-names":false,"suffix":""}],"id":"ITEM-2","issued":{"date-parts":[["2011"]]},"page":"297-305","title":"Working with Elders Who Have Cardiovascular Conditions","type":"chapter"},"uris":["http://www.mendeley.com/documents/?uuid=c17da880-8264-3d93-be0a-3b09e908c4c4"]},{"id":"ITEM-3","itemData":{"DOI":"10.1249/MSS.0b013e31821ece12","ISSN":"01959131","PMID":"21681120","abstract":"Purpose: The Compendium of Physical Activities was developed to enhance the comparability of results across studies using self-report physical activity (PA) and is used to quantify the energy cost of a wide variety of PA. We provide the second update of the Compendium, called the 2011 Compendium. Methods: The 2011 Compendium retains the previous coding scheme to identify the major category headings and specific PA by their rate of energy expenditure in MET. Modifications in the 2011 Compendium include cataloging measured MET values and their source references, when available; addition of new codes and specific activities; an update of the Compendium tracking guide that links information in the 1993, 2000, and 2011 compendia versions; and the creation of a Web site to facilitate easy access and downloading of Compendium documents. Measured MET values were obtained from a systematic search of databases using defined key words. Results: The 2011 Compendium contains 821 codes for specific activities. Two hundred seventeen new codes were added, 68% (561/821) of which have measured MET values. Approximately half (317/604) of the codes from the 2000 Compendium were modified to improve the definitions and/or to consolidate specific activities and to update estimated MET values where measured values did not exist. Updated MET values accounted for 73% of all code changes. Conclusions: The Compendium is used globally to quantify the energy cost of PA in adults for surveillance activities, research studies, and, in clinical settings, to write PA recommendations and to assess energy expenditure in individuals. The 2011 Compendium is an update of a system for quantifying the energy cost of adult human PA and is a living document that is moving in the direction of being 100% evidence based. Copyright © 2011 by the American College of Sports Medicine.","author":[{"dropping-particle":"","family":"Ainsworth","given":"Barbara E.","non-dropping-particle":"","parse-names":false,"suffix":""},{"dropping-particle":"","family":"Haskell","given":"William L.","non-dropping-particle":"","parse-names":false,"suffix":""},{"dropping-particle":"","family":"Herrmann","given":"Stephen D.","non-dropping-particle":"","parse-names":false,"suffix":""},{"dropping-particle":"","family":"Meckes","given":"Nathanael","non-dropping-particle":"","parse-names":false,"suffix":""},{"dropping-particle":"","family":"Bassett","given":"David R.","non-dropping-particle":"","parse-names":false,"suffix":""},{"dropping-particle":"","family":"Tudor-Locke","given":"Catrine","non-dropping-particle":"","parse-names":false,"suffix":""},{"dropping-particle":"","family":"Greer","given":"Jennifer L.","non-dropping-particle":"","parse-names":false,"suffix":""},{"dropping-particle":"","family":"Vezina","given":"Jesse","non-dropping-particle":"","parse-names":false,"suffix":""},{"dropping-particle":"","family":"Whitt-Glover","given":"Melicia C.","non-dropping-particle":"","parse-names":false,"suffix":""},{"dropping-particle":"","family":"Leon","given":"Arthur S.","non-dropping-particle":"","parse-names":false,"suffix":""}],"container-title":"Medicine and Science in Sports and Exercise","id":"ITEM-3","issue":"8","issued":{"date</w:instrText>
      </w:r>
      <w:r w:rsidR="00C71CCE" w:rsidRPr="00590655">
        <w:rPr>
          <w:rFonts w:ascii="Times New Roman" w:eastAsia="Times New Roman" w:hAnsi="Times New Roman" w:cs="Times New Roman"/>
          <w:color w:val="000000"/>
          <w:sz w:val="24"/>
          <w:szCs w:val="24"/>
          <w:highlight w:val="white"/>
        </w:rPr>
        <w:instrText>-parts":[["2011"]]},"page":"1575-1581","title":"2011 compendium of physical activities: A second update of codes and MET values","type":"article-journal","volume":"43"},"uris":["http://www.mendeley.com/documents/?uuid=2454878c-84d8-4211-946e-db7326b5a47f"]},{"id":"ITEM-4","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Projects","id":"ITEM-4","issued":{"date-parts":[["2017","5","1"]]},"publisher":"Dominican University of California","publisher-place":"San Rafael, California","title":"Occupational Therapy in the Intensive Care Unit","type":"thesis"},"uris":["http://www.mendeley.com/documents/?uuid=8769eb1c-50e7-3aa5-9f45-d58aca3df250"]}],"mendeley":{"formattedCitation":"&lt;sup&gt;13,28,34,35&lt;/sup&gt;","plainTextFormattedCitation":"13,28,34,35","previouslyFormattedCitation":"&lt;sup&gt;13,28,34,35&lt;/sup&gt;"},"properties":{"noteIndex":0},"schema":"https://github.com/citation-style-language/schema/raw/master/csl-citation.json"}</w:instrText>
      </w:r>
      <w:r w:rsidR="0072015D" w:rsidRPr="00EA669B">
        <w:rPr>
          <w:rFonts w:ascii="Times New Roman" w:eastAsia="Times New Roman" w:hAnsi="Times New Roman" w:cs="Times New Roman"/>
          <w:color w:val="000000"/>
          <w:sz w:val="24"/>
          <w:szCs w:val="24"/>
          <w:highlight w:val="white"/>
        </w:rPr>
        <w:fldChar w:fldCharType="separate"/>
      </w:r>
      <w:r w:rsidR="00680888" w:rsidRPr="00590655">
        <w:rPr>
          <w:rFonts w:ascii="Times New Roman" w:eastAsia="Times New Roman" w:hAnsi="Times New Roman" w:cs="Times New Roman"/>
          <w:noProof/>
          <w:color w:val="000000"/>
          <w:sz w:val="24"/>
          <w:szCs w:val="24"/>
          <w:highlight w:val="white"/>
          <w:vertAlign w:val="superscript"/>
        </w:rPr>
        <w:t>13,28,34,35</w:t>
      </w:r>
      <w:r w:rsidR="0072015D" w:rsidRPr="00EA669B">
        <w:rPr>
          <w:rFonts w:ascii="Times New Roman" w:eastAsia="Times New Roman" w:hAnsi="Times New Roman" w:cs="Times New Roman"/>
          <w:color w:val="000000"/>
          <w:sz w:val="24"/>
          <w:szCs w:val="24"/>
          <w:highlight w:val="white"/>
        </w:rPr>
        <w:fldChar w:fldCharType="end"/>
      </w:r>
      <w:r w:rsidR="00590655">
        <w:rPr>
          <w:rFonts w:ascii="Times New Roman" w:eastAsia="Times New Roman" w:hAnsi="Times New Roman" w:cs="Times New Roman"/>
          <w:color w:val="000000"/>
          <w:sz w:val="24"/>
          <w:szCs w:val="24"/>
          <w:highlight w:val="white"/>
        </w:rPr>
        <w:t xml:space="preserve">. </w:t>
      </w:r>
      <w:r w:rsidRPr="00EA669B">
        <w:rPr>
          <w:rFonts w:ascii="Times New Roman" w:eastAsia="Times New Roman" w:hAnsi="Times New Roman" w:cs="Times New Roman"/>
          <w:color w:val="000000"/>
          <w:sz w:val="24"/>
          <w:szCs w:val="24"/>
          <w:highlight w:val="white"/>
        </w:rPr>
        <w:t xml:space="preserve">Embora a maioria das atividades de autocuidado demande de 1,5 a 3,5 MET </w:t>
      </w:r>
      <w:r w:rsidR="0072015D" w:rsidRPr="00EA669B">
        <w:rPr>
          <w:rFonts w:ascii="Times New Roman" w:eastAsia="Times New Roman" w:hAnsi="Times New Roman" w:cs="Times New Roman"/>
          <w:color w:val="000000"/>
          <w:sz w:val="24"/>
          <w:szCs w:val="24"/>
          <w:highlight w:val="white"/>
        </w:rPr>
        <w:t xml:space="preserve"> </w:t>
      </w:r>
      <w:r w:rsidR="0072015D" w:rsidRPr="00EA669B">
        <w:rPr>
          <w:rFonts w:ascii="Times New Roman" w:eastAsia="Times New Roman" w:hAnsi="Times New Roman" w:cs="Times New Roman"/>
          <w:color w:val="000000"/>
          <w:sz w:val="24"/>
          <w:szCs w:val="24"/>
          <w:highlight w:val="white"/>
        </w:rPr>
        <w:fldChar w:fldCharType="begin" w:fldLock="1"/>
      </w:r>
      <w:r w:rsidR="00C71CCE">
        <w:rPr>
          <w:rFonts w:ascii="Times New Roman" w:eastAsia="Times New Roman" w:hAnsi="Times New Roman" w:cs="Times New Roman"/>
          <w:color w:val="000000"/>
          <w:sz w:val="24"/>
          <w:szCs w:val="24"/>
          <w:highlight w:val="white"/>
        </w:rPr>
        <w:instrText>ADDIN CSL_CITATION {"citationItems":[{"id":"ITEM-1","itemData":{"author":[{"dropping-particle":"","family":"BARTHOLOMEW","given":"TONYA et al.","non-dropping-particle":"","parse-names":false,"suffix":""}],"container-title":"Occupational therapy with elders: strategies for the cota.","editor":[{"dropping-particle":"","family":"St Louis: Mosby","given":"","non-dropping-particle":"","parse-names":false,"suffix":""}],"id":"ITEM-1","issued":{"date-parts":[["2011"]]},"page":"297-305","title":"Working with Elders Who Have Cardiovascular Conditions","type":"chapter"},"uris":["http://www.mendeley.com/documents/?uuid=c17da880-8264-3d93-be0a-3b09e908c4c4"]},{"id":"ITEM-2","itemData":{"DOI":"10.1249/MSS.0b013e31821ece12","ISSN":"01959131","PMID":"21681120","abstract":"Purpose: The Compendium of Physical Activities was developed to enhance the comparability of results across studies using self-report physical activity (PA) and is used to quantify the energy cost of a wide variety of PA. We provide the second update of the Compendium, called the 2011 Compendium. Methods: The 2011 Compendium retains the previous coding scheme to identify the major category headings and specific PA by their rate of energy expenditure in MET. Modifications in the 2011 Compendium include cataloging measured MET values and their source references, when available; addition of new codes and specific activities; an update of the Compendium tracking guide that links information in the 1993, 2000, and 2011 compendia versions; and the creation of a Web site to facilitate easy access and downloading of Compendium documents. Measured MET values were obtained from a systematic search of databases using defined key words. Results: The 2011 Compendium contains 821 codes for specific activities. Two hundred seventeen new codes were added, 68% (561/821) of which have measured MET values. Approximately half (317/604) of the codes from the 2000 Compendium were modified to improve the definitions and/or to consolidate specific activities and to update estimated MET values where measured values did not exist. Updated MET values accounted for 73% of all code changes. Conclusions: The Compendium is used globally to quantify the energy cost of PA in adults for surveillance activities, research studies, and, in clinical settings, to write PA recommendations and to assess energy expenditure in individuals. The 2011 Compendium is an update of a system for quantifying the energy cost of adult human PA and is a living document that is moving in the direction of being 100% evidence based. Copyright © 2011 by the American College of Sports Medicine.","author":[{"dropping-particle":"","family":"Ainsworth","given":"Barbara E.","non-dropping-particle":"","parse-names":false,"suffix":""},{"dropping-particle":"","family":"Haskell","given":"William L.","non-dropping-particle":"","parse-names":false,"suffix":""},{"dropping-particle":"","family":"Herrmann","given":"Stephen D.","non-dropping-particle":"","parse-names":false,"suffix":""},{"dropping-particle":"","family":"Meckes","given":"Nathanael","non-dropping-particle":"","parse-names":false,"suffix":""},{"dropping-particle":"","family":"Bassett","given":"David R.","non-dropping-particle":"","parse-names":false,"suffix":""},{"dropping-particle":"","family":"Tudor-Locke","given":"Catrine","non-dropping-particle":"","parse-names":false,"suffix":""},{"dropping-particle":"","family":"Greer","given":"Jennifer L.","non-dropping-particle":"","parse-names":false,"suffix":""},{"dropping-particle":"","family":"Vezina","given":"Jesse","non-dropping-particle":"","parse-names":false,"suffix":""},{"dropping-particle":"","family":"Whitt-Glover","given":"Melicia C.","non-dropping-particle":"","parse-names":false,"suffix":""},{"dropping-particle":"","family":"Leon","given":"Arthur S.","non-dropping-particle":"","parse-names":false,"suffix":""}],"container-title":"Medicine and Science in Sports and Exercise","id":"ITEM-2","issue":"8","issued":{"date-parts":[["2011"]]},"page":"1575-1581","title":"2011 compendium of physical activities: A second update of codes and MET values","type":"article-journal","volume":"43"},"uris":["http://www.mendeley.com/documents/?uuid=2454878c-84d8-4211-946e-db7326b5a47f"]}],"mendeley":{"formattedCitation":"&lt;sup&gt;28,34&lt;/sup&gt;","plainTextFormattedCitation":"28,34","previouslyFormattedCitation":"&lt;sup&gt;28,34&lt;/sup&gt;"},"properties":{"noteIndex":0},"schema":"https://github.com/citation-style-language/schema/raw/master/csl-citation.json"}</w:instrText>
      </w:r>
      <w:r w:rsidR="0072015D" w:rsidRPr="00EA669B">
        <w:rPr>
          <w:rFonts w:ascii="Times New Roman" w:eastAsia="Times New Roman" w:hAnsi="Times New Roman" w:cs="Times New Roman"/>
          <w:color w:val="000000"/>
          <w:sz w:val="24"/>
          <w:szCs w:val="24"/>
          <w:highlight w:val="white"/>
        </w:rPr>
        <w:fldChar w:fldCharType="separate"/>
      </w:r>
      <w:r w:rsidR="00680888" w:rsidRPr="00680888">
        <w:rPr>
          <w:rFonts w:ascii="Times New Roman" w:eastAsia="Times New Roman" w:hAnsi="Times New Roman" w:cs="Times New Roman"/>
          <w:noProof/>
          <w:color w:val="000000"/>
          <w:sz w:val="24"/>
          <w:szCs w:val="24"/>
          <w:highlight w:val="white"/>
          <w:vertAlign w:val="superscript"/>
        </w:rPr>
        <w:t>28,34</w:t>
      </w:r>
      <w:r w:rsidR="0072015D" w:rsidRPr="00EA669B">
        <w:rPr>
          <w:rFonts w:ascii="Times New Roman" w:eastAsia="Times New Roman" w:hAnsi="Times New Roman" w:cs="Times New Roman"/>
          <w:color w:val="000000"/>
          <w:sz w:val="24"/>
          <w:szCs w:val="24"/>
          <w:highlight w:val="white"/>
        </w:rPr>
        <w:fldChar w:fldCharType="end"/>
      </w:r>
      <w:r w:rsidRPr="00EA669B">
        <w:rPr>
          <w:rFonts w:ascii="Times New Roman" w:eastAsia="Times New Roman" w:hAnsi="Times New Roman" w:cs="Times New Roman"/>
          <w:color w:val="000000"/>
          <w:sz w:val="24"/>
          <w:szCs w:val="24"/>
          <w:highlight w:val="white"/>
        </w:rPr>
        <w:t xml:space="preserve">, os pacientes podem ter dificuldades de desempenhá-las. No que concerne à conservação de energia, os objetivos são: </w:t>
      </w:r>
    </w:p>
    <w:p w14:paraId="176C9480" w14:textId="03C408C2" w:rsidR="006B069B" w:rsidRDefault="00282FF0" w:rsidP="00EA669B">
      <w:pPr>
        <w:spacing w:after="0" w:line="36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 </w:t>
      </w:r>
      <w:r w:rsidR="00EA669B" w:rsidRPr="00EA669B">
        <w:rPr>
          <w:rFonts w:ascii="Times New Roman" w:eastAsia="Times New Roman" w:hAnsi="Times New Roman" w:cs="Times New Roman"/>
          <w:color w:val="000000"/>
          <w:sz w:val="24"/>
          <w:szCs w:val="24"/>
        </w:rPr>
        <w:t xml:space="preserve">organizar a rotina ocupacional dos pacientes diariamente, considerando a sua condição clínica, as atividades necessárias (incluindo intervenções dos outros profissionais), o tempo para o desempenho e os níveis de exigência de cada uma. Por exemplo, após o banho, mesmo com assistência total da equipe de enfermagem, o paciente precisa de um período de descanso, antes de se engajar em outra atividade. </w:t>
      </w:r>
    </w:p>
    <w:p w14:paraId="115DF33D" w14:textId="711F545E" w:rsidR="00C6149B" w:rsidRDefault="00282FF0" w:rsidP="00E425EF">
      <w:pPr>
        <w:spacing w:after="0" w:line="36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disponibilizar os objetos a serem utilizados pelo paciente em um local de fácil alcance e entre as cinturas escapular e pélvica </w:t>
      </w:r>
      <w:r w:rsidR="0072015D">
        <w:rPr>
          <w:rFonts w:ascii="Times New Roman" w:eastAsia="Times New Roman" w:hAnsi="Times New Roman" w:cs="Times New Roman"/>
          <w:color w:val="000000"/>
          <w:sz w:val="24"/>
          <w:szCs w:val="24"/>
          <w:highlight w:val="white"/>
        </w:rPr>
        <w:fldChar w:fldCharType="begin" w:fldLock="1"/>
      </w:r>
      <w:r w:rsidR="00C71CCE">
        <w:rPr>
          <w:rFonts w:ascii="Times New Roman" w:eastAsia="Times New Roman" w:hAnsi="Times New Roman" w:cs="Times New Roman"/>
          <w:color w:val="000000"/>
          <w:sz w:val="24"/>
          <w:szCs w:val="24"/>
          <w:highlight w:val="white"/>
        </w:rPr>
        <w:instrText>ADDIN CSL_CITATION {"citationItems":[{"id":"ITEM-1","itemData":{"DOI":"10.1590/S1806-37132006000600017","abstract":"Chronic obstructive pulmonary disease is a progressive and debilitating disease that is typically diagnosed only after a long period of gradual worsening. Dyspnea is the symptom that most often interferes with the execution of professional, family, social and daily-life activities of patients with chronic obstructive pulmonary disease. Such limitations can lead to a sedentary lifestyle and worsen overall quality of life. This article aims to address the functional limitations these patients deal with in carrying out their daily-life activities, establishing guidelines that health professionals can use to help their patients achieve maximum functionality. Guidelines for the use of energy conservation techniques are widely used in pulmonary rehabilitation programs. However, these guidelines should also be used in outpatient clinics and hospitals. A great number of human activities involve the legs and arms. The arms are involved in virtually all everyday activities - from the most simple to the most complex. Some studies have shown that upper-body exercises in which the arms are not supported cause thoracoabdominal asynchrony and dyspnea in shorter times and with less oxygen consumption than in exercises involving the legs. Even simple tasks can result in high oxygen consumption and minute ventilation, which accounts for the sensation of dyspnea reported by the patients. In view of these facts, it is appropriate to evaluate the impact that such incapacity has on daily life in patients with chronic obstructive pulmonary disease. Techniques of energy conservation that can be used as tools to minimize the discomfort of such patients are herein discussed, and those considered most appropriate are highlighted.","author":[{"dropping-particle":"","family":"Velloso","given":"Marcelo","non-dropping-particle":"","parse-names":false,"suffix":""},{"dropping-particle":"","family":"Jardim","given":"JR","non-dropping-particle":"","parse-names":false,"suffix":""}],"container-title":"Jornaldepneumologia.Com.Br","id":"ITEM-1","issue":"6","issued":{"date-parts":[["2006"]]},"page":"580-586","title":"Funcionalidade do paciente com doença pulmonar obstrutiva crônica e técnicas de conservação de energia. Functionality of patients with chronic obstructive pulmonary disease: energy conservation techniques","type":"article-journal","volume":"32"},"uris":["http://www.mendeley.com/documents/?uuid=fc52a9a7-fab6-4655-b4b8-eaa222aa820a"]}],"mendeley":{"formattedCitation":"&lt;sup&gt;35&lt;/sup&gt;","plainTextFormattedCitation":"35","previouslyFormattedCitation":"&lt;sup&gt;35&lt;/sup&gt;"},"properties":{"noteIndex":0},"schema":"https://github.com/citation-style-language/schema/raw/master/csl-citation.json"}</w:instrText>
      </w:r>
      <w:r w:rsidR="0072015D">
        <w:rPr>
          <w:rFonts w:ascii="Times New Roman" w:eastAsia="Times New Roman" w:hAnsi="Times New Roman" w:cs="Times New Roman"/>
          <w:color w:val="000000"/>
          <w:sz w:val="24"/>
          <w:szCs w:val="24"/>
          <w:highlight w:val="white"/>
        </w:rPr>
        <w:fldChar w:fldCharType="separate"/>
      </w:r>
      <w:r w:rsidR="00680888" w:rsidRPr="00680888">
        <w:rPr>
          <w:rFonts w:ascii="Times New Roman" w:eastAsia="Times New Roman" w:hAnsi="Times New Roman" w:cs="Times New Roman"/>
          <w:noProof/>
          <w:color w:val="000000"/>
          <w:sz w:val="24"/>
          <w:szCs w:val="24"/>
          <w:highlight w:val="white"/>
          <w:vertAlign w:val="superscript"/>
        </w:rPr>
        <w:t>35</w:t>
      </w:r>
      <w:r w:rsidR="0072015D">
        <w:rPr>
          <w:rFonts w:ascii="Times New Roman" w:eastAsia="Times New Roman" w:hAnsi="Times New Roman" w:cs="Times New Roman"/>
          <w:color w:val="000000"/>
          <w:sz w:val="24"/>
          <w:szCs w:val="24"/>
          <w:highlight w:val="white"/>
        </w:rPr>
        <w:fldChar w:fldCharType="end"/>
      </w:r>
      <w:r w:rsidR="00590655">
        <w:rPr>
          <w:rFonts w:ascii="Times New Roman" w:eastAsia="Times New Roman" w:hAnsi="Times New Roman" w:cs="Times New Roman"/>
          <w:color w:val="000000"/>
          <w:sz w:val="24"/>
          <w:szCs w:val="24"/>
          <w:highlight w:val="white"/>
        </w:rPr>
        <w:t xml:space="preserve">. </w:t>
      </w:r>
      <w:bookmarkStart w:id="0" w:name="_GoBack"/>
      <w:bookmarkEnd w:id="0"/>
    </w:p>
    <w:p w14:paraId="03F54263" w14:textId="59FB16B9" w:rsidR="006B069B" w:rsidRPr="006B069B" w:rsidRDefault="00282FF0" w:rsidP="00EA669B">
      <w:pPr>
        <w:spacing w:after="0" w:line="360" w:lineRule="auto"/>
        <w:ind w:left="720"/>
        <w:jc w:val="both"/>
        <w:rPr>
          <w:sz w:val="24"/>
          <w:szCs w:val="24"/>
          <w:highlight w:val="white"/>
        </w:rPr>
      </w:pPr>
      <w:r>
        <w:rPr>
          <w:rFonts w:ascii="Times New Roman" w:eastAsia="Times New Roman" w:hAnsi="Times New Roman" w:cs="Times New Roman"/>
          <w:color w:val="000000"/>
          <w:sz w:val="24"/>
          <w:szCs w:val="24"/>
          <w:highlight w:val="white"/>
        </w:rPr>
        <w:t xml:space="preserve">3) </w:t>
      </w:r>
      <w:r w:rsidR="00EA669B">
        <w:rPr>
          <w:rFonts w:ascii="Times New Roman" w:eastAsia="Times New Roman" w:hAnsi="Times New Roman" w:cs="Times New Roman"/>
          <w:color w:val="000000"/>
          <w:sz w:val="24"/>
          <w:szCs w:val="24"/>
          <w:highlight w:val="white"/>
        </w:rPr>
        <w:t>simplificar algumas atividades, orientando recursos de Tecnologia Assistiva</w:t>
      </w:r>
      <w:r>
        <w:rPr>
          <w:rFonts w:ascii="Times New Roman" w:eastAsia="Times New Roman" w:hAnsi="Times New Roman" w:cs="Times New Roman"/>
          <w:color w:val="000000"/>
          <w:sz w:val="24"/>
          <w:szCs w:val="24"/>
          <w:highlight w:val="white"/>
        </w:rPr>
        <w:t xml:space="preserve">. </w:t>
      </w:r>
      <w:r w:rsidR="00EA669B">
        <w:rPr>
          <w:rFonts w:ascii="Times New Roman" w:eastAsia="Times New Roman" w:hAnsi="Times New Roman" w:cs="Times New Roman"/>
          <w:color w:val="000000"/>
          <w:sz w:val="24"/>
          <w:szCs w:val="24"/>
          <w:highlight w:val="white"/>
        </w:rPr>
        <w:t>O uso de engrossadores para o talher e a escova de dente, assim como o uso de coxins, rolos e travesseiros para o posicionamento no leito podem contribuir para o desempenho das atividades de alimentação e higiene oral</w:t>
      </w:r>
      <w:r w:rsidR="00EA669B">
        <w:rPr>
          <w:rFonts w:ascii="Times New Roman" w:eastAsia="Times New Roman" w:hAnsi="Times New Roman" w:cs="Times New Roman"/>
          <w:sz w:val="24"/>
          <w:szCs w:val="24"/>
          <w:highlight w:val="white"/>
        </w:rPr>
        <w:t>.</w:t>
      </w:r>
      <w:r w:rsidR="00EA669B">
        <w:rPr>
          <w:rFonts w:ascii="Times New Roman" w:eastAsia="Times New Roman" w:hAnsi="Times New Roman" w:cs="Times New Roman"/>
          <w:color w:val="000000"/>
          <w:sz w:val="24"/>
          <w:szCs w:val="24"/>
          <w:highlight w:val="white"/>
        </w:rPr>
        <w:t xml:space="preserve"> </w:t>
      </w:r>
    </w:p>
    <w:p w14:paraId="00000101" w14:textId="72DD7991" w:rsidR="000C7A2A" w:rsidRPr="00C6149B" w:rsidRDefault="00282FF0" w:rsidP="00C6149B">
      <w:pPr>
        <w:numPr>
          <w:ilvl w:val="0"/>
          <w:numId w:val="2"/>
        </w:numPr>
        <w:spacing w:after="0" w:line="360" w:lineRule="auto"/>
        <w:jc w:val="both"/>
        <w:rPr>
          <w:sz w:val="24"/>
          <w:szCs w:val="24"/>
          <w:highlight w:val="white"/>
        </w:rPr>
      </w:pPr>
      <w:r>
        <w:rPr>
          <w:rFonts w:ascii="Times New Roman" w:eastAsia="Times New Roman" w:hAnsi="Times New Roman" w:cs="Times New Roman"/>
          <w:color w:val="000000"/>
          <w:sz w:val="24"/>
          <w:szCs w:val="24"/>
          <w:highlight w:val="white"/>
        </w:rPr>
        <w:lastRenderedPageBreak/>
        <w:t xml:space="preserve">4) orientar quanto às posturas mais adequadas </w:t>
      </w:r>
      <w:r w:rsidR="00EA669B">
        <w:rPr>
          <w:rFonts w:ascii="Times New Roman" w:eastAsia="Times New Roman" w:hAnsi="Times New Roman" w:cs="Times New Roman"/>
          <w:color w:val="000000"/>
          <w:sz w:val="24"/>
          <w:szCs w:val="24"/>
          <w:highlight w:val="white"/>
        </w:rPr>
        <w:t>para a</w:t>
      </w:r>
      <w:r>
        <w:rPr>
          <w:rFonts w:ascii="Times New Roman" w:eastAsia="Times New Roman" w:hAnsi="Times New Roman" w:cs="Times New Roman"/>
          <w:color w:val="000000"/>
          <w:sz w:val="24"/>
          <w:szCs w:val="24"/>
          <w:highlight w:val="white"/>
        </w:rPr>
        <w:t xml:space="preserve"> realização de cada uma das</w:t>
      </w:r>
      <w:r>
        <w:rPr>
          <w:rFonts w:ascii="Times New Roman" w:eastAsia="Times New Roman" w:hAnsi="Times New Roman" w:cs="Times New Roman"/>
          <w:sz w:val="24"/>
          <w:szCs w:val="24"/>
          <w:highlight w:val="white"/>
        </w:rPr>
        <w:t xml:space="preserve"> atividades</w:t>
      </w:r>
      <w:r>
        <w:rPr>
          <w:rFonts w:ascii="Times New Roman" w:eastAsia="Times New Roman" w:hAnsi="Times New Roman" w:cs="Times New Roman"/>
          <w:color w:val="000000"/>
          <w:sz w:val="24"/>
          <w:szCs w:val="24"/>
          <w:highlight w:val="white"/>
        </w:rPr>
        <w:t xml:space="preserve">. Quando o paciente realizar atividades utilizando </w:t>
      </w:r>
      <w:r w:rsidR="00FD1F69">
        <w:rPr>
          <w:rFonts w:ascii="Times New Roman" w:eastAsia="Times New Roman" w:hAnsi="Times New Roman" w:cs="Times New Roman"/>
          <w:color w:val="000000"/>
          <w:sz w:val="24"/>
          <w:szCs w:val="24"/>
          <w:highlight w:val="white"/>
        </w:rPr>
        <w:t xml:space="preserve">os membros superiores </w:t>
      </w:r>
      <w:r>
        <w:rPr>
          <w:rFonts w:ascii="Times New Roman" w:eastAsia="Times New Roman" w:hAnsi="Times New Roman" w:cs="Times New Roman"/>
          <w:color w:val="000000"/>
          <w:sz w:val="24"/>
          <w:szCs w:val="24"/>
          <w:highlight w:val="white"/>
        </w:rPr>
        <w:t>no leito, por exemplo, deve fazê-lo com apoio em uma mesa ou almofadas, além de evitar a flexão do tronco, favorecendo menor gasto energético</w:t>
      </w:r>
      <w:r w:rsidR="0072015D">
        <w:rPr>
          <w:rFonts w:ascii="Times New Roman" w:eastAsia="Times New Roman" w:hAnsi="Times New Roman" w:cs="Times New Roman"/>
          <w:color w:val="000000"/>
          <w:sz w:val="24"/>
          <w:szCs w:val="24"/>
          <w:highlight w:val="white"/>
        </w:rPr>
        <w:t xml:space="preserve"> </w:t>
      </w:r>
      <w:r w:rsidR="0072015D">
        <w:rPr>
          <w:rFonts w:ascii="Times New Roman" w:eastAsia="Times New Roman" w:hAnsi="Times New Roman" w:cs="Times New Roman"/>
          <w:color w:val="000000"/>
          <w:sz w:val="24"/>
          <w:szCs w:val="24"/>
          <w:highlight w:val="white"/>
        </w:rPr>
        <w:fldChar w:fldCharType="begin" w:fldLock="1"/>
      </w:r>
      <w:r w:rsidR="00C71CCE">
        <w:rPr>
          <w:rFonts w:ascii="Times New Roman" w:eastAsia="Times New Roman" w:hAnsi="Times New Roman" w:cs="Times New Roman"/>
          <w:color w:val="000000"/>
          <w:sz w:val="24"/>
          <w:szCs w:val="24"/>
          <w:highlight w:val="white"/>
        </w:rPr>
        <w:instrText>ADDIN CSL_CITATION {"citationItems":[{"id":"ITEM-1","itemData":{"author":[{"dropping-particle":"","family":"BARTHOLOMEW","given":"TONYA et al.","non-dropping-particle":"","parse-names":false,"suffix":""}],"container-title":"Occupational therapy with elders: strategies for the cota.","editor":[{"dropping-particle":"","family":"St Louis: Mosby","given":"","non-dropping-particle":"","parse-names":false,"suffix":""}],"id":"ITEM-1","issued":{"date-parts":[["2011"]]},"page":"297-305","title":"Working with Elders Who Have Cardiovascular Conditions","type":"chapter"},"uris":["http://www.mendeley.com/documents/?uuid=c17da880-8264-3d93-be0a-3b09e908c4c4"]}],"mendeley":{"formattedCitation":"&lt;sup&gt;28&lt;/sup&gt;","plainTextFormattedCitation":"28","previouslyFormattedCitation":"&lt;sup&gt;28&lt;/sup&gt;"},"properties":{"noteIndex":0},"schema":"https://github.com/citation-style-language/schema/raw/master/csl-citation.json"}</w:instrText>
      </w:r>
      <w:r w:rsidR="0072015D">
        <w:rPr>
          <w:rFonts w:ascii="Times New Roman" w:eastAsia="Times New Roman" w:hAnsi="Times New Roman" w:cs="Times New Roman"/>
          <w:color w:val="000000"/>
          <w:sz w:val="24"/>
          <w:szCs w:val="24"/>
          <w:highlight w:val="white"/>
        </w:rPr>
        <w:fldChar w:fldCharType="separate"/>
      </w:r>
      <w:r w:rsidR="00680888" w:rsidRPr="00680888">
        <w:rPr>
          <w:rFonts w:ascii="Times New Roman" w:eastAsia="Times New Roman" w:hAnsi="Times New Roman" w:cs="Times New Roman"/>
          <w:noProof/>
          <w:color w:val="000000"/>
          <w:sz w:val="24"/>
          <w:szCs w:val="24"/>
          <w:highlight w:val="white"/>
          <w:vertAlign w:val="superscript"/>
        </w:rPr>
        <w:t>28</w:t>
      </w:r>
      <w:r w:rsidR="0072015D">
        <w:rPr>
          <w:rFonts w:ascii="Times New Roman" w:eastAsia="Times New Roman" w:hAnsi="Times New Roman" w:cs="Times New Roman"/>
          <w:color w:val="000000"/>
          <w:sz w:val="24"/>
          <w:szCs w:val="24"/>
          <w:highlight w:val="white"/>
        </w:rPr>
        <w:fldChar w:fldCharType="end"/>
      </w:r>
      <w:r>
        <w:rPr>
          <w:rFonts w:ascii="Times New Roman" w:eastAsia="Times New Roman" w:hAnsi="Times New Roman" w:cs="Times New Roman"/>
          <w:color w:val="000000"/>
          <w:sz w:val="24"/>
          <w:szCs w:val="24"/>
          <w:highlight w:val="white"/>
        </w:rPr>
        <w:t xml:space="preserve">. </w:t>
      </w:r>
      <w:r w:rsidRPr="00C6149B">
        <w:rPr>
          <w:rFonts w:ascii="Times New Roman" w:eastAsia="Times New Roman" w:hAnsi="Times New Roman" w:cs="Times New Roman"/>
          <w:color w:val="000000"/>
          <w:sz w:val="24"/>
          <w:szCs w:val="24"/>
          <w:highlight w:val="white"/>
        </w:rPr>
        <w:t xml:space="preserve">Busque também otimizar posições em decúbito dorsal, como de </w:t>
      </w:r>
      <w:proofErr w:type="spellStart"/>
      <w:r w:rsidRPr="00C6149B">
        <w:rPr>
          <w:rFonts w:ascii="Times New Roman" w:eastAsia="Times New Roman" w:hAnsi="Times New Roman" w:cs="Times New Roman"/>
          <w:i/>
          <w:iCs/>
          <w:color w:val="000000"/>
          <w:sz w:val="24"/>
          <w:szCs w:val="24"/>
          <w:highlight w:val="white"/>
        </w:rPr>
        <w:t>semi-fowler</w:t>
      </w:r>
      <w:proofErr w:type="spellEnd"/>
      <w:r w:rsidRPr="00C6149B">
        <w:rPr>
          <w:rFonts w:ascii="Times New Roman" w:eastAsia="Times New Roman" w:hAnsi="Times New Roman" w:cs="Times New Roman"/>
          <w:color w:val="000000"/>
          <w:sz w:val="24"/>
          <w:szCs w:val="24"/>
          <w:highlight w:val="white"/>
        </w:rPr>
        <w:t xml:space="preserve"> e </w:t>
      </w:r>
      <w:proofErr w:type="spellStart"/>
      <w:r w:rsidRPr="00C6149B">
        <w:rPr>
          <w:rFonts w:ascii="Times New Roman" w:eastAsia="Times New Roman" w:hAnsi="Times New Roman" w:cs="Times New Roman"/>
          <w:i/>
          <w:iCs/>
          <w:color w:val="000000"/>
          <w:sz w:val="24"/>
          <w:szCs w:val="24"/>
          <w:highlight w:val="white"/>
        </w:rPr>
        <w:t>fowler</w:t>
      </w:r>
      <w:proofErr w:type="spellEnd"/>
      <w:r w:rsidRPr="00C6149B">
        <w:rPr>
          <w:rFonts w:ascii="Times New Roman" w:eastAsia="Times New Roman" w:hAnsi="Times New Roman" w:cs="Times New Roman"/>
          <w:color w:val="000000"/>
          <w:sz w:val="24"/>
          <w:szCs w:val="24"/>
          <w:highlight w:val="white"/>
        </w:rPr>
        <w:t xml:space="preserve">. </w:t>
      </w:r>
    </w:p>
    <w:p w14:paraId="36F3B166" w14:textId="77777777" w:rsidR="006B069B" w:rsidRDefault="006B069B" w:rsidP="006B069B">
      <w:pPr>
        <w:spacing w:after="0" w:line="360" w:lineRule="auto"/>
        <w:ind w:left="720"/>
        <w:jc w:val="both"/>
        <w:rPr>
          <w:sz w:val="24"/>
          <w:szCs w:val="24"/>
          <w:highlight w:val="white"/>
        </w:rPr>
      </w:pPr>
    </w:p>
    <w:p w14:paraId="00000102" w14:textId="4EF92132" w:rsidR="000C7A2A" w:rsidRDefault="00FD1F69">
      <w:pPr>
        <w:spacing w:after="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Intervenção direta do terapeuta ocupacional, por meio do treino das AVD, </w:t>
      </w:r>
      <w:r w:rsidR="00282FF0">
        <w:rPr>
          <w:rFonts w:ascii="Times New Roman" w:eastAsia="Times New Roman" w:hAnsi="Times New Roman" w:cs="Times New Roman"/>
          <w:sz w:val="24"/>
          <w:szCs w:val="24"/>
          <w:highlight w:val="white"/>
        </w:rPr>
        <w:t xml:space="preserve">pode contribuir para a restauração de habilidades de desempenho que foram perdidas e/ou para </w:t>
      </w:r>
      <w:r w:rsidR="00EA669B">
        <w:rPr>
          <w:rFonts w:ascii="Times New Roman" w:eastAsia="Times New Roman" w:hAnsi="Times New Roman" w:cs="Times New Roman"/>
          <w:sz w:val="24"/>
          <w:szCs w:val="24"/>
          <w:highlight w:val="white"/>
        </w:rPr>
        <w:t>a sua</w:t>
      </w:r>
      <w:r w:rsidR="00282FF0">
        <w:rPr>
          <w:rFonts w:ascii="Times New Roman" w:eastAsia="Times New Roman" w:hAnsi="Times New Roman" w:cs="Times New Roman"/>
          <w:sz w:val="24"/>
          <w:szCs w:val="24"/>
          <w:highlight w:val="white"/>
        </w:rPr>
        <w:t xml:space="preserve"> manutenção, além de favorecer maior independência, bem-estar e satisfação do paciente. O uso de adaptações e modificações na forma de realizar a atividade podem favorecer a participação, mesmo na presença de limitações.   </w:t>
      </w:r>
    </w:p>
    <w:p w14:paraId="00000103" w14:textId="3F2D531C" w:rsidR="000C7A2A" w:rsidRDefault="00282FF0">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Importante consultar a literatura nacional e internacional de forma a contribuir para o raciocínio terapêutico ocupacional na UTI </w:t>
      </w:r>
      <w:r w:rsidR="0072015D">
        <w:rPr>
          <w:rFonts w:ascii="Times New Roman" w:eastAsia="Times New Roman" w:hAnsi="Times New Roman" w:cs="Times New Roman"/>
          <w:sz w:val="24"/>
          <w:szCs w:val="24"/>
          <w:highlight w:val="white"/>
        </w:rPr>
        <w:fldChar w:fldCharType="begin" w:fldLock="1"/>
      </w:r>
      <w:r w:rsidR="00C71CCE">
        <w:rPr>
          <w:rFonts w:ascii="Times New Roman" w:eastAsia="Times New Roman" w:hAnsi="Times New Roman" w:cs="Times New Roman"/>
          <w:sz w:val="24"/>
          <w:szCs w:val="24"/>
          <w:highlight w:val="white"/>
        </w:rPr>
        <w:instrText>ADDIN CSL_CITATION {"citationItems":[{"id":"ITEM-1","itemData":{"DOI":"10.33015/dominican.edu/2017.OT.02","author":[{"dropping-particle":"","family":"Colombini","given":"Kelsie","non-dropping-particle":"","parse-names":false,"suffix":""},{"dropping-particle":"","family":"Henderson","given":"Kristen","non-dropping-particle":"","parse-names":false,"suffix":""},{"dropping-particle":"","family":"Huie","given":"Michelle","non-dropping-particle":"","parse-names":false,"suffix":""},{"dropping-particle":"","family":"Malachowski","given":"Courtney","non-dropping-particle":"","parse-names":false,"suffix":""}],"container-title":"Graduate Master's Theses, Capstones, and Culminating Projects","id":"ITEM-1","issued":{"date-parts":[["2017","5","1"]]},"publisher":"Dominican University of California","publisher-place":"San Rafael, California","title":"Occupational Therapy in the Intensive Care Unit","type":"thesis"},"uris":["http://www.mendeley.com/documents/?uuid=8769eb1c-50e7-3aa5-9f45-d58aca3df250"]},{"id":"ITEM-2","itemData":{"author":[{"dropping-particle":"","family":"BARTHOLOMEW","given":"TONYA et al.","non-dropping-particle":"","parse-names":false,"suffix":""}],"container-title":"Occupational therapy with elders: strategies for the cota.","editor":[{"dropping-particle":"","family":"St Louis: Mosby","given":"","non-dropping-particle":"","parse-names":false,"suffix":""}],"id":"ITEM-2","issued":{"date-parts":[["2011"]]},"page":"297-305","title":"Working with Elders Who Have Cardiovascular Conditions","type":"chapter"},"uris":["http://www.mendeley.com/documents/?uuid=c17da880-8264-3d93-be0a-3b09e908c4c4"]}],"mendeley":{"formattedCitation":"&lt;sup&gt;13,28&lt;/sup&gt;","plainTextFormattedCitation":"13,28","previouslyFormattedCitation":"&lt;sup&gt;13,28&lt;/sup&gt;"},"properties":{"noteIndex":0},"schema":"https://github.com/citation-style-language/schema/raw/master/csl-citation.json"}</w:instrText>
      </w:r>
      <w:r w:rsidR="0072015D">
        <w:rPr>
          <w:rFonts w:ascii="Times New Roman" w:eastAsia="Times New Roman" w:hAnsi="Times New Roman" w:cs="Times New Roman"/>
          <w:sz w:val="24"/>
          <w:szCs w:val="24"/>
          <w:highlight w:val="white"/>
        </w:rPr>
        <w:fldChar w:fldCharType="separate"/>
      </w:r>
      <w:r w:rsidR="00680888" w:rsidRPr="00680888">
        <w:rPr>
          <w:rFonts w:ascii="Times New Roman" w:eastAsia="Times New Roman" w:hAnsi="Times New Roman" w:cs="Times New Roman"/>
          <w:noProof/>
          <w:sz w:val="24"/>
          <w:szCs w:val="24"/>
          <w:highlight w:val="white"/>
          <w:vertAlign w:val="superscript"/>
        </w:rPr>
        <w:t>13,28</w:t>
      </w:r>
      <w:r w:rsidR="0072015D">
        <w:rPr>
          <w:rFonts w:ascii="Times New Roman" w:eastAsia="Times New Roman" w:hAnsi="Times New Roman" w:cs="Times New Roman"/>
          <w:sz w:val="24"/>
          <w:szCs w:val="24"/>
          <w:highlight w:val="white"/>
        </w:rPr>
        <w:fldChar w:fldCharType="end"/>
      </w:r>
      <w:r w:rsidR="0072015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e discutir com a equipe sobre essa retomada gradual das atividades diárias.</w:t>
      </w:r>
    </w:p>
    <w:p w14:paraId="0000010D" w14:textId="344129B8" w:rsidR="000C7A2A" w:rsidRDefault="000C7A2A">
      <w:pPr>
        <w:spacing w:line="259" w:lineRule="auto"/>
        <w:rPr>
          <w:rFonts w:ascii="Times New Roman" w:eastAsia="Times New Roman" w:hAnsi="Times New Roman" w:cs="Times New Roman"/>
          <w:sz w:val="24"/>
          <w:szCs w:val="24"/>
        </w:rPr>
      </w:pPr>
    </w:p>
    <w:p w14:paraId="60FDCF70" w14:textId="30AEE1EA" w:rsidR="00590655" w:rsidRPr="001B07F3" w:rsidRDefault="009F5EB0" w:rsidP="00590655">
      <w:p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sz w:val="24"/>
          <w:szCs w:val="24"/>
        </w:rPr>
        <w:t>A</w:t>
      </w:r>
      <w:r w:rsidRPr="001B07F3">
        <w:rPr>
          <w:rFonts w:ascii="Times New Roman" w:eastAsia="Times New Roman" w:hAnsi="Times New Roman" w:cs="Times New Roman"/>
          <w:b/>
          <w:bCs/>
          <w:sz w:val="24"/>
          <w:szCs w:val="24"/>
        </w:rPr>
        <w:t>pontamentos para identificação e gerenciamento não farmacológico</w:t>
      </w:r>
      <w:r>
        <w:rPr>
          <w:rFonts w:ascii="Times New Roman" w:eastAsia="Times New Roman" w:hAnsi="Times New Roman" w:cs="Times New Roman"/>
          <w:b/>
          <w:bCs/>
          <w:sz w:val="24"/>
          <w:szCs w:val="24"/>
        </w:rPr>
        <w:t xml:space="preserve"> de ‘</w:t>
      </w:r>
      <w:r w:rsidRPr="006A7DC1">
        <w:rPr>
          <w:rFonts w:ascii="Times New Roman" w:eastAsia="Times New Roman" w:hAnsi="Times New Roman" w:cs="Times New Roman"/>
          <w:b/>
          <w:bCs/>
          <w:sz w:val="24"/>
          <w:szCs w:val="24"/>
        </w:rPr>
        <w:t>delirium</w:t>
      </w:r>
      <w:r>
        <w:rPr>
          <w:rFonts w:ascii="Times New Roman" w:eastAsia="Times New Roman" w:hAnsi="Times New Roman" w:cs="Times New Roman"/>
          <w:b/>
          <w:bCs/>
          <w:sz w:val="24"/>
          <w:szCs w:val="24"/>
        </w:rPr>
        <w:t>’</w:t>
      </w:r>
      <w:r w:rsidRPr="001B07F3">
        <w:rPr>
          <w:rFonts w:ascii="Times New Roman" w:eastAsia="Times New Roman" w:hAnsi="Times New Roman" w:cs="Times New Roman"/>
          <w:b/>
          <w:bCs/>
          <w:sz w:val="24"/>
          <w:szCs w:val="24"/>
        </w:rPr>
        <w:t xml:space="preserve"> </w:t>
      </w:r>
    </w:p>
    <w:p w14:paraId="0000010F" w14:textId="22FABD5D" w:rsidR="000C7A2A" w:rsidRDefault="00590655">
      <w:pPr>
        <w:spacing w:after="0" w:line="360" w:lineRule="auto"/>
        <w:ind w:firstLine="708"/>
        <w:jc w:val="both"/>
        <w:rPr>
          <w:rFonts w:ascii="Times New Roman" w:eastAsia="Times New Roman" w:hAnsi="Times New Roman" w:cs="Times New Roman"/>
          <w:color w:val="000000"/>
          <w:sz w:val="24"/>
          <w:szCs w:val="24"/>
        </w:rPr>
      </w:pPr>
      <w:r w:rsidRPr="0057385D">
        <w:rPr>
          <w:rFonts w:ascii="Times" w:hAnsi="Times"/>
          <w:sz w:val="24"/>
          <w:szCs w:val="24"/>
        </w:rPr>
        <w:t xml:space="preserve">Conjectura-se o </w:t>
      </w:r>
      <w:r w:rsidRPr="0057385D">
        <w:rPr>
          <w:rFonts w:ascii="Times" w:eastAsia="Times New Roman" w:hAnsi="Times" w:cs="Times New Roman"/>
          <w:sz w:val="24"/>
          <w:szCs w:val="24"/>
        </w:rPr>
        <w:t>aumento</w:t>
      </w:r>
      <w:r>
        <w:rPr>
          <w:rFonts w:ascii="Times New Roman" w:eastAsia="Times New Roman" w:hAnsi="Times New Roman" w:cs="Times New Roman"/>
          <w:sz w:val="24"/>
          <w:szCs w:val="24"/>
        </w:rPr>
        <w:t xml:space="preserve"> da incidência e duração de </w:t>
      </w:r>
      <w:r w:rsidRPr="002C6028">
        <w:rPr>
          <w:rFonts w:ascii="Times New Roman" w:eastAsia="Times New Roman" w:hAnsi="Times New Roman" w:cs="Times New Roman"/>
          <w:i/>
          <w:sz w:val="24"/>
          <w:szCs w:val="24"/>
        </w:rPr>
        <w:t>delirium</w:t>
      </w:r>
      <w:r>
        <w:rPr>
          <w:rFonts w:ascii="Times New Roman" w:eastAsia="Times New Roman" w:hAnsi="Times New Roman" w:cs="Times New Roman"/>
          <w:sz w:val="24"/>
          <w:szCs w:val="24"/>
        </w:rPr>
        <w:t xml:space="preserve"> em pacientes hospitalizados, independentemente de casos confirmados para </w:t>
      </w:r>
      <w:r w:rsidR="002F0F3A">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em face do </w:t>
      </w:r>
      <w:r>
        <w:rPr>
          <w:rFonts w:ascii="Times New Roman" w:eastAsia="Times New Roman" w:hAnsi="Times New Roman" w:cs="Times New Roman"/>
          <w:color w:val="000000"/>
          <w:sz w:val="24"/>
          <w:szCs w:val="24"/>
        </w:rPr>
        <w:t xml:space="preserve">cenário característico de enfrentamento à pandemia, com </w:t>
      </w:r>
      <w:r>
        <w:rPr>
          <w:rFonts w:ascii="Times New Roman" w:eastAsia="Times New Roman" w:hAnsi="Times New Roman" w:cs="Times New Roman"/>
          <w:sz w:val="24"/>
          <w:szCs w:val="24"/>
        </w:rPr>
        <w:t>a ampliação dos fatores de risco e da impossibilidade de implementação de medidas não farmaco</w:t>
      </w:r>
      <w:r>
        <w:rPr>
          <w:rFonts w:ascii="Times New Roman" w:eastAsia="Times New Roman" w:hAnsi="Times New Roman" w:cs="Times New Roman"/>
          <w:color w:val="000000"/>
          <w:sz w:val="24"/>
          <w:szCs w:val="24"/>
        </w:rPr>
        <w:t xml:space="preserve">lógicas de prevenção e manejo de </w:t>
      </w:r>
      <w:r w:rsidRPr="002C6028">
        <w:rPr>
          <w:rFonts w:ascii="Times New Roman" w:eastAsia="Times New Roman" w:hAnsi="Times New Roman" w:cs="Times New Roman"/>
          <w:i/>
          <w:color w:val="000000"/>
          <w:sz w:val="24"/>
          <w:szCs w:val="24"/>
        </w:rPr>
        <w:t>delirium</w:t>
      </w:r>
      <w:r>
        <w:rPr>
          <w:rFonts w:ascii="Times New Roman" w:eastAsia="Times New Roman" w:hAnsi="Times New Roman" w:cs="Times New Roman"/>
          <w:color w:val="000000"/>
          <w:sz w:val="24"/>
          <w:szCs w:val="24"/>
        </w:rPr>
        <w:t xml:space="preserve"> baseadas em evidência </w:t>
      </w:r>
      <w:r w:rsidR="00DD4427">
        <w:rPr>
          <w:rFonts w:ascii="Times New Roman" w:eastAsia="Times New Roman" w:hAnsi="Times New Roman" w:cs="Times New Roman"/>
          <w:color w:val="000000"/>
          <w:sz w:val="24"/>
          <w:szCs w:val="24"/>
        </w:rPr>
        <w:fldChar w:fldCharType="begin" w:fldLock="1"/>
      </w:r>
      <w:r w:rsidR="00DD4427">
        <w:rPr>
          <w:rFonts w:ascii="Times New Roman" w:eastAsia="Times New Roman" w:hAnsi="Times New Roman" w:cs="Times New Roman"/>
          <w:color w:val="000000"/>
          <w:sz w:val="24"/>
          <w:szCs w:val="24"/>
        </w:rPr>
        <w:instrText>ADDIN CSL_CITATION {"citationItems":[{"id":"ITEM-1","itemData":{"DOI":"10.1111/jgs.16480","ISSN":"00028614","author":[{"dropping-particle":"","family":"LaHue","given":"Sara C.","non-dropping-particle":"","parse-names":false,"suffix":""},{"dropping-particle":"","family":"James","given":"Todd C.","non-dropping-particle":"","parse-names":false,"suffix":""},{"dropping-particle":"","family":"Newman","given":"John C.","non-dropping-particle":"","parse-names":false,"suffix":""},{"dropping-particle":"","family":"Esmaili","given":"Armond M.","non-dropping-particle":"","parse-names":false,"suffix":""},{"dropping-particle":"","family":"Ormseth","given":"Cora H.","non-dropping-particle":"","parse-names":false,"suffix":""},{"dropping-particle":"","family":"Ely","given":"E. Wesley","non-dropping-particle":"","parse-names":false,"suffix":""}],"container-title":"Journal of the American Geriatrics Society","id":"ITEM-1","issued":{"date-parts":[["2020","4","11"]]},"publisher":"John Wiley &amp; Sons, Ltd","title":"Collaborative Delirium Prevention in the Age of COVID-19","type":"article-journal"},"uris":["http://www.mendeley.com/documents/?uuid=8dfc33ad-3a23-3092-b164-8ab06d51d4e3"]}],"mendeley":{"formattedCitation":"&lt;sup&gt;6&lt;/sup&gt;","plainTextFormattedCitation":"6","previouslyFormattedCitation":"&lt;sup&gt;6&lt;/sup&gt;"},"properties":{"noteIndex":0},"schema":"https://github.com/citation-style-language/schema/raw/master/csl-citation.json"}</w:instrText>
      </w:r>
      <w:r w:rsidR="00DD4427">
        <w:rPr>
          <w:rFonts w:ascii="Times New Roman" w:eastAsia="Times New Roman" w:hAnsi="Times New Roman" w:cs="Times New Roman"/>
          <w:color w:val="000000"/>
          <w:sz w:val="24"/>
          <w:szCs w:val="24"/>
        </w:rPr>
        <w:fldChar w:fldCharType="separate"/>
      </w:r>
      <w:r w:rsidR="00DD4427" w:rsidRPr="00DD4427">
        <w:rPr>
          <w:rFonts w:ascii="Times New Roman" w:eastAsia="Times New Roman" w:hAnsi="Times New Roman" w:cs="Times New Roman"/>
          <w:noProof/>
          <w:color w:val="000000"/>
          <w:sz w:val="24"/>
          <w:szCs w:val="24"/>
          <w:vertAlign w:val="superscript"/>
        </w:rPr>
        <w:t>6</w:t>
      </w:r>
      <w:r w:rsidR="00DD4427">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00000110" w14:textId="3F277CBA" w:rsidR="000C7A2A" w:rsidRDefault="00590655">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tosse </w:t>
      </w:r>
      <w:r>
        <w:rPr>
          <w:rFonts w:ascii="Times New Roman" w:eastAsia="Times New Roman" w:hAnsi="Times New Roman" w:cs="Times New Roman"/>
          <w:sz w:val="24"/>
          <w:szCs w:val="24"/>
        </w:rPr>
        <w:t>persistente</w:t>
      </w:r>
      <w:r>
        <w:rPr>
          <w:rFonts w:ascii="Times New Roman" w:eastAsia="Times New Roman" w:hAnsi="Times New Roman" w:cs="Times New Roman"/>
          <w:color w:val="000000"/>
          <w:sz w:val="24"/>
          <w:szCs w:val="24"/>
        </w:rPr>
        <w:t xml:space="preserve">, a assincronia em ventilação mecânica e o potencial de infecção relatados em pacientes com </w:t>
      </w:r>
      <w:r w:rsidR="002F0F3A">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 xml:space="preserve"> iniciam o manejo da doença com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isolamento social, </w:t>
      </w:r>
      <w:r>
        <w:rPr>
          <w:rFonts w:ascii="Times New Roman" w:eastAsia="Times New Roman" w:hAnsi="Times New Roman" w:cs="Times New Roman"/>
          <w:sz w:val="24"/>
          <w:szCs w:val="24"/>
        </w:rPr>
        <w:t>restrição na mobilidade</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 xml:space="preserve">elevadas quantidades de </w:t>
      </w:r>
      <w:proofErr w:type="spellStart"/>
      <w:r>
        <w:rPr>
          <w:rFonts w:ascii="Times New Roman" w:eastAsia="Times New Roman" w:hAnsi="Times New Roman" w:cs="Times New Roman"/>
          <w:sz w:val="24"/>
          <w:szCs w:val="24"/>
        </w:rPr>
        <w:t>analgosedação</w:t>
      </w:r>
      <w:proofErr w:type="spellEnd"/>
      <w:r>
        <w:rPr>
          <w:rFonts w:ascii="Times New Roman" w:eastAsia="Times New Roman" w:hAnsi="Times New Roman" w:cs="Times New Roman"/>
          <w:color w:val="000000"/>
          <w:sz w:val="24"/>
          <w:szCs w:val="24"/>
        </w:rPr>
        <w:t xml:space="preserve"> </w:t>
      </w:r>
      <w:r w:rsidR="00DD4427">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Lancet","id":"ITEM-1","issue":"10229","issued":{"date-parts":[["2020","3","28"]]},"page":"1054-1062","publisher":"Lancet Publishing Group","title":"Clinical course and risk factors for mortality of adult inpatients with COVID-19 in Wuhan, China: a retrospective cohort study","type":"article-journal","volume":"395"},"uris":["http://www.mendeley.com/documents/?uuid=b394cb19-d838-3511-bd50-eda3fadc819b"]},{"id":"ITEM-2","itemData":{"author":[{"dropping-particle":"","family":"Bamford","given":"P","non-dropping-particle":"","parse-names":false,"suffix":""},{"dropping-particle":"","family":"Denmade","given":"C","non-dropping-particle":"","parse-names":false,"suffix":""},{"dropping-particle":"","family":"Newmarch","given":"C","non-dropping-particle":"","parse-names":false,"suffix":""},{"dropping-particle":"","family":"Shirley","given":"P","non-dropping-particle":"","parse-names":false,"suffix":""},{"dropping-particle":"","family":"Singer","given":"B","non-dropping-particle":"","parse-names":false,"suffix":""},{"dropping-particle":"","family":"Webb","given":"S","non-dropping-particle":"","parse-names":false,"suffix":""},{"dropping-particle":"","family":"Whitmore","given":"D","non-dropping-particle":"","parse-names":false,"suffix":""}],"container-title":"Intensive Care Society","id":"ITEM-2","issued":{"date-parts":[["2019"]]},"page":"1-39","title":"Guidance For : Prone Positioning in Adult Critical Care","type":"article-journal"},"uris":["http://www.mendeley.com/documents/?uuid=6be8e18e-386d-486f-97dd-3be1add47d8a"]},{"id":"ITEM-3","itemData":{"URL":"https://www.uptodate.com/contents/coronavirus-disease-2019-covid-19-critical-care-issues","accessed":{"date-parts":[["2020","4","15"]]},"author":[{"dropping-particle":"","family":"Anesi","given":"George L","non-dropping-particle":"","parse-names":false,"suffix":""}],"id":"ITEM-3","issued":{"date-parts":[["2020"]]},"title":"Coronavirus disease 2019 (COVID-19): Critical care issues - UpToDate","type":"webpage"},"uris":["http://www.mendeley.com/documents/?uuid=3fb7fd1c-e65b-38b2-ab04-8c964e62c615"]}],"mendeley":{"formattedCitation":"&lt;sup&gt;5,20,36&lt;/sup&gt;","plainTextFormattedCitation":"5,20,36","previouslyFormattedCitation":"&lt;sup&gt;5,20,36&lt;/sup&gt;"},"properties":{"noteIndex":0},"schema":"https://github.com/citation-style-language/schema/raw/master/csl-citation.json"}</w:instrText>
      </w:r>
      <w:r w:rsidR="00DD4427">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5,20,36</w:t>
      </w:r>
      <w:r w:rsidR="00DD4427">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282F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Assim, a </w:t>
      </w:r>
      <w:r w:rsidR="002F0F3A">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 xml:space="preserve"> é uma doença que produz um ambiente de risco em potencial para </w:t>
      </w:r>
      <w:r w:rsidRPr="002C6028">
        <w:rPr>
          <w:rFonts w:ascii="Times New Roman" w:eastAsia="Times New Roman" w:hAnsi="Times New Roman" w:cs="Times New Roman"/>
          <w:i/>
          <w:color w:val="000000"/>
          <w:sz w:val="24"/>
          <w:szCs w:val="24"/>
        </w:rPr>
        <w:t>delirium</w:t>
      </w:r>
      <w:r>
        <w:rPr>
          <w:rFonts w:ascii="Times New Roman" w:eastAsia="Times New Roman" w:hAnsi="Times New Roman" w:cs="Times New Roman"/>
          <w:color w:val="000000"/>
          <w:sz w:val="24"/>
          <w:szCs w:val="24"/>
        </w:rPr>
        <w:t>. As visitas de familiares e amigos são reduzidas ou proibidas para os pacientes hospitalizados. Sabe-se que a presença do cuidador é, indubitavelmente, essencial na redução do isolamento ao proporcionar trocas afetivas e orientar para a realidade, no período diurno, contribuindo também para a manutenção do ciclo sono-vigília</w:t>
      </w:r>
      <w:r w:rsidR="00DD4427">
        <w:rPr>
          <w:rFonts w:ascii="Times New Roman" w:eastAsia="Times New Roman" w:hAnsi="Times New Roman" w:cs="Times New Roman"/>
          <w:color w:val="000000"/>
          <w:sz w:val="24"/>
          <w:szCs w:val="24"/>
        </w:rPr>
        <w:t xml:space="preserve"> </w:t>
      </w:r>
      <w:r w:rsidR="00DD4427">
        <w:rPr>
          <w:rFonts w:ascii="Times New Roman" w:eastAsia="Times New Roman" w:hAnsi="Times New Roman" w:cs="Times New Roman"/>
          <w:color w:val="000000"/>
          <w:sz w:val="24"/>
          <w:szCs w:val="24"/>
        </w:rPr>
        <w:fldChar w:fldCharType="begin" w:fldLock="1"/>
      </w:r>
      <w:r w:rsidR="0071209C">
        <w:rPr>
          <w:rFonts w:ascii="Times New Roman" w:eastAsia="Times New Roman" w:hAnsi="Times New Roman" w:cs="Times New Roman"/>
          <w:color w:val="000000"/>
          <w:sz w:val="24"/>
          <w:szCs w:val="24"/>
        </w:rPr>
        <w:instrText>ADDIN CSL_CITATION {"citationItems":[{"id":"ITEM-1","itemData":{"DOI":"10.1111/jgs.16480","ISSN":"00028614","author":[{"dropping-particle":"","family":"LaHue","given":"Sara C.","non-dropping-particle":"","parse-names":false,"suffix":""},{"dropping-particle":"","family":"James","given":"Todd C.","non-dropping-particle":"","parse-names":false,"suffix":""},{"dropping-particle":"","family":"Newman","given":"John C.","non-dropping-particle":"","parse-names":false,"suffix":""},{"dropping-particle":"","family":"Esmaili","given":"Armond M.","non-dropping-particle":"","parse-names":false,"suffix":""},{"dropping-particle":"","family":"Ormseth","given":"Cora H.","non-dropping-particle":"","parse-names":false,"suffix":""},{"dropping-particle":"","family":"Ely","given":"E. Wesley","non-dropping-particle":"","parse-names":false,"suffix":""}],"container-title":"Journal of the American Geriatrics Society","id":"ITEM-1","issued":{"date-parts":[["2020","4","11"]]},"publisher":"John Wiley &amp; Sons, Ltd","title":"Collaborative Delirium Prevention in the Age of COVID-19","type":"article-journal"},"uris":["http://www.mendeley.com/documents/?uuid=8dfc33ad-3a23-3092-b164-8ab06d51d4e3"]}],"mendeley":{"formattedCitation":"&lt;sup&gt;6&lt;/sup&gt;","plainTextFormattedCitation":"6","previouslyFormattedCitation":"&lt;sup&gt;6&lt;/sup&gt;"},"properties":{"noteIndex":0},"schema":"https://github.com/citation-style-language/schema/raw/master/csl-citation.json"}</w:instrText>
      </w:r>
      <w:r w:rsidR="00DD4427">
        <w:rPr>
          <w:rFonts w:ascii="Times New Roman" w:eastAsia="Times New Roman" w:hAnsi="Times New Roman" w:cs="Times New Roman"/>
          <w:color w:val="000000"/>
          <w:sz w:val="24"/>
          <w:szCs w:val="24"/>
        </w:rPr>
        <w:fldChar w:fldCharType="separate"/>
      </w:r>
      <w:r w:rsidR="00DD4427" w:rsidRPr="00DD4427">
        <w:rPr>
          <w:rFonts w:ascii="Times New Roman" w:eastAsia="Times New Roman" w:hAnsi="Times New Roman" w:cs="Times New Roman"/>
          <w:noProof/>
          <w:color w:val="000000"/>
          <w:sz w:val="24"/>
          <w:szCs w:val="24"/>
          <w:vertAlign w:val="superscript"/>
        </w:rPr>
        <w:t>6</w:t>
      </w:r>
      <w:r w:rsidR="00DD4427">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14:paraId="00000111" w14:textId="45CA54BB" w:rsidR="000C7A2A" w:rsidRDefault="00590655" w:rsidP="00590655">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medidas de identificação, prevenção e gerenciamento do </w:t>
      </w:r>
      <w:r w:rsidRPr="002C6028">
        <w:rPr>
          <w:rFonts w:ascii="Times New Roman" w:eastAsia="Times New Roman" w:hAnsi="Times New Roman" w:cs="Times New Roman"/>
          <w:i/>
          <w:color w:val="000000"/>
          <w:sz w:val="24"/>
          <w:szCs w:val="24"/>
        </w:rPr>
        <w:t>delirium</w:t>
      </w:r>
      <w:r>
        <w:rPr>
          <w:rFonts w:ascii="Times New Roman" w:eastAsia="Times New Roman" w:hAnsi="Times New Roman" w:cs="Times New Roman"/>
          <w:color w:val="000000"/>
          <w:sz w:val="24"/>
          <w:szCs w:val="24"/>
        </w:rPr>
        <w:t xml:space="preserve"> não podem ser desvalorizadas, visto que é potencialmente complicador e complementar à </w:t>
      </w:r>
      <w:r w:rsidR="002F0F3A">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detecção</w:t>
      </w:r>
      <w:proofErr w:type="spellEnd"/>
      <w:r>
        <w:rPr>
          <w:rFonts w:ascii="Times New Roman" w:eastAsia="Times New Roman" w:hAnsi="Times New Roman" w:cs="Times New Roman"/>
          <w:color w:val="000000"/>
          <w:sz w:val="24"/>
          <w:szCs w:val="24"/>
        </w:rPr>
        <w:t xml:space="preserve"> precoce pode levar à </w:t>
      </w:r>
      <w:proofErr w:type="spellStart"/>
      <w:r>
        <w:rPr>
          <w:rFonts w:ascii="Times New Roman" w:eastAsia="Times New Roman" w:hAnsi="Times New Roman" w:cs="Times New Roman"/>
          <w:color w:val="000000"/>
          <w:sz w:val="24"/>
          <w:szCs w:val="24"/>
        </w:rPr>
        <w:t>identificação</w:t>
      </w:r>
      <w:proofErr w:type="spellEnd"/>
      <w:r>
        <w:rPr>
          <w:rFonts w:ascii="Times New Roman" w:eastAsia="Times New Roman" w:hAnsi="Times New Roman" w:cs="Times New Roman"/>
          <w:color w:val="000000"/>
          <w:sz w:val="24"/>
          <w:szCs w:val="24"/>
        </w:rPr>
        <w:t xml:space="preserve"> imediata e </w:t>
      </w:r>
      <w:proofErr w:type="spellStart"/>
      <w:r>
        <w:rPr>
          <w:rFonts w:ascii="Times New Roman" w:eastAsia="Times New Roman" w:hAnsi="Times New Roman" w:cs="Times New Roman"/>
          <w:color w:val="000000"/>
          <w:sz w:val="24"/>
          <w:szCs w:val="24"/>
        </w:rPr>
        <w:t>correção</w:t>
      </w:r>
      <w:proofErr w:type="spellEnd"/>
      <w:r>
        <w:rPr>
          <w:rFonts w:ascii="Times New Roman" w:eastAsia="Times New Roman" w:hAnsi="Times New Roman" w:cs="Times New Roman"/>
          <w:color w:val="000000"/>
          <w:sz w:val="24"/>
          <w:szCs w:val="24"/>
        </w:rPr>
        <w:t xml:space="preserve">, quando </w:t>
      </w:r>
      <w:proofErr w:type="spellStart"/>
      <w:r>
        <w:rPr>
          <w:rFonts w:ascii="Times New Roman" w:eastAsia="Times New Roman" w:hAnsi="Times New Roman" w:cs="Times New Roman"/>
          <w:color w:val="000000"/>
          <w:sz w:val="24"/>
          <w:szCs w:val="24"/>
        </w:rPr>
        <w:t>possível</w:t>
      </w:r>
      <w:proofErr w:type="spellEnd"/>
      <w:r>
        <w:rPr>
          <w:rFonts w:ascii="Times New Roman" w:eastAsia="Times New Roman" w:hAnsi="Times New Roman" w:cs="Times New Roman"/>
          <w:color w:val="000000"/>
          <w:sz w:val="24"/>
          <w:szCs w:val="24"/>
        </w:rPr>
        <w:t xml:space="preserve">, da etiologia; à implementação de tratamento </w:t>
      </w:r>
      <w:proofErr w:type="spellStart"/>
      <w:r>
        <w:rPr>
          <w:rFonts w:ascii="Times New Roman" w:eastAsia="Times New Roman" w:hAnsi="Times New Roman" w:cs="Times New Roman"/>
          <w:color w:val="000000"/>
          <w:sz w:val="24"/>
          <w:szCs w:val="24"/>
        </w:rPr>
        <w:t>farmacológico</w:t>
      </w:r>
      <w:proofErr w:type="spellEnd"/>
      <w:r>
        <w:rPr>
          <w:rFonts w:ascii="Times New Roman" w:eastAsia="Times New Roman" w:hAnsi="Times New Roman" w:cs="Times New Roman"/>
          <w:color w:val="000000"/>
          <w:sz w:val="24"/>
          <w:szCs w:val="24"/>
        </w:rPr>
        <w:t xml:space="preserve"> ou </w:t>
      </w:r>
      <w:proofErr w:type="spellStart"/>
      <w:r>
        <w:rPr>
          <w:rFonts w:ascii="Times New Roman" w:eastAsia="Times New Roman" w:hAnsi="Times New Roman" w:cs="Times New Roman"/>
          <w:color w:val="000000"/>
          <w:sz w:val="24"/>
          <w:szCs w:val="24"/>
        </w:rPr>
        <w:t>não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farmacológico</w:t>
      </w:r>
      <w:proofErr w:type="spellEnd"/>
      <w:r>
        <w:rPr>
          <w:rFonts w:ascii="Times New Roman" w:eastAsia="Times New Roman" w:hAnsi="Times New Roman" w:cs="Times New Roman"/>
          <w:color w:val="000000"/>
          <w:sz w:val="24"/>
          <w:szCs w:val="24"/>
        </w:rPr>
        <w:t xml:space="preserve"> e às </w:t>
      </w:r>
      <w:proofErr w:type="spellStart"/>
      <w:r>
        <w:rPr>
          <w:rFonts w:ascii="Times New Roman" w:eastAsia="Times New Roman" w:hAnsi="Times New Roman" w:cs="Times New Roman"/>
          <w:color w:val="000000"/>
          <w:sz w:val="24"/>
          <w:szCs w:val="24"/>
        </w:rPr>
        <w:t>avaliações</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eficácia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do tratamento </w:t>
      </w:r>
      <w:r w:rsidR="0071209C">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{"citationItems":[{"id":"ITEM-1","itemData":{"DOI":"10.1097/CCM.0000000000003299","ISSN":"15300293","abstract":"OBJECTIVE: To update and expand the 2013 Clinical Practice Guidelines for the Management of Pain, Agitation, and Delirium in Adult Patients in the ICU. DESIGN: Thirty-two international experts, four methodologists, and four critical illness survivors met virtually at least monthly. All section groups gathered face-to-face at annual Society of Critical Care Medicine congresses; virtual connections included those unable to attend. A formal conflict of interest policy was developed a priori and enforced throughout the process. Teleconferences and electronic discussions among subgroups and whole panel were part of the guidelines' development. A general content review was completed face-to-face by all panel members in January 2017. METHODS: Content experts, methodologists, and ICU survivors were represented in each of the five sections of the guidelines: Pain, Agitation/sedation, Delirium, Immobility (mobilization/rehabilitation), and Sleep (disruption). Each section created Population, Intervention, Comparison, and Outcome, and nonactionable, descriptive questions based on perceived clinical relevance. The guideline group then voted their ranking, and patients prioritized their importance. For each Population, Intervention, Comparison, and Outcome question, sections searched the best available evidence, determined its quality, and formulated recommendations as \"strong,\" \"conditional,\" or \"good\" practice statements based on Grading of Recommendations Assessment, Development and Evaluation principles. In addition, evidence gaps and clinical caveats were explicitly identified. RESULTS: The Pain, Agitation/Sedation, Delirium, Immobility (mobilization/rehabilitation), and Sleep (disruption) panel issued 37 recommendations (three strong and 34 conditional), two good practice statements, and 32 ungraded, nonactionable statements. Three questions from the patient-centered prioritized question list remained without recommendation. CONCLUSIONS: We found substantial agreement among a large, interdisciplinary cohort of international experts regarding evidence supporting recommendations, and the remaining literature gaps in the assessment, prevention, and treatment of Pain, Agitation/sedation, Delirium, Immobility (mobilization/rehabilitation), and Sleep (disruption) in critically ill adults. Highlighting this evidence and the research needs will improve Pain, Agitation/sedation, Delirium, Immobility (mobilization/rehabilitation), and Sleep (disruption) management and p…","author":[{"dropping-particle":"","family":"Devlin","given":"John W.","non-dropping-particle":"","parse-names":false,"suffix":""},{"dropping-particle":"","family":"Skrobik","given":"Yoanna","non-dropping-particle":"","parse-names":false,"suffix":""},{"dropping-particle":"","family":"Gélinas","given":"Céline","non-dropping-particle":"","parse-names":false,"suffix":""},{"dropping-particle":"","family":"Needham","given":"Dale M.","non-dropping-particle":"","parse-names":false,"suffix":""},{"dropping-particle":"","family":"Slooter","given":"Arjen J.C.","non-dropping-particle":"","parse-names":false,"suffix":""},{"dropping-particle":"","family":"Pandharipande","given":"Pratik P.","non-dropping-particle":"","parse-names":false,"suffix":""},{"dropping-particle":"","family":"Watson","given":"Paula L.","non-dropping-particle":"","parse-names":false,"suffix":""},{"dropping-particle":"","family":"Weinhouse","given":"Gerald L.","non-dropping-particle":"","parse-names":false,"suffix":""},{"dropping-particle":"","family":"Nunnally","given":"Mark E.","non-dropping-particle":"","parse-names":false,"suffix":""},{"dropping-particle":"","family":"Rochwerg","given":"Bram","non-dropping-particle":"","parse-names":false,"suffix":""},{"dropping-particle":"","family":"Balas","given":"Michele C.","non-dropping-particle":"","parse-names":false,"suffix":""},{"dropping-particle":"","family":"Boogaard","given":"Mark","non-dropping-particle":"van den","parse-names":false,"suffix":""},{"dropping-particle":"","family":"Bosma","given":"Karen J.","non-dropping-particle":"","parse-names":false,"suffix":""},{"dropping-particle":"","family":"Brummel","given":"Nathaniel E.","non-dropping-particle":"","parse-names":false,"suffix":""},{"dropping-particle":"","family":"Chanques","given":"Gerald","non-dropping-particle":"","parse-names":false,"suffix":""},{"dropping-particle":"","family":"Denehy","given":"Linda","non-dropping-particle":"","parse-names":false,"suffix":""},{"dropping-particle":"","family":"Drouot","given":"Xavier","non-dropping-particle":"","parse-names":false,"suffix":""},{"dropping-particle":"","family":"Fraser","given":"Gilles L.","non-dropping-particle":"","parse-names":false,"suffix":""},{"dropping-particle":"","family":"Harris","given":"Jocelyn E.","non-dropping-particle":"","parse-names":false,"suffix":""},{"dropping-particle":"","family":"Joffe","given":"Aaron M.","non-dropping-particle":"","parse-names":false,"suffix":""},{"dropping-particle":"","family":"Kho","given":"Michelle E.","non-dropping-particle":"","parse-names":false,"suffix":""},{"dropping-particle":"","family":"Kress","given":"John P.","non-dropping-particle":"","parse-names":false,"suffix":""},{"dropping-particle":"","family":"Lanphere","given":"Julie A.","non-dropping-particle":"","parse-names":false,"suffix":""},{"dropping-particle":"","family":"McKinley","given":"Sharon","non-dropping-particle":"","parse-names":false,"suffix":""},{"dropping-particle":"","family":"Neufeld","given":"Karin J.","non-dropping-particle":"","parse-names":false,"suffix":""},{"dropping-particle":"","family":"Pisani","given":"Margaret A.","non-dropping-particle":"","parse-names":false,"suffix":""},{"dropping-particle":"","family":"Payen","given":"Jean Francois","non-dropping-particle":"","parse-names":false,"suffix":""},{"dropping-particle":"","family":"Pun","given":"Brenda T.","non-dropping-particle":"","parse-names":false,"suffix":""},{"dropping-particle":"","family":"Puntillo","given":"Kathleen A.","non-dropping-particle":"","parse-names":false,"suffix":""},{"dropping-particle":"","family":"Riker","given":"Richard R.","non-dropping-particle":"","parse-names":false,"suffix":""},{"dropping-particle":"","family":"Robinson","given":"Bryce R.H.","non-dropping-particle":"","parse-names":false,"suffix":""},{"dropping-particle":"","family":"Shehabi","given":"Yahya","non-dropping-particle":"","parse-names":false,"suffix":""},{"dropping-particle":"","family":"Szumita","given":"Paul M.","non-dropping-particle":"","parse-names":false,"suffix":""},{"dropping-particle":"","family":"Winkelman","given":"Chris","non-dropping-particle":"","parse-names":false,"suffix":""},{"dropping-particle":"","family":"Centofanti","given":"John E.","non-dropping-particle":"","parse-names":false,"suffix":""},{"dropping-particle":"","family":"Price","given":"Carrie","non-dropping-particle":"","parse-names":false,"suffix":""},{"dropping-particle":"","family":"Nikayin","given":"Sina","non-dropping-particle":"","parse-names":false,"suffix":""},{"dropping-particle":"","family":"Misak","given":"Cheryl J.","non-dropping-particle":"","parse-names":false,"suffix":""},{"dropping-particle":"","family":"Flood","given":"Pamela D.","non-dropping-particle":"","parse-names":false,"suffix":""},{"dropping-particle":"","family":"Kiedrowski","given":"Ken","non-dropping-particle":"","parse-names":false,"suffix":""},{"dropping-particle":"","family":"Alhazzani","given":"Waleed","non-dropping-particle":"","parse-names":false,"suffix":""}],"container-title":"Critical care medicine","id":"ITEM-1","issue":"9","issued":{"date-parts":[["2018","9","1"]]},"page":"e825-e873","publisher":"NLM (Medline)","title":"Clinical Practice Guidelines for the Prevention and Management of Pain, Agitation/Sedation, Delirium, Immobility, and Sleep Disruption in Adult Patients in the ICU","type":"article-journal","volume":"46"},"uris":["http://www.mendeley.com/documents/?uuid=a9bd6a42-b09f-3fbe-bc9e-9d37b9df0944"]}],"mendeley":{"formattedCitation":"&lt;sup&gt;37&lt;/sup&gt;","plainTextFormattedCitation":"37","previouslyFormattedCitation":"&lt;sup&gt;37&lt;/sup&gt;"},"properties":{"noteIndex":0},"schema":"https://github.com/citation-style-language/schema/raw/master/csl-citation.json"}</w:instrText>
      </w:r>
      <w:r w:rsidR="0071209C">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37</w:t>
      </w:r>
      <w:r w:rsidR="0071209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sidR="00282F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Assim, sugere-se que os terapeutas ocupacionais possam se apropriar de medidas de avaliação sistemática e de abordagens não farmacológicas a fim de contribuir para a prevenção e reversão dos casos de </w:t>
      </w:r>
      <w:r w:rsidRPr="002C6028">
        <w:rPr>
          <w:rFonts w:ascii="Times New Roman" w:eastAsia="Times New Roman" w:hAnsi="Times New Roman" w:cs="Times New Roman"/>
          <w:i/>
          <w:color w:val="000000"/>
          <w:sz w:val="24"/>
          <w:szCs w:val="24"/>
        </w:rPr>
        <w:t>delirium</w:t>
      </w:r>
      <w:r>
        <w:rPr>
          <w:rFonts w:ascii="Times New Roman" w:eastAsia="Times New Roman" w:hAnsi="Times New Roman" w:cs="Times New Roman"/>
          <w:color w:val="000000"/>
          <w:sz w:val="24"/>
          <w:szCs w:val="24"/>
        </w:rPr>
        <w:t>.</w:t>
      </w:r>
    </w:p>
    <w:p w14:paraId="00000112" w14:textId="5FBE8E77" w:rsidR="000C7A2A" w:rsidRDefault="0059065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o rastreio de </w:t>
      </w:r>
      <w:r w:rsidRPr="002C6028">
        <w:rPr>
          <w:rFonts w:ascii="Times New Roman" w:eastAsia="Times New Roman" w:hAnsi="Times New Roman" w:cs="Times New Roman"/>
          <w:i/>
          <w:color w:val="000000"/>
          <w:sz w:val="24"/>
          <w:szCs w:val="24"/>
        </w:rPr>
        <w:t>delirium</w:t>
      </w:r>
      <w:r>
        <w:rPr>
          <w:rFonts w:ascii="Times New Roman" w:eastAsia="Times New Roman" w:hAnsi="Times New Roman" w:cs="Times New Roman"/>
          <w:color w:val="000000"/>
          <w:sz w:val="24"/>
          <w:szCs w:val="24"/>
        </w:rPr>
        <w:t xml:space="preserve"> na prática clínica, as diretrizes de gestão da dor, agitação/</w:t>
      </w:r>
      <w:r w:rsidRPr="002C6028">
        <w:rPr>
          <w:rFonts w:ascii="Times New Roman" w:eastAsia="Times New Roman" w:hAnsi="Times New Roman" w:cs="Times New Roman"/>
          <w:i/>
          <w:color w:val="000000"/>
          <w:sz w:val="24"/>
          <w:szCs w:val="24"/>
        </w:rPr>
        <w:t>delirium</w:t>
      </w:r>
      <w:r>
        <w:rPr>
          <w:rFonts w:ascii="Times New Roman" w:eastAsia="Times New Roman" w:hAnsi="Times New Roman" w:cs="Times New Roman"/>
          <w:color w:val="000000"/>
          <w:sz w:val="24"/>
          <w:szCs w:val="24"/>
        </w:rPr>
        <w:t>, imobilidade e interrupção do sono em pacientes adultos na UTI</w:t>
      </w:r>
      <w:r w:rsidR="004929C4">
        <w:rPr>
          <w:rFonts w:ascii="Times New Roman" w:eastAsia="Times New Roman" w:hAnsi="Times New Roman" w:cs="Times New Roman"/>
          <w:color w:val="000000"/>
          <w:sz w:val="24"/>
          <w:szCs w:val="24"/>
        </w:rPr>
        <w:t xml:space="preserve"> </w:t>
      </w:r>
      <w:r w:rsidR="0071209C">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{"citationItems":[{"id":"ITEM-1","itemData":{"DOI":"10.1097/CCM.0000000000003299","ISSN":"15300293","abstract":"OBJECTIVE: To update and expand the 2013 Clinical Practice Guidelines for the Management of Pain, Agitation, and Delirium in Adult Patients in the ICU. DESIGN: Thirty-two international experts, four methodologists, and four critical illness survivors met virtually at least monthly. All section groups gathered face-to-face at annual Society of Critical Care Medicine congresses; virtual connections included those unable to attend. A formal conflict of interest policy was developed a priori and enforced throughout the process. Teleconferences and electronic discussions among subgroups and whole panel were part of the guidelines' development. A general content review was completed face-to-face by all panel members in January 2017. METHODS: Content experts, methodologists, and ICU survivors were represented in each of the five sections of the guidelines: Pain, Agitation/sedation, Delirium, Immobility (mobilization/rehabilitation), and Sleep (disruption). Each section created Population, Intervention, Comparison, and Outcome, and nonactionable, descriptive questions based on perceived clinical relevance. The guideline group then voted their ranking, and patients prioritized their importance. For each Population, Intervention, Comparison, and Outcome question, sections searched the best available evidence, determined its quality, and formulated recommendations as \"strong,\" \"conditional,\" or \"good\" practice statements based on Grading of Recommendations Assessment, Development and Evaluation principles. In addition, evidence gaps and clinical caveats were explicitly identified. RESULTS: The Pain, Agitation/Sedation, Delirium, Immobility (mobilization/rehabilitation), and Sleep (disruption) panel issued 37 recommendations (three strong and 34 conditional), two good practice statements, and 32 ungraded, nonactionable statements. Three questions from the patient-centered prioritized question list remained without recommendation. CONCLUSIONS: We found substantial agreement among a large, interdisciplinary cohort of international experts regarding evidence supporting recommendations, and the remaining literature gaps in the assessment, prevention, and treatment of Pain, Agitation/sedation, Delirium, Immobility (mobilization/rehabilitation), and Sleep (disruption) in critically ill adults. Highlighting this evidence and the research needs will improve Pain, Agitation/sedation, Delirium, Immobility (mobilization/rehabilitation), and Sleep (disruption) management and p…","author":[{"dropping-particle":"","family":"Devlin","given":"John W.","non-dropping-particle":"","parse-names":false,"suffix":""},{"dropping-particle":"","family":"Skrobik","given":"Yoanna","non-dropping-particle":"","parse-names":false,"suffix":""},{"dropping-particle":"","family":"Gélinas","given":"Céline","non-dropping-particle":"","parse-names":false,"suffix":""},{"dropping-particle":"","family":"Needham","given":"Dale M.","non-dropping-particle":"","parse-names":false,"suffix":""},{"dropping-particle":"","family":"Slooter","given":"Arjen J.C.","non-dropping-particle":"","parse-names":false,"suffix":""},{"dropping-particle":"","family":"Pandharipande","given":"Pratik P.","non-dropping-particle":"","parse-names":false,"suffix":""},{"dropping-particle":"","family":"Watson","given":"Paula L.","non-dropping-particle":"","parse-names":false,"suffix":""},{"dropping-particle":"","family":"Weinhouse","given":"Gerald L.","non-dropping-particle":"","parse-names":false,"suffix":""},{"dropping-particle":"","family":"Nunnally","given":"Mark E.","non-dropping-particle":"","parse-names":false,"suffix":""},{"dropping-particle":"","family":"Rochwerg","given":"Bram","non-dropping-particle":"","parse-names":false,"suffix":""},{"dropping-particle":"","family":"Balas","given":"Michele C.","non-dropping-particle":"","parse-names":false,"suffix":""},{"dropping-particle":"","family":"Boogaard","given":"Mark","non-dropping-particle":"van den","parse-names":false,"suffix":""},{"dropping-particle":"","family":"Bosma","given":"Karen J.","non-dropping-particle":"","parse-names":false,"suffix":""},{"dropping-particle":"","family":"Brummel","given":"Nathaniel E.","non-dropping-particle":"","parse-names":false,"suffix":""},{"dropping-particle":"","family":"Chanques","given":"Gerald","non-dropping-particle":"","parse-names":false,"suffix":""},{"dropping-particle":"","family":"Denehy","given":"Linda","non-dropping-particle":"","parse-names":false,"suffix":""},{"dropping-particle":"","family":"Drouot","given":"Xavier","non-dropping-particle":"","parse-names":false,"suffix":""},{"dropping-particle":"","family":"Fraser","given":"Gilles L.","non-dropping-particle":"","parse-names":false,"suffix":""},{"dropping-particle":"","family":"Harris","given":"Jocelyn E.","non-dropping-particle":"","parse-names":false,"suffix":""},{"dropping-particle":"","family":"Joffe","given":"Aaron M.","non-dropping-particle":"","parse-names":false,"suffix":""},{"dropping-particle":"","family":"Kho","given":"Michelle E.","non-dropping-particle":"","parse-names":false,"suffix":""},{"dropping-particle":"","family":"Kress","given":"John P.","non-dropping-particle":"","parse-names":false,"suffix":""},{"dropping-particle":"","family":"Lanphere","given":"Julie A.","non-dropping-particle":"","parse-names":false,"suffix":""},{"dropping-particle":"","family":"McKinley","given":"Sharon","non-dropping-particle":"","parse-names":false,"suffix":""},{"dropping-particle":"","family":"Neufeld","given":"Karin J.","non-dropping-particle":"","parse-names":false,"suffix":""},{"dropping-particle":"","family":"Pisani","given":"Margaret A.","non-dropping-particle":"","parse-names":false,"suffix":""},{"dropping-particle":"","family":"Payen","given":"Jean Francois","non-dropping-particle":"","parse-names":false,"suffix":""},{"dropping-particle":"","family":"Pun","given":"Brenda T.","non-dropping-particle":"","parse-names":false,"suffix":""},{"dropping-particle":"","family":"Puntillo","given":"Kathleen A.","non-dropping-particle":"","parse-names":false,"suffix":""},{"dropping-particle":"","family":"Riker","given":"Richard R.","non-dropping-particle":"","parse-names":false,"suffix":""},{"dropping-particle":"","family":"Robinson","given":"Bryce R.H.","non-dropping-particle":"","parse-names":false,"suffix":""},{"dropping-particle":"","family":"Shehabi","given":"Yahya","non-dropping-particle":"","parse-names":false,"suffix":""},{"dropping-particle":"","family":"Szumita","given":"Paul M.","non-dropping-particle":"","parse-names":false,"suffix":""},{"dropping-particle":"","family":"Winkelman","given":"Chris","non-dropping-particle":"","parse-names":false,"suffix":""},{"dropping-particle":"","family":"Centofanti","given":"John E.","non-dropping-particle":"","parse-names":false,"suffix":""},{"dropping-particle":"","family":"Price","given":"Carrie","non-dropping-particle":"","parse-names":false,"suffix":""},{"dropping-particle":"","family":"Nikayin","given":"Sina","non-dropping-particle":"","parse-names":false,"suffix":""},{"dropping-particle":"","family":"Misak","given":"Cheryl J.","non-dropping-particle":"","parse-names":false,"suffix":""},{"dropping-particle":"","family":"Flood","given":"Pamela D.","non-dropping-particle":"","parse-names":false,"suffix":""},{"dropping-particle":"","family":"Kiedrowski","given":"Ken","non-dropping-particle":"","parse-names":false,"suffix":""},{"dropping-particle":"","family":"Alhazzani","given":"Waleed","non-dropping-particle":"","parse-names":false,"suffix":""}],"container-title":"Critical care medicine","id":"ITEM-1","issue":"9","issued":{"date-parts":[["2018","9","1"]]},"page":"e825-e873","publisher":"NLM (Medline)","title":"Clinical Practice Guidelines for the Prevention and Management of Pain, Agitation/Sedation, Delirium, Immobility, and Sleep Disruption in Adult Patients in the ICU","type":"article-journal","volume":"46"},"uris":["http://www.mendeley.com/documents/?uuid=a9bd6a42-b09f-3fbe-bc9e-9d37b9df0944"]}],"mendeley":{"formattedCitation":"&lt;sup&gt;37&lt;/sup&gt;","plainTextFormattedCitation":"37","previouslyFormattedCitation":"&lt;sup&gt;37&lt;/sup&gt;"},"properties":{"noteIndex":0},"schema":"https://github.com/citation-style-language/schema/raw/master/csl-citation.json"}</w:instrText>
      </w:r>
      <w:r w:rsidR="0071209C">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37</w:t>
      </w:r>
      <w:r w:rsidR="0071209C">
        <w:rPr>
          <w:rFonts w:ascii="Times New Roman" w:eastAsia="Times New Roman" w:hAnsi="Times New Roman" w:cs="Times New Roman"/>
          <w:color w:val="000000"/>
          <w:sz w:val="24"/>
          <w:szCs w:val="24"/>
        </w:rPr>
        <w:fldChar w:fldCharType="end"/>
      </w:r>
      <w:r w:rsidR="004929C4">
        <w:rPr>
          <w:rFonts w:ascii="Times New Roman" w:eastAsia="Times New Roman" w:hAnsi="Times New Roman" w:cs="Times New Roman"/>
          <w:color w:val="000000"/>
          <w:sz w:val="24"/>
          <w:szCs w:val="24"/>
        </w:rPr>
        <w:t xml:space="preserve"> </w:t>
      </w:r>
      <w:r w:rsidR="00187616">
        <w:rPr>
          <w:rFonts w:ascii="Times New Roman" w:eastAsia="Times New Roman" w:hAnsi="Times New Roman" w:cs="Times New Roman"/>
          <w:color w:val="000000"/>
          <w:sz w:val="24"/>
          <w:szCs w:val="24"/>
        </w:rPr>
        <w:t xml:space="preserve">recomenda-se que todos os doentes sejam observados regularmente por meio do Método de Avaliação de Confusão para a UTI – CAM-ICU ou da Lista de Verificação para Triagem de Delírio – ICDSC, sendo esta mais utilizada para detectar </w:t>
      </w:r>
      <w:r w:rsidR="00187616" w:rsidRPr="002C6028">
        <w:rPr>
          <w:rFonts w:ascii="Times New Roman" w:eastAsia="Times New Roman" w:hAnsi="Times New Roman" w:cs="Times New Roman"/>
          <w:i/>
          <w:color w:val="000000"/>
          <w:sz w:val="24"/>
          <w:szCs w:val="24"/>
        </w:rPr>
        <w:t>delirium</w:t>
      </w:r>
      <w:r w:rsidR="00187616">
        <w:rPr>
          <w:rFonts w:ascii="Times New Roman" w:eastAsia="Times New Roman" w:hAnsi="Times New Roman" w:cs="Times New Roman"/>
          <w:color w:val="000000"/>
          <w:sz w:val="24"/>
          <w:szCs w:val="24"/>
        </w:rPr>
        <w:t xml:space="preserve"> subsindrômico. Recentemente</w:t>
      </w:r>
      <w:r w:rsidR="00187616">
        <w:rPr>
          <w:rFonts w:ascii="Times New Roman" w:eastAsia="Times New Roman" w:hAnsi="Times New Roman" w:cs="Times New Roman"/>
          <w:i/>
          <w:color w:val="000000"/>
          <w:sz w:val="24"/>
          <w:szCs w:val="24"/>
        </w:rPr>
        <w:t>,</w:t>
      </w:r>
      <w:r w:rsidR="00187616">
        <w:rPr>
          <w:rFonts w:ascii="Times New Roman" w:eastAsia="Times New Roman" w:hAnsi="Times New Roman" w:cs="Times New Roman"/>
          <w:color w:val="000000"/>
          <w:sz w:val="24"/>
          <w:szCs w:val="24"/>
        </w:rPr>
        <w:t xml:space="preserve"> o documento elaborado pela </w:t>
      </w:r>
      <w:r w:rsidR="00187616" w:rsidRPr="002C6028">
        <w:rPr>
          <w:rFonts w:ascii="Times New Roman" w:eastAsia="Times New Roman" w:hAnsi="Times New Roman" w:cs="Times New Roman"/>
          <w:color w:val="000000"/>
          <w:sz w:val="24"/>
          <w:szCs w:val="24"/>
        </w:rPr>
        <w:t>British Geriatrics Society</w:t>
      </w:r>
      <w:r w:rsidR="00187616" w:rsidRPr="00A929AC">
        <w:rPr>
          <w:rFonts w:ascii="Times New Roman" w:eastAsia="Times New Roman" w:hAnsi="Times New Roman" w:cs="Times New Roman"/>
          <w:color w:val="000000"/>
          <w:sz w:val="24"/>
          <w:szCs w:val="24"/>
        </w:rPr>
        <w:t xml:space="preserve">, </w:t>
      </w:r>
      <w:proofErr w:type="spellStart"/>
      <w:r w:rsidR="00187616" w:rsidRPr="002C6028">
        <w:rPr>
          <w:rFonts w:ascii="Times New Roman" w:eastAsia="Times New Roman" w:hAnsi="Times New Roman" w:cs="Times New Roman"/>
          <w:color w:val="000000"/>
          <w:sz w:val="24"/>
          <w:szCs w:val="24"/>
        </w:rPr>
        <w:t>European</w:t>
      </w:r>
      <w:proofErr w:type="spellEnd"/>
      <w:r w:rsidR="00187616" w:rsidRPr="002C6028">
        <w:rPr>
          <w:rFonts w:ascii="Times New Roman" w:eastAsia="Times New Roman" w:hAnsi="Times New Roman" w:cs="Times New Roman"/>
          <w:color w:val="000000"/>
          <w:sz w:val="24"/>
          <w:szCs w:val="24"/>
        </w:rPr>
        <w:t xml:space="preserve"> Delirium </w:t>
      </w:r>
      <w:proofErr w:type="spellStart"/>
      <w:r w:rsidR="00187616" w:rsidRPr="002C6028">
        <w:rPr>
          <w:rFonts w:ascii="Times New Roman" w:eastAsia="Times New Roman" w:hAnsi="Times New Roman" w:cs="Times New Roman"/>
          <w:color w:val="000000"/>
          <w:sz w:val="24"/>
          <w:szCs w:val="24"/>
        </w:rPr>
        <w:t>Association</w:t>
      </w:r>
      <w:proofErr w:type="spellEnd"/>
      <w:r w:rsidR="00187616" w:rsidRPr="00A929AC">
        <w:rPr>
          <w:rFonts w:ascii="Times New Roman" w:eastAsia="Times New Roman" w:hAnsi="Times New Roman" w:cs="Times New Roman"/>
          <w:color w:val="000000"/>
          <w:sz w:val="24"/>
          <w:szCs w:val="24"/>
        </w:rPr>
        <w:t xml:space="preserve"> e </w:t>
      </w:r>
      <w:proofErr w:type="spellStart"/>
      <w:r w:rsidR="00187616" w:rsidRPr="002C6028">
        <w:rPr>
          <w:rFonts w:ascii="Times New Roman" w:eastAsia="Times New Roman" w:hAnsi="Times New Roman" w:cs="Times New Roman"/>
          <w:color w:val="000000"/>
          <w:sz w:val="24"/>
          <w:szCs w:val="24"/>
        </w:rPr>
        <w:t>Old</w:t>
      </w:r>
      <w:proofErr w:type="spellEnd"/>
      <w:r w:rsidR="00187616" w:rsidRPr="002C6028">
        <w:rPr>
          <w:rFonts w:ascii="Times New Roman" w:eastAsia="Times New Roman" w:hAnsi="Times New Roman" w:cs="Times New Roman"/>
          <w:color w:val="000000"/>
          <w:sz w:val="24"/>
          <w:szCs w:val="24"/>
        </w:rPr>
        <w:t xml:space="preserve"> Age </w:t>
      </w:r>
      <w:proofErr w:type="spellStart"/>
      <w:r w:rsidR="00187616" w:rsidRPr="002C6028">
        <w:rPr>
          <w:rFonts w:ascii="Times New Roman" w:eastAsia="Times New Roman" w:hAnsi="Times New Roman" w:cs="Times New Roman"/>
          <w:color w:val="000000"/>
          <w:sz w:val="24"/>
          <w:szCs w:val="24"/>
        </w:rPr>
        <w:t>Psychiatry</w:t>
      </w:r>
      <w:proofErr w:type="spellEnd"/>
      <w:r w:rsidR="00187616" w:rsidRPr="002C6028">
        <w:rPr>
          <w:rFonts w:ascii="Times New Roman" w:eastAsia="Times New Roman" w:hAnsi="Times New Roman" w:cs="Times New Roman"/>
          <w:color w:val="000000"/>
          <w:sz w:val="24"/>
          <w:szCs w:val="24"/>
        </w:rPr>
        <w:t xml:space="preserve"> </w:t>
      </w:r>
      <w:proofErr w:type="spellStart"/>
      <w:r w:rsidR="00187616" w:rsidRPr="002C6028">
        <w:rPr>
          <w:rFonts w:ascii="Times New Roman" w:eastAsia="Times New Roman" w:hAnsi="Times New Roman" w:cs="Times New Roman"/>
          <w:color w:val="000000"/>
          <w:sz w:val="24"/>
          <w:szCs w:val="24"/>
        </w:rPr>
        <w:t>Faculty</w:t>
      </w:r>
      <w:proofErr w:type="spellEnd"/>
      <w:r w:rsidR="00187616" w:rsidRPr="00A929AC">
        <w:rPr>
          <w:rFonts w:ascii="Times New Roman" w:eastAsia="Times New Roman" w:hAnsi="Times New Roman" w:cs="Times New Roman"/>
          <w:color w:val="000000"/>
          <w:sz w:val="24"/>
          <w:szCs w:val="24"/>
        </w:rPr>
        <w:t xml:space="preserve"> (</w:t>
      </w:r>
      <w:r w:rsidR="00187616" w:rsidRPr="002C6028">
        <w:rPr>
          <w:rFonts w:ascii="Times New Roman" w:eastAsia="Times New Roman" w:hAnsi="Times New Roman" w:cs="Times New Roman"/>
          <w:color w:val="000000"/>
          <w:sz w:val="24"/>
          <w:szCs w:val="24"/>
        </w:rPr>
        <w:t xml:space="preserve">Royal </w:t>
      </w:r>
      <w:proofErr w:type="spellStart"/>
      <w:r w:rsidR="00187616" w:rsidRPr="002C6028">
        <w:rPr>
          <w:rFonts w:ascii="Times New Roman" w:eastAsia="Times New Roman" w:hAnsi="Times New Roman" w:cs="Times New Roman"/>
          <w:color w:val="000000"/>
          <w:sz w:val="24"/>
          <w:szCs w:val="24"/>
        </w:rPr>
        <w:t>College</w:t>
      </w:r>
      <w:proofErr w:type="spellEnd"/>
      <w:r w:rsidR="00187616" w:rsidRPr="002C6028">
        <w:rPr>
          <w:rFonts w:ascii="Times New Roman" w:eastAsia="Times New Roman" w:hAnsi="Times New Roman" w:cs="Times New Roman"/>
          <w:color w:val="000000"/>
          <w:sz w:val="24"/>
          <w:szCs w:val="24"/>
        </w:rPr>
        <w:t xml:space="preserve"> </w:t>
      </w:r>
      <w:proofErr w:type="spellStart"/>
      <w:r w:rsidR="00187616" w:rsidRPr="002C6028">
        <w:rPr>
          <w:rFonts w:ascii="Times New Roman" w:eastAsia="Times New Roman" w:hAnsi="Times New Roman" w:cs="Times New Roman"/>
          <w:color w:val="000000"/>
          <w:sz w:val="24"/>
          <w:szCs w:val="24"/>
        </w:rPr>
        <w:t>of</w:t>
      </w:r>
      <w:proofErr w:type="spellEnd"/>
      <w:r w:rsidR="00187616" w:rsidRPr="002C6028">
        <w:rPr>
          <w:rFonts w:ascii="Times New Roman" w:eastAsia="Times New Roman" w:hAnsi="Times New Roman" w:cs="Times New Roman"/>
          <w:color w:val="000000"/>
          <w:sz w:val="24"/>
          <w:szCs w:val="24"/>
        </w:rPr>
        <w:t xml:space="preserve"> </w:t>
      </w:r>
      <w:proofErr w:type="spellStart"/>
      <w:r w:rsidR="00187616" w:rsidRPr="002C6028">
        <w:rPr>
          <w:rFonts w:ascii="Times New Roman" w:eastAsia="Times New Roman" w:hAnsi="Times New Roman" w:cs="Times New Roman"/>
          <w:color w:val="000000"/>
          <w:sz w:val="24"/>
          <w:szCs w:val="24"/>
        </w:rPr>
        <w:t>Psychiatrists</w:t>
      </w:r>
      <w:proofErr w:type="spellEnd"/>
      <w:r w:rsidR="00187616" w:rsidRPr="00A929AC">
        <w:rPr>
          <w:rFonts w:ascii="Times New Roman" w:eastAsia="Times New Roman" w:hAnsi="Times New Roman" w:cs="Times New Roman"/>
          <w:color w:val="000000"/>
          <w:sz w:val="24"/>
          <w:szCs w:val="24"/>
        </w:rPr>
        <w:t>)</w:t>
      </w:r>
      <w:r w:rsidR="00187616">
        <w:rPr>
          <w:rFonts w:ascii="Times New Roman" w:eastAsia="Times New Roman" w:hAnsi="Times New Roman" w:cs="Times New Roman"/>
          <w:color w:val="000000"/>
          <w:sz w:val="24"/>
          <w:szCs w:val="24"/>
        </w:rPr>
        <w:t xml:space="preserve"> sugere o uso da avaliação 4AT para o monitoramento de </w:t>
      </w:r>
      <w:r w:rsidR="00187616" w:rsidRPr="002C6028">
        <w:rPr>
          <w:rFonts w:ascii="Times New Roman" w:eastAsia="Times New Roman" w:hAnsi="Times New Roman" w:cs="Times New Roman"/>
          <w:i/>
          <w:color w:val="000000"/>
          <w:sz w:val="24"/>
          <w:szCs w:val="24"/>
        </w:rPr>
        <w:t>delirium</w:t>
      </w:r>
      <w:r w:rsidR="00187616">
        <w:rPr>
          <w:rFonts w:ascii="Times New Roman" w:eastAsia="Times New Roman" w:hAnsi="Times New Roman" w:cs="Times New Roman"/>
          <w:color w:val="000000"/>
          <w:sz w:val="24"/>
          <w:szCs w:val="24"/>
        </w:rPr>
        <w:t xml:space="preserve"> em pacientes positivos para </w:t>
      </w:r>
      <w:r w:rsidR="002F0F3A">
        <w:rPr>
          <w:rFonts w:ascii="Times New Roman" w:eastAsia="Times New Roman" w:hAnsi="Times New Roman" w:cs="Times New Roman"/>
          <w:color w:val="000000"/>
          <w:sz w:val="24"/>
          <w:szCs w:val="24"/>
        </w:rPr>
        <w:t>COVID-19</w:t>
      </w:r>
      <w:r w:rsidR="00187616">
        <w:rPr>
          <w:rFonts w:ascii="Times New Roman" w:eastAsia="Times New Roman" w:hAnsi="Times New Roman" w:cs="Times New Roman"/>
          <w:color w:val="000000"/>
          <w:sz w:val="24"/>
          <w:szCs w:val="24"/>
        </w:rPr>
        <w:t xml:space="preserve">, em consonância com as políticas e práticas de cada instituição </w:t>
      </w:r>
      <w:r w:rsidR="0071209C">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{"citationItems":[{"id":"ITEM-1","itemData":{"URL":"https://www.bgs.org.uk/resources/coronavirus-managing-delirium-in-confirmed-and-suspected-cases","accessed":{"date-parts":[["2020","4","15"]]},"author":[{"dropping-particle":"","family":"BRITISH GERIATRICS SOCIETY; EUROPEAN DELIRIUM ASSOCIATION; OLD AGE PSYCHIATRY FACULTY - ROYAL COLLEGE OF PSYCHIATRISTS.","given":"","non-dropping-particle":"","parse-names":false,"suffix":""}],"id":"ITEM-1","issued":{"date-parts":[["2020"]]},"title":"Coronavirus: Managing delirium in confirmed and suspected cases | British Geriatrics Society","type":"webpage"},"uris":["http://www.mendeley.com/documents/?uuid=7345e962-fc0f-3bb7-969d-f149d1121bce"]}],"mendeley":{"formattedCitation":"&lt;sup&gt;38&lt;/sup&gt;","plainTextFormattedCitation":"38","previouslyFormattedCitation":"&lt;sup&gt;38&lt;/sup&gt;"},"properties":{"noteIndex":0},"schema":"https://github.com/citation-style-language/schema/raw/master/csl-citation.json"}</w:instrText>
      </w:r>
      <w:r w:rsidR="0071209C">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38</w:t>
      </w:r>
      <w:r w:rsidR="0071209C">
        <w:rPr>
          <w:rFonts w:ascii="Times New Roman" w:eastAsia="Times New Roman" w:hAnsi="Times New Roman" w:cs="Times New Roman"/>
          <w:color w:val="000000"/>
          <w:sz w:val="24"/>
          <w:szCs w:val="24"/>
        </w:rPr>
        <w:fldChar w:fldCharType="end"/>
      </w:r>
      <w:r w:rsidR="00282FF0">
        <w:rPr>
          <w:rFonts w:ascii="Times New Roman" w:eastAsia="Times New Roman" w:hAnsi="Times New Roman" w:cs="Times New Roman"/>
          <w:color w:val="000000"/>
          <w:sz w:val="24"/>
          <w:szCs w:val="24"/>
        </w:rPr>
        <w:t xml:space="preserve">.  </w:t>
      </w:r>
    </w:p>
    <w:p w14:paraId="00000113" w14:textId="30D5ACBF" w:rsidR="000C7A2A" w:rsidRDefault="00187616" w:rsidP="00187616">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medidas multifatoriais e não farmacológicas focadas, não restritas, na redução de fatores de risco modificáveis, como estímulos cognitivos e otimização do sono; mobilidade precoce; e redução de déficits sensoriais, auditivos e visuais em adultos criticamente doentes, são usualmente recomendas </w:t>
      </w:r>
      <w:r w:rsidR="003462BC">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{"citationItems":[{"id":"ITEM-1","itemData":{"DOI":"10.1097/CCM.0000000000003299","ISSN":"15300293","abstract":"OBJECTIVE: To update and expand the 2013 Clinical Practice Guidelines for the Management of Pain, Agitation, and Delirium in Adult Patients in the ICU. DESIGN: Thirty-two international experts, four methodologists, and four critical illness survivors met virtually at least monthly. All section groups gathered face-to-face at annual Society of Critical Care Medicine congresses; virtual connections included those unable to attend. A formal conflict of interest policy was developed a priori and enforced throughout the process. Teleconferences and electronic discussions among subgroups and whole panel were part of the guidelines' development. A general content review was completed face-to-face by all panel members in January 2017. METHODS: Content experts, methodologists, and ICU survivors were represented in each of the five sections of the guidelines: Pain, Agitation/sedation, Delirium, Immobility (mobilization/rehabilitation), and Sleep (disruption). Each section created Population, Intervention, Comparison, and Outcome, and nonactionable, descriptive questions based on perceived clinical relevance. The guideline group then voted their ranking, and patients prioritized their importance. For each Population, Intervention, Comparison, and Outcome question, sections searched the best available evidence, determined its quality, and formulated recommendations as \"strong,\" \"conditional,\" or \"good\" practice statements based on Grading of Recommendations Assessment, Development and Evaluation principles. In addition, evidence gaps and clinical caveats were explicitly identified. RESULTS: The Pain, Agitation/Sedation, Delirium, Immobility (mobilization/rehabilitation), and Sleep (disruption) panel issued 37 recommendations (three strong and 34 conditional), two good practice statements, and 32 ungraded, nonactionable statements. Three questions from the patient-centered prioritized question list remained without recommendation. CONCLUSIONS: We found substantial agreement among a large, interdisciplinary cohort of international experts regarding evidence supporting recommendations, and the remaining literature gaps in the assessment, prevention, and treatment of Pain, Agitation/sedation, Delirium, Immobility (mobilization/rehabilitation), and Sleep (disruption) in critically ill adults. Highlighting this evidence and the research needs will improve Pain, Agitation/sedation, Delirium, Immobility (mobilization/rehabilitation), and Sleep (disruption) management and p…","author":[{"dropping-particle":"","family":"Devlin","given":"John W.","non-dropping-particle":"","parse-names":false,"suffix":""},{"dropping-particle":"","family":"Skrobik","given":"Yoanna","non-dropping-particle":"","parse-names":false,"suffix":""},{"dropping-particle":"","family":"Gélinas","given":"Céline","non-dropping-particle":"","parse-names":false,"suffix":""},{"dropping-particle":"","family":"Needham","given":"Dale M.","non-dropping-particle":"","parse-names":false,"suffix":""},{"dropping-particle":"","family":"Slooter","given":"Arjen J.C.","non-dropping-particle":"","parse-names":false,"suffix":""},{"dropping-particle":"","family":"Pandharipande","given":"Pratik P.","non-dropping-particle":"","parse-names":false,"suffix":""},{"dropping-particle":"","family":"Watson","given":"Paula L.","non-dropping-particle":"","parse-names":false,"suffix":""},{"dropping-particle":"","family":"Weinhouse","given":"Gerald L.","non-dropping-particle":"","parse-names":false,"suffix":""},{"dropping-particle":"","family":"Nunnally","given":"Mark E.","non-dropping-particle":"","parse-names":false,"suffix":""},{"dropping-particle":"","family":"Rochwerg","given":"Bram","non-dropping-particle":"","parse-names":false,"suffix":""},{"dropping-particle":"","family":"Balas","given":"Michele C.","non-dropping-particle":"","parse-names":false,"suffix":""},{"dropping-particle":"","family":"Boogaard","given":"Mark","non-dropping-particle":"van den","parse-names":false,"suffix":""},{"dropping-particle":"","family":"Bosma","given":"Karen J.","non-dropping-particle":"","parse-names":false,"suffix":""},{"dropping-particle":"","family":"Brummel","given":"Nathaniel E.","non-dropping-particle":"","parse-names":false,"suffix":""},{"dropping-particle":"","family":"Chanques","given":"Gerald","non-dropping-particle":"","parse-names":false,"suffix":""},{"dropping-particle":"","family":"Denehy","given":"Linda","non-dropping-particle":"","parse-names":false,"suffix":""},{"dropping-particle":"","family":"Drouot","given":"Xavier","non-dropping-particle":"","parse-names":false,"suffix":""},{"dropping-particle":"","family":"Fraser","given":"Gilles L.","non-dropping-particle":"","parse-names":false,"suffix":""},{"dropping-particle":"","family":"Harris","given":"Jocelyn E.","non-dropping-particle":"","parse-names":false,"suffix":""},{"dropping-particle":"","family":"Joffe","given":"Aaron M.","non-dropping-particle":"","parse-names":false,"suffix":""},{"dropping-particle":"","family":"Kho","given":"Michelle E.","non-dropping-particle":"","parse-names":false,"suffix":""},{"dropping-particle":"","family":"Kress","given":"John P.","non-dropping-particle":"","parse-names":false,"suffix":""},{"dropping-particle":"","family":"Lanphere","given":"Julie A.","non-dropping-particle":"","parse-names":false,"suffix":""},{"dropping-particle":"","family":"McKinley","given":"Sharon","non-dropping-particle":"","parse-names":false,"suffix":""},{"dropping-particle":"","family":"Neufeld","given":"Karin J.","non-dropping-particle":"","parse-names":false,"suffix":""},{"dropping-particle":"","family":"Pisani","given":"Margaret A.","non-dropping-particle":"","parse-names":false,"suffix":""},{"dropping-particle":"","family":"Payen","given":"Jean Francois","non-dropping-particle":"","parse-names":false,"suffix":""},{"dropping-particle":"","family":"Pun","given":"Brenda T.","non-dropping-particle":"","parse-names":false,"suffix":""},{"dropping-particle":"","family":"Puntillo","given":"Kathleen A.","non-dropping-particle":"","parse-names":false,"suffix":""},{"dropping-particle":"","family":"Riker","given":"Richard R.","non-dropping-particle":"","parse-names":false,"suffix":""},{"dropping-particle":"","family":"Robinson","given":"Bryce R.H.","non-dropping-particle":"","parse-names":false,"suffix":""},{"dropping-particle":"","family":"Shehabi","given":"Yahya","non-dropping-particle":"","parse-names":false,"suffix":""},{"dropping-particle":"","family":"Szumita","given":"Paul M.","non-dropping-particle":"","parse-names":false,"suffix":""},{"dropping-particle":"","family":"Winkelman","given":"Chris","non-dropping-particle":"","parse-names":false,"suffix":""},{"dropping-particle":"","family":"Centofanti","given":"John E.","non-dropping-particle":"","parse-names":false,"suffix":""},{"dropping-particle":"","family":"Price","given":"Carrie","non-dropping-particle":"","parse-names":false,"suffix":""},{"dropping-particle":"","family":"Nikayin","given":"Sina","non-dropping-particle":"","parse-names":false,"suffix":""},{"dropping-particle":"","family":"Misak","given":"Cheryl J.","non-dropping-particle":"","parse-names":false,"suffix":""},{"dropping-particle":"","family":"Flood","given":"Pamela D.","non-dropping-particle":"","parse-names":false,"suffix":""},{"dropping-particle":"","family":"Kiedrowski","given":"Ken","non-dropping-particle":"","parse-names":false,"suffix":""},{"dropping-particle":"","family":"Alhazzani","given":"Waleed","non-dropping-particle":"","parse-names":false,"suffix":""}],"container-title":"Critical care medicine","id":"ITEM-1","issue":"9","issued":{"date-parts":[["2018","9","1"]]},"page":"e825-e873","publisher":"NLM (Medline)","title":"Clinical Practice Guidelines for the Prevention and Management of Pain, Agitation/Sedation, Delirium, Immobility, and Sleep Disruption in Adult Patients in the ICU","type":"article-journal","volume":"46"},"uris":["http://www.mendeley.com/documents/?uuid=a9bd6a42-b09f-3fbe-bc9e-9d37b9df0944"]},{"id":"ITEM-2","itemData":{"DOI":"10.1016/j.ccc.2016.12.005","ISSN":"15578232","PMID":"28284292","abstract":"The ABCDEF bundle represents an evidence-based guide for clinicians to approach the organizational changes needed for optimizing intensive care unit patient recovery and outcomes. This article reviews the core evidence and features behind the ABCDEF bundle. The bundle has individual components that are clearly defined, flexible to implement, and help empower multidisciplinary clinicians and families in the shared care of the critically ill. The ABCDEF bundle helps guide well-rounded patient care and optimal resource utilization resulting in more interactive intensive care unit patients with better controlled pain, who can safely participate in higher-order physical and cognitive activities at the earliest point in their critical illness.","author":[{"dropping-particle":"","family":"Marra","given":"Annachiara","non-dropping-particle":"","parse-names":false,"suffix":""},{"dropping-particle":"","family":"Ely","given":"E. Wesley","non-dropping-particle":"","parse-names":false,"suffix":""},{"dropping-particle":"","family":"Pandharipande","given":"Pratik P.","non-dropping-particle":"","parse-names":false,"suffix":""},{"dropping-particle":"","family":"Patel","given":"Mayur B.","non-dropping-particle":"","parse-names":false,"suffix":""}],"container-title":"Critical Care Clinics","id":"ITEM-2","issue":"2","issued":{"date-parts":[["2017","4","1"]]},"page":"225-243","publisher":"W.B. Saunders","title":"The ABCDEF Bundle in Critical Care","type":"article","volume":"33"},"uris":["http://www.mendeley.com/documents/?uuid=f8e7de2a-21db-3ec8-8be6-f23a1658a03e"]}],"mendeley":{"formattedCitation":"&lt;sup&gt;37,39&lt;/sup&gt;","plainTextFormattedCitation":"37,39","previouslyFormattedCitation":"&lt;sup&gt;37,39&lt;/sup&gt;"},"properties":{"noteIndex":0},"schema":"https://github.com/citation-style-language/schema/raw/master/csl-citation.json"}</w:instrText>
      </w:r>
      <w:r w:rsidR="003462BC">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37,39</w:t>
      </w:r>
      <w:r w:rsidR="003462BC">
        <w:rPr>
          <w:rFonts w:ascii="Times New Roman" w:eastAsia="Times New Roman" w:hAnsi="Times New Roman" w:cs="Times New Roman"/>
          <w:color w:val="000000"/>
          <w:sz w:val="24"/>
          <w:szCs w:val="24"/>
        </w:rPr>
        <w:fldChar w:fldCharType="end"/>
      </w:r>
      <w:r w:rsidR="004929C4">
        <w:rPr>
          <w:rFonts w:ascii="Times New Roman" w:eastAsia="Times New Roman" w:hAnsi="Times New Roman" w:cs="Times New Roman"/>
          <w:color w:val="000000"/>
          <w:sz w:val="24"/>
          <w:szCs w:val="24"/>
        </w:rPr>
        <w:t>.</w:t>
      </w:r>
      <w:r w:rsidR="00282F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 virtude da restrição ou impossibilidade de visitas, o terapeuta ocupacional pode contatar a família para obter informações sobre o perfil ocupacional do paciente e de seu núcleo familiar. Nessa avaliação, o profissional conhecerá as experiências de vida, valores, interesses, papéis ocupacionais e desempenho ocupacional prévio à hospitalização</w:t>
      </w:r>
      <w:r w:rsidR="00282FF0">
        <w:rPr>
          <w:rFonts w:ascii="Times New Roman" w:eastAsia="Times New Roman" w:hAnsi="Times New Roman" w:cs="Times New Roman"/>
          <w:color w:val="000000"/>
          <w:sz w:val="24"/>
          <w:szCs w:val="24"/>
        </w:rPr>
        <w:t xml:space="preserve"> </w:t>
      </w:r>
      <w:r w:rsidR="003462BC">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{"citationItems":[{"id":"ITEM-1","itemData":{"DOI":"10.11606/issn.2238-6149.v26iespp1-49","ISSN":"1415-9104","abstract":"A Estrutura da Prática da Terapia Ocupacional: Domínio e Processo, 3ª Edição (aqui sendo referida como “a Estrutura”), é o documento oficial da Associação Americana de Terapia Ocupacional (AOTA). Destinado aos profissionais da terapia ocupacional e a estudantes, outros profissionais da saúde, educadores, pesquisadores, compradores e a consumidores, a Estrutura apresenta um resumo dos construtos inter-relacionados que descrevem a prática da terapia ocupacional. [Traduzido para o português por Alessandra Cavalcanti - UFTM, Fabiana Caetano Martins Silva e Dutra - UFTM e Valéria Meirelles Carril Elui - FMRP-USP; autorizada para publicação em português, acesso aberto na Revista de Terapia Ocupacional da Universidade de São Paulo. 2015;26(ed. esp.):1-49].","author":[{"dropping-particle":"","family":"Association","given":"AOTA American Occupational Therapy","non-dropping-particle":"","parse-names":false,"suffix":""}],"container-title":"Revista Terapia Ocupacional da USP","id":"ITEM-1","issue":"esp","issued":{"date-parts":[["2015","4","24"]]},"page":"1-49","title":"Estrutura da prática da Terapia Ocupacional: domínio &amp; processo - 3ª ed. traduzida","type":"article-journal","volume":"26"},"uris":["http://www.mendeley.com/documents/?uuid=e55cb6c2-6c48-333e-be6f-8deaac1e39dc"]}],"mendeley":{"formattedCitation":"&lt;sup&gt;23&lt;/sup&gt;","plainTextFormattedCitation":"23","previouslyFormattedCitation":"&lt;sup&gt;23&lt;/sup&gt;"},"properties":{"noteIndex":0},"schema":"https://github.com/citation-style-language/schema/raw/master/csl-citation.json"}</w:instrText>
      </w:r>
      <w:r w:rsidR="003462BC">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23</w:t>
      </w:r>
      <w:r w:rsidR="003462BC">
        <w:rPr>
          <w:rFonts w:ascii="Times New Roman" w:eastAsia="Times New Roman" w:hAnsi="Times New Roman" w:cs="Times New Roman"/>
          <w:color w:val="000000"/>
          <w:sz w:val="24"/>
          <w:szCs w:val="24"/>
        </w:rPr>
        <w:fldChar w:fldCharType="end"/>
      </w:r>
      <w:r w:rsidR="004929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assim como a necessidade de solicitar óculos e aparelhos auditivos para minimizar os efeitos da privação sensorial</w:t>
      </w:r>
      <w:r w:rsidR="003462BC">
        <w:rPr>
          <w:rFonts w:ascii="Times New Roman" w:eastAsia="Times New Roman" w:hAnsi="Times New Roman" w:cs="Times New Roman"/>
          <w:sz w:val="24"/>
          <w:szCs w:val="24"/>
        </w:rPr>
        <w:t xml:space="preserve"> </w:t>
      </w:r>
      <w:r w:rsidR="003462BC">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{"citationItems":[{"id":"ITEM-1","itemData":{"DOI":"10.1097/CCM.0000000000003299","ISSN":"15300293","abstract":"OBJECTIVE: To update and expand the 2013 Clinical Practice Guidelines for the Management of Pain, Agitation, and Delirium in Adult Patients in the ICU. DESIGN: Thirty-two international experts, four methodologists, and four critical illness survivors met virtually at least monthly. All section groups gathered face-to-face at annual Society of Critical Care Medicine congresses; virtual connections included those unable to attend. A formal conflict of interest policy was developed a priori and enforced throughout the process. Teleconferences and electronic discussions among subgroups and whole panel were part of the guidelines' development. A general content review was completed face-to-face by all panel members in January 2017. METHODS: Content experts, methodologists, and ICU survivors were represented in each of the five sections of the guidelines: Pain, Agitation/sedation, Delirium, Immobility (mobilization/rehabilitation), and Sleep (disruption). Each section created Population, Intervention, Comparison, and Outcome, and nonactionable, descriptive questions based on perceived clinical relevance. The guideline group then voted their ranking, and patients prioritized their importance. For each Population, Intervention, Comparison, and Outcome question, sections searched the best available evidence, determined its quality, and formulated recommendations as \"strong,\" \"conditional,\" or \"good\" practice statements based on Grading of Recommendations Assessment, Development and Evaluation principles. In addition, evidence gaps and clinical caveats were explicitly identified. RESULTS: The Pain, Agitation/Sedation, Delirium, Immobility (mobilization/rehabilitation), and Sleep (disruption) panel issued 37 recommendations (three strong and 34 conditional), two good practice statements, and 32 ungraded, nonactionable statements. Three questions from the patient-centered prioritized question list remained without recommendation. CONCLUSIONS: We found substantial agreement among a large, interdisciplinary cohort of international experts regarding evidence supporting recommendations, and the remaining literature gaps in the assessment, prevention, and treatment of Pain, Agitation/sedation, Delirium, Immobility (mobilization/rehabilitation), and Sleep (disruption) in critically ill adults. Highlighting this evidence and the research needs will improve Pain, Agitation/sedation, Delirium, Immobility (mobilization/rehabilitation), and Sleep (disruption) management and p…","author":[{"dropping-particle":"","family":"Devlin","given":"John W.","non-dropping-particle":"","parse-names":false,"suffix":""},{"dropping-particle":"","family":"Skrobik","given":"Yoanna","non-dropping-particle":"","parse-names":false,"suffix":""},{"dropping-particle":"","family":"Gélinas","given":"Céline","non-dropping-particle":"","parse-names":false,"suffix":""},{"dropping-particle":"","family":"Needham","given":"Dale M.","non-dropping-particle":"","parse-names":false,"suffix":""},{"dropping-particle":"","family":"Slooter","given":"Arjen J.C.","non-dropping-particle":"","parse-names":false,"suffix":""},{"dropping-particle":"","family":"Pandharipande","given":"Pratik P.","non-dropping-particle":"","parse-names":false,"suffix":""},{"dropping-particle":"","family":"Watson","given":"Paula L.","non-dropping-particle":"","parse-names":false,"suffix":""},{"dropping-particle":"","family":"Weinhouse","given":"Gerald L.","non-dropping-particle":"","parse-names":false,"suffix":""},{"dropping-particle":"","family":"Nunnally","given":"Mark E.","non-dropping-particle":"","parse-names":false,"suffix":""},{"dropping-particle":"","family":"Rochwerg","given":"Bram","non-dropping-particle":"","parse-names":false,"suffix":""},{"dropping-particle":"","family":"Balas","given":"Michele C.","non-dropping-particle":"","parse-names":false,"suffix":""},{"dropping-particle":"","family":"Boogaard","given":"Mark","non-dropping-particle":"van den","parse-names":false,"suffix":""},{"dropping-particle":"","family":"Bosma","given":"Karen J.","non-dropping-particle":"","parse-names":false,"suffix":""},{"dropping-particle":"","family":"Brummel","given":"Nathaniel E.","non-dropping-particle":"","parse-names":false,"suffix":""},{"dropping-particle":"","family":"Chanques","given":"Gerald","non-dropping-particle":"","parse-names":false,"suffix":""},{"dropping-particle":"","family":"Denehy","given":"Linda","non-dropping-particle":"","parse-names":false,"suffix":""},{"dropping-particle":"","family":"Drouot","given":"Xavier","non-dropping-particle":"","parse-names":false,"suffix":""},{"dropping-particle":"","family":"Fraser","given":"Gilles L.","non-dropping-particle":"","parse-names":false,"suffix":""},{"dropping-particle":"","family":"Harris","given":"Jocelyn E.","non-dropping-particle":"","parse-names":false,"suffix":""},{"dropping-particle":"","family":"Joffe","given":"Aaron M.","non-dropping-particle":"","parse-names":false,"suffix":""},{"dropping-particle":"","family":"Kho","given":"Michelle E.","non-dropping-particle":"","parse-names":false,"suffix":""},{"dropping-particle":"","family":"Kress","given":"John P.","non-dropping-particle":"","parse-names":false,"suffix":""},{"dropping-particle":"","family":"Lanphere","given":"Julie A.","non-dropping-particle":"","parse-names":false,"suffix":""},{"dropping-particle":"","family":"McKinley","given":"Sharon","non-dropping-particle":"","parse-names":false,"suffix":""},{"dropping-particle":"","family":"Neufeld","given":"Karin J.","non-dropping-particle":"","parse-names":false,"suffix":""},{"dropping-particle":"","family":"Pisani","given":"Margaret A.","non-dropping-particle":"","parse-names":false,"suffix":""},{"dropping-particle":"","family":"Payen","given":"Jean Francois","non-dropping-particle":"","parse-names":false,"suffix":""},{"dropping-particle":"","family":"Pun","given":"Brenda T.","non-dropping-particle":"","parse-names":false,"suffix":""},{"dropping-particle":"","family":"Puntillo","given":"Kathleen A.","non-dropping-particle":"","parse-names":false,"suffix":""},{"dropping-particle":"","family":"Riker","given":"Richard R.","non-dropping-particle":"","parse-names":false,"suffix":""},{"dropping-particle":"","family":"Robinson","given":"Bryce R.H.","non-dropping-particle":"","parse-names":false,"suffix":""},{"dropping-particle":"","family":"Shehabi","given":"Yahya","non-dropping-particle":"","parse-names":false,"suffix":""},{"dropping-particle":"","family":"Szumita","given":"Paul M.","non-dropping-particle":"","parse-names":false,"suffix":""},{"dropping-particle":"","family":"Winkelman","given":"Chris","non-dropping-particle":"","parse-names":false,"suffix":""},{"dropping-particle":"","family":"Centofanti","given":"John E.","non-dropping-particle":"","parse-names":false,"suffix":""},{"dropping-particle":"","family":"Price","given":"Carrie","non-dropping-particle":"","parse-names":false,"suffix":""},{"dropping-particle":"","family":"Nikayin","given":"Sina","non-dropping-particle":"","parse-names":false,"suffix":""},{"dropping-particle":"","family":"Misak","given":"Cheryl J.","non-dropping-particle":"","parse-names":false,"suffix":""},{"dropping-particle":"","family":"Flood","given":"Pamela D.","non-dropping-particle":"","parse-names":false,"suffix":""},{"dropping-particle":"","family":"Kiedrowski","given":"Ken","non-dropping-particle":"","parse-names":false,"suffix":""},{"dropping-particle":"","family":"Alhazzani","given":"Waleed","non-dropping-particle":"","parse-names":false,"suffix":""}],"container-title":"Critical care medicine","id":"ITEM-1","issue":"9","issued":{"date-parts":[["2018","9","1"]]},"page":"e825-e873","publisher":"NLM (Medline)","title":"Clinical Practice Guidelines for the Prevention and Management of Pain, Agitation/Sedation, Delirium, Immobility, and Sleep Disruption in Adult Patients in the ICU","type":"article-journal","volume":"46"},"uris":["http://www.mendeley.com/documents/?uuid=a9bd6a42-b09f-3fbe-bc9e-9d37b9df0944"]},{"id":"ITEM-2","itemData":{"author":[{"dropping-particle":"","family":"Pincelli","given":"Erick Lagonegro","non-dropping-particle":"","parse-names":false,"suffix":""},{"dropping-particle":"","family":"Waters","given":"Camila","non-dropping-particle":"","parse-names":false,"suffix":""},{"dropping-particle":"","family":"Nunes Hupsel","given":"Zelia","non-dropping-particle":"","parse-names":false,"suffix":""}],"container-title":"Arq Med Hosp Fac Cienc Med","id":"ITEM-2","issued":{"date-parts":[["2015"]]},"title":"Ações de enfermagem na prevenção do delirium em pacientes na Unidade de Terapia Intensiva Nursing actions in preventing delirium in patients in the Intensive Care Unit","type":"report"},"uris":["http://www.mendeley.com/documents/?uuid=5bbaf6d8-bbdb-3e61-a437-c57c88c872ea"]}],"mendeley":{"formattedCitation":"&lt;sup&gt;37,40&lt;/sup&gt;","plainTextFormattedCitation":"37,40","previouslyFormattedCitation":"&lt;sup&gt;37,40&lt;/sup&gt;"},"properties":{"noteIndex":0},"schema":"https://github.com/citation-style-language/schema/raw/master/csl-citation.json"}</w:instrText>
      </w:r>
      <w:r w:rsidR="003462BC">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37,40</w:t>
      </w:r>
      <w:r w:rsidR="003462BC">
        <w:rPr>
          <w:rFonts w:ascii="Times New Roman" w:eastAsia="Times New Roman" w:hAnsi="Times New Roman" w:cs="Times New Roman"/>
          <w:sz w:val="24"/>
          <w:szCs w:val="24"/>
        </w:rPr>
        <w:fldChar w:fldCharType="end"/>
      </w:r>
      <w:r w:rsidR="004929C4">
        <w:rPr>
          <w:rFonts w:ascii="Times New Roman" w:eastAsia="Times New Roman" w:hAnsi="Times New Roman" w:cs="Times New Roman"/>
          <w:sz w:val="24"/>
          <w:szCs w:val="24"/>
        </w:rPr>
        <w:t>.</w:t>
      </w:r>
      <w:r w:rsidR="00282F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 compartilhamento diário dessas informações aproximará os elementos do cotidiano à internação </w:t>
      </w:r>
      <w:r w:rsidR="00A04240">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{"citationItems":[{"id":"ITEM-1","itemData":{"DOI":"10.11606/issn.2238-6149.v26i3p418-427","ISSN":"1415-9104","abstract":"Estudo retrospectivo, descritivo, com abordagem qualitativa, baseado em análise documental, para revisão dos dados sociodemográficos e clínicos e dados referentes aos atendimentos de Terapia Ocupacional. O objetivo é identificar e categorizar as intervenções do terapeuta ocupacional com mulheres com câncer de mama atendidas pelo serviço de Cuidados Paliativos de um hospital público, universitário, de alta complexidade, localizado no interior do Estado de São Paulo. O projeto foi aprovado pelo Comitê de Ética em Pesquisa (Processo nº 12559/2013). A casuística inicial foi composta por 49 mulheres com diagnóstico de câncer ginecológico, dentre as quais foram identificadas 27 com câncer de mama; 23 delas haviam sido atendidas pela terapeuta ocupacional e compuseram a amostra final deste estudo. Os dados e os procedimentos realizados foram analisados por estatística descritiva. intervenções abrangeram tanto o paciente como sua família; envolveram diferentes procedimentos, como acolhimento e suporte familiar, orientações sobre estratégias de enfrentamento, conservação de energia, estímulo à independência e autonomia para as AVDs e AIVDs e atividades significativas. A Terapia Ocupacional possibilita a construção de espaços saudáveis de vida e de potência, criação e singularidade nos Cuidados Paliativos.","author":[{"dropping-particle":"","family":"Faria","given":"Natália Cintra","non-dropping-particle":"","parse-names":false,"suffix":""},{"dropping-particle":"","family":"Carlo","given":"Marysia Mara Rodrigues do Prado","non-dropping-particle":"De","parse-names":false,"suffix":""}],"container-title":"Revista de Terapia Ocupacional da Universidade de São Paulo","id":"ITEM-1","issue":"3","issued":{"date-parts":[["2015","12","26"]]},"page":"418","publisher":"Universidade de Sao Paulo Sistema Integrado de Bibliotecas - SIBiUSP","title":"A atuação da terapia ocupacional com mulheres com câncer de mama em cuidados paliativos.","type":"article-journal","volume":"26"},"uris":["http://www.mendeley.com/documents/?uuid=687ef123-88f6-3285-98ee-62dc7d19259d"]}],"mendeley":{"formattedCitation":"&lt;sup&gt;41&lt;/sup&gt;","plainTextFormattedCitation":"41","previouslyFormattedCitation":"&lt;sup&gt;41&lt;/sup&gt;"},"properties":{"noteIndex":0},"schema":"https://github.com/citation-style-language/schema/raw/master/csl-citation.json"}</w:instrText>
      </w:r>
      <w:r w:rsidR="00A04240">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41</w:t>
      </w:r>
      <w:r w:rsidR="00A04240">
        <w:rPr>
          <w:rFonts w:ascii="Times New Roman" w:eastAsia="Times New Roman" w:hAnsi="Times New Roman" w:cs="Times New Roman"/>
          <w:color w:val="000000"/>
          <w:sz w:val="24"/>
          <w:szCs w:val="24"/>
        </w:rPr>
        <w:fldChar w:fldCharType="end"/>
      </w:r>
      <w:r w:rsidR="00A042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 contribuirá para mitigar sintomas como ansiedade, irritabilidade e preocupações.</w:t>
      </w:r>
    </w:p>
    <w:p w14:paraId="0254178D" w14:textId="0C470A96" w:rsidR="004929C4" w:rsidRDefault="004929C4" w:rsidP="004929C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Deve-se priorizar estímulos auditivos e visuais, em detrimento dos táteis, para minimizar os riscos de contágio. Medidas de orientação à realidade são fundamentais </w:t>
      </w:r>
      <w:r w:rsidR="0023610E">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{"citationItems":[{"id":"ITEM-1","itemData":{"abstract":"Delirium is a neuropsychiatric syndrome of acute onset and fluctuating course, with involvement of the attention and cognition, particularly common in older people. Increases morbidity and mortality, implies a high cost for health services and can be significantly prevented with adequate control of their risk factors. The use of drugs should not be the first line strategy in the patient with delirium, except in cases of significant psychomotor agitation or disruptive hallucinations because psychotropic drugs in general often cause serious side effects in this age group. Non-pharmacological multicomponent interventions are cost-effective in preventing delirium and reduce its severity and duration. Interventions such as reality orientation, adequate hydration and nutrition, sleep hygiene, early mobility, visual and hearing aids, environmental suitability and limitation of unnecessary physical intervention or physical restraint produce consistent clinical benefits.","author":[{"dropping-particle":"","family":"Quiroz","given":"Tiare","non-dropping-particle":"","parse-names":false,"suffix":""},{"dropping-particle":"","family":"Araya","given":"Esperanza","non-dropping-particle":"","parse-names":false,"suffix":""},{"dropping-particle":"","family":"Fuentes","given":"Patricio","non-dropping-particle":"","parse-names":false,"suffix":""}],"container-title":"Rev Chil Neuro-Psiquiat","id":"ITEM-1","issue":"4","issued":{"date-parts":[["2014"]]},"number-of-pages":"288-297","title":"QUIROZ O, Tiare ; ARAYA O, Esperança e Fuentes G, Patricio","type":"report","volume":"52"},"uris":["http://www.mendeley.com/documents/?uuid=2387176a-7732-3bc4-b701-45b6d163ad5e"]},{"id":"ITEM-2","itemData":{"author":[{"dropping-particle":"","family":"Pincelli","given":"Erick Lagonegro","non-dropping-particle":"","parse-names":false,"suffix":""},{"dropping-particle":"","family":"Waters","given":"Camila","non-dropping-particle":"","parse-names":false,"suffix":""},{"dropping-particle":"","family":"Nunes Hupsel","given":"Zelia","non-dropping-particle":"","parse-names":false,"suffix":""}],"container-title":"Arq Med Hosp Fac Cienc Med","id":"ITEM-2","issued":{"date-parts":[["2015"]]},"title":"Ações de enfermagem na prevenção do delirium em pacientes na Unidade de Terapia Intensiva Nursing actions in preventing delirium in patients in the Intensive Care Unit","type":"report"},"uris":["http://www.mendeley.com/documents/?uuid=5bbaf6d8-bbdb-3e61-a437-c57c88c872ea"]}],"mendeley":{"formattedCitation":"&lt;sup&gt;40,42&lt;/sup&gt;","plainTextFormattedCitation":"40,42","previouslyFormattedCitation":"&lt;sup&gt;40,42&lt;/sup&gt;"},"properties":{"noteIndex":0},"schema":"https://github.com/citation-style-language/schema/raw/master/csl-citation.json"}</w:instrText>
      </w:r>
      <w:r w:rsidR="0023610E">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40,42</w:t>
      </w:r>
      <w:r w:rsidR="0023610E">
        <w:rPr>
          <w:rFonts w:ascii="Times New Roman" w:eastAsia="Times New Roman" w:hAnsi="Times New Roman" w:cs="Times New Roman"/>
          <w:color w:val="000000"/>
          <w:sz w:val="24"/>
          <w:szCs w:val="24"/>
        </w:rPr>
        <w:fldChar w:fldCharType="end"/>
      </w:r>
      <w:r w:rsidR="002361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dentre elas, destacam-se: orientação temporal e espacial; e informações de forma simples sobre o que está acontecendo e de como o paciente pode colaborar para a sua recuperação, comunicadas de forma clara, concisa e de maneira respeitosa. Repita as informações diariamente e sempre que necessário. </w:t>
      </w:r>
    </w:p>
    <w:p w14:paraId="00000115" w14:textId="0113F355" w:rsidR="000C7A2A" w:rsidRDefault="004929C4" w:rsidP="004929C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Caso disponha de recursos tecnológicos, sugere-se o emprego de tablets, devidamente vedados em plástico filme ou saco </w:t>
      </w:r>
      <w:r w:rsidRPr="001B07F3">
        <w:rPr>
          <w:rFonts w:ascii="Times New Roman" w:eastAsia="Times New Roman" w:hAnsi="Times New Roman" w:cs="Times New Roman"/>
          <w:i/>
          <w:iCs/>
          <w:color w:val="000000"/>
          <w:sz w:val="24"/>
          <w:szCs w:val="24"/>
        </w:rPr>
        <w:t>ziplock</w:t>
      </w:r>
      <w:r>
        <w:rPr>
          <w:rFonts w:ascii="Times New Roman" w:eastAsia="Times New Roman" w:hAnsi="Times New Roman" w:cs="Times New Roman"/>
          <w:color w:val="000000"/>
          <w:sz w:val="24"/>
          <w:szCs w:val="24"/>
        </w:rPr>
        <w:t xml:space="preserve">, para realizar videoconferências com a família </w:t>
      </w:r>
      <w:r w:rsidR="0023610E">
        <w:rPr>
          <w:rFonts w:ascii="Times New Roman" w:eastAsia="Times New Roman" w:hAnsi="Times New Roman" w:cs="Times New Roman"/>
          <w:color w:val="000000"/>
          <w:sz w:val="24"/>
          <w:szCs w:val="24"/>
        </w:rPr>
        <w:fldChar w:fldCharType="begin" w:fldLock="1"/>
      </w:r>
      <w:r w:rsidR="0023610E">
        <w:rPr>
          <w:rFonts w:ascii="Times New Roman" w:eastAsia="Times New Roman" w:hAnsi="Times New Roman" w:cs="Times New Roman"/>
          <w:color w:val="000000"/>
          <w:sz w:val="24"/>
          <w:szCs w:val="24"/>
        </w:rPr>
        <w:instrText>ADDIN CSL_CITATION {"citationItems":[{"id":"ITEM-1","itemData":{"DOI":"10.1111/jgs.16480","ISSN":"00028614","author":[{"dropping-particle":"","family":"LaHue","given":"Sara C.","non-dropping-particle":"","parse-names":false,"suffix":""},{"dropping-particle":"","family":"James","given":"Todd C.","non-dropping-particle":"","parse-names":false,"suffix":""},{"dropping-particle":"","family":"Newman","given":"John C.","non-dropping-particle":"","parse-names":false,"suffix":""},{"dropping-particle":"","family":"Esmaili","given":"Armond M.","non-dropping-particle":"","parse-names":false,"suffix":""},{"dropping-particle":"","family":"Ormseth","given":"Cora H.","non-dropping-particle":"","parse-names":false,"suffix":""},{"dropping-particle":"","family":"Ely","given":"E. Wesley","non-dropping-particle":"","parse-names":false,"suffix":""}],"container-title":"Journal of the American Geriatrics Society","id":"ITEM-1","issued":{"date-parts":[["2020","4","11"]]},"publisher":"John Wiley &amp; Sons, Ltd","title":"Collaborative Delirium Prevention in the Age of COVID-19","type":"article-journal"},"uris":["http://www.mendeley.com/documents/?uuid=8dfc33ad-3a23-3092-b164-8ab06d51d4e3"]}],"mendeley":{"formattedCitation":"&lt;sup&gt;6&lt;/sup&gt;","plainTextFormattedCitation":"6","previouslyFormattedCitation":"&lt;sup&gt;6&lt;/sup&gt;"},"properties":{"noteIndex":0},"schema":"https://github.com/citation-style-language/schema/raw/master/csl-citation.json"}</w:instrText>
      </w:r>
      <w:r w:rsidR="0023610E">
        <w:rPr>
          <w:rFonts w:ascii="Times New Roman" w:eastAsia="Times New Roman" w:hAnsi="Times New Roman" w:cs="Times New Roman"/>
          <w:color w:val="000000"/>
          <w:sz w:val="24"/>
          <w:szCs w:val="24"/>
        </w:rPr>
        <w:fldChar w:fldCharType="separate"/>
      </w:r>
      <w:r w:rsidR="0023610E" w:rsidRPr="0023610E">
        <w:rPr>
          <w:rFonts w:ascii="Times New Roman" w:eastAsia="Times New Roman" w:hAnsi="Times New Roman" w:cs="Times New Roman"/>
          <w:noProof/>
          <w:color w:val="000000"/>
          <w:sz w:val="24"/>
          <w:szCs w:val="24"/>
          <w:vertAlign w:val="superscript"/>
        </w:rPr>
        <w:t>6</w:t>
      </w:r>
      <w:r w:rsidR="0023610E">
        <w:rPr>
          <w:rFonts w:ascii="Times New Roman" w:eastAsia="Times New Roman" w:hAnsi="Times New Roman" w:cs="Times New Roman"/>
          <w:color w:val="000000"/>
          <w:sz w:val="24"/>
          <w:szCs w:val="24"/>
        </w:rPr>
        <w:fldChar w:fldCharType="end"/>
      </w:r>
      <w:r w:rsidR="002361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 para a visualização de fotos de sua rede de apoio e animais de estimação, além de proporcionar estímulos </w:t>
      </w:r>
      <w:proofErr w:type="spellStart"/>
      <w:r>
        <w:rPr>
          <w:rFonts w:ascii="Times New Roman" w:eastAsia="Times New Roman" w:hAnsi="Times New Roman" w:cs="Times New Roman"/>
          <w:color w:val="000000"/>
          <w:sz w:val="24"/>
          <w:szCs w:val="24"/>
        </w:rPr>
        <w:t>perceptocognitivos</w:t>
      </w:r>
      <w:proofErr w:type="spellEnd"/>
      <w:r>
        <w:rPr>
          <w:rFonts w:ascii="Times New Roman" w:eastAsia="Times New Roman" w:hAnsi="Times New Roman" w:cs="Times New Roman"/>
          <w:color w:val="000000"/>
          <w:sz w:val="24"/>
          <w:szCs w:val="24"/>
        </w:rPr>
        <w:t xml:space="preserve"> e de lazer, como músicas e vídeos relacionados ao seu contexto </w:t>
      </w:r>
      <w:r>
        <w:rPr>
          <w:rFonts w:ascii="Times New Roman" w:eastAsia="Times New Roman" w:hAnsi="Times New Roman" w:cs="Times New Roman"/>
          <w:color w:val="000000"/>
          <w:sz w:val="24"/>
          <w:szCs w:val="24"/>
        </w:rPr>
        <w:lastRenderedPageBreak/>
        <w:t xml:space="preserve">ocupacional e religioso. Priorize a mobilização assistida associada às técnicas de conservação de energia durante as refeições e </w:t>
      </w:r>
      <w:r>
        <w:rPr>
          <w:rFonts w:ascii="Times New Roman" w:eastAsia="Times New Roman" w:hAnsi="Times New Roman" w:cs="Times New Roman"/>
          <w:sz w:val="24"/>
          <w:szCs w:val="24"/>
        </w:rPr>
        <w:t>escovação de dentes</w:t>
      </w:r>
      <w:r>
        <w:rPr>
          <w:rFonts w:ascii="Times New Roman" w:eastAsia="Times New Roman" w:hAnsi="Times New Roman" w:cs="Times New Roman"/>
          <w:color w:val="000000"/>
          <w:sz w:val="24"/>
          <w:szCs w:val="24"/>
        </w:rPr>
        <w:t>.</w:t>
      </w:r>
    </w:p>
    <w:p w14:paraId="0000012F" w14:textId="1F1227A6" w:rsidR="000C7A2A" w:rsidRPr="0023610E" w:rsidRDefault="004929C4" w:rsidP="0023610E">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Máscaras de apoio ao sono, de baixo custo, de uso individual e intransferível, podem ser ofertadas para minimizar a luminosidade do ambiente e favorecer o sono </w:t>
      </w:r>
      <w:r w:rsidR="0023610E">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{"citationItems":[{"id":"ITEM-1","itemData":{"DOI":"10.1016/j.ccc.2016.12.005","ISSN":"15578232","PMID":"28284292","abstract":"The ABCDEF bundle represents an evidence-based guide for clinicians to approach the organizational changes needed for optimizing intensive care unit patient recovery and outcomes. This article reviews the core evidence and features behind the ABCDEF bundle. The bundle has individual components that are clearly defined, flexible to implement, and help empower multidisciplinary clinicians and families in the shared care of the critically ill. The ABCDEF bundle helps guide well-rounded patient care and optimal resource utilization resulting in more interactive intensive care unit patients with better controlled pain, who can safely participate in higher-order physical and cognitive activities at the earliest point in their critical illness.","author":[{"dropping-particle":"","family":"Marra","given":"Annachiara","non-dropping-particle":"","parse-names":false,"suffix":""},{"dropping-particle":"","family":"Ely","given":"E. Wesley","non-dropping-particle":"","parse-names":false,"suffix":""},{"dropping-particle":"","family":"Pandharipande","given":"Pratik P.","non-dropping-particle":"","parse-names":false,"suffix":""},{"dropping-particle":"","family":"Patel","given":"Mayur B.","non-dropping-particle":"","parse-names":false,"suffix":""}],"container-title":"Critical Care Clinics","id":"ITEM-1","issue":"2","issued":{"date-parts":[["2017","4","1"]]},"page":"225-243","publisher":"W.B. Saunders","title":"The ABCDEF Bundle in Critical Care","type":"article","volume":"33"},"uris":["http://www.mendeley.com/documents/?uuid=f8e7de2a-21db-3ec8-8be6-f23a1658a03e"]},{"id":"ITEM-2","itemData":{"author":[{"dropping-particle":"","family":"Pincelli","given":"Erick Lagonegro","non-dropping-particle":"","parse-names":false,"suffix":""},{"dropping-particle":"","family":"Waters","given":"Camila","non-dropping-particle":"","parse-names":false,"suffix":""},{"dropping-particle":"","family":"Nunes Hupsel","given":"Zelia","non-dropping-particle":"","parse-names":false,"suffix":""}],"container-title":"Arq Med Hosp Fac Cienc Med","id":"ITEM-2","issued":{"date-parts":[["2015"]]},"title":"Ações de enfermagem na prevenção do delirium em pacientes na Unidade de Terapia Intensiva Nursing actions in preventing delirium in patients in the Intensive Care Unit","type":"report"},"uris":["http://www.mendeley.com/documents/?uuid=5bbaf6d8-bbdb-3e61-a437-c57c88c872ea"]}],"mendeley":{"formattedCitation":"&lt;sup&gt;39,40&lt;/sup&gt;","plainTextFormattedCitation":"39,40","previouslyFormattedCitation":"&lt;sup&gt;39,40&lt;/sup&gt;"},"properties":{"noteIndex":0},"schema":"https://github.com/citation-style-language/schema/raw/master/csl-citation.json"}</w:instrText>
      </w:r>
      <w:r w:rsidR="0023610E">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39,40</w:t>
      </w:r>
      <w:r w:rsidR="0023610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Pondere, com a equipe, a necessidade de contenção física, visto que piora a agitação e </w:t>
      </w:r>
      <w:proofErr w:type="spellStart"/>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 causa potencial de trauma</w:t>
      </w:r>
      <w:r w:rsidR="00282FF0">
        <w:rPr>
          <w:rFonts w:ascii="Times New Roman" w:eastAsia="Times New Roman" w:hAnsi="Times New Roman" w:cs="Times New Roman"/>
          <w:color w:val="000000"/>
          <w:sz w:val="24"/>
          <w:szCs w:val="24"/>
        </w:rPr>
        <w:t xml:space="preserve"> </w:t>
      </w:r>
      <w:r w:rsidR="0023610E">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{"citationItems":[{"id":"ITEM-1","itemData":{"DOI":"10.1111/jgs.16480","ISSN":"00028614","author":[{"dropping-particle":"","family":"LaHue","given":"Sara C.","non-dropping-particle":"","parse-names":false,"suffix":""},{"dropping-particle":"","family":"James","given":"Todd C.","non-dropping-particle":"","parse-names":false,"suffix":""},{"dropping-particle":"","family":"Newman","given":"John C.","non-dropping-particle":"","parse-names":false,"suffix":""},{"dropping-particle":"","family":"Esmaili","given":"Armond M.","non-dropping-particle":"","parse-names":false,"suffix":""},{"dropping-particle":"","family":"Ormseth","given":"Cora H.","non-dropping-particle":"","parse-names":false,"suffix":""},{"dropping-particle":"","family":"Ely","given":"E. Wesley","non-dropping-particle":"","parse-names":false,"suffix":""}],"container-title":"Journal of the American Geriatrics Society","id":"ITEM-1","issued":{"date-parts":[["2020","4","11"]]},"publisher":"John Wiley &amp; Sons, Ltd","title":"Collaborative Delirium Prevention in the Age of COVID-19","type":"article-journal"},"uris":["http://www.mendeley.com/documents/?uuid=8dfc33ad-3a23-3092-b164-8ab06d51d4e3"]},{"id":"ITEM-2","itemData":{"author":[{"dropping-particle":"","family":"Pincelli","given":"Erick Lagonegro","non-dropping-particle":"","parse-names":false,"suffix":""},{"dropping-particle":"","family":"Waters","given":"Camila","non-dropping-particle":"","parse-names":false,"suffix":""},{"dropping-particle":"","family":"Nunes Hupsel","given":"Zelia","non-dropping-particle":"","parse-names":false,"suffix":""}],"container-title":"Arq Med Hosp Fac Cienc Med","id":"ITEM-2","issued":{"date-parts":[["2015"]]},"title":"Ações de enfermagem na prevenção do delirium em pacientes na Unidade de Terapia Intensiva Nursing actions in preventing delirium in patients in the Intensive Care Unit","type":"report"},"uris":["http://www.mendeley.com/documents/?uuid=5bbaf6d8-bbdb-3e61-a437-c57c88c872ea"]}],"mendeley":{"formattedCitation":"&lt;sup&gt;6,40&lt;/sup&gt;","plainTextFormattedCitation":"6,40","previouslyFormattedCitation":"&lt;sup&gt;6,40&lt;/sup&gt;"},"properties":{"noteIndex":0},"schema":"https://github.com/citation-style-language/schema/raw/master/csl-citation.json"}</w:instrText>
      </w:r>
      <w:r w:rsidR="0023610E">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6,40</w:t>
      </w:r>
      <w:r w:rsidR="0023610E">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04B7D6DD" w14:textId="77777777" w:rsidR="004929C4" w:rsidRDefault="004929C4">
      <w:pPr>
        <w:spacing w:line="259" w:lineRule="auto"/>
        <w:rPr>
          <w:rFonts w:ascii="Times New Roman" w:eastAsia="Times New Roman" w:hAnsi="Times New Roman" w:cs="Times New Roman"/>
          <w:sz w:val="24"/>
          <w:szCs w:val="24"/>
        </w:rPr>
      </w:pPr>
    </w:p>
    <w:p w14:paraId="00000132" w14:textId="1A4FFCA4" w:rsidR="000C7A2A" w:rsidRPr="001B07F3" w:rsidRDefault="009F5EB0">
      <w:pPr>
        <w:spacing w:after="0" w:line="360" w:lineRule="auto"/>
        <w:jc w:val="both"/>
        <w:rPr>
          <w:rFonts w:ascii="Times New Roman" w:eastAsia="Times New Roman" w:hAnsi="Times New Roman" w:cs="Times New Roman"/>
          <w:b/>
          <w:bCs/>
          <w:sz w:val="24"/>
          <w:szCs w:val="24"/>
        </w:rPr>
      </w:pPr>
      <w:r w:rsidRPr="001B07F3">
        <w:rPr>
          <w:rFonts w:ascii="Times New Roman" w:eastAsia="Times New Roman" w:hAnsi="Times New Roman" w:cs="Times New Roman"/>
          <w:b/>
          <w:bCs/>
          <w:sz w:val="24"/>
          <w:szCs w:val="24"/>
        </w:rPr>
        <w:t xml:space="preserve">Comunicação Alternativa </w:t>
      </w:r>
      <w:r>
        <w:rPr>
          <w:rFonts w:ascii="Times New Roman" w:eastAsia="Times New Roman" w:hAnsi="Times New Roman" w:cs="Times New Roman"/>
          <w:b/>
          <w:bCs/>
          <w:sz w:val="24"/>
          <w:szCs w:val="24"/>
        </w:rPr>
        <w:t xml:space="preserve">e </w:t>
      </w:r>
      <w:r w:rsidRPr="001B07F3">
        <w:rPr>
          <w:rFonts w:ascii="Times New Roman" w:eastAsia="Times New Roman" w:hAnsi="Times New Roman" w:cs="Times New Roman"/>
          <w:b/>
          <w:bCs/>
          <w:sz w:val="24"/>
          <w:szCs w:val="24"/>
        </w:rPr>
        <w:t xml:space="preserve">Ampliada </w:t>
      </w:r>
    </w:p>
    <w:p w14:paraId="00000133" w14:textId="77777777" w:rsidR="000C7A2A" w:rsidRDefault="000C7A2A">
      <w:pPr>
        <w:spacing w:after="0" w:line="360" w:lineRule="auto"/>
        <w:jc w:val="both"/>
        <w:rPr>
          <w:rFonts w:ascii="Times New Roman" w:eastAsia="Times New Roman" w:hAnsi="Times New Roman" w:cs="Times New Roman"/>
          <w:sz w:val="24"/>
          <w:szCs w:val="24"/>
        </w:rPr>
      </w:pPr>
    </w:p>
    <w:p w14:paraId="00000134" w14:textId="535FF5A8" w:rsidR="000C7A2A" w:rsidRDefault="004929C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mostram que 5% dos pacientes com a </w:t>
      </w:r>
      <w:r w:rsidR="002F0F3A">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necessitam de tratamento em UTI, sedação e ventilação mecânica invasiva </w:t>
      </w:r>
      <w:r w:rsidR="0023610E">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{"citationItems":[{"id":"ITEM-1","itemData":{"URL":"https://www.who.int/emergencies/diseases/novel-coronavirus-2019/situation reports","author":[{"dropping-particle":"","family":"WORLD HEALTH ORGANIZATION","given":"","non-dropping-particle":"","parse-names":false,"suffix":""}],"id":"ITEM-1","issued":{"date-parts":[["2020"]]},"title":"Coronavirus disease (COVID-2019) situation reports: Situation report - 83.","type":"webpage"},"uris":["http://www.mendeley.com/documents/?uuid=1ba80a9b-7468-48ba-b3db-f5875857ddfd"]}],"mendeley":{"formattedCitation":"&lt;sup&gt;25&lt;/sup&gt;","plainTextFormattedCitation":"25","previouslyFormattedCitation":"&lt;sup&gt;25&lt;/sup&gt;"},"properties":{"noteIndex":0},"schema":"https://github.com/citation-style-language/schema/raw/master/csl-citation.json"}</w:instrText>
      </w:r>
      <w:r w:rsidR="0023610E">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25</w:t>
      </w:r>
      <w:r w:rsidR="0023610E">
        <w:rPr>
          <w:rFonts w:ascii="Times New Roman" w:eastAsia="Times New Roman" w:hAnsi="Times New Roman" w:cs="Times New Roman"/>
          <w:sz w:val="24"/>
          <w:szCs w:val="24"/>
        </w:rPr>
        <w:fldChar w:fldCharType="end"/>
      </w:r>
      <w:r w:rsidR="00282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Além dessas medidas clínicas, outras características como </w:t>
      </w:r>
      <w:r w:rsidRPr="002C6028">
        <w:rPr>
          <w:rFonts w:ascii="Times New Roman" w:eastAsia="Times New Roman" w:hAnsi="Times New Roman" w:cs="Times New Roman"/>
          <w:i/>
          <w:sz w:val="24"/>
          <w:szCs w:val="24"/>
        </w:rPr>
        <w:t>delirium</w:t>
      </w:r>
      <w:r>
        <w:rPr>
          <w:rFonts w:ascii="Times New Roman" w:eastAsia="Times New Roman" w:hAnsi="Times New Roman" w:cs="Times New Roman"/>
          <w:sz w:val="24"/>
          <w:szCs w:val="24"/>
        </w:rPr>
        <w:t>, fadiga e dispneia podem contribuir para uma comunicação ineficaz entre esses pacientes e a equipe de cuidado</w:t>
      </w:r>
      <w:r w:rsidR="0023610E">
        <w:rPr>
          <w:rFonts w:ascii="Times New Roman" w:eastAsia="Times New Roman" w:hAnsi="Times New Roman" w:cs="Times New Roman"/>
          <w:sz w:val="24"/>
          <w:szCs w:val="24"/>
        </w:rPr>
        <w:t xml:space="preserve"> </w:t>
      </w:r>
      <w:r w:rsidR="00F71989">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{"citationItems":[{"id":"ITEM-1","itemData":{"DOI":"10.4037/ajcc2004.13.3.210","ISSN":"10623264","PMID":"15149055","abstract":"• OBJECTIVE: To describe the communication ability, methods, and content among nonspeaking nonsurviving patients treated with mechanical ventilation in an intensive care unit. • METHODS: Fifty patients who received mechanical ventilation and died during hospitalization were randomly selected from all adult patients (N = 396) treated in 8 ICUs in a tertiary medical center during a 12-month period. Clinicians' notes, use of physical restraints, and medication records were reviewed retrospectively. Data on communication method, use of sedation/analgesia (within 4 hours of communication event), and use of physical restraints were recorded on an investigator- developed communication event record for the first 10 communication episodes documented in each patient's record (n = 275). Message content and method were recorded for every documented communication episode (n = 694), resulting in a total of 812 content and 771 method data codes. • RESULTS: Most charts (72%) had documentation of communication by patients at some time during mechanical ventilation. Most documented communication exchanges were between patients and nurses. Primary methods of communication were head nods, mouthing words, gesture, and writing. Physical restraints were used in half of the patients. However, most of the documented communication episodes (127/202, 62.9%) occurred when physical restraints were not in use. Communication content was primarily related to pain, symptoms, feelings, and physical needs. Patients also initiated communication about their homes, families, and conditions. • CONCLUSIONS: A clinically significant proportion of nonsurviving patients treated with mechanical ventilation in the intensive care unit communicate to nurses, other clinicians, and family members primarily through gesture, head nods, and mouthing words.","author":[{"dropping-particle":"","family":"Happ","given":"Mary Beth","non-dropping-particle":"","parse-names":false,"suffix":""},{"dropping-particle":"","family":"Tuite","given":"Patricia","non-dropping-particle":"","parse-names":false,"suffix":""},{"dropping-particle":"","family":"Dobbin","given":"Kathy","non-dropping-particle":"","parse-names":false,"suffix":""},{"dropping-particle":"","family":"Divirgilio-Thomas","given":"Dana","non-dropping-particle":"","parse-names":false,"suffix":""},{"dropping-particle":"","family":"Kitutu","given":"Julius","non-dropping-particle":"","parse-names":false,"suffix":""}],"container-title":"American Journal of Critical Care","id":"ITEM-1","issue":"3","issued":{"date-parts":[["2004","5"]]},"page":"210-220","title":"Communication ability, method, and content among nonspeaking nonsurviving patients treated with mechanical ventilation in the intensive care unit","type":"article","volume":"13"},"uris":["http://www.mendeley.com/documents/?uuid=f3c3c51f-2607-32c5-a6e4-0b9ac6b187a8"]},{"id":"ITEM-2","itemData":{"DOI":"10.1097/00044067-200105000-00008","ISSN":"10790713","PMID":"11759552","abstract":"The literature clearly establishes the problems and difficulties of loss of speech among mechanically ventilated patients in the intensive care unit. Critical care nurses typically receive little or no training in the interpretation of nonvocal communication or in the assessment and application of augmentative communication methods. This article presents an integrative review of the research and related literature on communication with adult patients in critical care settings. Clinical issues and technological advancements in assistive and augmentative communication applicable to critical care are discussed and a new research agenda is proposed.","author":[{"dropping-particle":"","family":"Happ","given":"M. B.","non-dropping-particle":"","parse-names":false,"suffix":""}],"container-title":"AACN clinical issues","id":"ITEM-2","issue":"2","issued":{"date-parts":[["2001"]]},"page":"247-258","title":"Communicating with mechanically ventilated patients: state of the science.","type":"article","volume":"12"},"uris":["http://www.mendeley.com/documents/?uuid=a906e6aa-6866-3d21-9476-0e9dbec835b8"]}],"mendeley":{"formattedCitation":"&lt;sup&gt;43,44&lt;/sup&gt;","plainTextFormattedCitation":"43,44","previouslyFormattedCitation":"&lt;sup&gt;43,44&lt;/sup&gt;"},"properties":{"noteIndex":0},"schema":"https://github.com/citation-style-language/schema/raw/master/csl-citation.json"}</w:instrText>
      </w:r>
      <w:r w:rsidR="00F71989">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43,44</w:t>
      </w:r>
      <w:r w:rsidR="00F7198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 contribuir para repercussões negativas, como estresse, frustração, ansiedade e impotência </w:t>
      </w:r>
      <w:r w:rsidR="00282FF0">
        <w:rPr>
          <w:rFonts w:ascii="Times New Roman" w:eastAsia="Times New Roman" w:hAnsi="Times New Roman" w:cs="Times New Roman"/>
          <w:sz w:val="24"/>
          <w:szCs w:val="24"/>
        </w:rPr>
        <w:t>e contribuir para repercussões negativas, como estresse, frustração, ansiedade e impotência</w:t>
      </w:r>
      <w:r>
        <w:rPr>
          <w:rFonts w:ascii="Times New Roman" w:eastAsia="Times New Roman" w:hAnsi="Times New Roman" w:cs="Times New Roman"/>
          <w:sz w:val="24"/>
          <w:szCs w:val="24"/>
        </w:rPr>
        <w:t xml:space="preserve"> </w:t>
      </w:r>
      <w:r w:rsidR="00AC770A">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{"citationItems":[{"id":"ITEM-1","itemData":{"DOI":"10.1111/jocn.12826","ISSN":"13652702","abstract":"Aims and objectives: To describe how tracheostomised patients in intensive care experience acts of communication and to better understand their experiences in the context of the transitions theory. Background: Waking up in an intensive care unit unable to speak because of mechanical ventilation can be challenging. Communication aids are available, but patients still report difficulties communicating. Investigating how mechanically ventilated patients experience communication in the context of the transitions theory might elucidate new ways of supporting them during their transitions while being ventilated. Design: A qualitative, descriptive design. Methods: Eleven patients who had previously been tracheostomised in an intensive care unit were included in this quality improvement project conducted in a university hospital in Norway. Participants were tracheostomised from 3-27 and days. Semistructured interviews were conducted from June 2013-August 2013, 3-18 and months after hospital discharge. Transcripts were analysed using inductive content analysis. Results: Participants reported a great diversity of emotions and experiences attempting to communicate while being tracheostomised. One overarching theme emerging from the analysis was the 'Experience of caring and understanding despite having uncomfortable feelings due to troublesome communication.' The theme consists of three categories. The category 'Emotionally challenging' shows that patients struggled initially. With time, their coping improved, as revealed in the category 'The experience changes with time.' Despite difficulties, participants described positive experiences, as shown in the category 'Successful communication.' Conclusion: The importance of patients experiencing caring and understanding despite their difficult situation constitutes the core finding. The findings suggest that participants went through different transitions. Some reached the end of their transition, experiencing increased stability. Relevance to clinical practice: Despite challenges with communication, participants reported that caring and safety provided by health care professionals were significant experiences. They viewed nonverbal communication as being very important.","author":[{"dropping-particle":"","family":"Flinterud","given":"Stine Irene","non-dropping-particle":"","parse-names":false,"suffix":""},{"dropping-particle":"","family":"Andershed","given":"Birgitta","non-dropping-particle":"","parse-names":false,"suffix":""}],"container-title":"Journal of Clinical Nursing","id":"ITEM-1","issue":"15-16","issued":{"date-parts":[["2015","8","1"]]},"page":"2295-2304","publisher":"Blackwell Publishing Ltd","title":"Transitions in the communication experiences of tracheostomised patients in intensive care: A qualitative descriptive study","type":"article-journal","volume":"24"},"uris":["http://www.mendeley.com/documents/?uuid=804f520d-982f-3c9b-b948-a51914f3fbce"]},{"id":"ITEM-2","itemData":{"DOI":"10.1016/j.iccn.2014.10.007","ISSN":"09643397","abstract":"Objectives: The purpose of this study was to describe the patient experience of communication during mechanical ventilation.Research methodology: This descriptive study is a secondary analysis of data collected to study the relationship between sedation and the MV patients' recall of the ICU. Interviews, conducted after extubation, included the Intensive Care Experience Questionnaire. Data were analysed with Spearman correlation coefficients (r&lt;inf&gt;s&lt;/inf&gt;) and content analysis. Setting: Participants were recruited from a medical-surgical intensive care unit in the Midwest United States. Results: Participants (n=31) with a mean age of 65±11.9 were on the ventilator a median of 5 days. Inability to communicate needs was associated with helplessness (r&lt;inf&gt;s&lt;/inf&gt;=.43). While perceived lack of information received was associated with not feeling in control (r&lt;inf&gt;s&lt;/inf&gt;=41) and helplessness (r&lt;inf&gt;s&lt;/inf&gt;=41). Ineffective communication impacted negatively on satisfaction with care. Participants expressed frustration with failed communication and a lack of information received. They believed receipt of information helped them cope and desired a better system of communication during mechanical ventilation. Conclusion: Communication effectiveness impacts patients' sense of safety and well-being during mechanical ventilation. Greater emphasis needs to be placed on the development and integration of communication strategies into critical care nursing practice.","author":[{"dropping-particle":"","family":"Guttormson","given":"Jill L.","non-dropping-particle":"","parse-names":false,"suffix":""},{"dropping-particle":"","family":"Bremer","given":"Karin Lindstrom","non-dropping-particle":"","parse-names":false,"suffix":""},{"dropping-particle":"","family":"Jones","given":"Rachel M.","non-dropping-particle":"","parse-names":false,"suffix":""}],"container-title":"Intensive and Critical Care Nursing","id":"ITEM-2","issue":"3","issued":{"date-parts":[["2015","6","1"]]},"page":"179-186","publisher":"Churchill Livingstone","title":"\"Not being able to talk was horrid\": A descriptive, correlational study of communication during mechanical ventilation","type":"article-journal","volume":"31"},"uris":["http://www.mendeley.com/documents/?uuid=93eb285d-5b67-36e0-8ef7-616d40be4e56"]}],"mendeley":{"formattedCitation":"&lt;sup&gt;45,46&lt;/sup&gt;","plainTextFormattedCitation":"45,46","previouslyFormattedCitation":"&lt;sup&gt;45,46&lt;/sup&gt;"},"properties":{"noteIndex":0},"schema":"https://github.com/citation-style-language/schema/raw/master/csl-citation.json"}</w:instrText>
      </w:r>
      <w:r w:rsidR="00AC770A">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45,46</w:t>
      </w:r>
      <w:r w:rsidR="00AC770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00000135" w14:textId="65FDF5BA" w:rsidR="000C7A2A" w:rsidRPr="00A9725A" w:rsidRDefault="004929C4" w:rsidP="004929C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o terapeuta ocupacional é fundamental para a implementação da CAA. Esse profissional pode fazer uso da sua expertise para avaliar as necessidades e potencialidades do paciente e intervir utilizando os sistemas de CAA (símbolos, recursos, estratégias, técnicas e adaptações) </w:t>
      </w:r>
      <w:r w:rsidR="00F71989">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{"citationItems":[{"id":"ITEM-1","itemData":{"author":[{"dropping-particle":"","family":"Pelosi","given":"Miryam Bonadiu","non-dropping-particle":"","parse-names":false,"suffix":""}],"container-title":"Terapia Ocupacional – fundamentação e prática","id":"ITEM-1","issued":{"date-parts":[["2007"]]},"page":"462-68","title":"Comunicação Alternativa e Suplementar","type":"chapter"},"uris":["http://www.mendeley.com/documents/?uuid=7f1b5727-1cac-4c2c-a2ae-990cafd92743"]}],"mendeley":{"formattedCitation":"&lt;sup&gt;47&lt;/sup&gt;","plainTextFormattedCitation":"47","previouslyFormattedCitation":"&lt;sup&gt;47&lt;/sup&gt;"},"properties":{"noteIndex":0},"schema":"https://github.com/citation-style-language/schema/raw/master/csl-citation.json"}</w:instrText>
      </w:r>
      <w:r w:rsidR="00F71989">
        <w:rPr>
          <w:rFonts w:ascii="Times New Roman" w:eastAsia="Times New Roman" w:hAnsi="Times New Roman" w:cs="Times New Roman"/>
          <w:sz w:val="24"/>
          <w:szCs w:val="24"/>
        </w:rPr>
        <w:fldChar w:fldCharType="separate"/>
      </w:r>
      <w:r w:rsidR="00680888" w:rsidRPr="00680888">
        <w:rPr>
          <w:rFonts w:ascii="Times New Roman" w:eastAsia="Times New Roman" w:hAnsi="Times New Roman" w:cs="Times New Roman"/>
          <w:noProof/>
          <w:sz w:val="24"/>
          <w:szCs w:val="24"/>
          <w:vertAlign w:val="superscript"/>
        </w:rPr>
        <w:t>47</w:t>
      </w:r>
      <w:r w:rsidR="00F7198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fim de favorecer a comunicação dos pacientes com profissionais de saúde e seus familiares. Diversos estudos mostram os resultados positivos da CAA na UTI, além de contribuir para a melhora da comunicação sobre dor e outros sintomas </w:t>
      </w:r>
      <w:r w:rsidR="00F71989">
        <w:rPr>
          <w:rFonts w:ascii="Times New Roman" w:eastAsia="Times New Roman" w:hAnsi="Times New Roman" w:cs="Times New Roman"/>
          <w:sz w:val="24"/>
          <w:szCs w:val="24"/>
        </w:rPr>
        <w:fldChar w:fldCharType="begin" w:fldLock="1"/>
      </w:r>
      <w:r w:rsidR="00C71CCE">
        <w:rPr>
          <w:rFonts w:ascii="Times New Roman" w:eastAsia="Times New Roman" w:hAnsi="Times New Roman" w:cs="Times New Roman"/>
          <w:sz w:val="24"/>
          <w:szCs w:val="24"/>
        </w:rPr>
        <w:instrText>ADDIN CSL_CITATION {"citationItems":[{"id":"ITEM-1","itemData":{"DOI":"10.1016/j.hrtlng.2013.11.010","ISSN":"01479563","abstract":"Objective: To test the impact of two levels of intervention on communication frequency, quality, success, and ease between nurses and intubated intensive care unit (ICU) patients. Design: Quasi-experimental, 3-phase sequential cohort study: (1) usual care, (2) basic communication skills training (BCST) for nurses, (3) additional training in augmentative and alternative communication devices and speech language pathologist consultation (AAC+SLP). Trained observers rated four 3-min video-recordings for each nurse-patient dyad for communication frequency, quality and success. Patients self-rated communication ease. Setting: Two ICUs in a university-affiliated medical center. Participants: 89 intubated patients awake, responsive and unable to speak and 30 ICU nurses. Main results: Communication frequency (mean number of communication acts within a communication exchange) and positive nurse communication behaviors increased significantly in one ICU only. Percentage of successful communication exchanges about pain were greater for the two intervention groups than the usual care/control group across both ICUs (p = .03) with more successful sessions about pain and other symptoms in the AAC+SLP group (p = .07). Patients in the AAC+SLP intervention group used significantly more AAC methods (p = .002) and rated communication at high difficulty less often (p &lt; .01). Conclusions: This study provides support for the feasibility, utility and efficacy of a multi-level communication skills training, materials and SLP consultation intervention in the ICU. © 2014 Elsevier Inc.","author":[{"dropping-particle":"","family":"Happ","given":"Mary Beth","non-dropping-particle":"","parse-names":false,"suffix":""},{"dropping-particle":"","family":"Garrett","given":"Kathryn L.","non-dropping-particle":"","parse-names":false,"suffix":""},{"dropping-particle":"","family":"Tate","given":"Judith A.","non-dropping-particle":"","parse-names":false,"suffix":""},{"dropping-particle":"","family":"DiVirgilio","given":"Dana","non-dropping-particle":"","parse-names":false,"suffix":""},{"dropping-particle":"","family":"Houze","given":"Martin P.","non-dropping-particle":"","parse-names":false,"suffix":""},{"dropping-particle":"","family":"Demirci","given":"Jill R.","non-dropping-particle":"","parse-names":false,"suffix":""},{"dropping-particle":"","family":"George","given":"Elisabeth","non-dropping-particle":"","parse-names":false,"suffix":""},{"dropping-particle":"","family":"Sereika","given":"Susan M.","non-dropping-particle":"","parse-names":false,"suffix":""}],"container-title":"Heart and Lung: Journal of Acute and Critical Care","id":"ITEM-1","issue":"2","issued":{"date-parts":[["2014","3"]]},"page":"89-98","title":"Effect of a multi-level intervention on nurse-patient communication in the intensive care unit: Results of the SPEACS trial","type":"article-journal","volume":"43"},"uris":["http://www.mendeley.com/documents/?uuid=172f889b-ae40-3455-8cd0-f6f17d7ef52c"]},{"id":"ITEM-2","itemData":{"DOI":"10.1016/j.hrtlng.2014.08.010","ISSN":"15273288","abstract":"Objectives: (1) Estimate the proportion of mechanically ventilated (MV) intensive care unit (ICU) patients meeting basic communication criteria who could potentially be served by assistive communication tools and speech-language consultation. (2) Compare characteristics of patients who met communication criteria with those who did not. Design: Observational cohort study in which computerized billing and medical records were screened over a 2-year period. Setting: Six specialty ICUs across two hospitals in an academic health system. Participants: Eligible patients were awake, alert, and responsive to verbal communication from clinicians for at least one 12-h nursing shift while receiving MV≥2 consecutive days. Main results: Of the 2671MV patients screened, 1440 (53.9%) met basic communication criteria. The Neurological ICU had the lowest proportion of MV patients meeting communication criteria (40.82%); Trauma ICU had the highest proportion (69.97%). MV patients who did not meet basic communication criteria (. n=1231) were younger, had shorter lengths of stay and lower costs, and were more likely to die during the hospitalization. Conclusions: We estimate that half of MV patients in the ICU could potentially be served by assistive communication tools and speech-language consultation.","author":[{"dropping-particle":"","family":"Happ","given":"Mary Beth","non-dropping-particle":"","parse-names":false,"suffix":""},{"dropping-particle":"","family":"Seaman","given":"Jennifer B.","non-dropping-particle":"","parse-names":false,"suffix":""},{"dropping-particle":"","family":"Nilsen","given":"Marci L.","non-dropping-particle":"","parse-names":false,"suffix":""},{"dropping-particle":"","family":"Sciulli","given":"Andrea","non-dropping-particle":"","parse-names":false,"suffix":""},{"dropping-particle":"","family":"Tate","given":"Judith A.","non-dropping-particle":"","parse-names":false,"suffix":""},{"dropping-particle":"","family":"Saul","given":"Melissa","non-dropping-particle":"","parse-names":false,"suffix":""},{"dropping-particle":"","family":"Barnato","given":"Amber E.","non-dropping-particle":"","parse-names":false,"suffix":""}],"container-title":"Heart and Lung: Journal of Acute and Critical Care","id":"ITEM-2","issue":"1","issued":{"date-parts":[["2015","1","1"]]},"page":"45-49","publisher":"Mosby Inc.","title":"The number of mechanically ventilated ICU patients meeting communication criteria","type":"article-journal","volume":"44"},"uris":["http://www.mendeley.com/documents/?uuid=e0156abf-611d-3eea-a504-39d92ba12cef"]},{"id":"ITEM-3","itemData":{"DOI":"10.3928/19404921-20140127-02","ISSN":"19404921","abstract":"The study purposes were to (a) describe interaction behaviors and factors that may effect communication and (b) explore associations between interaction behaviors and nursing care quality indicators among 38 mechanically ventilated patients (age ≥60 years) and their intensive care unit nurses (n = 24). Behaviors were measured by rating videorecorded observations from the Study of Patient-Nurse Effectiveness with Communication Strategies (SPEACS). Characteristics and quality indicators were obtained from the SPEACS dataset and medical chart abstraction. All positive behaviors occurred at least once. Significant (p &lt; 0.05) associations were observed between (a) positive nurse and positive patient behaviors, (b) patient unaided augmentative and alternative communication (AAC) strategies and positive nurse behaviors, (c) individual patient unaided AAC strategies and individual nurse positive behaviors, (d) positive nurse behaviors and pain management, and (e) positive patient behaviors and sedation level. Findings provide evidence that nurse and patient behaviors effect communication and may be associated with nursing care quality.","author":[{"dropping-particle":"","family":"Nilsen","given":"Marci L.","non-dropping-particle":"","parse-names":false,"suffix":""},{"dropping-particle":"","family":"Sereika","given":"Susan M.","non-dropping-particle":"","parse-names":false,"suffix":""},{"dropping-particle":"","family":"Hoffman","given":"Leslie A.","non-dropping-particle":"","parse-names":false,"suffix":""},{"dropping-particle":"","family":"Barnato","given":"Amber","non-dropping-particle":"","parse-names":false,"suffix":""},{"dropping-particle":"","family":"Donovan","given":"Heidi","non-dropping-particle":"","parse-names":false,"suffix":""},{"dropping-particle":"","family":"Happ","given":"Mary Beth","non-dropping-particle":"","parse-names":false,"suffix":""}],"container-title":"Research in Gerontological Nursing","id":"ITEM-3","issue":"3","issued":{"date-parts":[["2014","5","1"]]},"page":"113-125","publisher":"Slack Incorporated","title":"Nurse and patient interaction behaviors’ effects on nursing care quality for mechanically ventilated older adults in the ICU","type":"article-journal","volume":"7"},"uris":["http://www.mendeley.com/documents/?uuid=8c0a3e02-49f2-30f3-bb37-a5076238555a"]},{"id":"ITEM-4","itemData":{"DOI":"10.1016/j.iccn.2017.03.003","ISSN":"09643397","abstract":"Objective To assess the effectiveness of Augmentative and Alternative Communication (AAC) strategies to enable people who are temporarily voiceless due to medical intervention, to communicate. Methods A systematic review informed by a protocol published on an international register. Ten databases were searched from January 2004 to January 2017. Included studies assessed the effect of using AAC strategies on patient related outcomes and barriers to their use. All included studies were quality appraised. Due to the heterogeneity of interventions and outcome measures findings were narratively reviewed. Results Twelve studies met the inclusion criteria and were included in the review reporting outcomes from 1981 patient and 454 health professional participants. The quality of included studies were moderate to weak. AAC communication strategies increased the number of communication interactions, improved patient satisfaction with communication and reduced communication difficulties. Barriers to usage were device characteristics, the clinical condition of the patient, lack of timeliness in communication and staff constraints. Conclusions There is preliminary, but inconsistent evidence that AAC strategies are effective in improving patient satisfaction with communication and reducing difficulties in communication. A lack of comparable studies precluded the identification of the most effective AAC strategy.","author":[{"dropping-particle":"","family":"Carruthers","given":"Helen","non-dropping-particle":"","parse-names":false,"suffix":""},{"dropping-particle":"","family":"Astin","given":"Felicity","non-dropping-particle":"","parse-names":false,"suffix":""},{"dropping-particle":"","family":"Munro","given":"Wendy","non-dropping-particle":"","parse-names":false,"suffix":""}],"container-title":"Intensive and Critical Care Nursing","id":"ITEM-4","issued":{"date-parts":[["2017","10","1"]]},"page":"88-96","publisher":"Churchill Livingstone","title":"Which alternative communication methods are effective for voiceless patients in Intensive Care Units? A systematic review","type":"article","volume":"42"},"uris":["http://www.mendeley.com/documents/?uuid=8d2b0715-abb4-3f25-aff8-22babada45fa"]},{"id":"ITEM-5","itemData":{"DOI":"10.1136/tsaco-2018-000180","ISSN":"23975776","abstract":"background Mechanically ventilated patients in the intensive care unit (ICU) are unable to communicate verbally. We sought to evaluate their needs via a communication board (CB) and a novel eye tracking device (ETD) that verbalizes selections made by gazing. Methods This was a pilot prospective study conducted in a tertiary care surgical ICU. Continuously mechanically ventilated adult surgical ICU patients with a Richmond Agitation-Sedation Scale score of −1 to +1, without cognitive impairment, were eligible. We asked patients four yes-or-no questions to assess basic needs regarding presence of pain, need for endotracheal suction, satisfactory room temperature, and position comfort. Patients were then asked if there was anything else that they wanted to communicate. All responses were confirmed by head nodding. results The median accuracy of the CB (100% (IQR 100%–100%)) for basic needs communication (yes/no questions) was comparable with that of the ETD (100% (IQR 68.8%–100%); p=0.14) in the 12 enrolled patients. Notably, 83% of patients desired to communicate additional information, ranging from spiritual (eg, desire for prayer/chaplain), emotional (eg, frustration, desire for comfort), physical/environmental (eg, television), to physiological (eg, thirst/hunger) needs. Discussion The majority of patients desired to communicate something other than basic needs. Unless specifically assessed via an assistive communication device (eg, CB or ETD), some of these other needs would have been difficult to discern. Level of evidence IV therapeutic care/management.","author":[{"dropping-particle":"","family":"Duffy","given":"Erin I.","non-dropping-particle":"","parse-names":false,"suffix":""},{"dropping-particle":"","family":"Garry","given":"Jonah","non-dropping-particle":"","parse-names":false,"suffix":""},{"dropping-particle":"","family":"Talbot","given":"Lillian","non-dropping-particle":"","parse-names":false,"suffix":""},{"dropping-particle":"","family":"Pasternak","given":"David","non-dropping-particle":"","parse-names":false,"suffix":""},{"dropping-particle":"","family":"Flinn","given":"Ashley","non-dropping-particle":"","parse-names":false,"suffix":""},{"dropping-particle":"","family":"Minardi","given":"Casey","non-dropping-particle":"","parse-names":false,"suffix":""},{"dropping</w:instrText>
      </w:r>
      <w:r w:rsidR="00C71CCE" w:rsidRPr="00A9725A">
        <w:rPr>
          <w:rFonts w:ascii="Times New Roman" w:eastAsia="Times New Roman" w:hAnsi="Times New Roman" w:cs="Times New Roman"/>
          <w:sz w:val="24"/>
          <w:szCs w:val="24"/>
        </w:rPr>
        <w:instrText>-particle":"","family":"Dookram","given":"Michele","non-dropping-particle":"","parse-names":false,"suffix":""},{"dropping-particle":"","family":"Grant","given":"Kathleen","non-dropping-particle":"","parse-names":false,"suffix":""},{"dropping-particle":"","family":"Fitzgerald","given":"Debbie","non-dropping-particle":"","parse-names":false,"suffix":""},{"dropping-particle":"","family":"Rubano","given":"Jerry","non-dropping-particle":"","parse-names":false,"suffix":""},{"dropping-particle":"","family":"Vosswinkel","given":"James","non-dropping-particle":"","parse-names":false,"suffix":""},{"dropping-particle":"","family":"Jawa","given":"Randeep S.","non-dropping-particle":"","parse-names":false,"suffix":""}],"container-title":"Trauma Surgery and Acute Care Open","id":"ITEM-5","issue":"1","issued":{"date-parts":[["2018","1","1"]]},"publisher":"BMJ Publishing Group","title":"A pilot study assessing the spiritual, emotional, physical/environmental, and physiological needs of mechanically ventilated surgical intensive care unit patients via eye tracking devices, head nodding, and communication boards","type":"article-journal","volume":"3"},"uris":["http://www.mendeley.com/documents/?uuid=833bdaad-8eef-31e5-b934-55a10ec68b20"]}],"mendeley":{"formattedCitation":"&lt;sup&gt;48–52&lt;/sup&gt;","plainTextFormattedCitation":"48–52","previouslyFormattedCitation":"&lt;sup&gt;48–52&lt;/sup&gt;"},"properties":{"noteIndex":0},"schema":"https://github.com/citation-style-language/schema/raw/master/csl-citation.json"}</w:instrText>
      </w:r>
      <w:r w:rsidR="00F71989">
        <w:rPr>
          <w:rFonts w:ascii="Times New Roman" w:eastAsia="Times New Roman" w:hAnsi="Times New Roman" w:cs="Times New Roman"/>
          <w:sz w:val="24"/>
          <w:szCs w:val="24"/>
        </w:rPr>
        <w:fldChar w:fldCharType="separate"/>
      </w:r>
      <w:r w:rsidR="00680888" w:rsidRPr="00A9725A">
        <w:rPr>
          <w:rFonts w:ascii="Times New Roman" w:eastAsia="Times New Roman" w:hAnsi="Times New Roman" w:cs="Times New Roman"/>
          <w:noProof/>
          <w:sz w:val="24"/>
          <w:szCs w:val="24"/>
          <w:vertAlign w:val="superscript"/>
        </w:rPr>
        <w:t>48–52</w:t>
      </w:r>
      <w:r w:rsidR="00F71989">
        <w:rPr>
          <w:rFonts w:ascii="Times New Roman" w:eastAsia="Times New Roman" w:hAnsi="Times New Roman" w:cs="Times New Roman"/>
          <w:sz w:val="24"/>
          <w:szCs w:val="24"/>
        </w:rPr>
        <w:fldChar w:fldCharType="end"/>
      </w:r>
      <w:r w:rsidRPr="00A9725A">
        <w:rPr>
          <w:rFonts w:ascii="Times New Roman" w:eastAsia="Times New Roman" w:hAnsi="Times New Roman" w:cs="Times New Roman"/>
          <w:sz w:val="24"/>
          <w:szCs w:val="24"/>
        </w:rPr>
        <w:t>.</w:t>
      </w:r>
    </w:p>
    <w:p w14:paraId="74795155" w14:textId="34D3166D" w:rsidR="004929C4" w:rsidRDefault="004929C4" w:rsidP="004929C4">
      <w:pPr>
        <w:spacing w:after="0" w:line="360" w:lineRule="auto"/>
        <w:ind w:firstLine="708"/>
        <w:jc w:val="both"/>
        <w:rPr>
          <w:rFonts w:ascii="Times New Roman" w:eastAsia="Times New Roman" w:hAnsi="Times New Roman" w:cs="Times New Roman"/>
          <w:sz w:val="24"/>
          <w:szCs w:val="24"/>
        </w:rPr>
      </w:pPr>
      <w:r w:rsidRPr="004929C4">
        <w:rPr>
          <w:rFonts w:ascii="Times New Roman" w:eastAsia="Times New Roman" w:hAnsi="Times New Roman" w:cs="Times New Roman"/>
          <w:sz w:val="24"/>
          <w:szCs w:val="24"/>
        </w:rPr>
        <w:t xml:space="preserve">Considerando as características clínicas do paciente com </w:t>
      </w:r>
      <w:r w:rsidR="00A9725A">
        <w:rPr>
          <w:rFonts w:ascii="Times New Roman" w:eastAsia="Times New Roman" w:hAnsi="Times New Roman" w:cs="Times New Roman"/>
          <w:sz w:val="24"/>
          <w:szCs w:val="24"/>
        </w:rPr>
        <w:t xml:space="preserve">a </w:t>
      </w:r>
      <w:r w:rsidR="002F0F3A">
        <w:rPr>
          <w:rFonts w:ascii="Times New Roman" w:eastAsia="Times New Roman" w:hAnsi="Times New Roman" w:cs="Times New Roman"/>
          <w:sz w:val="24"/>
          <w:szCs w:val="24"/>
        </w:rPr>
        <w:t>COVID-19</w:t>
      </w:r>
      <w:r w:rsidRPr="004929C4">
        <w:rPr>
          <w:rFonts w:ascii="Times New Roman" w:eastAsia="Times New Roman" w:hAnsi="Times New Roman" w:cs="Times New Roman"/>
          <w:sz w:val="24"/>
          <w:szCs w:val="24"/>
        </w:rPr>
        <w:t xml:space="preserve"> na UTI e as possibilidades de comunicação durante o seu processo de internação, descreve-se três fases que podem estar presentes na recuperação do indivíduo e orientar o profissional sobre medidas que podem ser implementadas, dependendo da disponibilidade de recursos e apoio institucional. </w:t>
      </w:r>
    </w:p>
    <w:p w14:paraId="1A69C3BA" w14:textId="77777777" w:rsidR="004929C4" w:rsidRPr="004929C4" w:rsidRDefault="004929C4" w:rsidP="004929C4">
      <w:pPr>
        <w:spacing w:after="0" w:line="360" w:lineRule="auto"/>
        <w:ind w:firstLine="708"/>
        <w:jc w:val="both"/>
        <w:rPr>
          <w:rFonts w:ascii="Times New Roman" w:eastAsia="Times New Roman" w:hAnsi="Times New Roman" w:cs="Times New Roman"/>
          <w:sz w:val="24"/>
          <w:szCs w:val="24"/>
        </w:rPr>
      </w:pPr>
    </w:p>
    <w:p w14:paraId="04F5ABF2" w14:textId="77777777" w:rsidR="004929C4" w:rsidRDefault="00282FF0" w:rsidP="004929C4">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Diminuição de sedação e uso de ventilação mecânica</w:t>
      </w:r>
    </w:p>
    <w:p w14:paraId="596068AF" w14:textId="1F41713E" w:rsidR="00A9725A" w:rsidRDefault="004929C4" w:rsidP="002F0F3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4929C4">
        <w:rPr>
          <w:rFonts w:ascii="Times New Roman" w:eastAsia="Times New Roman" w:hAnsi="Times New Roman" w:cs="Times New Roman"/>
          <w:sz w:val="24"/>
          <w:szCs w:val="24"/>
        </w:rPr>
        <w:t xml:space="preserve">Nesta fase, já é possível se aproximar do paciente com verbalizações ou toques vigorosos para ajudá-lo no despertar. Mantenha-se no campo visual dele, apresente-se, fale pausadamente, use frases curtas, simples e de modo articulado. Estabeleça com ele um gesto para evidenciar afirmações ou negações, como balançar a cabeça, piscar os olhos. Utilize algum objeto com cor vibrante e faça rastreio visual. Realize perguntas (está me escutando?; está me vendo?; seu nome é__?; você mora na cidade do__?) que o permita responder com gesto afirmativo ou negativo, previamente estabelecido, e possibilite ao profissional observar </w:t>
      </w:r>
      <w:r w:rsidRPr="004929C4">
        <w:rPr>
          <w:rFonts w:ascii="Times New Roman" w:eastAsia="Times New Roman" w:hAnsi="Times New Roman" w:cs="Times New Roman"/>
          <w:sz w:val="24"/>
          <w:szCs w:val="24"/>
        </w:rPr>
        <w:lastRenderedPageBreak/>
        <w:t xml:space="preserve">capacidades, como o seu nível de alerta, compreensão e velocidade de resposta. Forneça informações simples sobre orientação temporal e espacial, o porquê ele está internado, seu processo de recuperação, além de questioná-lo sobre a presença de sintomas comuns desconfortantes provocados pelo uso da ventilação mecânica ou sintomas comuns da </w:t>
      </w:r>
      <w:r w:rsidR="002F0F3A">
        <w:rPr>
          <w:rFonts w:ascii="Times New Roman" w:eastAsia="Times New Roman" w:hAnsi="Times New Roman" w:cs="Times New Roman"/>
          <w:sz w:val="24"/>
          <w:szCs w:val="24"/>
        </w:rPr>
        <w:t>COVID-19</w:t>
      </w:r>
      <w:r w:rsidRPr="004929C4">
        <w:rPr>
          <w:rFonts w:ascii="Times New Roman" w:eastAsia="Times New Roman" w:hAnsi="Times New Roman" w:cs="Times New Roman"/>
          <w:sz w:val="24"/>
          <w:szCs w:val="24"/>
        </w:rPr>
        <w:t xml:space="preserve">, como tosse, falta de ar, dor, secreção no peito, secreção na garganta e náusea. Nesse contexto, deve-se ainda considerar a utilização de avaliações padronizadas para a UTI e que contribuam para a avaliação do estado clínico e de interação do paciente, como Escala de Coma de Glasgow, Método de avaliação de confusão para UTI (CAM-ICU), Escala de agitação e sedação de Richmond (RASS). </w:t>
      </w:r>
    </w:p>
    <w:p w14:paraId="2CA20E5F" w14:textId="77777777" w:rsidR="002F0F3A" w:rsidRPr="002F0F3A" w:rsidRDefault="002F0F3A" w:rsidP="002F0F3A">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1A8ECCF5" w14:textId="3668A512" w:rsidR="002F0F3A" w:rsidRPr="002F0F3A" w:rsidRDefault="00282FF0" w:rsidP="002F0F3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Melhora no nível de consciência </w:t>
      </w:r>
    </w:p>
    <w:p w14:paraId="0000013A" w14:textId="700D4FD9" w:rsidR="000C7A2A" w:rsidRDefault="004929C4" w:rsidP="002F0F3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Nesta fase, prossiga com as recomendações anteriores e inicie uma avaliação mais estruturada, que permita que o terapeuta ocupacional identifique outros componentes de desempenho necessários para a comunicação, tais como: habilidades cognitivas (leitura, compreensão, sustentação da atenção); </w:t>
      </w:r>
      <w:sdt>
        <w:sdtPr>
          <w:tag w:val="goog_rdk_10"/>
          <w:id w:val="1831561776"/>
        </w:sdtPr>
        <w:sdtEndPr/>
        <w:sdtContent/>
      </w:sdt>
      <w:r>
        <w:rPr>
          <w:rFonts w:ascii="Times New Roman" w:eastAsia="Times New Roman" w:hAnsi="Times New Roman" w:cs="Times New Roman"/>
          <w:color w:val="000000"/>
          <w:sz w:val="24"/>
          <w:szCs w:val="24"/>
        </w:rPr>
        <w:t xml:space="preserve">habilidades sensoriais e perceptivas (visuais e auditivas); e habilidades motoras (coordenação motora fina, movimentação ativa de alguma parte do corpo) </w:t>
      </w:r>
      <w:r w:rsidR="00282FF0">
        <w:rPr>
          <w:rFonts w:ascii="Times New Roman" w:eastAsia="Times New Roman" w:hAnsi="Times New Roman" w:cs="Times New Roman"/>
          <w:color w:val="000000"/>
          <w:sz w:val="24"/>
          <w:szCs w:val="24"/>
        </w:rPr>
        <w:t xml:space="preserve"> </w:t>
      </w:r>
      <w:r w:rsidR="00870024">
        <w:rPr>
          <w:rFonts w:ascii="Times New Roman" w:eastAsia="Times New Roman" w:hAnsi="Times New Roman" w:cs="Times New Roman"/>
          <w:color w:val="000000"/>
          <w:sz w:val="24"/>
          <w:szCs w:val="24"/>
        </w:rPr>
        <w:fldChar w:fldCharType="begin" w:fldLock="1"/>
      </w:r>
      <w:r w:rsidR="00C71CCE">
        <w:rPr>
          <w:rFonts w:ascii="Times New Roman" w:eastAsia="Times New Roman" w:hAnsi="Times New Roman" w:cs="Times New Roman"/>
          <w:color w:val="000000"/>
          <w:sz w:val="24"/>
          <w:szCs w:val="24"/>
        </w:rPr>
        <w:instrText>ADDIN CSL_CITATION {"citationItems":[{"id":"ITEM-1","itemData":{"author":[{"dropping-particle":"","family":"Pelosi","given":"Miryam Bonadiu","non-dropping-particle":"","parse-names":false,"suffix":""},{"dropping-particle":"","family":"Coelho","given":"Patrícia Santos de Oliveira","non-dropping-particle":"","parse-names":false,"suffix":""},{"dropping-particle":"","family":"Valle","given":"Kelly","non-dropping-particle":"","parse-names":false,"suffix":""},{"dropping-particle":"","family":"Nascimento","given":"Janaína Santos","non-dropping-particle":"","parse-names":false,"suffix":""}],"container-title":"Terapia Ocupacional e Comunicação Alternativa em contextos de desenvolvimento humano.","editor":[{"dropping-particle":"","family":"Editora da Universidade Federal de São Carlos (Edufscar)","given":"","non-dropping-particle":"","parse-names":false,"suffix":""}],"id":"ITEM-1","issued":{"date-parts":[["2019"]]},"publisher-place":"São Carlos","title":"A comunicação alternativa no contexto hospitalar","type":"chapter"},"uris":["http://www.mendeley.com/documents/?uuid=e85104a0-b013-444e-b274-99ecec13cf39"]}],"mendeley":{"formattedCitation":"&lt;sup&gt;53&lt;/sup&gt;","plainTextFormattedCitation":"53","previouslyFormattedCitation":"&lt;sup&gt;53&lt;/sup&gt;"},"properties":{"noteIndex":0},"schema":"https://github.com/citation-style-language/schema/raw/master/csl-citation.json"}</w:instrText>
      </w:r>
      <w:r w:rsidR="00870024">
        <w:rPr>
          <w:rFonts w:ascii="Times New Roman" w:eastAsia="Times New Roman" w:hAnsi="Times New Roman" w:cs="Times New Roman"/>
          <w:color w:val="000000"/>
          <w:sz w:val="24"/>
          <w:szCs w:val="24"/>
        </w:rPr>
        <w:fldChar w:fldCharType="separate"/>
      </w:r>
      <w:r w:rsidR="00680888" w:rsidRPr="00680888">
        <w:rPr>
          <w:rFonts w:ascii="Times New Roman" w:eastAsia="Times New Roman" w:hAnsi="Times New Roman" w:cs="Times New Roman"/>
          <w:noProof/>
          <w:color w:val="000000"/>
          <w:sz w:val="24"/>
          <w:szCs w:val="24"/>
          <w:vertAlign w:val="superscript"/>
        </w:rPr>
        <w:t>53</w:t>
      </w:r>
      <w:r w:rsidR="00870024">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247EB379" w14:textId="1DAA3846" w:rsidR="004929C4" w:rsidRDefault="004929C4" w:rsidP="004929C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Após a avaliação, detectar se o paciente será capaz de interagir com recursos do tipo: materiais para escrita, como bloco de anotações e canetas engrossadas que devem ficar próximas ao leito e descartadas, após não serem mais úteis; pranchas de comunicação impressas coloridas e plastificadas, as quais devem ser higienizadas em sentido único com desinfetante hospitalar recomendado pelo controle de infecção de sua instituição ou lavagem com água e sabão; pranchas de comunicação virtuais usadas em tablets, computadores e smartphone com apoio de </w:t>
      </w:r>
      <w:r w:rsidRPr="00090BDE">
        <w:rPr>
          <w:rFonts w:ascii="Times New Roman" w:eastAsia="Times New Roman" w:hAnsi="Times New Roman" w:cs="Times New Roman"/>
          <w:color w:val="000000"/>
          <w:sz w:val="24"/>
          <w:szCs w:val="24"/>
        </w:rPr>
        <w:t>softwares</w:t>
      </w:r>
      <w:r>
        <w:rPr>
          <w:rFonts w:ascii="Times New Roman" w:eastAsia="Times New Roman" w:hAnsi="Times New Roman" w:cs="Times New Roman"/>
          <w:color w:val="000000"/>
          <w:sz w:val="24"/>
          <w:szCs w:val="24"/>
        </w:rPr>
        <w:t xml:space="preserve"> e aplicativos gratuitos de</w:t>
      </w:r>
      <w:r w:rsidR="00A9725A">
        <w:rPr>
          <w:rFonts w:ascii="Times New Roman" w:eastAsia="Times New Roman" w:hAnsi="Times New Roman" w:cs="Times New Roman"/>
          <w:color w:val="000000"/>
          <w:sz w:val="24"/>
          <w:szCs w:val="24"/>
        </w:rPr>
        <w:t xml:space="preserve"> CAA</w:t>
      </w:r>
      <w:r>
        <w:rPr>
          <w:rFonts w:ascii="Times New Roman" w:eastAsia="Times New Roman" w:hAnsi="Times New Roman" w:cs="Times New Roman"/>
          <w:color w:val="000000"/>
          <w:sz w:val="24"/>
          <w:szCs w:val="24"/>
        </w:rPr>
        <w:t xml:space="preserve">, como o programa </w:t>
      </w:r>
      <w:r w:rsidRPr="002C6028">
        <w:rPr>
          <w:rFonts w:ascii="Times New Roman" w:eastAsia="Times New Roman" w:hAnsi="Times New Roman" w:cs="Times New Roman"/>
          <w:color w:val="000000"/>
          <w:sz w:val="24"/>
          <w:szCs w:val="24"/>
        </w:rPr>
        <w:t>Prancha Fácil</w:t>
      </w:r>
      <w:r w:rsidRPr="005A0F5E">
        <w:rPr>
          <w:rFonts w:ascii="Times New Roman" w:eastAsia="Times New Roman" w:hAnsi="Times New Roman" w:cs="Times New Roman"/>
          <w:color w:val="000000"/>
          <w:sz w:val="24"/>
          <w:szCs w:val="24"/>
        </w:rPr>
        <w:t xml:space="preserve">, o </w:t>
      </w:r>
      <w:r w:rsidRPr="002C6028">
        <w:rPr>
          <w:rFonts w:ascii="Times New Roman" w:eastAsia="Times New Roman" w:hAnsi="Times New Roman" w:cs="Times New Roman"/>
          <w:color w:val="000000"/>
          <w:sz w:val="24"/>
          <w:szCs w:val="24"/>
        </w:rPr>
        <w:t xml:space="preserve">Portal </w:t>
      </w:r>
      <w:proofErr w:type="spellStart"/>
      <w:r w:rsidRPr="002C6028">
        <w:rPr>
          <w:rFonts w:ascii="Times New Roman" w:eastAsia="Times New Roman" w:hAnsi="Times New Roman" w:cs="Times New Roman"/>
          <w:color w:val="000000"/>
          <w:sz w:val="24"/>
          <w:szCs w:val="24"/>
        </w:rPr>
        <w:t>Arasaac</w:t>
      </w:r>
      <w:proofErr w:type="spellEnd"/>
      <w:r>
        <w:rPr>
          <w:rFonts w:ascii="Times New Roman" w:eastAsia="Times New Roman" w:hAnsi="Times New Roman" w:cs="Times New Roman"/>
          <w:color w:val="000000"/>
          <w:sz w:val="24"/>
          <w:szCs w:val="24"/>
        </w:rPr>
        <w:t xml:space="preserve"> e o aplicativo </w:t>
      </w:r>
      <w:proofErr w:type="spellStart"/>
      <w:r w:rsidRPr="002C6028">
        <w:rPr>
          <w:rFonts w:ascii="Times New Roman" w:eastAsia="Times New Roman" w:hAnsi="Times New Roman" w:cs="Times New Roman"/>
          <w:color w:val="000000"/>
          <w:sz w:val="24"/>
          <w:szCs w:val="24"/>
        </w:rPr>
        <w:t>Let</w:t>
      </w:r>
      <w:proofErr w:type="spellEnd"/>
      <w:r w:rsidRPr="002C6028">
        <w:rPr>
          <w:rFonts w:ascii="Times New Roman" w:eastAsia="Times New Roman" w:hAnsi="Times New Roman" w:cs="Times New Roman"/>
          <w:color w:val="000000"/>
          <w:sz w:val="24"/>
          <w:szCs w:val="24"/>
        </w:rPr>
        <w:t xml:space="preserve"> Me Talk</w:t>
      </w:r>
      <w:r w:rsidRPr="005A0F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Esses equipamentos devem ser envolvidos em papel filme ou sacos </w:t>
      </w:r>
      <w:r w:rsidRPr="002C6028">
        <w:rPr>
          <w:rFonts w:ascii="Times New Roman" w:eastAsia="Times New Roman" w:hAnsi="Times New Roman" w:cs="Times New Roman"/>
          <w:i/>
          <w:color w:val="000000"/>
          <w:sz w:val="24"/>
          <w:szCs w:val="24"/>
        </w:rPr>
        <w:t>ziplock</w:t>
      </w:r>
      <w:r>
        <w:rPr>
          <w:rFonts w:ascii="Times New Roman" w:eastAsia="Times New Roman" w:hAnsi="Times New Roman" w:cs="Times New Roman"/>
          <w:color w:val="000000"/>
          <w:sz w:val="24"/>
          <w:szCs w:val="24"/>
        </w:rPr>
        <w:t xml:space="preserve"> para protegê-los de contaminação. </w:t>
      </w:r>
    </w:p>
    <w:p w14:paraId="5A09C869" w14:textId="77777777" w:rsidR="002F4124" w:rsidRDefault="002F4124" w:rsidP="002F412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pranchas podem apresentar vocabulários simples, como o “sim e não”, “números”, “símbolo com representação do corpo humano”, “alfabeto”. Também pode-se utilizar símbolos representados em fotografias, pictogramas e palavras sobre sensações clínicas e afetivas.</w:t>
      </w:r>
    </w:p>
    <w:p w14:paraId="445A4ED8" w14:textId="77777777" w:rsidR="002F4124" w:rsidRDefault="002F4124" w:rsidP="002F4124">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base na experiência das autoras, recomenda-se iniciar a intervenção com pranchas que contenham de dois a seis símbolos, dependendo das habilidades cognitivas e sensoriais do paciente, como exemplificado na Figura 8. Para apresentar os símbolos, priorize a técnica de seleção por meio de varredura, onde o profissional deve ser o parceiro da comunicação, posicione a prancha no alcance visual do paciente, selecione e verbalize um símbolo de cada </w:t>
      </w:r>
      <w:r>
        <w:rPr>
          <w:rFonts w:ascii="Times New Roman" w:eastAsia="Times New Roman" w:hAnsi="Times New Roman" w:cs="Times New Roman"/>
          <w:color w:val="000000"/>
          <w:sz w:val="24"/>
          <w:szCs w:val="24"/>
        </w:rPr>
        <w:lastRenderedPageBreak/>
        <w:t xml:space="preserve">vez, pausadamente, para que ele sinalize quando chegar no símbolo desejado. À medida que a comunicação evolui, o profissional pode utilizar a técnica de seleção de varredura por linhas ou colunas. </w:t>
      </w:r>
    </w:p>
    <w:p w14:paraId="57A56AD4" w14:textId="77777777" w:rsidR="00945C28" w:rsidRDefault="00945C2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7A0C24F" w14:textId="51FC72AA" w:rsidR="00945C28" w:rsidRDefault="00945C28" w:rsidP="00945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90BDE">
        <w:rPr>
          <w:rFonts w:ascii="Times New Roman" w:eastAsia="Times New Roman" w:hAnsi="Times New Roman" w:cs="Times New Roman"/>
          <w:b/>
          <w:color w:val="000000"/>
          <w:sz w:val="24"/>
          <w:szCs w:val="24"/>
        </w:rPr>
        <w:t xml:space="preserve">Figura 8 – </w:t>
      </w:r>
      <w:r w:rsidRPr="00090BDE">
        <w:rPr>
          <w:rFonts w:ascii="Times New Roman" w:eastAsia="Times New Roman" w:hAnsi="Times New Roman" w:cs="Times New Roman"/>
          <w:color w:val="000000"/>
          <w:sz w:val="24"/>
          <w:szCs w:val="24"/>
        </w:rPr>
        <w:t>Exemplo de prancha de comunicação com símbolos relacionados à utilização da ventilação mecânica, processo de desmame e extubação</w:t>
      </w:r>
      <w:r>
        <w:rPr>
          <w:rFonts w:ascii="Times New Roman" w:eastAsia="Times New Roman" w:hAnsi="Times New Roman" w:cs="Times New Roman"/>
          <w:color w:val="000000"/>
          <w:sz w:val="24"/>
          <w:szCs w:val="24"/>
        </w:rPr>
        <w:t>.</w:t>
      </w:r>
    </w:p>
    <w:p w14:paraId="5C982726" w14:textId="77777777" w:rsidR="00945C28" w:rsidRPr="00090BDE" w:rsidRDefault="00945C28" w:rsidP="00945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43" w14:textId="77777777" w:rsidR="000C7A2A" w:rsidRDefault="00282FF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noProof/>
          <w:color w:val="000000"/>
        </w:rPr>
        <w:drawing>
          <wp:inline distT="0" distB="0" distL="0" distR="0" wp14:anchorId="5A425173" wp14:editId="3D3B95B9">
            <wp:extent cx="3689503" cy="2641866"/>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689503" cy="2641866"/>
                    </a:xfrm>
                    <a:prstGeom prst="rect">
                      <a:avLst/>
                    </a:prstGeom>
                    <a:ln/>
                  </pic:spPr>
                </pic:pic>
              </a:graphicData>
            </a:graphic>
          </wp:inline>
        </w:drawing>
      </w:r>
    </w:p>
    <w:p w14:paraId="00000144" w14:textId="7CCFEC61" w:rsidR="000C7A2A" w:rsidRPr="00945C28" w:rsidRDefault="00282FF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945C28">
        <w:rPr>
          <w:rFonts w:ascii="Times New Roman" w:hAnsi="Times New Roman" w:cs="Times New Roman"/>
          <w:b/>
          <w:color w:val="000000"/>
          <w:sz w:val="24"/>
          <w:szCs w:val="24"/>
        </w:rPr>
        <w:t xml:space="preserve">Fonte: </w:t>
      </w:r>
      <w:r w:rsidRPr="00945C28">
        <w:rPr>
          <w:rFonts w:ascii="Times New Roman" w:hAnsi="Times New Roman" w:cs="Times New Roman"/>
          <w:color w:val="000000"/>
          <w:sz w:val="24"/>
          <w:szCs w:val="24"/>
        </w:rPr>
        <w:t>Arquivo pessoa</w:t>
      </w:r>
      <w:r w:rsidR="00945C28" w:rsidRPr="00945C28">
        <w:rPr>
          <w:rFonts w:ascii="Times New Roman" w:hAnsi="Times New Roman" w:cs="Times New Roman"/>
          <w:color w:val="000000"/>
          <w:sz w:val="24"/>
          <w:szCs w:val="24"/>
        </w:rPr>
        <w:t>l</w:t>
      </w:r>
    </w:p>
    <w:p w14:paraId="00000145" w14:textId="77777777" w:rsidR="000C7A2A" w:rsidRDefault="000C7A2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146" w14:textId="77777777" w:rsidR="000C7A2A" w:rsidRDefault="00282FF0" w:rsidP="002F0F3A">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Necessita de ampliação da comunicação</w:t>
      </w:r>
    </w:p>
    <w:p w14:paraId="18FB0FA0" w14:textId="29E32F1A" w:rsidR="00F126EC" w:rsidRDefault="00945C28" w:rsidP="00646417">
      <w:pPr>
        <w:spacing w:after="0" w:line="360" w:lineRule="auto"/>
        <w:ind w:firstLine="360"/>
        <w:jc w:val="both"/>
        <w:rPr>
          <w:rFonts w:ascii="Times New Roman" w:eastAsia="Times New Roman" w:hAnsi="Times New Roman" w:cs="Times New Roman"/>
          <w:sz w:val="24"/>
          <w:szCs w:val="24"/>
        </w:rPr>
      </w:pPr>
      <w:r w:rsidRPr="00945C28">
        <w:rPr>
          <w:rFonts w:ascii="Times New Roman" w:eastAsia="Times New Roman" w:hAnsi="Times New Roman" w:cs="Times New Roman"/>
          <w:sz w:val="24"/>
          <w:szCs w:val="24"/>
        </w:rPr>
        <w:t xml:space="preserve">Sustente as recomendações das fases anteriores. Nesta fase, incentive a autonomia do paciente na tomada de decisões a respeito do seu tratamento e o envolvimento em ocupações, ainda que dentro das limitações impostas pelo adoecimento. Envolva-o em estratégias para a construção e valorização de seu perfil ocupacional. Favoreça o acesso a um vocabulário mais amplo de comunicação, relacionado a temas de autocuidado, família, espiritualidade, lazer. É possível otimizar a comunicação entre paciente e seus familiares em meio a recomendações de isolamento social utilizando estratégias como a escrita de cartas, em conjunto com ele, para serem fotografadas pelo profissional e enviadas à família posteriormente. Com o apoio do tablet, computador ou smartphone, pode-se intermediar a realização de visitas virtuais, envio e recebimento de informações por redes de comunicação e realização de atividades sensório-cognitivas fazendo uso de jogos e música, por exemplo. </w:t>
      </w:r>
    </w:p>
    <w:p w14:paraId="5B4B2EB1" w14:textId="77777777" w:rsidR="00A9725A" w:rsidRDefault="00A9725A">
      <w:pPr>
        <w:spacing w:after="0" w:line="392" w:lineRule="auto"/>
        <w:jc w:val="both"/>
        <w:rPr>
          <w:rFonts w:ascii="Times New Roman" w:eastAsia="Times New Roman" w:hAnsi="Times New Roman" w:cs="Times New Roman"/>
          <w:sz w:val="24"/>
          <w:szCs w:val="24"/>
        </w:rPr>
      </w:pPr>
    </w:p>
    <w:p w14:paraId="00000155" w14:textId="15E5A262" w:rsidR="000C7A2A" w:rsidRPr="00646417" w:rsidRDefault="00282FF0" w:rsidP="00646417">
      <w:pPr>
        <w:spacing w:after="0" w:line="392" w:lineRule="auto"/>
        <w:jc w:val="both"/>
        <w:rPr>
          <w:rFonts w:ascii="Times New Roman" w:eastAsia="Times New Roman" w:hAnsi="Times New Roman" w:cs="Times New Roman"/>
          <w:b/>
          <w:bCs/>
          <w:sz w:val="24"/>
          <w:szCs w:val="24"/>
        </w:rPr>
      </w:pPr>
      <w:r w:rsidRPr="009F5EB0">
        <w:rPr>
          <w:rFonts w:ascii="Times New Roman" w:eastAsia="Times New Roman" w:hAnsi="Times New Roman" w:cs="Times New Roman"/>
          <w:b/>
          <w:bCs/>
          <w:sz w:val="24"/>
          <w:szCs w:val="24"/>
        </w:rPr>
        <w:t xml:space="preserve">CONSIDERAÇÕES FINAIS  </w:t>
      </w:r>
    </w:p>
    <w:p w14:paraId="0335A80B" w14:textId="5E13371E" w:rsidR="0021638B" w:rsidRPr="0021638B" w:rsidRDefault="0021638B" w:rsidP="0021638B">
      <w:pPr>
        <w:spacing w:after="0" w:line="391" w:lineRule="auto"/>
        <w:ind w:firstLine="700"/>
        <w:jc w:val="both"/>
        <w:rPr>
          <w:rFonts w:ascii="Times New Roman" w:eastAsia="Times New Roman" w:hAnsi="Times New Roman" w:cs="Times New Roman"/>
          <w:sz w:val="24"/>
          <w:szCs w:val="24"/>
        </w:rPr>
      </w:pPr>
      <w:r w:rsidRPr="0021638B">
        <w:rPr>
          <w:rFonts w:ascii="Times New Roman" w:eastAsia="Times New Roman" w:hAnsi="Times New Roman" w:cs="Times New Roman"/>
          <w:sz w:val="24"/>
          <w:szCs w:val="24"/>
        </w:rPr>
        <w:lastRenderedPageBreak/>
        <w:t xml:space="preserve">Nesse cenário de incertezas e temores disseminados pela </w:t>
      </w:r>
      <w:r w:rsidR="002F0F3A">
        <w:rPr>
          <w:rFonts w:ascii="Times New Roman" w:eastAsia="Times New Roman" w:hAnsi="Times New Roman" w:cs="Times New Roman"/>
          <w:sz w:val="24"/>
          <w:szCs w:val="24"/>
        </w:rPr>
        <w:t>COVID-19</w:t>
      </w:r>
      <w:r w:rsidRPr="0021638B">
        <w:rPr>
          <w:rFonts w:ascii="Times New Roman" w:eastAsia="Times New Roman" w:hAnsi="Times New Roman" w:cs="Times New Roman"/>
          <w:sz w:val="24"/>
          <w:szCs w:val="24"/>
        </w:rPr>
        <w:t xml:space="preserve"> e escassez de publicações sobre o tema, urge a necessidade de instrumentalizar os profissionais no enfrentamento da pandemia. Intenciona-se, desse modo, que as premissas abordadas neste estudo possam suscitar reflexões; aprimorar os recursos técnicos e humanos; subsidiar o raciocínio clínico dos terapeutas ocupacionais na idealização e implementação do plano terapêutico ocupacional em face das especificidades do paciente em estado crítico. E, sobretudo, não se pretende esgotar todas as possibilidades de atuação do terapeuta ocupacional, as quais são diversas.</w:t>
      </w:r>
    </w:p>
    <w:p w14:paraId="3C7C6212" w14:textId="77777777" w:rsidR="0021638B" w:rsidRPr="0021638B" w:rsidRDefault="0021638B" w:rsidP="0021638B">
      <w:pPr>
        <w:spacing w:after="0" w:line="391" w:lineRule="auto"/>
        <w:ind w:firstLine="700"/>
        <w:jc w:val="both"/>
        <w:rPr>
          <w:rFonts w:ascii="Times New Roman" w:eastAsia="Times New Roman" w:hAnsi="Times New Roman" w:cs="Times New Roman"/>
          <w:sz w:val="24"/>
          <w:szCs w:val="24"/>
        </w:rPr>
      </w:pPr>
      <w:r w:rsidRPr="0021638B">
        <w:rPr>
          <w:rFonts w:ascii="Times New Roman" w:eastAsia="Times New Roman" w:hAnsi="Times New Roman" w:cs="Times New Roman"/>
          <w:sz w:val="24"/>
          <w:szCs w:val="24"/>
        </w:rPr>
        <w:t xml:space="preserve">No entanto, este material poderá direcionar a assistência aos pacientes em terapia intensiva, além de apoiar as ações nas enfermarias, uma vez que esses indivíduos podem ser transferidos ainda com episódios de </w:t>
      </w:r>
      <w:r w:rsidRPr="0021638B">
        <w:rPr>
          <w:rFonts w:ascii="Times New Roman" w:eastAsia="Times New Roman" w:hAnsi="Times New Roman" w:cs="Times New Roman"/>
          <w:i/>
          <w:iCs/>
          <w:sz w:val="24"/>
          <w:szCs w:val="24"/>
        </w:rPr>
        <w:t>delirium</w:t>
      </w:r>
      <w:r w:rsidRPr="0021638B">
        <w:rPr>
          <w:rFonts w:ascii="Times New Roman" w:eastAsia="Times New Roman" w:hAnsi="Times New Roman" w:cs="Times New Roman"/>
          <w:sz w:val="24"/>
          <w:szCs w:val="24"/>
        </w:rPr>
        <w:t xml:space="preserve">, dificuldades no gerenciamento da comunicação, perda de habilidades de desempenho e distintos graus de dependência funcional. </w:t>
      </w:r>
    </w:p>
    <w:p w14:paraId="0ACB2F9A" w14:textId="7422B1DC" w:rsidR="0021638B" w:rsidRDefault="0021638B" w:rsidP="0021638B">
      <w:pPr>
        <w:spacing w:after="0" w:line="391" w:lineRule="auto"/>
        <w:ind w:firstLine="700"/>
        <w:jc w:val="both"/>
        <w:rPr>
          <w:rFonts w:ascii="Times New Roman" w:eastAsia="Times New Roman" w:hAnsi="Times New Roman" w:cs="Times New Roman"/>
          <w:sz w:val="24"/>
          <w:szCs w:val="24"/>
        </w:rPr>
      </w:pPr>
      <w:r w:rsidRPr="0021638B">
        <w:rPr>
          <w:rFonts w:ascii="Times New Roman" w:eastAsia="Times New Roman" w:hAnsi="Times New Roman" w:cs="Times New Roman"/>
          <w:sz w:val="24"/>
          <w:szCs w:val="24"/>
        </w:rPr>
        <w:t xml:space="preserve">Considerando-se as características da </w:t>
      </w:r>
      <w:r w:rsidR="002F0F3A">
        <w:rPr>
          <w:rFonts w:ascii="Times New Roman" w:eastAsia="Times New Roman" w:hAnsi="Times New Roman" w:cs="Times New Roman"/>
          <w:sz w:val="24"/>
          <w:szCs w:val="24"/>
        </w:rPr>
        <w:t>COVID-19</w:t>
      </w:r>
      <w:r w:rsidRPr="0021638B">
        <w:rPr>
          <w:rFonts w:ascii="Times New Roman" w:eastAsia="Times New Roman" w:hAnsi="Times New Roman" w:cs="Times New Roman"/>
          <w:sz w:val="24"/>
          <w:szCs w:val="24"/>
        </w:rPr>
        <w:t>, o terapeuta deve estar atento aos critérios clínicos, assim como às funções dos sistemas respiratório, cardiovascular, hematológico, imunológico e respiratório ao ponderar os benefícios e riscos de sua intervenção. Todos os materiais utilizados devem ser passíveis de higienização, de acordo com as normas de biossegurança do setor de controle de infecção hospitalar de sua instituição, ou descartados após o uso. Além disso, ressalta-se a relevância de atenção às questões éticas relacionadas à segurança e à privacidade das imagens, e às informações pessoais que poderão ser manipuladas no processo terapêutico, a fim de salvaguardar a dignidade da pessoa humana.</w:t>
      </w:r>
    </w:p>
    <w:p w14:paraId="720E30E4" w14:textId="2576914B"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50B0A477" w14:textId="23A2483E"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23BA324A" w14:textId="39280A77"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502638F1" w14:textId="65635ADA"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2FA14D37" w14:textId="5A1BFFA9"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7F2BD793" w14:textId="4FFA12CB"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47AFE145" w14:textId="25933D01"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1C981A12" w14:textId="122CDBB0" w:rsidR="00646417" w:rsidRDefault="00646417" w:rsidP="0021638B">
      <w:pPr>
        <w:spacing w:after="0" w:line="391" w:lineRule="auto"/>
        <w:ind w:firstLine="700"/>
        <w:jc w:val="both"/>
        <w:rPr>
          <w:rFonts w:ascii="Times New Roman" w:eastAsia="Times New Roman" w:hAnsi="Times New Roman" w:cs="Times New Roman"/>
          <w:sz w:val="24"/>
          <w:szCs w:val="24"/>
        </w:rPr>
      </w:pPr>
    </w:p>
    <w:p w14:paraId="5DF4BCC9" w14:textId="10FB60A9" w:rsidR="00646417" w:rsidRDefault="00646417" w:rsidP="0021638B">
      <w:pPr>
        <w:spacing w:after="0" w:line="391" w:lineRule="auto"/>
        <w:ind w:firstLine="700"/>
        <w:jc w:val="both"/>
        <w:rPr>
          <w:rFonts w:ascii="Times New Roman" w:eastAsia="Times New Roman" w:hAnsi="Times New Roman" w:cs="Times New Roman"/>
          <w:sz w:val="24"/>
          <w:szCs w:val="24"/>
        </w:rPr>
      </w:pPr>
    </w:p>
    <w:p w14:paraId="16B7ED9E" w14:textId="29237F0C" w:rsidR="00646417" w:rsidRDefault="00646417" w:rsidP="0021638B">
      <w:pPr>
        <w:spacing w:after="0" w:line="391" w:lineRule="auto"/>
        <w:ind w:firstLine="700"/>
        <w:jc w:val="both"/>
        <w:rPr>
          <w:rFonts w:ascii="Times New Roman" w:eastAsia="Times New Roman" w:hAnsi="Times New Roman" w:cs="Times New Roman"/>
          <w:sz w:val="24"/>
          <w:szCs w:val="24"/>
        </w:rPr>
      </w:pPr>
    </w:p>
    <w:p w14:paraId="51CDAF1F" w14:textId="5AC42834" w:rsidR="00646417" w:rsidRDefault="00646417" w:rsidP="0021638B">
      <w:pPr>
        <w:spacing w:after="0" w:line="391" w:lineRule="auto"/>
        <w:ind w:firstLine="700"/>
        <w:jc w:val="both"/>
        <w:rPr>
          <w:rFonts w:ascii="Times New Roman" w:eastAsia="Times New Roman" w:hAnsi="Times New Roman" w:cs="Times New Roman"/>
          <w:sz w:val="24"/>
          <w:szCs w:val="24"/>
        </w:rPr>
      </w:pPr>
    </w:p>
    <w:p w14:paraId="32473AF8" w14:textId="77777777" w:rsidR="00646417" w:rsidRDefault="00646417" w:rsidP="0021638B">
      <w:pPr>
        <w:spacing w:after="0" w:line="391" w:lineRule="auto"/>
        <w:ind w:firstLine="700"/>
        <w:jc w:val="both"/>
        <w:rPr>
          <w:rFonts w:ascii="Times New Roman" w:eastAsia="Times New Roman" w:hAnsi="Times New Roman" w:cs="Times New Roman"/>
          <w:sz w:val="24"/>
          <w:szCs w:val="24"/>
        </w:rPr>
      </w:pPr>
    </w:p>
    <w:p w14:paraId="62F3E5D8" w14:textId="77777777" w:rsidR="002F0F3A" w:rsidRDefault="002F0F3A" w:rsidP="0021638B">
      <w:pPr>
        <w:spacing w:after="0" w:line="391" w:lineRule="auto"/>
        <w:ind w:firstLine="700"/>
        <w:jc w:val="both"/>
        <w:rPr>
          <w:rFonts w:ascii="Times New Roman" w:eastAsia="Times New Roman" w:hAnsi="Times New Roman" w:cs="Times New Roman"/>
          <w:sz w:val="24"/>
          <w:szCs w:val="24"/>
        </w:rPr>
      </w:pPr>
    </w:p>
    <w:p w14:paraId="00000159" w14:textId="77777777" w:rsidR="000C7A2A" w:rsidRDefault="000C7A2A">
      <w:pPr>
        <w:spacing w:after="0" w:line="360" w:lineRule="auto"/>
        <w:jc w:val="both"/>
        <w:rPr>
          <w:rFonts w:ascii="Times New Roman" w:eastAsia="Times New Roman" w:hAnsi="Times New Roman" w:cs="Times New Roman"/>
          <w:sz w:val="24"/>
          <w:szCs w:val="24"/>
        </w:rPr>
      </w:pPr>
    </w:p>
    <w:p w14:paraId="0AC591DA" w14:textId="16DBA1FC" w:rsidR="00952EAE" w:rsidRPr="009F5EB0" w:rsidRDefault="009F5EB0">
      <w:pPr>
        <w:spacing w:line="259" w:lineRule="auto"/>
        <w:rPr>
          <w:rFonts w:ascii="Times New Roman" w:eastAsia="Times New Roman" w:hAnsi="Times New Roman" w:cs="Times New Roman"/>
          <w:b/>
          <w:bCs/>
          <w:sz w:val="24"/>
          <w:szCs w:val="24"/>
        </w:rPr>
      </w:pPr>
      <w:r w:rsidRPr="009F5EB0">
        <w:rPr>
          <w:rFonts w:ascii="Times New Roman" w:eastAsia="Times New Roman" w:hAnsi="Times New Roman" w:cs="Times New Roman"/>
          <w:b/>
          <w:bCs/>
          <w:sz w:val="24"/>
          <w:szCs w:val="24"/>
        </w:rPr>
        <w:t xml:space="preserve">Referências </w:t>
      </w:r>
    </w:p>
    <w:p w14:paraId="74CB3D60" w14:textId="33FE73F4" w:rsidR="00952EAE" w:rsidRDefault="00952EAE">
      <w:pPr>
        <w:spacing w:line="259" w:lineRule="auto"/>
        <w:rPr>
          <w:rFonts w:ascii="Times New Roman" w:eastAsia="Times New Roman" w:hAnsi="Times New Roman" w:cs="Times New Roman"/>
          <w:sz w:val="24"/>
          <w:szCs w:val="24"/>
        </w:rPr>
      </w:pPr>
      <w:bookmarkStart w:id="1" w:name="_Hlk37879020"/>
    </w:p>
    <w:bookmarkStart w:id="2" w:name="_Hlk37878889"/>
    <w:p w14:paraId="268D5032" w14:textId="77777777" w:rsidR="002F0F3A" w:rsidRPr="00F126EC" w:rsidRDefault="00C71CCE" w:rsidP="002F0F3A">
      <w:pPr>
        <w:spacing w:after="0" w:line="360" w:lineRule="auto"/>
        <w:jc w:val="both"/>
        <w:rPr>
          <w:rFonts w:ascii="Times New Roman" w:eastAsia="Times New Roman" w:hAnsi="Times New Roman" w:cs="Times New Roman"/>
          <w:sz w:val="24"/>
          <w:szCs w:val="24"/>
        </w:rPr>
      </w:pPr>
      <w:r w:rsidRPr="008235D0">
        <w:rPr>
          <w:rFonts w:ascii="Times New Roman" w:eastAsia="Times New Roman" w:hAnsi="Times New Roman" w:cs="Times New Roman"/>
          <w:sz w:val="24"/>
          <w:szCs w:val="24"/>
        </w:rPr>
        <w:fldChar w:fldCharType="begin" w:fldLock="1"/>
      </w:r>
      <w:r w:rsidRPr="008235D0">
        <w:rPr>
          <w:rFonts w:ascii="Times New Roman" w:eastAsia="Times New Roman" w:hAnsi="Times New Roman" w:cs="Times New Roman"/>
          <w:sz w:val="24"/>
          <w:szCs w:val="24"/>
        </w:rPr>
        <w:instrText xml:space="preserve">ADDIN Mendeley Bibliography CSL_BIBLIOGRAPHY </w:instrText>
      </w:r>
      <w:r w:rsidRPr="008235D0">
        <w:rPr>
          <w:rFonts w:ascii="Times New Roman" w:eastAsia="Times New Roman" w:hAnsi="Times New Roman" w:cs="Times New Roman"/>
          <w:sz w:val="24"/>
          <w:szCs w:val="24"/>
        </w:rPr>
        <w:fldChar w:fldCharType="separate"/>
      </w:r>
      <w:r w:rsidR="004929C4" w:rsidRPr="004929C4">
        <w:rPr>
          <w:rFonts w:ascii="Times New Roman" w:hAnsi="Times New Roman" w:cs="Times New Roman"/>
          <w:noProof/>
          <w:sz w:val="24"/>
          <w:szCs w:val="24"/>
        </w:rPr>
        <w:t xml:space="preserve">1. </w:t>
      </w:r>
      <w:r w:rsidR="004929C4" w:rsidRPr="004929C4">
        <w:rPr>
          <w:rFonts w:ascii="Times New Roman" w:hAnsi="Times New Roman" w:cs="Times New Roman"/>
          <w:noProof/>
          <w:sz w:val="24"/>
          <w:szCs w:val="24"/>
        </w:rPr>
        <w:tab/>
        <w:t xml:space="preserve">Cascella M, Rajnik M, Cuomo A, et al. </w:t>
      </w:r>
      <w:r w:rsidR="004929C4" w:rsidRPr="002F0F3A">
        <w:rPr>
          <w:rFonts w:ascii="Times New Roman" w:hAnsi="Times New Roman" w:cs="Times New Roman"/>
          <w:i/>
          <w:iCs/>
          <w:noProof/>
          <w:sz w:val="24"/>
          <w:szCs w:val="24"/>
          <w:lang w:val="en-US"/>
        </w:rPr>
        <w:t>Features, Evaluation and Treatment Coronavirus (COVID-19)</w:t>
      </w:r>
      <w:r w:rsidR="004929C4" w:rsidRPr="002F0F3A">
        <w:rPr>
          <w:rFonts w:ascii="Times New Roman" w:hAnsi="Times New Roman" w:cs="Times New Roman"/>
          <w:noProof/>
          <w:sz w:val="24"/>
          <w:szCs w:val="24"/>
          <w:lang w:val="en-US"/>
        </w:rPr>
        <w:t xml:space="preserve">. </w:t>
      </w:r>
      <w:r w:rsidR="002F0F3A" w:rsidRPr="00B9017B">
        <w:rPr>
          <w:rFonts w:ascii="Times New Roman" w:eastAsia="Times New Roman" w:hAnsi="Times New Roman" w:cs="Times New Roman"/>
          <w:sz w:val="24"/>
          <w:szCs w:val="24"/>
          <w:highlight w:val="white"/>
          <w:lang w:val="en-US"/>
        </w:rPr>
        <w:t>In: StatPearls [Internet]. Treasure Island (FL): StatPearls Publishing; 2020 Jan-. </w:t>
      </w:r>
      <w:r w:rsidR="002F0F3A" w:rsidRPr="00F126EC">
        <w:rPr>
          <w:rFonts w:ascii="Times New Roman" w:eastAsia="Times New Roman" w:hAnsi="Times New Roman" w:cs="Times New Roman"/>
          <w:sz w:val="24"/>
          <w:szCs w:val="24"/>
          <w:highlight w:val="white"/>
        </w:rPr>
        <w:t xml:space="preserve">Available from: </w:t>
      </w:r>
      <w:hyperlink r:id="rId11">
        <w:r w:rsidR="002F0F3A" w:rsidRPr="00F126EC">
          <w:rPr>
            <w:rFonts w:ascii="Times New Roman" w:eastAsia="Times New Roman" w:hAnsi="Times New Roman" w:cs="Times New Roman"/>
            <w:color w:val="000000"/>
            <w:sz w:val="24"/>
            <w:szCs w:val="24"/>
            <w:highlight w:val="white"/>
          </w:rPr>
          <w:t>https://www.ncbi.nlm.nih.gov/books/NBK554776/</w:t>
        </w:r>
      </w:hyperlink>
    </w:p>
    <w:p w14:paraId="0E4FE89D" w14:textId="164A4CCF" w:rsidR="004929C4" w:rsidRPr="00F126EC"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F126EC">
        <w:rPr>
          <w:rFonts w:ascii="Times New Roman" w:hAnsi="Times New Roman" w:cs="Times New Roman"/>
          <w:noProof/>
          <w:sz w:val="24"/>
          <w:szCs w:val="24"/>
        </w:rPr>
        <w:t xml:space="preserve"> (2020, accessed 15 April 2020).</w:t>
      </w:r>
    </w:p>
    <w:p w14:paraId="2A9B8EBA"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2. </w:t>
      </w:r>
      <w:r w:rsidRPr="004929C4">
        <w:rPr>
          <w:rFonts w:ascii="Times New Roman" w:hAnsi="Times New Roman" w:cs="Times New Roman"/>
          <w:noProof/>
          <w:sz w:val="24"/>
          <w:szCs w:val="24"/>
        </w:rPr>
        <w:tab/>
        <w:t>Secretaria de Vigilância em Saúde M da S. Infecção humana pelo novo coronavírus (2019-nCoV).</w:t>
      </w:r>
    </w:p>
    <w:p w14:paraId="2CBF382F"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3. </w:t>
      </w:r>
      <w:r w:rsidRPr="004929C4">
        <w:rPr>
          <w:rFonts w:ascii="Times New Roman" w:hAnsi="Times New Roman" w:cs="Times New Roman"/>
          <w:noProof/>
          <w:sz w:val="24"/>
          <w:szCs w:val="24"/>
        </w:rPr>
        <w:tab/>
        <w:t xml:space="preserve">MINISTÉRIO DA SAÚDE. </w:t>
      </w:r>
      <w:r w:rsidRPr="004929C4">
        <w:rPr>
          <w:rFonts w:ascii="Times New Roman" w:hAnsi="Times New Roman" w:cs="Times New Roman"/>
          <w:i/>
          <w:iCs/>
          <w:noProof/>
          <w:sz w:val="24"/>
          <w:szCs w:val="24"/>
        </w:rPr>
        <w:t>Protocolo de manejo clínico para o novo coronavírus (2019-nCoV)</w:t>
      </w:r>
      <w:r w:rsidRPr="004929C4">
        <w:rPr>
          <w:rFonts w:ascii="Times New Roman" w:hAnsi="Times New Roman" w:cs="Times New Roman"/>
          <w:noProof/>
          <w:sz w:val="24"/>
          <w:szCs w:val="24"/>
        </w:rPr>
        <w:t>. Brasília, www.saude.gov.br (2020, accessed 15 April 2020).</w:t>
      </w:r>
    </w:p>
    <w:p w14:paraId="3EDB28E8"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4. </w:t>
      </w:r>
      <w:r w:rsidRPr="004929C4">
        <w:rPr>
          <w:rFonts w:ascii="Times New Roman" w:hAnsi="Times New Roman" w:cs="Times New Roman"/>
          <w:noProof/>
          <w:sz w:val="24"/>
          <w:szCs w:val="24"/>
        </w:rPr>
        <w:tab/>
        <w:t>OPAS BRASIL. Folha informativa – COVID-19 (doença causada pelo novo coronavírus), https://www.paho.org/bra/index.php?option=com_content&amp;view=article&amp;id=6101:covid19&amp;Itemid=875 (accessed 15 April 2020).</w:t>
      </w:r>
    </w:p>
    <w:p w14:paraId="78BD3135"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t xml:space="preserve">5. </w:t>
      </w:r>
      <w:r w:rsidRPr="004929C4">
        <w:rPr>
          <w:rFonts w:ascii="Times New Roman" w:hAnsi="Times New Roman" w:cs="Times New Roman"/>
          <w:noProof/>
          <w:sz w:val="24"/>
          <w:szCs w:val="24"/>
        </w:rPr>
        <w:tab/>
        <w:t xml:space="preserve">Zhou F, Yu T, Du R, et al. </w:t>
      </w:r>
      <w:r w:rsidRPr="002F0F3A">
        <w:rPr>
          <w:rFonts w:ascii="Times New Roman" w:hAnsi="Times New Roman" w:cs="Times New Roman"/>
          <w:noProof/>
          <w:sz w:val="24"/>
          <w:szCs w:val="24"/>
          <w:lang w:val="en-US"/>
        </w:rPr>
        <w:t xml:space="preserve">Clinical course and risk factors for mortality of adult inpatients with COVID-19 in Wuhan, China: a retrospective cohort study. </w:t>
      </w:r>
      <w:r w:rsidRPr="002F0F3A">
        <w:rPr>
          <w:rFonts w:ascii="Times New Roman" w:hAnsi="Times New Roman" w:cs="Times New Roman"/>
          <w:i/>
          <w:iCs/>
          <w:noProof/>
          <w:sz w:val="24"/>
          <w:szCs w:val="24"/>
          <w:lang w:val="en-US"/>
        </w:rPr>
        <w:t>Lancet</w:t>
      </w:r>
      <w:r w:rsidRPr="002F0F3A">
        <w:rPr>
          <w:rFonts w:ascii="Times New Roman" w:hAnsi="Times New Roman" w:cs="Times New Roman"/>
          <w:noProof/>
          <w:sz w:val="24"/>
          <w:szCs w:val="24"/>
          <w:lang w:val="en-US"/>
        </w:rPr>
        <w:t xml:space="preserve"> 2020; 395: 1054–1062.</w:t>
      </w:r>
    </w:p>
    <w:p w14:paraId="0D15B1CC"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6. </w:t>
      </w:r>
      <w:r w:rsidRPr="002F0F3A">
        <w:rPr>
          <w:rFonts w:ascii="Times New Roman" w:hAnsi="Times New Roman" w:cs="Times New Roman"/>
          <w:noProof/>
          <w:sz w:val="24"/>
          <w:szCs w:val="24"/>
          <w:lang w:val="en-US"/>
        </w:rPr>
        <w:tab/>
        <w:t xml:space="preserve">LaHue SC, James TC, Newman JC, et al. Collaborative Delirium Prevention in the Age of COVID-19. </w:t>
      </w:r>
      <w:r w:rsidRPr="002F0F3A">
        <w:rPr>
          <w:rFonts w:ascii="Times New Roman" w:hAnsi="Times New Roman" w:cs="Times New Roman"/>
          <w:i/>
          <w:iCs/>
          <w:noProof/>
          <w:sz w:val="24"/>
          <w:szCs w:val="24"/>
          <w:lang w:val="en-US"/>
        </w:rPr>
        <w:t>J Am Geriatr Soc</w:t>
      </w:r>
      <w:r w:rsidRPr="002F0F3A">
        <w:rPr>
          <w:rFonts w:ascii="Times New Roman" w:hAnsi="Times New Roman" w:cs="Times New Roman"/>
          <w:noProof/>
          <w:sz w:val="24"/>
          <w:szCs w:val="24"/>
          <w:lang w:val="en-US"/>
        </w:rPr>
        <w:t>. Epub ahead of print 11 April 2020. DOI: 10.1111/jgs.16480.</w:t>
      </w:r>
    </w:p>
    <w:p w14:paraId="1452962F" w14:textId="7E7F5203"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7. </w:t>
      </w:r>
      <w:r w:rsidRPr="004929C4">
        <w:rPr>
          <w:rFonts w:ascii="Times New Roman" w:hAnsi="Times New Roman" w:cs="Times New Roman"/>
          <w:noProof/>
          <w:sz w:val="24"/>
          <w:szCs w:val="24"/>
        </w:rPr>
        <w:tab/>
        <w:t>BRASIL. Portaria no 895, de 31 de março de 2017.</w:t>
      </w:r>
      <w:r w:rsidR="002F0F3A">
        <w:rPr>
          <w:rFonts w:ascii="Times New Roman" w:hAnsi="Times New Roman" w:cs="Times New Roman"/>
          <w:noProof/>
          <w:sz w:val="24"/>
          <w:szCs w:val="24"/>
        </w:rPr>
        <w:t xml:space="preserve"> </w:t>
      </w:r>
      <w:r w:rsidRPr="004929C4">
        <w:rPr>
          <w:rFonts w:ascii="Times New Roman" w:hAnsi="Times New Roman" w:cs="Times New Roman"/>
          <w:noProof/>
          <w:sz w:val="24"/>
          <w:szCs w:val="24"/>
        </w:rPr>
        <w:t>https://bvsms.saude.gov.br/bvs/saudelegis/gm/2017/prt0895_26_04_2017.html (accessed 15 April 2020).</w:t>
      </w:r>
    </w:p>
    <w:p w14:paraId="3F584FF5" w14:textId="1BB0885A"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8. </w:t>
      </w:r>
      <w:r w:rsidRPr="004929C4">
        <w:rPr>
          <w:rFonts w:ascii="Times New Roman" w:hAnsi="Times New Roman" w:cs="Times New Roman"/>
          <w:noProof/>
          <w:sz w:val="24"/>
          <w:szCs w:val="24"/>
        </w:rPr>
        <w:tab/>
        <w:t>BRASIL. Resolução no 7, de 24 de fevereiro de 2010.</w:t>
      </w:r>
      <w:r w:rsidR="002F0F3A">
        <w:rPr>
          <w:rFonts w:ascii="Times New Roman" w:hAnsi="Times New Roman" w:cs="Times New Roman"/>
          <w:noProof/>
          <w:sz w:val="24"/>
          <w:szCs w:val="24"/>
        </w:rPr>
        <w:t xml:space="preserve"> </w:t>
      </w:r>
      <w:r w:rsidRPr="004929C4">
        <w:rPr>
          <w:rFonts w:ascii="Times New Roman" w:hAnsi="Times New Roman" w:cs="Times New Roman"/>
          <w:noProof/>
          <w:sz w:val="24"/>
          <w:szCs w:val="24"/>
        </w:rPr>
        <w:t>https://bvsms.saude.gov.br/bvs/saudelegis/anvisa/2010/res0007_24_02_2010.html (2010, accessed 15 April 2020).</w:t>
      </w:r>
    </w:p>
    <w:p w14:paraId="3A003D66"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9. </w:t>
      </w:r>
      <w:r w:rsidRPr="004929C4">
        <w:rPr>
          <w:rFonts w:ascii="Times New Roman" w:hAnsi="Times New Roman" w:cs="Times New Roman"/>
          <w:noProof/>
          <w:sz w:val="24"/>
          <w:szCs w:val="24"/>
        </w:rPr>
        <w:tab/>
        <w:t>Barbosa FDS, Reis MC da S. O papel da Terapia Ocupacional nas Unidades de Terapia Intensiva – uma revisão de literatura. 2015; 1: 221–239.</w:t>
      </w:r>
    </w:p>
    <w:p w14:paraId="36405243"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10. </w:t>
      </w:r>
      <w:r w:rsidRPr="004929C4">
        <w:rPr>
          <w:rFonts w:ascii="Times New Roman" w:hAnsi="Times New Roman" w:cs="Times New Roman"/>
          <w:noProof/>
          <w:sz w:val="24"/>
          <w:szCs w:val="24"/>
        </w:rPr>
        <w:tab/>
        <w:t xml:space="preserve">Moreno-Chaparro J, Cubillos-Mesa C, Duarte-Torres SC. Terapia ocupacional en unidad de cuidados intensivos. </w:t>
      </w:r>
      <w:r w:rsidRPr="004929C4">
        <w:rPr>
          <w:rFonts w:ascii="Times New Roman" w:hAnsi="Times New Roman" w:cs="Times New Roman"/>
          <w:i/>
          <w:iCs/>
          <w:noProof/>
          <w:sz w:val="24"/>
          <w:szCs w:val="24"/>
        </w:rPr>
        <w:t>Rev Fac Med</w:t>
      </w:r>
      <w:r w:rsidRPr="004929C4">
        <w:rPr>
          <w:rFonts w:ascii="Times New Roman" w:hAnsi="Times New Roman" w:cs="Times New Roman"/>
          <w:noProof/>
          <w:sz w:val="24"/>
          <w:szCs w:val="24"/>
        </w:rPr>
        <w:t xml:space="preserve"> 2017; 291–296.</w:t>
      </w:r>
    </w:p>
    <w:p w14:paraId="5CA0B6DE" w14:textId="08E67EB0" w:rsidR="004929C4" w:rsidRPr="00F126EC"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lastRenderedPageBreak/>
        <w:t xml:space="preserve">11. </w:t>
      </w:r>
      <w:r w:rsidRPr="004929C4">
        <w:rPr>
          <w:rFonts w:ascii="Times New Roman" w:hAnsi="Times New Roman" w:cs="Times New Roman"/>
          <w:noProof/>
          <w:sz w:val="24"/>
          <w:szCs w:val="24"/>
        </w:rPr>
        <w:tab/>
        <w:t>Okuma SM, Paula AFM de, Carmo GP do, et al. Caracterização dos pacientes atendidos pela terapia ocupacional em uma unidade de terapia intensiva adulto</w:t>
      </w:r>
      <w:r w:rsidR="002F0F3A">
        <w:rPr>
          <w:rFonts w:ascii="Times New Roman" w:hAnsi="Times New Roman" w:cs="Times New Roman"/>
          <w:noProof/>
          <w:sz w:val="24"/>
          <w:szCs w:val="24"/>
        </w:rPr>
        <w:t>.</w:t>
      </w:r>
      <w:r w:rsidRPr="004929C4">
        <w:rPr>
          <w:rFonts w:ascii="Times New Roman" w:hAnsi="Times New Roman" w:cs="Times New Roman"/>
          <w:noProof/>
          <w:sz w:val="24"/>
          <w:szCs w:val="24"/>
        </w:rPr>
        <w:t xml:space="preserve"> </w:t>
      </w:r>
      <w:r w:rsidRPr="00F126EC">
        <w:rPr>
          <w:rFonts w:ascii="Times New Roman" w:hAnsi="Times New Roman" w:cs="Times New Roman"/>
          <w:i/>
          <w:iCs/>
          <w:noProof/>
          <w:sz w:val="24"/>
          <w:szCs w:val="24"/>
          <w:lang w:val="en-US"/>
        </w:rPr>
        <w:t>Revisbrato</w:t>
      </w:r>
      <w:r w:rsidRPr="00F126EC">
        <w:rPr>
          <w:rFonts w:ascii="Times New Roman" w:hAnsi="Times New Roman" w:cs="Times New Roman"/>
          <w:noProof/>
          <w:sz w:val="24"/>
          <w:szCs w:val="24"/>
          <w:lang w:val="en-US"/>
        </w:rPr>
        <w:t xml:space="preserve"> 2017; 1: 574–588.</w:t>
      </w:r>
    </w:p>
    <w:p w14:paraId="1C945D62"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12. </w:t>
      </w:r>
      <w:r w:rsidRPr="002F0F3A">
        <w:rPr>
          <w:rFonts w:ascii="Times New Roman" w:hAnsi="Times New Roman" w:cs="Times New Roman"/>
          <w:noProof/>
          <w:sz w:val="24"/>
          <w:szCs w:val="24"/>
          <w:lang w:val="en-US"/>
        </w:rPr>
        <w:tab/>
        <w:t xml:space="preserve">Weinreich M, Herman J, Dickason S, et al. Occupational Therapy in the Intensive Care Unit: A Systematic Review. </w:t>
      </w:r>
      <w:r w:rsidRPr="002F0F3A">
        <w:rPr>
          <w:rFonts w:ascii="Times New Roman" w:hAnsi="Times New Roman" w:cs="Times New Roman"/>
          <w:i/>
          <w:iCs/>
          <w:noProof/>
          <w:sz w:val="24"/>
          <w:szCs w:val="24"/>
          <w:lang w:val="en-US"/>
        </w:rPr>
        <w:t>Occup Ther Heal Care</w:t>
      </w:r>
      <w:r w:rsidRPr="002F0F3A">
        <w:rPr>
          <w:rFonts w:ascii="Times New Roman" w:hAnsi="Times New Roman" w:cs="Times New Roman"/>
          <w:noProof/>
          <w:sz w:val="24"/>
          <w:szCs w:val="24"/>
          <w:lang w:val="en-US"/>
        </w:rPr>
        <w:t xml:space="preserve"> 2017; 31: 205–213.</w:t>
      </w:r>
    </w:p>
    <w:p w14:paraId="6AD7F64D" w14:textId="16E58F43" w:rsidR="002F0F3A" w:rsidRPr="002F0F3A" w:rsidRDefault="004929C4" w:rsidP="002F0F3A">
      <w:pPr>
        <w:widowControl w:val="0"/>
        <w:autoSpaceDE w:val="0"/>
        <w:autoSpaceDN w:val="0"/>
        <w:adjustRightInd w:val="0"/>
        <w:spacing w:after="0" w:line="360" w:lineRule="auto"/>
        <w:ind w:left="640" w:hanging="640"/>
        <w:jc w:val="both"/>
        <w:rPr>
          <w:rFonts w:ascii="Times New Roman" w:eastAsia="Times New Roman" w:hAnsi="Times New Roman" w:cs="Times New Roman"/>
          <w:sz w:val="24"/>
          <w:szCs w:val="24"/>
          <w:lang w:val="en-US"/>
        </w:rPr>
      </w:pPr>
      <w:r w:rsidRPr="002F0F3A">
        <w:rPr>
          <w:rFonts w:ascii="Times New Roman" w:hAnsi="Times New Roman" w:cs="Times New Roman"/>
          <w:noProof/>
          <w:sz w:val="24"/>
          <w:szCs w:val="24"/>
          <w:lang w:val="en-US"/>
        </w:rPr>
        <w:t xml:space="preserve">13. </w:t>
      </w:r>
      <w:r w:rsidRPr="002F0F3A">
        <w:rPr>
          <w:rFonts w:ascii="Times New Roman" w:hAnsi="Times New Roman" w:cs="Times New Roman"/>
          <w:noProof/>
          <w:sz w:val="24"/>
          <w:szCs w:val="24"/>
          <w:lang w:val="en-US"/>
        </w:rPr>
        <w:tab/>
        <w:t xml:space="preserve">Colombini K, Henderson K, Huie M, et al. </w:t>
      </w:r>
      <w:r w:rsidRPr="002F0F3A">
        <w:rPr>
          <w:rFonts w:ascii="Times New Roman" w:hAnsi="Times New Roman" w:cs="Times New Roman"/>
          <w:i/>
          <w:iCs/>
          <w:noProof/>
          <w:sz w:val="24"/>
          <w:szCs w:val="24"/>
          <w:lang w:val="en-US"/>
        </w:rPr>
        <w:t>Occupational Therapy in the Intensive Care Unit</w:t>
      </w:r>
      <w:r w:rsidRPr="002F0F3A">
        <w:rPr>
          <w:rFonts w:ascii="Times New Roman" w:hAnsi="Times New Roman" w:cs="Times New Roman"/>
          <w:noProof/>
          <w:sz w:val="24"/>
          <w:szCs w:val="24"/>
          <w:lang w:val="en-US"/>
        </w:rPr>
        <w:t xml:space="preserve">. </w:t>
      </w:r>
      <w:r w:rsidR="002F0F3A" w:rsidRPr="00B9017B">
        <w:rPr>
          <w:rFonts w:ascii="Times New Roman" w:eastAsia="Times New Roman" w:hAnsi="Times New Roman" w:cs="Times New Roman"/>
          <w:sz w:val="24"/>
          <w:szCs w:val="24"/>
          <w:lang w:val="en-US"/>
        </w:rPr>
        <w:t>Master's Theses and Capstone Projects</w:t>
      </w:r>
      <w:r w:rsidR="002F0F3A">
        <w:rPr>
          <w:rFonts w:ascii="Times New Roman" w:eastAsia="Times New Roman" w:hAnsi="Times New Roman" w:cs="Times New Roman"/>
          <w:sz w:val="24"/>
          <w:szCs w:val="24"/>
          <w:lang w:val="en-US"/>
        </w:rPr>
        <w:t xml:space="preserve">, </w:t>
      </w:r>
      <w:r w:rsidRPr="002F0F3A">
        <w:rPr>
          <w:rFonts w:ascii="Times New Roman" w:hAnsi="Times New Roman" w:cs="Times New Roman"/>
          <w:noProof/>
          <w:sz w:val="24"/>
          <w:szCs w:val="24"/>
          <w:lang w:val="en-US"/>
        </w:rPr>
        <w:t>2017.</w:t>
      </w:r>
      <w:r w:rsidR="002F0F3A">
        <w:rPr>
          <w:rFonts w:ascii="Times New Roman" w:eastAsia="Times New Roman" w:hAnsi="Times New Roman" w:cs="Times New Roman"/>
          <w:sz w:val="24"/>
          <w:szCs w:val="24"/>
          <w:lang w:val="en-US"/>
        </w:rPr>
        <w:t xml:space="preserve"> </w:t>
      </w:r>
      <w:r w:rsidR="002F0F3A" w:rsidRPr="00B9017B">
        <w:rPr>
          <w:rFonts w:ascii="Times New Roman" w:eastAsia="Times New Roman" w:hAnsi="Times New Roman" w:cs="Times New Roman"/>
          <w:sz w:val="24"/>
          <w:szCs w:val="24"/>
          <w:lang w:val="en-US"/>
        </w:rPr>
        <w:t>http://scholar.dominican.edu/masters-theses/245</w:t>
      </w:r>
    </w:p>
    <w:p w14:paraId="63E2EA05"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14. </w:t>
      </w:r>
      <w:r w:rsidRPr="002F0F3A">
        <w:rPr>
          <w:rFonts w:ascii="Times New Roman" w:hAnsi="Times New Roman" w:cs="Times New Roman"/>
          <w:noProof/>
          <w:sz w:val="24"/>
          <w:szCs w:val="24"/>
          <w:lang w:val="en-US"/>
        </w:rPr>
        <w:tab/>
        <w:t xml:space="preserve">Koester K, Troeller H, Panter S, et al. Overview of Intensive Care Unit-Related Physical and Functional Impairments and Rehabilitation-Related Devices. </w:t>
      </w:r>
      <w:r w:rsidRPr="002F0F3A">
        <w:rPr>
          <w:rFonts w:ascii="Times New Roman" w:hAnsi="Times New Roman" w:cs="Times New Roman"/>
          <w:i/>
          <w:iCs/>
          <w:noProof/>
          <w:sz w:val="24"/>
          <w:szCs w:val="24"/>
          <w:lang w:val="en-US"/>
        </w:rPr>
        <w:t>Nutrition in Clinical Practice</w:t>
      </w:r>
      <w:r w:rsidRPr="002F0F3A">
        <w:rPr>
          <w:rFonts w:ascii="Times New Roman" w:hAnsi="Times New Roman" w:cs="Times New Roman"/>
          <w:noProof/>
          <w:sz w:val="24"/>
          <w:szCs w:val="24"/>
          <w:lang w:val="en-US"/>
        </w:rPr>
        <w:t xml:space="preserve"> 2018; 33: 177–184.</w:t>
      </w:r>
    </w:p>
    <w:p w14:paraId="13389B10"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15. </w:t>
      </w:r>
      <w:r w:rsidRPr="002F0F3A">
        <w:rPr>
          <w:rFonts w:ascii="Times New Roman" w:hAnsi="Times New Roman" w:cs="Times New Roman"/>
          <w:noProof/>
          <w:sz w:val="24"/>
          <w:szCs w:val="24"/>
          <w:lang w:val="en-US"/>
        </w:rPr>
        <w:tab/>
        <w:t xml:space="preserve">Costigan FA, Duffett M, Harris JE, et al. Occupational Therapy in the ICU: A Scoping Review of 221 Documents. </w:t>
      </w:r>
      <w:r w:rsidRPr="002F0F3A">
        <w:rPr>
          <w:rFonts w:ascii="Times New Roman" w:hAnsi="Times New Roman" w:cs="Times New Roman"/>
          <w:i/>
          <w:iCs/>
          <w:noProof/>
          <w:sz w:val="24"/>
          <w:szCs w:val="24"/>
          <w:lang w:val="en-US"/>
        </w:rPr>
        <w:t>Critical Care Medicine</w:t>
      </w:r>
      <w:r w:rsidRPr="002F0F3A">
        <w:rPr>
          <w:rFonts w:ascii="Times New Roman" w:hAnsi="Times New Roman" w:cs="Times New Roman"/>
          <w:noProof/>
          <w:sz w:val="24"/>
          <w:szCs w:val="24"/>
          <w:lang w:val="en-US"/>
        </w:rPr>
        <w:t xml:space="preserve"> 2019; 47: e1014–e1021.</w:t>
      </w:r>
    </w:p>
    <w:p w14:paraId="7DA165BD"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F0F3A">
        <w:rPr>
          <w:rFonts w:ascii="Times New Roman" w:hAnsi="Times New Roman" w:cs="Times New Roman"/>
          <w:noProof/>
          <w:sz w:val="24"/>
          <w:szCs w:val="24"/>
          <w:lang w:val="en-US"/>
        </w:rPr>
        <w:t xml:space="preserve">16. </w:t>
      </w:r>
      <w:r w:rsidRPr="002F0F3A">
        <w:rPr>
          <w:rFonts w:ascii="Times New Roman" w:hAnsi="Times New Roman" w:cs="Times New Roman"/>
          <w:noProof/>
          <w:sz w:val="24"/>
          <w:szCs w:val="24"/>
          <w:lang w:val="en-US"/>
        </w:rPr>
        <w:tab/>
        <w:t xml:space="preserve">Algeo N, Aitken LM. The evolving role of occupational therapists in adult critical care in England: A mixed methods design using role theory. </w:t>
      </w:r>
      <w:r w:rsidRPr="004929C4">
        <w:rPr>
          <w:rFonts w:ascii="Times New Roman" w:hAnsi="Times New Roman" w:cs="Times New Roman"/>
          <w:i/>
          <w:iCs/>
          <w:noProof/>
          <w:sz w:val="24"/>
          <w:szCs w:val="24"/>
        </w:rPr>
        <w:t>Irish J Occup Ther</w:t>
      </w:r>
      <w:r w:rsidRPr="004929C4">
        <w:rPr>
          <w:rFonts w:ascii="Times New Roman" w:hAnsi="Times New Roman" w:cs="Times New Roman"/>
          <w:noProof/>
          <w:sz w:val="24"/>
          <w:szCs w:val="24"/>
        </w:rPr>
        <w:t xml:space="preserve"> 2019; 47: 74–94.</w:t>
      </w:r>
    </w:p>
    <w:p w14:paraId="33C8F4F4"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17. </w:t>
      </w:r>
      <w:r w:rsidRPr="004929C4">
        <w:rPr>
          <w:rFonts w:ascii="Times New Roman" w:hAnsi="Times New Roman" w:cs="Times New Roman"/>
          <w:noProof/>
          <w:sz w:val="24"/>
          <w:szCs w:val="24"/>
        </w:rPr>
        <w:tab/>
        <w:t xml:space="preserve">Lana RM, Coelho FC, Gomes MF da C, et al. Emergência do novo coronavírus (SARS-CoV-2) e o papel de uma vigilância nacional em saúde oportuna e efetiva. </w:t>
      </w:r>
      <w:r w:rsidRPr="004929C4">
        <w:rPr>
          <w:rFonts w:ascii="Times New Roman" w:hAnsi="Times New Roman" w:cs="Times New Roman"/>
          <w:i/>
          <w:iCs/>
          <w:noProof/>
          <w:sz w:val="24"/>
          <w:szCs w:val="24"/>
        </w:rPr>
        <w:t>Cad Saude Publica</w:t>
      </w:r>
      <w:r w:rsidRPr="004929C4">
        <w:rPr>
          <w:rFonts w:ascii="Times New Roman" w:hAnsi="Times New Roman" w:cs="Times New Roman"/>
          <w:noProof/>
          <w:sz w:val="24"/>
          <w:szCs w:val="24"/>
        </w:rPr>
        <w:t xml:space="preserve"> 2020; 36: e00019620.</w:t>
      </w:r>
    </w:p>
    <w:p w14:paraId="3F6A00B1" w14:textId="7FB5A8F2"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18. </w:t>
      </w:r>
      <w:r w:rsidRPr="004929C4">
        <w:rPr>
          <w:rFonts w:ascii="Times New Roman" w:hAnsi="Times New Roman" w:cs="Times New Roman"/>
          <w:noProof/>
          <w:sz w:val="24"/>
          <w:szCs w:val="24"/>
        </w:rPr>
        <w:tab/>
        <w:t xml:space="preserve">Paiva K, Beppu OS. </w:t>
      </w:r>
      <w:r w:rsidRPr="004929C4">
        <w:rPr>
          <w:rFonts w:ascii="Times New Roman" w:hAnsi="Times New Roman" w:cs="Times New Roman"/>
          <w:i/>
          <w:iCs/>
          <w:noProof/>
          <w:sz w:val="24"/>
          <w:szCs w:val="24"/>
        </w:rPr>
        <w:t>Prone position</w:t>
      </w:r>
      <w:r w:rsidRPr="004929C4">
        <w:rPr>
          <w:rFonts w:ascii="Times New Roman" w:hAnsi="Times New Roman" w:cs="Times New Roman"/>
          <w:noProof/>
          <w:sz w:val="24"/>
          <w:szCs w:val="24"/>
        </w:rPr>
        <w:t>. Jornal Brasileiro de Pneumologia, 2005.</w:t>
      </w:r>
    </w:p>
    <w:p w14:paraId="60A96E26"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t xml:space="preserve">19. </w:t>
      </w:r>
      <w:r w:rsidRPr="004929C4">
        <w:rPr>
          <w:rFonts w:ascii="Times New Roman" w:hAnsi="Times New Roman" w:cs="Times New Roman"/>
          <w:noProof/>
          <w:sz w:val="24"/>
          <w:szCs w:val="24"/>
        </w:rPr>
        <w:tab/>
        <w:t xml:space="preserve">Drakulovic MB, Torres A, Bauer TT, et al. </w:t>
      </w:r>
      <w:r w:rsidRPr="002F0F3A">
        <w:rPr>
          <w:rFonts w:ascii="Times New Roman" w:hAnsi="Times New Roman" w:cs="Times New Roman"/>
          <w:noProof/>
          <w:sz w:val="24"/>
          <w:szCs w:val="24"/>
          <w:lang w:val="en-US"/>
        </w:rPr>
        <w:t xml:space="preserve">Supine body position as a risk factor for nosocomial pneumonia in mechanically ventilated patients: A randomised trial. </w:t>
      </w:r>
      <w:r w:rsidRPr="002F0F3A">
        <w:rPr>
          <w:rFonts w:ascii="Times New Roman" w:hAnsi="Times New Roman" w:cs="Times New Roman"/>
          <w:i/>
          <w:iCs/>
          <w:noProof/>
          <w:sz w:val="24"/>
          <w:szCs w:val="24"/>
          <w:lang w:val="en-US"/>
        </w:rPr>
        <w:t>Lancet</w:t>
      </w:r>
      <w:r w:rsidRPr="002F0F3A">
        <w:rPr>
          <w:rFonts w:ascii="Times New Roman" w:hAnsi="Times New Roman" w:cs="Times New Roman"/>
          <w:noProof/>
          <w:sz w:val="24"/>
          <w:szCs w:val="24"/>
          <w:lang w:val="en-US"/>
        </w:rPr>
        <w:t xml:space="preserve"> 1999; 354: 1851–1858.</w:t>
      </w:r>
    </w:p>
    <w:p w14:paraId="5EF39E91"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20. </w:t>
      </w:r>
      <w:r w:rsidRPr="002F0F3A">
        <w:rPr>
          <w:rFonts w:ascii="Times New Roman" w:hAnsi="Times New Roman" w:cs="Times New Roman"/>
          <w:noProof/>
          <w:sz w:val="24"/>
          <w:szCs w:val="24"/>
          <w:lang w:val="en-US"/>
        </w:rPr>
        <w:tab/>
        <w:t xml:space="preserve">Bamford P, Denmade C, Newmarch C, et al. Guidance For : Prone Positioning in Adult Critical Care. </w:t>
      </w:r>
      <w:r w:rsidRPr="002F0F3A">
        <w:rPr>
          <w:rFonts w:ascii="Times New Roman" w:hAnsi="Times New Roman" w:cs="Times New Roman"/>
          <w:i/>
          <w:iCs/>
          <w:noProof/>
          <w:sz w:val="24"/>
          <w:szCs w:val="24"/>
          <w:lang w:val="en-US"/>
        </w:rPr>
        <w:t>Intensive Care Soc</w:t>
      </w:r>
      <w:r w:rsidRPr="002F0F3A">
        <w:rPr>
          <w:rFonts w:ascii="Times New Roman" w:hAnsi="Times New Roman" w:cs="Times New Roman"/>
          <w:noProof/>
          <w:sz w:val="24"/>
          <w:szCs w:val="24"/>
          <w:lang w:val="en-US"/>
        </w:rPr>
        <w:t xml:space="preserve"> 2019; 1–39.</w:t>
      </w:r>
    </w:p>
    <w:p w14:paraId="4316F6B2"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21. </w:t>
      </w:r>
      <w:r w:rsidRPr="002F0F3A">
        <w:rPr>
          <w:rFonts w:ascii="Times New Roman" w:hAnsi="Times New Roman" w:cs="Times New Roman"/>
          <w:noProof/>
          <w:sz w:val="24"/>
          <w:szCs w:val="24"/>
          <w:lang w:val="en-US"/>
        </w:rPr>
        <w:tab/>
        <w:t xml:space="preserve">Bloomfield R, Noble DW, Sudlow A. Prone position for acute respiratory failure in adults. </w:t>
      </w:r>
      <w:r w:rsidRPr="002F0F3A">
        <w:rPr>
          <w:rFonts w:ascii="Times New Roman" w:hAnsi="Times New Roman" w:cs="Times New Roman"/>
          <w:i/>
          <w:iCs/>
          <w:noProof/>
          <w:sz w:val="24"/>
          <w:szCs w:val="24"/>
          <w:lang w:val="en-US"/>
        </w:rPr>
        <w:t>Cochrane Database of Systematic Reviews</w:t>
      </w:r>
      <w:r w:rsidRPr="002F0F3A">
        <w:rPr>
          <w:rFonts w:ascii="Times New Roman" w:hAnsi="Times New Roman" w:cs="Times New Roman"/>
          <w:noProof/>
          <w:sz w:val="24"/>
          <w:szCs w:val="24"/>
          <w:lang w:val="en-US"/>
        </w:rPr>
        <w:t>; 2015. Epub ahead of print 13 November 2015. DOI: 10.1002/14651858.CD008095.pub2.</w:t>
      </w:r>
    </w:p>
    <w:p w14:paraId="6302D238"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22. </w:t>
      </w:r>
      <w:r w:rsidRPr="002F0F3A">
        <w:rPr>
          <w:rFonts w:ascii="Times New Roman" w:hAnsi="Times New Roman" w:cs="Times New Roman"/>
          <w:noProof/>
          <w:sz w:val="24"/>
          <w:szCs w:val="24"/>
          <w:lang w:val="en-US"/>
        </w:rPr>
        <w:tab/>
        <w:t xml:space="preserve">Zhao H-M, Xie Y-X, Wang C. Recommendations for respiratory rehabilitation in adults with COVID-19. </w:t>
      </w:r>
      <w:r w:rsidRPr="002F0F3A">
        <w:rPr>
          <w:rFonts w:ascii="Times New Roman" w:hAnsi="Times New Roman" w:cs="Times New Roman"/>
          <w:i/>
          <w:iCs/>
          <w:noProof/>
          <w:sz w:val="24"/>
          <w:szCs w:val="24"/>
          <w:lang w:val="en-US"/>
        </w:rPr>
        <w:t>Chin Med J</w:t>
      </w:r>
      <w:r w:rsidRPr="002F0F3A">
        <w:rPr>
          <w:rFonts w:ascii="Times New Roman" w:hAnsi="Times New Roman" w:cs="Times New Roman"/>
          <w:noProof/>
          <w:sz w:val="24"/>
          <w:szCs w:val="24"/>
          <w:lang w:val="en-US"/>
        </w:rPr>
        <w:t>. Epub ahead of print 2020. DOI: 10.1097/CM9.0000000000000848.</w:t>
      </w:r>
    </w:p>
    <w:p w14:paraId="7E479A16"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F0F3A">
        <w:rPr>
          <w:rFonts w:ascii="Times New Roman" w:hAnsi="Times New Roman" w:cs="Times New Roman"/>
          <w:noProof/>
          <w:sz w:val="24"/>
          <w:szCs w:val="24"/>
          <w:lang w:val="en-US"/>
        </w:rPr>
        <w:t xml:space="preserve">23. </w:t>
      </w:r>
      <w:r w:rsidRPr="002F0F3A">
        <w:rPr>
          <w:rFonts w:ascii="Times New Roman" w:hAnsi="Times New Roman" w:cs="Times New Roman"/>
          <w:noProof/>
          <w:sz w:val="24"/>
          <w:szCs w:val="24"/>
          <w:lang w:val="en-US"/>
        </w:rPr>
        <w:tab/>
        <w:t xml:space="preserve">Association AAOT. </w:t>
      </w:r>
      <w:r w:rsidRPr="004929C4">
        <w:rPr>
          <w:rFonts w:ascii="Times New Roman" w:hAnsi="Times New Roman" w:cs="Times New Roman"/>
          <w:noProof/>
          <w:sz w:val="24"/>
          <w:szCs w:val="24"/>
        </w:rPr>
        <w:t>Estrutura da prática da Terapia Ocupacional: domínio &amp; processo - 3</w:t>
      </w:r>
      <w:r w:rsidRPr="004929C4">
        <w:rPr>
          <w:rFonts w:ascii="Times New Roman" w:hAnsi="Times New Roman" w:cs="Times New Roman"/>
          <w:noProof/>
          <w:sz w:val="24"/>
          <w:szCs w:val="24"/>
          <w:vertAlign w:val="superscript"/>
        </w:rPr>
        <w:t>a</w:t>
      </w:r>
      <w:r w:rsidRPr="004929C4">
        <w:rPr>
          <w:rFonts w:ascii="Times New Roman" w:hAnsi="Times New Roman" w:cs="Times New Roman"/>
          <w:noProof/>
          <w:sz w:val="24"/>
          <w:szCs w:val="24"/>
        </w:rPr>
        <w:t xml:space="preserve"> ed. traduzida. </w:t>
      </w:r>
      <w:r w:rsidRPr="004929C4">
        <w:rPr>
          <w:rFonts w:ascii="Times New Roman" w:hAnsi="Times New Roman" w:cs="Times New Roman"/>
          <w:i/>
          <w:iCs/>
          <w:noProof/>
          <w:sz w:val="24"/>
          <w:szCs w:val="24"/>
        </w:rPr>
        <w:t>Rev Ter Ocup da USP</w:t>
      </w:r>
      <w:r w:rsidRPr="004929C4">
        <w:rPr>
          <w:rFonts w:ascii="Times New Roman" w:hAnsi="Times New Roman" w:cs="Times New Roman"/>
          <w:noProof/>
          <w:sz w:val="24"/>
          <w:szCs w:val="24"/>
        </w:rPr>
        <w:t xml:space="preserve"> 2015; 26: 1–49.</w:t>
      </w:r>
    </w:p>
    <w:p w14:paraId="1BEF45D7"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t xml:space="preserve">24. </w:t>
      </w:r>
      <w:r w:rsidRPr="004929C4">
        <w:rPr>
          <w:rFonts w:ascii="Times New Roman" w:hAnsi="Times New Roman" w:cs="Times New Roman"/>
          <w:noProof/>
          <w:sz w:val="24"/>
          <w:szCs w:val="24"/>
        </w:rPr>
        <w:tab/>
        <w:t xml:space="preserve">Associação Brasileira dos Terapeutas Ocupacionais (ABRATO). </w:t>
      </w:r>
      <w:r w:rsidRPr="004929C4">
        <w:rPr>
          <w:rFonts w:ascii="Times New Roman" w:hAnsi="Times New Roman" w:cs="Times New Roman"/>
          <w:i/>
          <w:iCs/>
          <w:noProof/>
          <w:sz w:val="24"/>
          <w:szCs w:val="24"/>
        </w:rPr>
        <w:t xml:space="preserve">Estudo sobre </w:t>
      </w:r>
      <w:r w:rsidRPr="004929C4">
        <w:rPr>
          <w:rFonts w:ascii="Times New Roman" w:hAnsi="Times New Roman" w:cs="Times New Roman"/>
          <w:i/>
          <w:iCs/>
          <w:noProof/>
          <w:sz w:val="24"/>
          <w:szCs w:val="24"/>
        </w:rPr>
        <w:lastRenderedPageBreak/>
        <w:t>atividades da vida diária, atividades instrumentais da vida diária e tecnologia assistiva.</w:t>
      </w:r>
      <w:r w:rsidRPr="004929C4">
        <w:rPr>
          <w:rFonts w:ascii="Times New Roman" w:hAnsi="Times New Roman" w:cs="Times New Roman"/>
          <w:noProof/>
          <w:sz w:val="24"/>
          <w:szCs w:val="24"/>
        </w:rPr>
        <w:t xml:space="preserve"> </w:t>
      </w:r>
      <w:r w:rsidRPr="002F0F3A">
        <w:rPr>
          <w:rFonts w:ascii="Times New Roman" w:hAnsi="Times New Roman" w:cs="Times New Roman"/>
          <w:noProof/>
          <w:sz w:val="24"/>
          <w:szCs w:val="24"/>
          <w:lang w:val="en-US"/>
        </w:rPr>
        <w:t>2015.</w:t>
      </w:r>
    </w:p>
    <w:p w14:paraId="455708B8" w14:textId="3B3A7403"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25. </w:t>
      </w:r>
      <w:r w:rsidRPr="002F0F3A">
        <w:rPr>
          <w:rFonts w:ascii="Times New Roman" w:hAnsi="Times New Roman" w:cs="Times New Roman"/>
          <w:noProof/>
          <w:sz w:val="24"/>
          <w:szCs w:val="24"/>
          <w:lang w:val="en-US"/>
        </w:rPr>
        <w:tab/>
        <w:t>W</w:t>
      </w:r>
      <w:r w:rsidR="002F0F3A" w:rsidRPr="002F0F3A">
        <w:rPr>
          <w:rFonts w:ascii="Times New Roman" w:hAnsi="Times New Roman" w:cs="Times New Roman"/>
          <w:noProof/>
          <w:sz w:val="24"/>
          <w:szCs w:val="24"/>
          <w:lang w:val="en-US"/>
        </w:rPr>
        <w:t xml:space="preserve">orld </w:t>
      </w:r>
      <w:r w:rsidR="002F0F3A">
        <w:rPr>
          <w:rFonts w:ascii="Times New Roman" w:hAnsi="Times New Roman" w:cs="Times New Roman"/>
          <w:noProof/>
          <w:sz w:val="24"/>
          <w:szCs w:val="24"/>
          <w:lang w:val="en-US"/>
        </w:rPr>
        <w:t>H</w:t>
      </w:r>
      <w:r w:rsidR="002F0F3A" w:rsidRPr="002F0F3A">
        <w:rPr>
          <w:rFonts w:ascii="Times New Roman" w:hAnsi="Times New Roman" w:cs="Times New Roman"/>
          <w:noProof/>
          <w:sz w:val="24"/>
          <w:szCs w:val="24"/>
          <w:lang w:val="en-US"/>
        </w:rPr>
        <w:t xml:space="preserve">ealth </w:t>
      </w:r>
      <w:r w:rsidR="002F0F3A">
        <w:rPr>
          <w:rFonts w:ascii="Times New Roman" w:hAnsi="Times New Roman" w:cs="Times New Roman"/>
          <w:noProof/>
          <w:sz w:val="24"/>
          <w:szCs w:val="24"/>
          <w:lang w:val="en-US"/>
        </w:rPr>
        <w:t>O</w:t>
      </w:r>
      <w:r w:rsidR="002F0F3A" w:rsidRPr="002F0F3A">
        <w:rPr>
          <w:rFonts w:ascii="Times New Roman" w:hAnsi="Times New Roman" w:cs="Times New Roman"/>
          <w:noProof/>
          <w:sz w:val="24"/>
          <w:szCs w:val="24"/>
          <w:lang w:val="en-US"/>
        </w:rPr>
        <w:t>rganization</w:t>
      </w:r>
      <w:r w:rsidRPr="002F0F3A">
        <w:rPr>
          <w:rFonts w:ascii="Times New Roman" w:hAnsi="Times New Roman" w:cs="Times New Roman"/>
          <w:noProof/>
          <w:sz w:val="24"/>
          <w:szCs w:val="24"/>
          <w:lang w:val="en-US"/>
        </w:rPr>
        <w:t>. Coronavirus disease (COVID-2019) situation reports: Situation report - 83., https://www.who.int/emergencies/diseases/novel-coronavirus-2019/situation reports (2020).</w:t>
      </w:r>
    </w:p>
    <w:p w14:paraId="36F65CDA" w14:textId="35172418"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t xml:space="preserve">26. </w:t>
      </w:r>
      <w:r w:rsidRPr="004929C4">
        <w:rPr>
          <w:rFonts w:ascii="Times New Roman" w:hAnsi="Times New Roman" w:cs="Times New Roman"/>
          <w:noProof/>
          <w:sz w:val="24"/>
          <w:szCs w:val="24"/>
        </w:rPr>
        <w:tab/>
        <w:t>C</w:t>
      </w:r>
      <w:r w:rsidR="002F0F3A" w:rsidRPr="004929C4">
        <w:rPr>
          <w:rFonts w:ascii="Times New Roman" w:hAnsi="Times New Roman" w:cs="Times New Roman"/>
          <w:noProof/>
          <w:sz w:val="24"/>
          <w:szCs w:val="24"/>
        </w:rPr>
        <w:t>azeiro</w:t>
      </w:r>
      <w:r w:rsidRPr="004929C4">
        <w:rPr>
          <w:rFonts w:ascii="Times New Roman" w:hAnsi="Times New Roman" w:cs="Times New Roman"/>
          <w:noProof/>
          <w:sz w:val="24"/>
          <w:szCs w:val="24"/>
        </w:rPr>
        <w:t xml:space="preserve"> APM, P</w:t>
      </w:r>
      <w:r w:rsidR="002F0F3A" w:rsidRPr="004929C4">
        <w:rPr>
          <w:rFonts w:ascii="Times New Roman" w:hAnsi="Times New Roman" w:cs="Times New Roman"/>
          <w:noProof/>
          <w:sz w:val="24"/>
          <w:szCs w:val="24"/>
        </w:rPr>
        <w:t>eres</w:t>
      </w:r>
      <w:r w:rsidRPr="004929C4">
        <w:rPr>
          <w:rFonts w:ascii="Times New Roman" w:hAnsi="Times New Roman" w:cs="Times New Roman"/>
          <w:noProof/>
          <w:sz w:val="24"/>
          <w:szCs w:val="24"/>
        </w:rPr>
        <w:t xml:space="preserve"> PT. A </w:t>
      </w:r>
      <w:r w:rsidR="002F0F3A" w:rsidRPr="004929C4">
        <w:rPr>
          <w:rFonts w:ascii="Times New Roman" w:hAnsi="Times New Roman" w:cs="Times New Roman"/>
          <w:noProof/>
          <w:sz w:val="24"/>
          <w:szCs w:val="24"/>
        </w:rPr>
        <w:t>terapia ocupacional na prevenção e no tratamento de complicações decorrentes da imobilização no leito</w:t>
      </w:r>
      <w:r w:rsidRPr="004929C4">
        <w:rPr>
          <w:rFonts w:ascii="Times New Roman" w:hAnsi="Times New Roman" w:cs="Times New Roman"/>
          <w:noProof/>
          <w:sz w:val="24"/>
          <w:szCs w:val="24"/>
        </w:rPr>
        <w:t xml:space="preserve">. </w:t>
      </w:r>
      <w:r w:rsidRPr="002F0F3A">
        <w:rPr>
          <w:rFonts w:ascii="Times New Roman" w:hAnsi="Times New Roman" w:cs="Times New Roman"/>
          <w:i/>
          <w:iCs/>
          <w:noProof/>
          <w:sz w:val="24"/>
          <w:szCs w:val="24"/>
          <w:lang w:val="en-US"/>
        </w:rPr>
        <w:t>Cad Bras Ter Ocup Bras Ter Ocup</w:t>
      </w:r>
      <w:r w:rsidRPr="002F0F3A">
        <w:rPr>
          <w:rFonts w:ascii="Times New Roman" w:hAnsi="Times New Roman" w:cs="Times New Roman"/>
          <w:noProof/>
          <w:sz w:val="24"/>
          <w:szCs w:val="24"/>
          <w:lang w:val="en-US"/>
        </w:rPr>
        <w:t xml:space="preserve"> 2010; 18: 149–167.</w:t>
      </w:r>
    </w:p>
    <w:p w14:paraId="2454E127"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27. </w:t>
      </w:r>
      <w:r w:rsidRPr="002F0F3A">
        <w:rPr>
          <w:rFonts w:ascii="Times New Roman" w:hAnsi="Times New Roman" w:cs="Times New Roman"/>
          <w:noProof/>
          <w:sz w:val="24"/>
          <w:szCs w:val="24"/>
          <w:lang w:val="en-US"/>
        </w:rPr>
        <w:tab/>
        <w:t xml:space="preserve">Curzel J, Junior LAF, De Mello Rieder M. Evaluation of functional independence after discharge from the intensive care unit. </w:t>
      </w:r>
      <w:r w:rsidRPr="002F0F3A">
        <w:rPr>
          <w:rFonts w:ascii="Times New Roman" w:hAnsi="Times New Roman" w:cs="Times New Roman"/>
          <w:i/>
          <w:iCs/>
          <w:noProof/>
          <w:sz w:val="24"/>
          <w:szCs w:val="24"/>
          <w:lang w:val="en-US"/>
        </w:rPr>
        <w:t>Rev Bras Ter Intensiva</w:t>
      </w:r>
      <w:r w:rsidRPr="002F0F3A">
        <w:rPr>
          <w:rFonts w:ascii="Times New Roman" w:hAnsi="Times New Roman" w:cs="Times New Roman"/>
          <w:noProof/>
          <w:sz w:val="24"/>
          <w:szCs w:val="24"/>
          <w:lang w:val="en-US"/>
        </w:rPr>
        <w:t xml:space="preserve"> 2013; 25: 93–98.</w:t>
      </w:r>
    </w:p>
    <w:p w14:paraId="674E535B" w14:textId="7606B8D6"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28. </w:t>
      </w:r>
      <w:r w:rsidRPr="002F0F3A">
        <w:rPr>
          <w:rFonts w:ascii="Times New Roman" w:hAnsi="Times New Roman" w:cs="Times New Roman"/>
          <w:noProof/>
          <w:sz w:val="24"/>
          <w:szCs w:val="24"/>
          <w:lang w:val="en-US"/>
        </w:rPr>
        <w:tab/>
        <w:t>B</w:t>
      </w:r>
      <w:r w:rsidR="002F0F3A" w:rsidRPr="002F0F3A">
        <w:rPr>
          <w:rFonts w:ascii="Times New Roman" w:hAnsi="Times New Roman" w:cs="Times New Roman"/>
          <w:noProof/>
          <w:sz w:val="24"/>
          <w:szCs w:val="24"/>
          <w:lang w:val="en-US"/>
        </w:rPr>
        <w:t>artholomew</w:t>
      </w:r>
      <w:r w:rsidRPr="002F0F3A">
        <w:rPr>
          <w:rFonts w:ascii="Times New Roman" w:hAnsi="Times New Roman" w:cs="Times New Roman"/>
          <w:noProof/>
          <w:sz w:val="24"/>
          <w:szCs w:val="24"/>
          <w:lang w:val="en-US"/>
        </w:rPr>
        <w:t xml:space="preserve"> T et al. Working with Elders Who Have Cardiovascular Conditions. In: St Louis: Mosby (ed) </w:t>
      </w:r>
      <w:r w:rsidRPr="002F0F3A">
        <w:rPr>
          <w:rFonts w:ascii="Times New Roman" w:hAnsi="Times New Roman" w:cs="Times New Roman"/>
          <w:i/>
          <w:iCs/>
          <w:noProof/>
          <w:sz w:val="24"/>
          <w:szCs w:val="24"/>
          <w:lang w:val="en-US"/>
        </w:rPr>
        <w:t>Occupational therapy with elders: strategies for the cota.</w:t>
      </w:r>
      <w:r w:rsidRPr="002F0F3A">
        <w:rPr>
          <w:rFonts w:ascii="Times New Roman" w:hAnsi="Times New Roman" w:cs="Times New Roman"/>
          <w:noProof/>
          <w:sz w:val="24"/>
          <w:szCs w:val="24"/>
          <w:lang w:val="en-US"/>
        </w:rPr>
        <w:t xml:space="preserve"> 2011, pp. 297–305.</w:t>
      </w:r>
    </w:p>
    <w:p w14:paraId="42E0C11F" w14:textId="024567EF"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29. </w:t>
      </w:r>
      <w:r w:rsidRPr="002F0F3A">
        <w:rPr>
          <w:rFonts w:ascii="Times New Roman" w:hAnsi="Times New Roman" w:cs="Times New Roman"/>
          <w:noProof/>
          <w:sz w:val="24"/>
          <w:szCs w:val="24"/>
          <w:lang w:val="en-US"/>
        </w:rPr>
        <w:tab/>
        <w:t xml:space="preserve">Mahoney FI BD. </w:t>
      </w:r>
      <w:r w:rsidR="002F0F3A" w:rsidRPr="002F0F3A">
        <w:rPr>
          <w:rFonts w:ascii="Times New Roman" w:hAnsi="Times New Roman" w:cs="Times New Roman"/>
          <w:noProof/>
          <w:sz w:val="24"/>
          <w:szCs w:val="24"/>
          <w:lang w:val="en-US"/>
        </w:rPr>
        <w:t>functional evaluation: the barthel index</w:t>
      </w:r>
      <w:r w:rsidRPr="002F0F3A">
        <w:rPr>
          <w:rFonts w:ascii="Times New Roman" w:hAnsi="Times New Roman" w:cs="Times New Roman"/>
          <w:noProof/>
          <w:sz w:val="24"/>
          <w:szCs w:val="24"/>
          <w:lang w:val="en-US"/>
        </w:rPr>
        <w:t xml:space="preserve">. </w:t>
      </w:r>
      <w:r w:rsidRPr="002F0F3A">
        <w:rPr>
          <w:rFonts w:ascii="Times New Roman" w:hAnsi="Times New Roman" w:cs="Times New Roman"/>
          <w:i/>
          <w:iCs/>
          <w:noProof/>
          <w:sz w:val="24"/>
          <w:szCs w:val="24"/>
          <w:lang w:val="en-US"/>
        </w:rPr>
        <w:t>Md State Med J</w:t>
      </w:r>
      <w:r w:rsidRPr="002F0F3A">
        <w:rPr>
          <w:rFonts w:ascii="Times New Roman" w:hAnsi="Times New Roman" w:cs="Times New Roman"/>
          <w:noProof/>
          <w:sz w:val="24"/>
          <w:szCs w:val="24"/>
          <w:lang w:val="en-US"/>
        </w:rPr>
        <w:t xml:space="preserve"> 1965; 14: 56–61.</w:t>
      </w:r>
    </w:p>
    <w:p w14:paraId="435D8DCA" w14:textId="1D473F01"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30. </w:t>
      </w:r>
      <w:r w:rsidRPr="004929C4">
        <w:rPr>
          <w:rFonts w:ascii="Times New Roman" w:hAnsi="Times New Roman" w:cs="Times New Roman"/>
          <w:noProof/>
          <w:sz w:val="24"/>
          <w:szCs w:val="24"/>
        </w:rPr>
        <w:tab/>
        <w:t xml:space="preserve">Monteiro D da R, Almeida M de A, Kruse MHL. </w:t>
      </w:r>
      <w:r w:rsidRPr="002F0F3A">
        <w:rPr>
          <w:rFonts w:ascii="Times New Roman" w:hAnsi="Times New Roman" w:cs="Times New Roman"/>
          <w:noProof/>
          <w:sz w:val="24"/>
          <w:szCs w:val="24"/>
          <w:lang w:val="en-US"/>
        </w:rPr>
        <w:t xml:space="preserve">Translation and cross-cultural adaptation of the Edmonton Symptom Assessment System for use in Palliative Care. </w:t>
      </w:r>
      <w:r w:rsidRPr="004929C4">
        <w:rPr>
          <w:rFonts w:ascii="Times New Roman" w:hAnsi="Times New Roman" w:cs="Times New Roman"/>
          <w:i/>
          <w:iCs/>
          <w:noProof/>
          <w:sz w:val="24"/>
          <w:szCs w:val="24"/>
        </w:rPr>
        <w:t>Rev Gaucha Enferm</w:t>
      </w:r>
      <w:r w:rsidRPr="004929C4">
        <w:rPr>
          <w:rFonts w:ascii="Times New Roman" w:hAnsi="Times New Roman" w:cs="Times New Roman"/>
          <w:noProof/>
          <w:sz w:val="24"/>
          <w:szCs w:val="24"/>
        </w:rPr>
        <w:t xml:space="preserve"> 2013; 34: 163–171.</w:t>
      </w:r>
    </w:p>
    <w:p w14:paraId="77155BD1"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31. </w:t>
      </w:r>
      <w:r w:rsidRPr="004929C4">
        <w:rPr>
          <w:rFonts w:ascii="Times New Roman" w:hAnsi="Times New Roman" w:cs="Times New Roman"/>
          <w:noProof/>
          <w:sz w:val="24"/>
          <w:szCs w:val="24"/>
        </w:rPr>
        <w:tab/>
        <w:t>ASSOBRAFIR. COVID-19 – Mobilização Precoce na Insuficiência Respiratória Aguda » ASSOBRAFIR, https://assobrafir.com.br/covid-19-mobilizacao-precoce-na-insuficiencia-respiratoria-aguda/ (accessed 15 April 2020).</w:t>
      </w:r>
    </w:p>
    <w:p w14:paraId="09704E2D" w14:textId="291C613C"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32. </w:t>
      </w:r>
      <w:r w:rsidRPr="004929C4">
        <w:rPr>
          <w:rFonts w:ascii="Times New Roman" w:hAnsi="Times New Roman" w:cs="Times New Roman"/>
          <w:noProof/>
          <w:sz w:val="24"/>
          <w:szCs w:val="24"/>
        </w:rPr>
        <w:tab/>
        <w:t>C</w:t>
      </w:r>
      <w:r w:rsidR="002F0F3A" w:rsidRPr="00BA5170">
        <w:rPr>
          <w:rFonts w:ascii="Times New Roman" w:hAnsi="Times New Roman" w:cs="Times New Roman"/>
          <w:noProof/>
          <w:sz w:val="24"/>
          <w:szCs w:val="24"/>
        </w:rPr>
        <w:t>repeau</w:t>
      </w:r>
      <w:r w:rsidRPr="00BA5170">
        <w:rPr>
          <w:rFonts w:ascii="Times New Roman" w:hAnsi="Times New Roman" w:cs="Times New Roman"/>
          <w:noProof/>
          <w:sz w:val="24"/>
          <w:szCs w:val="24"/>
        </w:rPr>
        <w:t xml:space="preserve"> EB, S</w:t>
      </w:r>
      <w:r w:rsidR="002F0F3A" w:rsidRPr="00BA5170">
        <w:rPr>
          <w:rFonts w:ascii="Times New Roman" w:hAnsi="Times New Roman" w:cs="Times New Roman"/>
          <w:noProof/>
          <w:sz w:val="24"/>
          <w:szCs w:val="24"/>
        </w:rPr>
        <w:t>chell</w:t>
      </w:r>
      <w:r w:rsidRPr="00BA5170">
        <w:rPr>
          <w:rFonts w:ascii="Times New Roman" w:hAnsi="Times New Roman" w:cs="Times New Roman"/>
          <w:noProof/>
          <w:sz w:val="24"/>
          <w:szCs w:val="24"/>
        </w:rPr>
        <w:t xml:space="preserve"> EBAB. Analisando Ocupações e Atividades. In: </w:t>
      </w:r>
      <w:r w:rsidRPr="00BA5170">
        <w:rPr>
          <w:rFonts w:ascii="Times New Roman" w:hAnsi="Times New Roman" w:cs="Times New Roman"/>
          <w:i/>
          <w:iCs/>
          <w:noProof/>
          <w:sz w:val="24"/>
          <w:szCs w:val="24"/>
        </w:rPr>
        <w:t>Terapia Ocupacional – Willard e Spackman.</w:t>
      </w:r>
      <w:r w:rsidRPr="00BA5170">
        <w:rPr>
          <w:rFonts w:ascii="Times New Roman" w:hAnsi="Times New Roman" w:cs="Times New Roman"/>
          <w:noProof/>
          <w:sz w:val="24"/>
          <w:szCs w:val="24"/>
        </w:rPr>
        <w:t xml:space="preserve"> </w:t>
      </w:r>
      <w:r w:rsidR="00BA5170" w:rsidRPr="00BA5170">
        <w:rPr>
          <w:rFonts w:ascii="Times New Roman" w:hAnsi="Times New Roman" w:cs="Times New Roman"/>
          <w:sz w:val="24"/>
          <w:szCs w:val="24"/>
        </w:rPr>
        <w:t>Rio de Janeiro: Guanabara Kooga</w:t>
      </w:r>
      <w:r w:rsidR="00BA5170">
        <w:t>n</w:t>
      </w:r>
      <w:r w:rsidRPr="004929C4">
        <w:rPr>
          <w:rFonts w:ascii="Times New Roman" w:hAnsi="Times New Roman" w:cs="Times New Roman"/>
          <w:noProof/>
          <w:sz w:val="24"/>
          <w:szCs w:val="24"/>
        </w:rPr>
        <w:t>, 2011, pp. 530–539.</w:t>
      </w:r>
    </w:p>
    <w:p w14:paraId="3473C188" w14:textId="4E3FE460"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t xml:space="preserve">33. </w:t>
      </w:r>
      <w:r w:rsidRPr="004929C4">
        <w:rPr>
          <w:rFonts w:ascii="Times New Roman" w:hAnsi="Times New Roman" w:cs="Times New Roman"/>
          <w:noProof/>
          <w:sz w:val="24"/>
          <w:szCs w:val="24"/>
        </w:rPr>
        <w:tab/>
        <w:t>S</w:t>
      </w:r>
      <w:r w:rsidR="002F0F3A" w:rsidRPr="004929C4">
        <w:rPr>
          <w:rFonts w:ascii="Times New Roman" w:hAnsi="Times New Roman" w:cs="Times New Roman"/>
          <w:noProof/>
          <w:sz w:val="24"/>
          <w:szCs w:val="24"/>
        </w:rPr>
        <w:t xml:space="preserve">ilva </w:t>
      </w:r>
      <w:r w:rsidRPr="004929C4">
        <w:rPr>
          <w:rFonts w:ascii="Times New Roman" w:hAnsi="Times New Roman" w:cs="Times New Roman"/>
          <w:noProof/>
          <w:sz w:val="24"/>
          <w:szCs w:val="24"/>
        </w:rPr>
        <w:t>TB, Xavier AMH</w:t>
      </w:r>
      <w:r w:rsidR="002F0F3A">
        <w:rPr>
          <w:rFonts w:ascii="Times New Roman" w:hAnsi="Times New Roman" w:cs="Times New Roman"/>
          <w:noProof/>
          <w:sz w:val="24"/>
          <w:szCs w:val="24"/>
        </w:rPr>
        <w:t xml:space="preserve">, Carmo, GP. </w:t>
      </w:r>
      <w:r w:rsidRPr="004929C4">
        <w:rPr>
          <w:rFonts w:ascii="Times New Roman" w:hAnsi="Times New Roman" w:cs="Times New Roman"/>
          <w:noProof/>
          <w:sz w:val="24"/>
          <w:szCs w:val="24"/>
        </w:rPr>
        <w:t>Terapia Ocupacional na Unidade de Terapia Intensiva: o uso de instrumentos de funcionalidade em pacientes críticos</w:t>
      </w:r>
      <w:r w:rsidR="002F0F3A">
        <w:rPr>
          <w:rFonts w:ascii="Times New Roman" w:hAnsi="Times New Roman" w:cs="Times New Roman"/>
          <w:noProof/>
          <w:sz w:val="24"/>
          <w:szCs w:val="24"/>
        </w:rPr>
        <w:t xml:space="preserve">. </w:t>
      </w:r>
      <w:r w:rsidRPr="00F126EC">
        <w:rPr>
          <w:rFonts w:ascii="Times New Roman" w:hAnsi="Times New Roman" w:cs="Times New Roman"/>
          <w:noProof/>
          <w:sz w:val="24"/>
          <w:szCs w:val="24"/>
          <w:lang w:val="en-US"/>
        </w:rPr>
        <w:t xml:space="preserve">Revista Interi. </w:t>
      </w:r>
      <w:r w:rsidRPr="002F0F3A">
        <w:rPr>
          <w:rFonts w:ascii="Times New Roman" w:hAnsi="Times New Roman" w:cs="Times New Roman"/>
          <w:i/>
          <w:iCs/>
          <w:noProof/>
          <w:sz w:val="24"/>
          <w:szCs w:val="24"/>
          <w:lang w:val="en-US"/>
        </w:rPr>
        <w:t>Rev Interinst Bras Ter Ocup Rio Janeiro</w:t>
      </w:r>
      <w:r w:rsidRPr="002F0F3A">
        <w:rPr>
          <w:rFonts w:ascii="Times New Roman" w:hAnsi="Times New Roman" w:cs="Times New Roman"/>
          <w:noProof/>
          <w:sz w:val="24"/>
          <w:szCs w:val="24"/>
          <w:lang w:val="en-US"/>
        </w:rPr>
        <w:t xml:space="preserve"> 2019; 3: 478–493.</w:t>
      </w:r>
    </w:p>
    <w:p w14:paraId="57D44630"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F0F3A">
        <w:rPr>
          <w:rFonts w:ascii="Times New Roman" w:hAnsi="Times New Roman" w:cs="Times New Roman"/>
          <w:noProof/>
          <w:sz w:val="24"/>
          <w:szCs w:val="24"/>
          <w:lang w:val="en-US"/>
        </w:rPr>
        <w:t xml:space="preserve">34. </w:t>
      </w:r>
      <w:r w:rsidRPr="002F0F3A">
        <w:rPr>
          <w:rFonts w:ascii="Times New Roman" w:hAnsi="Times New Roman" w:cs="Times New Roman"/>
          <w:noProof/>
          <w:sz w:val="24"/>
          <w:szCs w:val="24"/>
          <w:lang w:val="en-US"/>
        </w:rPr>
        <w:tab/>
        <w:t xml:space="preserve">Ainsworth BE, Haskell WL, Herrmann SD, et al. 2011 compendium of physical activities: A second update of codes and MET values. </w:t>
      </w:r>
      <w:r w:rsidRPr="004929C4">
        <w:rPr>
          <w:rFonts w:ascii="Times New Roman" w:hAnsi="Times New Roman" w:cs="Times New Roman"/>
          <w:i/>
          <w:iCs/>
          <w:noProof/>
          <w:sz w:val="24"/>
          <w:szCs w:val="24"/>
        </w:rPr>
        <w:t>Med Sci Sports Exerc</w:t>
      </w:r>
      <w:r w:rsidRPr="004929C4">
        <w:rPr>
          <w:rFonts w:ascii="Times New Roman" w:hAnsi="Times New Roman" w:cs="Times New Roman"/>
          <w:noProof/>
          <w:sz w:val="24"/>
          <w:szCs w:val="24"/>
        </w:rPr>
        <w:t xml:space="preserve"> 2011; 43: 1575–1581.</w:t>
      </w:r>
    </w:p>
    <w:p w14:paraId="059579BB"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4929C4">
        <w:rPr>
          <w:rFonts w:ascii="Times New Roman" w:hAnsi="Times New Roman" w:cs="Times New Roman"/>
          <w:noProof/>
          <w:sz w:val="24"/>
          <w:szCs w:val="24"/>
        </w:rPr>
        <w:t xml:space="preserve">35. </w:t>
      </w:r>
      <w:r w:rsidRPr="004929C4">
        <w:rPr>
          <w:rFonts w:ascii="Times New Roman" w:hAnsi="Times New Roman" w:cs="Times New Roman"/>
          <w:noProof/>
          <w:sz w:val="24"/>
          <w:szCs w:val="24"/>
        </w:rPr>
        <w:tab/>
        <w:t xml:space="preserve">Velloso M, Jardim J. Funcionalidade do paciente com doença pulmonar obstrutiva crônica e técnicas de conservação de energia. </w:t>
      </w:r>
      <w:r w:rsidRPr="002F0F3A">
        <w:rPr>
          <w:rFonts w:ascii="Times New Roman" w:hAnsi="Times New Roman" w:cs="Times New Roman"/>
          <w:noProof/>
          <w:sz w:val="24"/>
          <w:szCs w:val="24"/>
          <w:lang w:val="en-US"/>
        </w:rPr>
        <w:t xml:space="preserve">Functionality of patients with chronic obstructive pulmonary disease: energy conservation techniques. </w:t>
      </w:r>
      <w:r w:rsidRPr="002F0F3A">
        <w:rPr>
          <w:rFonts w:ascii="Times New Roman" w:hAnsi="Times New Roman" w:cs="Times New Roman"/>
          <w:i/>
          <w:iCs/>
          <w:noProof/>
          <w:sz w:val="24"/>
          <w:szCs w:val="24"/>
          <w:lang w:val="en-US"/>
        </w:rPr>
        <w:t>JornaldepneumologiaComBr</w:t>
      </w:r>
      <w:r w:rsidRPr="002F0F3A">
        <w:rPr>
          <w:rFonts w:ascii="Times New Roman" w:hAnsi="Times New Roman" w:cs="Times New Roman"/>
          <w:noProof/>
          <w:sz w:val="24"/>
          <w:szCs w:val="24"/>
          <w:lang w:val="en-US"/>
        </w:rPr>
        <w:t xml:space="preserve"> 2006; 32: 580–586.</w:t>
      </w:r>
    </w:p>
    <w:p w14:paraId="526BA9B0"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lastRenderedPageBreak/>
        <w:t xml:space="preserve">36. </w:t>
      </w:r>
      <w:r w:rsidRPr="002F0F3A">
        <w:rPr>
          <w:rFonts w:ascii="Times New Roman" w:hAnsi="Times New Roman" w:cs="Times New Roman"/>
          <w:noProof/>
          <w:sz w:val="24"/>
          <w:szCs w:val="24"/>
          <w:lang w:val="en-US"/>
        </w:rPr>
        <w:tab/>
        <w:t>Anesi GL. Coronavirus disease 2019 (COVID-19): Critical care issues - UpToDate, https://www.uptodate.com/contents/coronavirus-disease-2019-covid-19-critical-care-issues (2020, accessed 15 April 2020).</w:t>
      </w:r>
    </w:p>
    <w:p w14:paraId="0759ABF8"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37. </w:t>
      </w:r>
      <w:r w:rsidRPr="002F0F3A">
        <w:rPr>
          <w:rFonts w:ascii="Times New Roman" w:hAnsi="Times New Roman" w:cs="Times New Roman"/>
          <w:noProof/>
          <w:sz w:val="24"/>
          <w:szCs w:val="24"/>
          <w:lang w:val="en-US"/>
        </w:rPr>
        <w:tab/>
        <w:t xml:space="preserve">Devlin JW, Skrobik Y, Gélinas C, et al. Clinical Practice Guidelines for the Prevention and Management of Pain, Agitation/Sedation, Delirium, Immobility, and Sleep Disruption in Adult Patients in the ICU. </w:t>
      </w:r>
      <w:r w:rsidRPr="002F0F3A">
        <w:rPr>
          <w:rFonts w:ascii="Times New Roman" w:hAnsi="Times New Roman" w:cs="Times New Roman"/>
          <w:i/>
          <w:iCs/>
          <w:noProof/>
          <w:sz w:val="24"/>
          <w:szCs w:val="24"/>
          <w:lang w:val="en-US"/>
        </w:rPr>
        <w:t>Crit Care Med</w:t>
      </w:r>
      <w:r w:rsidRPr="002F0F3A">
        <w:rPr>
          <w:rFonts w:ascii="Times New Roman" w:hAnsi="Times New Roman" w:cs="Times New Roman"/>
          <w:noProof/>
          <w:sz w:val="24"/>
          <w:szCs w:val="24"/>
          <w:lang w:val="en-US"/>
        </w:rPr>
        <w:t xml:space="preserve"> 2018; 46: e825–e873.</w:t>
      </w:r>
    </w:p>
    <w:p w14:paraId="1626F335" w14:textId="628AF73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38. </w:t>
      </w:r>
      <w:r w:rsidRPr="002F0F3A">
        <w:rPr>
          <w:rFonts w:ascii="Times New Roman" w:hAnsi="Times New Roman" w:cs="Times New Roman"/>
          <w:noProof/>
          <w:sz w:val="24"/>
          <w:szCs w:val="24"/>
          <w:lang w:val="en-US"/>
        </w:rPr>
        <w:tab/>
        <w:t>B</w:t>
      </w:r>
      <w:r w:rsidR="002F0F3A" w:rsidRPr="002F0F3A">
        <w:rPr>
          <w:rFonts w:ascii="Times New Roman" w:hAnsi="Times New Roman" w:cs="Times New Roman"/>
          <w:noProof/>
          <w:sz w:val="24"/>
          <w:szCs w:val="24"/>
          <w:lang w:val="en-US"/>
        </w:rPr>
        <w:t>ritish</w:t>
      </w:r>
      <w:r w:rsidRPr="002F0F3A">
        <w:rPr>
          <w:rFonts w:ascii="Times New Roman" w:hAnsi="Times New Roman" w:cs="Times New Roman"/>
          <w:noProof/>
          <w:sz w:val="24"/>
          <w:szCs w:val="24"/>
          <w:lang w:val="en-US"/>
        </w:rPr>
        <w:t xml:space="preserve"> G</w:t>
      </w:r>
      <w:r w:rsidR="002F0F3A" w:rsidRPr="002F0F3A">
        <w:rPr>
          <w:rFonts w:ascii="Times New Roman" w:hAnsi="Times New Roman" w:cs="Times New Roman"/>
          <w:noProof/>
          <w:sz w:val="24"/>
          <w:szCs w:val="24"/>
          <w:lang w:val="en-US"/>
        </w:rPr>
        <w:t>eriatrics</w:t>
      </w:r>
      <w:r w:rsidRPr="002F0F3A">
        <w:rPr>
          <w:rFonts w:ascii="Times New Roman" w:hAnsi="Times New Roman" w:cs="Times New Roman"/>
          <w:noProof/>
          <w:sz w:val="24"/>
          <w:szCs w:val="24"/>
          <w:lang w:val="en-US"/>
        </w:rPr>
        <w:t xml:space="preserve"> S</w:t>
      </w:r>
      <w:r w:rsidR="002F0F3A" w:rsidRPr="002F0F3A">
        <w:rPr>
          <w:rFonts w:ascii="Times New Roman" w:hAnsi="Times New Roman" w:cs="Times New Roman"/>
          <w:noProof/>
          <w:sz w:val="24"/>
          <w:szCs w:val="24"/>
          <w:lang w:val="en-US"/>
        </w:rPr>
        <w:t>ociety</w:t>
      </w:r>
      <w:r w:rsidRPr="002F0F3A">
        <w:rPr>
          <w:rFonts w:ascii="Times New Roman" w:hAnsi="Times New Roman" w:cs="Times New Roman"/>
          <w:noProof/>
          <w:sz w:val="24"/>
          <w:szCs w:val="24"/>
          <w:lang w:val="en-US"/>
        </w:rPr>
        <w:t>; E</w:t>
      </w:r>
      <w:r w:rsidR="002F0F3A" w:rsidRPr="002F0F3A">
        <w:rPr>
          <w:rFonts w:ascii="Times New Roman" w:hAnsi="Times New Roman" w:cs="Times New Roman"/>
          <w:noProof/>
          <w:sz w:val="24"/>
          <w:szCs w:val="24"/>
          <w:lang w:val="en-US"/>
        </w:rPr>
        <w:t>uropean</w:t>
      </w:r>
      <w:r w:rsidRPr="002F0F3A">
        <w:rPr>
          <w:rFonts w:ascii="Times New Roman" w:hAnsi="Times New Roman" w:cs="Times New Roman"/>
          <w:noProof/>
          <w:sz w:val="24"/>
          <w:szCs w:val="24"/>
          <w:lang w:val="en-US"/>
        </w:rPr>
        <w:t xml:space="preserve"> D</w:t>
      </w:r>
      <w:r w:rsidR="002F0F3A" w:rsidRPr="002F0F3A">
        <w:rPr>
          <w:rFonts w:ascii="Times New Roman" w:hAnsi="Times New Roman" w:cs="Times New Roman"/>
          <w:noProof/>
          <w:sz w:val="24"/>
          <w:szCs w:val="24"/>
          <w:lang w:val="en-US"/>
        </w:rPr>
        <w:t>elirium</w:t>
      </w:r>
      <w:r w:rsidRPr="002F0F3A">
        <w:rPr>
          <w:rFonts w:ascii="Times New Roman" w:hAnsi="Times New Roman" w:cs="Times New Roman"/>
          <w:noProof/>
          <w:sz w:val="24"/>
          <w:szCs w:val="24"/>
          <w:lang w:val="en-US"/>
        </w:rPr>
        <w:t xml:space="preserve"> A</w:t>
      </w:r>
      <w:r w:rsidR="002F0F3A" w:rsidRPr="002F0F3A">
        <w:rPr>
          <w:rFonts w:ascii="Times New Roman" w:hAnsi="Times New Roman" w:cs="Times New Roman"/>
          <w:noProof/>
          <w:sz w:val="24"/>
          <w:szCs w:val="24"/>
          <w:lang w:val="en-US"/>
        </w:rPr>
        <w:t>ssociation</w:t>
      </w:r>
      <w:r w:rsidRPr="002F0F3A">
        <w:rPr>
          <w:rFonts w:ascii="Times New Roman" w:hAnsi="Times New Roman" w:cs="Times New Roman"/>
          <w:noProof/>
          <w:sz w:val="24"/>
          <w:szCs w:val="24"/>
          <w:lang w:val="en-US"/>
        </w:rPr>
        <w:t>; O</w:t>
      </w:r>
      <w:r w:rsidR="002F0F3A" w:rsidRPr="002F0F3A">
        <w:rPr>
          <w:rFonts w:ascii="Times New Roman" w:hAnsi="Times New Roman" w:cs="Times New Roman"/>
          <w:noProof/>
          <w:sz w:val="24"/>
          <w:szCs w:val="24"/>
          <w:lang w:val="en-US"/>
        </w:rPr>
        <w:t>ld age psychiatry faculty - royal college of psychiatrists</w:t>
      </w:r>
      <w:r w:rsidRPr="002F0F3A">
        <w:rPr>
          <w:rFonts w:ascii="Times New Roman" w:hAnsi="Times New Roman" w:cs="Times New Roman"/>
          <w:noProof/>
          <w:sz w:val="24"/>
          <w:szCs w:val="24"/>
          <w:lang w:val="en-US"/>
        </w:rPr>
        <w:t>. Coronavirus: Managing delirium in confirmed and suspected cases | British Geriatrics Society, https://www.bgs.org.uk/resources/coronavirus-managing-delirium-in-confirmed-and-suspected-cases (2020, accessed 15 April 2020).</w:t>
      </w:r>
    </w:p>
    <w:p w14:paraId="6F4CEEE0" w14:textId="77777777" w:rsidR="004929C4" w:rsidRPr="00F126EC"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39. </w:t>
      </w:r>
      <w:r w:rsidRPr="004929C4">
        <w:rPr>
          <w:rFonts w:ascii="Times New Roman" w:hAnsi="Times New Roman" w:cs="Times New Roman"/>
          <w:noProof/>
          <w:sz w:val="24"/>
          <w:szCs w:val="24"/>
        </w:rPr>
        <w:tab/>
        <w:t xml:space="preserve">Marra A, Ely EW, Pandharipande PP, et al. </w:t>
      </w:r>
      <w:r w:rsidRPr="002F0F3A">
        <w:rPr>
          <w:rFonts w:ascii="Times New Roman" w:hAnsi="Times New Roman" w:cs="Times New Roman"/>
          <w:noProof/>
          <w:sz w:val="24"/>
          <w:szCs w:val="24"/>
          <w:lang w:val="en-US"/>
        </w:rPr>
        <w:t xml:space="preserve">The ABCDEF Bundle in Critical Care. </w:t>
      </w:r>
      <w:r w:rsidRPr="00F126EC">
        <w:rPr>
          <w:rFonts w:ascii="Times New Roman" w:hAnsi="Times New Roman" w:cs="Times New Roman"/>
          <w:i/>
          <w:iCs/>
          <w:noProof/>
          <w:sz w:val="24"/>
          <w:szCs w:val="24"/>
        </w:rPr>
        <w:t>Critical Care Clinics</w:t>
      </w:r>
      <w:r w:rsidRPr="00F126EC">
        <w:rPr>
          <w:rFonts w:ascii="Times New Roman" w:hAnsi="Times New Roman" w:cs="Times New Roman"/>
          <w:noProof/>
          <w:sz w:val="24"/>
          <w:szCs w:val="24"/>
        </w:rPr>
        <w:t xml:space="preserve"> 2017; 33: 225–243.</w:t>
      </w:r>
    </w:p>
    <w:p w14:paraId="150B839D" w14:textId="71A351B1" w:rsidR="002F0F3A"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F126EC">
        <w:rPr>
          <w:rFonts w:ascii="Times New Roman" w:hAnsi="Times New Roman" w:cs="Times New Roman"/>
          <w:noProof/>
          <w:sz w:val="24"/>
          <w:szCs w:val="24"/>
        </w:rPr>
        <w:t xml:space="preserve">40. </w:t>
      </w:r>
      <w:r w:rsidRPr="00F126EC">
        <w:rPr>
          <w:rFonts w:ascii="Times New Roman" w:hAnsi="Times New Roman" w:cs="Times New Roman"/>
          <w:noProof/>
          <w:sz w:val="24"/>
          <w:szCs w:val="24"/>
        </w:rPr>
        <w:tab/>
      </w:r>
      <w:r w:rsidRPr="002F0F3A">
        <w:rPr>
          <w:rFonts w:ascii="Times New Roman" w:hAnsi="Times New Roman" w:cs="Times New Roman"/>
          <w:noProof/>
          <w:sz w:val="24"/>
          <w:szCs w:val="24"/>
        </w:rPr>
        <w:t>Pincelli EL, Waters C, Nunes Hupsel Z. Ações de enfermagem na prevenção do delirium em pacientes na Unidade de Terapia Intensiva</w:t>
      </w:r>
      <w:r w:rsidR="002F0F3A" w:rsidRPr="002F0F3A">
        <w:rPr>
          <w:rFonts w:ascii="Times New Roman" w:hAnsi="Times New Roman" w:cs="Times New Roman"/>
          <w:noProof/>
          <w:sz w:val="24"/>
          <w:szCs w:val="24"/>
        </w:rPr>
        <w:t>.</w:t>
      </w:r>
      <w:r w:rsidR="002F0F3A">
        <w:rPr>
          <w:rFonts w:ascii="Times New Roman" w:hAnsi="Times New Roman" w:cs="Times New Roman"/>
          <w:noProof/>
          <w:sz w:val="24"/>
          <w:szCs w:val="24"/>
        </w:rPr>
        <w:t xml:space="preserve"> </w:t>
      </w:r>
      <w:r w:rsidR="00BA5170" w:rsidRPr="00B9017B">
        <w:rPr>
          <w:rFonts w:ascii="Times New Roman" w:eastAsia="Times New Roman" w:hAnsi="Times New Roman" w:cs="Times New Roman"/>
          <w:sz w:val="24"/>
          <w:szCs w:val="24"/>
        </w:rPr>
        <w:t>Médicos</w:t>
      </w:r>
      <w:r w:rsidR="002F0F3A" w:rsidRPr="00B9017B">
        <w:rPr>
          <w:rFonts w:ascii="Times New Roman" w:eastAsia="Times New Roman" w:hAnsi="Times New Roman" w:cs="Times New Roman"/>
          <w:sz w:val="24"/>
          <w:szCs w:val="24"/>
        </w:rPr>
        <w:t xml:space="preserve"> dos Hospitais e da Faculdade de Ciências Médicas da Santa Casa de São Paulo</w:t>
      </w:r>
      <w:r w:rsidR="002F0F3A">
        <w:rPr>
          <w:rFonts w:ascii="Times New Roman" w:eastAsia="Times New Roman" w:hAnsi="Times New Roman" w:cs="Times New Roman"/>
          <w:sz w:val="24"/>
          <w:szCs w:val="24"/>
        </w:rPr>
        <w:t xml:space="preserve"> 2015; </w:t>
      </w:r>
      <w:r w:rsidR="002F0F3A" w:rsidRPr="00B9017B">
        <w:rPr>
          <w:rFonts w:ascii="Times New Roman" w:eastAsia="Times New Roman" w:hAnsi="Times New Roman" w:cs="Times New Roman"/>
          <w:sz w:val="24"/>
          <w:szCs w:val="24"/>
        </w:rPr>
        <w:t xml:space="preserve"> 60</w:t>
      </w:r>
      <w:r w:rsidR="002F0F3A">
        <w:rPr>
          <w:rFonts w:ascii="Times New Roman" w:eastAsia="Times New Roman" w:hAnsi="Times New Roman" w:cs="Times New Roman"/>
          <w:sz w:val="24"/>
          <w:szCs w:val="24"/>
        </w:rPr>
        <w:t xml:space="preserve">: </w:t>
      </w:r>
      <w:r w:rsidR="002F0F3A" w:rsidRPr="00B9017B">
        <w:rPr>
          <w:rFonts w:ascii="Times New Roman" w:eastAsia="Times New Roman" w:hAnsi="Times New Roman" w:cs="Times New Roman"/>
          <w:sz w:val="24"/>
          <w:szCs w:val="24"/>
        </w:rPr>
        <w:t xml:space="preserve">131-9. </w:t>
      </w:r>
    </w:p>
    <w:p w14:paraId="2255111C"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41. </w:t>
      </w:r>
      <w:r w:rsidRPr="004929C4">
        <w:rPr>
          <w:rFonts w:ascii="Times New Roman" w:hAnsi="Times New Roman" w:cs="Times New Roman"/>
          <w:noProof/>
          <w:sz w:val="24"/>
          <w:szCs w:val="24"/>
        </w:rPr>
        <w:tab/>
        <w:t xml:space="preserve">Faria NC, De Carlo MMR do P. A atuação da terapia ocupacional com mulheres com câncer de mama em cuidados paliativos. </w:t>
      </w:r>
      <w:r w:rsidRPr="004929C4">
        <w:rPr>
          <w:rFonts w:ascii="Times New Roman" w:hAnsi="Times New Roman" w:cs="Times New Roman"/>
          <w:i/>
          <w:iCs/>
          <w:noProof/>
          <w:sz w:val="24"/>
          <w:szCs w:val="24"/>
        </w:rPr>
        <w:t>Rev Ter Ocup da Univ São Paulo</w:t>
      </w:r>
      <w:r w:rsidRPr="004929C4">
        <w:rPr>
          <w:rFonts w:ascii="Times New Roman" w:hAnsi="Times New Roman" w:cs="Times New Roman"/>
          <w:noProof/>
          <w:sz w:val="24"/>
          <w:szCs w:val="24"/>
        </w:rPr>
        <w:t xml:space="preserve"> 2015; 26: 418.</w:t>
      </w:r>
    </w:p>
    <w:p w14:paraId="347E16D8" w14:textId="3B0A6E92"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42. </w:t>
      </w:r>
      <w:r w:rsidRPr="004929C4">
        <w:rPr>
          <w:rFonts w:ascii="Times New Roman" w:hAnsi="Times New Roman" w:cs="Times New Roman"/>
          <w:noProof/>
          <w:sz w:val="24"/>
          <w:szCs w:val="24"/>
        </w:rPr>
        <w:tab/>
      </w:r>
      <w:r w:rsidR="002F0F3A">
        <w:rPr>
          <w:rFonts w:ascii="Times New Roman" w:hAnsi="Times New Roman" w:cs="Times New Roman"/>
          <w:noProof/>
          <w:sz w:val="24"/>
          <w:szCs w:val="24"/>
        </w:rPr>
        <w:t>Q</w:t>
      </w:r>
      <w:r w:rsidR="002F0F3A">
        <w:rPr>
          <w:rFonts w:ascii="Times New Roman" w:eastAsia="Times New Roman" w:hAnsi="Times New Roman" w:cs="Times New Roman"/>
          <w:sz w:val="24"/>
          <w:szCs w:val="24"/>
        </w:rPr>
        <w:t>u</w:t>
      </w:r>
      <w:r w:rsidR="002F0F3A" w:rsidRPr="00B9017B">
        <w:rPr>
          <w:rFonts w:ascii="Times New Roman" w:eastAsia="Times New Roman" w:hAnsi="Times New Roman" w:cs="Times New Roman"/>
          <w:sz w:val="24"/>
          <w:szCs w:val="24"/>
        </w:rPr>
        <w:t>iroz, T.; Araya, E.; Fuentes, P. Delirium: actualización en manejo no farmacológico. Rev. chil. neuro-psiquiatr</w:t>
      </w:r>
      <w:r w:rsidR="002F0F3A">
        <w:rPr>
          <w:rFonts w:ascii="Times New Roman" w:eastAsia="Times New Roman" w:hAnsi="Times New Roman" w:cs="Times New Roman"/>
          <w:sz w:val="24"/>
          <w:szCs w:val="24"/>
        </w:rPr>
        <w:t>. 2014;</w:t>
      </w:r>
      <w:r w:rsidR="002F0F3A" w:rsidRPr="00B9017B">
        <w:rPr>
          <w:rFonts w:ascii="Times New Roman" w:eastAsia="Times New Roman" w:hAnsi="Times New Roman" w:cs="Times New Roman"/>
          <w:sz w:val="24"/>
          <w:szCs w:val="24"/>
        </w:rPr>
        <w:t xml:space="preserve"> 52</w:t>
      </w:r>
      <w:r w:rsidR="002F0F3A">
        <w:rPr>
          <w:rFonts w:ascii="Times New Roman" w:eastAsia="Times New Roman" w:hAnsi="Times New Roman" w:cs="Times New Roman"/>
          <w:sz w:val="24"/>
          <w:szCs w:val="24"/>
        </w:rPr>
        <w:t>.</w:t>
      </w:r>
    </w:p>
    <w:p w14:paraId="643F34BB"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F126EC">
        <w:rPr>
          <w:rFonts w:ascii="Times New Roman" w:hAnsi="Times New Roman" w:cs="Times New Roman"/>
          <w:noProof/>
          <w:sz w:val="24"/>
          <w:szCs w:val="24"/>
        </w:rPr>
        <w:t xml:space="preserve">43. </w:t>
      </w:r>
      <w:r w:rsidRPr="00F126EC">
        <w:rPr>
          <w:rFonts w:ascii="Times New Roman" w:hAnsi="Times New Roman" w:cs="Times New Roman"/>
          <w:noProof/>
          <w:sz w:val="24"/>
          <w:szCs w:val="24"/>
        </w:rPr>
        <w:tab/>
        <w:t xml:space="preserve">Happ MB, Tuite P, Dobbin K, et al. </w:t>
      </w:r>
      <w:r w:rsidRPr="002F0F3A">
        <w:rPr>
          <w:rFonts w:ascii="Times New Roman" w:hAnsi="Times New Roman" w:cs="Times New Roman"/>
          <w:noProof/>
          <w:sz w:val="24"/>
          <w:szCs w:val="24"/>
          <w:lang w:val="en-US"/>
        </w:rPr>
        <w:t xml:space="preserve">Communication ability, method, and content among nonspeaking nonsurviving patients treated with mechanical ventilation in the intensive care unit. </w:t>
      </w:r>
      <w:r w:rsidRPr="002F0F3A">
        <w:rPr>
          <w:rFonts w:ascii="Times New Roman" w:hAnsi="Times New Roman" w:cs="Times New Roman"/>
          <w:i/>
          <w:iCs/>
          <w:noProof/>
          <w:sz w:val="24"/>
          <w:szCs w:val="24"/>
          <w:lang w:val="en-US"/>
        </w:rPr>
        <w:t>American Journal of Critical Care</w:t>
      </w:r>
      <w:r w:rsidRPr="002F0F3A">
        <w:rPr>
          <w:rFonts w:ascii="Times New Roman" w:hAnsi="Times New Roman" w:cs="Times New Roman"/>
          <w:noProof/>
          <w:sz w:val="24"/>
          <w:szCs w:val="24"/>
          <w:lang w:val="en-US"/>
        </w:rPr>
        <w:t xml:space="preserve"> 2004; 13: 210–220.</w:t>
      </w:r>
    </w:p>
    <w:p w14:paraId="67D6E916"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44. </w:t>
      </w:r>
      <w:r w:rsidRPr="002F0F3A">
        <w:rPr>
          <w:rFonts w:ascii="Times New Roman" w:hAnsi="Times New Roman" w:cs="Times New Roman"/>
          <w:noProof/>
          <w:sz w:val="24"/>
          <w:szCs w:val="24"/>
          <w:lang w:val="en-US"/>
        </w:rPr>
        <w:tab/>
        <w:t xml:space="preserve">Happ MB. Communicating with mechanically ventilated patients: state of the science. </w:t>
      </w:r>
      <w:r w:rsidRPr="002F0F3A">
        <w:rPr>
          <w:rFonts w:ascii="Times New Roman" w:hAnsi="Times New Roman" w:cs="Times New Roman"/>
          <w:i/>
          <w:iCs/>
          <w:noProof/>
          <w:sz w:val="24"/>
          <w:szCs w:val="24"/>
          <w:lang w:val="en-US"/>
        </w:rPr>
        <w:t>AACN clinical issues</w:t>
      </w:r>
      <w:r w:rsidRPr="002F0F3A">
        <w:rPr>
          <w:rFonts w:ascii="Times New Roman" w:hAnsi="Times New Roman" w:cs="Times New Roman"/>
          <w:noProof/>
          <w:sz w:val="24"/>
          <w:szCs w:val="24"/>
          <w:lang w:val="en-US"/>
        </w:rPr>
        <w:t xml:space="preserve"> 2001; 12: 247–258.</w:t>
      </w:r>
    </w:p>
    <w:p w14:paraId="3AB8D433"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45. </w:t>
      </w:r>
      <w:r w:rsidRPr="002F0F3A">
        <w:rPr>
          <w:rFonts w:ascii="Times New Roman" w:hAnsi="Times New Roman" w:cs="Times New Roman"/>
          <w:noProof/>
          <w:sz w:val="24"/>
          <w:szCs w:val="24"/>
          <w:lang w:val="en-US"/>
        </w:rPr>
        <w:tab/>
        <w:t xml:space="preserve">Flinterud SI, Andershed B. Transitions in the communication experiences of tracheostomised patients in intensive care: A qualitative descriptive study. </w:t>
      </w:r>
      <w:r w:rsidRPr="002F0F3A">
        <w:rPr>
          <w:rFonts w:ascii="Times New Roman" w:hAnsi="Times New Roman" w:cs="Times New Roman"/>
          <w:i/>
          <w:iCs/>
          <w:noProof/>
          <w:sz w:val="24"/>
          <w:szCs w:val="24"/>
          <w:lang w:val="en-US"/>
        </w:rPr>
        <w:t>J Clin Nurs</w:t>
      </w:r>
      <w:r w:rsidRPr="002F0F3A">
        <w:rPr>
          <w:rFonts w:ascii="Times New Roman" w:hAnsi="Times New Roman" w:cs="Times New Roman"/>
          <w:noProof/>
          <w:sz w:val="24"/>
          <w:szCs w:val="24"/>
          <w:lang w:val="en-US"/>
        </w:rPr>
        <w:t xml:space="preserve"> 2015; 24: 2295–2304.</w:t>
      </w:r>
    </w:p>
    <w:p w14:paraId="5FB16EE2"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F0F3A">
        <w:rPr>
          <w:rFonts w:ascii="Times New Roman" w:hAnsi="Times New Roman" w:cs="Times New Roman"/>
          <w:noProof/>
          <w:sz w:val="24"/>
          <w:szCs w:val="24"/>
          <w:lang w:val="en-US"/>
        </w:rPr>
        <w:t xml:space="preserve">46. </w:t>
      </w:r>
      <w:r w:rsidRPr="002F0F3A">
        <w:rPr>
          <w:rFonts w:ascii="Times New Roman" w:hAnsi="Times New Roman" w:cs="Times New Roman"/>
          <w:noProof/>
          <w:sz w:val="24"/>
          <w:szCs w:val="24"/>
          <w:lang w:val="en-US"/>
        </w:rPr>
        <w:tab/>
        <w:t xml:space="preserve">Guttormson JL, Bremer KL, Jones RM. ‘Not being able to talk was horrid’: A descriptive, correlational study of communication during mechanical ventilation. </w:t>
      </w:r>
      <w:r w:rsidRPr="004929C4">
        <w:rPr>
          <w:rFonts w:ascii="Times New Roman" w:hAnsi="Times New Roman" w:cs="Times New Roman"/>
          <w:i/>
          <w:iCs/>
          <w:noProof/>
          <w:sz w:val="24"/>
          <w:szCs w:val="24"/>
        </w:rPr>
        <w:t>Intensive Crit Care Nurs</w:t>
      </w:r>
      <w:r w:rsidRPr="004929C4">
        <w:rPr>
          <w:rFonts w:ascii="Times New Roman" w:hAnsi="Times New Roman" w:cs="Times New Roman"/>
          <w:noProof/>
          <w:sz w:val="24"/>
          <w:szCs w:val="24"/>
        </w:rPr>
        <w:t xml:space="preserve"> 2015; 31: 179–186.</w:t>
      </w:r>
    </w:p>
    <w:p w14:paraId="34F7C372" w14:textId="4C855115" w:rsidR="004929C4" w:rsidRPr="00F126EC"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4929C4">
        <w:rPr>
          <w:rFonts w:ascii="Times New Roman" w:hAnsi="Times New Roman" w:cs="Times New Roman"/>
          <w:noProof/>
          <w:sz w:val="24"/>
          <w:szCs w:val="24"/>
        </w:rPr>
        <w:t xml:space="preserve">47. </w:t>
      </w:r>
      <w:r w:rsidRPr="004929C4">
        <w:rPr>
          <w:rFonts w:ascii="Times New Roman" w:hAnsi="Times New Roman" w:cs="Times New Roman"/>
          <w:noProof/>
          <w:sz w:val="24"/>
          <w:szCs w:val="24"/>
        </w:rPr>
        <w:tab/>
        <w:t xml:space="preserve">Pelosi MB. Comunicação Alternativa e Suplementar. In: </w:t>
      </w:r>
      <w:r w:rsidR="002F0F3A" w:rsidRPr="00B9017B">
        <w:rPr>
          <w:rFonts w:ascii="Times New Roman" w:eastAsia="Times New Roman" w:hAnsi="Times New Roman" w:cs="Times New Roman"/>
          <w:sz w:val="24"/>
          <w:szCs w:val="24"/>
        </w:rPr>
        <w:t>CAVALCANTI, A.;</w:t>
      </w:r>
      <w:r w:rsidR="002F0F3A">
        <w:rPr>
          <w:rFonts w:ascii="Times New Roman" w:eastAsia="Times New Roman" w:hAnsi="Times New Roman" w:cs="Times New Roman"/>
          <w:sz w:val="24"/>
          <w:szCs w:val="24"/>
        </w:rPr>
        <w:t xml:space="preserve"> </w:t>
      </w:r>
      <w:r w:rsidR="002F0F3A" w:rsidRPr="00B9017B">
        <w:rPr>
          <w:rFonts w:ascii="Times New Roman" w:eastAsia="Times New Roman" w:hAnsi="Times New Roman" w:cs="Times New Roman"/>
          <w:sz w:val="24"/>
          <w:szCs w:val="24"/>
        </w:rPr>
        <w:t xml:space="preserve">GALVÃO, C. (Eds.). </w:t>
      </w:r>
      <w:r w:rsidR="002F0F3A" w:rsidRPr="00B9017B">
        <w:rPr>
          <w:rFonts w:ascii="Times New Roman" w:eastAsia="Times New Roman" w:hAnsi="Times New Roman" w:cs="Times New Roman"/>
          <w:i/>
          <w:sz w:val="24"/>
          <w:szCs w:val="24"/>
        </w:rPr>
        <w:t>Terapia Ocupacional – fundamentação e prática</w:t>
      </w:r>
      <w:r w:rsidR="002F0F3A" w:rsidRPr="00B9017B">
        <w:rPr>
          <w:rFonts w:ascii="Times New Roman" w:eastAsia="Times New Roman" w:hAnsi="Times New Roman" w:cs="Times New Roman"/>
          <w:sz w:val="24"/>
          <w:szCs w:val="24"/>
        </w:rPr>
        <w:t xml:space="preserve">. Rio de Janeiro: </w:t>
      </w:r>
      <w:r w:rsidR="002F0F3A" w:rsidRPr="00B9017B">
        <w:rPr>
          <w:rFonts w:ascii="Times New Roman" w:eastAsia="Times New Roman" w:hAnsi="Times New Roman" w:cs="Times New Roman"/>
          <w:sz w:val="24"/>
          <w:szCs w:val="24"/>
        </w:rPr>
        <w:lastRenderedPageBreak/>
        <w:t xml:space="preserve">Guanabara, ed, </w:t>
      </w:r>
      <w:r w:rsidRPr="00F126EC">
        <w:rPr>
          <w:rFonts w:ascii="Times New Roman" w:hAnsi="Times New Roman" w:cs="Times New Roman"/>
          <w:noProof/>
          <w:sz w:val="24"/>
          <w:szCs w:val="24"/>
        </w:rPr>
        <w:t>2007, pp. 462–68.</w:t>
      </w:r>
    </w:p>
    <w:p w14:paraId="2011C31C"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F126EC">
        <w:rPr>
          <w:rFonts w:ascii="Times New Roman" w:hAnsi="Times New Roman" w:cs="Times New Roman"/>
          <w:noProof/>
          <w:sz w:val="24"/>
          <w:szCs w:val="24"/>
        </w:rPr>
        <w:t xml:space="preserve">48. </w:t>
      </w:r>
      <w:r w:rsidRPr="00F126EC">
        <w:rPr>
          <w:rFonts w:ascii="Times New Roman" w:hAnsi="Times New Roman" w:cs="Times New Roman"/>
          <w:noProof/>
          <w:sz w:val="24"/>
          <w:szCs w:val="24"/>
        </w:rPr>
        <w:tab/>
        <w:t xml:space="preserve">Happ MB, Garrett KL, Tate JA, et al. </w:t>
      </w:r>
      <w:r w:rsidRPr="002F0F3A">
        <w:rPr>
          <w:rFonts w:ascii="Times New Roman" w:hAnsi="Times New Roman" w:cs="Times New Roman"/>
          <w:noProof/>
          <w:sz w:val="24"/>
          <w:szCs w:val="24"/>
          <w:lang w:val="en-US"/>
        </w:rPr>
        <w:t xml:space="preserve">Effect of a multi-level intervention on nurse-patient communication in the intensive care unit: Results of the SPEACS trial. </w:t>
      </w:r>
      <w:r w:rsidRPr="002F0F3A">
        <w:rPr>
          <w:rFonts w:ascii="Times New Roman" w:hAnsi="Times New Roman" w:cs="Times New Roman"/>
          <w:i/>
          <w:iCs/>
          <w:noProof/>
          <w:sz w:val="24"/>
          <w:szCs w:val="24"/>
          <w:lang w:val="en-US"/>
        </w:rPr>
        <w:t>Hear Lung J Acute Crit Care</w:t>
      </w:r>
      <w:r w:rsidRPr="002F0F3A">
        <w:rPr>
          <w:rFonts w:ascii="Times New Roman" w:hAnsi="Times New Roman" w:cs="Times New Roman"/>
          <w:noProof/>
          <w:sz w:val="24"/>
          <w:szCs w:val="24"/>
          <w:lang w:val="en-US"/>
        </w:rPr>
        <w:t xml:space="preserve"> 2014; 43: 89–98.</w:t>
      </w:r>
    </w:p>
    <w:p w14:paraId="6476C2B7"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49. </w:t>
      </w:r>
      <w:r w:rsidRPr="002F0F3A">
        <w:rPr>
          <w:rFonts w:ascii="Times New Roman" w:hAnsi="Times New Roman" w:cs="Times New Roman"/>
          <w:noProof/>
          <w:sz w:val="24"/>
          <w:szCs w:val="24"/>
          <w:lang w:val="en-US"/>
        </w:rPr>
        <w:tab/>
        <w:t xml:space="preserve">Happ MB, Seaman JB, Nilsen ML, et al. The number of mechanically ventilated ICU patients meeting communication criteria. </w:t>
      </w:r>
      <w:r w:rsidRPr="002F0F3A">
        <w:rPr>
          <w:rFonts w:ascii="Times New Roman" w:hAnsi="Times New Roman" w:cs="Times New Roman"/>
          <w:i/>
          <w:iCs/>
          <w:noProof/>
          <w:sz w:val="24"/>
          <w:szCs w:val="24"/>
          <w:lang w:val="en-US"/>
        </w:rPr>
        <w:t>Hear Lung J Acute Crit Care</w:t>
      </w:r>
      <w:r w:rsidRPr="002F0F3A">
        <w:rPr>
          <w:rFonts w:ascii="Times New Roman" w:hAnsi="Times New Roman" w:cs="Times New Roman"/>
          <w:noProof/>
          <w:sz w:val="24"/>
          <w:szCs w:val="24"/>
          <w:lang w:val="en-US"/>
        </w:rPr>
        <w:t xml:space="preserve"> 2015; 44: 45–49.</w:t>
      </w:r>
    </w:p>
    <w:p w14:paraId="3B18D380"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50. </w:t>
      </w:r>
      <w:r w:rsidRPr="002F0F3A">
        <w:rPr>
          <w:rFonts w:ascii="Times New Roman" w:hAnsi="Times New Roman" w:cs="Times New Roman"/>
          <w:noProof/>
          <w:sz w:val="24"/>
          <w:szCs w:val="24"/>
          <w:lang w:val="en-US"/>
        </w:rPr>
        <w:tab/>
        <w:t xml:space="preserve">Nilsen ML, Sereika SM, Hoffman LA, et al. Nurse and patient interaction behaviors’ effects on nursing care quality for mechanically ventilated older adults in the ICU. </w:t>
      </w:r>
      <w:r w:rsidRPr="002F0F3A">
        <w:rPr>
          <w:rFonts w:ascii="Times New Roman" w:hAnsi="Times New Roman" w:cs="Times New Roman"/>
          <w:i/>
          <w:iCs/>
          <w:noProof/>
          <w:sz w:val="24"/>
          <w:szCs w:val="24"/>
          <w:lang w:val="en-US"/>
        </w:rPr>
        <w:t>Res Gerontol Nurs</w:t>
      </w:r>
      <w:r w:rsidRPr="002F0F3A">
        <w:rPr>
          <w:rFonts w:ascii="Times New Roman" w:hAnsi="Times New Roman" w:cs="Times New Roman"/>
          <w:noProof/>
          <w:sz w:val="24"/>
          <w:szCs w:val="24"/>
          <w:lang w:val="en-US"/>
        </w:rPr>
        <w:t xml:space="preserve"> 2014; 7: 113–125.</w:t>
      </w:r>
    </w:p>
    <w:p w14:paraId="4276BA5B" w14:textId="77777777" w:rsidR="004929C4" w:rsidRPr="002F0F3A"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lang w:val="en-US"/>
        </w:rPr>
      </w:pPr>
      <w:r w:rsidRPr="002F0F3A">
        <w:rPr>
          <w:rFonts w:ascii="Times New Roman" w:hAnsi="Times New Roman" w:cs="Times New Roman"/>
          <w:noProof/>
          <w:sz w:val="24"/>
          <w:szCs w:val="24"/>
          <w:lang w:val="en-US"/>
        </w:rPr>
        <w:t xml:space="preserve">51. </w:t>
      </w:r>
      <w:r w:rsidRPr="002F0F3A">
        <w:rPr>
          <w:rFonts w:ascii="Times New Roman" w:hAnsi="Times New Roman" w:cs="Times New Roman"/>
          <w:noProof/>
          <w:sz w:val="24"/>
          <w:szCs w:val="24"/>
          <w:lang w:val="en-US"/>
        </w:rPr>
        <w:tab/>
        <w:t xml:space="preserve">Carruthers H, Astin F, Munro W. Which alternative communication methods are effective for voiceless patients in Intensive Care Units? A systematic review. </w:t>
      </w:r>
      <w:r w:rsidRPr="002F0F3A">
        <w:rPr>
          <w:rFonts w:ascii="Times New Roman" w:hAnsi="Times New Roman" w:cs="Times New Roman"/>
          <w:i/>
          <w:iCs/>
          <w:noProof/>
          <w:sz w:val="24"/>
          <w:szCs w:val="24"/>
          <w:lang w:val="en-US"/>
        </w:rPr>
        <w:t>Intensive and Critical Care Nursing</w:t>
      </w:r>
      <w:r w:rsidRPr="002F0F3A">
        <w:rPr>
          <w:rFonts w:ascii="Times New Roman" w:hAnsi="Times New Roman" w:cs="Times New Roman"/>
          <w:noProof/>
          <w:sz w:val="24"/>
          <w:szCs w:val="24"/>
          <w:lang w:val="en-US"/>
        </w:rPr>
        <w:t xml:space="preserve"> 2017; 42: 88–96.</w:t>
      </w:r>
    </w:p>
    <w:p w14:paraId="5FD7FB44"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F0F3A">
        <w:rPr>
          <w:rFonts w:ascii="Times New Roman" w:hAnsi="Times New Roman" w:cs="Times New Roman"/>
          <w:noProof/>
          <w:sz w:val="24"/>
          <w:szCs w:val="24"/>
          <w:lang w:val="en-US"/>
        </w:rPr>
        <w:t xml:space="preserve">52. </w:t>
      </w:r>
      <w:r w:rsidRPr="002F0F3A">
        <w:rPr>
          <w:rFonts w:ascii="Times New Roman" w:hAnsi="Times New Roman" w:cs="Times New Roman"/>
          <w:noProof/>
          <w:sz w:val="24"/>
          <w:szCs w:val="24"/>
          <w:lang w:val="en-US"/>
        </w:rPr>
        <w:tab/>
        <w:t xml:space="preserve">Duffy EI, Garry J, Talbot L, et al. A pilot study assessing the spiritual, emotional, physical/environmental, and physiological needs of mechanically ventilated surgical intensive care unit patients via eye tracking devices, head nodding, and communication boards. </w:t>
      </w:r>
      <w:r w:rsidRPr="002F0F3A">
        <w:rPr>
          <w:rFonts w:ascii="Times New Roman" w:hAnsi="Times New Roman" w:cs="Times New Roman"/>
          <w:i/>
          <w:iCs/>
          <w:noProof/>
          <w:sz w:val="24"/>
          <w:szCs w:val="24"/>
          <w:lang w:val="en-US"/>
        </w:rPr>
        <w:t>Trauma Surg Acute Care Open</w:t>
      </w:r>
      <w:r w:rsidRPr="002F0F3A">
        <w:rPr>
          <w:rFonts w:ascii="Times New Roman" w:hAnsi="Times New Roman" w:cs="Times New Roman"/>
          <w:noProof/>
          <w:sz w:val="24"/>
          <w:szCs w:val="24"/>
          <w:lang w:val="en-US"/>
        </w:rPr>
        <w:t xml:space="preserve">; 3. Epub ahead of print 1 January 2018. </w:t>
      </w:r>
      <w:r w:rsidRPr="004929C4">
        <w:rPr>
          <w:rFonts w:ascii="Times New Roman" w:hAnsi="Times New Roman" w:cs="Times New Roman"/>
          <w:noProof/>
          <w:sz w:val="24"/>
          <w:szCs w:val="24"/>
        </w:rPr>
        <w:t>DOI: 10.1136/tsaco-2018-000180.</w:t>
      </w:r>
    </w:p>
    <w:p w14:paraId="7BCF411B" w14:textId="77777777" w:rsidR="004929C4" w:rsidRPr="004929C4" w:rsidRDefault="004929C4" w:rsidP="002F0F3A">
      <w:pPr>
        <w:widowControl w:val="0"/>
        <w:autoSpaceDE w:val="0"/>
        <w:autoSpaceDN w:val="0"/>
        <w:adjustRightInd w:val="0"/>
        <w:spacing w:after="0" w:line="360" w:lineRule="auto"/>
        <w:ind w:left="640" w:hanging="640"/>
        <w:jc w:val="both"/>
        <w:rPr>
          <w:rFonts w:ascii="Times New Roman" w:hAnsi="Times New Roman" w:cs="Times New Roman"/>
          <w:noProof/>
          <w:sz w:val="24"/>
        </w:rPr>
      </w:pPr>
      <w:r w:rsidRPr="004929C4">
        <w:rPr>
          <w:rFonts w:ascii="Times New Roman" w:hAnsi="Times New Roman" w:cs="Times New Roman"/>
          <w:noProof/>
          <w:sz w:val="24"/>
          <w:szCs w:val="24"/>
        </w:rPr>
        <w:t xml:space="preserve">53. </w:t>
      </w:r>
      <w:r w:rsidRPr="004929C4">
        <w:rPr>
          <w:rFonts w:ascii="Times New Roman" w:hAnsi="Times New Roman" w:cs="Times New Roman"/>
          <w:noProof/>
          <w:sz w:val="24"/>
          <w:szCs w:val="24"/>
        </w:rPr>
        <w:tab/>
        <w:t xml:space="preserve">Pelosi MB, Coelho PS de O, Valle K, et al. A comunicação alternativa no contexto hospitalar. In: Editora da Universidade Federal de São Carlos (Edufscar) (ed) </w:t>
      </w:r>
      <w:r w:rsidRPr="004929C4">
        <w:rPr>
          <w:rFonts w:ascii="Times New Roman" w:hAnsi="Times New Roman" w:cs="Times New Roman"/>
          <w:i/>
          <w:iCs/>
          <w:noProof/>
          <w:sz w:val="24"/>
          <w:szCs w:val="24"/>
        </w:rPr>
        <w:t>Terapia Ocupacional e Comunicação Alternativa em contextos de desenvolvimento humano.</w:t>
      </w:r>
      <w:r w:rsidRPr="004929C4">
        <w:rPr>
          <w:rFonts w:ascii="Times New Roman" w:hAnsi="Times New Roman" w:cs="Times New Roman"/>
          <w:noProof/>
          <w:sz w:val="24"/>
          <w:szCs w:val="24"/>
        </w:rPr>
        <w:t xml:space="preserve"> São Carlos, 2019.</w:t>
      </w:r>
    </w:p>
    <w:p w14:paraId="6C58895D" w14:textId="663D27F1" w:rsidR="00952EAE" w:rsidRDefault="00C71CCE" w:rsidP="002F0F3A">
      <w:pPr>
        <w:spacing w:after="0" w:line="360" w:lineRule="auto"/>
        <w:jc w:val="both"/>
        <w:rPr>
          <w:rFonts w:ascii="Times New Roman" w:eastAsia="Times New Roman" w:hAnsi="Times New Roman" w:cs="Times New Roman"/>
          <w:sz w:val="24"/>
          <w:szCs w:val="24"/>
        </w:rPr>
      </w:pPr>
      <w:r w:rsidRPr="008235D0">
        <w:rPr>
          <w:rFonts w:ascii="Times New Roman" w:eastAsia="Times New Roman" w:hAnsi="Times New Roman" w:cs="Times New Roman"/>
          <w:sz w:val="24"/>
          <w:szCs w:val="24"/>
        </w:rPr>
        <w:fldChar w:fldCharType="end"/>
      </w:r>
      <w:r w:rsidR="00952EAE">
        <w:rPr>
          <w:rFonts w:ascii="Times New Roman" w:eastAsia="Times New Roman" w:hAnsi="Times New Roman" w:cs="Times New Roman"/>
          <w:sz w:val="24"/>
          <w:szCs w:val="24"/>
        </w:rPr>
        <w:tab/>
      </w:r>
    </w:p>
    <w:bookmarkEnd w:id="1"/>
    <w:bookmarkEnd w:id="2"/>
    <w:p w14:paraId="43B316A8" w14:textId="1B9A9CF0" w:rsidR="00952EAE" w:rsidRDefault="00952EAE">
      <w:pPr>
        <w:spacing w:line="259" w:lineRule="auto"/>
        <w:rPr>
          <w:rFonts w:ascii="Times New Roman" w:eastAsia="Times New Roman" w:hAnsi="Times New Roman" w:cs="Times New Roman"/>
          <w:sz w:val="24"/>
          <w:szCs w:val="24"/>
        </w:rPr>
      </w:pPr>
    </w:p>
    <w:sectPr w:rsidR="00952EAE">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9DA"/>
    <w:multiLevelType w:val="hybridMultilevel"/>
    <w:tmpl w:val="91587B30"/>
    <w:lvl w:ilvl="0" w:tplc="7EA898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0346A"/>
    <w:multiLevelType w:val="hybridMultilevel"/>
    <w:tmpl w:val="EB7EC45E"/>
    <w:lvl w:ilvl="0" w:tplc="04160001">
      <w:start w:val="1"/>
      <w:numFmt w:val="bullet"/>
      <w:lvlText w:val=""/>
      <w:lvlJc w:val="left"/>
      <w:pPr>
        <w:ind w:left="750" w:hanging="39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9AA6EF8"/>
    <w:multiLevelType w:val="hybridMultilevel"/>
    <w:tmpl w:val="E28E0D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B100FE9"/>
    <w:multiLevelType w:val="hybridMultilevel"/>
    <w:tmpl w:val="0ED09914"/>
    <w:lvl w:ilvl="0" w:tplc="04160001">
      <w:start w:val="1"/>
      <w:numFmt w:val="bullet"/>
      <w:lvlText w:val=""/>
      <w:lvlJc w:val="left"/>
      <w:pPr>
        <w:ind w:left="750" w:hanging="39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2241CF"/>
    <w:multiLevelType w:val="multilevel"/>
    <w:tmpl w:val="E1168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1A23FA"/>
    <w:multiLevelType w:val="hybridMultilevel"/>
    <w:tmpl w:val="DE52B0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6B987455"/>
    <w:multiLevelType w:val="multilevel"/>
    <w:tmpl w:val="7278C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9C4E2C"/>
    <w:multiLevelType w:val="hybridMultilevel"/>
    <w:tmpl w:val="85CAF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2A"/>
    <w:rsid w:val="000C7A2A"/>
    <w:rsid w:val="000E0E65"/>
    <w:rsid w:val="00187616"/>
    <w:rsid w:val="001B07F3"/>
    <w:rsid w:val="001D69E2"/>
    <w:rsid w:val="001E0750"/>
    <w:rsid w:val="001E09E2"/>
    <w:rsid w:val="001E2B1F"/>
    <w:rsid w:val="0021638B"/>
    <w:rsid w:val="0023610E"/>
    <w:rsid w:val="00254F78"/>
    <w:rsid w:val="00282FF0"/>
    <w:rsid w:val="002F0F3A"/>
    <w:rsid w:val="002F4124"/>
    <w:rsid w:val="00302D3A"/>
    <w:rsid w:val="003462BC"/>
    <w:rsid w:val="003B45FF"/>
    <w:rsid w:val="00422272"/>
    <w:rsid w:val="00437FBD"/>
    <w:rsid w:val="004929C4"/>
    <w:rsid w:val="004A38F2"/>
    <w:rsid w:val="004B50C9"/>
    <w:rsid w:val="00590655"/>
    <w:rsid w:val="00646417"/>
    <w:rsid w:val="006546D6"/>
    <w:rsid w:val="00680888"/>
    <w:rsid w:val="006A54BA"/>
    <w:rsid w:val="006A5E60"/>
    <w:rsid w:val="006B069B"/>
    <w:rsid w:val="006D44A0"/>
    <w:rsid w:val="0071209C"/>
    <w:rsid w:val="0072015D"/>
    <w:rsid w:val="00753731"/>
    <w:rsid w:val="008235D0"/>
    <w:rsid w:val="00826337"/>
    <w:rsid w:val="00842456"/>
    <w:rsid w:val="00843C73"/>
    <w:rsid w:val="00866B49"/>
    <w:rsid w:val="00870024"/>
    <w:rsid w:val="008A6C05"/>
    <w:rsid w:val="008C5CC8"/>
    <w:rsid w:val="00945C28"/>
    <w:rsid w:val="00952EAE"/>
    <w:rsid w:val="00966BEA"/>
    <w:rsid w:val="0097718B"/>
    <w:rsid w:val="00981C74"/>
    <w:rsid w:val="009C596E"/>
    <w:rsid w:val="009F5EB0"/>
    <w:rsid w:val="009F6EE4"/>
    <w:rsid w:val="00A04240"/>
    <w:rsid w:val="00A9725A"/>
    <w:rsid w:val="00AC770A"/>
    <w:rsid w:val="00AE7E96"/>
    <w:rsid w:val="00B14ED3"/>
    <w:rsid w:val="00BA5170"/>
    <w:rsid w:val="00BD2A8C"/>
    <w:rsid w:val="00C13E78"/>
    <w:rsid w:val="00C6149B"/>
    <w:rsid w:val="00C71CCE"/>
    <w:rsid w:val="00CE0FC1"/>
    <w:rsid w:val="00CE1304"/>
    <w:rsid w:val="00D1107B"/>
    <w:rsid w:val="00D40E30"/>
    <w:rsid w:val="00D74CC6"/>
    <w:rsid w:val="00D8603C"/>
    <w:rsid w:val="00DD4427"/>
    <w:rsid w:val="00DE082D"/>
    <w:rsid w:val="00E33A1B"/>
    <w:rsid w:val="00E425EF"/>
    <w:rsid w:val="00E923E5"/>
    <w:rsid w:val="00EA669B"/>
    <w:rsid w:val="00EC7167"/>
    <w:rsid w:val="00ED18F0"/>
    <w:rsid w:val="00F07992"/>
    <w:rsid w:val="00F126EC"/>
    <w:rsid w:val="00F17E90"/>
    <w:rsid w:val="00F55CEC"/>
    <w:rsid w:val="00F71989"/>
    <w:rsid w:val="00F85BDB"/>
    <w:rsid w:val="00FD1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30FC"/>
  <w15:docId w15:val="{F503E5B2-7E5A-4A0D-BBF1-070E9FEF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81C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1C7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81C74"/>
    <w:rPr>
      <w:b/>
      <w:bCs/>
    </w:rPr>
  </w:style>
  <w:style w:type="character" w:customStyle="1" w:styleId="AssuntodocomentrioChar">
    <w:name w:val="Assunto do comentário Char"/>
    <w:basedOn w:val="TextodecomentrioChar"/>
    <w:link w:val="Assuntodocomentrio"/>
    <w:uiPriority w:val="99"/>
    <w:semiHidden/>
    <w:rsid w:val="00981C74"/>
    <w:rPr>
      <w:b/>
      <w:bCs/>
      <w:sz w:val="20"/>
      <w:szCs w:val="20"/>
    </w:rPr>
  </w:style>
  <w:style w:type="paragraph" w:styleId="PargrafodaLista">
    <w:name w:val="List Paragraph"/>
    <w:basedOn w:val="Normal"/>
    <w:uiPriority w:val="34"/>
    <w:qFormat/>
    <w:rsid w:val="006D44A0"/>
    <w:pPr>
      <w:ind w:left="720"/>
      <w:contextualSpacing/>
    </w:pPr>
  </w:style>
  <w:style w:type="paragraph" w:styleId="NormalWeb">
    <w:name w:val="Normal (Web)"/>
    <w:basedOn w:val="Normal"/>
    <w:uiPriority w:val="99"/>
    <w:unhideWhenUsed/>
    <w:rsid w:val="00D110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17E90"/>
    <w:rPr>
      <w:color w:val="0000FF" w:themeColor="hyperlink"/>
      <w:u w:val="single"/>
    </w:rPr>
  </w:style>
  <w:style w:type="character" w:styleId="MenoPendente">
    <w:name w:val="Unresolved Mention"/>
    <w:basedOn w:val="Fontepargpadro"/>
    <w:uiPriority w:val="99"/>
    <w:semiHidden/>
    <w:unhideWhenUsed/>
    <w:rsid w:val="00F17E90"/>
    <w:rPr>
      <w:color w:val="605E5C"/>
      <w:shd w:val="clear" w:color="auto" w:fill="E1DFDD"/>
    </w:rPr>
  </w:style>
  <w:style w:type="table" w:styleId="Tabelacomgrade">
    <w:name w:val="Table Grid"/>
    <w:basedOn w:val="Tabelanormal"/>
    <w:uiPriority w:val="39"/>
    <w:rsid w:val="008235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25317">
      <w:bodyDiv w:val="1"/>
      <w:marLeft w:val="0"/>
      <w:marRight w:val="0"/>
      <w:marTop w:val="0"/>
      <w:marBottom w:val="0"/>
      <w:divBdr>
        <w:top w:val="none" w:sz="0" w:space="0" w:color="auto"/>
        <w:left w:val="none" w:sz="0" w:space="0" w:color="auto"/>
        <w:bottom w:val="none" w:sz="0" w:space="0" w:color="auto"/>
        <w:right w:val="none" w:sz="0" w:space="0" w:color="auto"/>
      </w:divBdr>
    </w:div>
    <w:div w:id="1627394589">
      <w:bodyDiv w:val="1"/>
      <w:marLeft w:val="0"/>
      <w:marRight w:val="0"/>
      <w:marTop w:val="0"/>
      <w:marBottom w:val="0"/>
      <w:divBdr>
        <w:top w:val="none" w:sz="0" w:space="0" w:color="auto"/>
        <w:left w:val="none" w:sz="0" w:space="0" w:color="auto"/>
        <w:bottom w:val="none" w:sz="0" w:space="0" w:color="auto"/>
        <w:right w:val="none" w:sz="0" w:space="0" w:color="auto"/>
      </w:divBdr>
      <w:divsChild>
        <w:div w:id="419258196">
          <w:marLeft w:val="0"/>
          <w:marRight w:val="0"/>
          <w:marTop w:val="0"/>
          <w:marBottom w:val="0"/>
          <w:divBdr>
            <w:top w:val="none" w:sz="0" w:space="0" w:color="auto"/>
            <w:left w:val="none" w:sz="0" w:space="0" w:color="auto"/>
            <w:bottom w:val="none" w:sz="0" w:space="0" w:color="auto"/>
            <w:right w:val="none" w:sz="0" w:space="0" w:color="auto"/>
          </w:divBdr>
        </w:div>
        <w:div w:id="854152427">
          <w:marLeft w:val="0"/>
          <w:marRight w:val="0"/>
          <w:marTop w:val="0"/>
          <w:marBottom w:val="0"/>
          <w:divBdr>
            <w:top w:val="none" w:sz="0" w:space="0" w:color="auto"/>
            <w:left w:val="none" w:sz="0" w:space="0" w:color="auto"/>
            <w:bottom w:val="none" w:sz="0" w:space="0" w:color="auto"/>
            <w:right w:val="none" w:sz="0" w:space="0" w:color="auto"/>
          </w:divBdr>
        </w:div>
        <w:div w:id="1778209814">
          <w:marLeft w:val="0"/>
          <w:marRight w:val="0"/>
          <w:marTop w:val="0"/>
          <w:marBottom w:val="0"/>
          <w:divBdr>
            <w:top w:val="none" w:sz="0" w:space="0" w:color="auto"/>
            <w:left w:val="none" w:sz="0" w:space="0" w:color="auto"/>
            <w:bottom w:val="none" w:sz="0" w:space="0" w:color="auto"/>
            <w:right w:val="none" w:sz="0" w:space="0" w:color="auto"/>
          </w:divBdr>
        </w:div>
        <w:div w:id="1607346039">
          <w:marLeft w:val="0"/>
          <w:marRight w:val="0"/>
          <w:marTop w:val="0"/>
          <w:marBottom w:val="0"/>
          <w:divBdr>
            <w:top w:val="none" w:sz="0" w:space="0" w:color="auto"/>
            <w:left w:val="none" w:sz="0" w:space="0" w:color="auto"/>
            <w:bottom w:val="none" w:sz="0" w:space="0" w:color="auto"/>
            <w:right w:val="none" w:sz="0" w:space="0" w:color="auto"/>
          </w:divBdr>
        </w:div>
        <w:div w:id="223299633">
          <w:marLeft w:val="0"/>
          <w:marRight w:val="0"/>
          <w:marTop w:val="0"/>
          <w:marBottom w:val="0"/>
          <w:divBdr>
            <w:top w:val="none" w:sz="0" w:space="0" w:color="auto"/>
            <w:left w:val="none" w:sz="0" w:space="0" w:color="auto"/>
            <w:bottom w:val="none" w:sz="0" w:space="0" w:color="auto"/>
            <w:right w:val="none" w:sz="0" w:space="0" w:color="auto"/>
          </w:divBdr>
        </w:div>
        <w:div w:id="562108304">
          <w:marLeft w:val="0"/>
          <w:marRight w:val="0"/>
          <w:marTop w:val="0"/>
          <w:marBottom w:val="0"/>
          <w:divBdr>
            <w:top w:val="none" w:sz="0" w:space="0" w:color="auto"/>
            <w:left w:val="none" w:sz="0" w:space="0" w:color="auto"/>
            <w:bottom w:val="none" w:sz="0" w:space="0" w:color="auto"/>
            <w:right w:val="none" w:sz="0" w:space="0" w:color="auto"/>
          </w:divBdr>
        </w:div>
        <w:div w:id="221523954">
          <w:marLeft w:val="0"/>
          <w:marRight w:val="0"/>
          <w:marTop w:val="0"/>
          <w:marBottom w:val="0"/>
          <w:divBdr>
            <w:top w:val="none" w:sz="0" w:space="0" w:color="auto"/>
            <w:left w:val="none" w:sz="0" w:space="0" w:color="auto"/>
            <w:bottom w:val="none" w:sz="0" w:space="0" w:color="auto"/>
            <w:right w:val="none" w:sz="0" w:space="0" w:color="auto"/>
          </w:divBdr>
        </w:div>
        <w:div w:id="1621914060">
          <w:marLeft w:val="0"/>
          <w:marRight w:val="0"/>
          <w:marTop w:val="0"/>
          <w:marBottom w:val="0"/>
          <w:divBdr>
            <w:top w:val="none" w:sz="0" w:space="0" w:color="auto"/>
            <w:left w:val="none" w:sz="0" w:space="0" w:color="auto"/>
            <w:bottom w:val="none" w:sz="0" w:space="0" w:color="auto"/>
            <w:right w:val="none" w:sz="0" w:space="0" w:color="auto"/>
          </w:divBdr>
        </w:div>
        <w:div w:id="1408655077">
          <w:marLeft w:val="0"/>
          <w:marRight w:val="0"/>
          <w:marTop w:val="0"/>
          <w:marBottom w:val="0"/>
          <w:divBdr>
            <w:top w:val="none" w:sz="0" w:space="0" w:color="auto"/>
            <w:left w:val="none" w:sz="0" w:space="0" w:color="auto"/>
            <w:bottom w:val="none" w:sz="0" w:space="0" w:color="auto"/>
            <w:right w:val="none" w:sz="0" w:space="0" w:color="auto"/>
          </w:divBdr>
        </w:div>
        <w:div w:id="665282702">
          <w:marLeft w:val="0"/>
          <w:marRight w:val="0"/>
          <w:marTop w:val="0"/>
          <w:marBottom w:val="0"/>
          <w:divBdr>
            <w:top w:val="none" w:sz="0" w:space="0" w:color="auto"/>
            <w:left w:val="none" w:sz="0" w:space="0" w:color="auto"/>
            <w:bottom w:val="none" w:sz="0" w:space="0" w:color="auto"/>
            <w:right w:val="none" w:sz="0" w:space="0" w:color="auto"/>
          </w:divBdr>
        </w:div>
        <w:div w:id="9116971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books/NBK554776/"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JXX94HPigelRKzdwed+g9bGGg==">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662AF5-F0E3-4FE2-9BA4-28A9FA76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40050</Words>
  <Characters>216273</Characters>
  <Application>Microsoft Office Word</Application>
  <DocSecurity>0</DocSecurity>
  <Lines>1802</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Janaína</dc:creator>
  <cp:lastModifiedBy>Janaína Santos Nascimento</cp:lastModifiedBy>
  <cp:revision>8</cp:revision>
  <dcterms:created xsi:type="dcterms:W3CDTF">2020-04-16T10:00:00Z</dcterms:created>
  <dcterms:modified xsi:type="dcterms:W3CDTF">2020-04-16T10:46:00Z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http://www.zotero.org/styles/archives-of-gerontology-and-geriatrics</vt:lpwstr>
  </property>
  <property fmtid="{D5CDD505-2E9C-101B-9397-08002B2CF9AE}" pid="7" name="Mendeley Recent Style Name 2_1">
    <vt:lpwstr>Archives of Gerontology and Geriatrics</vt:lpwstr>
  </property>
  <property fmtid="{D5CDD505-2E9C-101B-9397-08002B2CF9AE}" pid="8" name="Mendeley Recent Style Id 3_1">
    <vt:lpwstr>http://www.zotero.org/styles/national-library-of-medicine</vt:lpwstr>
  </property>
  <property fmtid="{D5CDD505-2E9C-101B-9397-08002B2CF9AE}" pid="9" name="Mendeley Recent Style Name 3_1">
    <vt:lpwstr>National Library of Medicine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http://www.zotero.org/styles/plos-one</vt:lpwstr>
  </property>
  <property fmtid="{D5CDD505-2E9C-101B-9397-08002B2CF9AE}" pid="13" name="Mendeley Recent Style Name 5_1">
    <vt:lpwstr>PLOS ONE</vt:lpwstr>
  </property>
  <property fmtid="{D5CDD505-2E9C-101B-9397-08002B2CF9AE}" pid="14" name="Mendeley Recent Style Id 6_1">
    <vt:lpwstr>http://www.zotero.org/styles/sage-vancouver</vt:lpwstr>
  </property>
  <property fmtid="{D5CDD505-2E9C-101B-9397-08002B2CF9AE}" pid="15" name="Mendeley Recent Style Name 6_1">
    <vt:lpwstr>SAGE - Vancouver</vt:lpwstr>
  </property>
  <property fmtid="{D5CDD505-2E9C-101B-9397-08002B2CF9AE}" pid="16" name="Mendeley Recent Style Id 7_1">
    <vt:lpwstr>http://www.zotero.org/styles/associacao-brasileira-de-normas-tecnicas-ufrgs</vt:lpwstr>
  </property>
  <property fmtid="{D5CDD505-2E9C-101B-9397-08002B2CF9AE}" pid="17" name="Mendeley Recent Style Name 7_1">
    <vt:lpwstr>Universidade Federal do Rio Grande do Sul - SBUFRGS - ABNT (autoria completa) (Portuguese - Brazil)</vt:lpwstr>
  </property>
  <property fmtid="{D5CDD505-2E9C-101B-9397-08002B2CF9AE}" pid="18" name="Mendeley Recent Style Id 8_1">
    <vt:lpwstr>http://www.zotero.org/styles/university-college-lillebaelt-vancouver</vt:lpwstr>
  </property>
  <property fmtid="{D5CDD505-2E9C-101B-9397-08002B2CF9AE}" pid="19" name="Mendeley Recent Style Name 8_1">
    <vt:lpwstr>University College Lillebælt - Vancouver (English)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http://www.zotero.org/styles/sage-vancouver</vt:lpwstr>
  </property>
  <property fmtid="{D5CDD505-2E9C-101B-9397-08002B2CF9AE}" pid="23" name="Mendeley Document_1">
    <vt:lpwstr>True</vt:lpwstr>
  </property>
  <property fmtid="{D5CDD505-2E9C-101B-9397-08002B2CF9AE}" pid="24" name="Mendeley Unique User Id_1">
    <vt:lpwstr>40150284-4130-3e8d-9851-fdc39d26bf38</vt:lpwstr>
  </property>
</Properties>
</file>