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Ana Carolina Fonsêca de Alcântara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 da carteira de identidade n°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4.369.762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emitida por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SSDS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data de expedição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09/07/2015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autor principal do manuscrito intitulado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“BEM-VINDO(A) AO MEU TIMBÓ”:  INTERVENÇÕES URBANAS E ARTE PÚBLICA COM JOVENS DE UMA COMUNIDADE EM JOÃO PESSOA/PB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oriundo da Instituição: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da Paraíba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autorizo o uso da(s) imagem(s) e/ou discurso(s) para fins de divulgação e publicidade, concedendo todos os direitos reservados à Revista Interinstitucional Brasileira de Terapia Ocupacional - REVISBRATO.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Pessoa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457820</wp:posOffset>
            </wp:positionV>
            <wp:extent cx="801494" cy="36401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494" cy="3640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autor principal/Nome completo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855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78555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8gZNq0oNjDE6ZxODPgdw1V6qA==">AMUW2mWwoff4S+5TkBO/+A6ZiMcWq1AEDhUJgl3C3Dx1nZx20MT0ZeCKJ0sUcb4UQrZlRsA7DKRERHxJ1/N0lRffOmdpdc8l5pmcMs/WtcwANkOv4rxvaig=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2021-06-08T23:39:00Z</dcterms:created>
  <dc:creator>Mafferson Alexandre</dc:creator>
</cp:coreProperties>
</file>