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DE" w:rsidRPr="00C85CFE" w:rsidRDefault="00A653DE" w:rsidP="00A653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CFE">
        <w:rPr>
          <w:rFonts w:ascii="Times New Roman" w:hAnsi="Times New Roman" w:cs="Times New Roman"/>
          <w:b/>
          <w:sz w:val="28"/>
          <w:szCs w:val="28"/>
        </w:rPr>
        <w:t xml:space="preserve">PERFIL DOS PACIENTES ATENDIDOS PELA TERAPIA OCUPACIONAL EM UNIDADE DE TERAPIA </w:t>
      </w:r>
      <w:proofErr w:type="gramStart"/>
      <w:r w:rsidRPr="00C85CFE">
        <w:rPr>
          <w:rFonts w:ascii="Times New Roman" w:hAnsi="Times New Roman" w:cs="Times New Roman"/>
          <w:b/>
          <w:sz w:val="28"/>
          <w:szCs w:val="28"/>
        </w:rPr>
        <w:t>INTENSIVA ADULTO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*</w:t>
      </w:r>
    </w:p>
    <w:p w:rsidR="00A653DE" w:rsidRPr="00AB6DD1" w:rsidRDefault="00A653DE" w:rsidP="00A653DE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B6DD1">
        <w:rPr>
          <w:rFonts w:ascii="Times New Roman" w:hAnsi="Times New Roman" w:cs="Times New Roman"/>
          <w:sz w:val="24"/>
          <w:szCs w:val="28"/>
        </w:rPr>
        <w:t xml:space="preserve">Profile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patients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assisted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by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Occupational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Therapy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in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Adult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Intenvise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Care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Unit</w:t>
      </w:r>
    </w:p>
    <w:p w:rsidR="00A653DE" w:rsidRDefault="00A653DE" w:rsidP="00A653DE">
      <w:pPr>
        <w:spacing w:line="360" w:lineRule="auto"/>
        <w:jc w:val="center"/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</w:pPr>
      <w:r w:rsidRPr="00AB6DD1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El perfil de </w:t>
      </w:r>
      <w:proofErr w:type="spellStart"/>
      <w:r w:rsidRPr="00AB6DD1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los</w:t>
      </w:r>
      <w:proofErr w:type="spellEnd"/>
      <w:r w:rsidRPr="00AB6DD1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 pacientes tratados </w:t>
      </w:r>
      <w:proofErr w:type="spellStart"/>
      <w:r w:rsidRPr="00AB6DD1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on</w:t>
      </w:r>
      <w:proofErr w:type="spellEnd"/>
      <w:r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la</w:t>
      </w:r>
      <w:proofErr w:type="spellEnd"/>
      <w:proofErr w:type="gramEnd"/>
      <w:r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 terapia ocupacional </w:t>
      </w:r>
      <w:proofErr w:type="spellStart"/>
      <w:r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en</w:t>
      </w:r>
      <w:proofErr w:type="spellEnd"/>
      <w:r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 </w:t>
      </w:r>
      <w:proofErr w:type="spellStart"/>
      <w:r w:rsidRPr="00AB6DD1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Unidad</w:t>
      </w:r>
      <w:proofErr w:type="spellEnd"/>
      <w:r w:rsidRPr="00AB6DD1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 de Cuidados Intensivos de adultos</w:t>
      </w:r>
    </w:p>
    <w:p w:rsidR="00A653DE" w:rsidRDefault="00A653DE" w:rsidP="00E034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653DE" w:rsidRDefault="00A653DE" w:rsidP="00E034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0342C" w:rsidRPr="00E0342C" w:rsidRDefault="00E0342C" w:rsidP="00E034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0342C">
        <w:rPr>
          <w:rFonts w:ascii="Times New Roman" w:hAnsi="Times New Roman" w:cs="Times New Roman"/>
          <w:b/>
          <w:sz w:val="24"/>
        </w:rPr>
        <w:t xml:space="preserve">Resumo: </w:t>
      </w:r>
      <w:r w:rsidRPr="00E0342C">
        <w:rPr>
          <w:rFonts w:ascii="Times New Roman" w:hAnsi="Times New Roman" w:cs="Times New Roman"/>
          <w:sz w:val="24"/>
          <w:lang w:val="pt"/>
        </w:rPr>
        <w:t xml:space="preserve">Muitos pacientes compartilham das más experiências vivenciadas durante a internação em UTI, as quais desorganizam o sujeito. </w:t>
      </w:r>
      <w:r w:rsidRPr="00E0342C">
        <w:rPr>
          <w:rFonts w:ascii="Times New Roman" w:hAnsi="Times New Roman" w:cs="Times New Roman"/>
          <w:color w:val="000000"/>
          <w:sz w:val="24"/>
        </w:rPr>
        <w:t xml:space="preserve">Identificar as necessidades do sujeito pode contribuir na elaboração do plano de tratamento adequado às demandas do paciente. Dessa forma, ressalta-se a importância de identificar o perfil dos pacientes atendidos pela Terapia Ocupacional na Unidade de Terapia Intensiva Adulto. </w:t>
      </w:r>
      <w:r w:rsidRPr="00E0342C">
        <w:rPr>
          <w:rFonts w:ascii="Times New Roman" w:hAnsi="Times New Roman" w:cs="Times New Roman"/>
          <w:sz w:val="24"/>
        </w:rPr>
        <w:t xml:space="preserve">Realizou-se uma pesquisa transversal observacional em que foram avaliados 37 sujeitos internados na UTI adulto de um hospital público da Zona Leste do município de São Paulo no período de junho a agosto de 2016. </w:t>
      </w:r>
      <w:r w:rsidRPr="00E0342C">
        <w:rPr>
          <w:rFonts w:ascii="Times New Roman" w:hAnsi="Times New Roman" w:cs="Times New Roman"/>
          <w:sz w:val="24"/>
          <w:lang w:val="pt"/>
        </w:rPr>
        <w:t xml:space="preserve">Verificou-se que presença de fraqueza, dor, mobilidade reduzida, limitação no autocuidado, banho e higiene foram os mais presentes entre os participantes dos grupos conforme gênero, idade e dias de internação. Déficit cognitivo e queixa de memória foram os mais elencados no grupo dos idosos. </w:t>
      </w:r>
      <w:r w:rsidRPr="00E0342C">
        <w:rPr>
          <w:rFonts w:ascii="Times New Roman" w:hAnsi="Times New Roman" w:cs="Times New Roman"/>
          <w:color w:val="000000"/>
          <w:sz w:val="24"/>
        </w:rPr>
        <w:t xml:space="preserve">A internação na UTI e o processo de adoecimento podem gerar implicações negativas ao sujeito como alterações motoras, cognitivas e na participação nas atividades de vida diária. </w:t>
      </w:r>
      <w:r w:rsidRPr="00E0342C">
        <w:rPr>
          <w:rFonts w:ascii="Times New Roman" w:hAnsi="Times New Roman" w:cs="Times New Roman"/>
          <w:bCs/>
          <w:color w:val="000000"/>
          <w:sz w:val="24"/>
        </w:rPr>
        <w:t>Os dados possibilitaram identificar o perfil dos pacientes atendidos pela Terapia Ocupacional na UTI adulto, o que possibilita a orientar a prática.</w:t>
      </w:r>
    </w:p>
    <w:p w:rsidR="00E0342C" w:rsidRPr="00E0342C" w:rsidRDefault="00E0342C" w:rsidP="00E0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E0342C"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Palavras-chave: </w:t>
      </w:r>
      <w:r w:rsidRPr="00E0342C">
        <w:rPr>
          <w:rFonts w:ascii="Times New Roman" w:hAnsi="Times New Roman" w:cs="Times New Roman"/>
          <w:sz w:val="24"/>
          <w:szCs w:val="24"/>
          <w:lang w:val="pt"/>
        </w:rPr>
        <w:t>Terapia Ocupacional</w:t>
      </w:r>
      <w:r w:rsidR="00FB5F49">
        <w:rPr>
          <w:rFonts w:ascii="Times New Roman" w:hAnsi="Times New Roman" w:cs="Times New Roman"/>
          <w:sz w:val="24"/>
          <w:szCs w:val="24"/>
          <w:lang w:val="pt"/>
        </w:rPr>
        <w:t>, Unidade de Terapia Intensiva,</w:t>
      </w:r>
      <w:r w:rsidRPr="00E0342C">
        <w:rPr>
          <w:rFonts w:ascii="Times New Roman" w:hAnsi="Times New Roman" w:cs="Times New Roman"/>
          <w:sz w:val="24"/>
          <w:szCs w:val="24"/>
          <w:lang w:val="pt"/>
        </w:rPr>
        <w:t xml:space="preserve"> Adulto.</w:t>
      </w:r>
    </w:p>
    <w:p w:rsidR="00E0342C" w:rsidRPr="00E0342C" w:rsidRDefault="00E0342C" w:rsidP="00E03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lang w:eastAsia="pt-BR"/>
        </w:rPr>
      </w:pPr>
      <w:r w:rsidRPr="00E0342C">
        <w:rPr>
          <w:rFonts w:ascii="Times New Roman" w:hAnsi="Times New Roman" w:cs="Times New Roman"/>
          <w:b/>
          <w:sz w:val="24"/>
          <w:lang w:val="pt"/>
        </w:rPr>
        <w:t xml:space="preserve">Abstract: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Many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patients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live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bad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experiences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during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their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stay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in ICU,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that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disrupt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the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subject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.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Identifying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needs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of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person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can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contribute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to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elaboration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of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treatment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plan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.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Thus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,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is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importante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to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identify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profile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of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patients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treated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by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Occupational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Therapy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in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an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Adult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Intensive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Care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Unit. </w:t>
      </w:r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The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study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consisted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an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observational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cross-sectional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study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in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which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37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subjects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were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hospitalized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in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the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adult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ICU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a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public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hospital in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the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East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the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city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São Paulo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from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June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to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August 2016. The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presence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weakness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pain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reduced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mobility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, self-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care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limitation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bathing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and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hygiene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were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the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most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frequent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among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the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participants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according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to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gender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, age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and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days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hospitalization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.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Cognitive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deficit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and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lastRenderedPageBreak/>
        <w:t>memory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complaints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were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the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most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prominent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in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the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elderly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group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.</w:t>
      </w:r>
      <w:r w:rsidRPr="00E0342C">
        <w:rPr>
          <w:rFonts w:ascii="Times New Roman" w:hAnsi="Times New Roman" w:cs="Times New Roman"/>
          <w:b/>
          <w:bCs/>
          <w:color w:val="000000"/>
          <w:sz w:val="24"/>
          <w:lang w:eastAsia="pt-BR"/>
        </w:rPr>
        <w:t xml:space="preserve"> </w:t>
      </w:r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ICU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hospitalization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and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the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process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illness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may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cause negative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implications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for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the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subject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such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as motor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and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cognitive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impairment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and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difficulties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in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activities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>daily</w:t>
      </w:r>
      <w:proofErr w:type="spellEnd"/>
      <w:r w:rsidRPr="00E0342C">
        <w:rPr>
          <w:rFonts w:ascii="Times New Roman" w:hAnsi="Times New Roman" w:cs="Times New Roman"/>
          <w:color w:val="000000"/>
          <w:sz w:val="24"/>
          <w:lang w:eastAsia="pt-BR"/>
        </w:rPr>
        <w:t xml:space="preserve"> living. </w:t>
      </w:r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The data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made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it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possible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to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identify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profile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of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patients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treated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by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Occupational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Therapy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in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adult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ICU,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which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makes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it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possible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to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guide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the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practice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 </w:t>
      </w:r>
      <w:proofErr w:type="spellStart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itself</w:t>
      </w:r>
      <w:proofErr w:type="spellEnd"/>
      <w:r w:rsidRPr="00E0342C">
        <w:rPr>
          <w:rFonts w:ascii="Times New Roman" w:hAnsi="Times New Roman" w:cs="Times New Roman"/>
          <w:color w:val="212121"/>
          <w:sz w:val="24"/>
          <w:shd w:val="clear" w:color="auto" w:fill="FFFFFF"/>
        </w:rPr>
        <w:t>.</w:t>
      </w:r>
    </w:p>
    <w:p w:rsidR="00F24FDB" w:rsidRDefault="00E0342C" w:rsidP="00E0342C">
      <w:pPr>
        <w:rPr>
          <w:rFonts w:ascii="Times New Roman" w:hAnsi="Times New Roman" w:cs="Times New Roman"/>
          <w:sz w:val="24"/>
        </w:rPr>
      </w:pPr>
      <w:r w:rsidRPr="00E0342C">
        <w:rPr>
          <w:rFonts w:ascii="Times New Roman" w:hAnsi="Times New Roman" w:cs="Times New Roman"/>
          <w:b/>
          <w:bCs/>
          <w:sz w:val="24"/>
        </w:rPr>
        <w:t xml:space="preserve">Keywords: </w:t>
      </w:r>
      <w:proofErr w:type="spellStart"/>
      <w:r w:rsidR="00FB5F49">
        <w:rPr>
          <w:rFonts w:ascii="Times New Roman" w:hAnsi="Times New Roman" w:cs="Times New Roman"/>
          <w:sz w:val="24"/>
        </w:rPr>
        <w:t>Occupational</w:t>
      </w:r>
      <w:proofErr w:type="spellEnd"/>
      <w:r w:rsidR="00FB5F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F49">
        <w:rPr>
          <w:rFonts w:ascii="Times New Roman" w:hAnsi="Times New Roman" w:cs="Times New Roman"/>
          <w:sz w:val="24"/>
        </w:rPr>
        <w:t>Therapy</w:t>
      </w:r>
      <w:proofErr w:type="spellEnd"/>
      <w:r w:rsidR="00FB5F49">
        <w:rPr>
          <w:rFonts w:ascii="Times New Roman" w:hAnsi="Times New Roman" w:cs="Times New Roman"/>
          <w:sz w:val="24"/>
        </w:rPr>
        <w:t>,</w:t>
      </w:r>
      <w:r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342C">
        <w:rPr>
          <w:rFonts w:ascii="Times New Roman" w:hAnsi="Times New Roman" w:cs="Times New Roman"/>
          <w:sz w:val="24"/>
        </w:rPr>
        <w:t>Intensive</w:t>
      </w:r>
      <w:proofErr w:type="spellEnd"/>
      <w:r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342C">
        <w:rPr>
          <w:rFonts w:ascii="Times New Roman" w:hAnsi="Times New Roman" w:cs="Times New Roman"/>
          <w:sz w:val="24"/>
        </w:rPr>
        <w:t>Care</w:t>
      </w:r>
      <w:proofErr w:type="spellEnd"/>
      <w:r w:rsidR="00FB5F49">
        <w:rPr>
          <w:rFonts w:ascii="Times New Roman" w:hAnsi="Times New Roman" w:cs="Times New Roman"/>
          <w:sz w:val="24"/>
        </w:rPr>
        <w:t xml:space="preserve"> Unit,</w:t>
      </w:r>
      <w:r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342C">
        <w:rPr>
          <w:rFonts w:ascii="Times New Roman" w:hAnsi="Times New Roman" w:cs="Times New Roman"/>
          <w:sz w:val="24"/>
        </w:rPr>
        <w:t>Adult</w:t>
      </w:r>
      <w:proofErr w:type="spellEnd"/>
      <w:r w:rsidRPr="00E0342C">
        <w:rPr>
          <w:rFonts w:ascii="Times New Roman" w:hAnsi="Times New Roman" w:cs="Times New Roman"/>
          <w:sz w:val="24"/>
        </w:rPr>
        <w:t>.</w:t>
      </w:r>
    </w:p>
    <w:p w:rsidR="00E0342C" w:rsidRDefault="00E0342C" w:rsidP="00E0342C">
      <w:pPr>
        <w:rPr>
          <w:rFonts w:ascii="Arial" w:hAnsi="Arial" w:cs="Arial"/>
          <w:color w:val="000000"/>
          <w:sz w:val="20"/>
          <w:szCs w:val="20"/>
          <w:shd w:val="clear" w:color="auto" w:fill="CCCCCC"/>
        </w:rPr>
      </w:pPr>
    </w:p>
    <w:p w:rsidR="00E0342C" w:rsidRDefault="00FB5F49" w:rsidP="00FB5F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B5F49">
        <w:rPr>
          <w:rFonts w:ascii="Times New Roman" w:hAnsi="Times New Roman" w:cs="Times New Roman"/>
          <w:b/>
          <w:sz w:val="24"/>
        </w:rPr>
        <w:t>Resumen</w:t>
      </w:r>
      <w:proofErr w:type="spellEnd"/>
      <w:r w:rsidRPr="00FB5F49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Muchos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pacientes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comparten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las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malas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experiencias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vivenciadas</w:t>
      </w:r>
      <w:r>
        <w:rPr>
          <w:rFonts w:ascii="Times New Roman" w:hAnsi="Times New Roman" w:cs="Times New Roman"/>
          <w:sz w:val="24"/>
        </w:rPr>
        <w:t xml:space="preserve"> durante </w:t>
      </w:r>
      <w:proofErr w:type="spellStart"/>
      <w:r>
        <w:rPr>
          <w:rFonts w:ascii="Times New Roman" w:hAnsi="Times New Roman" w:cs="Times New Roman"/>
          <w:sz w:val="24"/>
        </w:rPr>
        <w:t>la</w:t>
      </w:r>
      <w:proofErr w:type="spellEnd"/>
      <w:r>
        <w:rPr>
          <w:rFonts w:ascii="Times New Roman" w:hAnsi="Times New Roman" w:cs="Times New Roman"/>
          <w:sz w:val="24"/>
        </w:rPr>
        <w:t xml:space="preserve"> internação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UC</w:t>
      </w:r>
      <w:r w:rsidR="00E0342C" w:rsidRPr="00E0342C">
        <w:rPr>
          <w:rFonts w:ascii="Times New Roman" w:hAnsi="Times New Roman" w:cs="Times New Roman"/>
          <w:sz w:val="24"/>
        </w:rPr>
        <w:t xml:space="preserve">I,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las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cuales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desorganizan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el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sujeto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. Identificar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las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necesidades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del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sujeto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puede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contribuir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elaboración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del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plan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tratamiento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adecuado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las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demandas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del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paciente. De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esa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forma, se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resalta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importancia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de identificar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el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perfil de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los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pacientes atendidos por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Terapia Ocupacional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Unidad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Cuidados Intensivos</w:t>
      </w:r>
      <w:r w:rsidR="00E0342C" w:rsidRPr="00E0342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 </w:t>
      </w:r>
      <w:r w:rsidR="00E0342C" w:rsidRPr="00E0342C">
        <w:rPr>
          <w:rFonts w:ascii="Times New Roman" w:hAnsi="Times New Roman" w:cs="Times New Roman"/>
          <w:sz w:val="24"/>
        </w:rPr>
        <w:t>Adulto</w:t>
      </w:r>
      <w:r>
        <w:rPr>
          <w:rFonts w:ascii="Times New Roman" w:hAnsi="Times New Roman" w:cs="Times New Roman"/>
          <w:sz w:val="24"/>
        </w:rPr>
        <w:t>s</w:t>
      </w:r>
      <w:r w:rsidR="00E0342C" w:rsidRPr="00E0342C">
        <w:rPr>
          <w:rFonts w:ascii="Times New Roman" w:hAnsi="Times New Roman" w:cs="Times New Roman"/>
          <w:sz w:val="24"/>
        </w:rPr>
        <w:t xml:space="preserve">. Se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realizó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una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investigación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transversal observacional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que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fueron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evaluado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 xml:space="preserve"> 37 </w:t>
      </w:r>
      <w:proofErr w:type="spellStart"/>
      <w:r>
        <w:rPr>
          <w:rFonts w:ascii="Times New Roman" w:hAnsi="Times New Roman" w:cs="Times New Roman"/>
          <w:sz w:val="24"/>
        </w:rPr>
        <w:t>sujetos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ingresados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</w:t>
      </w:r>
      <w:proofErr w:type="spellEnd"/>
      <w:r>
        <w:rPr>
          <w:rFonts w:ascii="Times New Roman" w:hAnsi="Times New Roman" w:cs="Times New Roman"/>
          <w:sz w:val="24"/>
        </w:rPr>
        <w:t xml:space="preserve"> UC</w:t>
      </w:r>
      <w:r w:rsidR="00E0342C" w:rsidRPr="00E0342C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 xml:space="preserve">de </w:t>
      </w:r>
      <w:r w:rsidR="00E0342C" w:rsidRPr="00E0342C">
        <w:rPr>
          <w:rFonts w:ascii="Times New Roman" w:hAnsi="Times New Roman" w:cs="Times New Roman"/>
          <w:sz w:val="24"/>
        </w:rPr>
        <w:t>adulto</w:t>
      </w:r>
      <w:r>
        <w:rPr>
          <w:rFonts w:ascii="Times New Roman" w:hAnsi="Times New Roman" w:cs="Times New Roman"/>
          <w:sz w:val="24"/>
        </w:rPr>
        <w:t>s</w:t>
      </w:r>
      <w:r w:rsidR="00E0342C" w:rsidRPr="00E0342C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un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hospital público de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Zona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Leíste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del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municipio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de São Paulo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el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periodo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junio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a agosto de 2016. Se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verificó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que presencia de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flaqueza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dolor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movilidad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reducida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limitación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el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autocuidado,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baño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e higiene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fueron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los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más presentes entre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los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participantes de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los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grupos conforme género,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edad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y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días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de internação. Déficit cognitivo y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queja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de memoria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fueron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los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más elencados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E0342C" w:rsidRPr="00E0342C">
        <w:rPr>
          <w:rFonts w:ascii="Times New Roman" w:hAnsi="Times New Roman" w:cs="Times New Roman"/>
          <w:sz w:val="24"/>
        </w:rPr>
        <w:t>el</w:t>
      </w:r>
      <w:proofErr w:type="spellEnd"/>
      <w:proofErr w:type="gramEnd"/>
      <w:r w:rsidR="00E0342C" w:rsidRPr="00E0342C">
        <w:rPr>
          <w:rFonts w:ascii="Times New Roman" w:hAnsi="Times New Roman" w:cs="Times New Roman"/>
          <w:sz w:val="24"/>
        </w:rPr>
        <w:t xml:space="preserve"> grupo de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los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ancianos</w:t>
      </w:r>
      <w:proofErr w:type="spellEnd"/>
      <w:r>
        <w:rPr>
          <w:rFonts w:ascii="Times New Roman" w:hAnsi="Times New Roman" w:cs="Times New Roman"/>
          <w:sz w:val="24"/>
        </w:rPr>
        <w:t xml:space="preserve">. La internação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</w:t>
      </w:r>
      <w:proofErr w:type="spellEnd"/>
      <w:r>
        <w:rPr>
          <w:rFonts w:ascii="Times New Roman" w:hAnsi="Times New Roman" w:cs="Times New Roman"/>
          <w:sz w:val="24"/>
        </w:rPr>
        <w:t xml:space="preserve"> UC</w:t>
      </w:r>
      <w:r w:rsidR="00E0342C" w:rsidRPr="00E0342C">
        <w:rPr>
          <w:rFonts w:ascii="Times New Roman" w:hAnsi="Times New Roman" w:cs="Times New Roman"/>
          <w:sz w:val="24"/>
        </w:rPr>
        <w:t xml:space="preserve">I y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el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proceso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de adoecimento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pueden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generar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implicancias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negativas al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sujeto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como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alteraciones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motoras, cognitivas y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participación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las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actividades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de vida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diaria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. Los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datos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posibilitaron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identificar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el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perfil de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los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pacientes atendidos por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</w:t>
      </w:r>
      <w:proofErr w:type="spellEnd"/>
      <w:r>
        <w:rPr>
          <w:rFonts w:ascii="Times New Roman" w:hAnsi="Times New Roman" w:cs="Times New Roman"/>
          <w:sz w:val="24"/>
        </w:rPr>
        <w:t xml:space="preserve"> Terapia Ocupacional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</w:t>
      </w:r>
      <w:proofErr w:type="spellEnd"/>
      <w:r>
        <w:rPr>
          <w:rFonts w:ascii="Times New Roman" w:hAnsi="Times New Roman" w:cs="Times New Roman"/>
          <w:sz w:val="24"/>
        </w:rPr>
        <w:t xml:space="preserve"> UC</w:t>
      </w:r>
      <w:r w:rsidR="00E0342C" w:rsidRPr="00E0342C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 xml:space="preserve">de </w:t>
      </w:r>
      <w:r w:rsidR="00E0342C" w:rsidRPr="00E0342C">
        <w:rPr>
          <w:rFonts w:ascii="Times New Roman" w:hAnsi="Times New Roman" w:cs="Times New Roman"/>
          <w:sz w:val="24"/>
        </w:rPr>
        <w:t>adulto</w:t>
      </w:r>
      <w:r>
        <w:rPr>
          <w:rFonts w:ascii="Times New Roman" w:hAnsi="Times New Roman" w:cs="Times New Roman"/>
          <w:sz w:val="24"/>
        </w:rPr>
        <w:t>s</w:t>
      </w:r>
      <w:r w:rsidR="00E0342C" w:rsidRPr="00E0342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lo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que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posibilita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a orientar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la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42C" w:rsidRPr="00E0342C">
        <w:rPr>
          <w:rFonts w:ascii="Times New Roman" w:hAnsi="Times New Roman" w:cs="Times New Roman"/>
          <w:sz w:val="24"/>
        </w:rPr>
        <w:t>práctica</w:t>
      </w:r>
      <w:proofErr w:type="spellEnd"/>
      <w:r w:rsidR="00E0342C" w:rsidRPr="00E0342C">
        <w:rPr>
          <w:rFonts w:ascii="Times New Roman" w:hAnsi="Times New Roman" w:cs="Times New Roman"/>
          <w:sz w:val="24"/>
        </w:rPr>
        <w:t>.</w:t>
      </w:r>
    </w:p>
    <w:p w:rsidR="00FB5F49" w:rsidRDefault="00FB5F49" w:rsidP="00E0342C">
      <w:pP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 w:rsidRPr="00FB5F49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Palabrasclave</w:t>
      </w:r>
      <w:proofErr w:type="spellEnd"/>
      <w:r w:rsidRPr="00FB5F49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FB5F4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Terapia Ocu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pacional,</w:t>
      </w:r>
      <w:r w:rsidRPr="00FB5F4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Unidade de Cuidados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Intensivos,</w:t>
      </w:r>
      <w:r w:rsidRPr="00FB5F4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Adulto.</w:t>
      </w:r>
    </w:p>
    <w:p w:rsidR="002C7BC6" w:rsidRPr="000B439F" w:rsidRDefault="002C7BC6" w:rsidP="002C7BC6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2C7BC6" w:rsidRPr="000B439F" w:rsidRDefault="002C7BC6" w:rsidP="002C7BC6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0B439F">
        <w:rPr>
          <w:b/>
          <w:color w:val="000000"/>
        </w:rPr>
        <w:t>1 Introdução</w:t>
      </w:r>
    </w:p>
    <w:p w:rsidR="002C7BC6" w:rsidRPr="000B439F" w:rsidRDefault="002C7BC6" w:rsidP="002C7BC6">
      <w:pPr>
        <w:pStyle w:val="NormalWeb"/>
        <w:spacing w:before="0" w:beforeAutospacing="0" w:after="0" w:afterAutospacing="0" w:line="360" w:lineRule="auto"/>
        <w:ind w:firstLine="720"/>
        <w:jc w:val="both"/>
        <w:rPr>
          <w:vertAlign w:val="superscript"/>
        </w:rPr>
      </w:pPr>
      <w:r w:rsidRPr="000B439F">
        <w:rPr>
          <w:color w:val="000000"/>
        </w:rPr>
        <w:t>As Unidades de Tratamento Intensivo (UTI) surgiram com o intuito de atender pacientes em estado crítico/grave, com risco iminente de morte, que necessitam de tecnologias de alta complexidade e cuidados específicos e intensivos.</w:t>
      </w:r>
      <w:r w:rsidRPr="000B439F">
        <w:rPr>
          <w:color w:val="000000"/>
          <w:vertAlign w:val="superscript"/>
        </w:rPr>
        <w:t>1</w:t>
      </w:r>
      <w:r w:rsidRPr="000B439F">
        <w:rPr>
          <w:color w:val="000000"/>
        </w:rPr>
        <w:t xml:space="preserve"> Neste setor é necessário que haja profissionais com conhecimento teórico e prático especializados, habilidade com os equipamentos de alta tecnologia e agilidade na tomada de decisões para trazer resolutividade às problemáticas dos pacientes e do setor.</w:t>
      </w:r>
      <w:r w:rsidRPr="000B439F">
        <w:rPr>
          <w:color w:val="000000"/>
          <w:vertAlign w:val="superscript"/>
        </w:rPr>
        <w:t>2-3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ind w:firstLine="700"/>
        <w:jc w:val="both"/>
        <w:rPr>
          <w:vertAlign w:val="superscript"/>
        </w:rPr>
      </w:pPr>
      <w:r w:rsidRPr="000B439F">
        <w:rPr>
          <w:color w:val="000000"/>
        </w:rPr>
        <w:t>O adoecimento e a internação em UTI representam um distanciamento do sujeito com seu cotidiano</w:t>
      </w:r>
      <w:r w:rsidRPr="000B439F">
        <w:rPr>
          <w:color w:val="000000"/>
          <w:vertAlign w:val="superscript"/>
        </w:rPr>
        <w:t>4</w:t>
      </w:r>
      <w:r w:rsidRPr="000B439F">
        <w:rPr>
          <w:color w:val="000000"/>
        </w:rPr>
        <w:t xml:space="preserve">, o que pode gerar sofrimento físico e emocional ao indivíduo. Além disso, a </w:t>
      </w:r>
      <w:r w:rsidRPr="000B439F">
        <w:rPr>
          <w:color w:val="000000"/>
        </w:rPr>
        <w:lastRenderedPageBreak/>
        <w:t xml:space="preserve">UTI possui uma rotina dinâmica, intensa e permeada de procedimentos invasivos, onde não se é permitido a presença constante de seus entes queridos e objetos pessoais, e na maioria das vezes, não é respeitada a privacidade e a singularidade do sujeito, o que leva a uma </w:t>
      </w:r>
      <w:proofErr w:type="spellStart"/>
      <w:r w:rsidRPr="000B439F">
        <w:rPr>
          <w:color w:val="000000"/>
        </w:rPr>
        <w:t>despersonificação</w:t>
      </w:r>
      <w:proofErr w:type="spellEnd"/>
      <w:r w:rsidRPr="000B439F">
        <w:rPr>
          <w:color w:val="000000"/>
        </w:rPr>
        <w:t xml:space="preserve"> e o não domínio sobre próprio corpo.</w:t>
      </w:r>
      <w:r w:rsidRPr="000B439F">
        <w:rPr>
          <w:color w:val="000000"/>
          <w:vertAlign w:val="superscript"/>
        </w:rPr>
        <w:t>5</w:t>
      </w:r>
      <w:r w:rsidRPr="000B439F">
        <w:rPr>
          <w:color w:val="000000"/>
        </w:rPr>
        <w:t xml:space="preserve"> Outros fatores estressantes que desorganizam o sujeito são: a lentidão do passar do tempo, dor e outros desconfortos, falta de orientação no tempo e espaço, mudança na rotina diária, alteração do sono, ambiente com muitos ruídos, iluminação artificial, entre outros.</w:t>
      </w:r>
      <w:r w:rsidRPr="000B439F">
        <w:rPr>
          <w:color w:val="000000"/>
          <w:vertAlign w:val="superscript"/>
        </w:rPr>
        <w:t>6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ind w:firstLine="700"/>
        <w:jc w:val="both"/>
      </w:pPr>
      <w:r w:rsidRPr="000B439F">
        <w:rPr>
          <w:color w:val="000000"/>
        </w:rPr>
        <w:t>A inserção do Terapeuta Ocupacional no cuidado de pacientes críticos internados em UTI foi viabilizada a partir da resolução n°7 de 24 de fevereiro de 2010</w:t>
      </w:r>
      <w:r w:rsidRPr="000B439F">
        <w:rPr>
          <w:color w:val="000000"/>
          <w:vertAlign w:val="superscript"/>
        </w:rPr>
        <w:t>7</w:t>
      </w:r>
      <w:r w:rsidRPr="000B439F">
        <w:rPr>
          <w:color w:val="000000"/>
        </w:rPr>
        <w:t>, onde este profissional é habilitado e capacitado para atuar de forma a minimizar os efeitos deletérios decorrentes da patologia e hospitalização e que interferem na participação e engajamento nas atividades do cotidiano.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ind w:firstLine="700"/>
        <w:jc w:val="both"/>
      </w:pPr>
      <w:r w:rsidRPr="000B439F">
        <w:rPr>
          <w:color w:val="000000"/>
        </w:rPr>
        <w:t>O raciocínio clínico em terapia ocupacional é realizado a partir da construção de uma narrativa, com base na história do paciente, salientando suas particularidades, de forma a valorizá-lo como um ser único. Para tanto, o profissional, no decorrer de suas avaliações, atendimentos e vivências em conjunto com o paciente, deverá atentar-se aos acontecimentos a fim de estabelecer conexões entres os fatos observados e informações colhidas, para então possibilitar que o sujeito produza novos significados às experiências.</w:t>
      </w:r>
      <w:r w:rsidRPr="000B439F">
        <w:rPr>
          <w:color w:val="000000"/>
          <w:vertAlign w:val="superscript"/>
        </w:rPr>
        <w:t>8</w:t>
      </w:r>
    </w:p>
    <w:p w:rsidR="002C7BC6" w:rsidRPr="000B439F" w:rsidRDefault="002C7BC6" w:rsidP="002C7BC6">
      <w:pPr>
        <w:spacing w:after="20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identificação das necessidades do indivíduo faz-se necessária para compreender quem é o sujeito a ser atendido, quais papéis ocupacionais ele desempenha, qual seu histórico de vida, em quais contextos ele está inserido, qual seu estado de saúde atual, entre outros aspectos relevantes. A Terapia Ocupacional valoriza os aspectos relacionados à ocupação humana, ao engajamento nas atividades do cotidiano e ao fazer significativo do sujeito.</w:t>
      </w: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9</w:t>
      </w:r>
    </w:p>
    <w:p w:rsidR="002C7BC6" w:rsidRPr="000B439F" w:rsidRDefault="002C7BC6" w:rsidP="002C7BC6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Identificar além das dificuldades, déficits, deficiências e necessidades do sujeito, valorizar suas potencialidades, habilidades e interesses faz parte do raciocínio clínico do terapeuta ocupacional. Nesta direção, o terapeuta busca elaborar um plano de tratamento específico e adequado àquele determinado paciente, articulando, na medida do possível, todos os dados coletados durante a avaliação.</w:t>
      </w: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10</w:t>
      </w:r>
    </w:p>
    <w:p w:rsidR="002C7BC6" w:rsidRPr="000B439F" w:rsidRDefault="002C7BC6" w:rsidP="002C7BC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B439F">
        <w:rPr>
          <w:color w:val="000000"/>
        </w:rPr>
        <w:t>Com base no exposto acima, considera-se relevante identificar o perfil dos pacientes atendidos pela Terapia Ocupacional para direcionar uma prática que atenda às necessidades particulares de cada indivíduo.</w:t>
      </w:r>
    </w:p>
    <w:p w:rsidR="002C7BC6" w:rsidRPr="000B439F" w:rsidRDefault="002C7BC6" w:rsidP="002C7BC6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0B439F">
        <w:rPr>
          <w:b/>
          <w:color w:val="000000"/>
        </w:rPr>
        <w:lastRenderedPageBreak/>
        <w:t>2 Materiais e métodos</w:t>
      </w:r>
    </w:p>
    <w:p w:rsidR="002C7BC6" w:rsidRPr="000B439F" w:rsidRDefault="002C7BC6" w:rsidP="002C7BC6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0B439F">
        <w:rPr>
          <w:b/>
          <w:color w:val="000000"/>
        </w:rPr>
        <w:t>2.1 Amostra e local de estudo</w:t>
      </w:r>
    </w:p>
    <w:p w:rsidR="002C7BC6" w:rsidRPr="000B439F" w:rsidRDefault="002C7BC6" w:rsidP="002C7BC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B439F">
        <w:rPr>
          <w:color w:val="000000"/>
        </w:rPr>
        <w:t>Trata-se de uma pesquisa transversal observacional sobre o perfil dos pacientes atendidos pela Terapia Ocupacional em UTI adulto de um hospital público, localizado na zona leste do município de São Paulo.</w:t>
      </w:r>
    </w:p>
    <w:p w:rsidR="002C7BC6" w:rsidRPr="000B439F" w:rsidRDefault="002C7BC6" w:rsidP="002C7BC6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Aplicou-se um roteiro de avaliação aos pacientes, considerando os critérios de inclusão, durante sua internação na UTI no período de junho de 2016 a agosto de 2016, com uma amostra representativa de 37 indivíduos.</w:t>
      </w:r>
    </w:p>
    <w:p w:rsidR="002C7BC6" w:rsidRPr="000B439F" w:rsidRDefault="002C7BC6" w:rsidP="002C7BC6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0B439F">
        <w:rPr>
          <w:b/>
          <w:color w:val="000000"/>
        </w:rPr>
        <w:t>2.2 Critérios de inclusão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ind w:firstLine="700"/>
        <w:jc w:val="both"/>
      </w:pPr>
      <w:r w:rsidRPr="000B439F">
        <w:rPr>
          <w:color w:val="000000"/>
        </w:rPr>
        <w:t>a) Pacientes internados na UTI durante o período de coleta de dados;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ind w:firstLine="700"/>
        <w:jc w:val="both"/>
      </w:pPr>
      <w:r w:rsidRPr="000B439F">
        <w:rPr>
          <w:color w:val="000000"/>
        </w:rPr>
        <w:t>b) Pacientes capazes de se comunicar verbalmente;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ind w:firstLine="700"/>
        <w:jc w:val="both"/>
      </w:pPr>
      <w:r w:rsidRPr="000B439F">
        <w:rPr>
          <w:color w:val="000000"/>
        </w:rPr>
        <w:t>c) Pacientes sem déficit cognitivo importante, a ponto de não compreender a proposta/não conseguir responder as questões da avaliação;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ind w:firstLine="700"/>
        <w:jc w:val="both"/>
      </w:pPr>
      <w:r w:rsidRPr="000B439F">
        <w:rPr>
          <w:color w:val="000000"/>
        </w:rPr>
        <w:t>d) Gêneros feminino e masculino;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ind w:firstLine="700"/>
        <w:jc w:val="both"/>
      </w:pPr>
      <w:r w:rsidRPr="000B439F">
        <w:rPr>
          <w:color w:val="000000"/>
        </w:rPr>
        <w:t>e) Sem restrição de idade.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ind w:firstLine="700"/>
        <w:jc w:val="both"/>
      </w:pPr>
      <w:r w:rsidRPr="000B439F">
        <w:rPr>
          <w:color w:val="000000"/>
        </w:rPr>
        <w:t>f) Concordar em participar da pesquisa e assinar o Termo de Consentime</w:t>
      </w:r>
      <w:r w:rsidR="00E23132">
        <w:rPr>
          <w:color w:val="000000"/>
        </w:rPr>
        <w:t>nto Livre e Esclarecido (TCLE).</w:t>
      </w:r>
      <w:bookmarkStart w:id="0" w:name="_GoBack"/>
      <w:bookmarkEnd w:id="0"/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jc w:val="both"/>
      </w:pPr>
      <w:r w:rsidRPr="000B439F">
        <w:rPr>
          <w:b/>
          <w:bCs/>
          <w:color w:val="000000"/>
        </w:rPr>
        <w:t>2.2.1 Critérios de exclusão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jc w:val="both"/>
      </w:pPr>
      <w:r w:rsidRPr="000B439F">
        <w:rPr>
          <w:color w:val="000000"/>
        </w:rPr>
        <w:t>       </w:t>
      </w:r>
      <w:r w:rsidRPr="000B439F">
        <w:rPr>
          <w:rStyle w:val="apple-tab-span"/>
          <w:color w:val="000000"/>
        </w:rPr>
        <w:tab/>
      </w:r>
      <w:r w:rsidRPr="000B439F">
        <w:rPr>
          <w:color w:val="000000"/>
        </w:rPr>
        <w:t>a) Pacientes sob efeito de sedação ou em coma;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ind w:left="700"/>
        <w:jc w:val="both"/>
        <w:rPr>
          <w:color w:val="000000"/>
        </w:rPr>
      </w:pPr>
      <w:r w:rsidRPr="000B439F">
        <w:rPr>
          <w:color w:val="000000"/>
        </w:rPr>
        <w:t xml:space="preserve">b) Pacientes </w:t>
      </w:r>
      <w:proofErr w:type="spellStart"/>
      <w:r w:rsidRPr="000B439F">
        <w:rPr>
          <w:color w:val="000000"/>
        </w:rPr>
        <w:t>traqueostomizados</w:t>
      </w:r>
      <w:proofErr w:type="spellEnd"/>
      <w:r w:rsidRPr="000B439F">
        <w:rPr>
          <w:color w:val="000000"/>
        </w:rPr>
        <w:t xml:space="preserve"> e impossibilitados de comunicação verbal.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jc w:val="both"/>
        <w:rPr>
          <w:b/>
          <w:color w:val="000000"/>
        </w:rPr>
      </w:pPr>
      <w:r w:rsidRPr="000B439F">
        <w:rPr>
          <w:b/>
          <w:color w:val="000000"/>
        </w:rPr>
        <w:t>2.3 Aspectos éticos da pesquisa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ind w:firstLine="708"/>
        <w:jc w:val="both"/>
        <w:rPr>
          <w:color w:val="000000"/>
        </w:rPr>
      </w:pPr>
      <w:r w:rsidRPr="000B439F">
        <w:t xml:space="preserve">A pesquisa respeitou os preceitos estabelecidos pela Resolução 466/2012 e foi submetido e aprovado no Comitê de Ética em Pesquisa </w:t>
      </w:r>
      <w:r w:rsidR="00A653DE">
        <w:t>(</w:t>
      </w:r>
      <w:r w:rsidR="00A653DE">
        <w:rPr>
          <w:color w:val="FF0000"/>
        </w:rPr>
        <w:t>informação suprimida para não identificação dos autores)</w:t>
      </w:r>
      <w:r w:rsidRPr="000B439F">
        <w:t xml:space="preserve"> </w:t>
      </w:r>
      <w:r w:rsidRPr="000B439F">
        <w:rPr>
          <w:color w:val="000000"/>
        </w:rPr>
        <w:t>No que diz respeito à assinatura do TCLE, nos casos de impossibilidade para assiná-lo, considerou-se a assinatura do responsável.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jc w:val="both"/>
        <w:rPr>
          <w:b/>
          <w:color w:val="000000"/>
        </w:rPr>
      </w:pPr>
      <w:r w:rsidRPr="000B439F">
        <w:rPr>
          <w:b/>
          <w:color w:val="000000"/>
        </w:rPr>
        <w:t>2.4 Análise dos dados</w:t>
      </w:r>
    </w:p>
    <w:p w:rsidR="002C7BC6" w:rsidRPr="000B439F" w:rsidRDefault="002C7BC6" w:rsidP="002C7BC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B439F">
        <w:rPr>
          <w:rFonts w:ascii="Times New Roman" w:hAnsi="Times New Roman" w:cs="Times New Roman"/>
        </w:rPr>
        <w:t xml:space="preserve">Para análise dos resultados foram aplicados: </w:t>
      </w:r>
    </w:p>
    <w:p w:rsidR="002C7BC6" w:rsidRPr="000B439F" w:rsidRDefault="002C7BC6" w:rsidP="002C7BC6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0B439F">
        <w:rPr>
          <w:rFonts w:ascii="Times New Roman" w:hAnsi="Times New Roman" w:cs="Times New Roman"/>
        </w:rPr>
        <w:lastRenderedPageBreak/>
        <w:t xml:space="preserve">1. Teste G de Cochran24 para estudar a concomitância das respostas dadas a cada domínio da avaliação. </w:t>
      </w:r>
    </w:p>
    <w:p w:rsidR="002C7BC6" w:rsidRPr="000B439F" w:rsidRDefault="002C7BC6" w:rsidP="002C7B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C7BC6" w:rsidRPr="000B439F" w:rsidRDefault="002C7BC6" w:rsidP="002C7BC6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0B439F">
        <w:rPr>
          <w:rFonts w:ascii="Times New Roman" w:hAnsi="Times New Roman" w:cs="Times New Roman"/>
        </w:rPr>
        <w:t xml:space="preserve">2. Teste do </w:t>
      </w:r>
      <w:proofErr w:type="spellStart"/>
      <w:r w:rsidRPr="000B439F">
        <w:rPr>
          <w:rFonts w:ascii="Times New Roman" w:hAnsi="Times New Roman" w:cs="Times New Roman"/>
        </w:rPr>
        <w:t>quiquadrado</w:t>
      </w:r>
      <w:proofErr w:type="spellEnd"/>
      <w:r w:rsidRPr="000B439F">
        <w:rPr>
          <w:rFonts w:ascii="Times New Roman" w:hAnsi="Times New Roman" w:cs="Times New Roman"/>
        </w:rPr>
        <w:t xml:space="preserve"> ou teste exato de Fisher24 para estudar possíveis associações entre as variáveis estudadas. </w:t>
      </w:r>
    </w:p>
    <w:p w:rsidR="002C7BC6" w:rsidRPr="000B439F" w:rsidRDefault="002C7BC6" w:rsidP="002C7BC6">
      <w:pPr>
        <w:pStyle w:val="NormalWeb"/>
        <w:spacing w:before="0" w:beforeAutospacing="0" w:after="200" w:afterAutospacing="0" w:line="360" w:lineRule="auto"/>
        <w:ind w:firstLine="708"/>
        <w:jc w:val="both"/>
      </w:pPr>
      <w:r w:rsidRPr="000B439F">
        <w:t>Fixou-se o nível de significância em 0,05 ou 5%.</w:t>
      </w:r>
    </w:p>
    <w:p w:rsidR="002C7BC6" w:rsidRPr="000B439F" w:rsidRDefault="002C7BC6" w:rsidP="002C7B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39F">
        <w:rPr>
          <w:rFonts w:ascii="Times New Roman" w:hAnsi="Times New Roman" w:cs="Times New Roman"/>
          <w:b/>
          <w:sz w:val="24"/>
          <w:szCs w:val="24"/>
        </w:rPr>
        <w:t>3 Resultados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sz w:val="24"/>
          <w:szCs w:val="24"/>
        </w:rPr>
        <w:t>A amostra foi representada por 37 pacientes, dos quais 19 (51,35%) eram homens. Em relação às idades, 59,46% eram idosos. A maioria dos participantes não trabalhavam, sendo representado por 64,86% e somente 35,14% trabalhavam tanto como autônomos quanto com vínculo empregatício registrado. Sobre o fator de receber ou não ajuda financeira de qualquer origem se encontrou uma prevalência de 67,57% que recebia algum tipo de auxílio financeiro. No que se refere à escolaridade dos participantes, observou-se um predomínio da baixa escolaridade, sendo que 62,16% não completaram o ensino fundamental.</w:t>
      </w:r>
    </w:p>
    <w:p w:rsidR="002C7BC6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sz w:val="24"/>
          <w:szCs w:val="24"/>
        </w:rPr>
        <w:t>A tabela 1 demonstra a porcentagem referente à quantidade de sujeitos da pesquisa que apresentaram os itens relacionados aos domínios motor, cognitivo e de atividades de vida diária, conforme separados em grupos de acordo com gênero, idade e dias de internação.</w:t>
      </w:r>
    </w:p>
    <w:p w:rsidR="00A653DE" w:rsidRPr="00A653DE" w:rsidRDefault="00A653DE" w:rsidP="00A653D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Tabela 1 – Porcentagens das respostas positivas para os itens dos domínios motor, cognitivo e de atividade de vida diária segundo gênero, idade e dias de internação. 2016.</w:t>
      </w:r>
    </w:p>
    <w:tbl>
      <w:tblPr>
        <w:tblpPr w:leftFromText="141" w:rightFromText="141" w:vertAnchor="text" w:horzAnchor="margin" w:tblpXSpec="center" w:tblpY="1096"/>
        <w:tblW w:w="10002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431"/>
        <w:gridCol w:w="1250"/>
        <w:gridCol w:w="1250"/>
        <w:gridCol w:w="1250"/>
        <w:gridCol w:w="1250"/>
        <w:gridCol w:w="1250"/>
        <w:gridCol w:w="1250"/>
      </w:tblGrid>
      <w:tr w:rsidR="00A653DE" w:rsidRPr="00A653DE" w:rsidTr="00A653DE">
        <w:trPr>
          <w:trHeight w:val="525"/>
        </w:trPr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Gênero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Gênero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Dias de internação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Dias de internação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Domínio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Homem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Mulher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Até 59 anos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 ou mais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 a 6 dias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Mais de </w:t>
            </w:r>
            <w:proofErr w:type="gramStart"/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dias</w:t>
            </w:r>
          </w:p>
        </w:tc>
      </w:tr>
      <w:tr w:rsidR="00A653DE" w:rsidRPr="00A653DE" w:rsidTr="00A653DE">
        <w:trPr>
          <w:trHeight w:val="363"/>
        </w:trPr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Motor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Edema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31,6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55,5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26,7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54,5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57,1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A653DE" w:rsidRPr="00A653DE" w:rsidTr="00A653DE">
        <w:trPr>
          <w:trHeight w:val="377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Motor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Fraqueza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59,1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66,7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62,5</w:t>
            </w:r>
          </w:p>
        </w:tc>
      </w:tr>
      <w:tr w:rsidR="00A653DE" w:rsidRPr="00A653DE" w:rsidTr="00A653DE">
        <w:trPr>
          <w:trHeight w:val="39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Motor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Dor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63,2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52,3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75</w:t>
            </w:r>
          </w:p>
        </w:tc>
      </w:tr>
      <w:tr w:rsidR="00A653DE" w:rsidRPr="00A653DE" w:rsidTr="00A653DE">
        <w:trPr>
          <w:trHeight w:val="458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Motor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Mobilidade reduzida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Motor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Queixa de sensibilidade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22,2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22,7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14,2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12,5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G de </w:t>
            </w:r>
            <w:proofErr w:type="spellStart"/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Cochran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G=38,16 (P=0,0000)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G=22,98 (P=0,0001)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G=36,25 (P=0,0000)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G=28,78 (P=0,0000)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G=30,89 (P=0,0000)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G=34,05 (P=0,0000)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Cognitivo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Alteração de humor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26,3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27,8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31,8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37,5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Cognitivo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Déficit cognitivo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47,4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38,9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59,1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56,2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Cognitivo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Queixa de memória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42,1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38,9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Cognitivo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Delirium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Cognitivo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Interação social prejudicada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26,3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11,1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18,1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31,2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G de </w:t>
            </w:r>
            <w:proofErr w:type="spellStart"/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Cochran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G=8,27 (P=0,0822)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G=9,04 (P=0,0601)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G=2,91 (P=0,5730)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G=16,29 (P=0,0027)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G=13,26 (P=0,0101)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G=5,21 (P=0,2664)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AVD</w:t>
            </w:r>
          </w:p>
        </w:tc>
        <w:tc>
          <w:tcPr>
            <w:tcW w:w="143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Limitação no autocuidado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94,7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93,3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95,2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AVD</w:t>
            </w:r>
          </w:p>
        </w:tc>
        <w:tc>
          <w:tcPr>
            <w:tcW w:w="14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Limitação na alimentação</w:t>
            </w: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63,1</w:t>
            </w: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72,2</w:t>
            </w: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72,7</w:t>
            </w: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66,7</w:t>
            </w: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68,7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AVD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Limitação no banho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94,7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93,3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95,2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AVD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Limitação na higiene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94,7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94,4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95,4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95,2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93,7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AVD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Limitação no arrumar-se no leito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81,8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62,5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AVD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Controle de esfíncter prejudicado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26,3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55,5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40,9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47,7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31,2</w:t>
            </w:r>
          </w:p>
        </w:tc>
      </w:tr>
      <w:tr w:rsidR="00A653DE" w:rsidRPr="00A653DE" w:rsidTr="00A653DE">
        <w:trPr>
          <w:trHeight w:val="525"/>
        </w:trPr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G de </w:t>
            </w:r>
            <w:proofErr w:type="spellStart"/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Cochran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G=41,02 (P=0,0000)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G=25,16 (P=0,0001)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G=26,47 (P=0,0000)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G=41,09 (P=0,0000)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G=32,22 (P=0,0000)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53DE" w:rsidRPr="00A653DE" w:rsidRDefault="00A653DE" w:rsidP="00A653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5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G=36,03 (P=0,0000)</w:t>
            </w:r>
          </w:p>
        </w:tc>
      </w:tr>
    </w:tbl>
    <w:p w:rsidR="002C7BC6" w:rsidRPr="000B439F" w:rsidRDefault="002C7BC6" w:rsidP="002C7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BC6" w:rsidRPr="000B439F" w:rsidRDefault="002C7BC6" w:rsidP="002C7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39F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0B439F">
        <w:rPr>
          <w:rFonts w:ascii="Times New Roman" w:hAnsi="Times New Roman" w:cs="Times New Roman"/>
          <w:b/>
          <w:sz w:val="24"/>
          <w:szCs w:val="24"/>
        </w:rPr>
        <w:t xml:space="preserve"> Discussão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sz w:val="24"/>
          <w:szCs w:val="24"/>
        </w:rPr>
        <w:t xml:space="preserve">Neste estudo, no que se refere aos valores estatisticamente significantes, percebeu-se que todos os sujeitos da pesquisa apresentaram mobilidade reduzida, no momento da avaliação na UTI independente do gênero, idade e dias de internação. Pacientes de todos os grupos (homens, mulheres, adultos com menos de 59 anos, idosos com 60 anos ou mais, internação com duração de até 6 dias e internação por mais de 7 dias) referiram fraqueza </w:t>
      </w:r>
      <w:r w:rsidRPr="000B439F">
        <w:rPr>
          <w:rFonts w:ascii="Times New Roman" w:hAnsi="Times New Roman" w:cs="Times New Roman"/>
          <w:sz w:val="24"/>
          <w:szCs w:val="24"/>
        </w:rPr>
        <w:lastRenderedPageBreak/>
        <w:t>global e presença de dor. Quanto ao grupo de idosos (54,5%) e ao que passou mais de 7 dias internado na UTI (25%) apresentaram edema.</w:t>
      </w:r>
    </w:p>
    <w:p w:rsidR="002C7BC6" w:rsidRPr="000B439F" w:rsidRDefault="002C7BC6" w:rsidP="002C7BC6">
      <w:pPr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Corcoran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(1991)</w:t>
      </w:r>
      <w:r w:rsidRPr="000B439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11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Espinola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(2000)</w:t>
      </w:r>
      <w:r w:rsidRPr="000B439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12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apresentam o conceito de “desamparo aprendido” e “incapacidade aprendida”, respectivamente, como sendo uma condição resultante do imobilismo, em que os profissionais e familiares esperam que o paciente assuma o papel de doente, que esteja sempre calmo e colaborativo com os pedidos da equipe, e assim, permanecendo numa postura passiva em seu leito.</w:t>
      </w:r>
      <w:r w:rsidRPr="000B439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13</w:t>
      </w: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Segundo estudo de [autores]</w:t>
      </w:r>
      <w:r w:rsidRPr="000B439F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pacientes que permanecem no leito por uma semana podem apresentar de 10 a 15% de perda de força muscular.</w:t>
      </w: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14</w:t>
      </w: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439F">
        <w:rPr>
          <w:rFonts w:ascii="Times New Roman" w:hAnsi="Times New Roman" w:cs="Times New Roman"/>
          <w:sz w:val="24"/>
          <w:szCs w:val="24"/>
        </w:rPr>
        <w:t>Estudos de (autores) afirmam que a inatividade e repouso no leito são fatores que contribuem para o desenvolvimento da fraqueza neuromuscular adquirida na UTI. Durante a internação na UTI é comum o paciente estar restrito ao leito devido a presença dos diversos equipamentos instalados nele e em seus arredores, o que representam barreiras para a mobilidade. Tal condição associada a fraqueza global, privação de interação social, alteração do sono e cultura de uma UTI que incentiva o repouso no leito favorece o declínio funcional, e consequentemente, dependência nas atividades de vida diária, mobilidade reduzida, dor, perda de massa muscular, entre outras complicações.</w:t>
      </w:r>
      <w:r w:rsidRPr="000B439F">
        <w:rPr>
          <w:rFonts w:ascii="Times New Roman" w:hAnsi="Times New Roman" w:cs="Times New Roman"/>
          <w:sz w:val="24"/>
          <w:szCs w:val="24"/>
          <w:vertAlign w:val="superscript"/>
        </w:rPr>
        <w:t>15-16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sz w:val="24"/>
          <w:szCs w:val="24"/>
        </w:rPr>
        <w:t>No âmbito cognitivo, verificou-se que somente no grupo de idosos e no da internação por menos de 6 dias apareceram resultados com significância estatística. Os itens identificados com maior frequência no grupo dos idosos foram déficit cognitivo (59,1%) e queixa de memória (54,5%). Este dado considera-se relevante, visto que estudo</w:t>
      </w:r>
      <w:r w:rsidRPr="000B439F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0B439F">
        <w:rPr>
          <w:rFonts w:ascii="Times New Roman" w:hAnsi="Times New Roman" w:cs="Times New Roman"/>
          <w:sz w:val="24"/>
          <w:szCs w:val="24"/>
        </w:rPr>
        <w:t xml:space="preserve"> aponta que a auto avaliação de memória negativa em idosos está relacionada com déficit cognitivo e óbito.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sz w:val="24"/>
          <w:szCs w:val="24"/>
        </w:rPr>
        <w:t>No presente estudo verificou-se que a maioria dos participantes foram idosos (59,46%), e com nível de escolaridade baixo, sendo que no grupo dos idosos, 59,1% demonstraram déficit cognitivo e 54,5% referiram queixa de memória, índices com relevância estatística.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439F">
        <w:rPr>
          <w:rFonts w:ascii="Times New Roman" w:hAnsi="Times New Roman" w:cs="Times New Roman"/>
          <w:sz w:val="24"/>
          <w:szCs w:val="24"/>
        </w:rPr>
        <w:t xml:space="preserve">No que concerne à questão de memória, esta é afetada por diversos fatores na UTI, como presença de delirium, presença de encefalopatias, uso de medicamentos analgésicos e sedativos. A dinâmica do setor, a própria patologia, alteração da qualidade do sono, idade e </w:t>
      </w:r>
      <w:proofErr w:type="spellStart"/>
      <w:r w:rsidRPr="000B439F">
        <w:rPr>
          <w:rFonts w:ascii="Times New Roman" w:hAnsi="Times New Roman" w:cs="Times New Roman"/>
          <w:sz w:val="24"/>
          <w:szCs w:val="24"/>
        </w:rPr>
        <w:t>comorbidades</w:t>
      </w:r>
      <w:proofErr w:type="spellEnd"/>
      <w:r w:rsidRPr="000B439F">
        <w:rPr>
          <w:rFonts w:ascii="Times New Roman" w:hAnsi="Times New Roman" w:cs="Times New Roman"/>
          <w:sz w:val="24"/>
          <w:szCs w:val="24"/>
        </w:rPr>
        <w:t xml:space="preserve"> preexistentes que prejudicam capacidades cognitivas e psiquiátricas acometem o processo de formação de memórias.</w:t>
      </w:r>
      <w:r w:rsidRPr="000B439F">
        <w:rPr>
          <w:rFonts w:ascii="Times New Roman" w:hAnsi="Times New Roman" w:cs="Times New Roman"/>
          <w:sz w:val="24"/>
          <w:szCs w:val="24"/>
          <w:vertAlign w:val="superscript"/>
        </w:rPr>
        <w:t>18</w:t>
      </w:r>
    </w:p>
    <w:p w:rsidR="002C7BC6" w:rsidRPr="000B439F" w:rsidRDefault="002C7BC6" w:rsidP="002C7BC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B439F">
        <w:rPr>
          <w:rFonts w:ascii="Times New Roman" w:hAnsi="Times New Roman" w:cs="Times New Roman"/>
        </w:rPr>
        <w:lastRenderedPageBreak/>
        <w:t>Idade avançada foi identificada no estudo de Barros et al.</w:t>
      </w:r>
      <w:r w:rsidRPr="000B439F">
        <w:rPr>
          <w:rFonts w:ascii="Times New Roman" w:hAnsi="Times New Roman" w:cs="Times New Roman"/>
          <w:vertAlign w:val="superscript"/>
        </w:rPr>
        <w:t>19</w:t>
      </w:r>
      <w:r w:rsidRPr="000B439F">
        <w:rPr>
          <w:rFonts w:ascii="Times New Roman" w:hAnsi="Times New Roman" w:cs="Times New Roman"/>
        </w:rPr>
        <w:t xml:space="preserve"> como fator de risco relevante para maior probabilidade de desenvolver síndrome do imobilismo e incapacidade funcional e cognitiva. Tendo em vista que o repouso no leito causa imobilidade, que consequentemente resulta em implicações no status funcional no indivíduo, é possível afirmar que seu desempenho nas atividades de vida diária enquanto permanece na UTI, estarão prejudicadas.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sz w:val="24"/>
          <w:szCs w:val="24"/>
        </w:rPr>
        <w:t>Destaca-se que 100% dos sujeitos de pesquisa dos grupos de mulheres, idosos e com mais de 7 dias de internação apresentaram limitação nas atividades de autocuidado, banho e higiene. Além disso, uma porcentagem acima de 90% dos sujeitos de todos os grupos (homens, mulheres, adultos com menos de 59 anos, idosos com 60 anos ou mais, internação com duração de até 6 dias e internação por mais de 7 dias) obtiveram limitações nessas mesmas categorias.</w:t>
      </w:r>
    </w:p>
    <w:p w:rsidR="002C7BC6" w:rsidRPr="000B439F" w:rsidRDefault="002C7BC6" w:rsidP="002C7B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39F">
        <w:rPr>
          <w:rFonts w:ascii="Times New Roman" w:hAnsi="Times New Roman" w:cs="Times New Roman"/>
          <w:b/>
          <w:sz w:val="24"/>
          <w:szCs w:val="24"/>
        </w:rPr>
        <w:t>4.1 Possibilidades da Terapia Ocupacional em contexto de UTI</w:t>
      </w:r>
    </w:p>
    <w:p w:rsidR="002C7BC6" w:rsidRPr="000B439F" w:rsidRDefault="002C7BC6" w:rsidP="002C7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439F">
        <w:rPr>
          <w:rFonts w:ascii="Times New Roman" w:hAnsi="Times New Roman" w:cs="Times New Roman"/>
          <w:sz w:val="24"/>
          <w:szCs w:val="24"/>
        </w:rPr>
        <w:tab/>
        <w:t>A atuação do terapeuta ocupacional na UTI é ampla, uma vez que este profissional é capaz de reconhecer e considerar os aspectos físicos, emocionais, cognitivos e espirituais que a doença e a hospitalização produzem-no sujeito e sua família. Uma das intervenções do TO é dar apoio e suporte ao paciente e familiares durante o processo de internação e saúde-doença.</w:t>
      </w:r>
      <w:r w:rsidRPr="000B439F">
        <w:rPr>
          <w:rFonts w:ascii="Times New Roman" w:hAnsi="Times New Roman" w:cs="Times New Roman"/>
          <w:sz w:val="24"/>
          <w:szCs w:val="24"/>
          <w:vertAlign w:val="superscript"/>
        </w:rPr>
        <w:t>20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439F">
        <w:rPr>
          <w:rFonts w:ascii="Times New Roman" w:hAnsi="Times New Roman" w:cs="Times New Roman"/>
          <w:sz w:val="24"/>
          <w:szCs w:val="24"/>
        </w:rPr>
        <w:t>Dentro do contexto de UTI, os objetivos terapêuticos estão voltados aos componentes de desempenho. O terapeuta ocupacional é capaz de identificar as problemáticas do indivíduo e de pensar em estratégias para solucioná-las a partir de sua habilidade em realizar a análise da atividade. Assim, visa-se o alívio da dor, posicionamento adequado no leito e durante a execução das atividades, preservação da amplitude de movimento, prevenção de infecções e lesões por pressão.</w:t>
      </w:r>
      <w:r w:rsidRPr="000B439F">
        <w:rPr>
          <w:rFonts w:ascii="Times New Roman" w:hAnsi="Times New Roman" w:cs="Times New Roman"/>
          <w:sz w:val="24"/>
          <w:szCs w:val="24"/>
          <w:vertAlign w:val="superscript"/>
        </w:rPr>
        <w:t>20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sz w:val="24"/>
          <w:szCs w:val="24"/>
        </w:rPr>
        <w:t>O paciente que sofre das complicações decorrentes da imobilidade no leito manifestará resistência baixa, fraqueza generalizada, intolerância na permanência da posição sentada. No estudo de Affleck et al.</w:t>
      </w:r>
      <w:r w:rsidRPr="000B439F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0B439F">
        <w:rPr>
          <w:rFonts w:ascii="Times New Roman" w:hAnsi="Times New Roman" w:cs="Times New Roman"/>
          <w:sz w:val="24"/>
          <w:szCs w:val="24"/>
        </w:rPr>
        <w:t>, pacientes que foram submetidos a programas de terapia ocupacional acompanhado do monitoramento da equipe médica e de enfermagem sobre o estado de saúde e com manejo adequado dos equipamentos e intervenções obtiveram ganhos relevantes quanto a resistência cardiovascular, tolerância à atividade, força muscular e funcionalidade.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sz w:val="24"/>
          <w:szCs w:val="24"/>
        </w:rPr>
        <w:t xml:space="preserve">As intervenções da terapia ocupacional na UTI podem minimizar os impactos que o isolamento social e privação sensorial podem ocasionar. Com vistas no objetivo de atingir </w:t>
      </w:r>
      <w:r w:rsidRPr="000B439F">
        <w:rPr>
          <w:rFonts w:ascii="Times New Roman" w:hAnsi="Times New Roman" w:cs="Times New Roman"/>
          <w:sz w:val="24"/>
          <w:szCs w:val="24"/>
        </w:rPr>
        <w:lastRenderedPageBreak/>
        <w:t xml:space="preserve">máxima independência nas </w:t>
      </w:r>
      <w:proofErr w:type="spellStart"/>
      <w:r w:rsidRPr="000B439F">
        <w:rPr>
          <w:rFonts w:ascii="Times New Roman" w:hAnsi="Times New Roman" w:cs="Times New Roman"/>
          <w:sz w:val="24"/>
          <w:szCs w:val="24"/>
        </w:rPr>
        <w:t>AVDs</w:t>
      </w:r>
      <w:proofErr w:type="spellEnd"/>
      <w:r w:rsidRPr="000B439F">
        <w:rPr>
          <w:rFonts w:ascii="Times New Roman" w:hAnsi="Times New Roman" w:cs="Times New Roman"/>
          <w:sz w:val="24"/>
          <w:szCs w:val="24"/>
        </w:rPr>
        <w:t>, melhorar mobilidade no leito e transferências e aumentar tolerância nas posições sentada e em pé favorecem a sensação de rotina e satisfação pessoal.</w:t>
      </w:r>
      <w:r w:rsidRPr="000B439F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0B439F">
        <w:rPr>
          <w:rFonts w:ascii="Times New Roman" w:hAnsi="Times New Roman" w:cs="Times New Roman"/>
          <w:sz w:val="24"/>
          <w:szCs w:val="24"/>
        </w:rPr>
        <w:t xml:space="preserve"> Verificou-se no estudo de Pena-Corrêa et al.</w:t>
      </w:r>
      <w:r w:rsidRPr="000B439F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0B439F">
        <w:rPr>
          <w:rFonts w:ascii="Times New Roman" w:hAnsi="Times New Roman" w:cs="Times New Roman"/>
          <w:sz w:val="24"/>
          <w:szCs w:val="24"/>
        </w:rPr>
        <w:t xml:space="preserve"> que pacientes internados na UTI que executaram o protocolo de mobilização precoce e progressiva tiveram um menor declínio funcional e melhora significativa nos quesitos de autocuidado e mobilidade.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439F">
        <w:rPr>
          <w:rFonts w:ascii="Times New Roman" w:hAnsi="Times New Roman" w:cs="Times New Roman"/>
          <w:sz w:val="24"/>
          <w:szCs w:val="24"/>
        </w:rPr>
        <w:t xml:space="preserve">Outra contribuição da Terapia Ocupacional é com relação as tecnologias </w:t>
      </w:r>
      <w:proofErr w:type="spellStart"/>
      <w:r w:rsidRPr="000B439F">
        <w:rPr>
          <w:rFonts w:ascii="Times New Roman" w:hAnsi="Times New Roman" w:cs="Times New Roman"/>
          <w:sz w:val="24"/>
          <w:szCs w:val="24"/>
        </w:rPr>
        <w:t>assistivas</w:t>
      </w:r>
      <w:proofErr w:type="spellEnd"/>
      <w:r w:rsidRPr="000B439F">
        <w:rPr>
          <w:rFonts w:ascii="Times New Roman" w:hAnsi="Times New Roman" w:cs="Times New Roman"/>
          <w:sz w:val="24"/>
          <w:szCs w:val="24"/>
        </w:rPr>
        <w:t>, onde o profissional está apto a orientar e viabilizar tais dispositivos que facilitarão o desempenho nas atividades, garantirão a segurança e conforto do paciente, que por sua vez, geram um impacto positivo no restabelecimento do status funcional.</w:t>
      </w:r>
      <w:r w:rsidRPr="000B439F">
        <w:rPr>
          <w:rFonts w:ascii="Times New Roman" w:hAnsi="Times New Roman" w:cs="Times New Roman"/>
          <w:sz w:val="24"/>
          <w:szCs w:val="24"/>
          <w:vertAlign w:val="superscript"/>
        </w:rPr>
        <w:t>20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439F">
        <w:rPr>
          <w:rFonts w:ascii="Times New Roman" w:hAnsi="Times New Roman" w:cs="Times New Roman"/>
          <w:sz w:val="24"/>
          <w:szCs w:val="24"/>
        </w:rPr>
        <w:t>No estudo de Álvarez et al.</w:t>
      </w:r>
      <w:r w:rsidRPr="000B439F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0B439F">
        <w:rPr>
          <w:rFonts w:ascii="Times New Roman" w:hAnsi="Times New Roman" w:cs="Times New Roman"/>
          <w:sz w:val="24"/>
          <w:szCs w:val="24"/>
        </w:rPr>
        <w:t>, foi observado que pacientes com delirium tiveram mais dias de internação e dependência funcional no momento da alta. Neste mesmo estudo, o tratamento com a Terapia Ocupacional foi precoce e intensivo, o que reduziu a presença de delirium. Dessa forma, a TO pode minimizar os impactos da condição de fragilidade, melhorar as capacidades cognitivas, funcionais e sociais durante a hospitalização.</w:t>
      </w:r>
      <w:r w:rsidRPr="000B439F">
        <w:rPr>
          <w:rFonts w:ascii="Times New Roman" w:hAnsi="Times New Roman" w:cs="Times New Roman"/>
          <w:sz w:val="24"/>
          <w:szCs w:val="24"/>
          <w:vertAlign w:val="superscript"/>
        </w:rPr>
        <w:t>23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439F">
        <w:rPr>
          <w:rFonts w:ascii="Times New Roman" w:hAnsi="Times New Roman" w:cs="Times New Roman"/>
          <w:sz w:val="24"/>
          <w:szCs w:val="24"/>
        </w:rPr>
        <w:t>Outros estudos mostram que a intervenção precoce de terapeutas ocupacionais e fisioterapeutas podem beneficiar o paciente no sentido de diminuir os dias de sedação, de ventilação mecânica e melhorar status funcional e neuropsiquiátrico.</w:t>
      </w:r>
      <w:r w:rsidRPr="000B439F">
        <w:rPr>
          <w:rFonts w:ascii="Times New Roman" w:hAnsi="Times New Roman" w:cs="Times New Roman"/>
          <w:sz w:val="24"/>
          <w:szCs w:val="24"/>
          <w:vertAlign w:val="superscript"/>
        </w:rPr>
        <w:t>24-25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B439F">
        <w:rPr>
          <w:rFonts w:ascii="Times New Roman" w:hAnsi="Times New Roman" w:cs="Times New Roman"/>
          <w:sz w:val="24"/>
          <w:szCs w:val="24"/>
        </w:rPr>
        <w:t>As possibilidades de atuação da Terapia Ocupacional no contexto de Terapia Intensiva são amplas, onde o profissional pode assistir todos os pacientes internados em UTI, sempre atento ao quadro clínico, parâmetros hemodinâmicos, limitações do paciente de forma a garantir sua segurança e preservação da vida, mas também estimulando suas potencialidades.</w:t>
      </w:r>
    </w:p>
    <w:p w:rsidR="002C7BC6" w:rsidRPr="000B439F" w:rsidRDefault="002C7BC6" w:rsidP="002C7B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39F">
        <w:rPr>
          <w:rFonts w:ascii="Times New Roman" w:hAnsi="Times New Roman" w:cs="Times New Roman"/>
          <w:b/>
          <w:sz w:val="24"/>
          <w:szCs w:val="24"/>
        </w:rPr>
        <w:t>5 Considerações finais</w:t>
      </w:r>
    </w:p>
    <w:p w:rsidR="002C7BC6" w:rsidRPr="000B439F" w:rsidRDefault="002C7BC6" w:rsidP="002C7B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t>O presente estudo selecionou como sujeitos de pesquisa somente pacientes cujos quadros clínicos estavam estabilizados, com previsão de alta da Unidade de Terapia Intensiva, e que apresentavam comunicação verbal efetiva, para a aplicação do instrumento de avaliação em sua íntegra. O que representou uma limitação do estudo, uma vez que a maior parte das pessoas internadas em Unidade de Terapia Intensiva é caracterizada por pacientes em ventilação mecânica, em uso de sedativos, drogas vasoativas, nível de consciência alterado.</w:t>
      </w:r>
    </w:p>
    <w:p w:rsidR="002C7BC6" w:rsidRPr="000B439F" w:rsidRDefault="002C7BC6" w:rsidP="002C7BC6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Vale ressaltar que a atuação da Terapia Ocupacional na UTI Adulto não se limita ao público alvo da pesquisa. A mesma possui importantes contribuições com os pacientes em </w:t>
      </w: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ventilação mecânica, que estão sob efeito de sedativos, impossibilitados de se comunicar efetivamente, com quadros de delirium e/ou desorientação e agitação psicomotora. </w:t>
      </w:r>
    </w:p>
    <w:p w:rsidR="002C7BC6" w:rsidRPr="000B439F" w:rsidRDefault="002C7BC6" w:rsidP="002C7BC6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base nos resultados identificou-se que os pacientes internados apresentaram fatores que interferem na participação nas atividades de vida diária (autocuidado, banho, higiene, arrumar-se no leito, alimentação e controle de esfíncter). Observou-se que a presença de dor, edema, fraqueza, mobilidade reduzida, queixa de sensibilidade, alteração de humor, déficit cognitivo, queixa de memória, delirium e interação social prejudicada afetam negativamente a saúde do indivíduo.</w:t>
      </w:r>
    </w:p>
    <w:p w:rsidR="002C7BC6" w:rsidRPr="000B439F" w:rsidRDefault="002C7BC6" w:rsidP="002C7BC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A identificação das necessidades e déficits do sujeito internado viabiliza o direcionamento do profissional da Terapia Ocupacional para a elaboração dos objetivos do tratamento.</w:t>
      </w:r>
    </w:p>
    <w:p w:rsidR="002C7BC6" w:rsidRPr="000B439F" w:rsidRDefault="002C7BC6" w:rsidP="002C7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2C7BC6" w:rsidRPr="000B439F" w:rsidRDefault="002C7BC6" w:rsidP="002C7BC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1 Araújo AD, Santos JO, Pereira LV, Lemos RCA. </w:t>
      </w:r>
      <w:r w:rsidRPr="000B439F">
        <w:rPr>
          <w:rFonts w:ascii="Times New Roman" w:hAnsi="Times New Roman" w:cs="Times New Roman"/>
          <w:b/>
          <w:color w:val="000000"/>
          <w:sz w:val="24"/>
          <w:szCs w:val="24"/>
        </w:rPr>
        <w:t>Trabalho no centro de terapia intensiva: perspectivas da equipe de enfermagem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>. Rev. Min. Enf. 2005; 9(1):20-28.</w:t>
      </w:r>
    </w:p>
    <w:p w:rsidR="002C7BC6" w:rsidRPr="000B439F" w:rsidRDefault="002C7BC6" w:rsidP="002C7BC6">
      <w:pPr>
        <w:pStyle w:val="Ttulo4"/>
        <w:shd w:val="clear" w:color="auto" w:fill="FFFFFF"/>
        <w:spacing w:before="0" w:beforeAutospacing="0" w:after="0" w:afterAutospacing="0" w:line="360" w:lineRule="auto"/>
      </w:pPr>
      <w:r w:rsidRPr="000B439F">
        <w:rPr>
          <w:b w:val="0"/>
        </w:rPr>
        <w:t xml:space="preserve">2 Vargas AO, Ramos FRS. </w:t>
      </w:r>
      <w:r w:rsidRPr="000B439F">
        <w:t>Autonomia na unidade de terapia intensiva: comecemos por cuidar de nós.</w:t>
      </w:r>
      <w:r w:rsidRPr="000B439F">
        <w:rPr>
          <w:b w:val="0"/>
        </w:rPr>
        <w:t xml:space="preserve"> Rev. bras. </w:t>
      </w:r>
      <w:proofErr w:type="spellStart"/>
      <w:r w:rsidRPr="000B439F">
        <w:rPr>
          <w:b w:val="0"/>
        </w:rPr>
        <w:t>enferm</w:t>
      </w:r>
      <w:proofErr w:type="spellEnd"/>
      <w:r w:rsidRPr="000B439F">
        <w:rPr>
          <w:b w:val="0"/>
        </w:rPr>
        <w:t xml:space="preserve">. 2010; 63(6): 956-963. </w:t>
      </w:r>
      <w:r w:rsidRPr="000B439F">
        <w:rPr>
          <w:b w:val="0"/>
          <w:bCs w:val="0"/>
        </w:rPr>
        <w:t>http://dx.doi.org/10.1590/S0034-71672010000600014.</w:t>
      </w:r>
    </w:p>
    <w:p w:rsidR="002C7BC6" w:rsidRPr="000B439F" w:rsidRDefault="002C7BC6" w:rsidP="002C7BC6">
      <w:pPr>
        <w:pStyle w:val="NormalWeb"/>
        <w:spacing w:before="0" w:beforeAutospacing="0" w:after="160" w:afterAutospacing="0" w:line="360" w:lineRule="auto"/>
      </w:pPr>
      <w:r w:rsidRPr="000B439F">
        <w:rPr>
          <w:color w:val="000000"/>
        </w:rPr>
        <w:t xml:space="preserve">3 Aguiar ASC, Mariano MR, Almeida LS, Cardoso MVLML, Pagliuca LMF, Rebouças CBA. </w:t>
      </w:r>
      <w:r w:rsidRPr="000B439F">
        <w:rPr>
          <w:b/>
          <w:color w:val="000000"/>
        </w:rPr>
        <w:t>Percepção do enfermeiro sobre promoção da saúde na Unidade de Terapia.</w:t>
      </w:r>
      <w:r w:rsidRPr="000B439F">
        <w:rPr>
          <w:color w:val="000000"/>
        </w:rPr>
        <w:t xml:space="preserve"> Rev. esc. </w:t>
      </w:r>
      <w:proofErr w:type="spellStart"/>
      <w:r w:rsidRPr="000B439F">
        <w:rPr>
          <w:color w:val="000000"/>
        </w:rPr>
        <w:t>enferm</w:t>
      </w:r>
      <w:proofErr w:type="spellEnd"/>
      <w:r w:rsidRPr="000B439F">
        <w:rPr>
          <w:color w:val="000000"/>
        </w:rPr>
        <w:t xml:space="preserve">. USP. 2012; 46(2): 428-435. </w:t>
      </w:r>
      <w:r w:rsidRPr="000B439F">
        <w:rPr>
          <w:shd w:val="clear" w:color="auto" w:fill="FFFFFF"/>
        </w:rPr>
        <w:t>DOI:</w:t>
      </w:r>
      <w:r w:rsidRPr="000B439F">
        <w:rPr>
          <w:rStyle w:val="apple-converted-space"/>
          <w:shd w:val="clear" w:color="auto" w:fill="FFFFFF"/>
        </w:rPr>
        <w:t> </w:t>
      </w:r>
      <w:hyperlink r:id="rId7" w:history="1">
        <w:r w:rsidRPr="000B439F">
          <w:rPr>
            <w:rStyle w:val="Hyperlink"/>
            <w:color w:val="auto"/>
            <w:u w:val="none"/>
            <w:shd w:val="clear" w:color="auto" w:fill="FFFFFF"/>
          </w:rPr>
          <w:t>http://dx.doi.org/10.1590/S0080-62342012000200022</w:t>
        </w:r>
      </w:hyperlink>
      <w:r w:rsidRPr="000B439F">
        <w:t>.</w:t>
      </w:r>
    </w:p>
    <w:p w:rsidR="002C7BC6" w:rsidRPr="000B439F" w:rsidRDefault="002C7BC6" w:rsidP="002C7BC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4 De Carlo MMRP, De Queiroz MEG, Santos WA. </w:t>
      </w:r>
      <w:r w:rsidRPr="000B439F">
        <w:rPr>
          <w:rFonts w:ascii="Times New Roman" w:hAnsi="Times New Roman" w:cs="Times New Roman"/>
          <w:b/>
          <w:color w:val="000000"/>
          <w:sz w:val="24"/>
          <w:szCs w:val="24"/>
        </w:rPr>
        <w:t>Terapia ocupacional em dor e cuidados paliativos – princípios, modelos de intervenção e perspectivas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>. In: De Carlo MMRP, De Queiroz MEG. Dor e cuidados paliativos – terapia ocupacional e interdisciplinaridade. São Paulo: Roca; 2007. p. 127-145.</w:t>
      </w:r>
    </w:p>
    <w:p w:rsidR="002C7BC6" w:rsidRPr="000B439F" w:rsidRDefault="002C7BC6" w:rsidP="002C7BC6">
      <w:pPr>
        <w:pStyle w:val="Ttulo4"/>
        <w:shd w:val="clear" w:color="auto" w:fill="FFFFFF"/>
        <w:spacing w:before="0" w:beforeAutospacing="0" w:after="0" w:afterAutospacing="0" w:line="360" w:lineRule="auto"/>
        <w:rPr>
          <w:b w:val="0"/>
          <w:bCs w:val="0"/>
        </w:rPr>
      </w:pPr>
      <w:r w:rsidRPr="000B439F">
        <w:rPr>
          <w:b w:val="0"/>
        </w:rPr>
        <w:t xml:space="preserve">5 </w:t>
      </w:r>
      <w:proofErr w:type="spellStart"/>
      <w:r w:rsidRPr="000B439F">
        <w:rPr>
          <w:b w:val="0"/>
        </w:rPr>
        <w:t>Bolela</w:t>
      </w:r>
      <w:proofErr w:type="spellEnd"/>
      <w:r w:rsidRPr="000B439F">
        <w:rPr>
          <w:b w:val="0"/>
        </w:rPr>
        <w:t xml:space="preserve"> F, Jericó MC. </w:t>
      </w:r>
      <w:r w:rsidRPr="000B439F">
        <w:t>Unidades de Terapia Intensiva: considerações da literatura acerca das dificuldades e estratégias para sua humanização</w:t>
      </w:r>
      <w:r w:rsidRPr="000B439F">
        <w:rPr>
          <w:b w:val="0"/>
        </w:rPr>
        <w:t xml:space="preserve">. Esc. Anna Nery R. </w:t>
      </w:r>
      <w:proofErr w:type="spellStart"/>
      <w:r w:rsidRPr="000B439F">
        <w:rPr>
          <w:b w:val="0"/>
        </w:rPr>
        <w:t>Enferm</w:t>
      </w:r>
      <w:proofErr w:type="spellEnd"/>
      <w:r w:rsidRPr="000B439F">
        <w:rPr>
          <w:b w:val="0"/>
        </w:rPr>
        <w:t xml:space="preserve">. 2006; 10(2): 301-308. </w:t>
      </w:r>
      <w:r w:rsidRPr="000B439F">
        <w:rPr>
          <w:b w:val="0"/>
          <w:bCs w:val="0"/>
        </w:rPr>
        <w:t>http://dx.doi.org/10.1590/S1414-81452006000200019. </w:t>
      </w:r>
    </w:p>
    <w:p w:rsidR="002C7BC6" w:rsidRPr="000B439F" w:rsidRDefault="002C7BC6" w:rsidP="002C7BC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Faquinello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P,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Dióz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M. </w:t>
      </w:r>
      <w:r w:rsidRPr="000B43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 UTI na ótica de pacientes</w:t>
      </w: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Rev. Min. Enf. 2007; 11(1): 41-47. D</w:t>
      </w:r>
      <w:r w:rsidRPr="000B43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OI: </w:t>
      </w:r>
      <w:r w:rsidRPr="000B439F">
        <w:rPr>
          <w:rStyle w:val="doi"/>
          <w:rFonts w:ascii="Times New Roman" w:hAnsi="Times New Roman" w:cs="Times New Roman"/>
          <w:sz w:val="24"/>
          <w:szCs w:val="24"/>
          <w:bdr w:val="none" w:sz="0" w:space="0" w:color="auto" w:frame="1"/>
        </w:rPr>
        <w:t>S1415-27622007000100007</w:t>
      </w: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C7BC6" w:rsidRPr="000B439F" w:rsidRDefault="002C7BC6" w:rsidP="002C7BC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 Brasil. </w:t>
      </w:r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Resolução n°7, de 24 de fevereiro de 2010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. Dispõe sobre os requisitos mínimos para funcionamento de Unidades de Terapia Intensiva e dá outras providências. [Internet]. 2010 [citado em 31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ago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2015]. Disponível em: </w:t>
      </w:r>
      <w:r w:rsidRPr="000B439F">
        <w:rPr>
          <w:rFonts w:ascii="Times New Roman" w:hAnsi="Times New Roman" w:cs="Times New Roman"/>
          <w:sz w:val="24"/>
          <w:szCs w:val="24"/>
        </w:rPr>
        <w:t>http://bvsms.saude.gov.br/bvs/saudelegis/anvisa/2010/res0007_24_02_2010.html</w:t>
      </w:r>
    </w:p>
    <w:p w:rsidR="002C7BC6" w:rsidRPr="000B439F" w:rsidRDefault="002C7BC6" w:rsidP="002C7BC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8 Marcolino TQ. </w:t>
      </w:r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 raciocínio clínico da Terapeuta Ocupacional ativa</w:t>
      </w: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Revista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ceto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2012; 13(13):14-25.</w:t>
      </w:r>
    </w:p>
    <w:p w:rsidR="002C7BC6" w:rsidRPr="000B439F" w:rsidRDefault="002C7BC6" w:rsidP="002C7BC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 Cavalcanti A, Silva e Dutra FCM,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Elui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VMC. </w:t>
      </w:r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Estrutura da prática da Terapia Ocupacional: domínio &amp; processo 3a ed</w:t>
      </w: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Rev. Ter.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Ocup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Univ. São Paulo. 2015; 26(ed. esp.):1-49.</w:t>
      </w:r>
    </w:p>
    <w:p w:rsidR="002C7BC6" w:rsidRPr="000B439F" w:rsidRDefault="002C7BC6" w:rsidP="002C7BC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Kudo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AM, Parreira FV, Barros PBM,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Zamper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SSS. </w:t>
      </w:r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Construção do instrumento de avaliação de terapia ocupacional em contexto hospitalar pediátrico: sistematizando informações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. Cad. Ter.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Ocup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. UFSCar. 2012; 20(2): 173-181. </w:t>
      </w:r>
      <w:r w:rsidRPr="000B43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http://dx.doi.org/10.4322/cto.2012.018.</w:t>
      </w:r>
    </w:p>
    <w:p w:rsidR="002C7BC6" w:rsidRPr="000B439F" w:rsidRDefault="002C7BC6" w:rsidP="002C7B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Corcoran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PJ. </w:t>
      </w:r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Use it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or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lose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it – The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hazards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of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Bed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rest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and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inactivity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The Western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Journal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Medicine. 1991; 154(1): 536-538.</w:t>
      </w:r>
    </w:p>
    <w:p w:rsidR="002C7BC6" w:rsidRPr="000B439F" w:rsidRDefault="002C7BC6" w:rsidP="002C7BC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12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Espinola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HG.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Inmovilidad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el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adulto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mayor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Boletin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Escuela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Medicina da PUC de Chile. 2000; 29(1-2): 68-70.</w:t>
      </w:r>
    </w:p>
    <w:p w:rsidR="002C7BC6" w:rsidRPr="000B439F" w:rsidRDefault="002C7BC6" w:rsidP="002C7BC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13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Cazeiro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APM, Peres PT. </w:t>
      </w:r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A terapia ocupacional na prevenção e no Tratamento de complicações decorrentes da Imobilização no leito.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Cadernos de Terapia Ocupacional da UFSCar. 2010; 18(2): 149-167.</w:t>
      </w:r>
    </w:p>
    <w:p w:rsidR="002C7BC6" w:rsidRPr="000B439F" w:rsidRDefault="002C7BC6" w:rsidP="002C7BC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Dittmer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DK,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Teasell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Complications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of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immobilization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bed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rest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Part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1: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Musculoskeletal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cardiovascular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complications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Canadian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Family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Physician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>. 1993; 39(1): 1428-37.</w:t>
      </w:r>
    </w:p>
    <w:p w:rsidR="002C7BC6" w:rsidRPr="000B439F" w:rsidRDefault="002C7BC6" w:rsidP="002C7B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15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Perme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C,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Chandrashekar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R.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Early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mobility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and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walking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program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for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patients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in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intensive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care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units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creating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 standard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of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care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American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journal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critical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care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2009; 18(3): 212-221. DOI</w:t>
      </w:r>
      <w:r w:rsidRPr="000B439F">
        <w:rPr>
          <w:rFonts w:ascii="Times New Roman" w:hAnsi="Times New Roman" w:cs="Times New Roman"/>
          <w:sz w:val="24"/>
          <w:szCs w:val="24"/>
          <w:shd w:val="clear" w:color="auto" w:fill="FFFFFF"/>
        </w:rPr>
        <w:t>: 10.4037/ajcc2009598.</w:t>
      </w:r>
    </w:p>
    <w:p w:rsidR="002C7BC6" w:rsidRPr="000B439F" w:rsidRDefault="002C7BC6" w:rsidP="002C7BC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16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Chambers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MA,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Moylan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JS,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Reid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MB.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Physical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inactivity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and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muscle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weakness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in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the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critically</w:t>
      </w:r>
      <w:proofErr w:type="spellEnd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61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ill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Crit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Care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Med. 2009; 37(10 </w:t>
      </w:r>
      <w:proofErr w:type="spellStart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Suppl</w:t>
      </w:r>
      <w:proofErr w:type="spellEnd"/>
      <w:r w:rsidRPr="000B43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): 337-46. </w:t>
      </w:r>
      <w:r w:rsidRPr="000B439F">
        <w:rPr>
          <w:rFonts w:ascii="Times New Roman" w:hAnsi="Times New Roman" w:cs="Times New Roman"/>
          <w:sz w:val="24"/>
          <w:szCs w:val="24"/>
          <w:shd w:val="clear" w:color="auto" w:fill="FFFFFF"/>
        </w:rPr>
        <w:t>DOI: 10.1097/CCM.0b013e3181b6e974.</w:t>
      </w:r>
    </w:p>
    <w:p w:rsidR="002C7BC6" w:rsidRPr="000B439F" w:rsidRDefault="002C7BC6" w:rsidP="002C7BC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17 Paula AFM,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Falsarella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GR, D’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Elboux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MJ,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Guariento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ME. </w:t>
      </w:r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Perfis de funcionalidade e relação com óbito em idosos assistidos em Serviço Ambulatorial de Geriatria.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Cad. Ter.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Ocup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. UFSCar. 2015; 23(1): 153-162. DOI </w:t>
      </w:r>
      <w:r w:rsidRPr="000B439F">
        <w:rPr>
          <w:rFonts w:ascii="Times New Roman" w:hAnsi="Times New Roman" w:cs="Times New Roman"/>
          <w:sz w:val="24"/>
          <w:szCs w:val="24"/>
        </w:rPr>
        <w:t>10.4322/0104-4931.ctoAO470.</w:t>
      </w:r>
    </w:p>
    <w:p w:rsidR="002C7BC6" w:rsidRPr="000B439F" w:rsidRDefault="002C7BC6" w:rsidP="002C7BC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Hough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CL, Curtis JR.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Long-term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sequelae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of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critical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illness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memories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healthrelated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of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life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Critical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Care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. 2005; 9(1): 145-146. </w:t>
      </w:r>
      <w:r w:rsidRPr="000B439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DOI:</w:t>
      </w:r>
      <w:r w:rsidRPr="000B439F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0B439F">
        <w:rPr>
          <w:rFonts w:ascii="Times New Roman" w:hAnsi="Times New Roman" w:cs="Times New Roman"/>
          <w:sz w:val="24"/>
          <w:szCs w:val="24"/>
          <w:shd w:val="clear" w:color="auto" w:fill="FFFFFF"/>
        </w:rPr>
        <w:t>10.1186/cc3483.</w:t>
      </w:r>
    </w:p>
    <w:p w:rsidR="002C7BC6" w:rsidRPr="000B439F" w:rsidRDefault="002C7BC6" w:rsidP="002C7BC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19 Barros MAM,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Figuêiredo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DSTO, Fernandes MGM, Neto JMR, Macêdo-Costa KNF.</w:t>
      </w:r>
      <w:r w:rsidRPr="000B439F">
        <w:rPr>
          <w:rFonts w:ascii="Times New Roman" w:hAnsi="Times New Roman" w:cs="Times New Roman"/>
          <w:sz w:val="24"/>
          <w:szCs w:val="24"/>
        </w:rPr>
        <w:t xml:space="preserve"> </w:t>
      </w:r>
      <w:r w:rsidRPr="00161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Delirium em idosos em unidades de terapia intensiva: revisão integrativa da literatura.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Journal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research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: fundamental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care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online. 2015; 7(3): 2738-2748. </w:t>
      </w:r>
      <w:r w:rsidRPr="000B439F">
        <w:rPr>
          <w:rFonts w:ascii="Times New Roman" w:hAnsi="Times New Roman" w:cs="Times New Roman"/>
          <w:sz w:val="24"/>
          <w:szCs w:val="24"/>
        </w:rPr>
        <w:t>DOI: 10.9789/2175-5361.2015.</w:t>
      </w:r>
    </w:p>
    <w:p w:rsidR="002C7BC6" w:rsidRPr="000B439F" w:rsidRDefault="002C7BC6" w:rsidP="002C7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sz w:val="24"/>
          <w:szCs w:val="24"/>
        </w:rPr>
        <w:t xml:space="preserve">20 Foreman J.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Occupational</w:t>
      </w:r>
      <w:proofErr w:type="spellEnd"/>
      <w:r w:rsidRPr="00161A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therapists</w:t>
      </w:r>
      <w:proofErr w:type="spellEnd"/>
      <w:r w:rsidRPr="00161ABC">
        <w:rPr>
          <w:rFonts w:ascii="Times New Roman" w:hAnsi="Times New Roman" w:cs="Times New Roman"/>
          <w:b/>
          <w:sz w:val="24"/>
          <w:szCs w:val="24"/>
        </w:rPr>
        <w:t xml:space="preserve">’ roles in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intensive</w:t>
      </w:r>
      <w:proofErr w:type="spellEnd"/>
      <w:r w:rsidRPr="00161A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care</w:t>
      </w:r>
      <w:proofErr w:type="spellEnd"/>
      <w:r w:rsidRPr="000B439F">
        <w:rPr>
          <w:rFonts w:ascii="Times New Roman" w:hAnsi="Times New Roman" w:cs="Times New Roman"/>
          <w:sz w:val="24"/>
          <w:szCs w:val="24"/>
        </w:rPr>
        <w:t xml:space="preserve">. OT </w:t>
      </w:r>
      <w:proofErr w:type="spellStart"/>
      <w:r w:rsidRPr="000B439F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0B439F">
        <w:rPr>
          <w:rFonts w:ascii="Times New Roman" w:hAnsi="Times New Roman" w:cs="Times New Roman"/>
          <w:sz w:val="24"/>
          <w:szCs w:val="24"/>
        </w:rPr>
        <w:t>. 2005; 15-18.</w:t>
      </w:r>
    </w:p>
    <w:p w:rsidR="002C7BC6" w:rsidRPr="000B439F" w:rsidRDefault="002C7BC6" w:rsidP="002C7B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21 Affleck AT, Lieberman S,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Polon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J,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Rohrkemper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K.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Providing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Occupational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Therapy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an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Intensive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Care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Unit.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The American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Journal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Occupational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Therapy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. 1986; 40(5): 323-332. </w:t>
      </w:r>
      <w:proofErr w:type="gramStart"/>
      <w:r w:rsidRPr="000B439F">
        <w:rPr>
          <w:rFonts w:ascii="Times New Roman" w:hAnsi="Times New Roman" w:cs="Times New Roman"/>
          <w:sz w:val="24"/>
          <w:szCs w:val="24"/>
          <w:shd w:val="clear" w:color="auto" w:fill="FFFFFF"/>
        </w:rPr>
        <w:t>DOI:</w:t>
      </w:r>
      <w:proofErr w:type="gramEnd"/>
      <w:r w:rsidRPr="000B439F">
        <w:rPr>
          <w:rFonts w:ascii="Times New Roman" w:hAnsi="Times New Roman" w:cs="Times New Roman"/>
          <w:sz w:val="24"/>
          <w:szCs w:val="24"/>
          <w:shd w:val="clear" w:color="auto" w:fill="FFFFFF"/>
        </w:rPr>
        <w:t>10.5014/ajot.40.5.323.</w:t>
      </w:r>
    </w:p>
    <w:p w:rsidR="002C7BC6" w:rsidRPr="000B439F" w:rsidRDefault="002C7BC6" w:rsidP="002C7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sz w:val="24"/>
          <w:szCs w:val="24"/>
        </w:rPr>
        <w:t xml:space="preserve">22 Pena-Corrêa IVF, Assunção SG, Velloso M. </w:t>
      </w:r>
      <w:r w:rsidRPr="00161ABC">
        <w:rPr>
          <w:rFonts w:ascii="Times New Roman" w:hAnsi="Times New Roman" w:cs="Times New Roman"/>
          <w:b/>
          <w:sz w:val="24"/>
          <w:szCs w:val="24"/>
        </w:rPr>
        <w:t>Protocolo de Reabilitação Funcional Baseado na Progressão de Atividades em Pacientes Criticamente Doentes: um ensaio clínico aleatório</w:t>
      </w:r>
      <w:r w:rsidRPr="000B439F">
        <w:rPr>
          <w:rFonts w:ascii="Times New Roman" w:hAnsi="Times New Roman" w:cs="Times New Roman"/>
          <w:sz w:val="24"/>
          <w:szCs w:val="24"/>
        </w:rPr>
        <w:t xml:space="preserve"> [dissertação]. Belo Horizonte: Escola de Educação Física, Fisioterapia e Terapia Ocupacional; 2013. 86p.</w:t>
      </w:r>
    </w:p>
    <w:p w:rsidR="002C7BC6" w:rsidRPr="000B439F" w:rsidRDefault="002C7BC6" w:rsidP="002C7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439F">
        <w:rPr>
          <w:rFonts w:ascii="Times New Roman" w:hAnsi="Times New Roman" w:cs="Times New Roman"/>
          <w:sz w:val="24"/>
          <w:szCs w:val="24"/>
        </w:rPr>
        <w:t xml:space="preserve">23 Álvarez E, Garrido M, González AF. 5, Guzmán E, Donoso T, </w:t>
      </w:r>
      <w:proofErr w:type="spellStart"/>
      <w:r w:rsidRPr="000B439F">
        <w:rPr>
          <w:rFonts w:ascii="Times New Roman" w:hAnsi="Times New Roman" w:cs="Times New Roman"/>
          <w:sz w:val="24"/>
          <w:szCs w:val="24"/>
        </w:rPr>
        <w:t>Gallegos</w:t>
      </w:r>
      <w:proofErr w:type="spellEnd"/>
      <w:r w:rsidRPr="000B439F">
        <w:rPr>
          <w:rFonts w:ascii="Times New Roman" w:hAnsi="Times New Roman" w:cs="Times New Roman"/>
          <w:sz w:val="24"/>
          <w:szCs w:val="24"/>
        </w:rPr>
        <w:t xml:space="preserve"> S, Vergara SR, et al. </w:t>
      </w:r>
      <w:r w:rsidRPr="00161ABC">
        <w:rPr>
          <w:rFonts w:ascii="Times New Roman" w:hAnsi="Times New Roman" w:cs="Times New Roman"/>
          <w:b/>
          <w:sz w:val="24"/>
          <w:szCs w:val="24"/>
        </w:rPr>
        <w:t xml:space="preserve">Terapia ocupacional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precoz</w:t>
      </w:r>
      <w:proofErr w:type="spellEnd"/>
      <w:r w:rsidRPr="00161ABC">
        <w:rPr>
          <w:rFonts w:ascii="Times New Roman" w:hAnsi="Times New Roman" w:cs="Times New Roman"/>
          <w:b/>
          <w:sz w:val="24"/>
          <w:szCs w:val="24"/>
        </w:rPr>
        <w:t xml:space="preserve"> e intensiva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161A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Pr="00161A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prevención</w:t>
      </w:r>
      <w:proofErr w:type="spellEnd"/>
      <w:r w:rsidRPr="00161A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del</w:t>
      </w:r>
      <w:proofErr w:type="spellEnd"/>
      <w:r w:rsidRPr="00161ABC">
        <w:rPr>
          <w:rFonts w:ascii="Times New Roman" w:hAnsi="Times New Roman" w:cs="Times New Roman"/>
          <w:b/>
          <w:sz w:val="24"/>
          <w:szCs w:val="24"/>
        </w:rPr>
        <w:t xml:space="preserve"> Delirium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161ABC">
        <w:rPr>
          <w:rFonts w:ascii="Times New Roman" w:hAnsi="Times New Roman" w:cs="Times New Roman"/>
          <w:b/>
          <w:sz w:val="24"/>
          <w:szCs w:val="24"/>
        </w:rPr>
        <w:t xml:space="preserve"> adultos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mayores</w:t>
      </w:r>
      <w:proofErr w:type="spellEnd"/>
      <w:r w:rsidRPr="00161A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ingresados</w:t>
      </w:r>
      <w:proofErr w:type="spellEnd"/>
      <w:r w:rsidRPr="00161ABC">
        <w:rPr>
          <w:rFonts w:ascii="Times New Roman" w:hAnsi="Times New Roman" w:cs="Times New Roman"/>
          <w:b/>
          <w:sz w:val="24"/>
          <w:szCs w:val="24"/>
        </w:rPr>
        <w:t xml:space="preserve"> a unidades de paciente crítico. </w:t>
      </w:r>
      <w:proofErr w:type="spellStart"/>
      <w:r w:rsidRPr="00161ABC">
        <w:rPr>
          <w:rFonts w:ascii="Times New Roman" w:hAnsi="Times New Roman" w:cs="Times New Roman"/>
          <w:b/>
          <w:sz w:val="24"/>
          <w:szCs w:val="24"/>
        </w:rPr>
        <w:t>Ensayo</w:t>
      </w:r>
      <w:proofErr w:type="spellEnd"/>
      <w:r w:rsidRPr="00161ABC">
        <w:rPr>
          <w:rFonts w:ascii="Times New Roman" w:hAnsi="Times New Roman" w:cs="Times New Roman"/>
          <w:b/>
          <w:sz w:val="24"/>
          <w:szCs w:val="24"/>
        </w:rPr>
        <w:t xml:space="preserve"> clínico randomizado: Resultados preliminares.</w:t>
      </w:r>
      <w:r w:rsidRPr="000B439F">
        <w:rPr>
          <w:rFonts w:ascii="Times New Roman" w:hAnsi="Times New Roman" w:cs="Times New Roman"/>
          <w:sz w:val="24"/>
          <w:szCs w:val="24"/>
        </w:rPr>
        <w:t xml:space="preserve"> Revista Chilena de Medicina Intensiva. 2013; 28(4): 193-199.</w:t>
      </w:r>
    </w:p>
    <w:p w:rsidR="002C7BC6" w:rsidRPr="000B439F" w:rsidRDefault="002C7BC6" w:rsidP="002C7B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Brahmbhatt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N,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Murugan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R,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Milbrandt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EB.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Early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mobilization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improves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functional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outcomes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critically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ill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patients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Critical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Care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. 2010; 14(321). </w:t>
      </w:r>
      <w:r w:rsidRPr="000B439F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DOI</w:t>
      </w:r>
      <w:r w:rsidRPr="000B439F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0B43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0B439F">
        <w:rPr>
          <w:rFonts w:ascii="Times New Roman" w:hAnsi="Times New Roman" w:cs="Times New Roman"/>
          <w:sz w:val="24"/>
          <w:szCs w:val="24"/>
          <w:shd w:val="clear" w:color="auto" w:fill="FFFFFF"/>
        </w:rPr>
        <w:t>10.1186/cc9262.</w:t>
      </w:r>
    </w:p>
    <w:p w:rsidR="00FB5F49" w:rsidRPr="006D6C73" w:rsidRDefault="002C7BC6" w:rsidP="006D6C7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Schweickert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WD,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Pohlman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MC,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Pohlman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AS,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Nigos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C,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Pawlik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AJ, </w:t>
      </w:r>
      <w:proofErr w:type="spellStart"/>
      <w:r w:rsidRPr="000B439F">
        <w:rPr>
          <w:rFonts w:ascii="Times New Roman" w:hAnsi="Times New Roman" w:cs="Times New Roman"/>
          <w:color w:val="000000"/>
          <w:sz w:val="24"/>
          <w:szCs w:val="24"/>
        </w:rPr>
        <w:t>Esbrook</w:t>
      </w:r>
      <w:proofErr w:type="spellEnd"/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CL, Spears L, et al.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Early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physical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occupational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therapy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mechanically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ventilated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critically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ill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patients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a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randomised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controlled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trial</w:t>
      </w:r>
      <w:proofErr w:type="spellEnd"/>
      <w:r w:rsidRPr="00161AB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B439F">
        <w:rPr>
          <w:rFonts w:ascii="Times New Roman" w:hAnsi="Times New Roman" w:cs="Times New Roman"/>
          <w:color w:val="000000"/>
          <w:sz w:val="24"/>
          <w:szCs w:val="24"/>
        </w:rPr>
        <w:t xml:space="preserve"> Lancet. 2009; 373(1): 1874-1882.</w:t>
      </w:r>
    </w:p>
    <w:sectPr w:rsidR="00FB5F49" w:rsidRPr="006D6C73" w:rsidSect="00F92B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F47" w:rsidRDefault="00990F47" w:rsidP="00710127">
      <w:pPr>
        <w:spacing w:after="0" w:line="240" w:lineRule="auto"/>
      </w:pPr>
      <w:r>
        <w:separator/>
      </w:r>
    </w:p>
  </w:endnote>
  <w:endnote w:type="continuationSeparator" w:id="0">
    <w:p w:rsidR="00990F47" w:rsidRDefault="00990F47" w:rsidP="0071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F47" w:rsidRDefault="00990F47" w:rsidP="00710127">
      <w:pPr>
        <w:spacing w:after="0" w:line="240" w:lineRule="auto"/>
      </w:pPr>
      <w:r>
        <w:separator/>
      </w:r>
    </w:p>
  </w:footnote>
  <w:footnote w:type="continuationSeparator" w:id="0">
    <w:p w:rsidR="00990F47" w:rsidRDefault="00990F47" w:rsidP="00710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2C"/>
    <w:rsid w:val="002C7BC6"/>
    <w:rsid w:val="006D6C73"/>
    <w:rsid w:val="00710127"/>
    <w:rsid w:val="00990F47"/>
    <w:rsid w:val="00A30F44"/>
    <w:rsid w:val="00A653DE"/>
    <w:rsid w:val="00B607B8"/>
    <w:rsid w:val="00BC5E6B"/>
    <w:rsid w:val="00E0342C"/>
    <w:rsid w:val="00E23132"/>
    <w:rsid w:val="00F24FDB"/>
    <w:rsid w:val="00F92B4B"/>
    <w:rsid w:val="00FB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2C"/>
  </w:style>
  <w:style w:type="paragraph" w:styleId="Ttulo4">
    <w:name w:val="heading 4"/>
    <w:basedOn w:val="Normal"/>
    <w:link w:val="Ttulo4Char"/>
    <w:uiPriority w:val="9"/>
    <w:qFormat/>
    <w:rsid w:val="002C7B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03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0342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B5F49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2C7BC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C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C7BC6"/>
  </w:style>
  <w:style w:type="paragraph" w:customStyle="1" w:styleId="Default">
    <w:name w:val="Default"/>
    <w:rsid w:val="002C7B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BC6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2C7BC6"/>
  </w:style>
  <w:style w:type="character" w:customStyle="1" w:styleId="doi">
    <w:name w:val="doi"/>
    <w:basedOn w:val="Fontepargpadro"/>
    <w:rsid w:val="002C7BC6"/>
  </w:style>
  <w:style w:type="paragraph" w:styleId="Cabealho">
    <w:name w:val="header"/>
    <w:basedOn w:val="Normal"/>
    <w:link w:val="CabealhoChar"/>
    <w:uiPriority w:val="99"/>
    <w:unhideWhenUsed/>
    <w:rsid w:val="00710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127"/>
  </w:style>
  <w:style w:type="paragraph" w:styleId="Rodap">
    <w:name w:val="footer"/>
    <w:basedOn w:val="Normal"/>
    <w:link w:val="RodapChar"/>
    <w:uiPriority w:val="99"/>
    <w:unhideWhenUsed/>
    <w:rsid w:val="00710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127"/>
  </w:style>
  <w:style w:type="character" w:styleId="Refdecomentrio">
    <w:name w:val="annotation reference"/>
    <w:basedOn w:val="Fontepargpadro"/>
    <w:uiPriority w:val="99"/>
    <w:semiHidden/>
    <w:unhideWhenUsed/>
    <w:rsid w:val="00A653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53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53D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2C"/>
  </w:style>
  <w:style w:type="paragraph" w:styleId="Ttulo4">
    <w:name w:val="heading 4"/>
    <w:basedOn w:val="Normal"/>
    <w:link w:val="Ttulo4Char"/>
    <w:uiPriority w:val="9"/>
    <w:qFormat/>
    <w:rsid w:val="002C7B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03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0342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B5F49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2C7BC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C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C7BC6"/>
  </w:style>
  <w:style w:type="paragraph" w:customStyle="1" w:styleId="Default">
    <w:name w:val="Default"/>
    <w:rsid w:val="002C7B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BC6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2C7BC6"/>
  </w:style>
  <w:style w:type="character" w:customStyle="1" w:styleId="doi">
    <w:name w:val="doi"/>
    <w:basedOn w:val="Fontepargpadro"/>
    <w:rsid w:val="002C7BC6"/>
  </w:style>
  <w:style w:type="paragraph" w:styleId="Cabealho">
    <w:name w:val="header"/>
    <w:basedOn w:val="Normal"/>
    <w:link w:val="CabealhoChar"/>
    <w:uiPriority w:val="99"/>
    <w:unhideWhenUsed/>
    <w:rsid w:val="00710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127"/>
  </w:style>
  <w:style w:type="paragraph" w:styleId="Rodap">
    <w:name w:val="footer"/>
    <w:basedOn w:val="Normal"/>
    <w:link w:val="RodapChar"/>
    <w:uiPriority w:val="99"/>
    <w:unhideWhenUsed/>
    <w:rsid w:val="00710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127"/>
  </w:style>
  <w:style w:type="character" w:styleId="Refdecomentrio">
    <w:name w:val="annotation reference"/>
    <w:basedOn w:val="Fontepargpadro"/>
    <w:uiPriority w:val="99"/>
    <w:semiHidden/>
    <w:unhideWhenUsed/>
    <w:rsid w:val="00A653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53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53D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x.doi.org/10.1590/S0080-62342012000200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3992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T. Okuma</dc:creator>
  <cp:keywords/>
  <dc:description/>
  <cp:lastModifiedBy>Ricardo Lopes Correia</cp:lastModifiedBy>
  <cp:revision>3</cp:revision>
  <dcterms:created xsi:type="dcterms:W3CDTF">2017-04-03T21:05:00Z</dcterms:created>
  <dcterms:modified xsi:type="dcterms:W3CDTF">2017-04-03T21:09:00Z</dcterms:modified>
</cp:coreProperties>
</file>