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CA102" w14:textId="0C8CD157" w:rsidR="004A7018" w:rsidRPr="00B36C6E" w:rsidRDefault="002441C9" w:rsidP="00DA4AFD">
      <w:pPr>
        <w:pStyle w:val="Ttulo3"/>
        <w:rPr>
          <w:rFonts w:eastAsia="Calibri"/>
        </w:rPr>
      </w:pPr>
      <w:r w:rsidRPr="00B36C6E">
        <w:rPr>
          <w:rFonts w:eastAsia="Calibri"/>
        </w:rPr>
        <w:t xml:space="preserve">Análise do Programa de </w:t>
      </w:r>
      <w:r w:rsidR="00BA6BAF" w:rsidRPr="00B36C6E">
        <w:rPr>
          <w:rFonts w:eastAsia="Calibri"/>
        </w:rPr>
        <w:t>M</w:t>
      </w:r>
      <w:r w:rsidRPr="00B36C6E">
        <w:rPr>
          <w:rFonts w:eastAsia="Calibri"/>
        </w:rPr>
        <w:t xml:space="preserve">odernização do </w:t>
      </w:r>
      <w:r w:rsidR="00BA6BAF" w:rsidRPr="00B36C6E">
        <w:rPr>
          <w:rFonts w:eastAsia="Calibri"/>
        </w:rPr>
        <w:t xml:space="preserve">Controle Externo Brasileiro </w:t>
      </w:r>
      <w:r w:rsidRPr="00B36C6E">
        <w:rPr>
          <w:rFonts w:eastAsia="Calibri"/>
        </w:rPr>
        <w:t xml:space="preserve">– o </w:t>
      </w:r>
      <w:proofErr w:type="spellStart"/>
      <w:r w:rsidRPr="00B36C6E">
        <w:rPr>
          <w:rFonts w:eastAsia="Calibri"/>
        </w:rPr>
        <w:t>Promoex</w:t>
      </w:r>
      <w:proofErr w:type="spellEnd"/>
      <w:r w:rsidRPr="00B36C6E">
        <w:rPr>
          <w:rFonts w:eastAsia="Calibri"/>
        </w:rPr>
        <w:t xml:space="preserve"> nos Tribunais de Contas</w:t>
      </w:r>
    </w:p>
    <w:p w14:paraId="58C99854" w14:textId="7F221C10" w:rsidR="006D68C5" w:rsidRPr="00B36C6E" w:rsidRDefault="006D68C5" w:rsidP="00407C56">
      <w:pPr>
        <w:ind w:firstLine="709"/>
        <w:rPr>
          <w:rFonts w:eastAsia="Calibri" w:cs="Times New Roman"/>
          <w:szCs w:val="24"/>
        </w:rPr>
      </w:pPr>
    </w:p>
    <w:p w14:paraId="5A9B941D" w14:textId="0EBA1B0E" w:rsidR="00BA6BAF" w:rsidRPr="00B36C6E" w:rsidRDefault="00BA6BAF" w:rsidP="00BA6BAF">
      <w:pPr>
        <w:ind w:firstLine="709"/>
        <w:jc w:val="center"/>
        <w:rPr>
          <w:rFonts w:eastAsia="Calibri" w:cs="Times New Roman"/>
          <w:b/>
          <w:szCs w:val="24"/>
          <w:lang w:val="en-US"/>
        </w:rPr>
      </w:pPr>
      <w:r w:rsidRPr="00B36C6E">
        <w:rPr>
          <w:rFonts w:eastAsia="Calibri" w:cs="Times New Roman"/>
          <w:b/>
          <w:szCs w:val="24"/>
          <w:lang w:val="en-US"/>
        </w:rPr>
        <w:t xml:space="preserve">Analysis of the Modernization Program of Brazilian External Control - the </w:t>
      </w:r>
      <w:proofErr w:type="spellStart"/>
      <w:r w:rsidRPr="00B36C6E">
        <w:rPr>
          <w:rFonts w:eastAsia="Calibri" w:cs="Times New Roman"/>
          <w:b/>
          <w:szCs w:val="24"/>
          <w:lang w:val="en-US"/>
        </w:rPr>
        <w:t>Promoex</w:t>
      </w:r>
      <w:proofErr w:type="spellEnd"/>
      <w:r w:rsidRPr="00B36C6E">
        <w:rPr>
          <w:rFonts w:eastAsia="Calibri" w:cs="Times New Roman"/>
          <w:b/>
          <w:szCs w:val="24"/>
          <w:lang w:val="en-US"/>
        </w:rPr>
        <w:t xml:space="preserve"> in the Courts of Accounts</w:t>
      </w:r>
    </w:p>
    <w:p w14:paraId="758614E3" w14:textId="66F945A2" w:rsidR="00816C4B" w:rsidRPr="00B36C6E" w:rsidRDefault="00816C4B" w:rsidP="00816C4B">
      <w:pPr>
        <w:rPr>
          <w:rFonts w:eastAsia="Calibri" w:cs="Times New Roman"/>
          <w:szCs w:val="24"/>
          <w:lang w:val="en-US"/>
        </w:rPr>
      </w:pPr>
    </w:p>
    <w:p w14:paraId="3139F174" w14:textId="77777777" w:rsidR="00F71634" w:rsidRDefault="00F71634" w:rsidP="00F71634">
      <w:pPr>
        <w:rPr>
          <w:rFonts w:eastAsia="Calibri" w:cs="Times New Roman"/>
          <w:szCs w:val="24"/>
        </w:rPr>
      </w:pPr>
      <w:r>
        <w:rPr>
          <w:rFonts w:eastAsia="Calibri" w:cs="Times New Roman"/>
          <w:szCs w:val="24"/>
        </w:rPr>
        <w:t>Flávia de Araújo e Silva</w:t>
      </w:r>
    </w:p>
    <w:p w14:paraId="16F0B6A0" w14:textId="77777777" w:rsidR="00F71634" w:rsidRDefault="00F71634" w:rsidP="00F71634">
      <w:pPr>
        <w:rPr>
          <w:rFonts w:eastAsia="Calibri" w:cs="Times New Roman"/>
          <w:szCs w:val="24"/>
        </w:rPr>
      </w:pPr>
      <w:r>
        <w:rPr>
          <w:rFonts w:eastAsia="Calibri" w:cs="Times New Roman"/>
          <w:szCs w:val="24"/>
        </w:rPr>
        <w:t>Mestre em Ciências Contábeis – UFMG</w:t>
      </w:r>
    </w:p>
    <w:p w14:paraId="2B9AD68B" w14:textId="77777777" w:rsidR="00F71634" w:rsidRDefault="00F71634" w:rsidP="00F71634">
      <w:pPr>
        <w:rPr>
          <w:rFonts w:eastAsia="Calibri" w:cs="Times New Roman"/>
          <w:szCs w:val="24"/>
        </w:rPr>
      </w:pPr>
      <w:r>
        <w:rPr>
          <w:rFonts w:eastAsia="Calibri" w:cs="Times New Roman"/>
          <w:szCs w:val="24"/>
        </w:rPr>
        <w:t>Coordenadora de Contabilidade – Tribunal de Contas do Estado de Minas Gerais</w:t>
      </w:r>
    </w:p>
    <w:p w14:paraId="6E2551BC" w14:textId="77777777" w:rsidR="00F71634" w:rsidRDefault="00F71634" w:rsidP="00F71634">
      <w:pPr>
        <w:rPr>
          <w:rFonts w:eastAsia="Calibri" w:cs="Times New Roman"/>
          <w:szCs w:val="24"/>
        </w:rPr>
      </w:pPr>
      <w:r>
        <w:rPr>
          <w:rFonts w:eastAsia="Calibri" w:cs="Times New Roman"/>
          <w:szCs w:val="24"/>
        </w:rPr>
        <w:t xml:space="preserve">Rua Litargírio, 22 – Grajaú – Belo </w:t>
      </w:r>
      <w:proofErr w:type="spellStart"/>
      <w:r>
        <w:rPr>
          <w:rFonts w:eastAsia="Calibri" w:cs="Times New Roman"/>
          <w:szCs w:val="24"/>
        </w:rPr>
        <w:t>Horizonte-MG</w:t>
      </w:r>
      <w:proofErr w:type="spellEnd"/>
    </w:p>
    <w:p w14:paraId="28BD7ED4" w14:textId="77777777" w:rsidR="00F71634" w:rsidRDefault="00F71634" w:rsidP="00F71634">
      <w:pPr>
        <w:rPr>
          <w:rFonts w:eastAsia="Calibri" w:cs="Times New Roman"/>
          <w:szCs w:val="24"/>
        </w:rPr>
      </w:pPr>
      <w:hyperlink r:id="rId8" w:history="1">
        <w:r w:rsidRPr="00164A1C">
          <w:rPr>
            <w:rStyle w:val="Hyperlink"/>
            <w:rFonts w:eastAsia="Calibri" w:cs="Times New Roman"/>
            <w:szCs w:val="24"/>
          </w:rPr>
          <w:t>Flavia.admin@gmail.com</w:t>
        </w:r>
      </w:hyperlink>
    </w:p>
    <w:p w14:paraId="08B7434A" w14:textId="77777777" w:rsidR="00F71634" w:rsidRDefault="00F71634" w:rsidP="00F71634">
      <w:pPr>
        <w:rPr>
          <w:rFonts w:eastAsia="Calibri" w:cs="Times New Roman"/>
          <w:szCs w:val="24"/>
        </w:rPr>
      </w:pPr>
    </w:p>
    <w:p w14:paraId="799D312A" w14:textId="77777777" w:rsidR="00F71634" w:rsidRDefault="00F71634" w:rsidP="00F71634">
      <w:pPr>
        <w:rPr>
          <w:rFonts w:eastAsia="Calibri" w:cs="Times New Roman"/>
          <w:szCs w:val="24"/>
        </w:rPr>
      </w:pPr>
      <w:proofErr w:type="spellStart"/>
      <w:r>
        <w:rPr>
          <w:rFonts w:eastAsia="Calibri" w:cs="Times New Roman"/>
          <w:szCs w:val="24"/>
        </w:rPr>
        <w:t>Poueri</w:t>
      </w:r>
      <w:proofErr w:type="spellEnd"/>
      <w:r>
        <w:rPr>
          <w:rFonts w:eastAsia="Calibri" w:cs="Times New Roman"/>
          <w:szCs w:val="24"/>
        </w:rPr>
        <w:t xml:space="preserve"> do Carmo Mário</w:t>
      </w:r>
    </w:p>
    <w:p w14:paraId="1E741CCF" w14:textId="77777777" w:rsidR="00F71634" w:rsidRDefault="00F71634" w:rsidP="00F71634">
      <w:pPr>
        <w:rPr>
          <w:rFonts w:eastAsia="Calibri" w:cs="Times New Roman"/>
          <w:szCs w:val="24"/>
        </w:rPr>
      </w:pPr>
      <w:r>
        <w:rPr>
          <w:rFonts w:eastAsia="Calibri" w:cs="Times New Roman"/>
          <w:szCs w:val="24"/>
        </w:rPr>
        <w:t>Doutor em Ciências Contábeis – USP</w:t>
      </w:r>
    </w:p>
    <w:p w14:paraId="6781F11C" w14:textId="77777777" w:rsidR="00F71634" w:rsidRDefault="00F71634" w:rsidP="00F71634">
      <w:pPr>
        <w:rPr>
          <w:rFonts w:eastAsia="Calibri" w:cs="Times New Roman"/>
          <w:szCs w:val="24"/>
        </w:rPr>
      </w:pPr>
      <w:r w:rsidRPr="00B916B1">
        <w:rPr>
          <w:rFonts w:eastAsia="Calibri" w:cs="Times New Roman"/>
          <w:szCs w:val="24"/>
        </w:rPr>
        <w:t xml:space="preserve">Professor Associado I da Universidade </w:t>
      </w:r>
      <w:r>
        <w:rPr>
          <w:rFonts w:eastAsia="Calibri" w:cs="Times New Roman"/>
          <w:szCs w:val="24"/>
        </w:rPr>
        <w:t>Federal de Minas Gerais</w:t>
      </w:r>
    </w:p>
    <w:p w14:paraId="7F0BBD0C" w14:textId="77777777" w:rsidR="00F71634" w:rsidRDefault="00F71634" w:rsidP="00F71634">
      <w:pPr>
        <w:rPr>
          <w:rFonts w:eastAsia="Calibri" w:cs="Times New Roman"/>
          <w:szCs w:val="24"/>
        </w:rPr>
      </w:pPr>
      <w:r>
        <w:rPr>
          <w:rFonts w:eastAsia="Calibri" w:cs="Times New Roman"/>
          <w:szCs w:val="24"/>
        </w:rPr>
        <w:t xml:space="preserve">Av. </w:t>
      </w:r>
      <w:r w:rsidRPr="00B916B1">
        <w:rPr>
          <w:rFonts w:eastAsia="Calibri" w:cs="Times New Roman"/>
          <w:szCs w:val="24"/>
        </w:rPr>
        <w:t>Pres. Antônio Carlos, 6627 - Pampulha, Belo Horizonte</w:t>
      </w:r>
    </w:p>
    <w:p w14:paraId="00607B8F" w14:textId="77777777" w:rsidR="00F71634" w:rsidRDefault="00F71634" w:rsidP="00F71634">
      <w:pPr>
        <w:rPr>
          <w:rFonts w:eastAsia="Calibri" w:cs="Times New Roman"/>
          <w:szCs w:val="24"/>
        </w:rPr>
      </w:pPr>
      <w:r>
        <w:rPr>
          <w:rFonts w:eastAsia="Calibri" w:cs="Times New Roman"/>
          <w:szCs w:val="24"/>
        </w:rPr>
        <w:t>poueri@gmail.com</w:t>
      </w:r>
    </w:p>
    <w:p w14:paraId="32499F72" w14:textId="77777777" w:rsidR="00F71634" w:rsidRPr="00F71634" w:rsidRDefault="00F71634" w:rsidP="00407C56">
      <w:pPr>
        <w:rPr>
          <w:rFonts w:eastAsia="Calibri" w:cs="Times New Roman"/>
          <w:b/>
          <w:szCs w:val="24"/>
          <w:lang w:val="en-US"/>
        </w:rPr>
      </w:pPr>
      <w:bookmarkStart w:id="0" w:name="_GoBack"/>
      <w:bookmarkEnd w:id="0"/>
    </w:p>
    <w:p w14:paraId="48E5ADC0" w14:textId="6CD49449" w:rsidR="004A7018" w:rsidRPr="00B36C6E" w:rsidRDefault="004A7018" w:rsidP="00407C56">
      <w:pPr>
        <w:rPr>
          <w:rFonts w:eastAsia="Calibri" w:cs="Times New Roman"/>
          <w:b/>
          <w:szCs w:val="24"/>
        </w:rPr>
      </w:pPr>
      <w:r w:rsidRPr="00B36C6E">
        <w:rPr>
          <w:rFonts w:eastAsia="Calibri" w:cs="Times New Roman"/>
          <w:b/>
          <w:szCs w:val="24"/>
        </w:rPr>
        <w:t>Resumo</w:t>
      </w:r>
    </w:p>
    <w:p w14:paraId="2E47736C" w14:textId="58FF8291" w:rsidR="004A7018" w:rsidRPr="00B36C6E" w:rsidRDefault="00357FCC" w:rsidP="00407C56">
      <w:pPr>
        <w:rPr>
          <w:rFonts w:cs="Times New Roman"/>
          <w:szCs w:val="24"/>
        </w:rPr>
      </w:pPr>
      <w:r w:rsidRPr="00B36C6E">
        <w:rPr>
          <w:rFonts w:cs="Times New Roman"/>
          <w:szCs w:val="24"/>
        </w:rPr>
        <w:t xml:space="preserve">O objetivo desta pesquisa </w:t>
      </w:r>
      <w:r w:rsidR="006E4505" w:rsidRPr="00B36C6E">
        <w:rPr>
          <w:rFonts w:cs="Times New Roman"/>
          <w:szCs w:val="24"/>
        </w:rPr>
        <w:t>foi</w:t>
      </w:r>
      <w:r w:rsidRPr="00B36C6E">
        <w:rPr>
          <w:rFonts w:cs="Times New Roman"/>
          <w:szCs w:val="24"/>
        </w:rPr>
        <w:t xml:space="preserve"> verificar quais foram os resultados alcançados pelos Tribunais </w:t>
      </w:r>
      <w:r w:rsidR="000156D2" w:rsidRPr="00B36C6E">
        <w:rPr>
          <w:rFonts w:cs="Times New Roman"/>
          <w:szCs w:val="24"/>
        </w:rPr>
        <w:t xml:space="preserve">de Contas </w:t>
      </w:r>
      <w:r w:rsidRPr="00B36C6E">
        <w:rPr>
          <w:rFonts w:cs="Times New Roman"/>
          <w:szCs w:val="24"/>
        </w:rPr>
        <w:t xml:space="preserve">com o Programa </w:t>
      </w:r>
      <w:r w:rsidR="00AC4322" w:rsidRPr="00B36C6E">
        <w:rPr>
          <w:rFonts w:cs="Times New Roman"/>
          <w:szCs w:val="24"/>
        </w:rPr>
        <w:t>de modernização do sistema de controle externo dos Estados e Municípios brasileiros</w:t>
      </w:r>
      <w:r w:rsidRPr="00B36C6E">
        <w:rPr>
          <w:rFonts w:cs="Times New Roman"/>
          <w:szCs w:val="24"/>
        </w:rPr>
        <w:t xml:space="preserve">, </w:t>
      </w:r>
      <w:r w:rsidR="00C8264F" w:rsidRPr="00B36C6E">
        <w:rPr>
          <w:rFonts w:cs="Times New Roman"/>
          <w:szCs w:val="24"/>
        </w:rPr>
        <w:t xml:space="preserve">o </w:t>
      </w:r>
      <w:proofErr w:type="spellStart"/>
      <w:r w:rsidR="00AC4322" w:rsidRPr="00B36C6E">
        <w:rPr>
          <w:rFonts w:cs="Times New Roman"/>
          <w:szCs w:val="24"/>
        </w:rPr>
        <w:t>Promoex</w:t>
      </w:r>
      <w:proofErr w:type="spellEnd"/>
      <w:r w:rsidR="00C8264F" w:rsidRPr="00B36C6E">
        <w:rPr>
          <w:rFonts w:cs="Times New Roman"/>
          <w:szCs w:val="24"/>
        </w:rPr>
        <w:t>,</w:t>
      </w:r>
      <w:r w:rsidR="00AC4322" w:rsidRPr="00B36C6E">
        <w:rPr>
          <w:rFonts w:cs="Times New Roman"/>
          <w:szCs w:val="24"/>
        </w:rPr>
        <w:t xml:space="preserve"> </w:t>
      </w:r>
      <w:r w:rsidR="00C8264F" w:rsidRPr="00B36C6E">
        <w:rPr>
          <w:rFonts w:cs="Times New Roman"/>
          <w:szCs w:val="24"/>
        </w:rPr>
        <w:t>conduzido</w:t>
      </w:r>
      <w:r w:rsidR="00AC4322" w:rsidRPr="00B36C6E">
        <w:rPr>
          <w:rFonts w:cs="Times New Roman"/>
          <w:szCs w:val="24"/>
        </w:rPr>
        <w:t xml:space="preserve"> no período de 2006 a 2013</w:t>
      </w:r>
      <w:r w:rsidR="00C8264F" w:rsidRPr="00B36C6E">
        <w:rPr>
          <w:rFonts w:cs="Times New Roman"/>
          <w:szCs w:val="24"/>
        </w:rPr>
        <w:t xml:space="preserve">. </w:t>
      </w:r>
      <w:r w:rsidR="00102F88" w:rsidRPr="00B36C6E">
        <w:rPr>
          <w:rFonts w:cs="Times New Roman"/>
          <w:szCs w:val="24"/>
        </w:rPr>
        <w:t>O</w:t>
      </w:r>
      <w:r w:rsidR="00C8264F" w:rsidRPr="00B36C6E">
        <w:rPr>
          <w:rFonts w:cs="Times New Roman"/>
          <w:szCs w:val="24"/>
        </w:rPr>
        <w:t xml:space="preserve"> </w:t>
      </w:r>
      <w:r w:rsidR="000156D2" w:rsidRPr="00B36C6E">
        <w:rPr>
          <w:rFonts w:cs="Times New Roman"/>
          <w:szCs w:val="24"/>
        </w:rPr>
        <w:t>foc</w:t>
      </w:r>
      <w:r w:rsidR="00C8264F" w:rsidRPr="00B36C6E">
        <w:rPr>
          <w:rFonts w:cs="Times New Roman"/>
          <w:szCs w:val="24"/>
        </w:rPr>
        <w:t>o</w:t>
      </w:r>
      <w:r w:rsidR="00102F88" w:rsidRPr="00B36C6E">
        <w:rPr>
          <w:rFonts w:cs="Times New Roman"/>
          <w:szCs w:val="24"/>
        </w:rPr>
        <w:t xml:space="preserve"> do Programa, que contou com a participação da quase totalidade dos Tribunais Brasileiros,</w:t>
      </w:r>
      <w:r w:rsidR="000156D2" w:rsidRPr="00B36C6E">
        <w:rPr>
          <w:rFonts w:cs="Times New Roman"/>
          <w:szCs w:val="24"/>
        </w:rPr>
        <w:t xml:space="preserve"> </w:t>
      </w:r>
      <w:r w:rsidR="00C8264F" w:rsidRPr="00B36C6E">
        <w:rPr>
          <w:rFonts w:cs="Times New Roman"/>
          <w:szCs w:val="24"/>
        </w:rPr>
        <w:t>foram</w:t>
      </w:r>
      <w:r w:rsidR="000156D2" w:rsidRPr="00B36C6E">
        <w:rPr>
          <w:rFonts w:cs="Times New Roman"/>
          <w:szCs w:val="24"/>
        </w:rPr>
        <w:t xml:space="preserve"> ações para contornar os pontos fracos identificados em diagnóstico realizado </w:t>
      </w:r>
      <w:r w:rsidR="00102F88" w:rsidRPr="00B36C6E">
        <w:rPr>
          <w:rFonts w:cs="Times New Roman"/>
          <w:szCs w:val="24"/>
        </w:rPr>
        <w:t>no ano de</w:t>
      </w:r>
      <w:r w:rsidR="000156D2" w:rsidRPr="00B36C6E">
        <w:rPr>
          <w:rFonts w:cs="Times New Roman"/>
          <w:szCs w:val="24"/>
        </w:rPr>
        <w:t xml:space="preserve"> 2002</w:t>
      </w:r>
      <w:r w:rsidR="00AC4322" w:rsidRPr="00B36C6E">
        <w:rPr>
          <w:rFonts w:cs="Times New Roman"/>
          <w:szCs w:val="24"/>
        </w:rPr>
        <w:t>. A metodologia utilizada n</w:t>
      </w:r>
      <w:r w:rsidR="00102F88" w:rsidRPr="00B36C6E">
        <w:rPr>
          <w:rFonts w:cs="Times New Roman"/>
          <w:szCs w:val="24"/>
        </w:rPr>
        <w:t>o estudo</w:t>
      </w:r>
      <w:r w:rsidR="00AC4322" w:rsidRPr="00B36C6E">
        <w:rPr>
          <w:rFonts w:cs="Times New Roman"/>
          <w:szCs w:val="24"/>
        </w:rPr>
        <w:t xml:space="preserve"> pautou-se em pesquisa documental. </w:t>
      </w:r>
      <w:r w:rsidR="006E4505" w:rsidRPr="00B36C6E">
        <w:rPr>
          <w:rFonts w:cs="Times New Roman"/>
          <w:szCs w:val="24"/>
        </w:rPr>
        <w:t xml:space="preserve">Verificou-se que as metas planejadas no </w:t>
      </w:r>
      <w:proofErr w:type="spellStart"/>
      <w:r w:rsidR="006E4505" w:rsidRPr="00B36C6E">
        <w:rPr>
          <w:rFonts w:cs="Times New Roman"/>
          <w:szCs w:val="24"/>
        </w:rPr>
        <w:t>Promoex</w:t>
      </w:r>
      <w:proofErr w:type="spellEnd"/>
      <w:r w:rsidR="006E4505" w:rsidRPr="00B36C6E">
        <w:rPr>
          <w:rFonts w:cs="Times New Roman"/>
          <w:szCs w:val="24"/>
        </w:rPr>
        <w:t xml:space="preserve"> foram cumpridas em grande parte dos Tribunai</w:t>
      </w:r>
      <w:r w:rsidR="00102F88" w:rsidRPr="00B36C6E">
        <w:rPr>
          <w:rFonts w:cs="Times New Roman"/>
          <w:szCs w:val="24"/>
        </w:rPr>
        <w:t>s, depreendendo-se que houve um avanço na tentativa de</w:t>
      </w:r>
      <w:r w:rsidR="006E4505" w:rsidRPr="00B36C6E">
        <w:rPr>
          <w:rFonts w:cs="Times New Roman"/>
          <w:szCs w:val="24"/>
        </w:rPr>
        <w:t xml:space="preserve"> modernização no sistema de controle externo no que tange: ao uso de práticas modernas de gestão</w:t>
      </w:r>
      <w:r w:rsidR="00C8264F" w:rsidRPr="00B36C6E">
        <w:rPr>
          <w:rFonts w:cs="Times New Roman"/>
          <w:szCs w:val="24"/>
        </w:rPr>
        <w:t>;</w:t>
      </w:r>
      <w:r w:rsidR="006E4505" w:rsidRPr="00B36C6E">
        <w:rPr>
          <w:rFonts w:cs="Times New Roman"/>
          <w:szCs w:val="24"/>
        </w:rPr>
        <w:t xml:space="preserve"> à interação entre as instituições para compartilhamento de soluções comuns; ao uso mais intensivo da tecnologia da informação nos processos de trabalho; à reestruturação das práticas de gestão de pessoas</w:t>
      </w:r>
      <w:r w:rsidR="00AC4322" w:rsidRPr="00B36C6E">
        <w:rPr>
          <w:rFonts w:cs="Times New Roman"/>
          <w:szCs w:val="24"/>
        </w:rPr>
        <w:t xml:space="preserve"> </w:t>
      </w:r>
      <w:r w:rsidR="006E4505" w:rsidRPr="00B36C6E">
        <w:rPr>
          <w:rFonts w:cs="Times New Roman"/>
          <w:szCs w:val="24"/>
        </w:rPr>
        <w:t>mais alinhadas ao alcance de resultados.</w:t>
      </w:r>
      <w:r w:rsidR="000156D2" w:rsidRPr="00B36C6E">
        <w:rPr>
          <w:rFonts w:cs="Times New Roman"/>
          <w:szCs w:val="24"/>
        </w:rPr>
        <w:t xml:space="preserve"> Entretanto, ainda </w:t>
      </w:r>
      <w:r w:rsidR="00C8264F" w:rsidRPr="00B36C6E">
        <w:rPr>
          <w:rFonts w:cs="Times New Roman"/>
          <w:szCs w:val="24"/>
        </w:rPr>
        <w:t>há necessidade de</w:t>
      </w:r>
      <w:r w:rsidR="000156D2" w:rsidRPr="00B36C6E">
        <w:rPr>
          <w:rFonts w:cs="Times New Roman"/>
          <w:szCs w:val="24"/>
        </w:rPr>
        <w:t xml:space="preserve"> </w:t>
      </w:r>
      <w:r w:rsidR="00C8264F" w:rsidRPr="00B36C6E">
        <w:rPr>
          <w:rFonts w:cs="Times New Roman"/>
          <w:szCs w:val="24"/>
        </w:rPr>
        <w:t xml:space="preserve">se </w:t>
      </w:r>
      <w:r w:rsidR="000156D2" w:rsidRPr="00B36C6E">
        <w:rPr>
          <w:rFonts w:cs="Times New Roman"/>
          <w:szCs w:val="24"/>
        </w:rPr>
        <w:t>realiza</w:t>
      </w:r>
      <w:r w:rsidR="00C8264F" w:rsidRPr="00B36C6E">
        <w:rPr>
          <w:rFonts w:cs="Times New Roman"/>
          <w:szCs w:val="24"/>
        </w:rPr>
        <w:t>r</w:t>
      </w:r>
      <w:r w:rsidR="000156D2" w:rsidRPr="00B36C6E">
        <w:rPr>
          <w:rFonts w:cs="Times New Roman"/>
          <w:szCs w:val="24"/>
        </w:rPr>
        <w:t xml:space="preserve"> </w:t>
      </w:r>
      <w:r w:rsidR="00C8264F" w:rsidRPr="00B36C6E">
        <w:rPr>
          <w:rFonts w:cs="Times New Roman"/>
          <w:szCs w:val="24"/>
        </w:rPr>
        <w:t>um</w:t>
      </w:r>
      <w:r w:rsidR="000156D2" w:rsidRPr="00B36C6E">
        <w:rPr>
          <w:rFonts w:cs="Times New Roman"/>
          <w:szCs w:val="24"/>
        </w:rPr>
        <w:t xml:space="preserve"> diagnóstico</w:t>
      </w:r>
      <w:r w:rsidR="006F4F66" w:rsidRPr="00B36C6E">
        <w:rPr>
          <w:rFonts w:cs="Times New Roman"/>
          <w:szCs w:val="24"/>
        </w:rPr>
        <w:t xml:space="preserve"> </w:t>
      </w:r>
      <w:r w:rsidR="00C542DF" w:rsidRPr="00B36C6E">
        <w:rPr>
          <w:rFonts w:cs="Times New Roman"/>
          <w:szCs w:val="24"/>
        </w:rPr>
        <w:t>por institutos independentes q</w:t>
      </w:r>
      <w:r w:rsidR="00C8264F" w:rsidRPr="00B36C6E">
        <w:rPr>
          <w:rFonts w:cs="Times New Roman"/>
          <w:szCs w:val="24"/>
        </w:rPr>
        <w:t xml:space="preserve">ue possa confirmar </w:t>
      </w:r>
      <w:r w:rsidR="00C542DF" w:rsidRPr="00B36C6E">
        <w:rPr>
          <w:rFonts w:cs="Times New Roman"/>
          <w:szCs w:val="24"/>
        </w:rPr>
        <w:t xml:space="preserve">a efetividade do </w:t>
      </w:r>
      <w:proofErr w:type="spellStart"/>
      <w:r w:rsidR="00C542DF" w:rsidRPr="00B36C6E">
        <w:rPr>
          <w:rFonts w:cs="Times New Roman"/>
          <w:szCs w:val="24"/>
        </w:rPr>
        <w:t>Promoex</w:t>
      </w:r>
      <w:proofErr w:type="spellEnd"/>
      <w:r w:rsidR="00C542DF" w:rsidRPr="00B36C6E">
        <w:rPr>
          <w:rFonts w:cs="Times New Roman"/>
          <w:szCs w:val="24"/>
        </w:rPr>
        <w:t xml:space="preserve"> após sua implementação. Dados obtidos </w:t>
      </w:r>
      <w:r w:rsidR="00DE31C1" w:rsidRPr="00B36C6E">
        <w:rPr>
          <w:rFonts w:cs="Times New Roman"/>
          <w:szCs w:val="24"/>
        </w:rPr>
        <w:t>em</w:t>
      </w:r>
      <w:r w:rsidR="00C542DF" w:rsidRPr="00B36C6E">
        <w:rPr>
          <w:rFonts w:cs="Times New Roman"/>
          <w:szCs w:val="24"/>
        </w:rPr>
        <w:t xml:space="preserve"> diagnóstico</w:t>
      </w:r>
      <w:r w:rsidR="00DE31C1" w:rsidRPr="00B36C6E">
        <w:rPr>
          <w:rFonts w:cs="Times New Roman"/>
          <w:szCs w:val="24"/>
        </w:rPr>
        <w:t>/avaliações</w:t>
      </w:r>
      <w:r w:rsidR="00C542DF" w:rsidRPr="00B36C6E">
        <w:rPr>
          <w:rFonts w:cs="Times New Roman"/>
          <w:szCs w:val="24"/>
        </w:rPr>
        <w:t xml:space="preserve"> realizad</w:t>
      </w:r>
      <w:r w:rsidR="00DE31C1" w:rsidRPr="00B36C6E">
        <w:rPr>
          <w:rFonts w:cs="Times New Roman"/>
          <w:szCs w:val="24"/>
        </w:rPr>
        <w:t>as</w:t>
      </w:r>
      <w:r w:rsidR="00C542DF" w:rsidRPr="00B36C6E">
        <w:rPr>
          <w:rFonts w:cs="Times New Roman"/>
          <w:szCs w:val="24"/>
        </w:rPr>
        <w:t xml:space="preserve"> </w:t>
      </w:r>
      <w:r w:rsidR="00DE31C1" w:rsidRPr="00B36C6E">
        <w:rPr>
          <w:rFonts w:cs="Times New Roman"/>
          <w:szCs w:val="24"/>
        </w:rPr>
        <w:t>após</w:t>
      </w:r>
      <w:r w:rsidR="00C542DF" w:rsidRPr="00B36C6E">
        <w:rPr>
          <w:rFonts w:cs="Times New Roman"/>
          <w:szCs w:val="24"/>
        </w:rPr>
        <w:t xml:space="preserve"> 2013 evidenciam algumas lacunas e dificuldades ainda encontradas nos órgãos de controle externo, como a morosidade</w:t>
      </w:r>
      <w:r w:rsidR="00DE31C1" w:rsidRPr="00B36C6E">
        <w:rPr>
          <w:rFonts w:cs="Times New Roman"/>
          <w:szCs w:val="24"/>
        </w:rPr>
        <w:t xml:space="preserve"> na apreciação dos processos e a não realização de auditorias financeiras ou com foco na receita por grande parte dessas entidades.</w:t>
      </w:r>
    </w:p>
    <w:p w14:paraId="2AA6943E" w14:textId="77777777" w:rsidR="00860F29" w:rsidRPr="00B36C6E" w:rsidRDefault="00860F29" w:rsidP="00407C56">
      <w:pPr>
        <w:rPr>
          <w:rFonts w:eastAsia="Calibri" w:cs="Times New Roman"/>
          <w:szCs w:val="24"/>
        </w:rPr>
      </w:pPr>
    </w:p>
    <w:p w14:paraId="22A82BFB" w14:textId="522D3066" w:rsidR="004A7018" w:rsidRPr="00B36C6E" w:rsidRDefault="006D68C5" w:rsidP="00407C56">
      <w:pPr>
        <w:rPr>
          <w:rFonts w:eastAsia="Calibri" w:cs="Times New Roman"/>
          <w:szCs w:val="24"/>
        </w:rPr>
      </w:pPr>
      <w:r w:rsidRPr="00B36C6E">
        <w:rPr>
          <w:rFonts w:eastAsia="Calibri" w:cs="Times New Roman"/>
          <w:szCs w:val="24"/>
        </w:rPr>
        <w:t>Palavras-chaves:</w:t>
      </w:r>
      <w:r w:rsidR="006E4505" w:rsidRPr="00B36C6E">
        <w:rPr>
          <w:rFonts w:eastAsia="Calibri" w:cs="Times New Roman"/>
          <w:szCs w:val="24"/>
        </w:rPr>
        <w:t xml:space="preserve"> </w:t>
      </w:r>
      <w:r w:rsidR="0026387D" w:rsidRPr="00B36C6E">
        <w:rPr>
          <w:rFonts w:eastAsia="Calibri" w:cs="Times New Roman"/>
          <w:szCs w:val="24"/>
        </w:rPr>
        <w:t>controle</w:t>
      </w:r>
      <w:r w:rsidR="00C8264F" w:rsidRPr="00B36C6E">
        <w:rPr>
          <w:rFonts w:eastAsia="Calibri" w:cs="Times New Roman"/>
          <w:szCs w:val="24"/>
        </w:rPr>
        <w:t xml:space="preserve"> externo</w:t>
      </w:r>
      <w:r w:rsidR="006E4505" w:rsidRPr="00B36C6E">
        <w:rPr>
          <w:rFonts w:eastAsia="Calibri" w:cs="Times New Roman"/>
          <w:szCs w:val="24"/>
        </w:rPr>
        <w:t>; reforma do Estado</w:t>
      </w:r>
      <w:r w:rsidR="00CA5161" w:rsidRPr="00B36C6E">
        <w:rPr>
          <w:rFonts w:eastAsia="Calibri" w:cs="Times New Roman"/>
          <w:szCs w:val="24"/>
        </w:rPr>
        <w:t>; gestão pública</w:t>
      </w:r>
      <w:r w:rsidR="006E4505" w:rsidRPr="00B36C6E">
        <w:rPr>
          <w:rFonts w:eastAsia="Calibri" w:cs="Times New Roman"/>
          <w:szCs w:val="24"/>
        </w:rPr>
        <w:t>.</w:t>
      </w:r>
    </w:p>
    <w:p w14:paraId="5E0E8EEF" w14:textId="38FC9CF7" w:rsidR="00CA5161" w:rsidRPr="00B36C6E" w:rsidRDefault="00CA5161" w:rsidP="00407C56">
      <w:pPr>
        <w:ind w:firstLine="709"/>
        <w:rPr>
          <w:rFonts w:eastAsia="Calibri" w:cs="Times New Roman"/>
          <w:szCs w:val="24"/>
        </w:rPr>
      </w:pPr>
    </w:p>
    <w:p w14:paraId="0162FC50" w14:textId="77777777" w:rsidR="00102F88" w:rsidRPr="00B36C6E" w:rsidRDefault="00102F88" w:rsidP="00102F88">
      <w:pPr>
        <w:rPr>
          <w:rFonts w:eastAsia="Calibri" w:cs="Times New Roman"/>
          <w:b/>
          <w:i/>
          <w:szCs w:val="24"/>
          <w:lang w:val="en-US"/>
        </w:rPr>
      </w:pPr>
      <w:r w:rsidRPr="00B36C6E">
        <w:rPr>
          <w:rFonts w:eastAsia="Calibri" w:cs="Times New Roman"/>
          <w:b/>
          <w:i/>
          <w:szCs w:val="24"/>
          <w:lang w:val="en-US"/>
        </w:rPr>
        <w:t>Abstract</w:t>
      </w:r>
    </w:p>
    <w:p w14:paraId="4D764B73" w14:textId="13B4384F" w:rsidR="00102F88" w:rsidRPr="00B36C6E" w:rsidRDefault="00102F88" w:rsidP="00102F88">
      <w:pPr>
        <w:rPr>
          <w:rFonts w:eastAsia="Calibri" w:cs="Times New Roman"/>
          <w:i/>
          <w:szCs w:val="24"/>
          <w:lang w:val="en-US"/>
        </w:rPr>
      </w:pPr>
      <w:r w:rsidRPr="00B36C6E">
        <w:rPr>
          <w:rFonts w:eastAsia="Calibri" w:cs="Times New Roman"/>
          <w:i/>
          <w:szCs w:val="24"/>
          <w:lang w:val="en-US"/>
        </w:rPr>
        <w:t xml:space="preserve">The aim of this research was to verify which were the results achieved by the Courts of Auditors with the Modernization Program of the external control system of States, Federal District and Municipalities, </w:t>
      </w:r>
      <w:proofErr w:type="spellStart"/>
      <w:r w:rsidRPr="00B36C6E">
        <w:rPr>
          <w:rFonts w:eastAsia="Calibri" w:cs="Times New Roman"/>
          <w:i/>
          <w:szCs w:val="24"/>
          <w:lang w:val="en-US"/>
        </w:rPr>
        <w:t>Promoex</w:t>
      </w:r>
      <w:proofErr w:type="spellEnd"/>
      <w:r w:rsidRPr="00B36C6E">
        <w:rPr>
          <w:rFonts w:eastAsia="Calibri" w:cs="Times New Roman"/>
          <w:i/>
          <w:szCs w:val="24"/>
          <w:lang w:val="en-US"/>
        </w:rPr>
        <w:t xml:space="preserve">, conducted in the period from 2006 to 2013. Its focus was on actions to overcome the identified weaknesses present in the diagnosis made in 2002 and it had the participation of almost all Brazilian Courts of Auditors. The methodology used in this research was based on documentary research. It was found that the planned targets were met in </w:t>
      </w:r>
      <w:proofErr w:type="spellStart"/>
      <w:r w:rsidRPr="00B36C6E">
        <w:rPr>
          <w:rFonts w:eastAsia="Calibri" w:cs="Times New Roman"/>
          <w:i/>
          <w:szCs w:val="24"/>
          <w:lang w:val="en-US"/>
        </w:rPr>
        <w:t>Promoex</w:t>
      </w:r>
      <w:proofErr w:type="spellEnd"/>
      <w:r w:rsidRPr="00B36C6E">
        <w:rPr>
          <w:rFonts w:eastAsia="Calibri" w:cs="Times New Roman"/>
          <w:i/>
          <w:szCs w:val="24"/>
          <w:lang w:val="en-US"/>
        </w:rPr>
        <w:t xml:space="preserve"> in most courts, inferring that there was a modernization in the external control of the system concerning: the use of modern management practices; interaction between institutions to share common </w:t>
      </w:r>
      <w:r w:rsidRPr="00B36C6E">
        <w:rPr>
          <w:rFonts w:eastAsia="Calibri" w:cs="Times New Roman"/>
          <w:i/>
          <w:szCs w:val="24"/>
          <w:lang w:val="en-US"/>
        </w:rPr>
        <w:lastRenderedPageBreak/>
        <w:t xml:space="preserve">solutions; the more intensive use of information technology in the work processes; restructuring of people management practices more aligned for achieving results. However, it was not conducted yet another diagnosis after </w:t>
      </w:r>
      <w:proofErr w:type="spellStart"/>
      <w:r w:rsidRPr="00B36C6E">
        <w:rPr>
          <w:rFonts w:eastAsia="Calibri" w:cs="Times New Roman"/>
          <w:i/>
          <w:szCs w:val="24"/>
          <w:lang w:val="en-US"/>
        </w:rPr>
        <w:t>Promoex</w:t>
      </w:r>
      <w:proofErr w:type="spellEnd"/>
      <w:r w:rsidRPr="00B36C6E">
        <w:rPr>
          <w:rFonts w:eastAsia="Calibri" w:cs="Times New Roman"/>
          <w:i/>
          <w:szCs w:val="24"/>
          <w:lang w:val="en-US"/>
        </w:rPr>
        <w:t xml:space="preserve"> that could confirm the effectiveness of the Program.</w:t>
      </w:r>
      <w:r w:rsidR="00BA6BAF" w:rsidRPr="00B36C6E">
        <w:rPr>
          <w:rFonts w:eastAsia="Calibri" w:cs="Times New Roman"/>
          <w:i/>
          <w:szCs w:val="24"/>
          <w:lang w:val="en-US"/>
        </w:rPr>
        <w:t xml:space="preserve"> Data obtained in the diagnosis / evaluations carried out after 2013 showed some gaps and difficulties still found in the external control bodies, such as slowness in the appraisal of the processes and the failure to carry out financial audits or focusing on revenue by </w:t>
      </w:r>
      <w:proofErr w:type="gramStart"/>
      <w:r w:rsidR="00BA6BAF" w:rsidRPr="00B36C6E">
        <w:rPr>
          <w:rFonts w:eastAsia="Calibri" w:cs="Times New Roman"/>
          <w:i/>
          <w:szCs w:val="24"/>
          <w:lang w:val="en-US"/>
        </w:rPr>
        <w:t>a large number of</w:t>
      </w:r>
      <w:proofErr w:type="gramEnd"/>
      <w:r w:rsidR="00BA6BAF" w:rsidRPr="00B36C6E">
        <w:rPr>
          <w:rFonts w:eastAsia="Calibri" w:cs="Times New Roman"/>
          <w:i/>
          <w:szCs w:val="24"/>
          <w:lang w:val="en-US"/>
        </w:rPr>
        <w:t xml:space="preserve"> these entities.</w:t>
      </w:r>
    </w:p>
    <w:p w14:paraId="1BA109F1" w14:textId="77777777" w:rsidR="00BA6BAF" w:rsidRPr="00B36C6E" w:rsidRDefault="00BA6BAF" w:rsidP="00102F88">
      <w:pPr>
        <w:rPr>
          <w:rFonts w:eastAsia="Calibri" w:cs="Times New Roman"/>
          <w:i/>
          <w:szCs w:val="24"/>
          <w:lang w:val="en-US"/>
        </w:rPr>
      </w:pPr>
    </w:p>
    <w:p w14:paraId="4E395212" w14:textId="280C1C95" w:rsidR="00102F88" w:rsidRPr="00B36C6E" w:rsidRDefault="00102F88" w:rsidP="00102F88">
      <w:pPr>
        <w:rPr>
          <w:rFonts w:eastAsia="Calibri" w:cs="Times New Roman"/>
          <w:szCs w:val="24"/>
          <w:lang w:val="en-US"/>
        </w:rPr>
      </w:pPr>
      <w:r w:rsidRPr="00B36C6E">
        <w:rPr>
          <w:rFonts w:eastAsia="Calibri" w:cs="Times New Roman"/>
          <w:i/>
          <w:szCs w:val="24"/>
          <w:lang w:val="en-US"/>
        </w:rPr>
        <w:t>Keywords: external control; Government Reform; public management.</w:t>
      </w:r>
    </w:p>
    <w:p w14:paraId="080E52EF" w14:textId="77777777" w:rsidR="00102F88" w:rsidRPr="00B36C6E" w:rsidRDefault="00102F88" w:rsidP="00102F88">
      <w:pPr>
        <w:rPr>
          <w:rFonts w:eastAsia="Calibri" w:cs="Times New Roman"/>
          <w:szCs w:val="24"/>
          <w:lang w:val="en-US"/>
        </w:rPr>
      </w:pPr>
    </w:p>
    <w:p w14:paraId="5C8327EA" w14:textId="77777777" w:rsidR="00102F88" w:rsidRPr="00B36C6E" w:rsidRDefault="00102F88" w:rsidP="00102F88">
      <w:pPr>
        <w:ind w:firstLine="709"/>
        <w:rPr>
          <w:rFonts w:eastAsia="Calibri" w:cs="Times New Roman"/>
          <w:szCs w:val="24"/>
          <w:lang w:val="en-US"/>
        </w:rPr>
      </w:pPr>
    </w:p>
    <w:p w14:paraId="2E9F231C" w14:textId="77777777" w:rsidR="00102F88" w:rsidRPr="00B36C6E" w:rsidRDefault="00102F88" w:rsidP="00102F88">
      <w:pPr>
        <w:pStyle w:val="Ttulo1"/>
        <w:rPr>
          <w:rFonts w:cs="Times New Roman"/>
          <w:szCs w:val="24"/>
        </w:rPr>
      </w:pPr>
      <w:r w:rsidRPr="00B36C6E">
        <w:rPr>
          <w:rFonts w:cs="Times New Roman"/>
          <w:szCs w:val="24"/>
        </w:rPr>
        <w:t>Introdução</w:t>
      </w:r>
    </w:p>
    <w:p w14:paraId="2A12C09D" w14:textId="77777777" w:rsidR="00102F88" w:rsidRPr="00B36C6E" w:rsidRDefault="00102F88" w:rsidP="00102F88">
      <w:pPr>
        <w:ind w:left="709" w:firstLine="709"/>
        <w:rPr>
          <w:rFonts w:eastAsia="Calibri" w:cs="Times New Roman"/>
          <w:b/>
          <w:szCs w:val="24"/>
        </w:rPr>
      </w:pPr>
    </w:p>
    <w:p w14:paraId="2C741FE7" w14:textId="679D2EE9" w:rsidR="00102F88" w:rsidRPr="00B36C6E" w:rsidRDefault="00102F88" w:rsidP="00102F88">
      <w:pPr>
        <w:ind w:firstLine="709"/>
        <w:rPr>
          <w:rFonts w:cs="Times New Roman"/>
          <w:szCs w:val="24"/>
        </w:rPr>
      </w:pPr>
      <w:r w:rsidRPr="00B36C6E">
        <w:rPr>
          <w:rFonts w:cs="Times New Roman"/>
          <w:szCs w:val="24"/>
        </w:rPr>
        <w:t xml:space="preserve">Nos últimos tempos, a administração pública passou por grandes mudanças estruturais necessárias para a retomada da credibilidade do Estado que enfrentava crises econômicas, políticas, </w:t>
      </w:r>
      <w:r w:rsidR="00AB19A1" w:rsidRPr="00B36C6E">
        <w:rPr>
          <w:rFonts w:cs="Times New Roman"/>
          <w:szCs w:val="24"/>
        </w:rPr>
        <w:t xml:space="preserve">fiscais, </w:t>
      </w:r>
      <w:r w:rsidRPr="00B36C6E">
        <w:rPr>
          <w:rFonts w:cs="Times New Roman"/>
          <w:szCs w:val="24"/>
        </w:rPr>
        <w:t xml:space="preserve">dentre outras (Loureiro, Teixeira e Moraes, 2009). Houve uma busca por alinhamento estratégico com foco em resultados para atender a demanda de cidadãos cada vez mais conscientes e exigentes por serviços de qualidade e por transparência (Corrêa, 2007). Várias reformas de gestão pública afloraram nesse contexto, com diferentes iniciativas ao redor do mundo (Pacheco, 2010). No Brasil, destaca-se o Plano de Reforma do Aparelho do Estado na década de 1990 (BRESSER-PEREIRA; GRAU, 2006) que, segundo Corrêa (2007) estabeleceu um marco institucional para promoção de reformas nos demais entes da Federação. </w:t>
      </w:r>
    </w:p>
    <w:p w14:paraId="7DF8A4BA" w14:textId="114FBC13" w:rsidR="00102F88" w:rsidRPr="00B36C6E" w:rsidRDefault="00102F88" w:rsidP="00102F88">
      <w:pPr>
        <w:ind w:firstLine="709"/>
        <w:rPr>
          <w:rFonts w:cs="Times New Roman"/>
          <w:szCs w:val="24"/>
        </w:rPr>
      </w:pPr>
      <w:r w:rsidRPr="00B36C6E">
        <w:rPr>
          <w:rFonts w:cs="Times New Roman"/>
          <w:szCs w:val="24"/>
        </w:rPr>
        <w:t xml:space="preserve">Um dos programas do governo brasileiro que se enquadra no rol de reformas na Administração Pública é o </w:t>
      </w:r>
      <w:proofErr w:type="spellStart"/>
      <w:r w:rsidRPr="00B36C6E">
        <w:rPr>
          <w:rFonts w:cs="Times New Roman"/>
          <w:szCs w:val="24"/>
        </w:rPr>
        <w:t>Promoex</w:t>
      </w:r>
      <w:proofErr w:type="spellEnd"/>
      <w:r w:rsidRPr="00B36C6E">
        <w:rPr>
          <w:rFonts w:cs="Times New Roman"/>
          <w:szCs w:val="24"/>
        </w:rPr>
        <w:t xml:space="preserve"> – Programa de modernização do sistema de controle externo dos Estados, Distrito Federal e Municípios brasileiros – realizado no período de 2006 a 2013. O objetivo do Programa, segundo o Ministério do Planejamento, Orçamento e Gestão (MPOG) era o fortalecimento institucional do sistema de controle externo para apoiar a implementação da Lei de Responsabilidade Fiscal (LRF), de forma que os Tribunais de Contas pudessem exercer suas competências de forma mais eficaz (BRASIL, 2013c; Loureiro, Teixeira e Moraes, 2009). O </w:t>
      </w:r>
      <w:proofErr w:type="spellStart"/>
      <w:r w:rsidRPr="00B36C6E">
        <w:rPr>
          <w:rFonts w:cs="Times New Roman"/>
          <w:szCs w:val="24"/>
        </w:rPr>
        <w:t>Promoex</w:t>
      </w:r>
      <w:proofErr w:type="spellEnd"/>
      <w:r w:rsidRPr="00B36C6E">
        <w:rPr>
          <w:rFonts w:cs="Times New Roman"/>
          <w:szCs w:val="24"/>
        </w:rPr>
        <w:t xml:space="preserve"> tem foco em cinco áreas que apresentaram deficiência no diagnóstico preliminar realizado nos Tribunais</w:t>
      </w:r>
      <w:r w:rsidR="00DA4AFD" w:rsidRPr="00B36C6E">
        <w:rPr>
          <w:rFonts w:cs="Times New Roman"/>
          <w:szCs w:val="24"/>
        </w:rPr>
        <w:t xml:space="preserve"> em 2002</w:t>
      </w:r>
      <w:r w:rsidRPr="00B36C6E">
        <w:rPr>
          <w:rFonts w:cs="Times New Roman"/>
          <w:szCs w:val="24"/>
        </w:rPr>
        <w:t>: (i) integração externa; (</w:t>
      </w:r>
      <w:proofErr w:type="spellStart"/>
      <w:r w:rsidRPr="00B36C6E">
        <w:rPr>
          <w:rFonts w:cs="Times New Roman"/>
          <w:szCs w:val="24"/>
        </w:rPr>
        <w:t>ii</w:t>
      </w:r>
      <w:proofErr w:type="spellEnd"/>
      <w:r w:rsidRPr="00B36C6E">
        <w:rPr>
          <w:rFonts w:cs="Times New Roman"/>
          <w:szCs w:val="24"/>
        </w:rPr>
        <w:t>) planejamento e controle de gestão; (</w:t>
      </w:r>
      <w:proofErr w:type="spellStart"/>
      <w:r w:rsidRPr="00B36C6E">
        <w:rPr>
          <w:rFonts w:cs="Times New Roman"/>
          <w:szCs w:val="24"/>
        </w:rPr>
        <w:t>iii</w:t>
      </w:r>
      <w:proofErr w:type="spellEnd"/>
      <w:r w:rsidRPr="00B36C6E">
        <w:rPr>
          <w:rFonts w:cs="Times New Roman"/>
          <w:szCs w:val="24"/>
        </w:rPr>
        <w:t>) métodos e processos de trabalho; (</w:t>
      </w:r>
      <w:proofErr w:type="spellStart"/>
      <w:r w:rsidRPr="00B36C6E">
        <w:rPr>
          <w:rFonts w:cs="Times New Roman"/>
          <w:szCs w:val="24"/>
        </w:rPr>
        <w:t>iv</w:t>
      </w:r>
      <w:proofErr w:type="spellEnd"/>
      <w:r w:rsidRPr="00B36C6E">
        <w:rPr>
          <w:rFonts w:cs="Times New Roman"/>
          <w:szCs w:val="24"/>
        </w:rPr>
        <w:t>) tecnologia da informação; (v) estrutura e gestão dos recursos humanos. Os Tribunais de Contas dos Estados, Distrito Federal e Municípios brasileiros são as entidades fiscalizadoras com jurisdição estadual e municipal, cujas competências constitucionais são a apreciação e julgamento (conforme o caso) das contas prestadas pelos administradores públicos.</w:t>
      </w:r>
    </w:p>
    <w:p w14:paraId="46D45C2C" w14:textId="42327720" w:rsidR="00102F88" w:rsidRPr="00B36C6E" w:rsidRDefault="00102F88" w:rsidP="00102F88">
      <w:pPr>
        <w:rPr>
          <w:rFonts w:cs="Times New Roman"/>
          <w:szCs w:val="24"/>
        </w:rPr>
      </w:pPr>
      <w:r w:rsidRPr="00B36C6E">
        <w:rPr>
          <w:rFonts w:eastAsia="Calibri" w:cs="Times New Roman"/>
          <w:szCs w:val="24"/>
        </w:rPr>
        <w:tab/>
        <w:t>Findo o programa, importante se faz levantar quais foram as metas cumpridas pelos Tribunais e quais os impactos que as ações planejadas trouxeram para os mesmos. Deste modo, o</w:t>
      </w:r>
      <w:r w:rsidRPr="00B36C6E">
        <w:rPr>
          <w:rFonts w:cs="Times New Roman"/>
          <w:szCs w:val="24"/>
        </w:rPr>
        <w:t xml:space="preserve"> objetivo geral desta pesquisa foi o de verificar quais foram os resultados alcançados pelos Tribunais com o Programa </w:t>
      </w:r>
      <w:proofErr w:type="spellStart"/>
      <w:r w:rsidRPr="00B36C6E">
        <w:rPr>
          <w:rFonts w:cs="Times New Roman"/>
          <w:szCs w:val="24"/>
        </w:rPr>
        <w:t>Promoex</w:t>
      </w:r>
      <w:proofErr w:type="spellEnd"/>
      <w:r w:rsidRPr="00B36C6E">
        <w:rPr>
          <w:rFonts w:cs="Times New Roman"/>
          <w:szCs w:val="24"/>
        </w:rPr>
        <w:t>. Adicionalmente, buscou-se elaborar uma crítica aos indicadores de avaliação do Programa e sugerir uma contribuição de outros indicadores</w:t>
      </w:r>
      <w:r w:rsidR="00B013C5" w:rsidRPr="00B36C6E">
        <w:rPr>
          <w:rFonts w:cs="Times New Roman"/>
          <w:szCs w:val="24"/>
        </w:rPr>
        <w:t>, que possam vir a ser utilizados em futuros programas semelhantes a serem implementados</w:t>
      </w:r>
      <w:r w:rsidRPr="00B36C6E">
        <w:rPr>
          <w:rFonts w:cs="Times New Roman"/>
          <w:szCs w:val="24"/>
        </w:rPr>
        <w:t>.</w:t>
      </w:r>
    </w:p>
    <w:p w14:paraId="5BE0CD56" w14:textId="5C813261" w:rsidR="00102F88" w:rsidRPr="00B36C6E" w:rsidRDefault="00102F88" w:rsidP="00102F88">
      <w:pPr>
        <w:ind w:firstLine="709"/>
        <w:rPr>
          <w:rFonts w:cs="Times New Roman"/>
          <w:szCs w:val="24"/>
        </w:rPr>
      </w:pPr>
      <w:r w:rsidRPr="00B36C6E">
        <w:rPr>
          <w:rFonts w:cs="Times New Roman"/>
          <w:szCs w:val="24"/>
        </w:rPr>
        <w:t>A metodologia utilizada na pesquisa baseou-se em pesquisa documental aos</w:t>
      </w:r>
      <w:r w:rsidR="00AB19A1" w:rsidRPr="00B36C6E">
        <w:rPr>
          <w:rFonts w:cs="Times New Roman"/>
          <w:szCs w:val="24"/>
        </w:rPr>
        <w:t xml:space="preserve"> documentos oficiais disponibilizados na internet pelos órgãos envolvidos com o programa, dentre eles os</w:t>
      </w:r>
      <w:r w:rsidRPr="00B36C6E">
        <w:rPr>
          <w:rFonts w:cs="Times New Roman"/>
          <w:szCs w:val="24"/>
        </w:rPr>
        <w:t xml:space="preserve"> relatórios de Progresso do </w:t>
      </w:r>
      <w:proofErr w:type="spellStart"/>
      <w:r w:rsidRPr="00B36C6E">
        <w:rPr>
          <w:rFonts w:cs="Times New Roman"/>
          <w:szCs w:val="24"/>
        </w:rPr>
        <w:t>Promoex</w:t>
      </w:r>
      <w:proofErr w:type="spellEnd"/>
      <w:r w:rsidR="00AB19A1" w:rsidRPr="00B36C6E">
        <w:rPr>
          <w:rFonts w:cs="Times New Roman"/>
          <w:szCs w:val="24"/>
        </w:rPr>
        <w:t>.</w:t>
      </w:r>
    </w:p>
    <w:p w14:paraId="5A3255C6" w14:textId="77777777" w:rsidR="00102F88" w:rsidRPr="00B36C6E" w:rsidRDefault="00102F88" w:rsidP="00102F88">
      <w:pPr>
        <w:rPr>
          <w:rFonts w:cs="Times New Roman"/>
          <w:szCs w:val="24"/>
        </w:rPr>
      </w:pPr>
      <w:r w:rsidRPr="00B36C6E">
        <w:rPr>
          <w:rFonts w:cs="Times New Roman"/>
          <w:szCs w:val="24"/>
        </w:rPr>
        <w:tab/>
        <w:t xml:space="preserve">Essa pesquisa pretende contribuir para o campo de estudos acerca dos programas de governo brasileiros, inseridos nos quadros de reformas </w:t>
      </w:r>
      <w:proofErr w:type="spellStart"/>
      <w:r w:rsidRPr="00B36C6E">
        <w:rPr>
          <w:rFonts w:cs="Times New Roman"/>
          <w:szCs w:val="24"/>
        </w:rPr>
        <w:t>gerencialistas</w:t>
      </w:r>
      <w:proofErr w:type="spellEnd"/>
      <w:r w:rsidRPr="00B36C6E">
        <w:rPr>
          <w:rFonts w:cs="Times New Roman"/>
          <w:szCs w:val="24"/>
        </w:rPr>
        <w:t xml:space="preserve">. Cabe destacar </w:t>
      </w:r>
      <w:r w:rsidRPr="00B36C6E">
        <w:rPr>
          <w:rFonts w:cs="Times New Roman"/>
          <w:szCs w:val="24"/>
        </w:rPr>
        <w:lastRenderedPageBreak/>
        <w:t>que as organizações participantes do Programa são de grande relevância para a administração pública tendo em vista que são as entidades responsáveis por fiscalizar os gastos públicos, aquelas que exercem o nobre papel de controle e monitoramento da máquina administrativa pública em suas respectivas instâncias de atuação, estadual e/ou municipal (Moraes, 2006).</w:t>
      </w:r>
    </w:p>
    <w:p w14:paraId="58117E98" w14:textId="26071413" w:rsidR="00102F88" w:rsidRPr="00B36C6E" w:rsidRDefault="00102F88" w:rsidP="00102F88">
      <w:pPr>
        <w:ind w:firstLine="708"/>
        <w:rPr>
          <w:rFonts w:cs="Times New Roman"/>
          <w:szCs w:val="24"/>
        </w:rPr>
      </w:pPr>
      <w:r w:rsidRPr="00B36C6E">
        <w:rPr>
          <w:rFonts w:cs="Times New Roman"/>
          <w:szCs w:val="24"/>
        </w:rPr>
        <w:t>Essa pesquisa está estruturada em cinco seções para além desta introdução: (i) o referencial teórico que aborda as características das entidades fiscalizadoras superiores, a estrutura do controle e dos Tribunais de Contas Brasileiros; (</w:t>
      </w:r>
      <w:proofErr w:type="spellStart"/>
      <w:r w:rsidRPr="00B36C6E">
        <w:rPr>
          <w:rFonts w:cs="Times New Roman"/>
          <w:szCs w:val="24"/>
        </w:rPr>
        <w:t>ii</w:t>
      </w:r>
      <w:proofErr w:type="spellEnd"/>
      <w:r w:rsidRPr="00B36C6E">
        <w:rPr>
          <w:rFonts w:cs="Times New Roman"/>
          <w:szCs w:val="24"/>
        </w:rPr>
        <w:t>) os procedimentos metodológicos, que discorrem sobre o caráter descritivo da pesquisa; (</w:t>
      </w:r>
      <w:proofErr w:type="spellStart"/>
      <w:r w:rsidRPr="00B36C6E">
        <w:rPr>
          <w:rFonts w:cs="Times New Roman"/>
          <w:szCs w:val="24"/>
        </w:rPr>
        <w:t>iii</w:t>
      </w:r>
      <w:proofErr w:type="spellEnd"/>
      <w:r w:rsidRPr="00B36C6E">
        <w:rPr>
          <w:rFonts w:cs="Times New Roman"/>
          <w:szCs w:val="24"/>
        </w:rPr>
        <w:t xml:space="preserve">) os resultados da pesquisa, embasados nos relatórios de acompanhamento da execução do Programa e </w:t>
      </w:r>
      <w:r w:rsidR="00AB19A1" w:rsidRPr="00B36C6E">
        <w:rPr>
          <w:rFonts w:cs="Times New Roman"/>
          <w:szCs w:val="24"/>
        </w:rPr>
        <w:t xml:space="preserve">em diagnósticos posteriores ao término do </w:t>
      </w:r>
      <w:proofErr w:type="spellStart"/>
      <w:r w:rsidR="00AB19A1" w:rsidRPr="00B36C6E">
        <w:rPr>
          <w:rFonts w:cs="Times New Roman"/>
          <w:szCs w:val="24"/>
        </w:rPr>
        <w:t>Promoex</w:t>
      </w:r>
      <w:proofErr w:type="spellEnd"/>
      <w:r w:rsidRPr="00B36C6E">
        <w:rPr>
          <w:rFonts w:cs="Times New Roman"/>
          <w:szCs w:val="24"/>
        </w:rPr>
        <w:t>; e (</w:t>
      </w:r>
      <w:proofErr w:type="spellStart"/>
      <w:r w:rsidR="00AB19A1" w:rsidRPr="00B36C6E">
        <w:rPr>
          <w:rFonts w:cs="Times New Roman"/>
          <w:szCs w:val="24"/>
        </w:rPr>
        <w:t>i</w:t>
      </w:r>
      <w:r w:rsidRPr="00B36C6E">
        <w:rPr>
          <w:rFonts w:cs="Times New Roman"/>
          <w:szCs w:val="24"/>
        </w:rPr>
        <w:t>v</w:t>
      </w:r>
      <w:proofErr w:type="spellEnd"/>
      <w:r w:rsidRPr="00B36C6E">
        <w:rPr>
          <w:rFonts w:cs="Times New Roman"/>
          <w:szCs w:val="24"/>
        </w:rPr>
        <w:t>) as considerações finais e sugestões de pesquisas futuras.</w:t>
      </w:r>
    </w:p>
    <w:p w14:paraId="32327C1D" w14:textId="77777777" w:rsidR="00102F88" w:rsidRPr="00B36C6E" w:rsidRDefault="00102F88" w:rsidP="00102F88">
      <w:pPr>
        <w:rPr>
          <w:rFonts w:eastAsia="Calibri" w:cs="Times New Roman"/>
          <w:b/>
          <w:szCs w:val="24"/>
        </w:rPr>
      </w:pPr>
      <w:r w:rsidRPr="00B36C6E">
        <w:rPr>
          <w:rFonts w:cs="Times New Roman"/>
          <w:szCs w:val="24"/>
        </w:rPr>
        <w:t xml:space="preserve"> </w:t>
      </w:r>
    </w:p>
    <w:p w14:paraId="55D037C8" w14:textId="77777777" w:rsidR="00102F88" w:rsidRPr="00B36C6E" w:rsidRDefault="00102F88" w:rsidP="00102F88">
      <w:pPr>
        <w:ind w:left="709" w:firstLine="709"/>
        <w:rPr>
          <w:rFonts w:eastAsia="Calibri" w:cs="Times New Roman"/>
          <w:b/>
          <w:szCs w:val="24"/>
        </w:rPr>
      </w:pPr>
    </w:p>
    <w:p w14:paraId="2FF8C5EE" w14:textId="73B145F6" w:rsidR="00102F88" w:rsidRPr="00B36C6E" w:rsidRDefault="00102F88" w:rsidP="00102F88">
      <w:pPr>
        <w:pStyle w:val="Ttulo1"/>
        <w:rPr>
          <w:rFonts w:eastAsia="Calibri" w:cs="Times New Roman"/>
          <w:szCs w:val="24"/>
        </w:rPr>
      </w:pPr>
      <w:r w:rsidRPr="00B36C6E">
        <w:rPr>
          <w:rFonts w:eastAsia="Calibri" w:cs="Times New Roman"/>
          <w:szCs w:val="24"/>
        </w:rPr>
        <w:t xml:space="preserve">Referencial </w:t>
      </w:r>
      <w:r w:rsidR="00B013C5" w:rsidRPr="00B36C6E">
        <w:rPr>
          <w:rFonts w:eastAsia="Calibri" w:cs="Times New Roman"/>
          <w:szCs w:val="24"/>
        </w:rPr>
        <w:t>Bibliográfico</w:t>
      </w:r>
    </w:p>
    <w:p w14:paraId="75CDFFDE" w14:textId="72D5D34B" w:rsidR="00102F88" w:rsidRPr="00B36C6E" w:rsidRDefault="00B013C5" w:rsidP="00B36C6E">
      <w:pPr>
        <w:ind w:firstLine="708"/>
        <w:rPr>
          <w:rFonts w:cs="Times New Roman"/>
          <w:szCs w:val="24"/>
        </w:rPr>
      </w:pPr>
      <w:r w:rsidRPr="00B36C6E">
        <w:rPr>
          <w:rFonts w:cs="Times New Roman"/>
          <w:szCs w:val="24"/>
        </w:rPr>
        <w:t>Neste referencial, apresentam-se o contexto das entidades fiscalizadoras superiores, com especificidade para os tribunais de contas</w:t>
      </w:r>
      <w:r w:rsidR="00B36C6E" w:rsidRPr="00B36C6E">
        <w:rPr>
          <w:rFonts w:cs="Times New Roman"/>
          <w:szCs w:val="24"/>
        </w:rPr>
        <w:t xml:space="preserve">, descrevendo </w:t>
      </w:r>
      <w:r w:rsidRPr="00B36C6E">
        <w:rPr>
          <w:rFonts w:cs="Times New Roman"/>
          <w:szCs w:val="24"/>
        </w:rPr>
        <w:t xml:space="preserve">o que foi o </w:t>
      </w:r>
      <w:proofErr w:type="spellStart"/>
      <w:r w:rsidRPr="00B36C6E">
        <w:rPr>
          <w:rFonts w:cs="Times New Roman"/>
          <w:szCs w:val="24"/>
        </w:rPr>
        <w:t>Promoex</w:t>
      </w:r>
      <w:proofErr w:type="spellEnd"/>
      <w:r w:rsidRPr="00B36C6E">
        <w:rPr>
          <w:rFonts w:cs="Times New Roman"/>
          <w:szCs w:val="24"/>
        </w:rPr>
        <w:t xml:space="preserve"> e sua proposta.</w:t>
      </w:r>
    </w:p>
    <w:p w14:paraId="626BBF17" w14:textId="77777777" w:rsidR="00B013C5" w:rsidRPr="00B36C6E" w:rsidRDefault="00B013C5" w:rsidP="00B36C6E">
      <w:pPr>
        <w:ind w:firstLine="708"/>
        <w:rPr>
          <w:rFonts w:cs="Times New Roman"/>
          <w:szCs w:val="24"/>
        </w:rPr>
      </w:pPr>
    </w:p>
    <w:p w14:paraId="7ADDE1A1" w14:textId="77777777" w:rsidR="00102F88" w:rsidRPr="00B36C6E" w:rsidRDefault="00102F88" w:rsidP="00102F88">
      <w:pPr>
        <w:pStyle w:val="Ttulo2"/>
        <w:rPr>
          <w:rFonts w:eastAsia="Calibri"/>
        </w:rPr>
      </w:pPr>
      <w:r w:rsidRPr="00B36C6E">
        <w:rPr>
          <w:rFonts w:eastAsia="Calibri"/>
        </w:rPr>
        <w:t>2.1 Entidades fiscalizadores superiores</w:t>
      </w:r>
    </w:p>
    <w:p w14:paraId="2D25D29A" w14:textId="77777777" w:rsidR="00102F88" w:rsidRPr="00B36C6E" w:rsidRDefault="00102F88" w:rsidP="00102F88">
      <w:pPr>
        <w:ind w:firstLine="709"/>
        <w:rPr>
          <w:rFonts w:cs="Times New Roman"/>
          <w:szCs w:val="24"/>
        </w:rPr>
      </w:pPr>
      <w:r w:rsidRPr="00B36C6E">
        <w:rPr>
          <w:rFonts w:cs="Times New Roman"/>
          <w:szCs w:val="24"/>
        </w:rPr>
        <w:t>Antes de abordar os objetivos e as características das entidades fiscalizadoras, faz-se necessário trazer um histórico sobre essas instituições, além de perpassar sobre as formas de controle da Administração Pública e sobre os modelos mais comuns de controle.</w:t>
      </w:r>
    </w:p>
    <w:p w14:paraId="1F0D3431" w14:textId="77777777" w:rsidR="00102F88" w:rsidRPr="00B36C6E" w:rsidRDefault="00102F88" w:rsidP="00102F88">
      <w:pPr>
        <w:ind w:firstLine="709"/>
        <w:rPr>
          <w:rFonts w:cs="Times New Roman"/>
          <w:szCs w:val="24"/>
        </w:rPr>
      </w:pPr>
      <w:r w:rsidRPr="00B36C6E">
        <w:rPr>
          <w:rFonts w:cs="Times New Roman"/>
          <w:szCs w:val="24"/>
        </w:rPr>
        <w:t xml:space="preserve">As instituições superiores de controle, em âmbito mundial, têm longa tradição e, em alguns sistemas políticos, existem há vários séculos. </w:t>
      </w:r>
      <w:proofErr w:type="spellStart"/>
      <w:r w:rsidRPr="00B36C6E">
        <w:rPr>
          <w:rFonts w:cs="Times New Roman"/>
          <w:szCs w:val="24"/>
        </w:rPr>
        <w:t>Speck</w:t>
      </w:r>
      <w:proofErr w:type="spellEnd"/>
      <w:r w:rsidRPr="00B36C6E">
        <w:rPr>
          <w:rFonts w:cs="Times New Roman"/>
          <w:szCs w:val="24"/>
        </w:rPr>
        <w:t xml:space="preserve"> (2000) aponta que uma etapa importante da afirmação do controle como função específica foi a implantação de instituições independentes da execução administrativa, com foco estrito no controle financeiro-patrimonial.</w:t>
      </w:r>
    </w:p>
    <w:p w14:paraId="5897F1E6" w14:textId="77777777" w:rsidR="00102F88" w:rsidRPr="00B36C6E" w:rsidRDefault="00102F88" w:rsidP="00102F88">
      <w:pPr>
        <w:ind w:firstLine="709"/>
        <w:rPr>
          <w:rFonts w:cs="Times New Roman"/>
          <w:szCs w:val="24"/>
        </w:rPr>
      </w:pPr>
      <w:r w:rsidRPr="00B36C6E">
        <w:rPr>
          <w:rFonts w:cs="Times New Roman"/>
          <w:szCs w:val="24"/>
        </w:rPr>
        <w:t>O controle da Administração Pública pode se dar de diversas formas, como o controle administrativo, político, jurídico, social. Segundo Ribeiro (2002), o controle exercido pelas entidades de fiscalização superiores transita por esses diversos tipos de controle: no administrativo, a sociedade anseia pelo desenvolvimento do sistema de controle; no político, as Entidades Fiscalizadoras Superiores (EFS), vinculadas ao Poder Legislativo, dão apoio técnico para o exercício do controle externo dos demais poderes; no judiciário (apesar de não fazerem parte do Poder Judiciário) as EFS devem repassar informações para o Ministério Público ou o Poder Judiciário ao encontrarem ilegalidades (destaca-se também a importação de procedimentos judiciais para o âmbito do controle); no social, as EFS recebem denúncias feitas pelos cidadãos e representações realizadas por autoridades, com intuito de iniciar investigações.</w:t>
      </w:r>
    </w:p>
    <w:p w14:paraId="5827E3F0" w14:textId="77777777" w:rsidR="00102F88" w:rsidRPr="00B36C6E" w:rsidRDefault="00102F88" w:rsidP="00102F88">
      <w:pPr>
        <w:ind w:firstLine="709"/>
        <w:rPr>
          <w:rFonts w:cs="Times New Roman"/>
          <w:szCs w:val="24"/>
        </w:rPr>
      </w:pPr>
      <w:r w:rsidRPr="00B36C6E">
        <w:rPr>
          <w:rFonts w:cs="Times New Roman"/>
          <w:szCs w:val="24"/>
        </w:rPr>
        <w:t>Ribeiro (2002) ainda aponta que o papel das Entidades Fiscalizadoras Superiores em cada parte do mundo se desenvolve de acordo com a cultura e o ordenamento jurídico de cada país e representam, de forma geral, um conjunto das várias formas de se exercer a função controle. A despeito das várias formatações que as entidades fiscalizadoras assumem ao redor do mundo, Ribeiro (2002) destaca dois modelos clássicos: o de Tribunais de Contas e os de Controladorias, cada qual com características próprias.</w:t>
      </w:r>
    </w:p>
    <w:p w14:paraId="0D6050CC" w14:textId="77777777" w:rsidR="00102F88" w:rsidRPr="00B36C6E" w:rsidRDefault="00102F88" w:rsidP="00102F88">
      <w:pPr>
        <w:ind w:firstLine="709"/>
        <w:rPr>
          <w:rFonts w:cs="Times New Roman"/>
          <w:szCs w:val="24"/>
        </w:rPr>
      </w:pPr>
      <w:r w:rsidRPr="00B36C6E">
        <w:rPr>
          <w:rFonts w:cs="Times New Roman"/>
          <w:szCs w:val="24"/>
        </w:rPr>
        <w:t xml:space="preserve">O modelo Tribunal de Contas, instituído primeiramente pela França em 1807, tem como característica marcante a posição equidistante da instituição de ambos os poderes, tornando-os órgãos independentes e autônomos na definição de suas atividades, que podem responsabilizar os agentes políticos quanto à regularidade e legalidade da gestão </w:t>
      </w:r>
      <w:r w:rsidRPr="00B36C6E">
        <w:rPr>
          <w:rFonts w:cs="Times New Roman"/>
          <w:szCs w:val="24"/>
        </w:rPr>
        <w:lastRenderedPageBreak/>
        <w:t>financeira (SPECK; 2000). Ribeiro (2002) acrescenta ainda as seguintes características: processo decisório por colegiado, vitaliciedade de Ministros e Conselheiros, poderes jurisdicionais (instância administrativa), poder coercitivo, procedimentos de fiscalização formais, burocráticos e legalistas.</w:t>
      </w:r>
    </w:p>
    <w:p w14:paraId="43085715" w14:textId="77777777" w:rsidR="00102F88" w:rsidRPr="00B36C6E" w:rsidRDefault="00102F88" w:rsidP="00102F88">
      <w:pPr>
        <w:ind w:firstLine="709"/>
        <w:rPr>
          <w:rFonts w:cs="Times New Roman"/>
          <w:szCs w:val="24"/>
        </w:rPr>
      </w:pPr>
      <w:r w:rsidRPr="00B36C6E">
        <w:rPr>
          <w:rFonts w:cs="Times New Roman"/>
          <w:szCs w:val="24"/>
        </w:rPr>
        <w:t>Já o modelo de Controladorias (ou Auditorias-Gerais) apresenta regime de mandato, controle de caráter opinativo ou consultivo, não possui poderes jurisdicionais e coercitivos (são geralmente vinculados a algum dos Poderes que tenham força coercitiva), predominância de decisões monocráticas, uso de técnicas de auditorias semelhantes aos utilizados por empresas privadas de auditoria (RIBEIRO; 2002).</w:t>
      </w:r>
    </w:p>
    <w:p w14:paraId="3201AA94" w14:textId="77777777" w:rsidR="00102F88" w:rsidRPr="00B36C6E" w:rsidRDefault="00102F88" w:rsidP="00102F88">
      <w:pPr>
        <w:ind w:firstLine="709"/>
        <w:rPr>
          <w:rFonts w:cs="Times New Roman"/>
          <w:szCs w:val="24"/>
        </w:rPr>
      </w:pPr>
      <w:r w:rsidRPr="00B36C6E">
        <w:rPr>
          <w:rFonts w:cs="Times New Roman"/>
          <w:szCs w:val="24"/>
        </w:rPr>
        <w:t xml:space="preserve">De acordo com a Organização Internacional de Entidades Fiscalizadoras Superiores (INTOSAI), a principal tarefa de uma </w:t>
      </w:r>
      <w:proofErr w:type="spellStart"/>
      <w:r w:rsidRPr="00B36C6E">
        <w:rPr>
          <w:rFonts w:cs="Times New Roman"/>
          <w:szCs w:val="24"/>
        </w:rPr>
        <w:t>Supreme</w:t>
      </w:r>
      <w:proofErr w:type="spellEnd"/>
      <w:r w:rsidRPr="00B36C6E">
        <w:rPr>
          <w:rFonts w:cs="Times New Roman"/>
          <w:szCs w:val="24"/>
        </w:rPr>
        <w:t xml:space="preserve"> </w:t>
      </w:r>
      <w:proofErr w:type="spellStart"/>
      <w:r w:rsidRPr="00B36C6E">
        <w:rPr>
          <w:rFonts w:cs="Times New Roman"/>
          <w:szCs w:val="24"/>
        </w:rPr>
        <w:t>Audit</w:t>
      </w:r>
      <w:proofErr w:type="spellEnd"/>
      <w:r w:rsidRPr="00B36C6E">
        <w:rPr>
          <w:rFonts w:cs="Times New Roman"/>
          <w:szCs w:val="24"/>
        </w:rPr>
        <w:t xml:space="preserve"> </w:t>
      </w:r>
      <w:proofErr w:type="spellStart"/>
      <w:r w:rsidRPr="00B36C6E">
        <w:rPr>
          <w:rFonts w:cs="Times New Roman"/>
          <w:szCs w:val="24"/>
        </w:rPr>
        <w:t>Institution</w:t>
      </w:r>
      <w:proofErr w:type="spellEnd"/>
      <w:r w:rsidRPr="00B36C6E">
        <w:rPr>
          <w:rFonts w:cs="Times New Roman"/>
          <w:szCs w:val="24"/>
        </w:rPr>
        <w:t xml:space="preserve"> (SAI), ou entidade fiscalizadora superior, é examinar se os recursos públicos estão sendo gastos de forma econômica e eficiente, e em conformidade com as regras e regulamentações existentes (INTOSAI; 2013). As SAI precisam ser independentes das entidades que são auditadas e precisam estar protegidas de influências exteriores. Também se faz necessário que os métodos de auditoria sejam baseados em conhecimentos técnico-científicos e que os auditores tenham qualificação profissional e integridade moral.</w:t>
      </w:r>
    </w:p>
    <w:p w14:paraId="04F9C377" w14:textId="77777777" w:rsidR="00102F88" w:rsidRPr="00B36C6E" w:rsidRDefault="00102F88" w:rsidP="00102F88">
      <w:pPr>
        <w:ind w:firstLine="709"/>
        <w:rPr>
          <w:rFonts w:cs="Times New Roman"/>
          <w:szCs w:val="24"/>
        </w:rPr>
      </w:pPr>
      <w:r w:rsidRPr="00B36C6E">
        <w:rPr>
          <w:rFonts w:cs="Times New Roman"/>
          <w:szCs w:val="24"/>
        </w:rPr>
        <w:t xml:space="preserve">Cada país geralmente tem ao menos uma entidade fiscalizadora superior, responsável pela auditoria das contas governamentais e promoção de uma melhor gestão financeira e </w:t>
      </w:r>
      <w:proofErr w:type="spellStart"/>
      <w:r w:rsidRPr="00B36C6E">
        <w:rPr>
          <w:rFonts w:cs="Times New Roman"/>
          <w:i/>
          <w:szCs w:val="24"/>
        </w:rPr>
        <w:t>accountability</w:t>
      </w:r>
      <w:proofErr w:type="spellEnd"/>
      <w:r w:rsidRPr="00B36C6E">
        <w:rPr>
          <w:rFonts w:cs="Times New Roman"/>
          <w:szCs w:val="24"/>
        </w:rPr>
        <w:t xml:space="preserve"> nos governos. No Brasil, o Tribunal de Contas da União (TCU) é um dos 191 membros da INTOSAI, organização criada em 1953 com objetivo de operar como apoio ao sistema de controle externo da Administração Pública em esfera mundial (CASTALDELLI JR. AQUINO; 2011). De acordo com pesquisa realizada por </w:t>
      </w:r>
      <w:proofErr w:type="spellStart"/>
      <w:r w:rsidRPr="00B36C6E">
        <w:rPr>
          <w:rFonts w:cs="Times New Roman"/>
          <w:szCs w:val="24"/>
        </w:rPr>
        <w:t>Barretto</w:t>
      </w:r>
      <w:proofErr w:type="spellEnd"/>
      <w:r w:rsidRPr="00B36C6E">
        <w:rPr>
          <w:rFonts w:cs="Times New Roman"/>
          <w:szCs w:val="24"/>
        </w:rPr>
        <w:t xml:space="preserve"> (2004), 27% das entidades-membro da INTOSAI estavam organizadas sob a forma de tribunal de contas e a maioria delas (73%), sob a forma de controladoria ou auditoria geral.</w:t>
      </w:r>
    </w:p>
    <w:p w14:paraId="7CCC5B95" w14:textId="77777777" w:rsidR="00102F88" w:rsidRPr="00B36C6E" w:rsidRDefault="00102F88" w:rsidP="00102F88">
      <w:pPr>
        <w:ind w:firstLine="709"/>
        <w:rPr>
          <w:rFonts w:cs="Times New Roman"/>
          <w:szCs w:val="24"/>
        </w:rPr>
      </w:pPr>
      <w:r w:rsidRPr="00B36C6E">
        <w:rPr>
          <w:rFonts w:cs="Times New Roman"/>
          <w:szCs w:val="24"/>
        </w:rPr>
        <w:t xml:space="preserve">Um ponto que vem sendo bastante discutido nos últimos tempos pelas entidades fiscalizadoras é a auditoria de desempenho. Diferentemente da auditoria tradicional, as auditorias de desempenho, segundo </w:t>
      </w:r>
      <w:proofErr w:type="spellStart"/>
      <w:r w:rsidRPr="00B36C6E">
        <w:rPr>
          <w:rFonts w:cs="Times New Roman"/>
          <w:szCs w:val="24"/>
        </w:rPr>
        <w:t>Barzelay</w:t>
      </w:r>
      <w:proofErr w:type="spellEnd"/>
      <w:r w:rsidRPr="00B36C6E">
        <w:rPr>
          <w:rFonts w:cs="Times New Roman"/>
          <w:szCs w:val="24"/>
        </w:rPr>
        <w:t xml:space="preserve"> (2002), são avaliações de programas governamentais conduzidas de forma similar a uma auditoria. Essa forma de controle é bastante difundida em países de cultura anglo-saxônica e sistema </w:t>
      </w:r>
      <w:r w:rsidRPr="00B36C6E">
        <w:rPr>
          <w:rFonts w:cs="Times New Roman"/>
          <w:i/>
          <w:szCs w:val="24"/>
        </w:rPr>
        <w:t>Common Law</w:t>
      </w:r>
      <w:r w:rsidRPr="00B36C6E">
        <w:rPr>
          <w:rFonts w:cs="Times New Roman"/>
          <w:szCs w:val="24"/>
        </w:rPr>
        <w:t xml:space="preserve"> (EUA, Austrália, Reino Unido), focando no controle de políticas públicas e não na primazia do controle ato a ato (KELLES, 2007).</w:t>
      </w:r>
    </w:p>
    <w:p w14:paraId="46E25B8A" w14:textId="77777777" w:rsidR="00102F88" w:rsidRPr="00B36C6E" w:rsidRDefault="00102F88" w:rsidP="00102F88">
      <w:pPr>
        <w:ind w:firstLine="709"/>
        <w:rPr>
          <w:rFonts w:cs="Times New Roman"/>
          <w:szCs w:val="24"/>
        </w:rPr>
      </w:pPr>
      <w:proofErr w:type="spellStart"/>
      <w:r w:rsidRPr="00B36C6E">
        <w:rPr>
          <w:rFonts w:cs="Times New Roman"/>
          <w:szCs w:val="24"/>
        </w:rPr>
        <w:t>Barzelay</w:t>
      </w:r>
      <w:proofErr w:type="spellEnd"/>
      <w:r w:rsidRPr="00B36C6E">
        <w:rPr>
          <w:rFonts w:cs="Times New Roman"/>
          <w:szCs w:val="24"/>
        </w:rPr>
        <w:t xml:space="preserve"> (2002) aponta que a institucionalização da auditoria de desempenho afeta a atuação das entidades fiscalizadoras, uma vez que essas organizações têm suas raízes na realização de auditorias tradicionais de regularidade. A adoção de auditoria de desempenho pode acarretar mudanças significativas no trabalho desempenhado pelas entidades fiscalizadoras, em diferentes níveis da organização, incluindo a missão institucional, os procedimentos e o estilo de trabalho (CASTALDELLI JR.; AQUINO; 2011; BARZELAY, 2002).</w:t>
      </w:r>
    </w:p>
    <w:p w14:paraId="74DE9313" w14:textId="0A875FEC" w:rsidR="00102F88" w:rsidRPr="00B36C6E" w:rsidRDefault="00102F88" w:rsidP="00102F88">
      <w:pPr>
        <w:ind w:firstLine="709"/>
        <w:rPr>
          <w:rFonts w:cs="Times New Roman"/>
          <w:szCs w:val="24"/>
        </w:rPr>
      </w:pPr>
      <w:proofErr w:type="spellStart"/>
      <w:r w:rsidRPr="00B36C6E">
        <w:rPr>
          <w:rFonts w:cs="Times New Roman"/>
          <w:szCs w:val="24"/>
        </w:rPr>
        <w:t>Castaldelli</w:t>
      </w:r>
      <w:proofErr w:type="spellEnd"/>
      <w:r w:rsidRPr="00B36C6E">
        <w:rPr>
          <w:rFonts w:cs="Times New Roman"/>
          <w:szCs w:val="24"/>
        </w:rPr>
        <w:t xml:space="preserve"> Jr. e Aquino (2011) sinalizam para uma evolução observada nas </w:t>
      </w:r>
      <w:proofErr w:type="spellStart"/>
      <w:r w:rsidRPr="00B36C6E">
        <w:rPr>
          <w:rFonts w:cs="Times New Roman"/>
          <w:szCs w:val="24"/>
        </w:rPr>
        <w:t>SAI´s</w:t>
      </w:r>
      <w:proofErr w:type="spellEnd"/>
      <w:r w:rsidRPr="00B36C6E">
        <w:rPr>
          <w:rFonts w:cs="Times New Roman"/>
          <w:szCs w:val="24"/>
        </w:rPr>
        <w:t xml:space="preserve"> (de forma geral) em termos de organização, estrutura, competência, padrões de trabalho e divulgação do seu trabalho provocada por uma mudança na administração pública impulsionada pelo movimento da Nova Gestão Pública e por mudanças no ambiente legal. O autor aponta que esses fatos implicaram em uma mudança nas entidades fiscalizadoras, principalmente quanto às exigências de divulgação, maior transparência e </w:t>
      </w:r>
      <w:proofErr w:type="spellStart"/>
      <w:r w:rsidRPr="00B36C6E">
        <w:rPr>
          <w:rFonts w:cs="Times New Roman"/>
          <w:i/>
          <w:szCs w:val="24"/>
        </w:rPr>
        <w:t>accountability</w:t>
      </w:r>
      <w:proofErr w:type="spellEnd"/>
      <w:r w:rsidRPr="00B36C6E">
        <w:rPr>
          <w:rFonts w:cs="Times New Roman"/>
          <w:szCs w:val="24"/>
        </w:rPr>
        <w:t xml:space="preserve">. A sociedade passou a pressionar a administração pública por mais resultados, tornando necessário que as </w:t>
      </w:r>
      <w:proofErr w:type="spellStart"/>
      <w:r w:rsidRPr="00B36C6E">
        <w:rPr>
          <w:rFonts w:cs="Times New Roman"/>
          <w:szCs w:val="24"/>
        </w:rPr>
        <w:t>SAI´s</w:t>
      </w:r>
      <w:proofErr w:type="spellEnd"/>
      <w:r w:rsidRPr="00B36C6E">
        <w:rPr>
          <w:rFonts w:cs="Times New Roman"/>
          <w:szCs w:val="24"/>
        </w:rPr>
        <w:t xml:space="preserve"> passassem a adotar novos procedimentos para se adaptarem aos novos modelos. Novas estratégias de comunicação também passaram a ser utilizadas pelas entidades fiscalizadoras para comunicarem seus resultados </w:t>
      </w:r>
      <w:r w:rsidRPr="00B36C6E">
        <w:rPr>
          <w:rFonts w:cs="Times New Roman"/>
          <w:szCs w:val="24"/>
        </w:rPr>
        <w:lastRenderedPageBreak/>
        <w:t xml:space="preserve">aos </w:t>
      </w:r>
      <w:r w:rsidRPr="00B36C6E">
        <w:rPr>
          <w:rFonts w:cs="Times New Roman"/>
          <w:i/>
          <w:szCs w:val="24"/>
        </w:rPr>
        <w:t>stakeholders</w:t>
      </w:r>
      <w:r w:rsidRPr="00B36C6E">
        <w:rPr>
          <w:rFonts w:cs="Times New Roman"/>
          <w:szCs w:val="24"/>
        </w:rPr>
        <w:t xml:space="preserve"> (GONZÁLEZ; LOPES; GARCIA, 2008).</w:t>
      </w:r>
      <w:r w:rsidR="00F327D3" w:rsidRPr="00B36C6E">
        <w:rPr>
          <w:rFonts w:cs="Times New Roman"/>
          <w:szCs w:val="24"/>
        </w:rPr>
        <w:t xml:space="preserve"> Os estudos de </w:t>
      </w:r>
      <w:proofErr w:type="spellStart"/>
      <w:r w:rsidR="00F327D3" w:rsidRPr="00B36C6E">
        <w:rPr>
          <w:rFonts w:cs="Times New Roman"/>
          <w:szCs w:val="24"/>
        </w:rPr>
        <w:t>Pollit</w:t>
      </w:r>
      <w:proofErr w:type="spellEnd"/>
      <w:r w:rsidR="00F327D3" w:rsidRPr="00B36C6E">
        <w:rPr>
          <w:rFonts w:cs="Times New Roman"/>
          <w:szCs w:val="24"/>
        </w:rPr>
        <w:t xml:space="preserve"> e </w:t>
      </w:r>
      <w:proofErr w:type="spellStart"/>
      <w:r w:rsidR="00F327D3" w:rsidRPr="00B36C6E">
        <w:rPr>
          <w:rFonts w:cs="Times New Roman"/>
          <w:szCs w:val="24"/>
        </w:rPr>
        <w:t>Bouckaerat</w:t>
      </w:r>
      <w:proofErr w:type="spellEnd"/>
      <w:r w:rsidR="00F327D3" w:rsidRPr="00B36C6E">
        <w:rPr>
          <w:rFonts w:cs="Times New Roman"/>
          <w:szCs w:val="24"/>
        </w:rPr>
        <w:t xml:space="preserve"> (2011) em doze países apontam mudanças significativas na condução da</w:t>
      </w:r>
      <w:r w:rsidR="00F327D3" w:rsidRPr="00B36C6E">
        <w:t xml:space="preserve"> </w:t>
      </w:r>
      <w:r w:rsidR="00F327D3" w:rsidRPr="00B36C6E">
        <w:rPr>
          <w:rFonts w:cs="Times New Roman"/>
          <w:szCs w:val="24"/>
        </w:rPr>
        <w:t>auditoria pública que passa a ter maior enfoque na efetividade.</w:t>
      </w:r>
    </w:p>
    <w:p w14:paraId="19BD26DB" w14:textId="77777777" w:rsidR="00102F88" w:rsidRPr="00B36C6E" w:rsidRDefault="00102F88" w:rsidP="00102F88">
      <w:pPr>
        <w:ind w:firstLine="709"/>
        <w:rPr>
          <w:rFonts w:cs="Times New Roman"/>
          <w:szCs w:val="24"/>
        </w:rPr>
      </w:pPr>
      <w:r w:rsidRPr="00B36C6E">
        <w:rPr>
          <w:rFonts w:cs="Times New Roman"/>
          <w:szCs w:val="24"/>
        </w:rPr>
        <w:t>A seguir, serão apresentadas as características dos Tribunais de Contas brasileiros e da estrutura de controle adotada.</w:t>
      </w:r>
    </w:p>
    <w:p w14:paraId="08886938" w14:textId="77777777" w:rsidR="00102F88" w:rsidRPr="00B36C6E" w:rsidRDefault="00102F88" w:rsidP="00102F88">
      <w:pPr>
        <w:ind w:firstLine="709"/>
        <w:rPr>
          <w:rFonts w:cs="Times New Roman"/>
          <w:szCs w:val="24"/>
        </w:rPr>
      </w:pPr>
    </w:p>
    <w:p w14:paraId="74392BA8" w14:textId="77777777" w:rsidR="00102F88" w:rsidRPr="00B36C6E" w:rsidRDefault="00102F88" w:rsidP="00102F88">
      <w:pPr>
        <w:pStyle w:val="Ttulo2"/>
      </w:pPr>
      <w:bookmarkStart w:id="1" w:name="_Toc371791636"/>
      <w:r w:rsidRPr="00B36C6E">
        <w:t>2.2 Os Tribunais de Contas brasileiros e a estrutura de controle</w:t>
      </w:r>
      <w:bookmarkEnd w:id="1"/>
    </w:p>
    <w:p w14:paraId="504CD393" w14:textId="77777777" w:rsidR="00102F88" w:rsidRPr="00B36C6E" w:rsidRDefault="00102F88" w:rsidP="00102F88">
      <w:pPr>
        <w:ind w:firstLine="709"/>
        <w:rPr>
          <w:rFonts w:cs="Times New Roman"/>
          <w:szCs w:val="24"/>
        </w:rPr>
      </w:pPr>
    </w:p>
    <w:p w14:paraId="2E5D9EDF" w14:textId="77777777" w:rsidR="00102F88" w:rsidRPr="00B36C6E" w:rsidRDefault="00102F88" w:rsidP="00102F88">
      <w:pPr>
        <w:ind w:firstLine="709"/>
        <w:rPr>
          <w:rFonts w:cs="Times New Roman"/>
          <w:szCs w:val="24"/>
        </w:rPr>
      </w:pPr>
      <w:r w:rsidRPr="00B36C6E">
        <w:rPr>
          <w:rFonts w:cs="Times New Roman"/>
          <w:szCs w:val="24"/>
        </w:rPr>
        <w:t xml:space="preserve">No Brasil, existe o Tribunal de Contas da União (TCU), na esfera nacional, considerado uma SAI, e na esfera subnacional existem 33 Tribunais de Contas: quatro Tribunais dos Municípios dos Estados da Bahia, Ceará, Goiás e Pará; 26 referentes aos Estados da Federação; um do Distrito Federal (estes com jurisdição estadual); e dois Tribunais do Município (capital) do Rio de Janeiro e de São Paulo. </w:t>
      </w:r>
    </w:p>
    <w:p w14:paraId="58A49D23" w14:textId="77777777" w:rsidR="00102F88" w:rsidRPr="00B36C6E" w:rsidRDefault="00102F88" w:rsidP="00102F88">
      <w:pPr>
        <w:ind w:firstLine="709"/>
        <w:rPr>
          <w:rFonts w:cs="Times New Roman"/>
          <w:szCs w:val="24"/>
        </w:rPr>
      </w:pPr>
      <w:r w:rsidRPr="00B36C6E">
        <w:rPr>
          <w:rFonts w:cs="Times New Roman"/>
          <w:szCs w:val="24"/>
        </w:rPr>
        <w:t xml:space="preserve">Os Tribunais de Contas brasileiros são os órgãos responsáveis pelo controle externo, compondo, juntamente com o TCU, o sistema de controle externo. Dentre suas competências constitucionais, destaca-se a apreciação das contas prestadas pelos Chefes do Poder Executivo e julgar as contas dos administradores e demais responsáveis por dinheiros, bens e valores públicos da administração direta e indireta (Quintal </w:t>
      </w:r>
      <w:r w:rsidRPr="00B36C6E">
        <w:rPr>
          <w:rFonts w:cs="Times New Roman"/>
          <w:i/>
          <w:szCs w:val="24"/>
        </w:rPr>
        <w:t>et. al.</w:t>
      </w:r>
      <w:r w:rsidRPr="00B36C6E">
        <w:rPr>
          <w:rFonts w:cs="Times New Roman"/>
          <w:szCs w:val="24"/>
        </w:rPr>
        <w:t xml:space="preserve">, 2012; BRASIL, 2012). Os Tribunais são órgãos da Administração direta e que possuem autonomia administrativa. Dentre as principais características tem-se o caráter colegiado das decisões e o poder coercitivo de impor sanções (MORAES, 2006). </w:t>
      </w:r>
    </w:p>
    <w:p w14:paraId="3E2D3689" w14:textId="77777777" w:rsidR="00102F88" w:rsidRPr="00B36C6E" w:rsidRDefault="00102F88" w:rsidP="00102F88">
      <w:pPr>
        <w:ind w:firstLine="709"/>
        <w:rPr>
          <w:rFonts w:cs="Times New Roman"/>
          <w:szCs w:val="24"/>
        </w:rPr>
      </w:pPr>
      <w:r w:rsidRPr="00B36C6E">
        <w:rPr>
          <w:rFonts w:cs="Times New Roman"/>
          <w:szCs w:val="24"/>
        </w:rPr>
        <w:t xml:space="preserve">Cada Tribunal de Contas brasileiro atua de forma autônoma, não tendo sido criado, ainda, um órgão central que dite regras para todos os Tribunais de Contas. Deste modo, cada Tribunal possui seus procedimentos próprios de gestão, e suas formas específicas de </w:t>
      </w:r>
      <w:proofErr w:type="spellStart"/>
      <w:r w:rsidRPr="00B36C6E">
        <w:rPr>
          <w:rFonts w:cs="Times New Roman"/>
          <w:i/>
          <w:szCs w:val="24"/>
        </w:rPr>
        <w:t>accountability</w:t>
      </w:r>
      <w:proofErr w:type="spellEnd"/>
      <w:r w:rsidRPr="00B36C6E">
        <w:rPr>
          <w:rFonts w:cs="Times New Roman"/>
          <w:szCs w:val="24"/>
        </w:rPr>
        <w:t>. Para Fernandes (2003), os Tribunais de Contas não funcionam de modo integrado, o que dificulta a ação do controle quando há envolvimento de recursos de mais de uma esfera do governo ou até de uma só esfera, mas aplicados por autoridades de outra. Cada Tribunal atua, em sua esfera de federação, como instância máxima. Existe a possibilidade de Criação de um Conselho dos Tribunais de Contas (Projeto de Emenda Constitucional n. 28) que seria competente pelo controle da atuação administrativa e financeira dos Tribunais de Contas e do cumprimento dos deveres funcionais dos Conselheiros, Auditores e Representantes do Ministério Público (BRASIL, 2013).</w:t>
      </w:r>
    </w:p>
    <w:p w14:paraId="6791F20B" w14:textId="77777777" w:rsidR="00102F88" w:rsidRPr="00B36C6E" w:rsidRDefault="00102F88" w:rsidP="00102F88">
      <w:pPr>
        <w:ind w:firstLine="709"/>
        <w:rPr>
          <w:rFonts w:cs="Times New Roman"/>
          <w:szCs w:val="24"/>
        </w:rPr>
      </w:pPr>
      <w:proofErr w:type="spellStart"/>
      <w:r w:rsidRPr="00B36C6E">
        <w:rPr>
          <w:rFonts w:cs="Times New Roman"/>
          <w:szCs w:val="24"/>
        </w:rPr>
        <w:t>Bugarin</w:t>
      </w:r>
      <w:proofErr w:type="spellEnd"/>
      <w:r w:rsidRPr="00B36C6E">
        <w:rPr>
          <w:rFonts w:cs="Times New Roman"/>
          <w:szCs w:val="24"/>
        </w:rPr>
        <w:t>, Vieira e Garcia (2003) apontam que a Constituição Federal de 1988 ampliou a abrangência do controle externo, incluindo também o controle social e a avaliação do cumprimento das metas do governo, o que gerou novas atribuições aos órgãos de controle, ampliando suas competências para além de aspectos formalísticos até então dominantes (Loureiro, Teixeira e Moraes, 2009).</w:t>
      </w:r>
    </w:p>
    <w:p w14:paraId="64FF8CC0" w14:textId="77777777" w:rsidR="00102F88" w:rsidRPr="00B36C6E" w:rsidRDefault="00102F88" w:rsidP="00102F88">
      <w:pPr>
        <w:ind w:firstLine="709"/>
        <w:rPr>
          <w:rFonts w:cs="Times New Roman"/>
          <w:szCs w:val="24"/>
        </w:rPr>
      </w:pPr>
      <w:r w:rsidRPr="00B36C6E">
        <w:rPr>
          <w:rFonts w:cs="Times New Roman"/>
          <w:szCs w:val="24"/>
        </w:rPr>
        <w:t>A estrutura de controle desenvolvida no Brasil é híbrida uma vez que os Tribunais de Contas assumem atribuições típicas de controladorias com uma estrutura de Tribunal de Contas. Desde a Constituição de 1988, os Tribunais passaram a incorporar competências típicas de auditorias gerais, como: função de ouvidoria, de auditoria, fiscalizações e avaliações operacionais e de políticas governamentais (RIBEIRO, 2002). Segundo Ribeiro (2002, p.65) “esse acúmulo de atribuições, com uma estrutura fixa e com processos de tribunais leva a problemas de tempestividade na condução dos processos”.</w:t>
      </w:r>
    </w:p>
    <w:p w14:paraId="3AC78C26" w14:textId="77777777" w:rsidR="00102F88" w:rsidRPr="00B36C6E" w:rsidRDefault="00102F88" w:rsidP="00102F88">
      <w:pPr>
        <w:ind w:firstLine="709"/>
        <w:rPr>
          <w:rFonts w:cs="Times New Roman"/>
          <w:szCs w:val="24"/>
        </w:rPr>
      </w:pPr>
      <w:r w:rsidRPr="00B36C6E">
        <w:rPr>
          <w:rFonts w:cs="Times New Roman"/>
          <w:szCs w:val="24"/>
        </w:rPr>
        <w:t xml:space="preserve">Além dos problemas ora mencionados, uma pesquisa realizada pela Fundação Instituto de Administração (FIA/USP) no ano de 2002 sobre a imagem dos Tribunais de Contas brasileiros, com intuito de elaborar um diagnóstico dessas Cortes de Contas, apontou vários pontos falhos e oportunidades de melhoria na atuação dessas </w:t>
      </w:r>
      <w:r w:rsidRPr="00B36C6E">
        <w:rPr>
          <w:rFonts w:cs="Times New Roman"/>
          <w:szCs w:val="24"/>
        </w:rPr>
        <w:lastRenderedPageBreak/>
        <w:t>organizações. A pesquisa da FIA/USP foi originada para o Programa de Modernização do Sistema de Controle Externo dos Estados, Municípios e Distrito Federal (</w:t>
      </w:r>
      <w:proofErr w:type="spellStart"/>
      <w:r w:rsidRPr="00B36C6E">
        <w:rPr>
          <w:rFonts w:cs="Times New Roman"/>
          <w:szCs w:val="24"/>
        </w:rPr>
        <w:t>Promoex</w:t>
      </w:r>
      <w:proofErr w:type="spellEnd"/>
      <w:r w:rsidRPr="00B36C6E">
        <w:rPr>
          <w:rFonts w:cs="Times New Roman"/>
          <w:szCs w:val="24"/>
        </w:rPr>
        <w:t>), desenvolvido pelo Ministério do Planejamento, Orçamento e Gestão (MPOG) com recursos do Banco Interamericano de Desenvolvimento – BID (MAZZON; NOGUEIRA, 2002). O diagnóstico fez apontamentos em relação a cinco áreas, a saber:</w:t>
      </w:r>
    </w:p>
    <w:p w14:paraId="145864F3" w14:textId="77777777" w:rsidR="00102F88" w:rsidRPr="00B36C6E" w:rsidRDefault="00102F88" w:rsidP="00102F88">
      <w:pPr>
        <w:pStyle w:val="PargrafodaLista"/>
        <w:numPr>
          <w:ilvl w:val="0"/>
          <w:numId w:val="16"/>
        </w:numPr>
        <w:ind w:left="0" w:firstLine="709"/>
        <w:rPr>
          <w:rFonts w:cs="Times New Roman"/>
          <w:szCs w:val="24"/>
        </w:rPr>
      </w:pPr>
      <w:r w:rsidRPr="00B36C6E">
        <w:rPr>
          <w:rFonts w:cs="Times New Roman"/>
          <w:szCs w:val="24"/>
        </w:rPr>
        <w:t>Integração externa: Existe baixa integração técnica entre os Tribunais, levando ao desenvolvimento paralelo de soluções para problemas comuns, incorrendo em perda de tempo, recursos e conhecimentos; não existem procedimentos e práticas consolidados para os Tribunais, gerando diferentes interpretações sobre os atos julgados;</w:t>
      </w:r>
    </w:p>
    <w:p w14:paraId="1E257B45" w14:textId="1017D7DD" w:rsidR="00102F88" w:rsidRPr="00B36C6E" w:rsidRDefault="00B013C5" w:rsidP="00102F88">
      <w:pPr>
        <w:pStyle w:val="PargrafodaLista"/>
        <w:numPr>
          <w:ilvl w:val="0"/>
          <w:numId w:val="16"/>
        </w:numPr>
        <w:ind w:left="0" w:firstLine="709"/>
        <w:rPr>
          <w:rFonts w:cs="Times New Roman"/>
          <w:szCs w:val="24"/>
        </w:rPr>
      </w:pPr>
      <w:r w:rsidRPr="00B36C6E">
        <w:rPr>
          <w:rFonts w:cs="Times New Roman"/>
          <w:szCs w:val="24"/>
        </w:rPr>
        <w:t xml:space="preserve">Planejamento </w:t>
      </w:r>
      <w:r w:rsidR="00102F88" w:rsidRPr="00B36C6E">
        <w:rPr>
          <w:rFonts w:cs="Times New Roman"/>
          <w:szCs w:val="24"/>
        </w:rPr>
        <w:t>e controle gerencial: os processos de planejamento estratégico foram considerados incipientes, além de detectada ausência de efetiva participação e comprometimento do corpo técnico nos processos de planejamento. Também foi apontada quantificação inexpressiva de objetivos, metas e pontos de controle, e falta de mecanismos de avaliação de desempenho e acompanhamento de ações e investimentos; a grande maioria dos Tribunais compromete seus recursos com custeio, restando muito pouco para investimentos;</w:t>
      </w:r>
    </w:p>
    <w:p w14:paraId="1EF6DA5D" w14:textId="7DC0F73F" w:rsidR="00102F88" w:rsidRPr="00B36C6E" w:rsidRDefault="00B013C5" w:rsidP="00102F88">
      <w:pPr>
        <w:pStyle w:val="PargrafodaLista"/>
        <w:numPr>
          <w:ilvl w:val="0"/>
          <w:numId w:val="16"/>
        </w:numPr>
        <w:ind w:left="0" w:firstLine="709"/>
        <w:rPr>
          <w:rFonts w:cs="Times New Roman"/>
          <w:szCs w:val="24"/>
        </w:rPr>
      </w:pPr>
      <w:r w:rsidRPr="00B36C6E">
        <w:rPr>
          <w:rFonts w:cs="Times New Roman"/>
          <w:szCs w:val="24"/>
        </w:rPr>
        <w:t>Procedimentos</w:t>
      </w:r>
      <w:r w:rsidR="00102F88" w:rsidRPr="00B36C6E">
        <w:rPr>
          <w:rFonts w:cs="Times New Roman"/>
          <w:szCs w:val="24"/>
        </w:rPr>
        <w:t>-chave de trabalho: predomina um modelo burocrático de trabalho; uso de tecnologia da informação (TI) de forma não estratégica, com papel coadjuvante nos procedimentos chave, gerando fragmentação do trabalho, morosidade, criação de estoques físicos de processos, necessidade de um grande número de operações manuais;</w:t>
      </w:r>
    </w:p>
    <w:p w14:paraId="7F23E285" w14:textId="6EDA3467" w:rsidR="00102F88" w:rsidRPr="00B36C6E" w:rsidRDefault="00B013C5" w:rsidP="00102F88">
      <w:pPr>
        <w:pStyle w:val="PargrafodaLista"/>
        <w:numPr>
          <w:ilvl w:val="0"/>
          <w:numId w:val="16"/>
        </w:numPr>
        <w:ind w:left="0" w:firstLine="709"/>
        <w:rPr>
          <w:rFonts w:cs="Times New Roman"/>
          <w:szCs w:val="24"/>
        </w:rPr>
      </w:pPr>
      <w:r w:rsidRPr="00B36C6E">
        <w:rPr>
          <w:rFonts w:cs="Times New Roman"/>
          <w:szCs w:val="24"/>
        </w:rPr>
        <w:t xml:space="preserve">Tecnologia </w:t>
      </w:r>
      <w:r w:rsidR="00102F88" w:rsidRPr="00B36C6E">
        <w:rPr>
          <w:rFonts w:cs="Times New Roman"/>
          <w:szCs w:val="24"/>
        </w:rPr>
        <w:t>da informação: defasagem tecnológica em relação tanto a hardware como a software; gestão incipiente de TI em boa parte dos Tribunais; há pouca integração e participação da direção do Tribunal com a área de TI; inexistência de firewalls em mais da metade das organizações;</w:t>
      </w:r>
    </w:p>
    <w:p w14:paraId="1EB60620" w14:textId="441951D2" w:rsidR="00102F88" w:rsidRPr="00B36C6E" w:rsidRDefault="00B013C5" w:rsidP="00102F88">
      <w:pPr>
        <w:numPr>
          <w:ilvl w:val="0"/>
          <w:numId w:val="16"/>
        </w:numPr>
        <w:ind w:left="0" w:firstLine="709"/>
        <w:rPr>
          <w:rFonts w:cs="Times New Roman"/>
          <w:szCs w:val="24"/>
        </w:rPr>
      </w:pPr>
      <w:r w:rsidRPr="00B36C6E">
        <w:rPr>
          <w:rFonts w:cs="Times New Roman"/>
          <w:szCs w:val="24"/>
        </w:rPr>
        <w:t xml:space="preserve">Estrutura </w:t>
      </w:r>
      <w:r w:rsidR="00102F88" w:rsidRPr="00B36C6E">
        <w:rPr>
          <w:rFonts w:cs="Times New Roman"/>
          <w:szCs w:val="24"/>
        </w:rPr>
        <w:t>e gestão de recursos humanos: foi verificada fragmentação do trabalho, dificuldade de se responsabilizar servidores pela realização de tarefas e mensurar a quantidade e qualidade de trabalho realizado; os mecanismos de incentivo e coerção são ineficazes, na prática; não existem planos de capacitação nem planos de carreira alinhados com a perspectiva do desenvolvimento organizacional; existência de sentimento de que a progressão na carreira não está associada ao mérito.</w:t>
      </w:r>
    </w:p>
    <w:p w14:paraId="4815AC34" w14:textId="77777777" w:rsidR="00102F88" w:rsidRPr="00B36C6E" w:rsidRDefault="00102F88" w:rsidP="00102F88">
      <w:pPr>
        <w:ind w:firstLine="709"/>
        <w:rPr>
          <w:rFonts w:cs="Times New Roman"/>
          <w:szCs w:val="24"/>
        </w:rPr>
      </w:pPr>
      <w:r w:rsidRPr="00B36C6E">
        <w:rPr>
          <w:rFonts w:cs="Times New Roman"/>
          <w:szCs w:val="24"/>
        </w:rPr>
        <w:t xml:space="preserve">Também foi realizado um diagnóstico complementar pela Fundação Getúlio Vargas (FGV) para o Programa </w:t>
      </w:r>
      <w:proofErr w:type="spellStart"/>
      <w:r w:rsidRPr="00B36C6E">
        <w:rPr>
          <w:rFonts w:cs="Times New Roman"/>
          <w:szCs w:val="24"/>
        </w:rPr>
        <w:t>Promoex</w:t>
      </w:r>
      <w:proofErr w:type="spellEnd"/>
      <w:r w:rsidRPr="00B36C6E">
        <w:rPr>
          <w:rFonts w:cs="Times New Roman"/>
          <w:szCs w:val="24"/>
        </w:rPr>
        <w:t xml:space="preserve"> (BRASIL, 2013b) do qual são destacados alguns pontos:</w:t>
      </w:r>
    </w:p>
    <w:p w14:paraId="027C11AC" w14:textId="1A64CF9D" w:rsidR="00102F88" w:rsidRPr="00B36C6E" w:rsidRDefault="00B013C5" w:rsidP="00102F88">
      <w:pPr>
        <w:pStyle w:val="Ttulo5"/>
        <w:keepNext w:val="0"/>
        <w:keepLines w:val="0"/>
        <w:widowControl w:val="0"/>
        <w:numPr>
          <w:ilvl w:val="0"/>
          <w:numId w:val="11"/>
        </w:numPr>
        <w:tabs>
          <w:tab w:val="left" w:pos="851"/>
          <w:tab w:val="left" w:pos="1134"/>
        </w:tabs>
        <w:spacing w:before="0"/>
        <w:ind w:left="0" w:firstLine="709"/>
        <w:textboxTightWrap w:val="allLines"/>
        <w:rPr>
          <w:rFonts w:ascii="Times New Roman" w:hAnsi="Times New Roman" w:cs="Times New Roman"/>
          <w:color w:val="auto"/>
          <w:szCs w:val="24"/>
        </w:rPr>
      </w:pPr>
      <w:r w:rsidRPr="00B36C6E">
        <w:rPr>
          <w:rFonts w:ascii="Times New Roman" w:hAnsi="Times New Roman" w:cs="Times New Roman"/>
          <w:color w:val="auto"/>
          <w:szCs w:val="24"/>
        </w:rPr>
        <w:t>A</w:t>
      </w:r>
      <w:r w:rsidR="00102F88" w:rsidRPr="00B36C6E">
        <w:rPr>
          <w:rFonts w:ascii="Times New Roman" w:hAnsi="Times New Roman" w:cs="Times New Roman"/>
          <w:color w:val="auto"/>
          <w:szCs w:val="24"/>
        </w:rPr>
        <w:t>penas um terço dos entrevistados considera “ótimo” ou “bom” o tempo de resposta pelo TC em relação aos serviços prestados;</w:t>
      </w:r>
    </w:p>
    <w:p w14:paraId="6CBEB199" w14:textId="77777777" w:rsidR="00102F88" w:rsidRPr="00B36C6E" w:rsidRDefault="00102F88" w:rsidP="00102F88">
      <w:pPr>
        <w:pStyle w:val="Ttulo5"/>
        <w:keepNext w:val="0"/>
        <w:keepLines w:val="0"/>
        <w:widowControl w:val="0"/>
        <w:numPr>
          <w:ilvl w:val="0"/>
          <w:numId w:val="11"/>
        </w:numPr>
        <w:tabs>
          <w:tab w:val="left" w:pos="851"/>
          <w:tab w:val="left" w:pos="1134"/>
        </w:tabs>
        <w:spacing w:before="0"/>
        <w:ind w:left="0" w:firstLine="709"/>
        <w:textboxTightWrap w:val="allLines"/>
        <w:rPr>
          <w:rFonts w:ascii="Times New Roman" w:hAnsi="Times New Roman" w:cs="Times New Roman"/>
          <w:color w:val="auto"/>
          <w:szCs w:val="24"/>
        </w:rPr>
      </w:pPr>
      <w:r w:rsidRPr="00B36C6E">
        <w:rPr>
          <w:rFonts w:ascii="Times New Roman" w:hAnsi="Times New Roman" w:cs="Times New Roman"/>
          <w:color w:val="auto"/>
          <w:szCs w:val="24"/>
        </w:rPr>
        <w:t xml:space="preserve">48% dos entrevistados consideram “bons” os julgados do TC, enquanto 24,8% consideram-nos “inadequados” ou “péssimos”; </w:t>
      </w:r>
    </w:p>
    <w:p w14:paraId="6AB02AAD" w14:textId="287D8A36" w:rsidR="00102F88" w:rsidRPr="00B36C6E" w:rsidRDefault="00B013C5" w:rsidP="00102F88">
      <w:pPr>
        <w:pStyle w:val="Ttulo5"/>
        <w:keepNext w:val="0"/>
        <w:keepLines w:val="0"/>
        <w:widowControl w:val="0"/>
        <w:numPr>
          <w:ilvl w:val="0"/>
          <w:numId w:val="11"/>
        </w:numPr>
        <w:tabs>
          <w:tab w:val="left" w:pos="851"/>
          <w:tab w:val="left" w:pos="1134"/>
        </w:tabs>
        <w:spacing w:before="0"/>
        <w:ind w:left="0" w:firstLine="709"/>
        <w:textboxTightWrap w:val="allLines"/>
        <w:rPr>
          <w:rFonts w:ascii="Times New Roman" w:hAnsi="Times New Roman" w:cs="Times New Roman"/>
          <w:color w:val="auto"/>
          <w:szCs w:val="24"/>
        </w:rPr>
      </w:pPr>
      <w:r w:rsidRPr="00B36C6E">
        <w:rPr>
          <w:rFonts w:ascii="Times New Roman" w:hAnsi="Times New Roman" w:cs="Times New Roman"/>
          <w:color w:val="auto"/>
          <w:szCs w:val="24"/>
        </w:rPr>
        <w:t xml:space="preserve">Qualificação </w:t>
      </w:r>
      <w:r w:rsidR="00102F88" w:rsidRPr="00B36C6E">
        <w:rPr>
          <w:rFonts w:ascii="Times New Roman" w:hAnsi="Times New Roman" w:cs="Times New Roman"/>
          <w:color w:val="auto"/>
          <w:szCs w:val="24"/>
        </w:rPr>
        <w:t xml:space="preserve">dos servidores: em geral é boa; </w:t>
      </w:r>
    </w:p>
    <w:p w14:paraId="03621594" w14:textId="732BFABA" w:rsidR="00102F88" w:rsidRPr="00B36C6E" w:rsidRDefault="00B013C5" w:rsidP="00102F88">
      <w:pPr>
        <w:pStyle w:val="Ttulo5"/>
        <w:keepNext w:val="0"/>
        <w:keepLines w:val="0"/>
        <w:widowControl w:val="0"/>
        <w:numPr>
          <w:ilvl w:val="0"/>
          <w:numId w:val="11"/>
        </w:numPr>
        <w:tabs>
          <w:tab w:val="left" w:pos="851"/>
          <w:tab w:val="left" w:pos="1134"/>
        </w:tabs>
        <w:spacing w:before="0"/>
        <w:ind w:left="0" w:firstLine="709"/>
        <w:textboxTightWrap w:val="allLines"/>
        <w:rPr>
          <w:rFonts w:ascii="Times New Roman" w:hAnsi="Times New Roman" w:cs="Times New Roman"/>
          <w:color w:val="auto"/>
          <w:szCs w:val="24"/>
        </w:rPr>
      </w:pPr>
      <w:r w:rsidRPr="00B36C6E">
        <w:rPr>
          <w:rFonts w:ascii="Times New Roman" w:hAnsi="Times New Roman" w:cs="Times New Roman"/>
          <w:color w:val="auto"/>
          <w:szCs w:val="24"/>
        </w:rPr>
        <w:t xml:space="preserve">A </w:t>
      </w:r>
      <w:r w:rsidR="00102F88" w:rsidRPr="00B36C6E">
        <w:rPr>
          <w:rFonts w:ascii="Times New Roman" w:hAnsi="Times New Roman" w:cs="Times New Roman"/>
          <w:color w:val="auto"/>
          <w:szCs w:val="24"/>
        </w:rPr>
        <w:t xml:space="preserve">percepção dos atores sociais acerca da </w:t>
      </w:r>
      <w:proofErr w:type="spellStart"/>
      <w:r w:rsidR="00102F88" w:rsidRPr="00B36C6E">
        <w:rPr>
          <w:rFonts w:ascii="Times New Roman" w:hAnsi="Times New Roman" w:cs="Times New Roman"/>
          <w:i/>
          <w:color w:val="auto"/>
          <w:szCs w:val="24"/>
        </w:rPr>
        <w:t>accountability</w:t>
      </w:r>
      <w:proofErr w:type="spellEnd"/>
      <w:r w:rsidR="00102F88" w:rsidRPr="00B36C6E">
        <w:rPr>
          <w:rFonts w:ascii="Times New Roman" w:hAnsi="Times New Roman" w:cs="Times New Roman"/>
          <w:color w:val="auto"/>
          <w:szCs w:val="24"/>
        </w:rPr>
        <w:t xml:space="preserve"> dos Tribunais era inadequada: o item com pior avaliação foi “comunicação de suas atribuições institucionais para os cidadãos”, que teve 61,3% de respostas com conceito inadequado/ péssimo;</w:t>
      </w:r>
    </w:p>
    <w:p w14:paraId="64E2835D" w14:textId="793EABDA" w:rsidR="00102F88" w:rsidRPr="00B36C6E" w:rsidRDefault="00B013C5" w:rsidP="00102F88">
      <w:pPr>
        <w:pStyle w:val="Ttulo5"/>
        <w:keepNext w:val="0"/>
        <w:keepLines w:val="0"/>
        <w:widowControl w:val="0"/>
        <w:numPr>
          <w:ilvl w:val="0"/>
          <w:numId w:val="11"/>
        </w:numPr>
        <w:tabs>
          <w:tab w:val="left" w:pos="851"/>
          <w:tab w:val="left" w:pos="1134"/>
        </w:tabs>
        <w:spacing w:before="0"/>
        <w:ind w:left="0" w:firstLine="709"/>
        <w:textboxTightWrap w:val="allLines"/>
        <w:rPr>
          <w:rFonts w:ascii="Times New Roman" w:hAnsi="Times New Roman" w:cs="Times New Roman"/>
          <w:color w:val="auto"/>
          <w:szCs w:val="24"/>
        </w:rPr>
      </w:pPr>
      <w:r w:rsidRPr="00B36C6E">
        <w:rPr>
          <w:rFonts w:ascii="Times New Roman" w:hAnsi="Times New Roman" w:cs="Times New Roman"/>
          <w:color w:val="auto"/>
          <w:szCs w:val="24"/>
        </w:rPr>
        <w:t>C</w:t>
      </w:r>
      <w:r w:rsidR="00102F88" w:rsidRPr="00B36C6E">
        <w:rPr>
          <w:rFonts w:ascii="Times New Roman" w:hAnsi="Times New Roman" w:cs="Times New Roman"/>
          <w:color w:val="auto"/>
          <w:szCs w:val="24"/>
        </w:rPr>
        <w:t>rítica quanto ao alcance de resultados e à economicidade das ações do governo: 40,9% dos entrevistados afirmam que o grau de contribuição do TC é baixo ou muito baixo para o alcance de resultados e 42,4% afirmam que o grau de contribuição do TC é baixo ou muito baixo para gerar economicidade.</w:t>
      </w:r>
    </w:p>
    <w:p w14:paraId="60D67441" w14:textId="77777777" w:rsidR="00102F88" w:rsidRPr="00B36C6E" w:rsidRDefault="00102F88" w:rsidP="00102F88">
      <w:pPr>
        <w:ind w:firstLine="709"/>
        <w:rPr>
          <w:rFonts w:cs="Times New Roman"/>
          <w:szCs w:val="24"/>
        </w:rPr>
      </w:pPr>
      <w:r w:rsidRPr="00B36C6E">
        <w:rPr>
          <w:rFonts w:cs="Times New Roman"/>
          <w:szCs w:val="24"/>
        </w:rPr>
        <w:t xml:space="preserve">Diante do cenário em que se encontravam os Tribunais no ano de 2002, várias ações de modernização foram propostas pelo Programa </w:t>
      </w:r>
      <w:proofErr w:type="spellStart"/>
      <w:r w:rsidRPr="00B36C6E">
        <w:rPr>
          <w:rFonts w:cs="Times New Roman"/>
          <w:szCs w:val="24"/>
        </w:rPr>
        <w:t>Promoex</w:t>
      </w:r>
      <w:proofErr w:type="spellEnd"/>
      <w:r w:rsidRPr="00B36C6E">
        <w:rPr>
          <w:rFonts w:cs="Times New Roman"/>
          <w:szCs w:val="24"/>
        </w:rPr>
        <w:t xml:space="preserve">, coordenado pelo Ministério de Planejamento, Orçamento e Gestão (Loureiro, Teixeira e Moraes, 2009). </w:t>
      </w:r>
      <w:r w:rsidRPr="00B36C6E">
        <w:rPr>
          <w:rFonts w:cs="Times New Roman"/>
          <w:szCs w:val="24"/>
        </w:rPr>
        <w:lastRenderedPageBreak/>
        <w:t xml:space="preserve">Cada Tribunal participante elaborou um projeto, iniciando no ano de 2006, contemplando objetivos e metas do Programa. Essas metas estão expostas a seguir. </w:t>
      </w:r>
    </w:p>
    <w:p w14:paraId="1E36C9EA" w14:textId="77777777" w:rsidR="00102F88" w:rsidRPr="00B36C6E" w:rsidRDefault="00102F88" w:rsidP="00102F88">
      <w:pPr>
        <w:rPr>
          <w:rFonts w:cs="Times New Roman"/>
          <w:szCs w:val="24"/>
        </w:rPr>
      </w:pPr>
    </w:p>
    <w:p w14:paraId="36ECE9DA" w14:textId="77777777" w:rsidR="00102F88" w:rsidRPr="00B36C6E" w:rsidRDefault="00102F88" w:rsidP="00102F88">
      <w:pPr>
        <w:rPr>
          <w:rFonts w:cs="Times New Roman"/>
          <w:b/>
          <w:szCs w:val="24"/>
        </w:rPr>
      </w:pPr>
      <w:r w:rsidRPr="00B36C6E">
        <w:rPr>
          <w:rFonts w:cs="Times New Roman"/>
          <w:b/>
          <w:szCs w:val="24"/>
        </w:rPr>
        <w:t xml:space="preserve">2.2.1 Objetivos e metas do </w:t>
      </w:r>
      <w:proofErr w:type="spellStart"/>
      <w:r w:rsidRPr="00B36C6E">
        <w:rPr>
          <w:rFonts w:cs="Times New Roman"/>
          <w:b/>
          <w:szCs w:val="24"/>
        </w:rPr>
        <w:t>Promoex</w:t>
      </w:r>
      <w:proofErr w:type="spellEnd"/>
    </w:p>
    <w:p w14:paraId="39D433DA" w14:textId="4F84F681" w:rsidR="00102F88" w:rsidRPr="00B36C6E" w:rsidRDefault="00102F88" w:rsidP="00102F88">
      <w:pPr>
        <w:ind w:firstLine="709"/>
        <w:rPr>
          <w:rFonts w:eastAsia="Calibri" w:cs="Times New Roman"/>
          <w:szCs w:val="24"/>
        </w:rPr>
      </w:pPr>
      <w:r w:rsidRPr="00B36C6E">
        <w:rPr>
          <w:rFonts w:cs="Times New Roman"/>
          <w:szCs w:val="24"/>
        </w:rPr>
        <w:t xml:space="preserve">O objetivo do </w:t>
      </w:r>
      <w:proofErr w:type="spellStart"/>
      <w:r w:rsidRPr="00B36C6E">
        <w:rPr>
          <w:rFonts w:cs="Times New Roman"/>
          <w:szCs w:val="24"/>
        </w:rPr>
        <w:t>Promoex</w:t>
      </w:r>
      <w:proofErr w:type="spellEnd"/>
      <w:r w:rsidRPr="00B36C6E">
        <w:rPr>
          <w:rFonts w:cs="Times New Roman"/>
          <w:szCs w:val="24"/>
        </w:rPr>
        <w:t xml:space="preserve"> </w:t>
      </w:r>
      <w:r w:rsidR="00DA4AFD" w:rsidRPr="00B36C6E">
        <w:rPr>
          <w:rFonts w:cs="Times New Roman"/>
          <w:szCs w:val="24"/>
        </w:rPr>
        <w:t>foi</w:t>
      </w:r>
      <w:r w:rsidRPr="00B36C6E">
        <w:rPr>
          <w:rFonts w:cs="Times New Roman"/>
          <w:szCs w:val="24"/>
        </w:rPr>
        <w:t xml:space="preserve"> o fortalecimento institucional do sistema de controle externo para apoiar a implementação da Lei de Responsabilidade Fiscal, de forma que os Tribunais de Contas pudessem exercer suas competências de forma mais eficaz (BRASIL, 2013c). </w:t>
      </w:r>
      <w:r w:rsidRPr="00B36C6E">
        <w:rPr>
          <w:rFonts w:eastAsia="Calibri" w:cs="Times New Roman"/>
          <w:szCs w:val="24"/>
        </w:rPr>
        <w:t xml:space="preserve">As metas do Programa foram estipuladas com base nas ações de melhorias que precisavam ser realizadas para mudar o cenário identificado no diagnóstico dos Tribunais. Cada meta se relaciona com um dos cinco pontos de melhoria: integração externa, planejamento e controle gerencial, procedimentos chave de trabalho, tecnologia da informação, estrutura e gestão de recursos humanos. </w:t>
      </w:r>
    </w:p>
    <w:p w14:paraId="1CD5FC01" w14:textId="77777777" w:rsidR="00102F88" w:rsidRPr="00B36C6E" w:rsidRDefault="00102F88" w:rsidP="00102F88">
      <w:pPr>
        <w:ind w:firstLine="709"/>
        <w:rPr>
          <w:rFonts w:eastAsia="Calibri" w:cs="Times New Roman"/>
          <w:szCs w:val="24"/>
        </w:rPr>
      </w:pPr>
      <w:r w:rsidRPr="00B36C6E">
        <w:rPr>
          <w:rFonts w:eastAsia="Calibri" w:cs="Times New Roman"/>
          <w:szCs w:val="24"/>
        </w:rPr>
        <w:t xml:space="preserve">As atividades previstas no Programa </w:t>
      </w:r>
      <w:proofErr w:type="spellStart"/>
      <w:r w:rsidRPr="00B36C6E">
        <w:rPr>
          <w:rFonts w:eastAsia="Calibri" w:cs="Times New Roman"/>
          <w:szCs w:val="24"/>
        </w:rPr>
        <w:t>Promoex</w:t>
      </w:r>
      <w:proofErr w:type="spellEnd"/>
      <w:r w:rsidRPr="00B36C6E">
        <w:rPr>
          <w:rFonts w:eastAsia="Calibri" w:cs="Times New Roman"/>
          <w:szCs w:val="24"/>
        </w:rPr>
        <w:t xml:space="preserve"> estão agrupadas em dois componentes: Nacional e Local (BRASIL, 2013c), a saber:</w:t>
      </w:r>
    </w:p>
    <w:p w14:paraId="5831629E" w14:textId="096FDBC8" w:rsidR="00102F88" w:rsidRPr="00B36C6E" w:rsidRDefault="00102F88" w:rsidP="00B013C5">
      <w:pPr>
        <w:ind w:left="709"/>
        <w:rPr>
          <w:rFonts w:cs="Times New Roman"/>
          <w:szCs w:val="24"/>
        </w:rPr>
      </w:pPr>
      <w:r w:rsidRPr="00B36C6E">
        <w:rPr>
          <w:rStyle w:val="Forte"/>
          <w:rFonts w:eastAsiaTheme="majorEastAsia" w:cs="Times New Roman"/>
          <w:szCs w:val="24"/>
        </w:rPr>
        <w:t xml:space="preserve">1. Componente Nacional: </w:t>
      </w:r>
      <w:r w:rsidRPr="00B36C6E">
        <w:rPr>
          <w:rFonts w:cs="Times New Roman"/>
          <w:szCs w:val="24"/>
        </w:rPr>
        <w:t xml:space="preserve">executado pelo MPOG e pelos Tribunais, com a colaboração da Associação dos Membros dos Tribunais de Contas do Brasil (ATRICON) e do Instituto Rui Barbosa (IRB), é subdividido em três subcomponentes que se encontram detalhados no Quadro </w:t>
      </w:r>
      <w:r w:rsidR="00DA4AFD" w:rsidRPr="00B36C6E">
        <w:rPr>
          <w:rFonts w:cs="Times New Roman"/>
          <w:szCs w:val="24"/>
        </w:rPr>
        <w:t>1.</w:t>
      </w:r>
    </w:p>
    <w:p w14:paraId="79A12056" w14:textId="77777777" w:rsidR="00102F88" w:rsidRPr="00B36C6E" w:rsidRDefault="00102F88" w:rsidP="00B013C5">
      <w:pPr>
        <w:ind w:left="709"/>
        <w:rPr>
          <w:rFonts w:cs="Times New Roman"/>
          <w:szCs w:val="24"/>
        </w:rPr>
      </w:pPr>
      <w:r w:rsidRPr="00B36C6E">
        <w:rPr>
          <w:rStyle w:val="Forte"/>
          <w:rFonts w:cs="Times New Roman"/>
          <w:szCs w:val="24"/>
        </w:rPr>
        <w:t xml:space="preserve">2. Componente Local: </w:t>
      </w:r>
      <w:r w:rsidRPr="00B36C6E">
        <w:rPr>
          <w:rStyle w:val="Forte"/>
          <w:rFonts w:cs="Times New Roman"/>
          <w:b w:val="0"/>
          <w:szCs w:val="24"/>
        </w:rPr>
        <w:t xml:space="preserve">executado pelos Tribunais, subdividido em seis subcomponentes, </w:t>
      </w:r>
      <w:r w:rsidRPr="00B36C6E">
        <w:rPr>
          <w:rFonts w:cs="Times New Roman"/>
          <w:szCs w:val="24"/>
        </w:rPr>
        <w:t>que se encontram detalhados no Quadro 1.</w:t>
      </w:r>
    </w:p>
    <w:p w14:paraId="35627463" w14:textId="77777777" w:rsidR="00102F88" w:rsidRPr="00B36C6E" w:rsidRDefault="00102F88" w:rsidP="00102F88">
      <w:pPr>
        <w:ind w:firstLine="709"/>
        <w:rPr>
          <w:rFonts w:eastAsia="Calibri" w:cs="Times New Roman"/>
          <w:szCs w:val="24"/>
        </w:rPr>
      </w:pPr>
      <w:r w:rsidRPr="00B36C6E">
        <w:rPr>
          <w:rFonts w:eastAsia="Calibri" w:cs="Times New Roman"/>
          <w:szCs w:val="24"/>
        </w:rPr>
        <w:t>As metas dos componentes Nacional e Local estão elencadas no Quadro 1. T</w:t>
      </w:r>
      <w:r w:rsidRPr="00B36C6E">
        <w:rPr>
          <w:rFonts w:cs="Times New Roman"/>
          <w:szCs w:val="24"/>
        </w:rPr>
        <w:t>ambém há um indicador para o componente nacional - tempo médio entre a autuação do processo e sua deliberação final - cuja meta é a redução anual de 5% nesse tempo médio.</w:t>
      </w:r>
    </w:p>
    <w:p w14:paraId="1D17B83C" w14:textId="77777777" w:rsidR="00102F88" w:rsidRPr="00B36C6E" w:rsidRDefault="00102F88" w:rsidP="00102F88">
      <w:pPr>
        <w:ind w:firstLine="709"/>
        <w:rPr>
          <w:rFonts w:eastAsia="Calibri" w:cs="Times New Roman"/>
          <w:szCs w:val="24"/>
        </w:rPr>
      </w:pPr>
    </w:p>
    <w:p w14:paraId="3203871A" w14:textId="77777777" w:rsidR="00102F88" w:rsidRPr="00B36C6E" w:rsidRDefault="00102F88" w:rsidP="00102F88">
      <w:pPr>
        <w:rPr>
          <w:rFonts w:eastAsia="Calibri" w:cs="Times New Roman"/>
          <w:sz w:val="20"/>
          <w:szCs w:val="24"/>
        </w:rPr>
      </w:pPr>
      <w:r w:rsidRPr="00B36C6E">
        <w:rPr>
          <w:rFonts w:eastAsia="Calibri" w:cs="Times New Roman"/>
          <w:sz w:val="20"/>
          <w:szCs w:val="24"/>
        </w:rPr>
        <w:t xml:space="preserve">Quadro 1 – Metas estratégicas </w:t>
      </w:r>
      <w:proofErr w:type="spellStart"/>
      <w:r w:rsidRPr="00B36C6E">
        <w:rPr>
          <w:rFonts w:eastAsia="Calibri" w:cs="Times New Roman"/>
          <w:sz w:val="20"/>
          <w:szCs w:val="24"/>
        </w:rPr>
        <w:t>Promoex</w:t>
      </w:r>
      <w:proofErr w:type="spellEnd"/>
      <w:r w:rsidRPr="00B36C6E">
        <w:rPr>
          <w:rFonts w:eastAsia="Calibri" w:cs="Times New Roman"/>
          <w:sz w:val="20"/>
          <w:szCs w:val="24"/>
        </w:rPr>
        <w:t xml:space="preserve"> – Componente Nacional</w:t>
      </w:r>
    </w:p>
    <w:tbl>
      <w:tblPr>
        <w:tblW w:w="918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095"/>
      </w:tblGrid>
      <w:tr w:rsidR="00102F88" w:rsidRPr="00B36C6E" w14:paraId="208A8417" w14:textId="77777777" w:rsidTr="00D235AD">
        <w:tc>
          <w:tcPr>
            <w:tcW w:w="3085" w:type="dxa"/>
            <w:vAlign w:val="center"/>
          </w:tcPr>
          <w:p w14:paraId="4C62B7DA" w14:textId="77777777" w:rsidR="00102F88" w:rsidRPr="00B36C6E" w:rsidRDefault="00102F88" w:rsidP="00D235AD">
            <w:pPr>
              <w:jc w:val="left"/>
              <w:rPr>
                <w:rFonts w:eastAsia="Calibri" w:cs="Times New Roman"/>
                <w:sz w:val="20"/>
                <w:szCs w:val="20"/>
              </w:rPr>
            </w:pPr>
            <w:r w:rsidRPr="00B36C6E">
              <w:rPr>
                <w:rFonts w:eastAsia="Calibri" w:cs="Times New Roman"/>
                <w:sz w:val="20"/>
                <w:szCs w:val="20"/>
              </w:rPr>
              <w:t>Subcomponente</w:t>
            </w:r>
          </w:p>
        </w:tc>
        <w:tc>
          <w:tcPr>
            <w:tcW w:w="6095" w:type="dxa"/>
            <w:vAlign w:val="center"/>
          </w:tcPr>
          <w:p w14:paraId="02340402" w14:textId="77777777" w:rsidR="00102F88" w:rsidRPr="00B36C6E" w:rsidRDefault="00102F88" w:rsidP="00D235AD">
            <w:pPr>
              <w:jc w:val="center"/>
              <w:rPr>
                <w:rFonts w:eastAsia="Calibri" w:cs="Times New Roman"/>
                <w:sz w:val="20"/>
                <w:szCs w:val="20"/>
              </w:rPr>
            </w:pPr>
            <w:r w:rsidRPr="00B36C6E">
              <w:rPr>
                <w:rFonts w:eastAsia="Calibri" w:cs="Times New Roman"/>
                <w:sz w:val="20"/>
                <w:szCs w:val="20"/>
              </w:rPr>
              <w:t>Meta</w:t>
            </w:r>
          </w:p>
        </w:tc>
      </w:tr>
      <w:tr w:rsidR="00102F88" w:rsidRPr="00B36C6E" w14:paraId="192B03E7" w14:textId="77777777" w:rsidTr="00D235AD">
        <w:tc>
          <w:tcPr>
            <w:tcW w:w="3085" w:type="dxa"/>
            <w:vAlign w:val="center"/>
          </w:tcPr>
          <w:p w14:paraId="7CFA2525" w14:textId="77777777" w:rsidR="00102F88" w:rsidRPr="00B36C6E" w:rsidRDefault="00102F88" w:rsidP="00D235AD">
            <w:pPr>
              <w:jc w:val="left"/>
              <w:rPr>
                <w:rFonts w:eastAsia="Calibri" w:cs="Times New Roman"/>
                <w:sz w:val="20"/>
                <w:szCs w:val="20"/>
              </w:rPr>
            </w:pPr>
            <w:r w:rsidRPr="00B36C6E">
              <w:rPr>
                <w:rFonts w:eastAsia="Calibri" w:cs="Times New Roman"/>
                <w:sz w:val="20"/>
                <w:szCs w:val="20"/>
              </w:rPr>
              <w:t>1 Componente Nacional</w:t>
            </w:r>
          </w:p>
        </w:tc>
        <w:tc>
          <w:tcPr>
            <w:tcW w:w="6095" w:type="dxa"/>
            <w:vAlign w:val="center"/>
          </w:tcPr>
          <w:p w14:paraId="236FF587" w14:textId="77777777" w:rsidR="00102F88" w:rsidRPr="00B36C6E" w:rsidRDefault="00102F88" w:rsidP="00D235AD">
            <w:pPr>
              <w:rPr>
                <w:rFonts w:eastAsia="Calibri" w:cs="Times New Roman"/>
                <w:sz w:val="20"/>
                <w:szCs w:val="20"/>
              </w:rPr>
            </w:pPr>
            <w:r w:rsidRPr="00B36C6E">
              <w:rPr>
                <w:rFonts w:eastAsia="Calibri" w:cs="Times New Roman"/>
                <w:sz w:val="20"/>
                <w:szCs w:val="20"/>
              </w:rPr>
              <w:t>33 Tribunais de Contas cooperando em rede (*)</w:t>
            </w:r>
          </w:p>
        </w:tc>
      </w:tr>
      <w:tr w:rsidR="00102F88" w:rsidRPr="00B36C6E" w14:paraId="06D8085B" w14:textId="77777777" w:rsidTr="00D235AD">
        <w:tc>
          <w:tcPr>
            <w:tcW w:w="3085" w:type="dxa"/>
            <w:vAlign w:val="center"/>
          </w:tcPr>
          <w:p w14:paraId="22416FD0" w14:textId="77777777" w:rsidR="00102F88" w:rsidRPr="00B36C6E" w:rsidRDefault="00102F88" w:rsidP="00D235AD">
            <w:pPr>
              <w:jc w:val="left"/>
              <w:rPr>
                <w:rFonts w:eastAsia="Calibri" w:cs="Times New Roman"/>
                <w:sz w:val="20"/>
                <w:szCs w:val="20"/>
              </w:rPr>
            </w:pPr>
            <w:r w:rsidRPr="00B36C6E">
              <w:rPr>
                <w:rFonts w:eastAsia="Calibri" w:cs="Times New Roman"/>
                <w:sz w:val="20"/>
                <w:szCs w:val="20"/>
              </w:rPr>
              <w:t>1.1</w:t>
            </w:r>
            <w:r w:rsidRPr="00B36C6E">
              <w:rPr>
                <w:rFonts w:cs="Times New Roman"/>
                <w:sz w:val="20"/>
                <w:szCs w:val="20"/>
              </w:rPr>
              <w:t xml:space="preserve"> Desenvolvimento de vínculos interinstitucionais entre os TC e destes com o Governo Federal;</w:t>
            </w:r>
          </w:p>
        </w:tc>
        <w:tc>
          <w:tcPr>
            <w:tcW w:w="6095" w:type="dxa"/>
            <w:vAlign w:val="center"/>
          </w:tcPr>
          <w:p w14:paraId="436B4F8F" w14:textId="77777777" w:rsidR="00102F88" w:rsidRPr="00B36C6E" w:rsidRDefault="00102F88" w:rsidP="00D235AD">
            <w:pPr>
              <w:rPr>
                <w:rFonts w:eastAsia="Calibri" w:cs="Times New Roman"/>
                <w:sz w:val="20"/>
                <w:szCs w:val="20"/>
              </w:rPr>
            </w:pPr>
            <w:r w:rsidRPr="00B36C6E">
              <w:rPr>
                <w:rFonts w:eastAsia="Calibri" w:cs="Times New Roman"/>
                <w:sz w:val="20"/>
                <w:szCs w:val="20"/>
              </w:rPr>
              <w:t>17 TC interligados à Rede Nacional dos TC e integrados ao Portal coordenados pelo IRB e ATRICON até o final da execução dessa fase do Programa.</w:t>
            </w:r>
          </w:p>
        </w:tc>
      </w:tr>
      <w:tr w:rsidR="00102F88" w:rsidRPr="00B36C6E" w14:paraId="35C5A63F" w14:textId="77777777" w:rsidTr="00D235AD">
        <w:tc>
          <w:tcPr>
            <w:tcW w:w="3085" w:type="dxa"/>
            <w:vAlign w:val="center"/>
          </w:tcPr>
          <w:p w14:paraId="28C531A6" w14:textId="77777777" w:rsidR="00102F88" w:rsidRPr="00B36C6E" w:rsidRDefault="00102F88" w:rsidP="00D235AD">
            <w:pPr>
              <w:jc w:val="left"/>
              <w:rPr>
                <w:rFonts w:eastAsia="Calibri" w:cs="Times New Roman"/>
                <w:sz w:val="20"/>
                <w:szCs w:val="20"/>
              </w:rPr>
            </w:pPr>
            <w:r w:rsidRPr="00B36C6E">
              <w:rPr>
                <w:rFonts w:eastAsia="Calibri" w:cs="Times New Roman"/>
                <w:sz w:val="20"/>
                <w:szCs w:val="20"/>
              </w:rPr>
              <w:t>1.2</w:t>
            </w:r>
            <w:r w:rsidRPr="00B36C6E">
              <w:rPr>
                <w:rFonts w:cs="Times New Roman"/>
                <w:sz w:val="20"/>
                <w:szCs w:val="20"/>
              </w:rPr>
              <w:t xml:space="preserve"> Redefinição dos procedimentos de controle externo com ênfase no cumprimento da Lei de Responsabilidade Fiscal</w:t>
            </w:r>
          </w:p>
        </w:tc>
        <w:tc>
          <w:tcPr>
            <w:tcW w:w="6095" w:type="dxa"/>
            <w:vAlign w:val="center"/>
          </w:tcPr>
          <w:p w14:paraId="300E75B0" w14:textId="77777777" w:rsidR="00102F88" w:rsidRPr="00B36C6E" w:rsidRDefault="00102F88" w:rsidP="00D235AD">
            <w:pPr>
              <w:rPr>
                <w:rFonts w:eastAsia="Calibri" w:cs="Times New Roman"/>
                <w:sz w:val="20"/>
                <w:szCs w:val="20"/>
              </w:rPr>
            </w:pPr>
            <w:r w:rsidRPr="00B36C6E">
              <w:rPr>
                <w:rFonts w:eastAsia="Calibri" w:cs="Times New Roman"/>
                <w:sz w:val="20"/>
                <w:szCs w:val="20"/>
              </w:rPr>
              <w:t>14 dos 28 conceitos e procedimentos selecionados pelo Fórum dos TC (referentes à LRF e a outros gastos públicos) harmonizados/redesenhados e implantados até o final da execução dessa fase do Programa. (**)</w:t>
            </w:r>
          </w:p>
        </w:tc>
      </w:tr>
      <w:tr w:rsidR="00102F88" w:rsidRPr="00B36C6E" w14:paraId="1B4C8202" w14:textId="77777777" w:rsidTr="00D235AD">
        <w:tc>
          <w:tcPr>
            <w:tcW w:w="3085" w:type="dxa"/>
            <w:vAlign w:val="center"/>
          </w:tcPr>
          <w:p w14:paraId="7A879966" w14:textId="77777777" w:rsidR="00102F88" w:rsidRPr="00B36C6E" w:rsidRDefault="00102F88" w:rsidP="00D235AD">
            <w:pPr>
              <w:jc w:val="left"/>
              <w:rPr>
                <w:rFonts w:eastAsia="Calibri" w:cs="Times New Roman"/>
                <w:sz w:val="20"/>
                <w:szCs w:val="20"/>
              </w:rPr>
            </w:pPr>
            <w:r w:rsidRPr="00B36C6E">
              <w:rPr>
                <w:rFonts w:eastAsia="Calibri" w:cs="Times New Roman"/>
                <w:sz w:val="20"/>
                <w:szCs w:val="20"/>
              </w:rPr>
              <w:t>1.3</w:t>
            </w:r>
            <w:r w:rsidRPr="00B36C6E">
              <w:rPr>
                <w:rFonts w:cs="Times New Roman"/>
                <w:sz w:val="20"/>
                <w:szCs w:val="20"/>
              </w:rPr>
              <w:t xml:space="preserve"> Desenvolvimento de políticas e gestão de soluções compartilhadas e cooperação técnica</w:t>
            </w:r>
          </w:p>
        </w:tc>
        <w:tc>
          <w:tcPr>
            <w:tcW w:w="6095" w:type="dxa"/>
            <w:vAlign w:val="center"/>
          </w:tcPr>
          <w:p w14:paraId="3F14C814" w14:textId="77777777" w:rsidR="00102F88" w:rsidRPr="00B36C6E" w:rsidRDefault="00102F88" w:rsidP="00D235AD">
            <w:pPr>
              <w:rPr>
                <w:rFonts w:eastAsia="Calibri" w:cs="Times New Roman"/>
                <w:sz w:val="20"/>
                <w:szCs w:val="20"/>
              </w:rPr>
            </w:pPr>
            <w:r w:rsidRPr="00B36C6E">
              <w:rPr>
                <w:rFonts w:eastAsia="Calibri" w:cs="Times New Roman"/>
                <w:sz w:val="20"/>
                <w:szCs w:val="20"/>
              </w:rPr>
              <w:t>11 TC com soluções técnicas compartilhadas (***) até o final da execução dessa fase do Programa.</w:t>
            </w:r>
          </w:p>
        </w:tc>
      </w:tr>
      <w:tr w:rsidR="00102F88" w:rsidRPr="00B36C6E" w14:paraId="785D9B8F" w14:textId="77777777" w:rsidTr="00D235AD">
        <w:tc>
          <w:tcPr>
            <w:tcW w:w="3085" w:type="dxa"/>
            <w:vAlign w:val="center"/>
          </w:tcPr>
          <w:p w14:paraId="612438ED" w14:textId="77777777" w:rsidR="00102F88" w:rsidRPr="00B36C6E" w:rsidRDefault="00102F88" w:rsidP="00D235AD">
            <w:pPr>
              <w:jc w:val="left"/>
              <w:rPr>
                <w:rFonts w:eastAsia="Calibri" w:cs="Times New Roman"/>
                <w:sz w:val="20"/>
                <w:szCs w:val="20"/>
              </w:rPr>
            </w:pPr>
            <w:r w:rsidRPr="00B36C6E">
              <w:rPr>
                <w:rFonts w:cs="Times New Roman"/>
                <w:sz w:val="20"/>
                <w:szCs w:val="20"/>
              </w:rPr>
              <w:t>2.1 Desenvolvimento de vínculos com Poderes e instituições dos três níveis de governo e com a sociedade</w:t>
            </w:r>
          </w:p>
        </w:tc>
        <w:tc>
          <w:tcPr>
            <w:tcW w:w="6095" w:type="dxa"/>
            <w:vAlign w:val="center"/>
          </w:tcPr>
          <w:p w14:paraId="45A8D0C3" w14:textId="77777777" w:rsidR="00102F88" w:rsidRPr="00B36C6E" w:rsidRDefault="00102F88" w:rsidP="00D235AD">
            <w:pPr>
              <w:rPr>
                <w:rFonts w:eastAsia="Calibri" w:cs="Times New Roman"/>
                <w:sz w:val="20"/>
                <w:szCs w:val="20"/>
              </w:rPr>
            </w:pPr>
            <w:r w:rsidRPr="00B36C6E">
              <w:rPr>
                <w:rFonts w:eastAsia="Calibri" w:cs="Times New Roman"/>
                <w:sz w:val="20"/>
                <w:szCs w:val="20"/>
              </w:rPr>
              <w:t>06 ações de interação/articulação com os Poderes, Ministério Público, cidadãos e/ou sociedade organizada promovidas, até o final da execução dessa fase do Programa.</w:t>
            </w:r>
          </w:p>
        </w:tc>
      </w:tr>
      <w:tr w:rsidR="00102F88" w:rsidRPr="00B36C6E" w14:paraId="5B34759B" w14:textId="77777777" w:rsidTr="00D235AD">
        <w:tc>
          <w:tcPr>
            <w:tcW w:w="3085" w:type="dxa"/>
            <w:vAlign w:val="center"/>
          </w:tcPr>
          <w:p w14:paraId="3A25AB2B" w14:textId="77777777" w:rsidR="00102F88" w:rsidRPr="00B36C6E" w:rsidRDefault="00102F88" w:rsidP="00D235AD">
            <w:pPr>
              <w:jc w:val="left"/>
              <w:rPr>
                <w:rFonts w:eastAsia="Calibri" w:cs="Times New Roman"/>
                <w:sz w:val="20"/>
                <w:szCs w:val="20"/>
              </w:rPr>
            </w:pPr>
            <w:r w:rsidRPr="00B36C6E">
              <w:rPr>
                <w:rFonts w:cs="Times New Roman"/>
                <w:sz w:val="20"/>
                <w:szCs w:val="20"/>
              </w:rPr>
              <w:t>2.2 Integração dos TC ao ciclo de gestão governamental</w:t>
            </w:r>
          </w:p>
        </w:tc>
        <w:tc>
          <w:tcPr>
            <w:tcW w:w="6095" w:type="dxa"/>
            <w:vAlign w:val="center"/>
          </w:tcPr>
          <w:p w14:paraId="522471F4" w14:textId="77777777" w:rsidR="00102F88" w:rsidRPr="00B36C6E" w:rsidRDefault="00102F88" w:rsidP="00D235AD">
            <w:pPr>
              <w:rPr>
                <w:rFonts w:eastAsia="Calibri" w:cs="Times New Roman"/>
                <w:sz w:val="20"/>
                <w:szCs w:val="20"/>
              </w:rPr>
            </w:pPr>
            <w:r w:rsidRPr="00B36C6E">
              <w:rPr>
                <w:rFonts w:eastAsia="Calibri" w:cs="Times New Roman"/>
                <w:sz w:val="20"/>
                <w:szCs w:val="20"/>
              </w:rPr>
              <w:t>2 auditorias para avaliação de programa de governo realizadas até o final da execução dessa fase do Programa.</w:t>
            </w:r>
          </w:p>
        </w:tc>
      </w:tr>
      <w:tr w:rsidR="00102F88" w:rsidRPr="00B36C6E" w14:paraId="0778D3F0" w14:textId="77777777" w:rsidTr="00D235AD">
        <w:tc>
          <w:tcPr>
            <w:tcW w:w="3085" w:type="dxa"/>
            <w:vAlign w:val="center"/>
          </w:tcPr>
          <w:p w14:paraId="06909E98" w14:textId="77777777" w:rsidR="00102F88" w:rsidRPr="00B36C6E" w:rsidRDefault="00102F88" w:rsidP="00D235AD">
            <w:pPr>
              <w:pStyle w:val="Ttulo5"/>
              <w:keepNext w:val="0"/>
              <w:keepLines w:val="0"/>
              <w:widowControl w:val="0"/>
              <w:spacing w:before="0"/>
              <w:textboxTightWrap w:val="allLines"/>
              <w:rPr>
                <w:rFonts w:eastAsia="Calibri" w:cs="Times New Roman"/>
                <w:sz w:val="20"/>
                <w:szCs w:val="20"/>
              </w:rPr>
            </w:pPr>
            <w:r w:rsidRPr="00B36C6E">
              <w:rPr>
                <w:rFonts w:ascii="Times New Roman" w:hAnsi="Times New Roman" w:cs="Times New Roman"/>
                <w:color w:val="auto"/>
                <w:sz w:val="20"/>
                <w:szCs w:val="20"/>
              </w:rPr>
              <w:t>2.3 Redefinição das metodologias, técnicas e procedimentos de controle externo;</w:t>
            </w:r>
          </w:p>
        </w:tc>
        <w:tc>
          <w:tcPr>
            <w:tcW w:w="6095" w:type="dxa"/>
            <w:vAlign w:val="center"/>
          </w:tcPr>
          <w:p w14:paraId="7520D42E" w14:textId="77777777" w:rsidR="00102F88" w:rsidRPr="00B36C6E" w:rsidRDefault="00102F88" w:rsidP="00D235AD">
            <w:pPr>
              <w:rPr>
                <w:rFonts w:eastAsia="Calibri" w:cs="Times New Roman"/>
                <w:sz w:val="20"/>
                <w:szCs w:val="20"/>
              </w:rPr>
            </w:pPr>
            <w:r w:rsidRPr="00B36C6E">
              <w:rPr>
                <w:rFonts w:eastAsia="Calibri" w:cs="Times New Roman"/>
                <w:sz w:val="20"/>
                <w:szCs w:val="20"/>
              </w:rPr>
              <w:t xml:space="preserve">4 processos de trabalho finalísticos do Tribunal redesenhados até o final dessa fase de execução do Programa. </w:t>
            </w:r>
          </w:p>
        </w:tc>
      </w:tr>
      <w:tr w:rsidR="00102F88" w:rsidRPr="00B36C6E" w14:paraId="352D494A" w14:textId="77777777" w:rsidTr="00D235AD">
        <w:tc>
          <w:tcPr>
            <w:tcW w:w="3085" w:type="dxa"/>
            <w:vAlign w:val="center"/>
          </w:tcPr>
          <w:p w14:paraId="41674EF7" w14:textId="77777777" w:rsidR="00102F88" w:rsidRPr="00B36C6E" w:rsidRDefault="00102F88" w:rsidP="00D235AD">
            <w:pPr>
              <w:pStyle w:val="Ttulo5"/>
              <w:keepNext w:val="0"/>
              <w:keepLines w:val="0"/>
              <w:widowControl w:val="0"/>
              <w:spacing w:before="0"/>
              <w:textboxTightWrap w:val="allLines"/>
              <w:rPr>
                <w:rFonts w:eastAsia="Calibri" w:cs="Times New Roman"/>
                <w:sz w:val="20"/>
                <w:szCs w:val="20"/>
              </w:rPr>
            </w:pPr>
            <w:r w:rsidRPr="00B36C6E">
              <w:rPr>
                <w:rFonts w:ascii="Times New Roman" w:hAnsi="Times New Roman" w:cs="Times New Roman"/>
                <w:color w:val="auto"/>
                <w:sz w:val="20"/>
                <w:szCs w:val="20"/>
              </w:rPr>
              <w:t>2.4 Planejamento estratégico e modernização administrativa;</w:t>
            </w:r>
          </w:p>
        </w:tc>
        <w:tc>
          <w:tcPr>
            <w:tcW w:w="6095" w:type="dxa"/>
            <w:vAlign w:val="center"/>
          </w:tcPr>
          <w:p w14:paraId="334D3D16" w14:textId="77777777" w:rsidR="00102F88" w:rsidRPr="00B36C6E" w:rsidRDefault="00102F88" w:rsidP="00D235AD">
            <w:pPr>
              <w:rPr>
                <w:rFonts w:eastAsia="Calibri" w:cs="Times New Roman"/>
                <w:sz w:val="20"/>
                <w:szCs w:val="20"/>
              </w:rPr>
            </w:pPr>
            <w:r w:rsidRPr="00B36C6E">
              <w:rPr>
                <w:rFonts w:eastAsia="Calibri" w:cs="Times New Roman"/>
                <w:sz w:val="20"/>
                <w:szCs w:val="20"/>
              </w:rPr>
              <w:t xml:space="preserve">1 planejamento estratégico criado e implantado e/ou revisado até o final da execução dessa fase do Programa.  </w:t>
            </w:r>
          </w:p>
        </w:tc>
      </w:tr>
      <w:tr w:rsidR="00102F88" w:rsidRPr="00B36C6E" w14:paraId="4725FEC1" w14:textId="77777777" w:rsidTr="00D235AD">
        <w:tc>
          <w:tcPr>
            <w:tcW w:w="3085" w:type="dxa"/>
            <w:vAlign w:val="center"/>
          </w:tcPr>
          <w:p w14:paraId="25615C9F" w14:textId="77777777" w:rsidR="00102F88" w:rsidRPr="00B36C6E" w:rsidRDefault="00102F88" w:rsidP="00D235AD">
            <w:pPr>
              <w:pStyle w:val="Ttulo5"/>
              <w:keepNext w:val="0"/>
              <w:keepLines w:val="0"/>
              <w:widowControl w:val="0"/>
              <w:spacing w:before="0"/>
              <w:textboxTightWrap w:val="allLines"/>
              <w:rPr>
                <w:rFonts w:eastAsia="Calibri" w:cs="Times New Roman"/>
                <w:sz w:val="20"/>
                <w:szCs w:val="20"/>
              </w:rPr>
            </w:pPr>
            <w:r w:rsidRPr="00B36C6E">
              <w:rPr>
                <w:rFonts w:ascii="Times New Roman" w:hAnsi="Times New Roman" w:cs="Times New Roman"/>
                <w:color w:val="auto"/>
                <w:sz w:val="20"/>
                <w:szCs w:val="20"/>
              </w:rPr>
              <w:t>2.5 Desenvolvimento de política e de gestão de tecnologia da informação;</w:t>
            </w:r>
          </w:p>
        </w:tc>
        <w:tc>
          <w:tcPr>
            <w:tcW w:w="6095" w:type="dxa"/>
            <w:vAlign w:val="center"/>
          </w:tcPr>
          <w:p w14:paraId="232B1735" w14:textId="77777777" w:rsidR="00102F88" w:rsidRPr="00B36C6E" w:rsidRDefault="00102F88" w:rsidP="00D235AD">
            <w:pPr>
              <w:rPr>
                <w:rFonts w:eastAsia="Calibri" w:cs="Times New Roman"/>
                <w:sz w:val="20"/>
                <w:szCs w:val="20"/>
              </w:rPr>
            </w:pPr>
            <w:r w:rsidRPr="00B36C6E">
              <w:rPr>
                <w:rFonts w:eastAsia="Calibri" w:cs="Times New Roman"/>
                <w:sz w:val="20"/>
                <w:szCs w:val="20"/>
              </w:rPr>
              <w:t xml:space="preserve">1 Planejamento estratégico de TI criado e implantado até o final da execução dessa fase do Programa. </w:t>
            </w:r>
          </w:p>
        </w:tc>
      </w:tr>
      <w:tr w:rsidR="00102F88" w:rsidRPr="00B36C6E" w14:paraId="49F63F9E" w14:textId="77777777" w:rsidTr="00D235AD">
        <w:tc>
          <w:tcPr>
            <w:tcW w:w="3085" w:type="dxa"/>
            <w:vAlign w:val="center"/>
          </w:tcPr>
          <w:p w14:paraId="17AB1C4A" w14:textId="77777777" w:rsidR="00102F88" w:rsidRPr="00B36C6E" w:rsidRDefault="00102F88" w:rsidP="00D235AD">
            <w:pPr>
              <w:jc w:val="left"/>
              <w:rPr>
                <w:rFonts w:eastAsia="Calibri" w:cs="Times New Roman"/>
                <w:sz w:val="20"/>
                <w:szCs w:val="20"/>
              </w:rPr>
            </w:pPr>
            <w:r w:rsidRPr="00B36C6E">
              <w:rPr>
                <w:rFonts w:cs="Times New Roman"/>
                <w:sz w:val="20"/>
                <w:szCs w:val="20"/>
              </w:rPr>
              <w:t>2.6 Adequação da política e gestão de pessoal.</w:t>
            </w:r>
          </w:p>
        </w:tc>
        <w:tc>
          <w:tcPr>
            <w:tcW w:w="6095" w:type="dxa"/>
            <w:vAlign w:val="center"/>
          </w:tcPr>
          <w:p w14:paraId="1A69051F" w14:textId="77777777" w:rsidR="00102F88" w:rsidRPr="00B36C6E" w:rsidRDefault="00102F88" w:rsidP="00D235AD">
            <w:pPr>
              <w:rPr>
                <w:rFonts w:eastAsia="Calibri" w:cs="Times New Roman"/>
                <w:sz w:val="20"/>
                <w:szCs w:val="20"/>
              </w:rPr>
            </w:pPr>
            <w:r w:rsidRPr="00B36C6E">
              <w:rPr>
                <w:rFonts w:eastAsia="Calibri" w:cs="Times New Roman"/>
                <w:sz w:val="20"/>
                <w:szCs w:val="20"/>
              </w:rPr>
              <w:t xml:space="preserve">1 política de RH definida </w:t>
            </w:r>
          </w:p>
        </w:tc>
      </w:tr>
    </w:tbl>
    <w:p w14:paraId="06F36393" w14:textId="77777777" w:rsidR="00102F88" w:rsidRPr="00B36C6E" w:rsidRDefault="00102F88" w:rsidP="00102F88">
      <w:pPr>
        <w:rPr>
          <w:rFonts w:eastAsia="Calibri" w:cs="Times New Roman"/>
          <w:sz w:val="20"/>
          <w:szCs w:val="24"/>
        </w:rPr>
      </w:pPr>
      <w:r w:rsidRPr="00B36C6E">
        <w:rPr>
          <w:rFonts w:eastAsia="Calibri" w:cs="Times New Roman"/>
          <w:sz w:val="20"/>
          <w:szCs w:val="24"/>
        </w:rPr>
        <w:lastRenderedPageBreak/>
        <w:t>Fonte: Relatório de Progresso 1º. Semestre de 2012 – Quadro V – Execução física por Subcomponentes Nacionais e Locais</w:t>
      </w:r>
    </w:p>
    <w:p w14:paraId="423FA358" w14:textId="77777777" w:rsidR="00102F88" w:rsidRPr="00B36C6E" w:rsidRDefault="00102F88" w:rsidP="00102F88">
      <w:pPr>
        <w:ind w:firstLine="709"/>
        <w:rPr>
          <w:rFonts w:eastAsia="Calibri" w:cs="Times New Roman"/>
          <w:szCs w:val="24"/>
        </w:rPr>
      </w:pPr>
    </w:p>
    <w:p w14:paraId="1E6A2F80" w14:textId="77777777" w:rsidR="00102F88" w:rsidRPr="00B36C6E" w:rsidRDefault="00102F88" w:rsidP="00102F88">
      <w:pPr>
        <w:ind w:firstLine="708"/>
        <w:rPr>
          <w:rFonts w:cs="Times New Roman"/>
          <w:szCs w:val="24"/>
        </w:rPr>
      </w:pPr>
      <w:r w:rsidRPr="00B36C6E">
        <w:rPr>
          <w:rFonts w:cs="Times New Roman"/>
          <w:szCs w:val="24"/>
        </w:rPr>
        <w:t xml:space="preserve">A implementação do Programa foi realizada por meio de Planos de Trabalhos aprovados (Projetos revisados anualmente) dos </w:t>
      </w:r>
      <w:proofErr w:type="spellStart"/>
      <w:r w:rsidRPr="00B36C6E">
        <w:rPr>
          <w:rFonts w:cs="Times New Roman"/>
          <w:szCs w:val="24"/>
        </w:rPr>
        <w:t>subexecutores</w:t>
      </w:r>
      <w:proofErr w:type="spellEnd"/>
      <w:r w:rsidRPr="00B36C6E">
        <w:rPr>
          <w:rFonts w:cs="Times New Roman"/>
          <w:szCs w:val="24"/>
        </w:rPr>
        <w:t xml:space="preserve"> (cada Tribunal participantes) e na programação de atividades da Direção Nacional do Programa (BRASIL, 2013c).</w:t>
      </w:r>
    </w:p>
    <w:p w14:paraId="6AAD14BE" w14:textId="09FAF1EC" w:rsidR="00102F88" w:rsidRPr="00B36C6E" w:rsidRDefault="00102F88" w:rsidP="00102F88">
      <w:pPr>
        <w:ind w:firstLine="709"/>
        <w:rPr>
          <w:rFonts w:eastAsia="Calibri" w:cs="Times New Roman"/>
          <w:szCs w:val="24"/>
        </w:rPr>
      </w:pPr>
      <w:r w:rsidRPr="00B36C6E">
        <w:rPr>
          <w:rFonts w:cs="Times New Roman"/>
          <w:szCs w:val="24"/>
        </w:rPr>
        <w:t xml:space="preserve">As medições dos indicadores foram consolidadas pela Direção Nacional do Programa </w:t>
      </w:r>
      <w:proofErr w:type="spellStart"/>
      <w:r w:rsidRPr="00B36C6E">
        <w:rPr>
          <w:rFonts w:cs="Times New Roman"/>
          <w:szCs w:val="24"/>
        </w:rPr>
        <w:t>Promoex</w:t>
      </w:r>
      <w:proofErr w:type="spellEnd"/>
      <w:r w:rsidRPr="00B36C6E">
        <w:rPr>
          <w:rFonts w:cs="Times New Roman"/>
          <w:szCs w:val="24"/>
        </w:rPr>
        <w:t xml:space="preserve"> por meio dos relatórios de Progresso físico/financeiro semestrais de cada um dos Tribunais participantes </w:t>
      </w:r>
      <w:r w:rsidR="009A527D" w:rsidRPr="00B36C6E">
        <w:rPr>
          <w:rFonts w:cs="Times New Roman"/>
          <w:szCs w:val="24"/>
        </w:rPr>
        <w:t>e for</w:t>
      </w:r>
      <w:r w:rsidRPr="00B36C6E">
        <w:rPr>
          <w:rFonts w:cs="Times New Roman"/>
          <w:szCs w:val="24"/>
        </w:rPr>
        <w:t>a</w:t>
      </w:r>
      <w:r w:rsidR="009A527D" w:rsidRPr="00B36C6E">
        <w:rPr>
          <w:rFonts w:cs="Times New Roman"/>
          <w:szCs w:val="24"/>
        </w:rPr>
        <w:t>m</w:t>
      </w:r>
      <w:r w:rsidRPr="00B36C6E">
        <w:rPr>
          <w:rFonts w:cs="Times New Roman"/>
          <w:szCs w:val="24"/>
        </w:rPr>
        <w:t xml:space="preserve"> compilados num Relatório Final no ano de 2013, ano em que se encerrou o Programa.</w:t>
      </w:r>
    </w:p>
    <w:p w14:paraId="0D01B5A9" w14:textId="77777777" w:rsidR="00102F88" w:rsidRPr="00B36C6E" w:rsidRDefault="00102F88" w:rsidP="00102F88">
      <w:pPr>
        <w:ind w:firstLine="709"/>
        <w:rPr>
          <w:rFonts w:cs="Times New Roman"/>
          <w:szCs w:val="24"/>
        </w:rPr>
      </w:pPr>
    </w:p>
    <w:p w14:paraId="15A2D8CF" w14:textId="77777777" w:rsidR="00102F88" w:rsidRPr="00B36C6E" w:rsidRDefault="00102F88" w:rsidP="00102F88">
      <w:pPr>
        <w:ind w:firstLine="709"/>
        <w:rPr>
          <w:rFonts w:cs="Times New Roman"/>
          <w:szCs w:val="24"/>
        </w:rPr>
      </w:pPr>
      <w:bookmarkStart w:id="2" w:name="_Toc371791476"/>
      <w:bookmarkStart w:id="3" w:name="_Toc371791637"/>
      <w:bookmarkEnd w:id="2"/>
      <w:bookmarkEnd w:id="3"/>
    </w:p>
    <w:p w14:paraId="23642A75" w14:textId="77777777" w:rsidR="00102F88" w:rsidRPr="00B36C6E" w:rsidRDefault="00102F88" w:rsidP="00102F88">
      <w:pPr>
        <w:pStyle w:val="Ttulo1"/>
        <w:rPr>
          <w:rFonts w:cs="Times New Roman"/>
          <w:szCs w:val="24"/>
        </w:rPr>
      </w:pPr>
      <w:r w:rsidRPr="00B36C6E">
        <w:rPr>
          <w:rFonts w:cs="Times New Roman"/>
          <w:szCs w:val="24"/>
        </w:rPr>
        <w:t>Metodologia</w:t>
      </w:r>
    </w:p>
    <w:p w14:paraId="54BD9941" w14:textId="77777777" w:rsidR="00102F88" w:rsidRPr="00B36C6E" w:rsidRDefault="00102F88" w:rsidP="00102F88">
      <w:pPr>
        <w:ind w:firstLine="709"/>
        <w:rPr>
          <w:rFonts w:cs="Times New Roman"/>
          <w:szCs w:val="24"/>
        </w:rPr>
      </w:pPr>
    </w:p>
    <w:p w14:paraId="08AD28C9" w14:textId="77777777" w:rsidR="00102F88" w:rsidRPr="00B36C6E" w:rsidRDefault="00102F88" w:rsidP="00102F88">
      <w:pPr>
        <w:ind w:firstLine="709"/>
        <w:rPr>
          <w:rFonts w:cs="Times New Roman"/>
          <w:szCs w:val="24"/>
        </w:rPr>
      </w:pPr>
      <w:r w:rsidRPr="00B36C6E">
        <w:rPr>
          <w:rFonts w:cs="Times New Roman"/>
          <w:szCs w:val="24"/>
        </w:rPr>
        <w:t xml:space="preserve">Tendo em vista o objetivo geral estabelecido para esta pesquisa de verificar quais foram os resultados alcançados pelos Tribunais com o Programa </w:t>
      </w:r>
      <w:proofErr w:type="spellStart"/>
      <w:r w:rsidRPr="00B36C6E">
        <w:rPr>
          <w:rFonts w:cs="Times New Roman"/>
          <w:szCs w:val="24"/>
        </w:rPr>
        <w:t>Promoex</w:t>
      </w:r>
      <w:proofErr w:type="spellEnd"/>
      <w:r w:rsidRPr="00B36C6E">
        <w:rPr>
          <w:rFonts w:cs="Times New Roman"/>
          <w:szCs w:val="24"/>
        </w:rPr>
        <w:t xml:space="preserve">, desenvolveu-se uma pesquisa descritiva, segundo delineamento de </w:t>
      </w:r>
      <w:proofErr w:type="spellStart"/>
      <w:r w:rsidRPr="00B36C6E">
        <w:rPr>
          <w:rFonts w:cs="Times New Roman"/>
          <w:szCs w:val="24"/>
        </w:rPr>
        <w:t>Triviños</w:t>
      </w:r>
      <w:proofErr w:type="spellEnd"/>
      <w:r w:rsidRPr="00B36C6E">
        <w:rPr>
          <w:rFonts w:cs="Times New Roman"/>
          <w:szCs w:val="24"/>
        </w:rPr>
        <w:t xml:space="preserve"> (2007), com intuito de descrever os fatos e os fenômenos de uma dada realidade para uma melhor compreensão de como esse processo se desenvolveu na esfera estudada. A população é constituída pelos Tribunais de Contas dos Estados e Municípios brasileiros participantes do </w:t>
      </w:r>
      <w:proofErr w:type="spellStart"/>
      <w:r w:rsidRPr="00B36C6E">
        <w:rPr>
          <w:rFonts w:cs="Times New Roman"/>
          <w:szCs w:val="24"/>
        </w:rPr>
        <w:t>Promoex</w:t>
      </w:r>
      <w:proofErr w:type="spellEnd"/>
      <w:r w:rsidRPr="00B36C6E">
        <w:rPr>
          <w:rFonts w:cs="Times New Roman"/>
          <w:szCs w:val="24"/>
        </w:rPr>
        <w:t>, cujas principais características foram descritas no tópico 2.2.</w:t>
      </w:r>
    </w:p>
    <w:p w14:paraId="76025625" w14:textId="77777777" w:rsidR="00102F88" w:rsidRPr="00B36C6E" w:rsidRDefault="00102F88" w:rsidP="00102F88">
      <w:pPr>
        <w:ind w:firstLine="709"/>
        <w:rPr>
          <w:rFonts w:cs="Times New Roman"/>
          <w:szCs w:val="24"/>
        </w:rPr>
      </w:pPr>
      <w:r w:rsidRPr="00B36C6E">
        <w:rPr>
          <w:rFonts w:cs="Times New Roman"/>
          <w:szCs w:val="24"/>
        </w:rPr>
        <w:t xml:space="preserve">Foi utilizada a técnica de pesquisa documental, sendo o relatório de Progresso do primeiro e segundo semestres de 2013 (Relatório final) do Programa </w:t>
      </w:r>
      <w:proofErr w:type="spellStart"/>
      <w:r w:rsidRPr="00B36C6E">
        <w:rPr>
          <w:rFonts w:cs="Times New Roman"/>
          <w:szCs w:val="24"/>
        </w:rPr>
        <w:t>Promoex</w:t>
      </w:r>
      <w:proofErr w:type="spellEnd"/>
      <w:r w:rsidRPr="00B36C6E">
        <w:rPr>
          <w:rFonts w:cs="Times New Roman"/>
          <w:szCs w:val="24"/>
        </w:rPr>
        <w:t xml:space="preserve"> a principal fonte de informações e evidências (MARTINS; THEÓPHILO, 2009). O referido relatório foi disponibilizado pela Direção Nacional do Programa que pertence ao Ministério do Planejamento, Orçamento e Gestão.</w:t>
      </w:r>
    </w:p>
    <w:p w14:paraId="52AFD34F" w14:textId="77777777" w:rsidR="00102F88" w:rsidRPr="00B36C6E" w:rsidRDefault="00102F88" w:rsidP="00102F88">
      <w:pPr>
        <w:ind w:firstLine="709"/>
        <w:rPr>
          <w:rFonts w:cs="Times New Roman"/>
          <w:szCs w:val="24"/>
        </w:rPr>
      </w:pPr>
      <w:r w:rsidRPr="00B36C6E">
        <w:rPr>
          <w:rFonts w:eastAsia="Calibri" w:cs="Times New Roman"/>
          <w:szCs w:val="24"/>
        </w:rPr>
        <w:t xml:space="preserve">Considerando o cenário inicial (antes do Programa </w:t>
      </w:r>
      <w:proofErr w:type="spellStart"/>
      <w:r w:rsidRPr="00B36C6E">
        <w:rPr>
          <w:rFonts w:eastAsia="Calibri" w:cs="Times New Roman"/>
          <w:szCs w:val="24"/>
        </w:rPr>
        <w:t>Promoex</w:t>
      </w:r>
      <w:proofErr w:type="spellEnd"/>
      <w:r w:rsidRPr="00B36C6E">
        <w:rPr>
          <w:rFonts w:eastAsia="Calibri" w:cs="Times New Roman"/>
          <w:szCs w:val="24"/>
        </w:rPr>
        <w:t xml:space="preserve">) como aquele apresentado pelo diagnóstico dos Tribunais realizado em 2002 (detalhado no item 2.2), essa pesquisa analisou o cenário pós </w:t>
      </w:r>
      <w:proofErr w:type="spellStart"/>
      <w:r w:rsidRPr="00B36C6E">
        <w:rPr>
          <w:rFonts w:eastAsia="Calibri" w:cs="Times New Roman"/>
          <w:szCs w:val="24"/>
        </w:rPr>
        <w:t>Promoex</w:t>
      </w:r>
      <w:proofErr w:type="spellEnd"/>
      <w:r w:rsidRPr="00B36C6E">
        <w:rPr>
          <w:rFonts w:eastAsia="Calibri" w:cs="Times New Roman"/>
          <w:szCs w:val="24"/>
        </w:rPr>
        <w:t xml:space="preserve">, ou seja, os resultados alcançados pelos Tribunais com o Programa encerrado em setembro de 2013. </w:t>
      </w:r>
    </w:p>
    <w:p w14:paraId="3E4A5FEE" w14:textId="3AFE8501" w:rsidR="00102F88" w:rsidRPr="00B36C6E" w:rsidRDefault="00102F88" w:rsidP="00102F88">
      <w:pPr>
        <w:ind w:firstLine="709"/>
        <w:rPr>
          <w:rFonts w:cs="Times New Roman"/>
          <w:szCs w:val="24"/>
        </w:rPr>
      </w:pPr>
      <w:r w:rsidRPr="00B36C6E">
        <w:rPr>
          <w:rFonts w:cs="Times New Roman"/>
          <w:szCs w:val="24"/>
        </w:rPr>
        <w:t xml:space="preserve">A pesquisa foi desenvolvida em </w:t>
      </w:r>
      <w:r w:rsidR="005922FF" w:rsidRPr="00B36C6E">
        <w:rPr>
          <w:rFonts w:cs="Times New Roman"/>
          <w:szCs w:val="24"/>
        </w:rPr>
        <w:t>quatro</w:t>
      </w:r>
      <w:r w:rsidR="005D0CED" w:rsidRPr="00B36C6E">
        <w:rPr>
          <w:rFonts w:cs="Times New Roman"/>
          <w:szCs w:val="24"/>
        </w:rPr>
        <w:t xml:space="preserve"> </w:t>
      </w:r>
      <w:r w:rsidRPr="00B36C6E">
        <w:rPr>
          <w:rFonts w:cs="Times New Roman"/>
          <w:szCs w:val="24"/>
        </w:rPr>
        <w:t>etapas, a saber:</w:t>
      </w:r>
    </w:p>
    <w:p w14:paraId="464F0C52" w14:textId="7453B4D1" w:rsidR="00102F88" w:rsidRPr="00B36C6E" w:rsidRDefault="00102F88" w:rsidP="00102F88">
      <w:pPr>
        <w:ind w:firstLine="709"/>
        <w:rPr>
          <w:rFonts w:cs="Times New Roman"/>
          <w:szCs w:val="24"/>
        </w:rPr>
      </w:pPr>
      <w:r w:rsidRPr="00B36C6E">
        <w:rPr>
          <w:rFonts w:cs="Times New Roman"/>
          <w:szCs w:val="24"/>
        </w:rPr>
        <w:t xml:space="preserve">I – levantamento das medições dos indicadores propostos no Marco Estratégico do </w:t>
      </w:r>
      <w:proofErr w:type="spellStart"/>
      <w:r w:rsidRPr="00B36C6E">
        <w:rPr>
          <w:rFonts w:cs="Times New Roman"/>
          <w:szCs w:val="24"/>
        </w:rPr>
        <w:t>Promoex</w:t>
      </w:r>
      <w:proofErr w:type="spellEnd"/>
      <w:r w:rsidRPr="00B36C6E">
        <w:rPr>
          <w:rFonts w:cs="Times New Roman"/>
          <w:szCs w:val="24"/>
        </w:rPr>
        <w:t xml:space="preserve">, dos subcomponentes 2.1 a 2.6 do componente local “Modernização dos Tribunais de Contas dos Estados, Distrito Federal e Municípios”, que se encontram no Relatório Final do </w:t>
      </w:r>
      <w:proofErr w:type="spellStart"/>
      <w:r w:rsidRPr="00B36C6E">
        <w:rPr>
          <w:rFonts w:cs="Times New Roman"/>
          <w:szCs w:val="24"/>
        </w:rPr>
        <w:t>Promoex</w:t>
      </w:r>
      <w:proofErr w:type="spellEnd"/>
      <w:r w:rsidRPr="00B36C6E">
        <w:rPr>
          <w:rFonts w:cs="Times New Roman"/>
          <w:szCs w:val="24"/>
        </w:rPr>
        <w:t xml:space="preserve"> com intuito de verificar quantos Tribunais cumpriram as metas estipuladas; o referido relatório foi compilado pela Direção Nacional do </w:t>
      </w:r>
      <w:proofErr w:type="spellStart"/>
      <w:r w:rsidRPr="00B36C6E">
        <w:rPr>
          <w:rFonts w:cs="Times New Roman"/>
          <w:szCs w:val="24"/>
        </w:rPr>
        <w:t>Promoex</w:t>
      </w:r>
      <w:proofErr w:type="spellEnd"/>
      <w:r w:rsidRPr="00B36C6E">
        <w:rPr>
          <w:rFonts w:cs="Times New Roman"/>
          <w:szCs w:val="24"/>
        </w:rPr>
        <w:t xml:space="preserve"> e encaminhado em 27 de dezembro de 2013 ao BID, composto por quatro sessões: Apresentação, Situação geral do Programa, Execução Física e Financeira e a Conclusão, que destaca os principais resultados. O relatório contém um quadro consolidado que apresenta detalhes sobre as ações executadas </w:t>
      </w:r>
      <w:r w:rsidR="00B013C5" w:rsidRPr="00B36C6E">
        <w:rPr>
          <w:rFonts w:cs="Times New Roman"/>
          <w:szCs w:val="24"/>
        </w:rPr>
        <w:t xml:space="preserve">em </w:t>
      </w:r>
      <w:r w:rsidRPr="00B36C6E">
        <w:rPr>
          <w:rFonts w:cs="Times New Roman"/>
          <w:szCs w:val="24"/>
        </w:rPr>
        <w:t>cada um dos Tribunais participantes.</w:t>
      </w:r>
    </w:p>
    <w:p w14:paraId="3225D802" w14:textId="193114D8" w:rsidR="00102F88" w:rsidRPr="00B36C6E" w:rsidRDefault="00102F88" w:rsidP="00102F88">
      <w:pPr>
        <w:ind w:firstLine="709"/>
        <w:rPr>
          <w:rFonts w:cs="Times New Roman"/>
          <w:szCs w:val="24"/>
        </w:rPr>
      </w:pPr>
      <w:r w:rsidRPr="00B36C6E">
        <w:rPr>
          <w:rFonts w:cs="Times New Roman"/>
          <w:szCs w:val="24"/>
        </w:rPr>
        <w:t xml:space="preserve">II – </w:t>
      </w:r>
      <w:proofErr w:type="gramStart"/>
      <w:r w:rsidRPr="00B36C6E">
        <w:rPr>
          <w:rFonts w:cs="Times New Roman"/>
          <w:szCs w:val="24"/>
        </w:rPr>
        <w:t>análise</w:t>
      </w:r>
      <w:proofErr w:type="gramEnd"/>
      <w:r w:rsidRPr="00B36C6E">
        <w:rPr>
          <w:rFonts w:cs="Times New Roman"/>
          <w:szCs w:val="24"/>
        </w:rPr>
        <w:t xml:space="preserve"> crítica dos indicadores do </w:t>
      </w:r>
      <w:proofErr w:type="spellStart"/>
      <w:r w:rsidRPr="00B36C6E">
        <w:rPr>
          <w:rFonts w:cs="Times New Roman"/>
          <w:szCs w:val="24"/>
        </w:rPr>
        <w:t>Promoex</w:t>
      </w:r>
      <w:proofErr w:type="spellEnd"/>
      <w:r w:rsidRPr="00B36C6E">
        <w:rPr>
          <w:rFonts w:cs="Times New Roman"/>
          <w:szCs w:val="24"/>
        </w:rPr>
        <w:t xml:space="preserve"> no que tange à evidenciação do resultado e efetividade do programa;</w:t>
      </w:r>
    </w:p>
    <w:p w14:paraId="56D77028" w14:textId="21F3956A" w:rsidR="005D0CED" w:rsidRPr="00B36C6E" w:rsidRDefault="005922FF" w:rsidP="00102F88">
      <w:pPr>
        <w:ind w:firstLine="709"/>
        <w:rPr>
          <w:rFonts w:cs="Times New Roman"/>
          <w:szCs w:val="24"/>
        </w:rPr>
      </w:pPr>
      <w:r w:rsidRPr="00B36C6E">
        <w:rPr>
          <w:rFonts w:cs="Times New Roman"/>
          <w:szCs w:val="24"/>
        </w:rPr>
        <w:t>III</w:t>
      </w:r>
      <w:r w:rsidR="00102F88" w:rsidRPr="00B36C6E">
        <w:rPr>
          <w:rFonts w:cs="Times New Roman"/>
          <w:szCs w:val="24"/>
        </w:rPr>
        <w:t xml:space="preserve"> – identificação de ações para sustentabilidade dos produtos gerados após o término do Programa</w:t>
      </w:r>
      <w:r w:rsidR="005D0CED" w:rsidRPr="00B36C6E">
        <w:rPr>
          <w:rFonts w:cs="Times New Roman"/>
          <w:szCs w:val="24"/>
        </w:rPr>
        <w:t>;</w:t>
      </w:r>
    </w:p>
    <w:p w14:paraId="70DC85B0" w14:textId="0955C4BD" w:rsidR="00102F88" w:rsidRPr="00B36C6E" w:rsidRDefault="005922FF" w:rsidP="005D0CED">
      <w:pPr>
        <w:ind w:firstLine="709"/>
        <w:rPr>
          <w:rFonts w:cs="Times New Roman"/>
          <w:szCs w:val="24"/>
        </w:rPr>
      </w:pPr>
      <w:r w:rsidRPr="00B36C6E">
        <w:rPr>
          <w:rFonts w:cs="Times New Roman"/>
          <w:szCs w:val="24"/>
        </w:rPr>
        <w:t>I</w:t>
      </w:r>
      <w:r w:rsidR="005D0CED" w:rsidRPr="00B36C6E">
        <w:rPr>
          <w:rFonts w:cs="Times New Roman"/>
          <w:szCs w:val="24"/>
        </w:rPr>
        <w:t xml:space="preserve">V – </w:t>
      </w:r>
      <w:proofErr w:type="gramStart"/>
      <w:r w:rsidR="005D0CED" w:rsidRPr="00B36C6E">
        <w:rPr>
          <w:rFonts w:cs="Times New Roman"/>
          <w:szCs w:val="24"/>
        </w:rPr>
        <w:t>identificação</w:t>
      </w:r>
      <w:proofErr w:type="gramEnd"/>
      <w:r w:rsidR="005D0CED" w:rsidRPr="00B36C6E">
        <w:rPr>
          <w:rFonts w:cs="Times New Roman"/>
          <w:szCs w:val="24"/>
        </w:rPr>
        <w:t xml:space="preserve"> da situação dos Tribunais de Contas após encerramento do </w:t>
      </w:r>
      <w:proofErr w:type="spellStart"/>
      <w:r w:rsidR="005D0CED" w:rsidRPr="00B36C6E">
        <w:rPr>
          <w:rFonts w:cs="Times New Roman"/>
          <w:szCs w:val="24"/>
        </w:rPr>
        <w:t>Promoex</w:t>
      </w:r>
      <w:proofErr w:type="spellEnd"/>
      <w:r w:rsidR="005D0CED" w:rsidRPr="00B36C6E">
        <w:rPr>
          <w:rFonts w:cs="Times New Roman"/>
          <w:szCs w:val="24"/>
        </w:rPr>
        <w:t>: foram consultadas fontes documentais de diagnósticos realizado</w:t>
      </w:r>
      <w:r w:rsidR="00B013C5" w:rsidRPr="00B36C6E">
        <w:rPr>
          <w:rFonts w:cs="Times New Roman"/>
          <w:szCs w:val="24"/>
        </w:rPr>
        <w:t>s</w:t>
      </w:r>
      <w:r w:rsidR="005D0CED" w:rsidRPr="00B36C6E">
        <w:rPr>
          <w:rFonts w:cs="Times New Roman"/>
          <w:szCs w:val="24"/>
        </w:rPr>
        <w:t xml:space="preserve"> em 2013 no âmbito do Programa de Avaliação da Qualidade e Agilidade do Controle Externo, assim como indicadores da autoavaliação dos Tribunais constante do</w:t>
      </w:r>
      <w:r w:rsidR="00102F88" w:rsidRPr="00B36C6E" w:rsidDel="0087075D">
        <w:rPr>
          <w:rFonts w:cs="Times New Roman"/>
          <w:szCs w:val="24"/>
        </w:rPr>
        <w:t xml:space="preserve"> </w:t>
      </w:r>
      <w:r w:rsidR="005D0CED" w:rsidRPr="00B36C6E">
        <w:rPr>
          <w:rFonts w:cs="Times New Roman"/>
          <w:szCs w:val="24"/>
        </w:rPr>
        <w:t xml:space="preserve">Programa Qualidade e Agilidade dos Tribunais de Contas (QATC) realizado em 2015 (materiais disponíveis no site da Associação dos Membros dos Tribunais de Contas – </w:t>
      </w:r>
      <w:proofErr w:type="spellStart"/>
      <w:r w:rsidR="005D0CED" w:rsidRPr="00B36C6E">
        <w:rPr>
          <w:rFonts w:cs="Times New Roman"/>
          <w:szCs w:val="24"/>
        </w:rPr>
        <w:t>Atricon</w:t>
      </w:r>
      <w:proofErr w:type="spellEnd"/>
      <w:r w:rsidR="005D0CED" w:rsidRPr="00B36C6E">
        <w:rPr>
          <w:rFonts w:cs="Times New Roman"/>
          <w:szCs w:val="24"/>
        </w:rPr>
        <w:t>).</w:t>
      </w:r>
    </w:p>
    <w:p w14:paraId="57019D48" w14:textId="4435B393" w:rsidR="00102F88" w:rsidRPr="00B36C6E" w:rsidRDefault="009A527D" w:rsidP="00102F88">
      <w:pPr>
        <w:ind w:firstLine="709"/>
        <w:rPr>
          <w:rFonts w:cs="Times New Roman"/>
          <w:szCs w:val="24"/>
        </w:rPr>
      </w:pPr>
      <w:r w:rsidRPr="00B36C6E">
        <w:rPr>
          <w:rFonts w:cs="Times New Roman"/>
          <w:color w:val="000000" w:themeColor="text1"/>
          <w:szCs w:val="24"/>
        </w:rPr>
        <w:lastRenderedPageBreak/>
        <w:t>A pesquisa documental é indicada para o propósito desta pesquisa qualitativa, entretanto apresenta limitações, tais como o fato de que a informação completa pode não estar disponível para acesso público (</w:t>
      </w:r>
      <w:proofErr w:type="spellStart"/>
      <w:r w:rsidRPr="00B36C6E">
        <w:rPr>
          <w:rFonts w:cs="Times New Roman"/>
          <w:color w:val="000000" w:themeColor="text1"/>
          <w:szCs w:val="24"/>
        </w:rPr>
        <w:t>Creswell</w:t>
      </w:r>
      <w:proofErr w:type="spellEnd"/>
      <w:r w:rsidRPr="00B36C6E">
        <w:rPr>
          <w:rFonts w:cs="Times New Roman"/>
          <w:color w:val="000000" w:themeColor="text1"/>
          <w:szCs w:val="24"/>
        </w:rPr>
        <w:t>, 2007).</w:t>
      </w:r>
    </w:p>
    <w:p w14:paraId="73FBC62B" w14:textId="77777777" w:rsidR="00102F88" w:rsidRPr="00B36C6E" w:rsidRDefault="00102F88" w:rsidP="00102F88">
      <w:pPr>
        <w:ind w:firstLine="709"/>
        <w:rPr>
          <w:rFonts w:cs="Times New Roman"/>
          <w:szCs w:val="24"/>
        </w:rPr>
      </w:pPr>
    </w:p>
    <w:p w14:paraId="1CEE58DC" w14:textId="77777777" w:rsidR="00102F88" w:rsidRPr="00B36C6E" w:rsidRDefault="00102F88" w:rsidP="00102F88">
      <w:pPr>
        <w:pStyle w:val="Ttulo1"/>
        <w:rPr>
          <w:rFonts w:cs="Times New Roman"/>
          <w:szCs w:val="24"/>
        </w:rPr>
      </w:pPr>
      <w:r w:rsidRPr="00B36C6E">
        <w:rPr>
          <w:rFonts w:cs="Times New Roman"/>
          <w:szCs w:val="24"/>
        </w:rPr>
        <w:t>Resultados</w:t>
      </w:r>
    </w:p>
    <w:p w14:paraId="7ED39F7F" w14:textId="77777777" w:rsidR="00102F88" w:rsidRPr="00B36C6E" w:rsidRDefault="00102F88" w:rsidP="00102F88">
      <w:pPr>
        <w:ind w:firstLine="709"/>
        <w:rPr>
          <w:rFonts w:cs="Times New Roman"/>
          <w:szCs w:val="24"/>
        </w:rPr>
      </w:pPr>
      <w:bookmarkStart w:id="4" w:name="_Toc371791638"/>
    </w:p>
    <w:bookmarkEnd w:id="4"/>
    <w:p w14:paraId="179AD874" w14:textId="77777777" w:rsidR="00102F88" w:rsidRPr="00B36C6E" w:rsidRDefault="00102F88" w:rsidP="00102F88">
      <w:pPr>
        <w:rPr>
          <w:rFonts w:cs="Times New Roman"/>
          <w:b/>
          <w:szCs w:val="24"/>
        </w:rPr>
      </w:pPr>
      <w:r w:rsidRPr="00B36C6E">
        <w:rPr>
          <w:rFonts w:cs="Times New Roman"/>
          <w:b/>
          <w:szCs w:val="24"/>
        </w:rPr>
        <w:t xml:space="preserve">4.1 Apuração dos resultados e mensuração dos indicadores </w:t>
      </w:r>
    </w:p>
    <w:p w14:paraId="2A6EA3CC" w14:textId="77777777" w:rsidR="00102F88" w:rsidRPr="00B36C6E" w:rsidRDefault="00102F88" w:rsidP="00102F88">
      <w:pPr>
        <w:ind w:firstLine="708"/>
        <w:rPr>
          <w:rFonts w:cs="Times New Roman"/>
          <w:szCs w:val="24"/>
        </w:rPr>
      </w:pPr>
    </w:p>
    <w:p w14:paraId="718E91CA" w14:textId="77777777" w:rsidR="00102F88" w:rsidRPr="00B36C6E" w:rsidRDefault="00102F88" w:rsidP="00102F88">
      <w:pPr>
        <w:ind w:firstLine="708"/>
        <w:rPr>
          <w:rFonts w:cs="Times New Roman"/>
          <w:szCs w:val="24"/>
        </w:rPr>
      </w:pPr>
      <w:r w:rsidRPr="00B36C6E">
        <w:rPr>
          <w:rFonts w:cs="Times New Roman"/>
          <w:szCs w:val="24"/>
        </w:rPr>
        <w:t xml:space="preserve">Inicialmente composto por 32 dos 33 Tribunais de Contas, o </w:t>
      </w:r>
      <w:proofErr w:type="spellStart"/>
      <w:r w:rsidRPr="00B36C6E">
        <w:rPr>
          <w:rFonts w:cs="Times New Roman"/>
          <w:szCs w:val="24"/>
        </w:rPr>
        <w:t>Promoex</w:t>
      </w:r>
      <w:proofErr w:type="spellEnd"/>
      <w:r w:rsidRPr="00B36C6E">
        <w:rPr>
          <w:rFonts w:cs="Times New Roman"/>
          <w:szCs w:val="24"/>
        </w:rPr>
        <w:t xml:space="preserve"> foi concluído contando com participação de 27 TC (BRASIL, 2013c). As medições apresentadas a seguir serão relativas aos Tribunais que concluíram o Programa.</w:t>
      </w:r>
    </w:p>
    <w:p w14:paraId="057BD392" w14:textId="77777777" w:rsidR="00102F88" w:rsidRPr="00B36C6E" w:rsidRDefault="00102F88" w:rsidP="00102F88">
      <w:pPr>
        <w:ind w:firstLine="708"/>
        <w:rPr>
          <w:rFonts w:cs="Times New Roman"/>
          <w:szCs w:val="24"/>
        </w:rPr>
      </w:pPr>
      <w:r w:rsidRPr="00B36C6E">
        <w:rPr>
          <w:rFonts w:cs="Times New Roman"/>
          <w:szCs w:val="24"/>
        </w:rPr>
        <w:t>Em relação ao componente nacional, o indicador “tempo médio entre a autuação do processo e sua deliberação final”, cuja meta era a redução anual de 5% nesse tempo médio, não foi medido por grande parte dos Tribunais, conforme apontamento a seguir:</w:t>
      </w:r>
    </w:p>
    <w:p w14:paraId="7A702BC7" w14:textId="77777777" w:rsidR="00102F88" w:rsidRPr="00B36C6E" w:rsidRDefault="00102F88" w:rsidP="00102F88">
      <w:pPr>
        <w:pStyle w:val="Ttulo"/>
        <w:ind w:firstLine="0"/>
        <w:rPr>
          <w:rFonts w:cs="Times New Roman"/>
          <w:szCs w:val="24"/>
        </w:rPr>
      </w:pPr>
    </w:p>
    <w:p w14:paraId="3C4C63C9" w14:textId="77777777" w:rsidR="00102F88" w:rsidRPr="00B36C6E" w:rsidRDefault="00102F88" w:rsidP="00102F88">
      <w:pPr>
        <w:pStyle w:val="Ttulo"/>
        <w:ind w:firstLine="0"/>
        <w:rPr>
          <w:rFonts w:cs="Times New Roman"/>
          <w:szCs w:val="24"/>
        </w:rPr>
      </w:pPr>
      <w:r w:rsidRPr="00B36C6E">
        <w:rPr>
          <w:rFonts w:cs="Times New Roman"/>
          <w:szCs w:val="24"/>
        </w:rPr>
        <w:t xml:space="preserve">Somente 13 Tribunais efetuaram essa medição. As contratações para o redesenho de processos de trabalho tardaram acontecer, em função da fragmentação inicial das parcelas de repasse e das dificuldades enfrentadas na assimilação das regras de licitação do BID, que causaram demora da execução dos recursos e, consequentemente, na apresentação das prestações de contas para o recebimento das próximas transferências </w:t>
      </w:r>
      <w:r w:rsidRPr="00B36C6E">
        <w:rPr>
          <w:rFonts w:eastAsia="Calibri" w:cs="Times New Roman"/>
          <w:szCs w:val="24"/>
        </w:rPr>
        <w:t>(BRASIL, 2013c)</w:t>
      </w:r>
      <w:r w:rsidRPr="00B36C6E">
        <w:rPr>
          <w:rFonts w:cs="Times New Roman"/>
          <w:szCs w:val="24"/>
        </w:rPr>
        <w:t>.</w:t>
      </w:r>
    </w:p>
    <w:p w14:paraId="599CDE79" w14:textId="77777777" w:rsidR="00102F88" w:rsidRPr="00B36C6E" w:rsidRDefault="00102F88" w:rsidP="00102F88">
      <w:pPr>
        <w:ind w:firstLine="709"/>
        <w:rPr>
          <w:rFonts w:cs="Times New Roman"/>
          <w:szCs w:val="24"/>
        </w:rPr>
      </w:pPr>
    </w:p>
    <w:p w14:paraId="720FBA98" w14:textId="3A6939E9" w:rsidR="00102F88" w:rsidRPr="00B36C6E" w:rsidRDefault="00102F88" w:rsidP="00102F88">
      <w:pPr>
        <w:ind w:firstLine="709"/>
        <w:rPr>
          <w:rFonts w:cs="Times New Roman"/>
          <w:szCs w:val="24"/>
        </w:rPr>
      </w:pPr>
      <w:r w:rsidRPr="00B36C6E">
        <w:rPr>
          <w:rFonts w:cs="Times New Roman"/>
          <w:szCs w:val="24"/>
        </w:rPr>
        <w:t xml:space="preserve">O problema da morosidade na tramitação dos processos e decisões </w:t>
      </w:r>
      <w:r w:rsidR="0006288C" w:rsidRPr="00B36C6E">
        <w:rPr>
          <w:rFonts w:cs="Times New Roman"/>
          <w:szCs w:val="24"/>
        </w:rPr>
        <w:t>parece ser uma questão marcante no sistem</w:t>
      </w:r>
      <w:r w:rsidR="00B013C5" w:rsidRPr="00B36C6E">
        <w:rPr>
          <w:rFonts w:cs="Times New Roman"/>
          <w:szCs w:val="24"/>
        </w:rPr>
        <w:t>a</w:t>
      </w:r>
      <w:r w:rsidR="0006288C" w:rsidRPr="00B36C6E">
        <w:rPr>
          <w:rFonts w:cs="Times New Roman"/>
          <w:szCs w:val="24"/>
        </w:rPr>
        <w:t xml:space="preserve"> de controle externo brasileiro</w:t>
      </w:r>
      <w:r w:rsidR="00DA455A" w:rsidRPr="00B36C6E">
        <w:rPr>
          <w:rFonts w:cs="Times New Roman"/>
          <w:szCs w:val="24"/>
        </w:rPr>
        <w:t>,</w:t>
      </w:r>
      <w:r w:rsidR="0006288C" w:rsidRPr="00B36C6E">
        <w:rPr>
          <w:rFonts w:cs="Times New Roman"/>
          <w:szCs w:val="24"/>
        </w:rPr>
        <w:t xml:space="preserve"> </w:t>
      </w:r>
      <w:r w:rsidRPr="00B36C6E">
        <w:rPr>
          <w:rFonts w:cs="Times New Roman"/>
          <w:szCs w:val="24"/>
        </w:rPr>
        <w:t xml:space="preserve">também </w:t>
      </w:r>
      <w:r w:rsidR="00DA455A" w:rsidRPr="00B36C6E">
        <w:rPr>
          <w:rFonts w:cs="Times New Roman"/>
          <w:szCs w:val="24"/>
        </w:rPr>
        <w:t>apontada</w:t>
      </w:r>
      <w:r w:rsidRPr="00B36C6E">
        <w:rPr>
          <w:rFonts w:cs="Times New Roman"/>
          <w:szCs w:val="24"/>
        </w:rPr>
        <w:t xml:space="preserve"> por Ribeiro (2002)</w:t>
      </w:r>
      <w:r w:rsidR="00DA455A" w:rsidRPr="00B36C6E">
        <w:rPr>
          <w:rFonts w:cs="Times New Roman"/>
          <w:szCs w:val="24"/>
        </w:rPr>
        <w:t>.</w:t>
      </w:r>
    </w:p>
    <w:p w14:paraId="607655F9" w14:textId="77777777" w:rsidR="00102F88" w:rsidRPr="00B36C6E" w:rsidRDefault="00102F88" w:rsidP="00102F88">
      <w:pPr>
        <w:ind w:firstLine="709"/>
        <w:rPr>
          <w:rFonts w:cs="Times New Roman"/>
          <w:szCs w:val="24"/>
        </w:rPr>
      </w:pPr>
      <w:r w:rsidRPr="00B36C6E">
        <w:rPr>
          <w:rFonts w:cs="Times New Roman"/>
          <w:szCs w:val="24"/>
        </w:rPr>
        <w:t>Todas as metas físicas do componente nacional (presentes no Quadro 1) foram cumpridas (BRASIL, 2013c), quais sejam:</w:t>
      </w:r>
    </w:p>
    <w:p w14:paraId="36CD1BEE" w14:textId="7A8B13A9" w:rsidR="00102F88" w:rsidRPr="00B36C6E" w:rsidRDefault="00102F88" w:rsidP="00102F88">
      <w:pPr>
        <w:pStyle w:val="PargrafodaLista"/>
        <w:numPr>
          <w:ilvl w:val="0"/>
          <w:numId w:val="8"/>
        </w:numPr>
        <w:rPr>
          <w:rFonts w:cs="Times New Roman"/>
          <w:szCs w:val="24"/>
        </w:rPr>
      </w:pPr>
      <w:r w:rsidRPr="00B36C6E">
        <w:rPr>
          <w:rFonts w:cs="Times New Roman"/>
          <w:szCs w:val="24"/>
        </w:rPr>
        <w:t>Todos os 33 Tribunais de Contas encontra</w:t>
      </w:r>
      <w:r w:rsidR="00704A12" w:rsidRPr="00B36C6E">
        <w:rPr>
          <w:rFonts w:cs="Times New Roman"/>
          <w:szCs w:val="24"/>
        </w:rPr>
        <w:t>va</w:t>
      </w:r>
      <w:r w:rsidRPr="00B36C6E">
        <w:rPr>
          <w:rFonts w:cs="Times New Roman"/>
          <w:szCs w:val="24"/>
        </w:rPr>
        <w:t xml:space="preserve">m-se cooperando em rede; dentre os benefícios alcançados, </w:t>
      </w:r>
      <w:r w:rsidR="00704A12" w:rsidRPr="00B36C6E">
        <w:rPr>
          <w:rFonts w:cs="Times New Roman"/>
          <w:szCs w:val="24"/>
        </w:rPr>
        <w:t xml:space="preserve">segundo o relatório, </w:t>
      </w:r>
      <w:r w:rsidRPr="00B36C6E">
        <w:rPr>
          <w:rFonts w:cs="Times New Roman"/>
          <w:szCs w:val="24"/>
        </w:rPr>
        <w:t>foi destacada a integração dos servidores e membros dos TC, possibilitando troca ágil de informações, nivelando e agregando conhecimentos técnicos;</w:t>
      </w:r>
    </w:p>
    <w:p w14:paraId="75B55791" w14:textId="77777777" w:rsidR="00102F88" w:rsidRPr="00B36C6E" w:rsidRDefault="00102F88" w:rsidP="00102F88">
      <w:pPr>
        <w:pStyle w:val="PargrafodaLista"/>
        <w:numPr>
          <w:ilvl w:val="0"/>
          <w:numId w:val="8"/>
        </w:numPr>
        <w:rPr>
          <w:rFonts w:cs="Times New Roman"/>
          <w:szCs w:val="24"/>
        </w:rPr>
      </w:pPr>
      <w:r w:rsidRPr="00B36C6E">
        <w:rPr>
          <w:rFonts w:cs="Times New Roman"/>
          <w:szCs w:val="24"/>
        </w:rPr>
        <w:t>Dezessete TC integram o Portal Nacional dos TCS e enviam dados de gestão fiscal dos Estados e Municípios por meio do Sistema de Acompanhamento da Gestão Fiscal, permitindo que os cidadãos tenham conhecimento da execução dos recursos públicos pelos governos estaduais e municipais;</w:t>
      </w:r>
    </w:p>
    <w:p w14:paraId="48ED5B46" w14:textId="48F86B0D" w:rsidR="00102F88" w:rsidRPr="00B36C6E" w:rsidRDefault="00102F88" w:rsidP="00102F88">
      <w:pPr>
        <w:pStyle w:val="PargrafodaLista"/>
        <w:numPr>
          <w:ilvl w:val="0"/>
          <w:numId w:val="8"/>
        </w:numPr>
        <w:rPr>
          <w:rFonts w:cs="Times New Roman"/>
          <w:szCs w:val="24"/>
        </w:rPr>
      </w:pPr>
      <w:r w:rsidRPr="00B36C6E">
        <w:rPr>
          <w:rFonts w:cs="Times New Roman"/>
          <w:szCs w:val="24"/>
        </w:rPr>
        <w:t xml:space="preserve"> 28 pontos de controle da LRF foram amplamente d</w:t>
      </w:r>
      <w:r w:rsidR="00704A12" w:rsidRPr="00B36C6E">
        <w:rPr>
          <w:rFonts w:cs="Times New Roman"/>
          <w:szCs w:val="24"/>
        </w:rPr>
        <w:t>ebatid</w:t>
      </w:r>
      <w:r w:rsidRPr="00B36C6E">
        <w:rPr>
          <w:rFonts w:cs="Times New Roman"/>
          <w:szCs w:val="24"/>
        </w:rPr>
        <w:t>os por meio de fóruns de discussão e grupos de trabalho, e 26 foram harmonizados entre os técnicos dos Tribunais, possibilitando: padronização de conceitos e metodologias, eliminação de discrepâncias de entendimentos na aplicação da LRF, possibilidade de consolidação de cálculos e análises relativas ao cumprimento da LRF;</w:t>
      </w:r>
    </w:p>
    <w:p w14:paraId="54D3612C" w14:textId="77777777" w:rsidR="00102F88" w:rsidRPr="00B36C6E" w:rsidRDefault="00102F88" w:rsidP="00102F88">
      <w:pPr>
        <w:pStyle w:val="PargrafodaLista"/>
        <w:numPr>
          <w:ilvl w:val="0"/>
          <w:numId w:val="8"/>
        </w:numPr>
        <w:rPr>
          <w:rFonts w:cs="Times New Roman"/>
          <w:szCs w:val="24"/>
        </w:rPr>
      </w:pPr>
      <w:r w:rsidRPr="00B36C6E">
        <w:rPr>
          <w:rFonts w:cs="Times New Roman"/>
          <w:szCs w:val="24"/>
        </w:rPr>
        <w:t>21 Tribunais estão compartilhando soluções técnicas de TI e outros tipos, como a elaboração e implementação do planejamento estratégico, de sistemas de captura eletrônica de contas, de processos de análises de contas de governo e de atos de pessoal, gerando como benefícios: adoção de melhores práticas já testadas por outros TC e redução nos custos das soluções desenvolvidas.</w:t>
      </w:r>
    </w:p>
    <w:p w14:paraId="4C43BF88" w14:textId="77777777" w:rsidR="00102F88" w:rsidRPr="00B36C6E" w:rsidRDefault="00102F88" w:rsidP="00102F88">
      <w:pPr>
        <w:ind w:firstLine="709"/>
        <w:rPr>
          <w:rFonts w:cs="Times New Roman"/>
          <w:szCs w:val="24"/>
        </w:rPr>
      </w:pPr>
    </w:p>
    <w:p w14:paraId="5E17A97C" w14:textId="4A4CA20C" w:rsidR="00102F88" w:rsidRPr="00B36C6E" w:rsidRDefault="00102F88" w:rsidP="00102F88">
      <w:pPr>
        <w:ind w:firstLine="709"/>
        <w:rPr>
          <w:rFonts w:cs="Times New Roman"/>
          <w:szCs w:val="24"/>
        </w:rPr>
      </w:pPr>
      <w:r w:rsidRPr="00B36C6E">
        <w:rPr>
          <w:rFonts w:cs="Times New Roman"/>
          <w:szCs w:val="24"/>
        </w:rPr>
        <w:t>Há indícios de que o Programa atingiu o objetivo esperado de interação entre os Tribunais e destes com o governo federal</w:t>
      </w:r>
      <w:r w:rsidR="00704A12" w:rsidRPr="00B36C6E">
        <w:rPr>
          <w:rFonts w:cs="Times New Roman"/>
          <w:szCs w:val="24"/>
        </w:rPr>
        <w:t>, contornando possivelmente problemas de integração como os identificados por Fernandes (2003)</w:t>
      </w:r>
      <w:r w:rsidRPr="00B36C6E">
        <w:rPr>
          <w:rFonts w:cs="Times New Roman"/>
          <w:szCs w:val="24"/>
        </w:rPr>
        <w:t xml:space="preserve">. Formou-se uma rede de relacionamentos entre o corpo técnico dos Tribunais e houve compartilhamento de soluções diversas. A pesquisa de Silva, Martins e </w:t>
      </w:r>
      <w:proofErr w:type="spellStart"/>
      <w:r w:rsidRPr="00B36C6E">
        <w:rPr>
          <w:rFonts w:cs="Times New Roman"/>
          <w:iCs/>
          <w:szCs w:val="24"/>
        </w:rPr>
        <w:t>Ckagnazaroff</w:t>
      </w:r>
      <w:proofErr w:type="spellEnd"/>
      <w:r w:rsidRPr="00B36C6E">
        <w:rPr>
          <w:rFonts w:cs="Times New Roman"/>
          <w:szCs w:val="24"/>
        </w:rPr>
        <w:t xml:space="preserve"> (2013) </w:t>
      </w:r>
      <w:r w:rsidR="00B6750F" w:rsidRPr="00B36C6E">
        <w:rPr>
          <w:rFonts w:cs="Times New Roman"/>
          <w:szCs w:val="24"/>
        </w:rPr>
        <w:t xml:space="preserve">sobre o Grupo de </w:t>
      </w:r>
      <w:r w:rsidR="00B6750F" w:rsidRPr="00B36C6E">
        <w:rPr>
          <w:rFonts w:cs="Times New Roman"/>
          <w:szCs w:val="24"/>
        </w:rPr>
        <w:lastRenderedPageBreak/>
        <w:t xml:space="preserve">Planejamento </w:t>
      </w:r>
      <w:proofErr w:type="spellStart"/>
      <w:r w:rsidR="00B6750F" w:rsidRPr="00B36C6E">
        <w:rPr>
          <w:rFonts w:cs="Times New Roman"/>
          <w:szCs w:val="24"/>
        </w:rPr>
        <w:t>Organizacioanl</w:t>
      </w:r>
      <w:proofErr w:type="spellEnd"/>
      <w:r w:rsidR="00B6750F" w:rsidRPr="00B36C6E">
        <w:rPr>
          <w:rFonts w:cs="Times New Roman"/>
          <w:szCs w:val="24"/>
        </w:rPr>
        <w:t xml:space="preserve"> (GPL) formado por servidores dos </w:t>
      </w:r>
      <w:proofErr w:type="spellStart"/>
      <w:r w:rsidR="00B6750F" w:rsidRPr="00B36C6E">
        <w:rPr>
          <w:rFonts w:cs="Times New Roman"/>
          <w:szCs w:val="24"/>
        </w:rPr>
        <w:t>TCs</w:t>
      </w:r>
      <w:proofErr w:type="spellEnd"/>
      <w:r w:rsidR="00B6750F" w:rsidRPr="00B36C6E">
        <w:rPr>
          <w:rFonts w:cs="Times New Roman"/>
          <w:szCs w:val="24"/>
        </w:rPr>
        <w:t xml:space="preserve"> </w:t>
      </w:r>
      <w:r w:rsidRPr="00B36C6E">
        <w:rPr>
          <w:rFonts w:cs="Times New Roman"/>
          <w:szCs w:val="24"/>
        </w:rPr>
        <w:t xml:space="preserve">corrobora com o resultado apresentado no Relatório Final do </w:t>
      </w:r>
      <w:proofErr w:type="spellStart"/>
      <w:r w:rsidRPr="00B36C6E">
        <w:rPr>
          <w:rFonts w:cs="Times New Roman"/>
          <w:szCs w:val="24"/>
        </w:rPr>
        <w:t>Promoex</w:t>
      </w:r>
      <w:proofErr w:type="spellEnd"/>
      <w:r w:rsidRPr="00B36C6E">
        <w:rPr>
          <w:rFonts w:cs="Times New Roman"/>
          <w:szCs w:val="24"/>
        </w:rPr>
        <w:t xml:space="preserve"> ao destacar que:</w:t>
      </w:r>
    </w:p>
    <w:p w14:paraId="4CCDD529" w14:textId="77777777" w:rsidR="00102F88" w:rsidRPr="00B36C6E" w:rsidRDefault="00102F88" w:rsidP="00102F88">
      <w:pPr>
        <w:pStyle w:val="Ttulo"/>
        <w:ind w:firstLine="0"/>
        <w:rPr>
          <w:rFonts w:cs="Times New Roman"/>
          <w:sz w:val="24"/>
          <w:szCs w:val="24"/>
        </w:rPr>
      </w:pPr>
    </w:p>
    <w:p w14:paraId="0F775AF1" w14:textId="77777777" w:rsidR="00102F88" w:rsidRPr="00B36C6E" w:rsidRDefault="00102F88" w:rsidP="00102F88">
      <w:pPr>
        <w:pStyle w:val="Ttulo"/>
        <w:ind w:firstLine="0"/>
        <w:rPr>
          <w:rFonts w:cs="Times New Roman"/>
          <w:szCs w:val="24"/>
        </w:rPr>
      </w:pPr>
      <w:r w:rsidRPr="00B36C6E">
        <w:rPr>
          <w:rFonts w:cs="Times New Roman"/>
          <w:szCs w:val="24"/>
        </w:rPr>
        <w:t xml:space="preserve">A interação que os representantes dos Tribunais passaram a ter após os encontros do grupo foi um ponto de mérito destacado por todos os membros do GPL entrevistados. Trata-se de um resultado de difícil mensuração, em termos de avaliação dos resultados do Programa </w:t>
      </w:r>
      <w:proofErr w:type="spellStart"/>
      <w:r w:rsidRPr="00B36C6E">
        <w:rPr>
          <w:rFonts w:cs="Times New Roman"/>
          <w:szCs w:val="24"/>
        </w:rPr>
        <w:t>Promoex</w:t>
      </w:r>
      <w:proofErr w:type="spellEnd"/>
      <w:r w:rsidRPr="00B36C6E">
        <w:rPr>
          <w:rFonts w:cs="Times New Roman"/>
          <w:szCs w:val="24"/>
        </w:rPr>
        <w:t>, mas de vital importância para os servidores que fazem parte dessas organizações. Verificou-se que os avanços alcançados por essas áreas utilizando uma atuação conjunta e considerando valores como eficiência e efetividade, dificilmente seriam realizados caso estas instituições continuassem a atuar de forma isolada.</w:t>
      </w:r>
    </w:p>
    <w:p w14:paraId="70E8893E" w14:textId="77777777" w:rsidR="00102F88" w:rsidRPr="00B36C6E" w:rsidRDefault="00102F88" w:rsidP="00102F88">
      <w:pPr>
        <w:rPr>
          <w:rFonts w:cs="Times New Roman"/>
          <w:szCs w:val="24"/>
        </w:rPr>
      </w:pPr>
    </w:p>
    <w:p w14:paraId="23E60A7C" w14:textId="77777777" w:rsidR="00102F88" w:rsidRPr="00B36C6E" w:rsidRDefault="00102F88" w:rsidP="00102F88">
      <w:pPr>
        <w:ind w:firstLine="709"/>
        <w:rPr>
          <w:rFonts w:cs="Times New Roman"/>
          <w:szCs w:val="24"/>
        </w:rPr>
      </w:pPr>
      <w:r w:rsidRPr="00B36C6E">
        <w:rPr>
          <w:rFonts w:cs="Times New Roman"/>
          <w:szCs w:val="24"/>
        </w:rPr>
        <w:t>Analisando os apontamentos ora apresentados, verifica-se também que há indícios de que o primeiro ponto de falha diagnosticado pela FIA/USP (integração externa) que apontava baixa integração entre os TC, levando a desenvolvimento de soluções paralelas e inexistência de procedimentos e práticas consolidados, foi superado.</w:t>
      </w:r>
    </w:p>
    <w:p w14:paraId="4B2CED5F" w14:textId="77777777" w:rsidR="00102F88" w:rsidRPr="00B36C6E" w:rsidRDefault="00102F88" w:rsidP="00102F88">
      <w:pPr>
        <w:ind w:firstLine="709"/>
        <w:rPr>
          <w:rFonts w:cs="Times New Roman"/>
          <w:szCs w:val="24"/>
        </w:rPr>
      </w:pPr>
      <w:r w:rsidRPr="00B36C6E">
        <w:rPr>
          <w:rFonts w:cs="Times New Roman"/>
          <w:szCs w:val="24"/>
        </w:rPr>
        <w:t xml:space="preserve">Partindo para análise das metas estipuladas para o componente local, verifica-se que 57% dos Tribunais participantes cumpriram 100% das metas do </w:t>
      </w:r>
      <w:proofErr w:type="spellStart"/>
      <w:r w:rsidRPr="00B36C6E">
        <w:rPr>
          <w:rFonts w:cs="Times New Roman"/>
          <w:szCs w:val="24"/>
        </w:rPr>
        <w:t>Promoex</w:t>
      </w:r>
      <w:proofErr w:type="spellEnd"/>
      <w:r w:rsidRPr="00B36C6E">
        <w:rPr>
          <w:rFonts w:cs="Times New Roman"/>
          <w:szCs w:val="24"/>
        </w:rPr>
        <w:t>. Alguns Tribunais ultrapassaram bastante a meta estipulada pelo Programa nos subcomponentes 2.1, 2.2 e 2.3, conforme apresentado a seguir (Brasil, 2013c):</w:t>
      </w:r>
    </w:p>
    <w:p w14:paraId="159B2371" w14:textId="77777777" w:rsidR="00102F88" w:rsidRPr="00B36C6E" w:rsidRDefault="00102F88" w:rsidP="00102F88">
      <w:pPr>
        <w:pStyle w:val="PargrafodaLista"/>
        <w:numPr>
          <w:ilvl w:val="0"/>
          <w:numId w:val="19"/>
        </w:numPr>
        <w:ind w:left="720"/>
      </w:pPr>
      <w:r w:rsidRPr="00B36C6E">
        <w:t>20 TC ultrapassaram a meta 2.1 “06 ações de interação/articulação com os Poderes, Ministério Público, cidadãos e/ou sociedade organizada promovidas”: foram realizadas 675 ações de interação entre os Poderes, Ministério Público, cidadãos/sociedade organizada; as ações encontram-se fundamentadas em termos formais assinados entre as partes, o que permite a continuidade das mesmas; a relação com os cidadãos foi intensificada, com abertura a visitas escolares, realização de eventos, divulgação de resumos dos resultados das auditorias e dos julgamentos das contas, e criação de ouvidorias; entretanto, cinco TC não cumpriram a meta;</w:t>
      </w:r>
    </w:p>
    <w:p w14:paraId="7BAB55ED" w14:textId="5CC4C772" w:rsidR="00102F88" w:rsidRPr="00B36C6E" w:rsidRDefault="00102F88" w:rsidP="00102F88">
      <w:pPr>
        <w:pStyle w:val="PargrafodaLista"/>
        <w:numPr>
          <w:ilvl w:val="0"/>
          <w:numId w:val="19"/>
        </w:numPr>
        <w:ind w:left="720"/>
      </w:pPr>
      <w:r w:rsidRPr="00B36C6E">
        <w:t>23 TC ultrapassaram a meta 2.2: “2 auditorias para avaliação de programa de governo realizadas”: 235 auditorias foram realizadas pelos TC, criando uma cultura de auditoria operacional no âmbito do controle externo e base para continuidade desse procedimento; pode</w:t>
      </w:r>
      <w:r w:rsidR="00B6750F" w:rsidRPr="00B36C6E">
        <w:t>-</w:t>
      </w:r>
      <w:r w:rsidRPr="00B36C6E">
        <w:t>se constatar uma mudança em curso na forma como o controle externo é exercido pelos órgãos de controle em todo o mundo: uma função mais focada no acompanhamento dos gastos públicos para avaliar a qualidade e os resultados do programa. Dessa forma, o cerne da questão passa a ser o desempenho da gestão pública e não o formalismo estrito (ARANTES; ABRÚCIO; TEIXEIRA, 2005; BARZELAY, 2002; Moraes, 2006; Quintal, et. al., 2012).</w:t>
      </w:r>
    </w:p>
    <w:p w14:paraId="770C67EB" w14:textId="77777777" w:rsidR="00102F88" w:rsidRPr="00B36C6E" w:rsidRDefault="00102F88" w:rsidP="00102F88">
      <w:pPr>
        <w:pStyle w:val="PargrafodaLista"/>
        <w:numPr>
          <w:ilvl w:val="0"/>
          <w:numId w:val="19"/>
        </w:numPr>
        <w:ind w:left="720"/>
      </w:pPr>
      <w:r w:rsidRPr="00B36C6E">
        <w:t xml:space="preserve">15 TC ultrapassaram a meta 2.3: “4 processos de trabalho finalísticos do Tribunal redesenhados”: 217 processos foram redesenhados, seja por alteração no fluxo ou informatização; para garantir a melhoria nos processos de trabalho dos </w:t>
      </w:r>
      <w:proofErr w:type="spellStart"/>
      <w:r w:rsidRPr="00B36C6E">
        <w:t>TCs</w:t>
      </w:r>
      <w:proofErr w:type="spellEnd"/>
      <w:r w:rsidRPr="00B36C6E">
        <w:t xml:space="preserve">, os </w:t>
      </w:r>
      <w:proofErr w:type="spellStart"/>
      <w:r w:rsidRPr="00B36C6E">
        <w:t>redesenhos</w:t>
      </w:r>
      <w:proofErr w:type="spellEnd"/>
      <w:r w:rsidRPr="00B36C6E">
        <w:t xml:space="preserve"> foram formalizados por meio de Resoluções e/ou inseridos nos planejamentos estratégicos de cada órgão; entretanto, não foi cumprida por cinco TC. Observou-se que a dificuldade para efetuar o redesenho de processos, principalmente no setor público, é trazida por vários autores desse ramo, como destacam Santos, Santana e Alves (2012) quando apontam que as organizações públicas precisam mudar de forma radical suas estruturas e seus sistemas corporativos para implementar os conceitos e práticas da gestão de processos de forma satisfatória. Outro ponto a se levantar é que a maior parte dessas organizações estava fazendo contratação de empresa de consultoria para auxiliar </w:t>
      </w:r>
      <w:r w:rsidRPr="00B36C6E">
        <w:lastRenderedPageBreak/>
        <w:t>na condução dos trabalhos, o que pode ter “entravado” a conclusão desta meta, tendo em vista a demora na conclusão de um processo de contratação no setor público.</w:t>
      </w:r>
    </w:p>
    <w:p w14:paraId="31FBA845" w14:textId="77777777" w:rsidR="00102F88" w:rsidRPr="00B36C6E" w:rsidRDefault="00102F88" w:rsidP="00102F88">
      <w:pPr>
        <w:ind w:firstLine="709"/>
        <w:rPr>
          <w:rFonts w:cs="Times New Roman"/>
          <w:szCs w:val="24"/>
        </w:rPr>
      </w:pPr>
      <w:r w:rsidRPr="00B36C6E">
        <w:rPr>
          <w:rFonts w:cs="Times New Roman"/>
          <w:szCs w:val="24"/>
        </w:rPr>
        <w:t xml:space="preserve">Já a meta de implementação do planejamento estratégico de TI não foi cumprida por dois Tribunais: um deles alegou que o montante planejado para execução deste produto foi inferior aos valores de propostas obtidas no mercado local. </w:t>
      </w:r>
    </w:p>
    <w:p w14:paraId="6F0A208C" w14:textId="77777777" w:rsidR="00E123A6" w:rsidRPr="00B36C6E" w:rsidRDefault="00102F88" w:rsidP="00102F88">
      <w:pPr>
        <w:ind w:firstLine="709"/>
        <w:rPr>
          <w:rFonts w:cs="Times New Roman"/>
          <w:szCs w:val="24"/>
        </w:rPr>
      </w:pPr>
      <w:r w:rsidRPr="00B36C6E">
        <w:rPr>
          <w:rFonts w:cs="Times New Roman"/>
          <w:szCs w:val="24"/>
        </w:rPr>
        <w:t>Em relação à meta “ter um planejamento estratégico criado e implantado”, cumprida por todos os Tribunais cujas informações foram disponibilizadas, cabe ressaltar que esse resultado se deu também pelo esforço conjunto de um grupo de servidores do corpo técnico desses Tribunais que faziam parte do Grupo de Planejamento Organizacional/</w:t>
      </w:r>
      <w:proofErr w:type="spellStart"/>
      <w:r w:rsidRPr="00B36C6E">
        <w:rPr>
          <w:rFonts w:cs="Times New Roman"/>
          <w:szCs w:val="24"/>
        </w:rPr>
        <w:t>Promoex</w:t>
      </w:r>
      <w:proofErr w:type="spellEnd"/>
      <w:r w:rsidRPr="00B36C6E">
        <w:rPr>
          <w:rFonts w:cs="Times New Roman"/>
          <w:szCs w:val="24"/>
        </w:rPr>
        <w:t xml:space="preserve"> que se encontravam periodicamente para discutir a temática do planejamento estratégico, conforme apontado nos estudos de Silva, Martins e </w:t>
      </w:r>
      <w:proofErr w:type="spellStart"/>
      <w:r w:rsidRPr="00B36C6E">
        <w:rPr>
          <w:rFonts w:cs="Times New Roman"/>
          <w:iCs/>
          <w:szCs w:val="24"/>
        </w:rPr>
        <w:t>Ckagnazaroff</w:t>
      </w:r>
      <w:proofErr w:type="spellEnd"/>
      <w:r w:rsidRPr="00B36C6E">
        <w:rPr>
          <w:rFonts w:cs="Times New Roman"/>
          <w:szCs w:val="24"/>
        </w:rPr>
        <w:t xml:space="preserve"> (2013). </w:t>
      </w:r>
    </w:p>
    <w:p w14:paraId="1E732953" w14:textId="228F5059" w:rsidR="00102F88" w:rsidRPr="00B36C6E" w:rsidRDefault="00102F88" w:rsidP="00102F88">
      <w:pPr>
        <w:ind w:firstLine="709"/>
        <w:rPr>
          <w:rFonts w:cs="Times New Roman"/>
          <w:szCs w:val="24"/>
        </w:rPr>
      </w:pPr>
      <w:r w:rsidRPr="00B36C6E">
        <w:rPr>
          <w:rFonts w:cs="Times New Roman"/>
          <w:szCs w:val="24"/>
        </w:rPr>
        <w:t xml:space="preserve">O quadro 2 apresenta um comparativo entre os pontos de falhas diagnosticados no quesito “planejamento e controle gerencial” e os avanços verificados no relatório de Progresso do </w:t>
      </w:r>
      <w:proofErr w:type="spellStart"/>
      <w:r w:rsidRPr="00B36C6E">
        <w:rPr>
          <w:rFonts w:cs="Times New Roman"/>
          <w:szCs w:val="24"/>
        </w:rPr>
        <w:t>Promoex</w:t>
      </w:r>
      <w:proofErr w:type="spellEnd"/>
      <w:r w:rsidRPr="00B36C6E">
        <w:rPr>
          <w:rFonts w:cs="Times New Roman"/>
          <w:szCs w:val="24"/>
        </w:rPr>
        <w:t xml:space="preserve"> e nos registros dos encontros do Grupo de Planejamento Organizacional/</w:t>
      </w:r>
      <w:proofErr w:type="spellStart"/>
      <w:r w:rsidRPr="00B36C6E">
        <w:rPr>
          <w:rFonts w:cs="Times New Roman"/>
          <w:szCs w:val="24"/>
        </w:rPr>
        <w:t>Promoex</w:t>
      </w:r>
      <w:proofErr w:type="spellEnd"/>
      <w:r w:rsidRPr="00B36C6E">
        <w:rPr>
          <w:rFonts w:cs="Times New Roman"/>
          <w:szCs w:val="24"/>
        </w:rPr>
        <w:t>.</w:t>
      </w:r>
    </w:p>
    <w:p w14:paraId="430508DA" w14:textId="77777777" w:rsidR="00102F88" w:rsidRPr="00B36C6E" w:rsidRDefault="00102F88" w:rsidP="00102F88">
      <w:pPr>
        <w:rPr>
          <w:rFonts w:cs="Times New Roman"/>
          <w:szCs w:val="24"/>
        </w:rPr>
      </w:pPr>
    </w:p>
    <w:p w14:paraId="333179C6" w14:textId="77777777" w:rsidR="00102F88" w:rsidRPr="00B36C6E" w:rsidRDefault="00102F88" w:rsidP="00102F88">
      <w:pPr>
        <w:rPr>
          <w:rFonts w:cs="Times New Roman"/>
          <w:sz w:val="20"/>
          <w:szCs w:val="24"/>
        </w:rPr>
      </w:pPr>
      <w:r w:rsidRPr="00B36C6E">
        <w:rPr>
          <w:rFonts w:cs="Times New Roman"/>
          <w:sz w:val="20"/>
          <w:szCs w:val="24"/>
        </w:rPr>
        <w:t xml:space="preserve">Quadro 2 – Comparativo entre o cenário </w:t>
      </w:r>
      <w:proofErr w:type="spellStart"/>
      <w:r w:rsidRPr="00B36C6E">
        <w:rPr>
          <w:rFonts w:cs="Times New Roman"/>
          <w:sz w:val="20"/>
          <w:szCs w:val="24"/>
        </w:rPr>
        <w:t>pré</w:t>
      </w:r>
      <w:proofErr w:type="spellEnd"/>
      <w:r w:rsidRPr="00B36C6E">
        <w:rPr>
          <w:rFonts w:cs="Times New Roman"/>
          <w:sz w:val="20"/>
          <w:szCs w:val="24"/>
        </w:rPr>
        <w:t xml:space="preserve"> e pós </w:t>
      </w:r>
      <w:proofErr w:type="spellStart"/>
      <w:r w:rsidRPr="00B36C6E">
        <w:rPr>
          <w:rFonts w:cs="Times New Roman"/>
          <w:sz w:val="20"/>
          <w:szCs w:val="24"/>
        </w:rPr>
        <w:t>Promoex</w:t>
      </w:r>
      <w:proofErr w:type="spellEnd"/>
      <w:r w:rsidRPr="00B36C6E">
        <w:rPr>
          <w:rFonts w:cs="Times New Roman"/>
          <w:sz w:val="20"/>
          <w:szCs w:val="24"/>
        </w:rPr>
        <w:t xml:space="preserve"> – planejamento e controle gerencial</w:t>
      </w:r>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3305"/>
        <w:gridCol w:w="5199"/>
      </w:tblGrid>
      <w:tr w:rsidR="00102F88" w:rsidRPr="00B36C6E" w14:paraId="6E6BA73E" w14:textId="77777777" w:rsidTr="00D235AD">
        <w:tc>
          <w:tcPr>
            <w:tcW w:w="3510" w:type="dxa"/>
          </w:tcPr>
          <w:p w14:paraId="0C196DF6" w14:textId="77777777" w:rsidR="00102F88" w:rsidRPr="00B36C6E" w:rsidRDefault="00102F88" w:rsidP="00D235AD">
            <w:pPr>
              <w:jc w:val="center"/>
              <w:rPr>
                <w:rFonts w:cs="Times New Roman"/>
                <w:sz w:val="20"/>
                <w:szCs w:val="24"/>
              </w:rPr>
            </w:pPr>
            <w:r w:rsidRPr="00B36C6E">
              <w:rPr>
                <w:rFonts w:cs="Times New Roman"/>
                <w:sz w:val="20"/>
                <w:szCs w:val="24"/>
              </w:rPr>
              <w:t xml:space="preserve">Cenário </w:t>
            </w:r>
            <w:proofErr w:type="spellStart"/>
            <w:r w:rsidRPr="00B36C6E">
              <w:rPr>
                <w:rFonts w:cs="Times New Roman"/>
                <w:sz w:val="20"/>
                <w:szCs w:val="24"/>
              </w:rPr>
              <w:t>Pré</w:t>
            </w:r>
            <w:proofErr w:type="spellEnd"/>
            <w:r w:rsidRPr="00B36C6E">
              <w:rPr>
                <w:rFonts w:cs="Times New Roman"/>
                <w:sz w:val="20"/>
                <w:szCs w:val="24"/>
              </w:rPr>
              <w:t xml:space="preserve"> </w:t>
            </w:r>
            <w:proofErr w:type="spellStart"/>
            <w:r w:rsidRPr="00B36C6E">
              <w:rPr>
                <w:rFonts w:cs="Times New Roman"/>
                <w:sz w:val="20"/>
                <w:szCs w:val="24"/>
              </w:rPr>
              <w:t>Promoex</w:t>
            </w:r>
            <w:proofErr w:type="spellEnd"/>
          </w:p>
        </w:tc>
        <w:tc>
          <w:tcPr>
            <w:tcW w:w="5670" w:type="dxa"/>
          </w:tcPr>
          <w:p w14:paraId="469C1F5A" w14:textId="77777777" w:rsidR="00102F88" w:rsidRPr="00B36C6E" w:rsidRDefault="00102F88" w:rsidP="00D235AD">
            <w:pPr>
              <w:jc w:val="center"/>
              <w:rPr>
                <w:rFonts w:cs="Times New Roman"/>
                <w:sz w:val="20"/>
                <w:szCs w:val="24"/>
              </w:rPr>
            </w:pPr>
            <w:r w:rsidRPr="00B36C6E">
              <w:rPr>
                <w:rFonts w:cs="Times New Roman"/>
                <w:sz w:val="20"/>
                <w:szCs w:val="24"/>
              </w:rPr>
              <w:t xml:space="preserve">Cenário “pós” </w:t>
            </w:r>
            <w:proofErr w:type="spellStart"/>
            <w:r w:rsidRPr="00B36C6E">
              <w:rPr>
                <w:rFonts w:cs="Times New Roman"/>
                <w:sz w:val="20"/>
                <w:szCs w:val="24"/>
              </w:rPr>
              <w:t>Promoex</w:t>
            </w:r>
            <w:proofErr w:type="spellEnd"/>
          </w:p>
        </w:tc>
      </w:tr>
      <w:tr w:rsidR="00102F88" w:rsidRPr="00B36C6E" w14:paraId="61B57840" w14:textId="77777777" w:rsidTr="00D235AD">
        <w:tc>
          <w:tcPr>
            <w:tcW w:w="3510" w:type="dxa"/>
          </w:tcPr>
          <w:p w14:paraId="32FBF6C7" w14:textId="77777777" w:rsidR="00102F88" w:rsidRPr="00B36C6E" w:rsidRDefault="00102F88" w:rsidP="00D235AD">
            <w:pPr>
              <w:rPr>
                <w:rFonts w:cs="Times New Roman"/>
                <w:sz w:val="20"/>
                <w:szCs w:val="24"/>
              </w:rPr>
            </w:pPr>
            <w:r w:rsidRPr="00B36C6E">
              <w:rPr>
                <w:rFonts w:cs="Times New Roman"/>
                <w:sz w:val="20"/>
                <w:szCs w:val="24"/>
              </w:rPr>
              <w:t>Os processos de planejamento estratégico foram considerados incipientes</w:t>
            </w:r>
          </w:p>
        </w:tc>
        <w:tc>
          <w:tcPr>
            <w:tcW w:w="5670" w:type="dxa"/>
          </w:tcPr>
          <w:p w14:paraId="0736F083" w14:textId="77777777" w:rsidR="00102F88" w:rsidRPr="00B36C6E" w:rsidRDefault="00102F88" w:rsidP="00D235AD">
            <w:pPr>
              <w:rPr>
                <w:rFonts w:cs="Times New Roman"/>
                <w:sz w:val="20"/>
                <w:szCs w:val="24"/>
              </w:rPr>
            </w:pPr>
            <w:r w:rsidRPr="00B36C6E">
              <w:rPr>
                <w:rFonts w:cs="Times New Roman"/>
                <w:sz w:val="20"/>
                <w:szCs w:val="24"/>
              </w:rPr>
              <w:t>100% dos Tribunais estão implementando planejamento estratégico e estes instrumentos foram aprovado por meio de Resoluções dos TC, para respaldar a continuidade.</w:t>
            </w:r>
          </w:p>
        </w:tc>
      </w:tr>
      <w:tr w:rsidR="00102F88" w:rsidRPr="00B36C6E" w14:paraId="433FEC7B" w14:textId="77777777" w:rsidTr="00D235AD">
        <w:tc>
          <w:tcPr>
            <w:tcW w:w="3510" w:type="dxa"/>
          </w:tcPr>
          <w:p w14:paraId="09D324F7" w14:textId="77777777" w:rsidR="00102F88" w:rsidRPr="00B36C6E" w:rsidRDefault="00102F88" w:rsidP="00D235AD">
            <w:pPr>
              <w:rPr>
                <w:rFonts w:cs="Times New Roman"/>
                <w:sz w:val="20"/>
                <w:szCs w:val="24"/>
              </w:rPr>
            </w:pPr>
            <w:r w:rsidRPr="00B36C6E">
              <w:rPr>
                <w:rFonts w:cs="Times New Roman"/>
                <w:sz w:val="20"/>
                <w:szCs w:val="24"/>
              </w:rPr>
              <w:t>Ausência de efetiva participação e comprometimento do corpo técnico nos processos de planejamento</w:t>
            </w:r>
          </w:p>
        </w:tc>
        <w:tc>
          <w:tcPr>
            <w:tcW w:w="5670" w:type="dxa"/>
          </w:tcPr>
          <w:p w14:paraId="043DD8EC" w14:textId="77777777" w:rsidR="00102F88" w:rsidRPr="00B36C6E" w:rsidRDefault="00102F88" w:rsidP="00D235AD">
            <w:pPr>
              <w:rPr>
                <w:rFonts w:cs="Times New Roman"/>
                <w:sz w:val="20"/>
                <w:szCs w:val="24"/>
              </w:rPr>
            </w:pPr>
            <w:r w:rsidRPr="00B36C6E">
              <w:rPr>
                <w:rFonts w:cs="Times New Roman"/>
                <w:sz w:val="20"/>
                <w:szCs w:val="24"/>
              </w:rPr>
              <w:t>Encontros periódicos do Grupo de Planejamento Organizacional (</w:t>
            </w:r>
            <w:proofErr w:type="spellStart"/>
            <w:r w:rsidRPr="00B36C6E">
              <w:rPr>
                <w:rFonts w:cs="Times New Roman"/>
                <w:sz w:val="20"/>
                <w:szCs w:val="24"/>
              </w:rPr>
              <w:t>Promoex</w:t>
            </w:r>
            <w:proofErr w:type="spellEnd"/>
            <w:r w:rsidRPr="00B36C6E">
              <w:rPr>
                <w:rFonts w:cs="Times New Roman"/>
                <w:sz w:val="20"/>
                <w:szCs w:val="24"/>
              </w:rPr>
              <w:t>) compostos por servidores do corpo técnico para discutir metodologias de planejamento estratégico e trocar experiências.</w:t>
            </w:r>
          </w:p>
          <w:p w14:paraId="53B78A42" w14:textId="77777777" w:rsidR="00102F88" w:rsidRPr="00B36C6E" w:rsidRDefault="00102F88" w:rsidP="00D235AD">
            <w:pPr>
              <w:rPr>
                <w:rFonts w:cs="Times New Roman"/>
                <w:sz w:val="20"/>
                <w:szCs w:val="24"/>
              </w:rPr>
            </w:pPr>
            <w:r w:rsidRPr="00B36C6E">
              <w:rPr>
                <w:rFonts w:cs="Times New Roman"/>
                <w:sz w:val="20"/>
                <w:szCs w:val="24"/>
              </w:rPr>
              <w:t>100% dos Tribunais informaram que, na formulação estratégica, foram ouvidas sugestões dos diversos setores da instituição (SILVA, 2013).</w:t>
            </w:r>
          </w:p>
        </w:tc>
      </w:tr>
      <w:tr w:rsidR="00102F88" w:rsidRPr="00B36C6E" w14:paraId="7FEBD4F2" w14:textId="77777777" w:rsidTr="00D235AD">
        <w:tc>
          <w:tcPr>
            <w:tcW w:w="3510" w:type="dxa"/>
          </w:tcPr>
          <w:p w14:paraId="065FF0BF" w14:textId="77777777" w:rsidR="00102F88" w:rsidRPr="00B36C6E" w:rsidRDefault="00102F88" w:rsidP="00D235AD">
            <w:pPr>
              <w:rPr>
                <w:rFonts w:cs="Times New Roman"/>
                <w:sz w:val="20"/>
                <w:szCs w:val="24"/>
              </w:rPr>
            </w:pPr>
            <w:r w:rsidRPr="00B36C6E">
              <w:rPr>
                <w:rFonts w:cs="Times New Roman"/>
                <w:sz w:val="20"/>
                <w:szCs w:val="24"/>
              </w:rPr>
              <w:t>Quantificação inexpressiva de objetivos, metas e pontos de controle</w:t>
            </w:r>
          </w:p>
        </w:tc>
        <w:tc>
          <w:tcPr>
            <w:tcW w:w="5670" w:type="dxa"/>
          </w:tcPr>
          <w:p w14:paraId="29A37C7F" w14:textId="77777777" w:rsidR="00102F88" w:rsidRPr="00B36C6E" w:rsidRDefault="00102F88" w:rsidP="00D235AD">
            <w:pPr>
              <w:rPr>
                <w:rFonts w:cs="Times New Roman"/>
                <w:sz w:val="20"/>
                <w:szCs w:val="24"/>
              </w:rPr>
            </w:pPr>
            <w:r w:rsidRPr="00B36C6E">
              <w:rPr>
                <w:rFonts w:cs="Times New Roman"/>
                <w:sz w:val="20"/>
                <w:szCs w:val="24"/>
              </w:rPr>
              <w:t xml:space="preserve">Todos os planos estratégicos consultados apresentam objetivos estratégicos; sete deles apresentam também as metas, conforme </w:t>
            </w:r>
            <w:proofErr w:type="spellStart"/>
            <w:r w:rsidRPr="00B36C6E">
              <w:rPr>
                <w:rFonts w:cs="Times New Roman"/>
                <w:sz w:val="20"/>
                <w:szCs w:val="24"/>
              </w:rPr>
              <w:t>pesquisada</w:t>
            </w:r>
            <w:proofErr w:type="spellEnd"/>
            <w:r w:rsidRPr="00B36C6E">
              <w:rPr>
                <w:rFonts w:cs="Times New Roman"/>
                <w:sz w:val="20"/>
                <w:szCs w:val="24"/>
              </w:rPr>
              <w:t xml:space="preserve"> realizada por Silva (2013).</w:t>
            </w:r>
          </w:p>
        </w:tc>
      </w:tr>
      <w:tr w:rsidR="00102F88" w:rsidRPr="00B36C6E" w14:paraId="37318DC3" w14:textId="77777777" w:rsidTr="00D235AD">
        <w:tc>
          <w:tcPr>
            <w:tcW w:w="3510" w:type="dxa"/>
          </w:tcPr>
          <w:p w14:paraId="15554CB1" w14:textId="77777777" w:rsidR="00102F88" w:rsidRPr="00B36C6E" w:rsidRDefault="00102F88" w:rsidP="00D235AD">
            <w:pPr>
              <w:rPr>
                <w:rFonts w:cs="Times New Roman"/>
                <w:sz w:val="20"/>
                <w:szCs w:val="24"/>
              </w:rPr>
            </w:pPr>
            <w:r w:rsidRPr="00B36C6E">
              <w:rPr>
                <w:rFonts w:cs="Times New Roman"/>
                <w:sz w:val="20"/>
                <w:szCs w:val="24"/>
              </w:rPr>
              <w:t>Falta de mecanismos de avaliação de desempenho e acompanhamento de ações</w:t>
            </w:r>
          </w:p>
        </w:tc>
        <w:tc>
          <w:tcPr>
            <w:tcW w:w="5670" w:type="dxa"/>
          </w:tcPr>
          <w:p w14:paraId="046BD0AF" w14:textId="77777777" w:rsidR="00102F88" w:rsidRPr="00B36C6E" w:rsidRDefault="00102F88" w:rsidP="00D235AD">
            <w:pPr>
              <w:rPr>
                <w:rFonts w:cs="Times New Roman"/>
                <w:sz w:val="20"/>
                <w:szCs w:val="24"/>
              </w:rPr>
            </w:pPr>
            <w:r w:rsidRPr="00B36C6E">
              <w:rPr>
                <w:rFonts w:cs="Times New Roman"/>
                <w:sz w:val="20"/>
                <w:szCs w:val="24"/>
              </w:rPr>
              <w:t>O sistema de monitoramento e avaliação está sendo implementado por todos os Tribunais, utilizando, inclusive um sistema informatizado para tanto (SILVA, 2013).</w:t>
            </w:r>
          </w:p>
        </w:tc>
      </w:tr>
    </w:tbl>
    <w:p w14:paraId="0318308F" w14:textId="77777777" w:rsidR="00102F88" w:rsidRPr="00B36C6E" w:rsidRDefault="00102F88" w:rsidP="00102F88">
      <w:pPr>
        <w:rPr>
          <w:rFonts w:cs="Times New Roman"/>
          <w:szCs w:val="24"/>
        </w:rPr>
      </w:pPr>
      <w:r w:rsidRPr="00B36C6E">
        <w:rPr>
          <w:rFonts w:cs="Times New Roman"/>
          <w:sz w:val="20"/>
          <w:szCs w:val="24"/>
        </w:rPr>
        <w:t>Fonte: elaborado pelos autores com base no Relatório de Progresso final e nos trabalhos referenciados.</w:t>
      </w:r>
    </w:p>
    <w:p w14:paraId="520B92B3" w14:textId="77777777" w:rsidR="00102F88" w:rsidRPr="00B36C6E" w:rsidRDefault="00102F88" w:rsidP="00102F88">
      <w:pPr>
        <w:ind w:firstLine="709"/>
        <w:rPr>
          <w:rFonts w:cs="Times New Roman"/>
          <w:szCs w:val="24"/>
        </w:rPr>
      </w:pPr>
    </w:p>
    <w:p w14:paraId="2107B213" w14:textId="01D2A362" w:rsidR="00102F88" w:rsidRPr="00B36C6E" w:rsidRDefault="00102F88" w:rsidP="00102F88">
      <w:pPr>
        <w:ind w:firstLine="709"/>
        <w:rPr>
          <w:rFonts w:cs="Times New Roman"/>
          <w:szCs w:val="24"/>
        </w:rPr>
      </w:pPr>
      <w:r w:rsidRPr="00B36C6E">
        <w:rPr>
          <w:rFonts w:cs="Times New Roman"/>
          <w:szCs w:val="24"/>
        </w:rPr>
        <w:t xml:space="preserve">Verificou-se que as metas planejadas no </w:t>
      </w:r>
      <w:proofErr w:type="spellStart"/>
      <w:r w:rsidRPr="00B36C6E">
        <w:rPr>
          <w:rFonts w:cs="Times New Roman"/>
          <w:szCs w:val="24"/>
        </w:rPr>
        <w:t>Promoex</w:t>
      </w:r>
      <w:proofErr w:type="spellEnd"/>
      <w:r w:rsidRPr="00B36C6E">
        <w:rPr>
          <w:rFonts w:cs="Times New Roman"/>
          <w:szCs w:val="24"/>
        </w:rPr>
        <w:t xml:space="preserve"> foram cumpridas em grande parte dos Tribunais, depreendendo-se que houve </w:t>
      </w:r>
      <w:r w:rsidR="005922FF" w:rsidRPr="00B36C6E">
        <w:rPr>
          <w:rFonts w:cs="Times New Roman"/>
          <w:szCs w:val="24"/>
        </w:rPr>
        <w:t xml:space="preserve">esforços para </w:t>
      </w:r>
      <w:r w:rsidRPr="00B36C6E">
        <w:rPr>
          <w:rFonts w:cs="Times New Roman"/>
          <w:szCs w:val="24"/>
        </w:rPr>
        <w:t xml:space="preserve">modernização no sistema de controle externo no que tange: ao uso de práticas de gestão que, há certo tempo atrás, somente eram verificadas na iniciativa privada; à interação entre as instituições para compartilhamento de soluções comuns; ao uso mais intensivo da TI nos processos de trabalho; às práticas de gestão de pessoas, etc. Analisando um dos indicadores que se relaciona </w:t>
      </w:r>
      <w:r w:rsidR="00E123A6" w:rsidRPr="00B36C6E">
        <w:rPr>
          <w:rFonts w:cs="Times New Roman"/>
          <w:szCs w:val="24"/>
        </w:rPr>
        <w:t>a</w:t>
      </w:r>
      <w:r w:rsidRPr="00B36C6E">
        <w:rPr>
          <w:rFonts w:cs="Times New Roman"/>
          <w:szCs w:val="24"/>
        </w:rPr>
        <w:t xml:space="preserve">o objetivo </w:t>
      </w:r>
      <w:r w:rsidR="00E123A6" w:rsidRPr="00B36C6E">
        <w:rPr>
          <w:rFonts w:cs="Times New Roman"/>
          <w:szCs w:val="24"/>
        </w:rPr>
        <w:t>de</w:t>
      </w:r>
      <w:r w:rsidRPr="00B36C6E">
        <w:rPr>
          <w:rFonts w:cs="Times New Roman"/>
          <w:szCs w:val="24"/>
        </w:rPr>
        <w:t xml:space="preserve"> ampliar as auditorias de resultados, visando ampliar a qualidade e efetividade do planejamento de governo, verifica-se um</w:t>
      </w:r>
      <w:r w:rsidR="00D351EF" w:rsidRPr="00B36C6E">
        <w:rPr>
          <w:rFonts w:cs="Times New Roman"/>
          <w:szCs w:val="24"/>
        </w:rPr>
        <w:t xml:space="preserve"> início de mudança de</w:t>
      </w:r>
      <w:r w:rsidRPr="00B36C6E">
        <w:rPr>
          <w:rFonts w:cs="Times New Roman"/>
          <w:szCs w:val="24"/>
        </w:rPr>
        <w:t xml:space="preserve"> orientação da atuação dos TC</w:t>
      </w:r>
      <w:r w:rsidR="00483D5F" w:rsidRPr="00B36C6E">
        <w:rPr>
          <w:rFonts w:cs="Times New Roman"/>
          <w:szCs w:val="24"/>
        </w:rPr>
        <w:t xml:space="preserve"> para</w:t>
      </w:r>
      <w:r w:rsidRPr="00B36C6E">
        <w:rPr>
          <w:rFonts w:cs="Times New Roman"/>
          <w:szCs w:val="24"/>
        </w:rPr>
        <w:t xml:space="preserve"> </w:t>
      </w:r>
      <w:r w:rsidR="00483D5F" w:rsidRPr="00B36C6E">
        <w:rPr>
          <w:rFonts w:cs="Times New Roman"/>
          <w:szCs w:val="24"/>
        </w:rPr>
        <w:t xml:space="preserve">o </w:t>
      </w:r>
      <w:r w:rsidRPr="00B36C6E">
        <w:rPr>
          <w:rFonts w:cs="Times New Roman"/>
          <w:szCs w:val="24"/>
        </w:rPr>
        <w:t>foc</w:t>
      </w:r>
      <w:r w:rsidR="00483D5F" w:rsidRPr="00B36C6E">
        <w:rPr>
          <w:rFonts w:cs="Times New Roman"/>
          <w:szCs w:val="24"/>
        </w:rPr>
        <w:t>o</w:t>
      </w:r>
      <w:r w:rsidRPr="00B36C6E">
        <w:rPr>
          <w:rFonts w:cs="Times New Roman"/>
          <w:szCs w:val="24"/>
        </w:rPr>
        <w:t xml:space="preserve"> em resultados.</w:t>
      </w:r>
    </w:p>
    <w:p w14:paraId="0256AC25" w14:textId="235D18C6" w:rsidR="005922FF" w:rsidRPr="00B36C6E" w:rsidRDefault="005922FF" w:rsidP="00102F88">
      <w:pPr>
        <w:ind w:firstLine="709"/>
        <w:rPr>
          <w:rFonts w:cs="Times New Roman"/>
          <w:szCs w:val="24"/>
        </w:rPr>
      </w:pPr>
      <w:r w:rsidRPr="00B36C6E">
        <w:rPr>
          <w:rFonts w:cs="Times New Roman"/>
          <w:szCs w:val="24"/>
        </w:rPr>
        <w:t>Entretanto, o simples cumprimento das metas ora descritas é insuficiente para determinar s</w:t>
      </w:r>
      <w:r w:rsidR="00483D5F" w:rsidRPr="00B36C6E">
        <w:rPr>
          <w:rFonts w:cs="Times New Roman"/>
          <w:szCs w:val="24"/>
        </w:rPr>
        <w:t>e</w:t>
      </w:r>
      <w:r w:rsidRPr="00B36C6E">
        <w:rPr>
          <w:rFonts w:cs="Times New Roman"/>
          <w:szCs w:val="24"/>
        </w:rPr>
        <w:t xml:space="preserve"> o sistema de controle externo brasileiro de fato foi modernizado e se os pontos de deficiência diagnosticados em 2002 foram sanados. Para tanto, será verificado nas próximas sessões quais foram as ações para monitoramento dos resultados efetivamente gerados pelo </w:t>
      </w:r>
      <w:proofErr w:type="spellStart"/>
      <w:r w:rsidRPr="00B36C6E">
        <w:rPr>
          <w:rFonts w:cs="Times New Roman"/>
          <w:szCs w:val="24"/>
        </w:rPr>
        <w:t>Promoex</w:t>
      </w:r>
      <w:proofErr w:type="spellEnd"/>
      <w:r w:rsidRPr="00B36C6E">
        <w:rPr>
          <w:rFonts w:cs="Times New Roman"/>
          <w:szCs w:val="24"/>
        </w:rPr>
        <w:t>.</w:t>
      </w:r>
    </w:p>
    <w:p w14:paraId="11E94320" w14:textId="77777777" w:rsidR="003F04B2" w:rsidRPr="00B36C6E" w:rsidRDefault="00102F88" w:rsidP="003F04B2">
      <w:pPr>
        <w:ind w:firstLine="709"/>
        <w:rPr>
          <w:rFonts w:cs="Times New Roman"/>
          <w:szCs w:val="24"/>
        </w:rPr>
      </w:pPr>
      <w:r w:rsidRPr="00B36C6E">
        <w:rPr>
          <w:rFonts w:cs="Times New Roman"/>
          <w:szCs w:val="24"/>
        </w:rPr>
        <w:lastRenderedPageBreak/>
        <w:t xml:space="preserve"> </w:t>
      </w:r>
      <w:r w:rsidR="003F04B2" w:rsidRPr="00B36C6E">
        <w:rPr>
          <w:rFonts w:cs="Times New Roman"/>
          <w:szCs w:val="24"/>
        </w:rPr>
        <w:t xml:space="preserve">Considerando que analisar apenas os indicadores criados no escopo do </w:t>
      </w:r>
      <w:proofErr w:type="spellStart"/>
      <w:r w:rsidR="003F04B2" w:rsidRPr="00B36C6E">
        <w:rPr>
          <w:rFonts w:cs="Times New Roman"/>
          <w:szCs w:val="24"/>
        </w:rPr>
        <w:t>Promoex</w:t>
      </w:r>
      <w:proofErr w:type="spellEnd"/>
      <w:r w:rsidR="003F04B2" w:rsidRPr="00B36C6E">
        <w:rPr>
          <w:rFonts w:cs="Times New Roman"/>
          <w:szCs w:val="24"/>
        </w:rPr>
        <w:t xml:space="preserve"> não seria suficiente para se analisar a efetividade do Programa, a próxima sessão irá efetuar uma análise crítica dos indicadores utilizados pela Coordenação do Programa. </w:t>
      </w:r>
    </w:p>
    <w:p w14:paraId="3CC0EAB5" w14:textId="77777777" w:rsidR="003F04B2" w:rsidRPr="00B36C6E" w:rsidRDefault="003F04B2" w:rsidP="003F04B2">
      <w:pPr>
        <w:ind w:firstLine="709"/>
        <w:rPr>
          <w:rFonts w:cs="Times New Roman"/>
          <w:szCs w:val="24"/>
        </w:rPr>
      </w:pPr>
    </w:p>
    <w:p w14:paraId="4FF8F18D" w14:textId="3E2F5838" w:rsidR="003F04B2" w:rsidRPr="00B36C6E" w:rsidRDefault="003F04B2" w:rsidP="003F04B2">
      <w:pPr>
        <w:pStyle w:val="Ttulo2"/>
      </w:pPr>
      <w:bookmarkStart w:id="5" w:name="_Toc377416951"/>
      <w:r w:rsidRPr="00B36C6E">
        <w:t xml:space="preserve">4.2 Análise crítica dos indicadores do </w:t>
      </w:r>
      <w:proofErr w:type="spellStart"/>
      <w:r w:rsidRPr="00B36C6E">
        <w:t>Promoex</w:t>
      </w:r>
      <w:bookmarkEnd w:id="5"/>
      <w:proofErr w:type="spellEnd"/>
    </w:p>
    <w:p w14:paraId="1C579939" w14:textId="77777777" w:rsidR="003F04B2" w:rsidRPr="00B36C6E" w:rsidRDefault="003F04B2" w:rsidP="003F04B2">
      <w:pPr>
        <w:autoSpaceDE w:val="0"/>
        <w:autoSpaceDN w:val="0"/>
        <w:adjustRightInd w:val="0"/>
        <w:ind w:firstLine="708"/>
        <w:rPr>
          <w:rFonts w:cs="Times New Roman"/>
          <w:szCs w:val="24"/>
        </w:rPr>
      </w:pPr>
      <w:r w:rsidRPr="00B36C6E">
        <w:rPr>
          <w:rFonts w:cs="Times New Roman"/>
          <w:szCs w:val="24"/>
        </w:rPr>
        <w:t xml:space="preserve">Para analisar o impacto das ações realizadas durante o </w:t>
      </w:r>
      <w:proofErr w:type="spellStart"/>
      <w:r w:rsidRPr="00B36C6E">
        <w:rPr>
          <w:rFonts w:cs="Times New Roman"/>
          <w:szCs w:val="24"/>
        </w:rPr>
        <w:t>Promoex</w:t>
      </w:r>
      <w:proofErr w:type="spellEnd"/>
      <w:r w:rsidRPr="00B36C6E">
        <w:rPr>
          <w:rFonts w:cs="Times New Roman"/>
          <w:szCs w:val="24"/>
        </w:rPr>
        <w:t>, de modo a levantar a efetiva melhoria nos resultados em cada uma das organizações participantes do Programa, seria necessário mensurar o resultado efetivo das práticas instituídas. Ao discorrer sobre mensuração de resultados no âmbito da administração pública, Pacheco (2009) aponta que deve haver “esforços continuados de aperfeiçoamento das medidas e dos medidores, já que há evidências suficientes que comprovam a contribuição da mensuração de desempenho para a efetiva melhoria de resultados alcançados pelas organizações públicas”.</w:t>
      </w:r>
    </w:p>
    <w:p w14:paraId="679DE1DE" w14:textId="12DD8079" w:rsidR="003F04B2" w:rsidRPr="00B36C6E" w:rsidRDefault="003F04B2" w:rsidP="003F04B2">
      <w:pPr>
        <w:ind w:firstLine="709"/>
        <w:rPr>
          <w:rFonts w:cs="Times New Roman"/>
          <w:szCs w:val="24"/>
        </w:rPr>
      </w:pPr>
      <w:r w:rsidRPr="00B36C6E">
        <w:rPr>
          <w:rFonts w:cs="Times New Roman"/>
          <w:szCs w:val="24"/>
        </w:rPr>
        <w:t xml:space="preserve">Apesar de existir um indicador de resultado proposto pelo Programa, qual seja “Índice de percepção ao final do Programa, em relação ao verificado no início do Programa”, não há registros no Relatório de Progresso tampouco em outros documentos disponíveis no sítio do MPOG que mensurasse tal indicador que pode ser considerado um dos mais importantes para se avaliar a efetividade do </w:t>
      </w:r>
      <w:proofErr w:type="spellStart"/>
      <w:r w:rsidRPr="00B36C6E">
        <w:rPr>
          <w:rFonts w:cs="Times New Roman"/>
          <w:szCs w:val="24"/>
        </w:rPr>
        <w:t>Promoex</w:t>
      </w:r>
      <w:proofErr w:type="spellEnd"/>
      <w:r w:rsidRPr="00B36C6E">
        <w:rPr>
          <w:rFonts w:cs="Times New Roman"/>
          <w:szCs w:val="24"/>
        </w:rPr>
        <w:t>.</w:t>
      </w:r>
    </w:p>
    <w:p w14:paraId="2EEEEA66" w14:textId="77777777" w:rsidR="003F04B2" w:rsidRPr="00B36C6E" w:rsidRDefault="003F04B2" w:rsidP="003F04B2">
      <w:pPr>
        <w:ind w:firstLine="709"/>
        <w:rPr>
          <w:rFonts w:cs="Times New Roman"/>
          <w:sz w:val="32"/>
          <w:szCs w:val="24"/>
        </w:rPr>
      </w:pPr>
      <w:r w:rsidRPr="00B36C6E">
        <w:rPr>
          <w:rFonts w:cs="Times New Roman"/>
          <w:szCs w:val="24"/>
        </w:rPr>
        <w:t xml:space="preserve">Analisando os indicadores propostos no Marco Lógico do Programa, presente no Quadro 3, verifica-se que os mesmos não se mostram suficientes para demonstrar ao público de interesse se o </w:t>
      </w:r>
      <w:proofErr w:type="spellStart"/>
      <w:r w:rsidRPr="00B36C6E">
        <w:rPr>
          <w:rFonts w:cs="Times New Roman"/>
          <w:szCs w:val="24"/>
        </w:rPr>
        <w:t>Promoex</w:t>
      </w:r>
      <w:proofErr w:type="spellEnd"/>
      <w:r w:rsidRPr="00B36C6E">
        <w:rPr>
          <w:rFonts w:cs="Times New Roman"/>
          <w:szCs w:val="24"/>
        </w:rPr>
        <w:t xml:space="preserve"> foi efetivo ou não em alcançar os resultados previstos. </w:t>
      </w:r>
      <w:r w:rsidRPr="00B36C6E">
        <w:rPr>
          <w:rFonts w:eastAsia="Calibri" w:cs="Times New Roman"/>
          <w:szCs w:val="20"/>
        </w:rPr>
        <w:t xml:space="preserve">Tais indicadores ora mencionados são classificados como indicadores de outputs, que, na classificação de </w:t>
      </w:r>
      <w:proofErr w:type="spellStart"/>
      <w:r w:rsidRPr="00B36C6E">
        <w:rPr>
          <w:rFonts w:eastAsia="Calibri" w:cs="Times New Roman"/>
          <w:szCs w:val="20"/>
        </w:rPr>
        <w:t>Januzzi</w:t>
      </w:r>
      <w:proofErr w:type="spellEnd"/>
      <w:r w:rsidRPr="00B36C6E">
        <w:rPr>
          <w:rFonts w:eastAsia="Calibri" w:cs="Times New Roman"/>
          <w:szCs w:val="20"/>
        </w:rPr>
        <w:t xml:space="preserve"> (2009) podem ser utilizados para medir o alcance das metas físicas e são medidas que representam as entregas de produtos ou serviços ao público-alvo de um programa.</w:t>
      </w:r>
    </w:p>
    <w:p w14:paraId="1EA32259" w14:textId="77777777" w:rsidR="003F04B2" w:rsidRPr="00B36C6E" w:rsidRDefault="003F04B2" w:rsidP="003F04B2">
      <w:pPr>
        <w:ind w:firstLine="709"/>
        <w:rPr>
          <w:rFonts w:cs="Times New Roman"/>
          <w:szCs w:val="24"/>
        </w:rPr>
      </w:pPr>
      <w:r w:rsidRPr="00B36C6E">
        <w:rPr>
          <w:rFonts w:cs="Times New Roman"/>
          <w:szCs w:val="24"/>
        </w:rPr>
        <w:t xml:space="preserve">Sugere-se, então, que sejam elaborados e monitorados indicadores adicionais, além daqueles previstos pelo </w:t>
      </w:r>
      <w:proofErr w:type="spellStart"/>
      <w:r w:rsidRPr="00B36C6E">
        <w:rPr>
          <w:rFonts w:cs="Times New Roman"/>
          <w:szCs w:val="24"/>
        </w:rPr>
        <w:t>Promoex</w:t>
      </w:r>
      <w:proofErr w:type="spellEnd"/>
      <w:r w:rsidRPr="00B36C6E">
        <w:rPr>
          <w:rFonts w:cs="Times New Roman"/>
          <w:szCs w:val="24"/>
        </w:rPr>
        <w:t xml:space="preserve"> para cada um dos subcomponentes, conforme sugestões apresentadas no Quadro 3. A lista apresentada é exemplificativa, visto que vários outros indicadores podem ser formulados. Deve-se buscar formular indicadores de resultado (</w:t>
      </w:r>
      <w:proofErr w:type="spellStart"/>
      <w:r w:rsidRPr="00B36C6E">
        <w:rPr>
          <w:rFonts w:cs="Times New Roman"/>
          <w:i/>
          <w:szCs w:val="24"/>
        </w:rPr>
        <w:t>outcome</w:t>
      </w:r>
      <w:proofErr w:type="spellEnd"/>
      <w:r w:rsidRPr="00B36C6E">
        <w:rPr>
          <w:rFonts w:cs="Times New Roman"/>
          <w:szCs w:val="24"/>
        </w:rPr>
        <w:t>), pois esses são mais relevantes, visto que demonstram o impacto do produto que está sendo medido, a efetividade do processo e a qualidade do serviço prestado (CASTALDELLI JR.; AQUINO; 2011).</w:t>
      </w:r>
    </w:p>
    <w:p w14:paraId="73697B42" w14:textId="77777777" w:rsidR="003F04B2" w:rsidRPr="00B36C6E" w:rsidRDefault="003F04B2" w:rsidP="003F04B2">
      <w:pPr>
        <w:ind w:firstLine="709"/>
        <w:rPr>
          <w:rFonts w:cs="Times New Roman"/>
          <w:szCs w:val="24"/>
        </w:rPr>
      </w:pPr>
      <w:r w:rsidRPr="00B36C6E">
        <w:rPr>
          <w:rFonts w:cs="Times New Roman"/>
          <w:szCs w:val="24"/>
        </w:rPr>
        <w:t xml:space="preserve">No subcomponente 2.1, o indicador do </w:t>
      </w:r>
      <w:proofErr w:type="spellStart"/>
      <w:r w:rsidRPr="00B36C6E">
        <w:rPr>
          <w:rFonts w:cs="Times New Roman"/>
          <w:szCs w:val="24"/>
        </w:rPr>
        <w:t>Promoex</w:t>
      </w:r>
      <w:proofErr w:type="spellEnd"/>
      <w:r w:rsidRPr="00B36C6E">
        <w:rPr>
          <w:rFonts w:cs="Times New Roman"/>
          <w:szCs w:val="24"/>
        </w:rPr>
        <w:t xml:space="preserve"> (número de ações de interação </w:t>
      </w:r>
      <w:r w:rsidRPr="00B36C6E">
        <w:rPr>
          <w:rFonts w:eastAsia="Calibri" w:cs="Times New Roman"/>
          <w:szCs w:val="20"/>
        </w:rPr>
        <w:t xml:space="preserve">com os Poderes, Ministério Público, cidadãos e/ou sociedade organizada promovidas) não consegue demonstrar se de fato os Tribunais conseguiram alcançar o objetivo do fortalecimento institucional dos órgãos por meio da ampliação da sua integração com o ambiente externo. </w:t>
      </w:r>
      <w:r w:rsidRPr="00B36C6E">
        <w:rPr>
          <w:rFonts w:cs="Times New Roman"/>
          <w:szCs w:val="24"/>
        </w:rPr>
        <w:t xml:space="preserve">Entende-se que seria relevante mostrar qual o índice de conhecimento e reconhecimento de um TC por parte da sociedade e outras instituições, resultado das ações de interação/articulação propostas pelo </w:t>
      </w:r>
      <w:proofErr w:type="spellStart"/>
      <w:r w:rsidRPr="00B36C6E">
        <w:rPr>
          <w:rFonts w:cs="Times New Roman"/>
          <w:szCs w:val="24"/>
        </w:rPr>
        <w:t>Promoex</w:t>
      </w:r>
      <w:proofErr w:type="spellEnd"/>
      <w:r w:rsidRPr="00B36C6E">
        <w:rPr>
          <w:rFonts w:cs="Times New Roman"/>
          <w:szCs w:val="24"/>
        </w:rPr>
        <w:t>.</w:t>
      </w:r>
    </w:p>
    <w:p w14:paraId="30AA8565" w14:textId="77777777" w:rsidR="003F04B2" w:rsidRPr="00B36C6E" w:rsidRDefault="003F04B2" w:rsidP="003F04B2">
      <w:pPr>
        <w:ind w:firstLine="709"/>
        <w:rPr>
          <w:rFonts w:cs="Times New Roman"/>
          <w:szCs w:val="24"/>
        </w:rPr>
      </w:pPr>
    </w:p>
    <w:p w14:paraId="18CC3542" w14:textId="77777777" w:rsidR="003F04B2" w:rsidRPr="00B36C6E" w:rsidRDefault="003F04B2" w:rsidP="003F04B2">
      <w:pPr>
        <w:pStyle w:val="Legenda"/>
        <w:spacing w:after="0"/>
        <w:rPr>
          <w:rFonts w:cs="Times New Roman"/>
          <w:color w:val="auto"/>
          <w:sz w:val="20"/>
          <w:szCs w:val="20"/>
        </w:rPr>
      </w:pPr>
      <w:r w:rsidRPr="00B36C6E">
        <w:rPr>
          <w:rFonts w:cs="Times New Roman"/>
          <w:b w:val="0"/>
          <w:color w:val="auto"/>
          <w:sz w:val="20"/>
          <w:szCs w:val="20"/>
        </w:rPr>
        <w:t xml:space="preserve">Quadro 3 - Indicadores sugeridos para monitorar os resultados dos produtos implementados no âmbito do </w:t>
      </w:r>
      <w:proofErr w:type="spellStart"/>
      <w:r w:rsidRPr="00B36C6E">
        <w:rPr>
          <w:rFonts w:cs="Times New Roman"/>
          <w:b w:val="0"/>
          <w:color w:val="auto"/>
          <w:sz w:val="20"/>
          <w:szCs w:val="20"/>
        </w:rPr>
        <w:t>Promoex</w:t>
      </w:r>
      <w:proofErr w:type="spellEnd"/>
    </w:p>
    <w:tbl>
      <w:tblPr>
        <w:tblStyle w:val="Tabelacomgrade"/>
        <w:tblW w:w="0" w:type="auto"/>
        <w:tblBorders>
          <w:left w:val="none" w:sz="0" w:space="0" w:color="auto"/>
          <w:right w:val="none" w:sz="0" w:space="0" w:color="auto"/>
        </w:tblBorders>
        <w:tblLook w:val="04A0" w:firstRow="1" w:lastRow="0" w:firstColumn="1" w:lastColumn="0" w:noHBand="0" w:noVBand="1"/>
      </w:tblPr>
      <w:tblGrid>
        <w:gridCol w:w="3584"/>
        <w:gridCol w:w="4920"/>
      </w:tblGrid>
      <w:tr w:rsidR="003F04B2" w:rsidRPr="00B36C6E" w14:paraId="093F7DA3" w14:textId="77777777" w:rsidTr="008F1515">
        <w:tc>
          <w:tcPr>
            <w:tcW w:w="3828" w:type="dxa"/>
          </w:tcPr>
          <w:p w14:paraId="6D23D5FA" w14:textId="77777777" w:rsidR="003F04B2" w:rsidRPr="00B36C6E" w:rsidRDefault="003F04B2" w:rsidP="008F1515">
            <w:pPr>
              <w:rPr>
                <w:rFonts w:cs="Times New Roman"/>
                <w:sz w:val="20"/>
                <w:szCs w:val="20"/>
              </w:rPr>
            </w:pPr>
            <w:r w:rsidRPr="00B36C6E">
              <w:rPr>
                <w:rFonts w:cs="Times New Roman"/>
                <w:sz w:val="20"/>
                <w:szCs w:val="20"/>
              </w:rPr>
              <w:t xml:space="preserve">Indicador </w:t>
            </w:r>
            <w:proofErr w:type="spellStart"/>
            <w:r w:rsidRPr="00B36C6E">
              <w:rPr>
                <w:rFonts w:cs="Times New Roman"/>
                <w:sz w:val="20"/>
                <w:szCs w:val="20"/>
              </w:rPr>
              <w:t>Promoex</w:t>
            </w:r>
            <w:proofErr w:type="spellEnd"/>
          </w:p>
        </w:tc>
        <w:tc>
          <w:tcPr>
            <w:tcW w:w="5242" w:type="dxa"/>
          </w:tcPr>
          <w:p w14:paraId="12D4D015" w14:textId="77777777" w:rsidR="003F04B2" w:rsidRPr="00B36C6E" w:rsidRDefault="003F04B2" w:rsidP="008F1515">
            <w:pPr>
              <w:rPr>
                <w:rFonts w:cs="Times New Roman"/>
                <w:sz w:val="20"/>
                <w:szCs w:val="20"/>
              </w:rPr>
            </w:pPr>
            <w:r w:rsidRPr="00B36C6E">
              <w:rPr>
                <w:rFonts w:cs="Times New Roman"/>
                <w:sz w:val="20"/>
                <w:szCs w:val="20"/>
              </w:rPr>
              <w:t>Indicadores propostos</w:t>
            </w:r>
          </w:p>
        </w:tc>
      </w:tr>
      <w:tr w:rsidR="003F04B2" w:rsidRPr="00B36C6E" w14:paraId="7B7638AF" w14:textId="77777777" w:rsidTr="008F1515">
        <w:tc>
          <w:tcPr>
            <w:tcW w:w="3828" w:type="dxa"/>
            <w:vAlign w:val="center"/>
          </w:tcPr>
          <w:p w14:paraId="63C39F0B" w14:textId="77777777" w:rsidR="003F04B2" w:rsidRPr="00B36C6E" w:rsidRDefault="003F04B2" w:rsidP="008F1515">
            <w:pPr>
              <w:rPr>
                <w:rFonts w:eastAsia="Calibri" w:cs="Times New Roman"/>
                <w:b/>
                <w:bCs/>
                <w:sz w:val="20"/>
                <w:szCs w:val="20"/>
              </w:rPr>
            </w:pPr>
            <w:r w:rsidRPr="00B36C6E">
              <w:rPr>
                <w:rFonts w:eastAsia="Calibri" w:cs="Times New Roman"/>
                <w:sz w:val="20"/>
                <w:szCs w:val="20"/>
              </w:rPr>
              <w:t>2.1 Número de ações de interação/articulação com os Poderes, Ministério Público, cidadãos e/ou sociedade organizada promovidas</w:t>
            </w:r>
          </w:p>
        </w:tc>
        <w:tc>
          <w:tcPr>
            <w:tcW w:w="5242" w:type="dxa"/>
          </w:tcPr>
          <w:p w14:paraId="62B9581D" w14:textId="77777777" w:rsidR="003F04B2" w:rsidRPr="00B36C6E" w:rsidRDefault="003F04B2" w:rsidP="008F1515">
            <w:pPr>
              <w:rPr>
                <w:rFonts w:cs="Times New Roman"/>
                <w:sz w:val="20"/>
                <w:szCs w:val="20"/>
              </w:rPr>
            </w:pPr>
            <w:r w:rsidRPr="00B36C6E">
              <w:rPr>
                <w:rFonts w:cs="Times New Roman"/>
                <w:sz w:val="20"/>
                <w:szCs w:val="20"/>
              </w:rPr>
              <w:t>- Índice de conhecimento/reconhecimento pela sociedade e instituições em geral</w:t>
            </w:r>
          </w:p>
        </w:tc>
      </w:tr>
      <w:tr w:rsidR="003F04B2" w:rsidRPr="00B36C6E" w14:paraId="5320ABE8" w14:textId="77777777" w:rsidTr="008F1515">
        <w:tc>
          <w:tcPr>
            <w:tcW w:w="3828" w:type="dxa"/>
            <w:vAlign w:val="center"/>
          </w:tcPr>
          <w:p w14:paraId="01697DDA" w14:textId="77777777" w:rsidR="003F04B2" w:rsidRPr="00B36C6E" w:rsidRDefault="003F04B2" w:rsidP="008F1515">
            <w:pPr>
              <w:rPr>
                <w:rFonts w:eastAsia="Calibri" w:cs="Times New Roman"/>
                <w:sz w:val="20"/>
                <w:szCs w:val="20"/>
              </w:rPr>
            </w:pPr>
            <w:r w:rsidRPr="00B36C6E">
              <w:rPr>
                <w:rFonts w:eastAsia="Calibri" w:cs="Times New Roman"/>
                <w:sz w:val="20"/>
                <w:szCs w:val="20"/>
              </w:rPr>
              <w:t>2.2 Nº de auditorias para avaliação de programa de governo realizadas.</w:t>
            </w:r>
          </w:p>
        </w:tc>
        <w:tc>
          <w:tcPr>
            <w:tcW w:w="5242" w:type="dxa"/>
          </w:tcPr>
          <w:p w14:paraId="470DB371" w14:textId="77777777" w:rsidR="003F04B2" w:rsidRPr="00B36C6E" w:rsidRDefault="003F04B2" w:rsidP="008F1515">
            <w:pPr>
              <w:rPr>
                <w:rFonts w:cs="Times New Roman"/>
                <w:sz w:val="20"/>
                <w:szCs w:val="20"/>
              </w:rPr>
            </w:pPr>
            <w:r w:rsidRPr="00B36C6E">
              <w:rPr>
                <w:rFonts w:cs="Times New Roman"/>
                <w:sz w:val="20"/>
                <w:szCs w:val="20"/>
              </w:rPr>
              <w:t>- Quantidade de achados e recomendações das auditorias de resultados;</w:t>
            </w:r>
          </w:p>
          <w:p w14:paraId="73A9C613" w14:textId="77777777" w:rsidR="003F04B2" w:rsidRPr="00B36C6E" w:rsidRDefault="003F04B2" w:rsidP="008F1515">
            <w:pPr>
              <w:rPr>
                <w:rFonts w:cs="Times New Roman"/>
                <w:sz w:val="20"/>
                <w:szCs w:val="20"/>
              </w:rPr>
            </w:pPr>
            <w:r w:rsidRPr="00B36C6E">
              <w:rPr>
                <w:rFonts w:cs="Times New Roman"/>
                <w:sz w:val="20"/>
                <w:szCs w:val="20"/>
              </w:rPr>
              <w:t>- Quantidade de ações tomadas pelo Governo para sanar os pontos de controle da auditoria (acompanhamento).</w:t>
            </w:r>
          </w:p>
        </w:tc>
      </w:tr>
      <w:tr w:rsidR="003F04B2" w:rsidRPr="00B36C6E" w14:paraId="410155CC" w14:textId="77777777" w:rsidTr="008F1515">
        <w:tc>
          <w:tcPr>
            <w:tcW w:w="3828" w:type="dxa"/>
            <w:vAlign w:val="center"/>
          </w:tcPr>
          <w:p w14:paraId="276FB76D" w14:textId="77777777" w:rsidR="003F04B2" w:rsidRPr="00B36C6E" w:rsidRDefault="003F04B2" w:rsidP="008F1515">
            <w:pPr>
              <w:rPr>
                <w:rFonts w:eastAsia="Calibri" w:cs="Times New Roman"/>
                <w:sz w:val="20"/>
                <w:szCs w:val="20"/>
              </w:rPr>
            </w:pPr>
            <w:r w:rsidRPr="00B36C6E">
              <w:rPr>
                <w:rFonts w:eastAsia="Calibri" w:cs="Times New Roman"/>
                <w:sz w:val="20"/>
                <w:szCs w:val="20"/>
              </w:rPr>
              <w:lastRenderedPageBreak/>
              <w:t xml:space="preserve">2.3 Nº de processos de trabalho (contas de governo, contas de ordenadores, contas especiais, atos de aposentadoria, atos de admissão, atos de pensão, auditorias de conformidade e auditorias operacionais) finalísticos do TC redesenhados.  </w:t>
            </w:r>
          </w:p>
        </w:tc>
        <w:tc>
          <w:tcPr>
            <w:tcW w:w="5242" w:type="dxa"/>
          </w:tcPr>
          <w:p w14:paraId="03DCA9C4" w14:textId="77777777" w:rsidR="003F04B2" w:rsidRPr="00B36C6E" w:rsidRDefault="003F04B2" w:rsidP="008F1515">
            <w:pPr>
              <w:rPr>
                <w:rFonts w:cs="Times New Roman"/>
                <w:sz w:val="20"/>
                <w:szCs w:val="20"/>
              </w:rPr>
            </w:pPr>
            <w:r w:rsidRPr="00B36C6E">
              <w:rPr>
                <w:rFonts w:cs="Times New Roman"/>
                <w:sz w:val="20"/>
                <w:szCs w:val="20"/>
              </w:rPr>
              <w:t xml:space="preserve">Indicadores de processo para medir cada um dos processos redesenhados, por exemplo: </w:t>
            </w:r>
          </w:p>
          <w:p w14:paraId="43697D86" w14:textId="77777777" w:rsidR="003F04B2" w:rsidRPr="00B36C6E" w:rsidRDefault="003F04B2" w:rsidP="008F1515">
            <w:pPr>
              <w:rPr>
                <w:rFonts w:cs="Times New Roman"/>
                <w:sz w:val="20"/>
                <w:szCs w:val="20"/>
              </w:rPr>
            </w:pPr>
            <w:r w:rsidRPr="00B36C6E">
              <w:rPr>
                <w:rFonts w:cs="Times New Roman"/>
                <w:sz w:val="20"/>
                <w:szCs w:val="20"/>
              </w:rPr>
              <w:t>- Índice de redução no tempo médio de tramitação do processo finalístico de Auditoria de Conformidade/ Prestação de Contas, dentre outros.</w:t>
            </w:r>
          </w:p>
        </w:tc>
      </w:tr>
      <w:tr w:rsidR="003F04B2" w:rsidRPr="00B36C6E" w14:paraId="24A27812" w14:textId="77777777" w:rsidTr="008F1515">
        <w:tc>
          <w:tcPr>
            <w:tcW w:w="3828" w:type="dxa"/>
            <w:vAlign w:val="center"/>
          </w:tcPr>
          <w:p w14:paraId="6B453DF6" w14:textId="77777777" w:rsidR="003F04B2" w:rsidRPr="00B36C6E" w:rsidRDefault="003F04B2" w:rsidP="008F1515">
            <w:pPr>
              <w:rPr>
                <w:rFonts w:eastAsia="Calibri" w:cs="Times New Roman"/>
                <w:sz w:val="20"/>
                <w:szCs w:val="20"/>
              </w:rPr>
            </w:pPr>
            <w:r w:rsidRPr="00B36C6E">
              <w:rPr>
                <w:rFonts w:eastAsia="Calibri" w:cs="Times New Roman"/>
                <w:sz w:val="20"/>
                <w:szCs w:val="20"/>
              </w:rPr>
              <w:t>2.4 Nº de planejamentos estratégicos implantados e/ou revisados</w:t>
            </w:r>
          </w:p>
        </w:tc>
        <w:tc>
          <w:tcPr>
            <w:tcW w:w="5242" w:type="dxa"/>
            <w:vMerge w:val="restart"/>
          </w:tcPr>
          <w:p w14:paraId="5A66F1D0" w14:textId="77777777" w:rsidR="003F04B2" w:rsidRPr="00B36C6E" w:rsidRDefault="003F04B2" w:rsidP="008F1515">
            <w:pPr>
              <w:rPr>
                <w:rFonts w:cs="Times New Roman"/>
                <w:sz w:val="20"/>
                <w:szCs w:val="20"/>
              </w:rPr>
            </w:pPr>
            <w:r w:rsidRPr="00B36C6E">
              <w:rPr>
                <w:rFonts w:cs="Times New Roman"/>
                <w:sz w:val="20"/>
                <w:szCs w:val="20"/>
              </w:rPr>
              <w:t>- Apuração dos indicadores presentes em todos os PE para se verificar o estágio antes e depois da ação implementada durante o período do PE;</w:t>
            </w:r>
          </w:p>
          <w:p w14:paraId="3A57A4AF" w14:textId="77777777" w:rsidR="003F04B2" w:rsidRPr="00B36C6E" w:rsidRDefault="003F04B2" w:rsidP="008F1515">
            <w:pPr>
              <w:rPr>
                <w:rFonts w:cs="Times New Roman"/>
                <w:sz w:val="20"/>
                <w:szCs w:val="20"/>
              </w:rPr>
            </w:pPr>
            <w:r w:rsidRPr="00B36C6E">
              <w:rPr>
                <w:rFonts w:cs="Times New Roman"/>
                <w:sz w:val="20"/>
                <w:szCs w:val="20"/>
              </w:rPr>
              <w:t>- Índice de cumprimento das ações estabelecidas no planejamento estratégico;</w:t>
            </w:r>
          </w:p>
          <w:p w14:paraId="4F55AB89" w14:textId="77777777" w:rsidR="003F04B2" w:rsidRPr="00B36C6E" w:rsidRDefault="003F04B2" w:rsidP="008F1515">
            <w:pPr>
              <w:rPr>
                <w:rFonts w:cs="Times New Roman"/>
                <w:sz w:val="20"/>
                <w:szCs w:val="20"/>
              </w:rPr>
            </w:pPr>
          </w:p>
        </w:tc>
      </w:tr>
      <w:tr w:rsidR="003F04B2" w:rsidRPr="00B36C6E" w14:paraId="5A6BE788" w14:textId="77777777" w:rsidTr="008F1515">
        <w:tc>
          <w:tcPr>
            <w:tcW w:w="3828" w:type="dxa"/>
            <w:vAlign w:val="center"/>
          </w:tcPr>
          <w:p w14:paraId="07E50117" w14:textId="77777777" w:rsidR="003F04B2" w:rsidRPr="00B36C6E" w:rsidRDefault="003F04B2" w:rsidP="008F1515">
            <w:pPr>
              <w:rPr>
                <w:rFonts w:eastAsia="Calibri" w:cs="Times New Roman"/>
                <w:sz w:val="20"/>
                <w:szCs w:val="20"/>
              </w:rPr>
            </w:pPr>
            <w:r w:rsidRPr="00B36C6E">
              <w:rPr>
                <w:rFonts w:eastAsia="Calibri" w:cs="Times New Roman"/>
                <w:sz w:val="20"/>
                <w:szCs w:val="20"/>
              </w:rPr>
              <w:t>2.5 Nº de planejamentos estratégicos de TI implantados</w:t>
            </w:r>
          </w:p>
        </w:tc>
        <w:tc>
          <w:tcPr>
            <w:tcW w:w="5242" w:type="dxa"/>
            <w:vMerge/>
          </w:tcPr>
          <w:p w14:paraId="77678BD2" w14:textId="77777777" w:rsidR="003F04B2" w:rsidRPr="00B36C6E" w:rsidRDefault="003F04B2" w:rsidP="008F1515">
            <w:pPr>
              <w:rPr>
                <w:rFonts w:cs="Times New Roman"/>
                <w:sz w:val="20"/>
                <w:szCs w:val="20"/>
              </w:rPr>
            </w:pPr>
          </w:p>
        </w:tc>
      </w:tr>
      <w:tr w:rsidR="003F04B2" w:rsidRPr="00B36C6E" w14:paraId="19CB07CC" w14:textId="77777777" w:rsidTr="008F1515">
        <w:tc>
          <w:tcPr>
            <w:tcW w:w="3828" w:type="dxa"/>
            <w:vAlign w:val="center"/>
          </w:tcPr>
          <w:p w14:paraId="789E2A23" w14:textId="77777777" w:rsidR="003F04B2" w:rsidRPr="00B36C6E" w:rsidRDefault="003F04B2" w:rsidP="008F1515">
            <w:pPr>
              <w:rPr>
                <w:rFonts w:eastAsia="Calibri" w:cs="Times New Roman"/>
                <w:sz w:val="20"/>
                <w:szCs w:val="20"/>
              </w:rPr>
            </w:pPr>
            <w:r w:rsidRPr="00B36C6E">
              <w:rPr>
                <w:rFonts w:eastAsia="Calibri" w:cs="Times New Roman"/>
                <w:sz w:val="20"/>
                <w:szCs w:val="20"/>
              </w:rPr>
              <w:t>2.6 Nº de políticas de RH definidas</w:t>
            </w:r>
          </w:p>
        </w:tc>
        <w:tc>
          <w:tcPr>
            <w:tcW w:w="5242" w:type="dxa"/>
          </w:tcPr>
          <w:p w14:paraId="66C389D5" w14:textId="77777777" w:rsidR="003F04B2" w:rsidRPr="00B36C6E" w:rsidRDefault="003F04B2" w:rsidP="008F1515">
            <w:pPr>
              <w:rPr>
                <w:rFonts w:cs="Times New Roman"/>
                <w:sz w:val="20"/>
                <w:szCs w:val="20"/>
              </w:rPr>
            </w:pPr>
            <w:r w:rsidRPr="00B36C6E">
              <w:rPr>
                <w:rFonts w:cs="Times New Roman"/>
                <w:sz w:val="20"/>
                <w:szCs w:val="20"/>
              </w:rPr>
              <w:t>Indicadores relacionados a cada um dos produtos da Política de RH, como por exemplo:</w:t>
            </w:r>
          </w:p>
          <w:p w14:paraId="768B99CD" w14:textId="77777777" w:rsidR="003F04B2" w:rsidRPr="00B36C6E" w:rsidRDefault="003F04B2" w:rsidP="008F1515">
            <w:pPr>
              <w:rPr>
                <w:rFonts w:cs="Times New Roman"/>
                <w:sz w:val="20"/>
                <w:szCs w:val="20"/>
              </w:rPr>
            </w:pPr>
            <w:r w:rsidRPr="00B36C6E">
              <w:rPr>
                <w:rFonts w:cs="Times New Roman"/>
                <w:sz w:val="20"/>
                <w:szCs w:val="20"/>
              </w:rPr>
              <w:t>- Índice de absenteísmo;</w:t>
            </w:r>
          </w:p>
          <w:p w14:paraId="64983D1D" w14:textId="77777777" w:rsidR="003F04B2" w:rsidRPr="00B36C6E" w:rsidRDefault="003F04B2" w:rsidP="008F1515">
            <w:pPr>
              <w:rPr>
                <w:rFonts w:cs="Times New Roman"/>
                <w:sz w:val="20"/>
                <w:szCs w:val="20"/>
              </w:rPr>
            </w:pPr>
            <w:r w:rsidRPr="00B36C6E">
              <w:rPr>
                <w:rFonts w:cs="Times New Roman"/>
                <w:sz w:val="20"/>
                <w:szCs w:val="20"/>
              </w:rPr>
              <w:t>- Índice de satisfação dos servidores;</w:t>
            </w:r>
          </w:p>
          <w:p w14:paraId="3F6D7440" w14:textId="77777777" w:rsidR="003F04B2" w:rsidRPr="00B36C6E" w:rsidRDefault="003F04B2" w:rsidP="008F1515">
            <w:pPr>
              <w:rPr>
                <w:rFonts w:cs="Times New Roman"/>
                <w:sz w:val="20"/>
                <w:szCs w:val="20"/>
              </w:rPr>
            </w:pPr>
            <w:r w:rsidRPr="00B36C6E">
              <w:rPr>
                <w:rFonts w:cs="Times New Roman"/>
                <w:sz w:val="20"/>
                <w:szCs w:val="20"/>
              </w:rPr>
              <w:t>- Índice de evasão de servidores novatos;</w:t>
            </w:r>
          </w:p>
          <w:p w14:paraId="6511989C" w14:textId="77777777" w:rsidR="003F04B2" w:rsidRPr="00B36C6E" w:rsidRDefault="003F04B2" w:rsidP="008F1515">
            <w:pPr>
              <w:rPr>
                <w:rFonts w:cs="Times New Roman"/>
                <w:sz w:val="20"/>
                <w:szCs w:val="20"/>
              </w:rPr>
            </w:pPr>
            <w:r w:rsidRPr="00B36C6E">
              <w:rPr>
                <w:rFonts w:cs="Times New Roman"/>
                <w:sz w:val="20"/>
                <w:szCs w:val="20"/>
              </w:rPr>
              <w:t>- Índice de capacitação/atualização dos servidores;</w:t>
            </w:r>
          </w:p>
          <w:p w14:paraId="6F187EF2" w14:textId="77777777" w:rsidR="003F04B2" w:rsidRPr="00B36C6E" w:rsidRDefault="003F04B2" w:rsidP="008F1515">
            <w:pPr>
              <w:rPr>
                <w:rFonts w:cs="Times New Roman"/>
                <w:sz w:val="20"/>
                <w:szCs w:val="20"/>
              </w:rPr>
            </w:pPr>
            <w:r w:rsidRPr="00B36C6E">
              <w:rPr>
                <w:rFonts w:cs="Times New Roman"/>
                <w:sz w:val="20"/>
                <w:szCs w:val="20"/>
              </w:rPr>
              <w:t>- Índice de atendimento das competências técnicas e gerenciais para o exercício de cargo ou função.</w:t>
            </w:r>
          </w:p>
        </w:tc>
      </w:tr>
    </w:tbl>
    <w:p w14:paraId="1CF6D695" w14:textId="77777777" w:rsidR="003F04B2" w:rsidRPr="00B36C6E" w:rsidRDefault="003F04B2" w:rsidP="003F04B2">
      <w:pPr>
        <w:rPr>
          <w:rFonts w:cs="Times New Roman"/>
          <w:sz w:val="20"/>
          <w:szCs w:val="20"/>
        </w:rPr>
      </w:pPr>
      <w:r w:rsidRPr="00B36C6E">
        <w:rPr>
          <w:rFonts w:cs="Times New Roman"/>
          <w:sz w:val="20"/>
          <w:szCs w:val="20"/>
        </w:rPr>
        <w:t xml:space="preserve"> Fonte: elaborado pelos autores</w:t>
      </w:r>
    </w:p>
    <w:p w14:paraId="4492D1D1" w14:textId="77777777" w:rsidR="003F04B2" w:rsidRPr="00B36C6E" w:rsidRDefault="003F04B2" w:rsidP="003F04B2">
      <w:pPr>
        <w:rPr>
          <w:rFonts w:cs="Times New Roman"/>
          <w:b/>
          <w:szCs w:val="24"/>
        </w:rPr>
      </w:pPr>
    </w:p>
    <w:p w14:paraId="4F8827E6" w14:textId="77777777" w:rsidR="003F04B2" w:rsidRPr="00B36C6E" w:rsidRDefault="003F04B2" w:rsidP="003F04B2">
      <w:pPr>
        <w:rPr>
          <w:rFonts w:cs="Times New Roman"/>
          <w:szCs w:val="24"/>
        </w:rPr>
      </w:pPr>
    </w:p>
    <w:p w14:paraId="356F8EC1" w14:textId="77777777" w:rsidR="003F04B2" w:rsidRPr="00B36C6E" w:rsidRDefault="003F04B2" w:rsidP="003F04B2">
      <w:pPr>
        <w:ind w:firstLine="708"/>
        <w:rPr>
          <w:rFonts w:cs="Times New Roman"/>
          <w:szCs w:val="24"/>
        </w:rPr>
      </w:pPr>
      <w:r w:rsidRPr="00B36C6E">
        <w:rPr>
          <w:rFonts w:cs="Times New Roman"/>
          <w:szCs w:val="24"/>
        </w:rPr>
        <w:t xml:space="preserve">Quanto ao subcomponente 2.2, cujo indicador mensurava o número de auditorias de resultado realizadas pelo TC, sugere-se como indicador o número de achados e/ou recomendações de cada uma das auditorias realizadas, pois isso demonstraria mais claramente o resultado da ação executada pelo Tribunal, não informando apenas a quantidade de auditorias realizadas. </w:t>
      </w:r>
    </w:p>
    <w:p w14:paraId="13C440AE" w14:textId="77777777" w:rsidR="003F04B2" w:rsidRPr="00B36C6E" w:rsidRDefault="003F04B2" w:rsidP="003F04B2">
      <w:pPr>
        <w:ind w:firstLine="708"/>
        <w:rPr>
          <w:rFonts w:cs="Times New Roman"/>
          <w:szCs w:val="24"/>
        </w:rPr>
      </w:pPr>
      <w:r w:rsidRPr="00B36C6E">
        <w:rPr>
          <w:rFonts w:cs="Times New Roman"/>
          <w:szCs w:val="24"/>
        </w:rPr>
        <w:t xml:space="preserve">No caso do redesenho de processos (indicador do subcomponente 2.3), não se mostra efetivo reformular um fluxo de </w:t>
      </w:r>
      <w:proofErr w:type="spellStart"/>
      <w:r w:rsidRPr="00B36C6E">
        <w:rPr>
          <w:rFonts w:cs="Times New Roman"/>
          <w:szCs w:val="24"/>
        </w:rPr>
        <w:t>processo</w:t>
      </w:r>
      <w:proofErr w:type="spellEnd"/>
      <w:r w:rsidRPr="00B36C6E">
        <w:rPr>
          <w:rFonts w:cs="Times New Roman"/>
          <w:szCs w:val="24"/>
        </w:rPr>
        <w:t xml:space="preserve"> de negócios se não houver monitoramento, por meio de indicadores de processo, para verificar se houve, de fato, melhoria no processo redesenhado (Santos, Santana e Alves, 2012). Portanto, sugere-se que sejam criados indicadores para cada processo redesenhado, como por exemplo: tempo de tramitação do processo de trabalho “X”, “Y”, “Z”. </w:t>
      </w:r>
    </w:p>
    <w:p w14:paraId="6AF22063" w14:textId="77777777" w:rsidR="003F04B2" w:rsidRPr="00B36C6E" w:rsidRDefault="003F04B2" w:rsidP="003F04B2">
      <w:pPr>
        <w:ind w:firstLine="708"/>
        <w:rPr>
          <w:rFonts w:cs="Times New Roman"/>
          <w:szCs w:val="24"/>
        </w:rPr>
      </w:pPr>
      <w:r w:rsidRPr="00B36C6E">
        <w:rPr>
          <w:rFonts w:cs="Times New Roman"/>
          <w:szCs w:val="24"/>
        </w:rPr>
        <w:t>Quanto à implantação do planejamento estratégico, tanto institucional, quanto de TI, indicadores contemplados nos subcomponentes 2.4 e 2.5, a informação de que o Tribunal efetuou a implementação é insuficiente caso não sejam apontados os resultados advindos desse planejamento, o que poderia se dar por meio da medição dos indicadores presentes no plano, mostrando um estágio anterior e posterior ao planejamento. Também poderia ser criado um indicador que mostrasse o índice de ações cumpridas em relação ao planejado, como forma de demonstrar que o plano realmente foi executado na íntegra. Silva e Mário (2015) apontam que alguns Tribunais demonstravam dificuldades em implementar o plano estratégico e efetuar o devido monitoramento.</w:t>
      </w:r>
    </w:p>
    <w:p w14:paraId="65D15340" w14:textId="77777777" w:rsidR="003F04B2" w:rsidRPr="00B36C6E" w:rsidRDefault="003F04B2" w:rsidP="003F04B2">
      <w:pPr>
        <w:ind w:firstLine="708"/>
        <w:rPr>
          <w:rFonts w:cs="Times New Roman"/>
          <w:szCs w:val="24"/>
        </w:rPr>
      </w:pPr>
      <w:r w:rsidRPr="00B36C6E">
        <w:rPr>
          <w:rFonts w:cs="Times New Roman"/>
          <w:szCs w:val="24"/>
        </w:rPr>
        <w:t>Em relação à política de RH definida (indicador do subcomponente 2.6), entende-se que não basta que a política seja definida para que se tenha conhecimento do resultado gerado por ela. Para tanto, são sugeridos indicadores da área de gestão de pessoas, como: redução no absenteísmo, elevação da satisfação dos servidores, aumento na capacitação e atualização dos servidores, dentre outros.</w:t>
      </w:r>
    </w:p>
    <w:p w14:paraId="7A9F77CE" w14:textId="713AE469" w:rsidR="00172002" w:rsidRPr="00B36C6E" w:rsidRDefault="00172002" w:rsidP="003F04B2">
      <w:pPr>
        <w:ind w:firstLine="709"/>
        <w:rPr>
          <w:rFonts w:cs="Times New Roman"/>
          <w:szCs w:val="24"/>
        </w:rPr>
      </w:pPr>
      <w:proofErr w:type="gramStart"/>
      <w:r w:rsidRPr="00B36C6E">
        <w:rPr>
          <w:rFonts w:cs="Times New Roman"/>
          <w:szCs w:val="24"/>
        </w:rPr>
        <w:t>O indicadores sugeridos</w:t>
      </w:r>
      <w:proofErr w:type="gramEnd"/>
      <w:r w:rsidRPr="00B36C6E">
        <w:rPr>
          <w:rFonts w:cs="Times New Roman"/>
          <w:szCs w:val="24"/>
        </w:rPr>
        <w:t xml:space="preserve"> podem vir a servir como base para a avaliação de novos projetos de desenvolvimento, como o empreendido pelo </w:t>
      </w:r>
      <w:proofErr w:type="spellStart"/>
      <w:r w:rsidRPr="00B36C6E">
        <w:rPr>
          <w:rFonts w:cs="Times New Roman"/>
          <w:szCs w:val="24"/>
        </w:rPr>
        <w:t>Promoex</w:t>
      </w:r>
      <w:proofErr w:type="spellEnd"/>
      <w:r w:rsidRPr="00B36C6E">
        <w:rPr>
          <w:rFonts w:cs="Times New Roman"/>
          <w:szCs w:val="24"/>
        </w:rPr>
        <w:t xml:space="preserve">, futuramente. Sejam eles aplicados como aqui propostos ou mesmo sendo adaptados ao contexto futuro, poderiam trazer maior riqueza de avaliação se comparados aos propostos no </w:t>
      </w:r>
      <w:proofErr w:type="spellStart"/>
      <w:r w:rsidRPr="00B36C6E">
        <w:rPr>
          <w:rFonts w:cs="Times New Roman"/>
          <w:szCs w:val="24"/>
        </w:rPr>
        <w:t>Promoex</w:t>
      </w:r>
      <w:proofErr w:type="spellEnd"/>
      <w:r w:rsidRPr="00B36C6E">
        <w:rPr>
          <w:rFonts w:cs="Times New Roman"/>
          <w:szCs w:val="24"/>
        </w:rPr>
        <w:t>.</w:t>
      </w:r>
    </w:p>
    <w:p w14:paraId="2A739DA3" w14:textId="77777777" w:rsidR="003F04B2" w:rsidRPr="00B36C6E" w:rsidRDefault="003F04B2" w:rsidP="003F04B2">
      <w:pPr>
        <w:ind w:firstLine="709"/>
        <w:rPr>
          <w:rFonts w:cs="Times New Roman"/>
          <w:szCs w:val="24"/>
        </w:rPr>
      </w:pPr>
      <w:r w:rsidRPr="00B36C6E">
        <w:rPr>
          <w:rFonts w:cs="Times New Roman"/>
          <w:szCs w:val="24"/>
        </w:rPr>
        <w:t xml:space="preserve">Mesmo que os indicadores do </w:t>
      </w:r>
      <w:proofErr w:type="spellStart"/>
      <w:r w:rsidRPr="00B36C6E">
        <w:rPr>
          <w:rFonts w:cs="Times New Roman"/>
          <w:szCs w:val="24"/>
        </w:rPr>
        <w:t>Promoex</w:t>
      </w:r>
      <w:proofErr w:type="spellEnd"/>
      <w:r w:rsidRPr="00B36C6E">
        <w:rPr>
          <w:rFonts w:cs="Times New Roman"/>
          <w:szCs w:val="24"/>
        </w:rPr>
        <w:t xml:space="preserve"> não sejam suficientes para demonstrar se de fato houve melhoria nos resultados, pela análise dos mesmos já é possível inferir que </w:t>
      </w:r>
      <w:r w:rsidRPr="00B36C6E">
        <w:rPr>
          <w:rFonts w:cs="Times New Roman"/>
          <w:szCs w:val="24"/>
        </w:rPr>
        <w:lastRenderedPageBreak/>
        <w:t xml:space="preserve">os esforços para os avanços estão em curso. Exemplo: se um Tribunal realizou “X” número de auditorias de resultado a mais que outra instituição não quer dizer que ele esteja à frente dela, pois a complexidade de cada programa de governo avaliado e escopo das auditorias podem ser muito diferentes. Entretanto, a análise mais macro que deve ser feita é que está sendo verificada uma mudança de foco de atuação dessas Cortes de Contas, com orientação maior nos resultados dos programas governamentais, conforme mencionado por </w:t>
      </w:r>
      <w:proofErr w:type="spellStart"/>
      <w:r w:rsidRPr="00B36C6E">
        <w:rPr>
          <w:rFonts w:cs="Times New Roman"/>
          <w:szCs w:val="24"/>
        </w:rPr>
        <w:t>Barzelay</w:t>
      </w:r>
      <w:proofErr w:type="spellEnd"/>
      <w:r w:rsidRPr="00B36C6E">
        <w:rPr>
          <w:rFonts w:cs="Times New Roman"/>
          <w:szCs w:val="24"/>
        </w:rPr>
        <w:t xml:space="preserve"> (2002) e Ribeiro (2002).</w:t>
      </w:r>
    </w:p>
    <w:p w14:paraId="3F47539A" w14:textId="77777777" w:rsidR="00102F88" w:rsidRPr="00B36C6E" w:rsidRDefault="00102F88" w:rsidP="00102F88">
      <w:pPr>
        <w:ind w:firstLine="709"/>
        <w:rPr>
          <w:rFonts w:cs="Times New Roman"/>
          <w:szCs w:val="24"/>
        </w:rPr>
      </w:pPr>
    </w:p>
    <w:p w14:paraId="4EA92ABD" w14:textId="77777777" w:rsidR="00102F88" w:rsidRPr="00B36C6E" w:rsidRDefault="00102F88" w:rsidP="00102F88">
      <w:pPr>
        <w:ind w:firstLine="709"/>
        <w:rPr>
          <w:rFonts w:cs="Times New Roman"/>
          <w:szCs w:val="24"/>
        </w:rPr>
      </w:pPr>
    </w:p>
    <w:p w14:paraId="4AD96C1A" w14:textId="2083389B" w:rsidR="00102F88" w:rsidRPr="00B36C6E" w:rsidRDefault="00102F88" w:rsidP="00102F88">
      <w:pPr>
        <w:pStyle w:val="Ttulo2"/>
      </w:pPr>
      <w:r w:rsidRPr="00B36C6E">
        <w:t>4.</w:t>
      </w:r>
      <w:r w:rsidR="00116287" w:rsidRPr="00B36C6E">
        <w:t>3</w:t>
      </w:r>
      <w:r w:rsidRPr="00B36C6E">
        <w:t xml:space="preserve"> Ações desenvolvidas no Pós </w:t>
      </w:r>
      <w:proofErr w:type="spellStart"/>
      <w:r w:rsidRPr="00B36C6E">
        <w:t>Promoex</w:t>
      </w:r>
      <w:proofErr w:type="spellEnd"/>
      <w:r w:rsidRPr="00B36C6E">
        <w:t xml:space="preserve"> para sustentabilidade do Programa</w:t>
      </w:r>
    </w:p>
    <w:p w14:paraId="1214FA50" w14:textId="4096C116" w:rsidR="00102F88" w:rsidRPr="00B36C6E" w:rsidRDefault="00102F88" w:rsidP="00102F88">
      <w:pPr>
        <w:ind w:firstLine="709"/>
        <w:rPr>
          <w:rFonts w:cs="Times New Roman"/>
          <w:szCs w:val="24"/>
        </w:rPr>
      </w:pPr>
      <w:r w:rsidRPr="00B36C6E">
        <w:rPr>
          <w:rFonts w:cs="Times New Roman"/>
          <w:szCs w:val="24"/>
        </w:rPr>
        <w:t xml:space="preserve">O Programa </w:t>
      </w:r>
      <w:proofErr w:type="spellStart"/>
      <w:r w:rsidRPr="00B36C6E">
        <w:rPr>
          <w:rFonts w:cs="Times New Roman"/>
          <w:szCs w:val="24"/>
        </w:rPr>
        <w:t>Promoex</w:t>
      </w:r>
      <w:proofErr w:type="spellEnd"/>
      <w:r w:rsidRPr="00B36C6E">
        <w:rPr>
          <w:rFonts w:cs="Times New Roman"/>
          <w:szCs w:val="24"/>
        </w:rPr>
        <w:t xml:space="preserve"> encerrou-se em setembro de 2013, entretanto, foram criados nove comitês técnicos, em junho de 2013, para dar continuidade à discussão dos temas mais importantes para os Tribunais. Os comitês são compostos por técnicos dos Tribunais e presididos por um Conselheiro</w:t>
      </w:r>
      <w:r w:rsidR="00116287" w:rsidRPr="00B36C6E">
        <w:rPr>
          <w:rFonts w:cs="Times New Roman"/>
          <w:szCs w:val="24"/>
        </w:rPr>
        <w:t xml:space="preserve"> (IRB, 2014)</w:t>
      </w:r>
      <w:r w:rsidRPr="00B36C6E">
        <w:rPr>
          <w:rFonts w:cs="Times New Roman"/>
          <w:szCs w:val="24"/>
        </w:rPr>
        <w:t xml:space="preserve">. </w:t>
      </w:r>
    </w:p>
    <w:p w14:paraId="49D392DF" w14:textId="45D55B5F" w:rsidR="00102F88" w:rsidRPr="00B36C6E" w:rsidRDefault="00672504" w:rsidP="00102F88">
      <w:pPr>
        <w:ind w:firstLine="709"/>
        <w:rPr>
          <w:rFonts w:cs="Times New Roman"/>
          <w:szCs w:val="24"/>
        </w:rPr>
      </w:pPr>
      <w:r w:rsidRPr="00B36C6E">
        <w:rPr>
          <w:rFonts w:cs="Times New Roman"/>
          <w:szCs w:val="24"/>
        </w:rPr>
        <w:t>E</w:t>
      </w:r>
      <w:r w:rsidR="00102F88" w:rsidRPr="00B36C6E">
        <w:rPr>
          <w:rFonts w:cs="Times New Roman"/>
          <w:szCs w:val="24"/>
        </w:rPr>
        <w:t xml:space="preserve">m 2014, </w:t>
      </w:r>
      <w:r w:rsidRPr="00B36C6E">
        <w:rPr>
          <w:rFonts w:cs="Times New Roman"/>
          <w:szCs w:val="24"/>
        </w:rPr>
        <w:t>passou-se</w:t>
      </w:r>
      <w:r w:rsidR="00102F88" w:rsidRPr="00B36C6E">
        <w:rPr>
          <w:rFonts w:cs="Times New Roman"/>
          <w:szCs w:val="24"/>
        </w:rPr>
        <w:t xml:space="preserve"> de nove para onze Comitês, a saber: Meio Ambiente; Obras Públicas; Atos de Pessoal e Previdência; Produção de Informações estratégicas para Atividades de Fiscalização; Contabilidade Pública e Gestão Fiscal; Processualística, Súmula e Jurisprudência; Aperfeiçoamento Profissional; Tecnologia da Informação; Auditoria; Comunicação e Parcerias Público-Privadas. Também existem cinco Gestões nas áreas de: Ensino, Pesquisa, Extensão, Desenvolvimento Institucional e Relações Institucionais (IRB, 2014).  Verifica-se, então, que existe um esforço coordenado pelo IRB para dar continuidade à interação entre os Tribunais, proporcionada durante o </w:t>
      </w:r>
      <w:proofErr w:type="spellStart"/>
      <w:r w:rsidR="00102F88" w:rsidRPr="00B36C6E">
        <w:rPr>
          <w:rFonts w:cs="Times New Roman"/>
          <w:szCs w:val="24"/>
        </w:rPr>
        <w:t>Promoex</w:t>
      </w:r>
      <w:proofErr w:type="spellEnd"/>
      <w:r w:rsidR="00102F88" w:rsidRPr="00B36C6E">
        <w:rPr>
          <w:rFonts w:cs="Times New Roman"/>
          <w:szCs w:val="24"/>
        </w:rPr>
        <w:t>, por meio do trabalho dos Comitês Temáticos. Em geral, cada Comitê se encontra ao menos uma vez por ano (IRB, 2014).</w:t>
      </w:r>
    </w:p>
    <w:p w14:paraId="54B65D9C" w14:textId="69840678" w:rsidR="00102F88" w:rsidRPr="00B36C6E" w:rsidRDefault="00102F88" w:rsidP="00102F88">
      <w:pPr>
        <w:ind w:firstLine="709"/>
        <w:rPr>
          <w:rFonts w:cs="Times New Roman"/>
          <w:szCs w:val="24"/>
        </w:rPr>
      </w:pPr>
      <w:r w:rsidRPr="00B36C6E">
        <w:rPr>
          <w:rFonts w:cs="Times New Roman"/>
          <w:szCs w:val="24"/>
        </w:rPr>
        <w:t xml:space="preserve">Também se destaca, dentre as ações de fortalecimento do controle externo em curso após encerramento do </w:t>
      </w:r>
      <w:proofErr w:type="spellStart"/>
      <w:r w:rsidRPr="00B36C6E">
        <w:rPr>
          <w:rFonts w:cs="Times New Roman"/>
          <w:szCs w:val="24"/>
        </w:rPr>
        <w:t>Promoex</w:t>
      </w:r>
      <w:proofErr w:type="spellEnd"/>
      <w:r w:rsidRPr="00B36C6E">
        <w:rPr>
          <w:rFonts w:cs="Times New Roman"/>
          <w:szCs w:val="24"/>
        </w:rPr>
        <w:t xml:space="preserve">, um programa que está sendo desenvolvido pela </w:t>
      </w:r>
      <w:proofErr w:type="spellStart"/>
      <w:r w:rsidRPr="00B36C6E">
        <w:rPr>
          <w:rFonts w:cs="Times New Roman"/>
          <w:szCs w:val="24"/>
        </w:rPr>
        <w:t>Atricon</w:t>
      </w:r>
      <w:proofErr w:type="spellEnd"/>
      <w:r w:rsidRPr="00B36C6E">
        <w:rPr>
          <w:rFonts w:cs="Times New Roman"/>
          <w:szCs w:val="24"/>
        </w:rPr>
        <w:t xml:space="preserve"> para definição de índices de agilidade e de qualidade do controle externo e critérios de avaliação. Dentre os critérios de avaliação, pode-se citar: adoção de código de ética, política de gestão de pessoas, realização de auditoria operacional, realização de controle externo concomitante, adoção do planejamento estratégico como ferramenta indispensável de gestão (ATRICON, 2013). Além desta iniciativa, também foi realizada uma capacitação na </w:t>
      </w:r>
      <w:proofErr w:type="spellStart"/>
      <w:r w:rsidRPr="00B36C6E">
        <w:rPr>
          <w:rFonts w:cs="Times New Roman"/>
          <w:i/>
          <w:iCs/>
          <w:szCs w:val="24"/>
        </w:rPr>
        <w:t>Supreme</w:t>
      </w:r>
      <w:proofErr w:type="spellEnd"/>
      <w:r w:rsidRPr="00B36C6E">
        <w:rPr>
          <w:rFonts w:cs="Times New Roman"/>
          <w:i/>
          <w:iCs/>
          <w:szCs w:val="24"/>
        </w:rPr>
        <w:t xml:space="preserve"> </w:t>
      </w:r>
      <w:proofErr w:type="spellStart"/>
      <w:r w:rsidRPr="00B36C6E">
        <w:rPr>
          <w:rFonts w:cs="Times New Roman"/>
          <w:i/>
          <w:iCs/>
          <w:szCs w:val="24"/>
        </w:rPr>
        <w:t>Audit</w:t>
      </w:r>
      <w:proofErr w:type="spellEnd"/>
      <w:r w:rsidRPr="00B36C6E">
        <w:rPr>
          <w:rFonts w:cs="Times New Roman"/>
          <w:i/>
          <w:iCs/>
          <w:szCs w:val="24"/>
        </w:rPr>
        <w:t xml:space="preserve"> </w:t>
      </w:r>
      <w:proofErr w:type="spellStart"/>
      <w:r w:rsidRPr="00B36C6E">
        <w:rPr>
          <w:rFonts w:cs="Times New Roman"/>
          <w:i/>
          <w:iCs/>
          <w:szCs w:val="24"/>
        </w:rPr>
        <w:t>Institutions</w:t>
      </w:r>
      <w:proofErr w:type="spellEnd"/>
      <w:r w:rsidRPr="00B36C6E">
        <w:rPr>
          <w:rFonts w:cs="Times New Roman"/>
          <w:i/>
          <w:iCs/>
          <w:szCs w:val="24"/>
        </w:rPr>
        <w:t xml:space="preserve"> Performance </w:t>
      </w:r>
      <w:proofErr w:type="spellStart"/>
      <w:r w:rsidRPr="00B36C6E">
        <w:rPr>
          <w:rFonts w:cs="Times New Roman"/>
          <w:i/>
          <w:iCs/>
          <w:szCs w:val="24"/>
        </w:rPr>
        <w:t>Measurement</w:t>
      </w:r>
      <w:proofErr w:type="spellEnd"/>
      <w:r w:rsidRPr="00B36C6E">
        <w:rPr>
          <w:rFonts w:cs="Times New Roman"/>
          <w:i/>
          <w:iCs/>
          <w:szCs w:val="24"/>
        </w:rPr>
        <w:t xml:space="preserve"> Framework</w:t>
      </w:r>
      <w:r w:rsidRPr="00B36C6E">
        <w:rPr>
          <w:rFonts w:cs="Times New Roman"/>
          <w:szCs w:val="24"/>
        </w:rPr>
        <w:t> </w:t>
      </w:r>
      <w:r w:rsidRPr="00B36C6E">
        <w:rPr>
          <w:rFonts w:cs="Times New Roman"/>
          <w:bCs/>
          <w:szCs w:val="24"/>
        </w:rPr>
        <w:t>(SAI PMF), que é uma ferramenta para</w:t>
      </w:r>
      <w:r w:rsidRPr="00B36C6E">
        <w:rPr>
          <w:rFonts w:cs="Times New Roman"/>
          <w:szCs w:val="24"/>
        </w:rPr>
        <w:t xml:space="preserve"> mensuração de desempenho das Entidades Fiscalizadoras Superiores, cujo público alvo abrangeu, além dos Tribunais brasileiros, as EFS de países de língua portuguesa. A capacitação foi realizada em maio de 2014, como iniciativa conjunta do IRB, </w:t>
      </w:r>
      <w:proofErr w:type="spellStart"/>
      <w:r w:rsidRPr="00B36C6E">
        <w:rPr>
          <w:rFonts w:cs="Times New Roman"/>
          <w:szCs w:val="24"/>
        </w:rPr>
        <w:t>Atricon</w:t>
      </w:r>
      <w:proofErr w:type="spellEnd"/>
      <w:r w:rsidRPr="00B36C6E">
        <w:rPr>
          <w:rFonts w:cs="Times New Roman"/>
          <w:szCs w:val="24"/>
        </w:rPr>
        <w:t>, TCU e TCEMG, em parceira com o Banco Mundial, com intuito de apresentar a metodologia de mensuração de performance que foi desenvolvida pela INTOSAI. “O método combina avaliação objetiva e qualitativa do nível de desempenho, produzindo um autodiagnostico dentro das boas práticas e padrões internacionais estabelecidos pela INTOSAI, o que possibilita medir o progresso das instituições ao longo do tempo.” (TCEMG, 2013).</w:t>
      </w:r>
      <w:r w:rsidR="005922FF" w:rsidRPr="00B36C6E">
        <w:rPr>
          <w:rFonts w:cs="Times New Roman"/>
          <w:szCs w:val="24"/>
        </w:rPr>
        <w:t xml:space="preserve"> Na sessão 4.4</w:t>
      </w:r>
      <w:r w:rsidR="00295AE8" w:rsidRPr="00B36C6E">
        <w:rPr>
          <w:rFonts w:cs="Times New Roman"/>
          <w:szCs w:val="24"/>
        </w:rPr>
        <w:t xml:space="preserve"> serão abordados resultados dessas avaliações.</w:t>
      </w:r>
    </w:p>
    <w:p w14:paraId="58847BCE" w14:textId="62C9DEDD" w:rsidR="00102F88" w:rsidRPr="00B36C6E" w:rsidRDefault="00102F88" w:rsidP="00102F88">
      <w:pPr>
        <w:ind w:firstLine="709"/>
        <w:rPr>
          <w:rFonts w:cs="Times New Roman"/>
          <w:szCs w:val="24"/>
        </w:rPr>
      </w:pPr>
    </w:p>
    <w:p w14:paraId="7577ABC2" w14:textId="256C6D66" w:rsidR="002B4AF8" w:rsidRPr="00B36C6E" w:rsidRDefault="002B4AF8" w:rsidP="002B4AF8">
      <w:pPr>
        <w:rPr>
          <w:rFonts w:cs="Times New Roman"/>
          <w:b/>
          <w:szCs w:val="24"/>
        </w:rPr>
      </w:pPr>
      <w:r w:rsidRPr="00B36C6E">
        <w:rPr>
          <w:rFonts w:cs="Times New Roman"/>
          <w:b/>
          <w:szCs w:val="24"/>
        </w:rPr>
        <w:t>4.</w:t>
      </w:r>
      <w:r w:rsidR="00116287" w:rsidRPr="00B36C6E">
        <w:rPr>
          <w:rFonts w:cs="Times New Roman"/>
          <w:b/>
          <w:szCs w:val="24"/>
        </w:rPr>
        <w:t>4</w:t>
      </w:r>
      <w:r w:rsidRPr="00B36C6E">
        <w:rPr>
          <w:rFonts w:cs="Times New Roman"/>
          <w:b/>
          <w:szCs w:val="24"/>
        </w:rPr>
        <w:t xml:space="preserve"> Análise da situação pós </w:t>
      </w:r>
      <w:proofErr w:type="spellStart"/>
      <w:r w:rsidRPr="00B36C6E">
        <w:rPr>
          <w:rFonts w:cs="Times New Roman"/>
          <w:b/>
          <w:szCs w:val="24"/>
        </w:rPr>
        <w:t>Promoex</w:t>
      </w:r>
      <w:proofErr w:type="spellEnd"/>
    </w:p>
    <w:p w14:paraId="1BC0E76A" w14:textId="7426205C" w:rsidR="002B4AF8" w:rsidRPr="00B36C6E" w:rsidRDefault="002B4AF8" w:rsidP="002B4AF8">
      <w:pPr>
        <w:rPr>
          <w:rFonts w:cs="Times New Roman"/>
          <w:szCs w:val="24"/>
        </w:rPr>
      </w:pPr>
    </w:p>
    <w:p w14:paraId="57C4E18A" w14:textId="08D40146" w:rsidR="0031072D" w:rsidRPr="00B36C6E" w:rsidRDefault="00413639" w:rsidP="00413639">
      <w:pPr>
        <w:ind w:firstLine="567"/>
        <w:rPr>
          <w:rFonts w:cs="Times New Roman"/>
          <w:szCs w:val="24"/>
        </w:rPr>
      </w:pPr>
      <w:r w:rsidRPr="00B36C6E">
        <w:rPr>
          <w:rFonts w:cs="Times New Roman"/>
          <w:szCs w:val="24"/>
        </w:rPr>
        <w:t xml:space="preserve">Em 2013 foi conduzido um diagnóstico da qualidade e agilidade dos Tribunais de Contas, iniciativa contemplada no Programa de Avaliação da Qualidade e Agilidade do Controle Externo instituído pela </w:t>
      </w:r>
      <w:proofErr w:type="spellStart"/>
      <w:r w:rsidRPr="00B36C6E">
        <w:rPr>
          <w:rFonts w:cs="Times New Roman"/>
          <w:szCs w:val="24"/>
        </w:rPr>
        <w:t>Atricon</w:t>
      </w:r>
      <w:proofErr w:type="spellEnd"/>
      <w:r w:rsidRPr="00B36C6E">
        <w:rPr>
          <w:rFonts w:cs="Times New Roman"/>
          <w:szCs w:val="24"/>
        </w:rPr>
        <w:t>. Dos 33 Tribunais subnacionais, 2</w:t>
      </w:r>
      <w:r w:rsidR="0031072D" w:rsidRPr="00B36C6E">
        <w:rPr>
          <w:rFonts w:cs="Times New Roman"/>
          <w:szCs w:val="24"/>
        </w:rPr>
        <w:t>8</w:t>
      </w:r>
      <w:r w:rsidRPr="00B36C6E">
        <w:rPr>
          <w:rFonts w:cs="Times New Roman"/>
          <w:szCs w:val="24"/>
        </w:rPr>
        <w:t xml:space="preserve"> aderiram ao instrumento de avaliação que contemplava visitas de </w:t>
      </w:r>
      <w:r w:rsidR="0031072D" w:rsidRPr="00B36C6E">
        <w:rPr>
          <w:rFonts w:cs="Times New Roman"/>
          <w:szCs w:val="24"/>
        </w:rPr>
        <w:t xml:space="preserve">membros de outros Tribunais para </w:t>
      </w:r>
      <w:r w:rsidR="0031072D" w:rsidRPr="00B36C6E">
        <w:rPr>
          <w:rFonts w:cs="Times New Roman"/>
          <w:szCs w:val="24"/>
        </w:rPr>
        <w:lastRenderedPageBreak/>
        <w:t>validação dos dados cadastrados no formulário de auto avaliação de cada Tribunal (</w:t>
      </w:r>
      <w:proofErr w:type="spellStart"/>
      <w:r w:rsidR="0031072D" w:rsidRPr="00B36C6E">
        <w:rPr>
          <w:rFonts w:cs="Times New Roman"/>
          <w:szCs w:val="24"/>
        </w:rPr>
        <w:t>Atricon</w:t>
      </w:r>
      <w:proofErr w:type="spellEnd"/>
      <w:r w:rsidR="0031072D" w:rsidRPr="00B36C6E">
        <w:rPr>
          <w:rFonts w:cs="Times New Roman"/>
          <w:szCs w:val="24"/>
        </w:rPr>
        <w:t>, 2017).</w:t>
      </w:r>
    </w:p>
    <w:p w14:paraId="5BC43B6B" w14:textId="77777777" w:rsidR="005922FF" w:rsidRPr="00B36C6E" w:rsidRDefault="009802F2" w:rsidP="009802F2">
      <w:pPr>
        <w:ind w:firstLine="567"/>
        <w:rPr>
          <w:rFonts w:cs="Times New Roman"/>
          <w:szCs w:val="24"/>
        </w:rPr>
      </w:pPr>
      <w:r w:rsidRPr="00B36C6E">
        <w:rPr>
          <w:rFonts w:cs="Times New Roman"/>
          <w:szCs w:val="24"/>
        </w:rPr>
        <w:t>A avalição foi pautada em sete dimensões de avaliação: (i) Marco Legal; (</w:t>
      </w:r>
      <w:proofErr w:type="spellStart"/>
      <w:r w:rsidRPr="00B36C6E">
        <w:rPr>
          <w:rFonts w:cs="Times New Roman"/>
          <w:szCs w:val="24"/>
        </w:rPr>
        <w:t>ii</w:t>
      </w:r>
      <w:proofErr w:type="spellEnd"/>
      <w:r w:rsidRPr="00B36C6E">
        <w:rPr>
          <w:rFonts w:cs="Times New Roman"/>
          <w:szCs w:val="24"/>
        </w:rPr>
        <w:t>) Desempenho; (</w:t>
      </w:r>
      <w:proofErr w:type="spellStart"/>
      <w:r w:rsidRPr="00B36C6E">
        <w:rPr>
          <w:rFonts w:cs="Times New Roman"/>
          <w:szCs w:val="24"/>
        </w:rPr>
        <w:t>iii</w:t>
      </w:r>
      <w:proofErr w:type="spellEnd"/>
      <w:r w:rsidRPr="00B36C6E">
        <w:rPr>
          <w:rFonts w:cs="Times New Roman"/>
          <w:szCs w:val="24"/>
        </w:rPr>
        <w:t>) Estratégia e Desenvolvimento Organizacional; (</w:t>
      </w:r>
      <w:proofErr w:type="spellStart"/>
      <w:r w:rsidRPr="00B36C6E">
        <w:rPr>
          <w:rFonts w:cs="Times New Roman"/>
          <w:szCs w:val="24"/>
        </w:rPr>
        <w:t>iv</w:t>
      </w:r>
      <w:proofErr w:type="spellEnd"/>
      <w:r w:rsidRPr="00B36C6E">
        <w:rPr>
          <w:rFonts w:cs="Times New Roman"/>
          <w:szCs w:val="24"/>
        </w:rPr>
        <w:t>) Normas e Metodologia de Auditoria; (v) Administração e Estrutura de Apoio; (vi) Recursos Humanos e Liderança; (</w:t>
      </w:r>
      <w:proofErr w:type="spellStart"/>
      <w:r w:rsidRPr="00B36C6E">
        <w:rPr>
          <w:rFonts w:cs="Times New Roman"/>
          <w:szCs w:val="24"/>
        </w:rPr>
        <w:t>vii</w:t>
      </w:r>
      <w:proofErr w:type="spellEnd"/>
      <w:r w:rsidRPr="00B36C6E">
        <w:rPr>
          <w:rFonts w:cs="Times New Roman"/>
          <w:szCs w:val="24"/>
        </w:rPr>
        <w:t xml:space="preserve">) Comunicação e Transparência. </w:t>
      </w:r>
    </w:p>
    <w:p w14:paraId="484185F6" w14:textId="62F7E976" w:rsidR="009802F2" w:rsidRPr="00B36C6E" w:rsidRDefault="009802F2" w:rsidP="009802F2">
      <w:pPr>
        <w:ind w:firstLine="567"/>
        <w:rPr>
          <w:rFonts w:cs="Times New Roman"/>
          <w:szCs w:val="24"/>
        </w:rPr>
      </w:pPr>
      <w:r w:rsidRPr="00B36C6E">
        <w:rPr>
          <w:rFonts w:cs="Times New Roman"/>
          <w:szCs w:val="24"/>
        </w:rPr>
        <w:t>De acordo com o documento consultado (</w:t>
      </w:r>
      <w:proofErr w:type="spellStart"/>
      <w:r w:rsidRPr="00B36C6E">
        <w:rPr>
          <w:rFonts w:cs="Times New Roman"/>
          <w:szCs w:val="24"/>
        </w:rPr>
        <w:t>Atricon</w:t>
      </w:r>
      <w:proofErr w:type="spellEnd"/>
      <w:r w:rsidRPr="00B36C6E">
        <w:rPr>
          <w:rFonts w:cs="Times New Roman"/>
          <w:szCs w:val="24"/>
        </w:rPr>
        <w:t xml:space="preserve">, 2017), os resultados do diagnóstico foram extraídos dos relatórios das visitas técnicas, elaborados pelos membros do Comitê Gestor com base nas respostas de cada Tribunal de Contas ao questionário formulado pela </w:t>
      </w:r>
      <w:proofErr w:type="spellStart"/>
      <w:r w:rsidRPr="00B36C6E">
        <w:rPr>
          <w:rFonts w:cs="Times New Roman"/>
          <w:szCs w:val="24"/>
        </w:rPr>
        <w:t>Atricon</w:t>
      </w:r>
      <w:proofErr w:type="spellEnd"/>
      <w:r w:rsidRPr="00B36C6E">
        <w:rPr>
          <w:rFonts w:cs="Times New Roman"/>
          <w:szCs w:val="24"/>
        </w:rPr>
        <w:t>, nas entrevistas locais com técnicos e conselheiros e nas manifestações apresentadas pelos respectivos presidentes sobre o relatório preliminar.</w:t>
      </w:r>
    </w:p>
    <w:p w14:paraId="645B90D2" w14:textId="4BCC6DFC" w:rsidR="009802F2" w:rsidRPr="00B36C6E" w:rsidRDefault="009802F2" w:rsidP="009802F2">
      <w:pPr>
        <w:ind w:firstLine="567"/>
        <w:rPr>
          <w:rFonts w:cs="Times New Roman"/>
          <w:szCs w:val="24"/>
        </w:rPr>
      </w:pPr>
      <w:r w:rsidRPr="00B36C6E">
        <w:rPr>
          <w:rFonts w:cs="Times New Roman"/>
          <w:szCs w:val="24"/>
        </w:rPr>
        <w:t xml:space="preserve">Alguns pontos de observação acerca do </w:t>
      </w:r>
      <w:r w:rsidR="00F60E46" w:rsidRPr="00B36C6E">
        <w:rPr>
          <w:rFonts w:cs="Times New Roman"/>
          <w:szCs w:val="24"/>
        </w:rPr>
        <w:t xml:space="preserve">estrutura e funcionamento dos </w:t>
      </w:r>
      <w:proofErr w:type="spellStart"/>
      <w:r w:rsidR="00F60E46" w:rsidRPr="00B36C6E">
        <w:rPr>
          <w:rFonts w:cs="Times New Roman"/>
          <w:szCs w:val="24"/>
        </w:rPr>
        <w:t>TCs</w:t>
      </w:r>
      <w:proofErr w:type="spellEnd"/>
      <w:r w:rsidRPr="00B36C6E">
        <w:rPr>
          <w:rFonts w:cs="Times New Roman"/>
          <w:szCs w:val="24"/>
        </w:rPr>
        <w:t xml:space="preserve"> são listados a seguir:</w:t>
      </w:r>
    </w:p>
    <w:p w14:paraId="32CDD5C7" w14:textId="7ACA73C4" w:rsidR="009802F2" w:rsidRPr="00B36C6E" w:rsidRDefault="009802F2" w:rsidP="009802F2">
      <w:pPr>
        <w:pStyle w:val="PargrafodaLista"/>
        <w:numPr>
          <w:ilvl w:val="0"/>
          <w:numId w:val="20"/>
        </w:numPr>
        <w:rPr>
          <w:rFonts w:cs="Times New Roman"/>
          <w:szCs w:val="24"/>
        </w:rPr>
      </w:pPr>
      <w:r w:rsidRPr="00B36C6E">
        <w:rPr>
          <w:rFonts w:cs="Times New Roman"/>
          <w:szCs w:val="24"/>
        </w:rPr>
        <w:t xml:space="preserve">57% dos </w:t>
      </w:r>
      <w:proofErr w:type="spellStart"/>
      <w:r w:rsidRPr="00B36C6E">
        <w:rPr>
          <w:rFonts w:cs="Times New Roman"/>
          <w:szCs w:val="24"/>
        </w:rPr>
        <w:t>TCs</w:t>
      </w:r>
      <w:proofErr w:type="spellEnd"/>
      <w:r w:rsidRPr="00B36C6E">
        <w:rPr>
          <w:rFonts w:cs="Times New Roman"/>
          <w:szCs w:val="24"/>
        </w:rPr>
        <w:t xml:space="preserve"> não adotavam formalmente Códigos de Ética para membros e servidores;</w:t>
      </w:r>
    </w:p>
    <w:p w14:paraId="346503DC" w14:textId="6F3A0B83" w:rsidR="009802F2" w:rsidRPr="00B36C6E" w:rsidRDefault="009802F2" w:rsidP="005922FF">
      <w:pPr>
        <w:pStyle w:val="PargrafodaLista"/>
        <w:numPr>
          <w:ilvl w:val="0"/>
          <w:numId w:val="20"/>
        </w:numPr>
        <w:rPr>
          <w:rFonts w:cs="Times New Roman"/>
          <w:szCs w:val="24"/>
        </w:rPr>
      </w:pPr>
      <w:r w:rsidRPr="00B36C6E">
        <w:rPr>
          <w:rFonts w:cs="Times New Roman"/>
          <w:szCs w:val="24"/>
        </w:rPr>
        <w:t xml:space="preserve">Apenas um dos </w:t>
      </w:r>
      <w:proofErr w:type="spellStart"/>
      <w:r w:rsidRPr="00B36C6E">
        <w:rPr>
          <w:rFonts w:cs="Times New Roman"/>
          <w:szCs w:val="24"/>
        </w:rPr>
        <w:t>TCs</w:t>
      </w:r>
      <w:proofErr w:type="spellEnd"/>
      <w:r w:rsidRPr="00B36C6E">
        <w:rPr>
          <w:rFonts w:cs="Times New Roman"/>
          <w:szCs w:val="24"/>
        </w:rPr>
        <w:t xml:space="preserve"> não havia instituído o planejamento estratégico como ferramenta de gestão; 43% deles haviam instituído parcialmente;</w:t>
      </w:r>
    </w:p>
    <w:p w14:paraId="20D8A1EB" w14:textId="611543B9" w:rsidR="009802F2" w:rsidRPr="00B36C6E" w:rsidRDefault="009802F2" w:rsidP="005922FF">
      <w:pPr>
        <w:pStyle w:val="PargrafodaLista"/>
        <w:numPr>
          <w:ilvl w:val="0"/>
          <w:numId w:val="20"/>
        </w:numPr>
        <w:rPr>
          <w:rFonts w:cs="Times New Roman"/>
          <w:szCs w:val="24"/>
        </w:rPr>
      </w:pPr>
      <w:r w:rsidRPr="00B36C6E">
        <w:rPr>
          <w:rFonts w:cs="Times New Roman"/>
          <w:szCs w:val="24"/>
        </w:rPr>
        <w:t xml:space="preserve">A aplicação das normas de auditoria governamental estava sendo feita por 29% dos Tribunais e </w:t>
      </w:r>
      <w:r w:rsidR="000573C1" w:rsidRPr="00B36C6E">
        <w:rPr>
          <w:rFonts w:cs="Times New Roman"/>
          <w:szCs w:val="24"/>
        </w:rPr>
        <w:t>por 57% deles, de forma parcial;</w:t>
      </w:r>
    </w:p>
    <w:p w14:paraId="4ABECBE8" w14:textId="20C1E4B0" w:rsidR="002C377E" w:rsidRPr="00B36C6E" w:rsidRDefault="002C377E" w:rsidP="005922FF">
      <w:pPr>
        <w:pStyle w:val="PargrafodaLista"/>
        <w:numPr>
          <w:ilvl w:val="0"/>
          <w:numId w:val="20"/>
        </w:numPr>
        <w:rPr>
          <w:rFonts w:cs="Times New Roman"/>
          <w:szCs w:val="24"/>
        </w:rPr>
      </w:pPr>
      <w:r w:rsidRPr="00B36C6E">
        <w:rPr>
          <w:rFonts w:cs="Times New Roman"/>
          <w:szCs w:val="24"/>
        </w:rPr>
        <w:t xml:space="preserve">100% dos </w:t>
      </w:r>
      <w:proofErr w:type="spellStart"/>
      <w:r w:rsidRPr="00B36C6E">
        <w:rPr>
          <w:rFonts w:cs="Times New Roman"/>
          <w:szCs w:val="24"/>
        </w:rPr>
        <w:t>TCs</w:t>
      </w:r>
      <w:proofErr w:type="spellEnd"/>
      <w:r w:rsidRPr="00B36C6E">
        <w:rPr>
          <w:rFonts w:cs="Times New Roman"/>
          <w:szCs w:val="24"/>
        </w:rPr>
        <w:t xml:space="preserve"> possuíam acordos de cooperação técnica com outros órgãos de controle;</w:t>
      </w:r>
    </w:p>
    <w:p w14:paraId="680DFE31" w14:textId="0E9B8FCD" w:rsidR="000D29AA" w:rsidRPr="00B36C6E" w:rsidRDefault="000D29AA" w:rsidP="005922FF">
      <w:pPr>
        <w:pStyle w:val="PargrafodaLista"/>
        <w:numPr>
          <w:ilvl w:val="0"/>
          <w:numId w:val="20"/>
        </w:numPr>
        <w:rPr>
          <w:rFonts w:cs="Times New Roman"/>
          <w:szCs w:val="24"/>
        </w:rPr>
      </w:pPr>
      <w:r w:rsidRPr="00B36C6E">
        <w:rPr>
          <w:rFonts w:cs="Times New Roman"/>
          <w:szCs w:val="24"/>
        </w:rPr>
        <w:t xml:space="preserve">71% dos </w:t>
      </w:r>
      <w:proofErr w:type="spellStart"/>
      <w:r w:rsidRPr="00B36C6E">
        <w:rPr>
          <w:rFonts w:cs="Times New Roman"/>
          <w:szCs w:val="24"/>
        </w:rPr>
        <w:t>TCs</w:t>
      </w:r>
      <w:proofErr w:type="spellEnd"/>
      <w:r w:rsidRPr="00B36C6E">
        <w:rPr>
          <w:rFonts w:cs="Times New Roman"/>
          <w:szCs w:val="24"/>
        </w:rPr>
        <w:t xml:space="preserve"> atendiam parcialmente às determinações das regras e legislações sobre transparência (Lei de Acesso à Informação, disponibilização de sistema eletrônico de busca de informações para o cidadão, implantação do serviço de informação ao cidadão e transmissão externa de sessões);</w:t>
      </w:r>
    </w:p>
    <w:p w14:paraId="00E85DFA" w14:textId="0873F84A" w:rsidR="000D29AA" w:rsidRPr="00B36C6E" w:rsidRDefault="000D29AA" w:rsidP="00F60E46">
      <w:pPr>
        <w:pStyle w:val="PargrafodaLista"/>
        <w:ind w:left="927"/>
        <w:rPr>
          <w:rFonts w:cs="Times New Roman"/>
          <w:szCs w:val="24"/>
        </w:rPr>
      </w:pPr>
    </w:p>
    <w:p w14:paraId="6408D4F2" w14:textId="79DFCF28" w:rsidR="00F60E46" w:rsidRPr="00B36C6E" w:rsidRDefault="00F60E46" w:rsidP="00F60E46">
      <w:pPr>
        <w:pStyle w:val="PargrafodaLista"/>
        <w:ind w:left="0" w:firstLine="709"/>
        <w:rPr>
          <w:rFonts w:cs="Times New Roman"/>
          <w:szCs w:val="24"/>
        </w:rPr>
      </w:pPr>
      <w:r w:rsidRPr="00B36C6E">
        <w:rPr>
          <w:rFonts w:cs="Times New Roman"/>
          <w:szCs w:val="24"/>
        </w:rPr>
        <w:t>Adicionalmente, são listados a seguir os pontos do diagnóstico que abarcam a atuação de controle externo:</w:t>
      </w:r>
    </w:p>
    <w:p w14:paraId="3F6536D0" w14:textId="0A6D8FDB" w:rsidR="00F60E46" w:rsidRPr="00B36C6E" w:rsidRDefault="00F60E46" w:rsidP="00F60E46">
      <w:pPr>
        <w:pStyle w:val="PargrafodaLista"/>
        <w:numPr>
          <w:ilvl w:val="0"/>
          <w:numId w:val="21"/>
        </w:numPr>
        <w:rPr>
          <w:rFonts w:cs="Times New Roman"/>
          <w:szCs w:val="24"/>
        </w:rPr>
      </w:pPr>
      <w:r w:rsidRPr="00B36C6E">
        <w:rPr>
          <w:rFonts w:cs="Times New Roman"/>
          <w:szCs w:val="24"/>
        </w:rPr>
        <w:t xml:space="preserve">64% dos </w:t>
      </w:r>
      <w:proofErr w:type="spellStart"/>
      <w:r w:rsidRPr="00B36C6E">
        <w:rPr>
          <w:rFonts w:cs="Times New Roman"/>
          <w:szCs w:val="24"/>
        </w:rPr>
        <w:t>TCs</w:t>
      </w:r>
      <w:proofErr w:type="spellEnd"/>
      <w:r w:rsidRPr="00B36C6E">
        <w:rPr>
          <w:rFonts w:cs="Times New Roman"/>
          <w:szCs w:val="24"/>
        </w:rPr>
        <w:t xml:space="preserve"> não atendiam ao critério de agilidade do controle externo: julgamento dos processos em até 5 anos desde a autuação e apreciação das denúncias e consultas em até 6 e 4 meses dos seus recebimentos, respectivamente;</w:t>
      </w:r>
    </w:p>
    <w:p w14:paraId="53FB76A1" w14:textId="77777777" w:rsidR="00F60E46" w:rsidRPr="00B36C6E" w:rsidRDefault="00F60E46" w:rsidP="00F60E46">
      <w:pPr>
        <w:pStyle w:val="PargrafodaLista"/>
        <w:numPr>
          <w:ilvl w:val="0"/>
          <w:numId w:val="21"/>
        </w:numPr>
        <w:rPr>
          <w:rFonts w:cs="Times New Roman"/>
          <w:szCs w:val="24"/>
        </w:rPr>
      </w:pPr>
      <w:r w:rsidRPr="00B36C6E">
        <w:rPr>
          <w:rFonts w:cs="Times New Roman"/>
          <w:szCs w:val="24"/>
        </w:rPr>
        <w:t xml:space="preserve">As auditorias operacionais estavam sendo conduzidas por 82% dos </w:t>
      </w:r>
      <w:proofErr w:type="spellStart"/>
      <w:r w:rsidRPr="00B36C6E">
        <w:rPr>
          <w:rFonts w:cs="Times New Roman"/>
          <w:szCs w:val="24"/>
        </w:rPr>
        <w:t>TCs</w:t>
      </w:r>
      <w:proofErr w:type="spellEnd"/>
      <w:r w:rsidRPr="00B36C6E">
        <w:rPr>
          <w:rFonts w:cs="Times New Roman"/>
          <w:szCs w:val="24"/>
        </w:rPr>
        <w:t>;</w:t>
      </w:r>
    </w:p>
    <w:p w14:paraId="7102E4EA" w14:textId="77777777" w:rsidR="00F60E46" w:rsidRPr="00B36C6E" w:rsidRDefault="00F60E46" w:rsidP="00F60E46">
      <w:pPr>
        <w:pStyle w:val="PargrafodaLista"/>
        <w:numPr>
          <w:ilvl w:val="0"/>
          <w:numId w:val="21"/>
        </w:numPr>
        <w:rPr>
          <w:rFonts w:cs="Times New Roman"/>
          <w:szCs w:val="24"/>
        </w:rPr>
      </w:pPr>
      <w:r w:rsidRPr="00B36C6E">
        <w:rPr>
          <w:rFonts w:cs="Times New Roman"/>
          <w:szCs w:val="24"/>
        </w:rPr>
        <w:t xml:space="preserve">53% dos </w:t>
      </w:r>
      <w:proofErr w:type="spellStart"/>
      <w:r w:rsidRPr="00B36C6E">
        <w:rPr>
          <w:rFonts w:cs="Times New Roman"/>
          <w:szCs w:val="24"/>
        </w:rPr>
        <w:t>TCs</w:t>
      </w:r>
      <w:proofErr w:type="spellEnd"/>
      <w:r w:rsidRPr="00B36C6E">
        <w:rPr>
          <w:rFonts w:cs="Times New Roman"/>
          <w:szCs w:val="24"/>
        </w:rPr>
        <w:t xml:space="preserve"> não estavam realizando auditoria de receita, e 11% deles o faziam de forma parcial;</w:t>
      </w:r>
    </w:p>
    <w:p w14:paraId="1714CA77" w14:textId="77777777" w:rsidR="00F60E46" w:rsidRPr="00B36C6E" w:rsidRDefault="00F60E46" w:rsidP="00F60E46">
      <w:pPr>
        <w:pStyle w:val="PargrafodaLista"/>
        <w:numPr>
          <w:ilvl w:val="0"/>
          <w:numId w:val="21"/>
        </w:numPr>
        <w:rPr>
          <w:rFonts w:cs="Times New Roman"/>
          <w:szCs w:val="24"/>
        </w:rPr>
      </w:pPr>
      <w:r w:rsidRPr="00B36C6E">
        <w:rPr>
          <w:rFonts w:cs="Times New Roman"/>
          <w:szCs w:val="24"/>
        </w:rPr>
        <w:t>68% estavam executando o controle externo de forma concomitante (acompanhamento de licitações, contratos, convênios, obras e concursos públicos);</w:t>
      </w:r>
    </w:p>
    <w:p w14:paraId="13A7E89C" w14:textId="77777777" w:rsidR="00F60E46" w:rsidRPr="00B36C6E" w:rsidRDefault="00F60E46" w:rsidP="00F60E46">
      <w:pPr>
        <w:pStyle w:val="PargrafodaLista"/>
        <w:numPr>
          <w:ilvl w:val="0"/>
          <w:numId w:val="21"/>
        </w:numPr>
        <w:rPr>
          <w:rFonts w:cs="Times New Roman"/>
          <w:szCs w:val="24"/>
        </w:rPr>
      </w:pPr>
      <w:r w:rsidRPr="00B36C6E">
        <w:rPr>
          <w:rFonts w:cs="Times New Roman"/>
          <w:szCs w:val="24"/>
        </w:rPr>
        <w:t>Apenas 7% possuíam unidade de informações estratégicas para o controle externo na estrutura organizacional; 64% atendiam parcialmente esse quesito;</w:t>
      </w:r>
    </w:p>
    <w:p w14:paraId="3C57DD27" w14:textId="77777777" w:rsidR="00F60E46" w:rsidRPr="00B36C6E" w:rsidRDefault="00F60E46" w:rsidP="00F60E46">
      <w:pPr>
        <w:pStyle w:val="PargrafodaLista"/>
        <w:numPr>
          <w:ilvl w:val="0"/>
          <w:numId w:val="21"/>
        </w:numPr>
        <w:rPr>
          <w:rFonts w:cs="Times New Roman"/>
          <w:szCs w:val="24"/>
        </w:rPr>
      </w:pPr>
      <w:r w:rsidRPr="00B36C6E">
        <w:rPr>
          <w:rFonts w:cs="Times New Roman"/>
          <w:szCs w:val="24"/>
        </w:rPr>
        <w:t xml:space="preserve">50% dos </w:t>
      </w:r>
      <w:proofErr w:type="spellStart"/>
      <w:r w:rsidRPr="00B36C6E">
        <w:rPr>
          <w:rFonts w:cs="Times New Roman"/>
          <w:szCs w:val="24"/>
        </w:rPr>
        <w:t>TCs</w:t>
      </w:r>
      <w:proofErr w:type="spellEnd"/>
      <w:r w:rsidRPr="00B36C6E">
        <w:rPr>
          <w:rFonts w:cs="Times New Roman"/>
          <w:szCs w:val="24"/>
        </w:rPr>
        <w:t xml:space="preserve"> adotavam mecanismos de acompanhamento do cumprimento das decisões – multas, débitos, determinações e recomendações; 36% atendiam parcialmente ao critério;</w:t>
      </w:r>
    </w:p>
    <w:p w14:paraId="28348885" w14:textId="3E2DB01A" w:rsidR="00F60E46" w:rsidRPr="00B36C6E" w:rsidRDefault="00F60E46" w:rsidP="00F60E46">
      <w:pPr>
        <w:pStyle w:val="PargrafodaLista"/>
        <w:ind w:left="927"/>
        <w:rPr>
          <w:rFonts w:cs="Times New Roman"/>
          <w:szCs w:val="24"/>
        </w:rPr>
      </w:pPr>
    </w:p>
    <w:p w14:paraId="555FF22A" w14:textId="4067FE3A" w:rsidR="00BF2BFF" w:rsidRPr="00B36C6E" w:rsidRDefault="00BF2BFF" w:rsidP="00F60E46">
      <w:pPr>
        <w:ind w:firstLine="709"/>
        <w:rPr>
          <w:rFonts w:cs="Times New Roman"/>
          <w:szCs w:val="24"/>
        </w:rPr>
      </w:pPr>
      <w:r w:rsidRPr="00B36C6E">
        <w:rPr>
          <w:rFonts w:cs="Times New Roman"/>
          <w:szCs w:val="24"/>
        </w:rPr>
        <w:t xml:space="preserve">Dos apontamentos elencados, é possível depreender que existem temas em que os </w:t>
      </w:r>
      <w:proofErr w:type="spellStart"/>
      <w:r w:rsidRPr="00B36C6E">
        <w:rPr>
          <w:rFonts w:cs="Times New Roman"/>
          <w:szCs w:val="24"/>
        </w:rPr>
        <w:t>TCs</w:t>
      </w:r>
      <w:proofErr w:type="spellEnd"/>
      <w:r w:rsidRPr="00B36C6E">
        <w:rPr>
          <w:rFonts w:cs="Times New Roman"/>
          <w:szCs w:val="24"/>
        </w:rPr>
        <w:t xml:space="preserve"> apresentaram avanços nos últimos anos, em relação ao diagnóstico </w:t>
      </w:r>
      <w:proofErr w:type="spellStart"/>
      <w:r w:rsidRPr="00B36C6E">
        <w:rPr>
          <w:rFonts w:cs="Times New Roman"/>
          <w:szCs w:val="24"/>
        </w:rPr>
        <w:t>pré</w:t>
      </w:r>
      <w:proofErr w:type="spellEnd"/>
      <w:r w:rsidRPr="00B36C6E">
        <w:rPr>
          <w:rFonts w:cs="Times New Roman"/>
          <w:szCs w:val="24"/>
        </w:rPr>
        <w:t xml:space="preserve"> </w:t>
      </w:r>
      <w:proofErr w:type="spellStart"/>
      <w:r w:rsidRPr="00B36C6E">
        <w:rPr>
          <w:rFonts w:cs="Times New Roman"/>
          <w:szCs w:val="24"/>
        </w:rPr>
        <w:t>Promoex</w:t>
      </w:r>
      <w:proofErr w:type="spellEnd"/>
      <w:r w:rsidRPr="00B36C6E">
        <w:rPr>
          <w:rFonts w:cs="Times New Roman"/>
          <w:szCs w:val="24"/>
        </w:rPr>
        <w:t xml:space="preserve">: as auditorias operacionais foram alavancadas; a integração dos </w:t>
      </w:r>
      <w:proofErr w:type="spellStart"/>
      <w:r w:rsidRPr="00B36C6E">
        <w:rPr>
          <w:rFonts w:cs="Times New Roman"/>
          <w:szCs w:val="24"/>
        </w:rPr>
        <w:t>TCs</w:t>
      </w:r>
      <w:proofErr w:type="spellEnd"/>
      <w:r w:rsidRPr="00B36C6E">
        <w:rPr>
          <w:rFonts w:cs="Times New Roman"/>
          <w:szCs w:val="24"/>
        </w:rPr>
        <w:t xml:space="preserve"> com outros órgãos de controle, etc. Entretanto, outros gargalos parecem permanecer, como a morosidade na apreciação dos processos, o baixo acompanhamento das decisões dos </w:t>
      </w:r>
      <w:proofErr w:type="spellStart"/>
      <w:r w:rsidRPr="00B36C6E">
        <w:rPr>
          <w:rFonts w:cs="Times New Roman"/>
          <w:szCs w:val="24"/>
        </w:rPr>
        <w:t>TCs</w:t>
      </w:r>
      <w:proofErr w:type="spellEnd"/>
      <w:r w:rsidRPr="00B36C6E">
        <w:rPr>
          <w:rFonts w:cs="Times New Roman"/>
          <w:szCs w:val="24"/>
        </w:rPr>
        <w:t xml:space="preserve"> e nível </w:t>
      </w:r>
      <w:r w:rsidRPr="00B36C6E">
        <w:rPr>
          <w:rFonts w:cs="Times New Roman"/>
          <w:szCs w:val="24"/>
        </w:rPr>
        <w:lastRenderedPageBreak/>
        <w:t xml:space="preserve">insatisfatório de transparência, o que compromete a imagem desses órgãos com a sociedade de forma geral. </w:t>
      </w:r>
    </w:p>
    <w:p w14:paraId="79C9AF0E" w14:textId="734FBF04" w:rsidR="00F60E46" w:rsidRPr="00B36C6E" w:rsidRDefault="00F60E46" w:rsidP="00F60E46">
      <w:pPr>
        <w:ind w:firstLine="709"/>
        <w:rPr>
          <w:rFonts w:cs="Times New Roman"/>
          <w:szCs w:val="24"/>
        </w:rPr>
      </w:pPr>
      <w:r w:rsidRPr="00B36C6E">
        <w:rPr>
          <w:rFonts w:cs="Times New Roman"/>
          <w:szCs w:val="24"/>
        </w:rPr>
        <w:t xml:space="preserve">Adicionalmente, verificou-se pela pesquisa documental que a </w:t>
      </w:r>
      <w:proofErr w:type="spellStart"/>
      <w:r w:rsidRPr="00B36C6E">
        <w:rPr>
          <w:rFonts w:cs="Times New Roman"/>
          <w:szCs w:val="24"/>
        </w:rPr>
        <w:t>Atricon</w:t>
      </w:r>
      <w:proofErr w:type="spellEnd"/>
      <w:r w:rsidRPr="00B36C6E">
        <w:rPr>
          <w:rFonts w:cs="Times New Roman"/>
          <w:szCs w:val="24"/>
        </w:rPr>
        <w:t xml:space="preserve"> desenvolveu em paralelo ao diagnóstico ora mencionado um trabalho de convergência metodológica do projeto Qualidade e Agilidade do Controle Externo para o Marco de Medição de Desempenho das Entidades de Fiscalização Superiores, documento produzido pela </w:t>
      </w:r>
      <w:proofErr w:type="spellStart"/>
      <w:r w:rsidRPr="00B36C6E">
        <w:rPr>
          <w:rFonts w:cs="Times New Roman"/>
          <w:szCs w:val="24"/>
        </w:rPr>
        <w:t>Intosai</w:t>
      </w:r>
      <w:proofErr w:type="spellEnd"/>
      <w:r w:rsidRPr="00B36C6E">
        <w:rPr>
          <w:rFonts w:cs="Times New Roman"/>
          <w:szCs w:val="24"/>
        </w:rPr>
        <w:t xml:space="preserve">. A segunda fase do programa foi desenvolvida com a edição do Marco de Medição de Desempenho </w:t>
      </w:r>
      <w:r w:rsidR="004C598C" w:rsidRPr="00B36C6E">
        <w:rPr>
          <w:rFonts w:cs="Times New Roman"/>
          <w:szCs w:val="24"/>
        </w:rPr>
        <w:t xml:space="preserve">(MMD) </w:t>
      </w:r>
      <w:r w:rsidRPr="00B36C6E">
        <w:rPr>
          <w:rFonts w:cs="Times New Roman"/>
          <w:szCs w:val="24"/>
        </w:rPr>
        <w:t xml:space="preserve">das Entidades de Fiscalização Superiores. De acordo com documentos disponibilizados no site da </w:t>
      </w:r>
      <w:proofErr w:type="spellStart"/>
      <w:r w:rsidRPr="00B36C6E">
        <w:rPr>
          <w:rFonts w:cs="Times New Roman"/>
          <w:szCs w:val="24"/>
        </w:rPr>
        <w:t>Atricon</w:t>
      </w:r>
      <w:proofErr w:type="spellEnd"/>
      <w:r w:rsidRPr="00B36C6E">
        <w:rPr>
          <w:rFonts w:cs="Times New Roman"/>
          <w:szCs w:val="24"/>
        </w:rPr>
        <w:t xml:space="preserve"> (2017</w:t>
      </w:r>
      <w:r w:rsidR="000B0C09" w:rsidRPr="00B36C6E">
        <w:rPr>
          <w:rFonts w:cs="Times New Roman"/>
          <w:szCs w:val="24"/>
        </w:rPr>
        <w:t>b</w:t>
      </w:r>
      <w:r w:rsidRPr="00B36C6E">
        <w:rPr>
          <w:rFonts w:cs="Times New Roman"/>
          <w:szCs w:val="24"/>
        </w:rPr>
        <w:t>):</w:t>
      </w:r>
    </w:p>
    <w:p w14:paraId="1B70836E" w14:textId="77777777" w:rsidR="000B0C09" w:rsidRPr="00B36C6E" w:rsidRDefault="000B0C09" w:rsidP="00F60E46">
      <w:pPr>
        <w:ind w:left="2268"/>
        <w:rPr>
          <w:sz w:val="20"/>
          <w:szCs w:val="23"/>
        </w:rPr>
      </w:pPr>
    </w:p>
    <w:p w14:paraId="5284881A" w14:textId="4FA8D7ED" w:rsidR="00F60E46" w:rsidRPr="00B36C6E" w:rsidRDefault="00F60E46" w:rsidP="00F60E46">
      <w:pPr>
        <w:ind w:left="2268"/>
        <w:rPr>
          <w:sz w:val="20"/>
          <w:szCs w:val="23"/>
        </w:rPr>
      </w:pPr>
      <w:r w:rsidRPr="00B36C6E">
        <w:rPr>
          <w:sz w:val="20"/>
          <w:szCs w:val="23"/>
        </w:rPr>
        <w:t xml:space="preserve">O QATC tem como objetivo verificar o desempenho dos Tribunais de Contas em comparação com as boas práticas internacionais e diretrizes estabelecidas pela </w:t>
      </w:r>
      <w:proofErr w:type="spellStart"/>
      <w:r w:rsidRPr="00B36C6E">
        <w:rPr>
          <w:sz w:val="20"/>
          <w:szCs w:val="23"/>
        </w:rPr>
        <w:t>Atricon</w:t>
      </w:r>
      <w:proofErr w:type="spellEnd"/>
      <w:r w:rsidRPr="00B36C6E">
        <w:rPr>
          <w:sz w:val="20"/>
          <w:szCs w:val="23"/>
        </w:rPr>
        <w:t>, assim como identificar os seus pontos fortes e fracos. A avaliação deve basear-se em elementos factuais. O uso do QATC é voluntário. A decisão de passar por essa avaliação, inclusive quanto ao modo da sua execução, cabe ao Presidente e/ou Colegiado do Tribunal.</w:t>
      </w:r>
    </w:p>
    <w:p w14:paraId="1FEA0519" w14:textId="77777777" w:rsidR="000B0C09" w:rsidRPr="00B36C6E" w:rsidRDefault="000B0C09" w:rsidP="00F60E46">
      <w:pPr>
        <w:ind w:left="2268"/>
        <w:rPr>
          <w:rFonts w:cs="Times New Roman"/>
          <w:sz w:val="20"/>
          <w:szCs w:val="24"/>
        </w:rPr>
      </w:pPr>
    </w:p>
    <w:p w14:paraId="677AA0CE" w14:textId="00BE5D66" w:rsidR="00F60E46" w:rsidRPr="00B36C6E" w:rsidRDefault="00F60E46" w:rsidP="000B0C09">
      <w:pPr>
        <w:ind w:firstLine="709"/>
        <w:rPr>
          <w:rFonts w:cs="Times New Roman"/>
          <w:szCs w:val="24"/>
        </w:rPr>
      </w:pPr>
      <w:r w:rsidRPr="00B36C6E">
        <w:rPr>
          <w:rFonts w:cs="Times New Roman"/>
          <w:szCs w:val="24"/>
        </w:rPr>
        <w:t>A</w:t>
      </w:r>
      <w:r w:rsidR="000B0C09" w:rsidRPr="00B36C6E">
        <w:rPr>
          <w:rFonts w:cs="Times New Roman"/>
          <w:szCs w:val="24"/>
        </w:rPr>
        <w:t xml:space="preserve"> estrutura do instrumento de avaliação é composta por 26 indicadores, com até quatro dimensões para cada indicador, com intuito de medir o desempenho dos Tribunais em oito domínios, a saber: (i) independência e marco legal; (</w:t>
      </w:r>
      <w:proofErr w:type="spellStart"/>
      <w:r w:rsidR="000B0C09" w:rsidRPr="00B36C6E">
        <w:rPr>
          <w:rFonts w:cs="Times New Roman"/>
          <w:szCs w:val="24"/>
        </w:rPr>
        <w:t>ii</w:t>
      </w:r>
      <w:proofErr w:type="spellEnd"/>
      <w:r w:rsidR="000B0C09" w:rsidRPr="00B36C6E">
        <w:rPr>
          <w:rFonts w:cs="Times New Roman"/>
          <w:szCs w:val="24"/>
        </w:rPr>
        <w:t>) estratégia para o desenvolvimento organizacional; (</w:t>
      </w:r>
      <w:proofErr w:type="spellStart"/>
      <w:r w:rsidR="000B0C09" w:rsidRPr="00B36C6E">
        <w:rPr>
          <w:rFonts w:cs="Times New Roman"/>
          <w:szCs w:val="24"/>
        </w:rPr>
        <w:t>iii</w:t>
      </w:r>
      <w:proofErr w:type="spellEnd"/>
      <w:r w:rsidR="000B0C09" w:rsidRPr="00B36C6E">
        <w:rPr>
          <w:rFonts w:cs="Times New Roman"/>
          <w:szCs w:val="24"/>
        </w:rPr>
        <w:t>) estruturas de gestão e apoio; (</w:t>
      </w:r>
      <w:proofErr w:type="spellStart"/>
      <w:r w:rsidR="000B0C09" w:rsidRPr="00B36C6E">
        <w:rPr>
          <w:rFonts w:cs="Times New Roman"/>
          <w:szCs w:val="24"/>
        </w:rPr>
        <w:t>iv</w:t>
      </w:r>
      <w:proofErr w:type="spellEnd"/>
      <w:r w:rsidR="000B0C09" w:rsidRPr="00B36C6E">
        <w:rPr>
          <w:rFonts w:cs="Times New Roman"/>
          <w:szCs w:val="24"/>
        </w:rPr>
        <w:t>) recursos humanos e liderança; (v) agilidade e tempestividade; (vi) normas e metodologia de auditoria; (</w:t>
      </w:r>
      <w:proofErr w:type="spellStart"/>
      <w:r w:rsidR="000B0C09" w:rsidRPr="00B36C6E">
        <w:rPr>
          <w:rFonts w:cs="Times New Roman"/>
          <w:szCs w:val="24"/>
        </w:rPr>
        <w:t>vii</w:t>
      </w:r>
      <w:proofErr w:type="spellEnd"/>
      <w:r w:rsidR="000B0C09" w:rsidRPr="00B36C6E">
        <w:rPr>
          <w:rFonts w:cs="Times New Roman"/>
          <w:szCs w:val="24"/>
        </w:rPr>
        <w:t>) resultados (relatórios) de auditoria; e (</w:t>
      </w:r>
      <w:proofErr w:type="spellStart"/>
      <w:r w:rsidR="000B0C09" w:rsidRPr="00B36C6E">
        <w:rPr>
          <w:rFonts w:cs="Times New Roman"/>
          <w:szCs w:val="24"/>
        </w:rPr>
        <w:t>viii</w:t>
      </w:r>
      <w:proofErr w:type="spellEnd"/>
      <w:r w:rsidR="000B0C09" w:rsidRPr="00B36C6E">
        <w:rPr>
          <w:rFonts w:cs="Times New Roman"/>
          <w:szCs w:val="24"/>
        </w:rPr>
        <w:t>) comunicação e gestão das partes interessadas.</w:t>
      </w:r>
    </w:p>
    <w:p w14:paraId="2211D2F2" w14:textId="7EF0CDEB" w:rsidR="000B0C09" w:rsidRPr="00B36C6E" w:rsidRDefault="004C598C" w:rsidP="000B0C09">
      <w:pPr>
        <w:ind w:firstLine="709"/>
        <w:rPr>
          <w:rFonts w:cs="Times New Roman"/>
          <w:szCs w:val="24"/>
        </w:rPr>
      </w:pPr>
      <w:r w:rsidRPr="00B36C6E">
        <w:rPr>
          <w:rFonts w:cs="Times New Roman"/>
          <w:szCs w:val="24"/>
        </w:rPr>
        <w:t xml:space="preserve">Em pesquisa feita ao site da </w:t>
      </w:r>
      <w:proofErr w:type="spellStart"/>
      <w:r w:rsidRPr="00B36C6E">
        <w:rPr>
          <w:rFonts w:cs="Times New Roman"/>
          <w:szCs w:val="24"/>
        </w:rPr>
        <w:t>Atricon</w:t>
      </w:r>
      <w:proofErr w:type="spellEnd"/>
      <w:r w:rsidRPr="00B36C6E">
        <w:rPr>
          <w:rFonts w:cs="Times New Roman"/>
          <w:szCs w:val="24"/>
        </w:rPr>
        <w:t xml:space="preserve">, não foram encontrados documentos com os resultados das avaliações dos </w:t>
      </w:r>
      <w:proofErr w:type="spellStart"/>
      <w:r w:rsidRPr="00B36C6E">
        <w:rPr>
          <w:rFonts w:cs="Times New Roman"/>
          <w:szCs w:val="24"/>
        </w:rPr>
        <w:t>TCs</w:t>
      </w:r>
      <w:proofErr w:type="spellEnd"/>
      <w:r w:rsidRPr="00B36C6E">
        <w:rPr>
          <w:rFonts w:cs="Times New Roman"/>
          <w:szCs w:val="24"/>
        </w:rPr>
        <w:t xml:space="preserve"> do Programa de Qualidade e Agilidade dos </w:t>
      </w:r>
      <w:proofErr w:type="spellStart"/>
      <w:r w:rsidRPr="00B36C6E">
        <w:rPr>
          <w:rFonts w:cs="Times New Roman"/>
          <w:szCs w:val="24"/>
        </w:rPr>
        <w:t>TCs</w:t>
      </w:r>
      <w:proofErr w:type="spellEnd"/>
      <w:r w:rsidRPr="00B36C6E">
        <w:rPr>
          <w:rFonts w:cs="Times New Roman"/>
          <w:szCs w:val="24"/>
        </w:rPr>
        <w:t xml:space="preserve"> que começaram a ser realizadas a partir de 2015</w:t>
      </w:r>
      <w:r w:rsidR="00E174C9">
        <w:rPr>
          <w:rFonts w:cs="Times New Roman"/>
          <w:szCs w:val="24"/>
        </w:rPr>
        <w:t xml:space="preserve"> e </w:t>
      </w:r>
      <w:proofErr w:type="gramStart"/>
      <w:r w:rsidR="00E174C9">
        <w:rPr>
          <w:rFonts w:cs="Times New Roman"/>
          <w:szCs w:val="24"/>
        </w:rPr>
        <w:t>continuarão</w:t>
      </w:r>
      <w:proofErr w:type="gramEnd"/>
      <w:r w:rsidR="00E174C9">
        <w:rPr>
          <w:rFonts w:cs="Times New Roman"/>
          <w:szCs w:val="24"/>
        </w:rPr>
        <w:t xml:space="preserve"> ser realizadas a cada dois anos.</w:t>
      </w:r>
    </w:p>
    <w:p w14:paraId="4B03A783" w14:textId="0CA644D4" w:rsidR="004C598C" w:rsidRDefault="00E9799B" w:rsidP="000B0C09">
      <w:pPr>
        <w:ind w:firstLine="709"/>
        <w:rPr>
          <w:rFonts w:cs="Times New Roman"/>
          <w:szCs w:val="24"/>
        </w:rPr>
      </w:pPr>
      <w:r w:rsidRPr="00B36C6E">
        <w:rPr>
          <w:rFonts w:cs="Times New Roman"/>
          <w:szCs w:val="24"/>
        </w:rPr>
        <w:t>Entretanto, f</w:t>
      </w:r>
      <w:r w:rsidR="004C598C" w:rsidRPr="00B36C6E">
        <w:rPr>
          <w:rFonts w:cs="Times New Roman"/>
          <w:szCs w:val="24"/>
        </w:rPr>
        <w:t xml:space="preserve">oi identificado resultado </w:t>
      </w:r>
      <w:r w:rsidR="00E42B05" w:rsidRPr="00B36C6E">
        <w:rPr>
          <w:rFonts w:cs="Times New Roman"/>
          <w:szCs w:val="24"/>
        </w:rPr>
        <w:t>apresentado por um servidor do TCDF em palestra realizada no III Seminário Brasileiro de Custos e Contabilidade aplicada ao setor p</w:t>
      </w:r>
      <w:r w:rsidRPr="00B36C6E">
        <w:rPr>
          <w:rFonts w:cs="Times New Roman"/>
          <w:szCs w:val="24"/>
        </w:rPr>
        <w:t>úblico de que a auditoria financeira (contábil) não era realizada por 19 dos 33 Tribunais subnacionais, o que representa 58%; 12 outros Tribunais indicavam uma baixa aplicação desta modalidade de auditoria (GENÉDIO, 2017). Esse resultado demonstra que, a despeito de terem avançado em outras modalidades de auditoria, como a operacional, os Tribunais ainda não focam suas atividades no controle contábil das contas públicas. A concentração dos esforços está na auditoria de conformidade, de acordo com resultados divulgados no documento ora mencionado.</w:t>
      </w:r>
    </w:p>
    <w:p w14:paraId="61AB436B" w14:textId="0CE484D6" w:rsidR="00E174C9" w:rsidRPr="00B36C6E" w:rsidRDefault="00E174C9" w:rsidP="000B0C09">
      <w:pPr>
        <w:ind w:firstLine="709"/>
        <w:rPr>
          <w:rFonts w:cs="Times New Roman"/>
          <w:szCs w:val="24"/>
        </w:rPr>
      </w:pPr>
      <w:r>
        <w:rPr>
          <w:rFonts w:cs="Times New Roman"/>
          <w:szCs w:val="24"/>
        </w:rPr>
        <w:t xml:space="preserve">Também foi encontrada evidência no site da </w:t>
      </w:r>
      <w:proofErr w:type="spellStart"/>
      <w:r>
        <w:rPr>
          <w:rFonts w:cs="Times New Roman"/>
          <w:szCs w:val="24"/>
        </w:rPr>
        <w:t>Atricon</w:t>
      </w:r>
      <w:proofErr w:type="spellEnd"/>
      <w:r>
        <w:rPr>
          <w:rFonts w:cs="Times New Roman"/>
          <w:szCs w:val="24"/>
        </w:rPr>
        <w:t xml:space="preserve"> de compartilhamento de boas práticas empreendidas pelos diversos Tribunais do país: são </w:t>
      </w:r>
      <w:r w:rsidR="002C4286">
        <w:rPr>
          <w:rFonts w:cs="Times New Roman"/>
          <w:szCs w:val="24"/>
        </w:rPr>
        <w:t xml:space="preserve">dezesseis </w:t>
      </w:r>
      <w:r>
        <w:rPr>
          <w:rFonts w:cs="Times New Roman"/>
          <w:szCs w:val="24"/>
        </w:rPr>
        <w:t xml:space="preserve">temas diversos que tiveram êxito em algum dos </w:t>
      </w:r>
      <w:proofErr w:type="spellStart"/>
      <w:r>
        <w:rPr>
          <w:rFonts w:cs="Times New Roman"/>
          <w:szCs w:val="24"/>
        </w:rPr>
        <w:t>TCs</w:t>
      </w:r>
      <w:proofErr w:type="spellEnd"/>
      <w:r>
        <w:rPr>
          <w:rFonts w:cs="Times New Roman"/>
          <w:szCs w:val="24"/>
        </w:rPr>
        <w:t xml:space="preserve"> e que são divulgados com intuito de que as </w:t>
      </w:r>
      <w:r w:rsidR="002C4286">
        <w:rPr>
          <w:rFonts w:cs="Times New Roman"/>
          <w:szCs w:val="24"/>
        </w:rPr>
        <w:t>ideias</w:t>
      </w:r>
      <w:r>
        <w:rPr>
          <w:rFonts w:cs="Times New Roman"/>
          <w:szCs w:val="24"/>
        </w:rPr>
        <w:t xml:space="preserve"> sejam seguidas pelos demais órgãos. As boas práticas vão desde a criação de uma estratégia para acompanhamento da implementação das normas contábeis nos órgãos jurisdicionados, até ao uso de inteligência no controle externo, com uso de malhas eletrônicas para cruzamento de dados (</w:t>
      </w:r>
      <w:proofErr w:type="spellStart"/>
      <w:r>
        <w:rPr>
          <w:rFonts w:cs="Times New Roman"/>
          <w:szCs w:val="24"/>
        </w:rPr>
        <w:t>Atricon</w:t>
      </w:r>
      <w:proofErr w:type="spellEnd"/>
      <w:r>
        <w:rPr>
          <w:rFonts w:cs="Times New Roman"/>
          <w:szCs w:val="24"/>
        </w:rPr>
        <w:t>, 2017</w:t>
      </w:r>
      <w:r w:rsidR="008F1515">
        <w:rPr>
          <w:rFonts w:cs="Times New Roman"/>
          <w:szCs w:val="24"/>
        </w:rPr>
        <w:t>c</w:t>
      </w:r>
      <w:r>
        <w:rPr>
          <w:rFonts w:cs="Times New Roman"/>
          <w:szCs w:val="24"/>
        </w:rPr>
        <w:t>).</w:t>
      </w:r>
    </w:p>
    <w:p w14:paraId="5C7D776D" w14:textId="77777777" w:rsidR="00F60E46" w:rsidRPr="00B36C6E" w:rsidRDefault="00F60E46" w:rsidP="00F60E46">
      <w:pPr>
        <w:pStyle w:val="PargrafodaLista"/>
        <w:ind w:left="0" w:firstLine="709"/>
        <w:rPr>
          <w:rFonts w:cs="Times New Roman"/>
          <w:szCs w:val="24"/>
        </w:rPr>
      </w:pPr>
    </w:p>
    <w:p w14:paraId="7B2978EC" w14:textId="103D3632" w:rsidR="002B4AF8" w:rsidRPr="00B36C6E" w:rsidRDefault="0031072D" w:rsidP="00BF2BFF">
      <w:pPr>
        <w:ind w:firstLine="567"/>
        <w:rPr>
          <w:rFonts w:cs="Times New Roman"/>
          <w:szCs w:val="24"/>
        </w:rPr>
      </w:pPr>
      <w:r w:rsidRPr="00B36C6E">
        <w:rPr>
          <w:rFonts w:cs="Times New Roman"/>
          <w:szCs w:val="24"/>
        </w:rPr>
        <w:t xml:space="preserve"> </w:t>
      </w:r>
    </w:p>
    <w:p w14:paraId="6D8E81E6" w14:textId="77777777" w:rsidR="00102F88" w:rsidRPr="00B36C6E" w:rsidRDefault="00102F88" w:rsidP="00102F88">
      <w:pPr>
        <w:pStyle w:val="Ttulo1"/>
        <w:numPr>
          <w:ilvl w:val="0"/>
          <w:numId w:val="15"/>
        </w:numPr>
        <w:rPr>
          <w:rFonts w:cs="Times New Roman"/>
          <w:szCs w:val="24"/>
        </w:rPr>
      </w:pPr>
      <w:r w:rsidRPr="00B36C6E">
        <w:rPr>
          <w:rFonts w:cs="Times New Roman"/>
          <w:szCs w:val="24"/>
        </w:rPr>
        <w:t>Considerações finais</w:t>
      </w:r>
    </w:p>
    <w:p w14:paraId="0F1A3C42" w14:textId="77777777" w:rsidR="00102F88" w:rsidRPr="00B36C6E" w:rsidRDefault="00102F88" w:rsidP="00102F88">
      <w:pPr>
        <w:rPr>
          <w:rFonts w:cs="Times New Roman"/>
          <w:szCs w:val="24"/>
        </w:rPr>
      </w:pPr>
    </w:p>
    <w:p w14:paraId="7C86726F" w14:textId="3068BC6A" w:rsidR="00102F88" w:rsidRPr="00B36C6E" w:rsidRDefault="00102F88" w:rsidP="00102F88">
      <w:pPr>
        <w:ind w:firstLine="708"/>
        <w:rPr>
          <w:rFonts w:cs="Times New Roman"/>
          <w:szCs w:val="24"/>
        </w:rPr>
      </w:pPr>
      <w:r w:rsidRPr="00B36C6E">
        <w:rPr>
          <w:rFonts w:cs="Times New Roman"/>
          <w:szCs w:val="24"/>
        </w:rPr>
        <w:t xml:space="preserve">O objetivo desta pesquisa foi verificar quais foram os resultados alcançados pelos Tribunais de Contas brasileiros com o Programa de modernização do controle externo, </w:t>
      </w:r>
      <w:proofErr w:type="spellStart"/>
      <w:r w:rsidRPr="00B36C6E">
        <w:rPr>
          <w:rFonts w:cs="Times New Roman"/>
          <w:szCs w:val="24"/>
        </w:rPr>
        <w:t>Promoex</w:t>
      </w:r>
      <w:proofErr w:type="spellEnd"/>
      <w:r w:rsidRPr="00B36C6E">
        <w:rPr>
          <w:rFonts w:cs="Times New Roman"/>
          <w:szCs w:val="24"/>
        </w:rPr>
        <w:t xml:space="preserve">. Para tanto, conduziu-se uma pesquisa descritiva baseada </w:t>
      </w:r>
      <w:r w:rsidR="00BF2BFF" w:rsidRPr="00B36C6E">
        <w:rPr>
          <w:rFonts w:cs="Times New Roman"/>
          <w:szCs w:val="24"/>
        </w:rPr>
        <w:t>em</w:t>
      </w:r>
      <w:r w:rsidRPr="00B36C6E">
        <w:rPr>
          <w:rFonts w:cs="Times New Roman"/>
          <w:szCs w:val="24"/>
        </w:rPr>
        <w:t xml:space="preserve"> documentos</w:t>
      </w:r>
      <w:r w:rsidR="00BF2BFF" w:rsidRPr="00B36C6E">
        <w:rPr>
          <w:rFonts w:cs="Times New Roman"/>
          <w:szCs w:val="24"/>
        </w:rPr>
        <w:t xml:space="preserve"> consultados nos sites dos órgãos envolvidos com o Programa ou com o controle externo</w:t>
      </w:r>
      <w:r w:rsidRPr="00B36C6E">
        <w:rPr>
          <w:rFonts w:cs="Times New Roman"/>
          <w:szCs w:val="24"/>
        </w:rPr>
        <w:t>.</w:t>
      </w:r>
    </w:p>
    <w:p w14:paraId="4CE110F2" w14:textId="517A6397" w:rsidR="00102F88" w:rsidRPr="00B36C6E" w:rsidRDefault="00102F88" w:rsidP="00102F88">
      <w:pPr>
        <w:ind w:firstLine="708"/>
        <w:rPr>
          <w:rFonts w:cs="Times New Roman"/>
          <w:szCs w:val="24"/>
        </w:rPr>
      </w:pPr>
      <w:r w:rsidRPr="00B36C6E">
        <w:rPr>
          <w:rFonts w:cs="Times New Roman"/>
          <w:szCs w:val="24"/>
        </w:rPr>
        <w:t xml:space="preserve">Durante o transcorrer do Programa, diversas ações foram realizadas no sentido de: desenvolver vínculos com outros Poderes e instituições e sociedade; obter maior </w:t>
      </w:r>
      <w:r w:rsidRPr="00B36C6E">
        <w:rPr>
          <w:rFonts w:cs="Times New Roman"/>
          <w:szCs w:val="24"/>
        </w:rPr>
        <w:lastRenderedPageBreak/>
        <w:t xml:space="preserve">integração dos Tribunais de Contas no ciclo de gestão governamental; redesenhar os métodos, técnicas e procedimentos de Controle Externo; implementar planejamento estratégico institucional e de tecnologia da informação; aprimorar o controle gerencial e adequar a política e gestão de pessoal. Para tanto, os Tribunais receberam uma grande injeção de recursos e suas ações foram continuamente monitoradas pelo MPOG. </w:t>
      </w:r>
    </w:p>
    <w:p w14:paraId="7154013B" w14:textId="3C2DECD9" w:rsidR="00102F88" w:rsidRPr="00B36C6E" w:rsidRDefault="00102F88" w:rsidP="00102F88">
      <w:pPr>
        <w:ind w:firstLine="709"/>
        <w:rPr>
          <w:rFonts w:cs="Times New Roman"/>
          <w:szCs w:val="24"/>
        </w:rPr>
      </w:pPr>
      <w:r w:rsidRPr="00B36C6E">
        <w:rPr>
          <w:rFonts w:cs="Times New Roman"/>
          <w:szCs w:val="24"/>
        </w:rPr>
        <w:t>Pode-se verificar as metas</w:t>
      </w:r>
      <w:r w:rsidR="005922FF" w:rsidRPr="00B36C6E">
        <w:rPr>
          <w:rFonts w:cs="Times New Roman"/>
          <w:szCs w:val="24"/>
        </w:rPr>
        <w:t xml:space="preserve"> do Programa, de forma geral, foram</w:t>
      </w:r>
      <w:r w:rsidRPr="00B36C6E">
        <w:rPr>
          <w:rFonts w:cs="Times New Roman"/>
          <w:szCs w:val="24"/>
        </w:rPr>
        <w:t xml:space="preserve"> cumpridas pelos Tribunais, mostrando indícios de que o </w:t>
      </w:r>
      <w:proofErr w:type="spellStart"/>
      <w:r w:rsidRPr="00B36C6E">
        <w:rPr>
          <w:rFonts w:cs="Times New Roman"/>
          <w:szCs w:val="24"/>
        </w:rPr>
        <w:t>Promoex</w:t>
      </w:r>
      <w:proofErr w:type="spellEnd"/>
      <w:r w:rsidRPr="00B36C6E">
        <w:rPr>
          <w:rFonts w:cs="Times New Roman"/>
          <w:szCs w:val="24"/>
        </w:rPr>
        <w:t xml:space="preserve"> </w:t>
      </w:r>
      <w:r w:rsidR="005922FF" w:rsidRPr="00B36C6E">
        <w:rPr>
          <w:rFonts w:cs="Times New Roman"/>
          <w:szCs w:val="24"/>
        </w:rPr>
        <w:t xml:space="preserve">pode ter </w:t>
      </w:r>
      <w:r w:rsidRPr="00B36C6E">
        <w:rPr>
          <w:rFonts w:cs="Times New Roman"/>
          <w:szCs w:val="24"/>
        </w:rPr>
        <w:t>mud</w:t>
      </w:r>
      <w:r w:rsidR="005922FF" w:rsidRPr="00B36C6E">
        <w:rPr>
          <w:rFonts w:cs="Times New Roman"/>
          <w:szCs w:val="24"/>
        </w:rPr>
        <w:t>ado</w:t>
      </w:r>
      <w:r w:rsidRPr="00B36C6E">
        <w:rPr>
          <w:rFonts w:cs="Times New Roman"/>
          <w:szCs w:val="24"/>
        </w:rPr>
        <w:t xml:space="preserve"> a dinâmica dessas instituições ao adotarem ferramentas de gestão com foco em resultados, aumentarem a interatividade e troca de experiências com outros TC, redesenharem seus processos de trabalho e investirem em tecnologia de informação e em melhores práticas de gestão de pessoas.</w:t>
      </w:r>
      <w:r w:rsidR="005922FF" w:rsidRPr="00B36C6E">
        <w:rPr>
          <w:rFonts w:cs="Times New Roman"/>
          <w:szCs w:val="24"/>
        </w:rPr>
        <w:t xml:space="preserve"> Entretanto, o mero cumprimento das metas previstas no </w:t>
      </w:r>
      <w:proofErr w:type="spellStart"/>
      <w:r w:rsidR="005922FF" w:rsidRPr="00B36C6E">
        <w:rPr>
          <w:rFonts w:cs="Times New Roman"/>
          <w:szCs w:val="24"/>
        </w:rPr>
        <w:t>Promoex</w:t>
      </w:r>
      <w:proofErr w:type="spellEnd"/>
      <w:r w:rsidR="005922FF" w:rsidRPr="00B36C6E">
        <w:rPr>
          <w:rFonts w:cs="Times New Roman"/>
          <w:szCs w:val="24"/>
        </w:rPr>
        <w:t xml:space="preserve"> é insuficiente para determinar se o sistema de controle externo brasileiro foi modernizado e se os pontos de deficiência diagnosticados na fase </w:t>
      </w:r>
      <w:proofErr w:type="spellStart"/>
      <w:r w:rsidR="005922FF" w:rsidRPr="00B36C6E">
        <w:rPr>
          <w:rFonts w:cs="Times New Roman"/>
          <w:szCs w:val="24"/>
        </w:rPr>
        <w:t>pré</w:t>
      </w:r>
      <w:proofErr w:type="spellEnd"/>
      <w:r w:rsidR="005922FF" w:rsidRPr="00B36C6E">
        <w:rPr>
          <w:rFonts w:cs="Times New Roman"/>
          <w:szCs w:val="24"/>
        </w:rPr>
        <w:t xml:space="preserve"> </w:t>
      </w:r>
      <w:proofErr w:type="spellStart"/>
      <w:r w:rsidR="005922FF" w:rsidRPr="00B36C6E">
        <w:rPr>
          <w:rFonts w:cs="Times New Roman"/>
          <w:szCs w:val="24"/>
        </w:rPr>
        <w:t>Promoex</w:t>
      </w:r>
      <w:proofErr w:type="spellEnd"/>
      <w:r w:rsidR="005922FF" w:rsidRPr="00B36C6E">
        <w:rPr>
          <w:rFonts w:cs="Times New Roman"/>
          <w:szCs w:val="24"/>
        </w:rPr>
        <w:t xml:space="preserve"> foram contornados. </w:t>
      </w:r>
    </w:p>
    <w:p w14:paraId="3EC03529" w14:textId="15CB4343" w:rsidR="00102F88" w:rsidRPr="00B36C6E" w:rsidRDefault="005922FF" w:rsidP="00102F88">
      <w:pPr>
        <w:ind w:firstLine="709"/>
        <w:rPr>
          <w:rFonts w:cs="Times New Roman"/>
          <w:szCs w:val="24"/>
        </w:rPr>
      </w:pPr>
      <w:r w:rsidRPr="00B36C6E">
        <w:rPr>
          <w:rFonts w:cs="Times New Roman"/>
          <w:szCs w:val="24"/>
        </w:rPr>
        <w:t>N</w:t>
      </w:r>
      <w:r w:rsidR="00102F88" w:rsidRPr="00B36C6E">
        <w:rPr>
          <w:rFonts w:cs="Times New Roman"/>
          <w:szCs w:val="24"/>
        </w:rPr>
        <w:t>ão fo</w:t>
      </w:r>
      <w:r w:rsidRPr="00B36C6E">
        <w:rPr>
          <w:rFonts w:cs="Times New Roman"/>
          <w:szCs w:val="24"/>
        </w:rPr>
        <w:t>ram</w:t>
      </w:r>
      <w:r w:rsidR="00102F88" w:rsidRPr="00B36C6E">
        <w:rPr>
          <w:rFonts w:cs="Times New Roman"/>
          <w:szCs w:val="24"/>
        </w:rPr>
        <w:t xml:space="preserve"> </w:t>
      </w:r>
      <w:r w:rsidRPr="00B36C6E">
        <w:rPr>
          <w:rFonts w:cs="Times New Roman"/>
          <w:szCs w:val="24"/>
        </w:rPr>
        <w:t xml:space="preserve">encontradas evidências de </w:t>
      </w:r>
      <w:r w:rsidR="00102F88" w:rsidRPr="00B36C6E">
        <w:rPr>
          <w:rFonts w:cs="Times New Roman"/>
          <w:szCs w:val="24"/>
        </w:rPr>
        <w:t xml:space="preserve">um diagnóstico oficial, como o realizado pela FIA/USP no ano de 2002 e pela FGV, para verificar qual o verdadeiro cenário apresentado na fase posterior ao Programa, incluindo a percepção da sociedade e outras entidades sobre a atuação dos Tribunais. Levantar essa percepção dos </w:t>
      </w:r>
      <w:r w:rsidR="00102F88" w:rsidRPr="00B36C6E">
        <w:rPr>
          <w:rFonts w:cs="Times New Roman"/>
          <w:i/>
          <w:szCs w:val="24"/>
        </w:rPr>
        <w:t>stakeholders</w:t>
      </w:r>
      <w:r w:rsidR="00102F88" w:rsidRPr="00B36C6E">
        <w:rPr>
          <w:rFonts w:cs="Times New Roman"/>
          <w:szCs w:val="24"/>
        </w:rPr>
        <w:t xml:space="preserve"> sobre a imagem, eficiência e efetividade dos Tribunais é condição necessária para se avaliar de forma completa o resultado do </w:t>
      </w:r>
      <w:proofErr w:type="spellStart"/>
      <w:r w:rsidR="00102F88" w:rsidRPr="00B36C6E">
        <w:rPr>
          <w:rFonts w:cs="Times New Roman"/>
          <w:szCs w:val="24"/>
        </w:rPr>
        <w:t>Promoex</w:t>
      </w:r>
      <w:proofErr w:type="spellEnd"/>
      <w:r w:rsidR="00102F88" w:rsidRPr="00B36C6E">
        <w:rPr>
          <w:rFonts w:cs="Times New Roman"/>
          <w:szCs w:val="24"/>
        </w:rPr>
        <w:t xml:space="preserve">. </w:t>
      </w:r>
    </w:p>
    <w:p w14:paraId="36036634" w14:textId="54C26A5C" w:rsidR="007E6337" w:rsidRPr="00B36C6E" w:rsidRDefault="00102F88" w:rsidP="00102F88">
      <w:pPr>
        <w:ind w:firstLine="708"/>
        <w:rPr>
          <w:rFonts w:cs="Times New Roman"/>
          <w:szCs w:val="24"/>
        </w:rPr>
      </w:pPr>
      <w:r w:rsidRPr="00B36C6E">
        <w:rPr>
          <w:rFonts w:cs="Times New Roman"/>
          <w:szCs w:val="24"/>
        </w:rPr>
        <w:t xml:space="preserve">Em relação aos resultados alcançados pelos Tribunais com o Programa </w:t>
      </w:r>
      <w:proofErr w:type="spellStart"/>
      <w:r w:rsidRPr="00B36C6E">
        <w:rPr>
          <w:rFonts w:cs="Times New Roman"/>
          <w:szCs w:val="24"/>
        </w:rPr>
        <w:t>Promoex</w:t>
      </w:r>
      <w:proofErr w:type="spellEnd"/>
      <w:r w:rsidRPr="00B36C6E">
        <w:rPr>
          <w:rFonts w:cs="Times New Roman"/>
          <w:szCs w:val="24"/>
        </w:rPr>
        <w:t xml:space="preserve">, há indícios para se afirmar que o cenário atual </w:t>
      </w:r>
      <w:r w:rsidR="005922FF" w:rsidRPr="00B36C6E">
        <w:rPr>
          <w:rFonts w:cs="Times New Roman"/>
          <w:szCs w:val="24"/>
        </w:rPr>
        <w:t>pode ser</w:t>
      </w:r>
      <w:r w:rsidRPr="00B36C6E">
        <w:rPr>
          <w:rFonts w:cs="Times New Roman"/>
          <w:szCs w:val="24"/>
        </w:rPr>
        <w:t xml:space="preserve"> diferente daquele diagnosticado </w:t>
      </w:r>
      <w:r w:rsidR="005922FF" w:rsidRPr="00B36C6E">
        <w:rPr>
          <w:rFonts w:cs="Times New Roman"/>
          <w:szCs w:val="24"/>
        </w:rPr>
        <w:t>quinze</w:t>
      </w:r>
      <w:r w:rsidRPr="00B36C6E">
        <w:rPr>
          <w:rFonts w:cs="Times New Roman"/>
          <w:szCs w:val="24"/>
        </w:rPr>
        <w:t xml:space="preserve"> anos atrás pela FIA/USP. </w:t>
      </w:r>
      <w:r w:rsidR="007E6337" w:rsidRPr="00B36C6E">
        <w:rPr>
          <w:rFonts w:cs="Times New Roman"/>
          <w:szCs w:val="24"/>
        </w:rPr>
        <w:t xml:space="preserve">Entretanto, com base em documento de </w:t>
      </w:r>
      <w:r w:rsidR="009E1A97" w:rsidRPr="00B36C6E">
        <w:rPr>
          <w:rFonts w:cs="Times New Roman"/>
          <w:szCs w:val="24"/>
        </w:rPr>
        <w:t>auto avaliação</w:t>
      </w:r>
      <w:r w:rsidR="007E6337" w:rsidRPr="00B36C6E">
        <w:rPr>
          <w:rFonts w:cs="Times New Roman"/>
          <w:szCs w:val="24"/>
        </w:rPr>
        <w:t xml:space="preserve"> dos </w:t>
      </w:r>
      <w:proofErr w:type="spellStart"/>
      <w:r w:rsidR="007E6337" w:rsidRPr="00B36C6E">
        <w:rPr>
          <w:rFonts w:cs="Times New Roman"/>
          <w:szCs w:val="24"/>
        </w:rPr>
        <w:t>TCs</w:t>
      </w:r>
      <w:proofErr w:type="spellEnd"/>
      <w:r w:rsidR="007E6337" w:rsidRPr="00B36C6E">
        <w:rPr>
          <w:rFonts w:cs="Times New Roman"/>
          <w:szCs w:val="24"/>
        </w:rPr>
        <w:t xml:space="preserve"> realizada em 2013, foi identificado que ainda permanecem problemas graves da atuação dos Tribunais, como a morosidade na apreciação dos processos e a falta de atividades de inteligência para o controle externo. </w:t>
      </w:r>
    </w:p>
    <w:p w14:paraId="6EC44221" w14:textId="0EC215E1" w:rsidR="00102F88" w:rsidRPr="00B36C6E" w:rsidRDefault="007E6337" w:rsidP="00102F88">
      <w:pPr>
        <w:ind w:firstLine="708"/>
        <w:rPr>
          <w:rFonts w:cs="Times New Roman"/>
          <w:szCs w:val="24"/>
        </w:rPr>
      </w:pPr>
      <w:r w:rsidRPr="00B36C6E">
        <w:rPr>
          <w:rFonts w:cs="Times New Roman"/>
          <w:szCs w:val="24"/>
        </w:rPr>
        <w:t>A</w:t>
      </w:r>
      <w:r w:rsidR="00102F88" w:rsidRPr="00B36C6E">
        <w:rPr>
          <w:rFonts w:cs="Times New Roman"/>
          <w:szCs w:val="24"/>
        </w:rPr>
        <w:t>lguns indicadores de desempenho foram sugeridos</w:t>
      </w:r>
      <w:r w:rsidR="009E1A97" w:rsidRPr="00B36C6E">
        <w:rPr>
          <w:rFonts w:cs="Times New Roman"/>
          <w:szCs w:val="24"/>
        </w:rPr>
        <w:t xml:space="preserve"> pelos pesquisadores</w:t>
      </w:r>
      <w:r w:rsidR="00102F88" w:rsidRPr="00B36C6E">
        <w:rPr>
          <w:rFonts w:cs="Times New Roman"/>
          <w:szCs w:val="24"/>
        </w:rPr>
        <w:t xml:space="preserve"> para serem monitorados na fase pós </w:t>
      </w:r>
      <w:proofErr w:type="spellStart"/>
      <w:r w:rsidR="00102F88" w:rsidRPr="00B36C6E">
        <w:rPr>
          <w:rFonts w:cs="Times New Roman"/>
          <w:szCs w:val="24"/>
        </w:rPr>
        <w:t>Promoex</w:t>
      </w:r>
      <w:proofErr w:type="spellEnd"/>
      <w:r w:rsidR="00102F88" w:rsidRPr="00B36C6E">
        <w:rPr>
          <w:rFonts w:cs="Times New Roman"/>
          <w:szCs w:val="24"/>
        </w:rPr>
        <w:t xml:space="preserve"> com intuito de verificar a efetividade das ações implementadas. Foram sugeridos indicadores adicionais para proporcionar melhor </w:t>
      </w:r>
      <w:proofErr w:type="spellStart"/>
      <w:r w:rsidR="00102F88" w:rsidRPr="00B36C6E">
        <w:rPr>
          <w:rFonts w:cs="Times New Roman"/>
          <w:i/>
          <w:szCs w:val="24"/>
        </w:rPr>
        <w:t>accountability</w:t>
      </w:r>
      <w:proofErr w:type="spellEnd"/>
      <w:r w:rsidR="00102F88" w:rsidRPr="00B36C6E">
        <w:rPr>
          <w:rFonts w:cs="Times New Roman"/>
          <w:szCs w:val="24"/>
        </w:rPr>
        <w:t xml:space="preserve"> aos </w:t>
      </w:r>
      <w:proofErr w:type="spellStart"/>
      <w:r w:rsidR="00102F88" w:rsidRPr="00B36C6E">
        <w:rPr>
          <w:rFonts w:cs="Times New Roman"/>
          <w:i/>
          <w:szCs w:val="24"/>
        </w:rPr>
        <w:t>stakeholders</w:t>
      </w:r>
      <w:proofErr w:type="spellEnd"/>
      <w:r w:rsidR="00102F88" w:rsidRPr="00B36C6E">
        <w:rPr>
          <w:rFonts w:cs="Times New Roman"/>
          <w:szCs w:val="24"/>
        </w:rPr>
        <w:t xml:space="preserve"> acerca dos resultados alcançados com o </w:t>
      </w:r>
      <w:proofErr w:type="spellStart"/>
      <w:r w:rsidR="00102F88" w:rsidRPr="00B36C6E">
        <w:rPr>
          <w:rFonts w:cs="Times New Roman"/>
          <w:szCs w:val="24"/>
        </w:rPr>
        <w:t>Promoex</w:t>
      </w:r>
      <w:proofErr w:type="spellEnd"/>
      <w:r w:rsidR="00102F88" w:rsidRPr="00B36C6E">
        <w:rPr>
          <w:rFonts w:cs="Times New Roman"/>
          <w:szCs w:val="24"/>
        </w:rPr>
        <w:t>.</w:t>
      </w:r>
    </w:p>
    <w:p w14:paraId="6AFEC000" w14:textId="77777777" w:rsidR="007E6337" w:rsidRPr="00B36C6E" w:rsidRDefault="00102F88" w:rsidP="00102F88">
      <w:pPr>
        <w:ind w:firstLine="708"/>
        <w:rPr>
          <w:rFonts w:cs="Times New Roman"/>
          <w:szCs w:val="24"/>
        </w:rPr>
      </w:pPr>
      <w:r w:rsidRPr="00B36C6E">
        <w:rPr>
          <w:rFonts w:cs="Times New Roman"/>
          <w:szCs w:val="24"/>
        </w:rPr>
        <w:t xml:space="preserve">Sugere-se que em pesquisas futuras sejam conduzidos estudos de caso em alguns Tribunais selecionados para se aprofundar nos aspectos das melhorias e avanços efetivamente implementados pelo </w:t>
      </w:r>
      <w:proofErr w:type="spellStart"/>
      <w:r w:rsidRPr="00B36C6E">
        <w:rPr>
          <w:rFonts w:cs="Times New Roman"/>
          <w:szCs w:val="24"/>
        </w:rPr>
        <w:t>Promoex</w:t>
      </w:r>
      <w:proofErr w:type="spellEnd"/>
      <w:r w:rsidR="007E6337" w:rsidRPr="00B36C6E">
        <w:rPr>
          <w:rFonts w:cs="Times New Roman"/>
          <w:szCs w:val="24"/>
        </w:rPr>
        <w:t>, afinal, a busca pela efetividade das políticas públicas se torna cada vez mais o cerne da avaliação da gestão pública</w:t>
      </w:r>
      <w:r w:rsidRPr="00B36C6E">
        <w:rPr>
          <w:rFonts w:cs="Times New Roman"/>
          <w:szCs w:val="24"/>
        </w:rPr>
        <w:t>.</w:t>
      </w:r>
      <w:r w:rsidR="007E6337" w:rsidRPr="00B36C6E">
        <w:rPr>
          <w:rFonts w:cs="Times New Roman"/>
          <w:szCs w:val="24"/>
        </w:rPr>
        <w:t xml:space="preserve"> </w:t>
      </w:r>
    </w:p>
    <w:p w14:paraId="7A29DCD4" w14:textId="44E6E15C" w:rsidR="00102F88" w:rsidRPr="00B36C6E" w:rsidRDefault="007E6337" w:rsidP="00102F88">
      <w:pPr>
        <w:ind w:firstLine="708"/>
        <w:rPr>
          <w:rFonts w:cs="Times New Roman"/>
          <w:szCs w:val="24"/>
        </w:rPr>
      </w:pPr>
      <w:r w:rsidRPr="00B36C6E">
        <w:rPr>
          <w:rFonts w:cs="Times New Roman"/>
          <w:szCs w:val="24"/>
        </w:rPr>
        <w:t xml:space="preserve">Dentre as limitações desta pesquisa, destaca-se o fato de que o estudo foi baseado estritamente em fonte documental disponível nos sites oficias do governo. Para pesquisas futuras, seria interessante acessar esses órgãos por meio dos instrumentos de acesso à informação, para se conseguir respostas mais específicas sobre a atuação dos </w:t>
      </w:r>
      <w:proofErr w:type="spellStart"/>
      <w:r w:rsidRPr="00B36C6E">
        <w:rPr>
          <w:rFonts w:cs="Times New Roman"/>
          <w:szCs w:val="24"/>
        </w:rPr>
        <w:t>TCs</w:t>
      </w:r>
      <w:proofErr w:type="spellEnd"/>
      <w:r w:rsidRPr="00B36C6E">
        <w:rPr>
          <w:rFonts w:cs="Times New Roman"/>
          <w:szCs w:val="24"/>
        </w:rPr>
        <w:t xml:space="preserve"> e documentos comprobatórios do desempenho do controle externo.</w:t>
      </w:r>
    </w:p>
    <w:p w14:paraId="3309A023" w14:textId="77777777" w:rsidR="00102F88" w:rsidRPr="00B36C6E" w:rsidRDefault="00102F88" w:rsidP="00102F88">
      <w:pPr>
        <w:rPr>
          <w:rFonts w:cs="Times New Roman"/>
          <w:szCs w:val="24"/>
        </w:rPr>
      </w:pPr>
    </w:p>
    <w:p w14:paraId="13512094" w14:textId="77777777" w:rsidR="00102F88" w:rsidRPr="00B36C6E" w:rsidRDefault="00102F88" w:rsidP="00102F88">
      <w:pPr>
        <w:rPr>
          <w:rFonts w:cs="Times New Roman"/>
          <w:b/>
          <w:szCs w:val="24"/>
        </w:rPr>
      </w:pPr>
      <w:r w:rsidRPr="00B36C6E">
        <w:rPr>
          <w:rFonts w:cs="Times New Roman"/>
          <w:b/>
          <w:szCs w:val="24"/>
        </w:rPr>
        <w:t xml:space="preserve">Referências bibliográficas </w:t>
      </w:r>
    </w:p>
    <w:p w14:paraId="2A5B9AA5" w14:textId="77777777" w:rsidR="00102F88" w:rsidRPr="00B36C6E" w:rsidRDefault="00102F88" w:rsidP="00102F88">
      <w:pPr>
        <w:pStyle w:val="SemEspaamento"/>
        <w:jc w:val="left"/>
        <w:rPr>
          <w:rFonts w:cs="Times New Roman"/>
          <w:szCs w:val="24"/>
        </w:rPr>
      </w:pPr>
    </w:p>
    <w:p w14:paraId="17486D5B" w14:textId="77777777" w:rsidR="00102F88" w:rsidRPr="00B36C6E" w:rsidRDefault="00102F88" w:rsidP="00102F88">
      <w:pPr>
        <w:pStyle w:val="SemEspaamento"/>
        <w:jc w:val="left"/>
        <w:rPr>
          <w:rFonts w:cs="Times New Roman"/>
          <w:szCs w:val="24"/>
        </w:rPr>
      </w:pPr>
      <w:r w:rsidRPr="00B36C6E">
        <w:rPr>
          <w:rFonts w:cs="Times New Roman"/>
          <w:szCs w:val="24"/>
        </w:rPr>
        <w:t xml:space="preserve">ARANTES, R. B.; ABRÚCIO, F. L.; TEIXEIRA, M. A. </w:t>
      </w:r>
      <w:proofErr w:type="gramStart"/>
      <w:r w:rsidRPr="00B36C6E">
        <w:rPr>
          <w:rFonts w:cs="Times New Roman"/>
          <w:szCs w:val="24"/>
        </w:rPr>
        <w:t>C..</w:t>
      </w:r>
      <w:proofErr w:type="gramEnd"/>
      <w:r w:rsidRPr="00B36C6E">
        <w:rPr>
          <w:rFonts w:cs="Times New Roman"/>
          <w:szCs w:val="24"/>
        </w:rPr>
        <w:t xml:space="preserve"> </w:t>
      </w:r>
      <w:r w:rsidRPr="00B36C6E">
        <w:rPr>
          <w:rFonts w:cs="Times New Roman"/>
          <w:bCs/>
          <w:szCs w:val="24"/>
        </w:rPr>
        <w:t>A imagem dos tribunais de contas subnacionais.</w:t>
      </w:r>
      <w:r w:rsidRPr="00B36C6E">
        <w:rPr>
          <w:rFonts w:cs="Times New Roman"/>
          <w:szCs w:val="24"/>
        </w:rPr>
        <w:t xml:space="preserve"> </w:t>
      </w:r>
      <w:r w:rsidRPr="00B36C6E">
        <w:rPr>
          <w:rFonts w:cs="Times New Roman"/>
          <w:i/>
          <w:szCs w:val="24"/>
        </w:rPr>
        <w:t>Revista do Serviço Público, 56</w:t>
      </w:r>
      <w:r w:rsidRPr="00B36C6E">
        <w:rPr>
          <w:rFonts w:cs="Times New Roman"/>
          <w:szCs w:val="24"/>
        </w:rPr>
        <w:t xml:space="preserve"> (1), 57-85, 2005.</w:t>
      </w:r>
    </w:p>
    <w:p w14:paraId="5098057D" w14:textId="77777777" w:rsidR="00102F88" w:rsidRPr="00B36C6E" w:rsidRDefault="00102F88" w:rsidP="00102F88">
      <w:pPr>
        <w:pStyle w:val="SemEspaamento"/>
        <w:jc w:val="left"/>
        <w:rPr>
          <w:rFonts w:cs="Times New Roman"/>
          <w:szCs w:val="24"/>
        </w:rPr>
      </w:pPr>
    </w:p>
    <w:p w14:paraId="7317668C" w14:textId="57480185" w:rsidR="00102F88" w:rsidRPr="00B36C6E" w:rsidRDefault="00102F88" w:rsidP="00102F88">
      <w:pPr>
        <w:pStyle w:val="SemEspaamento"/>
        <w:jc w:val="left"/>
        <w:rPr>
          <w:rFonts w:cs="Times New Roman"/>
          <w:szCs w:val="24"/>
        </w:rPr>
      </w:pPr>
      <w:r w:rsidRPr="00B36C6E">
        <w:rPr>
          <w:rFonts w:cs="Times New Roman"/>
          <w:szCs w:val="24"/>
        </w:rPr>
        <w:t xml:space="preserve">ASSOCIAÇÃO NACIONAL DOS MEMBROS DOS TRIBUNAIS DE CONTAS DO BRASIL – </w:t>
      </w:r>
      <w:proofErr w:type="spellStart"/>
      <w:r w:rsidRPr="00B36C6E">
        <w:rPr>
          <w:rFonts w:cs="Times New Roman"/>
          <w:szCs w:val="24"/>
        </w:rPr>
        <w:t>Atricon</w:t>
      </w:r>
      <w:proofErr w:type="spellEnd"/>
      <w:r w:rsidRPr="00B36C6E">
        <w:rPr>
          <w:rFonts w:cs="Times New Roman"/>
          <w:szCs w:val="24"/>
        </w:rPr>
        <w:t xml:space="preserve">. Regulamento </w:t>
      </w:r>
      <w:proofErr w:type="spellStart"/>
      <w:r w:rsidRPr="00B36C6E">
        <w:rPr>
          <w:rFonts w:cs="Times New Roman"/>
          <w:szCs w:val="24"/>
        </w:rPr>
        <w:t>Atricon</w:t>
      </w:r>
      <w:proofErr w:type="spellEnd"/>
      <w:r w:rsidRPr="00B36C6E">
        <w:rPr>
          <w:rFonts w:cs="Times New Roman"/>
          <w:szCs w:val="24"/>
        </w:rPr>
        <w:t xml:space="preserve"> n. 01/2013. Estabelece as regras e os parâmetros de qualidade e agilidade do controle externo, para fins de avaliação dos Tribunais de Contas, e dá outras providências. Disponível: </w:t>
      </w:r>
      <w:hyperlink r:id="rId9" w:history="1">
        <w:r w:rsidRPr="00B36C6E">
          <w:rPr>
            <w:rStyle w:val="Hyperlink"/>
            <w:rFonts w:cs="Times New Roman"/>
            <w:szCs w:val="24"/>
          </w:rPr>
          <w:t>http://www.atricon.org.br/wp-</w:t>
        </w:r>
        <w:r w:rsidRPr="00B36C6E">
          <w:rPr>
            <w:rStyle w:val="Hyperlink"/>
            <w:rFonts w:cs="Times New Roman"/>
            <w:szCs w:val="24"/>
          </w:rPr>
          <w:lastRenderedPageBreak/>
          <w:t>content/uploads/2013/07/REGULAMENTO_PARAMETROS_AGILIDADE_QUALIDADE.pdf</w:t>
        </w:r>
      </w:hyperlink>
      <w:r w:rsidRPr="00B36C6E">
        <w:rPr>
          <w:rFonts w:cs="Times New Roman"/>
          <w:szCs w:val="24"/>
        </w:rPr>
        <w:t>. Acesso em 27 Set 2013.</w:t>
      </w:r>
    </w:p>
    <w:p w14:paraId="006F2DDA" w14:textId="6739CE62" w:rsidR="0031072D" w:rsidRPr="00B36C6E" w:rsidRDefault="0031072D" w:rsidP="00102F88">
      <w:pPr>
        <w:pStyle w:val="SemEspaamento"/>
        <w:jc w:val="left"/>
        <w:rPr>
          <w:rFonts w:cs="Times New Roman"/>
          <w:szCs w:val="24"/>
        </w:rPr>
      </w:pPr>
    </w:p>
    <w:p w14:paraId="2FAF783E" w14:textId="3497F1C8" w:rsidR="0031072D" w:rsidRPr="00B36C6E" w:rsidRDefault="0031072D" w:rsidP="0031072D">
      <w:pPr>
        <w:pStyle w:val="SemEspaamento"/>
        <w:jc w:val="left"/>
        <w:rPr>
          <w:rFonts w:cs="Times New Roman"/>
          <w:szCs w:val="24"/>
        </w:rPr>
      </w:pPr>
      <w:r w:rsidRPr="00B36C6E">
        <w:rPr>
          <w:rFonts w:cs="Times New Roman"/>
          <w:szCs w:val="24"/>
        </w:rPr>
        <w:t xml:space="preserve">_____. Diagnóstico dos Tribunais de Contas do Brasil Avaliação da Qualidade e Agilidade do Controle Externo. Disponível em </w:t>
      </w:r>
      <w:hyperlink r:id="rId10" w:history="1">
        <w:r w:rsidRPr="00B36C6E">
          <w:rPr>
            <w:rStyle w:val="Hyperlink"/>
            <w:rFonts w:cs="Times New Roman"/>
            <w:szCs w:val="24"/>
          </w:rPr>
          <w:t>http://www.atricon.org.br/documentos/</w:t>
        </w:r>
      </w:hyperlink>
      <w:r w:rsidRPr="00B36C6E">
        <w:rPr>
          <w:rFonts w:cs="Times New Roman"/>
          <w:szCs w:val="24"/>
        </w:rPr>
        <w:t xml:space="preserve">. Acesso em 01 </w:t>
      </w:r>
      <w:proofErr w:type="gramStart"/>
      <w:r w:rsidRPr="00B36C6E">
        <w:rPr>
          <w:rFonts w:cs="Times New Roman"/>
          <w:szCs w:val="24"/>
        </w:rPr>
        <w:t>Jul</w:t>
      </w:r>
      <w:r w:rsidR="001D7D72" w:rsidRPr="00B36C6E">
        <w:rPr>
          <w:rFonts w:cs="Times New Roman"/>
          <w:szCs w:val="24"/>
        </w:rPr>
        <w:t>.</w:t>
      </w:r>
      <w:proofErr w:type="gramEnd"/>
      <w:r w:rsidRPr="00B36C6E">
        <w:rPr>
          <w:rFonts w:cs="Times New Roman"/>
          <w:szCs w:val="24"/>
        </w:rPr>
        <w:t xml:space="preserve"> 2017.</w:t>
      </w:r>
    </w:p>
    <w:p w14:paraId="3E65ABD1" w14:textId="7197491B" w:rsidR="001D7D72" w:rsidRPr="00B36C6E" w:rsidRDefault="001D7D72" w:rsidP="0031072D">
      <w:pPr>
        <w:pStyle w:val="SemEspaamento"/>
        <w:jc w:val="left"/>
        <w:rPr>
          <w:rFonts w:cs="Times New Roman"/>
          <w:szCs w:val="24"/>
        </w:rPr>
      </w:pPr>
    </w:p>
    <w:p w14:paraId="53DC9222" w14:textId="69D7866F" w:rsidR="001D7D72" w:rsidRDefault="001D7D72" w:rsidP="001D7D72">
      <w:pPr>
        <w:pStyle w:val="SemEspaamento"/>
        <w:jc w:val="left"/>
        <w:rPr>
          <w:rFonts w:cs="Times New Roman"/>
          <w:szCs w:val="24"/>
        </w:rPr>
      </w:pPr>
      <w:r w:rsidRPr="00B36C6E">
        <w:rPr>
          <w:rFonts w:cs="Times New Roman"/>
          <w:szCs w:val="24"/>
        </w:rPr>
        <w:t xml:space="preserve">_____. Marco de Medição do Desempenho – Qualidade e Agilidade dos Tribunais de Contas do Brasil (MMD-QATC). Disponível em </w:t>
      </w:r>
      <w:hyperlink r:id="rId11" w:history="1">
        <w:r w:rsidRPr="00B36C6E">
          <w:rPr>
            <w:rStyle w:val="Hyperlink"/>
            <w:rFonts w:cs="Times New Roman"/>
            <w:szCs w:val="24"/>
          </w:rPr>
          <w:t>http://www.atricon.org.br/wp-content/uploads/2015/03/QATC2_VersaoFinalPublicada.pdf</w:t>
        </w:r>
      </w:hyperlink>
      <w:r w:rsidRPr="00B36C6E">
        <w:rPr>
          <w:rFonts w:cs="Times New Roman"/>
          <w:szCs w:val="24"/>
        </w:rPr>
        <w:t xml:space="preserve">. Acesso em 01 </w:t>
      </w:r>
      <w:proofErr w:type="gramStart"/>
      <w:r w:rsidRPr="00B36C6E">
        <w:rPr>
          <w:rFonts w:cs="Times New Roman"/>
          <w:szCs w:val="24"/>
        </w:rPr>
        <w:t>Jul.</w:t>
      </w:r>
      <w:proofErr w:type="gramEnd"/>
      <w:r w:rsidRPr="00B36C6E">
        <w:rPr>
          <w:rFonts w:cs="Times New Roman"/>
          <w:szCs w:val="24"/>
        </w:rPr>
        <w:t xml:space="preserve"> 2017.</w:t>
      </w:r>
    </w:p>
    <w:p w14:paraId="0C4D3FAC" w14:textId="68DA0420" w:rsidR="008F1515" w:rsidRDefault="008F1515" w:rsidP="001D7D72">
      <w:pPr>
        <w:pStyle w:val="SemEspaamento"/>
        <w:jc w:val="left"/>
        <w:rPr>
          <w:rFonts w:cs="Times New Roman"/>
          <w:szCs w:val="24"/>
        </w:rPr>
      </w:pPr>
    </w:p>
    <w:p w14:paraId="0EDD4021" w14:textId="4292C9FD" w:rsidR="008F1515" w:rsidRPr="00B36C6E" w:rsidRDefault="008F1515" w:rsidP="001D7D72">
      <w:pPr>
        <w:pStyle w:val="SemEspaamento"/>
        <w:jc w:val="left"/>
        <w:rPr>
          <w:rFonts w:cs="Times New Roman"/>
          <w:szCs w:val="24"/>
        </w:rPr>
      </w:pPr>
      <w:r>
        <w:rPr>
          <w:rFonts w:cs="Times New Roman"/>
          <w:szCs w:val="24"/>
        </w:rPr>
        <w:t xml:space="preserve">_____. Boas práticas dos Tribunais de Contas do Brasil. Disponível em </w:t>
      </w:r>
      <w:hyperlink r:id="rId12" w:history="1">
        <w:r w:rsidRPr="00265619">
          <w:rPr>
            <w:rStyle w:val="Hyperlink"/>
            <w:rFonts w:cs="Times New Roman"/>
            <w:szCs w:val="24"/>
          </w:rPr>
          <w:t>https://boaspraticas.atricon.org.br/</w:t>
        </w:r>
      </w:hyperlink>
      <w:r>
        <w:rPr>
          <w:rFonts w:cs="Times New Roman"/>
          <w:szCs w:val="24"/>
        </w:rPr>
        <w:t xml:space="preserve">. Acesso em 01 </w:t>
      </w:r>
      <w:proofErr w:type="spellStart"/>
      <w:r>
        <w:rPr>
          <w:rFonts w:cs="Times New Roman"/>
          <w:szCs w:val="24"/>
        </w:rPr>
        <w:t>Ago</w:t>
      </w:r>
      <w:proofErr w:type="spellEnd"/>
      <w:r>
        <w:rPr>
          <w:rFonts w:cs="Times New Roman"/>
          <w:szCs w:val="24"/>
        </w:rPr>
        <w:t xml:space="preserve"> 2017.</w:t>
      </w:r>
    </w:p>
    <w:p w14:paraId="63C5F667" w14:textId="77777777" w:rsidR="00102F88" w:rsidRPr="00B36C6E" w:rsidRDefault="00102F88" w:rsidP="00102F88">
      <w:pPr>
        <w:pStyle w:val="SemEspaamento"/>
        <w:jc w:val="left"/>
        <w:rPr>
          <w:rFonts w:cs="Times New Roman"/>
          <w:szCs w:val="24"/>
        </w:rPr>
      </w:pPr>
    </w:p>
    <w:p w14:paraId="3C8ABCD6" w14:textId="77777777" w:rsidR="00102F88" w:rsidRPr="00B36C6E" w:rsidRDefault="00102F88" w:rsidP="00102F88">
      <w:pPr>
        <w:pStyle w:val="SemEspaamento"/>
        <w:jc w:val="left"/>
        <w:rPr>
          <w:rFonts w:cs="Times New Roman"/>
          <w:szCs w:val="24"/>
        </w:rPr>
      </w:pPr>
      <w:r w:rsidRPr="00B36C6E">
        <w:rPr>
          <w:rFonts w:cs="Times New Roman"/>
          <w:szCs w:val="24"/>
        </w:rPr>
        <w:t xml:space="preserve">BARRETTO, P. H. T. </w:t>
      </w:r>
      <w:r w:rsidRPr="00B36C6E">
        <w:rPr>
          <w:rFonts w:cs="Times New Roman"/>
          <w:b/>
          <w:szCs w:val="24"/>
        </w:rPr>
        <w:t>O sistema Tribunais de contas e instituições equivalentes</w:t>
      </w:r>
      <w:r w:rsidRPr="00B36C6E">
        <w:rPr>
          <w:rFonts w:cs="Times New Roman"/>
          <w:szCs w:val="24"/>
        </w:rPr>
        <w:t>: um estudo comparativo entre o modelo brasileiro e o da união europeia. Rio de Janeiro: Renovar, 2004, 486 p.</w:t>
      </w:r>
    </w:p>
    <w:p w14:paraId="317B3B67" w14:textId="77777777" w:rsidR="00102F88" w:rsidRPr="00B36C6E" w:rsidRDefault="00102F88" w:rsidP="00102F88">
      <w:pPr>
        <w:pStyle w:val="SemEspaamento"/>
        <w:jc w:val="left"/>
        <w:rPr>
          <w:rFonts w:cs="Times New Roman"/>
          <w:szCs w:val="24"/>
        </w:rPr>
      </w:pPr>
    </w:p>
    <w:p w14:paraId="5FA2BA34" w14:textId="77777777" w:rsidR="00102F88" w:rsidRPr="00B36C6E" w:rsidRDefault="00102F88" w:rsidP="00102F88">
      <w:pPr>
        <w:pStyle w:val="SemEspaamento"/>
        <w:jc w:val="left"/>
        <w:rPr>
          <w:rFonts w:cs="Times New Roman"/>
          <w:szCs w:val="24"/>
        </w:rPr>
      </w:pPr>
      <w:r w:rsidRPr="00B36C6E">
        <w:rPr>
          <w:rFonts w:cs="Times New Roman"/>
          <w:szCs w:val="24"/>
        </w:rPr>
        <w:t xml:space="preserve">BARZELAY, M. Instituições centrais de auditoria e auditoria de desempenho: uma análise comparativa das estratégias organizacionais na OCDE. </w:t>
      </w:r>
      <w:r w:rsidRPr="00B36C6E">
        <w:rPr>
          <w:rFonts w:cs="Times New Roman"/>
          <w:i/>
          <w:szCs w:val="24"/>
        </w:rPr>
        <w:t xml:space="preserve">Revista do Serviço Público, 53 </w:t>
      </w:r>
      <w:r w:rsidRPr="00B36C6E">
        <w:rPr>
          <w:rFonts w:cs="Times New Roman"/>
          <w:szCs w:val="24"/>
        </w:rPr>
        <w:t>(2), 5-35, 2002.</w:t>
      </w:r>
    </w:p>
    <w:p w14:paraId="00CE4A4A" w14:textId="77777777" w:rsidR="00102F88" w:rsidRPr="00B36C6E" w:rsidRDefault="00102F88" w:rsidP="00102F88">
      <w:pPr>
        <w:autoSpaceDE w:val="0"/>
        <w:autoSpaceDN w:val="0"/>
        <w:adjustRightInd w:val="0"/>
        <w:jc w:val="left"/>
        <w:rPr>
          <w:rFonts w:cs="Times New Roman"/>
          <w:szCs w:val="24"/>
        </w:rPr>
      </w:pPr>
    </w:p>
    <w:p w14:paraId="0504B3DB" w14:textId="77777777" w:rsidR="00102F88" w:rsidRPr="00B36C6E" w:rsidRDefault="00102F88" w:rsidP="00102F88">
      <w:pPr>
        <w:autoSpaceDE w:val="0"/>
        <w:autoSpaceDN w:val="0"/>
        <w:adjustRightInd w:val="0"/>
        <w:jc w:val="left"/>
        <w:rPr>
          <w:rFonts w:cs="Times New Roman"/>
          <w:szCs w:val="24"/>
        </w:rPr>
      </w:pPr>
      <w:r w:rsidRPr="00B36C6E">
        <w:rPr>
          <w:rFonts w:cs="Times New Roman"/>
          <w:szCs w:val="24"/>
        </w:rPr>
        <w:t xml:space="preserve">BRASIL. Constituição 1988. </w:t>
      </w:r>
      <w:r w:rsidRPr="00B36C6E">
        <w:rPr>
          <w:rFonts w:cs="Times New Roman"/>
          <w:i/>
          <w:szCs w:val="24"/>
        </w:rPr>
        <w:t>Constituição da República Federativa do Brasil.</w:t>
      </w:r>
      <w:r w:rsidRPr="00B36C6E">
        <w:rPr>
          <w:rFonts w:cs="Times New Roman"/>
          <w:szCs w:val="24"/>
        </w:rPr>
        <w:t xml:space="preserve"> Brasília, Senado Federal, 05 out. 1988. Disponível em: &lt;http://www.senado.gov.br/sf/legislacao/const/&gt;. Acesso em: 09 out. 2012.</w:t>
      </w:r>
    </w:p>
    <w:p w14:paraId="20748A2A" w14:textId="77777777" w:rsidR="00102F88" w:rsidRPr="00B36C6E" w:rsidRDefault="00102F88" w:rsidP="00102F88">
      <w:pPr>
        <w:pStyle w:val="SemEspaamento"/>
        <w:jc w:val="left"/>
        <w:rPr>
          <w:rFonts w:cs="Times New Roman"/>
          <w:szCs w:val="24"/>
        </w:rPr>
      </w:pPr>
    </w:p>
    <w:p w14:paraId="31E535AC" w14:textId="77777777" w:rsidR="00102F88" w:rsidRPr="00B36C6E" w:rsidRDefault="00102F88" w:rsidP="00102F88">
      <w:pPr>
        <w:pStyle w:val="SemEspaamento"/>
        <w:jc w:val="left"/>
        <w:rPr>
          <w:rFonts w:cs="Times New Roman"/>
          <w:szCs w:val="24"/>
        </w:rPr>
      </w:pPr>
      <w:r w:rsidRPr="00B36C6E">
        <w:rPr>
          <w:rFonts w:cs="Times New Roman"/>
          <w:szCs w:val="24"/>
        </w:rPr>
        <w:t xml:space="preserve">_____. (2013). Câmara dos Deputados. Proposta de Emenda à Constituição n. 28 de 2007. Disponível em </w:t>
      </w:r>
      <w:hyperlink r:id="rId13" w:history="1">
        <w:r w:rsidRPr="00B36C6E">
          <w:rPr>
            <w:rStyle w:val="Hyperlink"/>
            <w:rFonts w:cs="Times New Roman"/>
            <w:szCs w:val="24"/>
          </w:rPr>
          <w:t>http://www.camara.gov.br/proposicoesWeb/fichadetramitacao?idProposicao=346395</w:t>
        </w:r>
      </w:hyperlink>
      <w:r w:rsidRPr="00B36C6E">
        <w:rPr>
          <w:rFonts w:cs="Times New Roman"/>
          <w:szCs w:val="24"/>
        </w:rPr>
        <w:t>. Acesso em 08 set 2013.</w:t>
      </w:r>
    </w:p>
    <w:p w14:paraId="4148DBD1" w14:textId="77777777" w:rsidR="00102F88" w:rsidRPr="00B36C6E" w:rsidRDefault="00102F88" w:rsidP="00102F88">
      <w:pPr>
        <w:pStyle w:val="SemEspaamento"/>
        <w:jc w:val="left"/>
        <w:rPr>
          <w:rFonts w:cs="Times New Roman"/>
          <w:szCs w:val="24"/>
        </w:rPr>
      </w:pPr>
    </w:p>
    <w:p w14:paraId="2325B855" w14:textId="77777777" w:rsidR="00102F88" w:rsidRPr="00B36C6E" w:rsidRDefault="00102F88" w:rsidP="00102F88">
      <w:pPr>
        <w:pStyle w:val="SemEspaamento"/>
        <w:jc w:val="left"/>
        <w:rPr>
          <w:rFonts w:cs="Times New Roman"/>
          <w:szCs w:val="24"/>
        </w:rPr>
      </w:pPr>
      <w:r w:rsidRPr="00B36C6E">
        <w:rPr>
          <w:rFonts w:cs="Times New Roman"/>
          <w:szCs w:val="24"/>
        </w:rPr>
        <w:t xml:space="preserve">_____. (2013). MINISTÉRIO DO PLANEJAMENTO, ORÇAMENTO E GESTÃO. Diagnóstico complementar do </w:t>
      </w:r>
      <w:proofErr w:type="spellStart"/>
      <w:r w:rsidRPr="00B36C6E">
        <w:rPr>
          <w:rFonts w:cs="Times New Roman"/>
          <w:szCs w:val="24"/>
        </w:rPr>
        <w:t>Promoex</w:t>
      </w:r>
      <w:proofErr w:type="spellEnd"/>
      <w:r w:rsidRPr="00B36C6E">
        <w:rPr>
          <w:rFonts w:cs="Times New Roman"/>
          <w:szCs w:val="24"/>
        </w:rPr>
        <w:t xml:space="preserve">. Disponível em: </w:t>
      </w:r>
      <w:hyperlink r:id="rId14" w:history="1">
        <w:r w:rsidRPr="00B36C6E">
          <w:rPr>
            <w:rStyle w:val="Hyperlink"/>
            <w:rFonts w:cs="Times New Roman"/>
            <w:szCs w:val="24"/>
          </w:rPr>
          <w:t>http://www.tce.ma.gov.br/publicacoes/documento/arquivos/Pesquisa%20FGV_PROMOEX%20Diagnostico%20Ambiente%20Externo.pdf</w:t>
        </w:r>
      </w:hyperlink>
      <w:r w:rsidRPr="00B36C6E">
        <w:rPr>
          <w:rFonts w:cs="Times New Roman"/>
          <w:szCs w:val="24"/>
        </w:rPr>
        <w:t>. Acesso em 14 abr. 2013.</w:t>
      </w:r>
    </w:p>
    <w:p w14:paraId="791D571D" w14:textId="77777777" w:rsidR="00102F88" w:rsidRPr="00B36C6E" w:rsidRDefault="00102F88" w:rsidP="00102F88">
      <w:pPr>
        <w:pStyle w:val="SemEspaamento"/>
        <w:jc w:val="left"/>
        <w:rPr>
          <w:rFonts w:cs="Times New Roman"/>
          <w:szCs w:val="24"/>
        </w:rPr>
      </w:pPr>
    </w:p>
    <w:p w14:paraId="75A3E340" w14:textId="77777777" w:rsidR="00102F88" w:rsidRPr="00B36C6E" w:rsidRDefault="00102F88" w:rsidP="00102F88">
      <w:pPr>
        <w:pStyle w:val="Sumrio2"/>
        <w:jc w:val="left"/>
        <w:rPr>
          <w:rFonts w:cs="Times New Roman"/>
          <w:b/>
          <w:szCs w:val="24"/>
        </w:rPr>
      </w:pPr>
      <w:r w:rsidRPr="00B36C6E">
        <w:rPr>
          <w:rFonts w:cs="Times New Roman"/>
          <w:szCs w:val="24"/>
        </w:rPr>
        <w:t xml:space="preserve">_____._____. (2013). Secretaria de Gestão Pública. </w:t>
      </w:r>
      <w:r w:rsidRPr="00B36C6E">
        <w:rPr>
          <w:rStyle w:val="apple-converted-space"/>
          <w:rFonts w:cs="Times New Roman"/>
          <w:szCs w:val="24"/>
          <w:shd w:val="clear" w:color="auto" w:fill="FFFFFF"/>
        </w:rPr>
        <w:t> </w:t>
      </w:r>
      <w:r w:rsidRPr="00B36C6E">
        <w:rPr>
          <w:rStyle w:val="Forte"/>
          <w:rFonts w:cs="Times New Roman"/>
          <w:b w:val="0"/>
          <w:i/>
          <w:szCs w:val="24"/>
          <w:shd w:val="clear" w:color="auto" w:fill="FFFFFF"/>
        </w:rPr>
        <w:t xml:space="preserve">Relatório de Progresso </w:t>
      </w:r>
      <w:proofErr w:type="spellStart"/>
      <w:r w:rsidRPr="00B36C6E">
        <w:rPr>
          <w:rStyle w:val="Forte"/>
          <w:rFonts w:cs="Times New Roman"/>
          <w:b w:val="0"/>
          <w:i/>
          <w:szCs w:val="24"/>
          <w:shd w:val="clear" w:color="auto" w:fill="FFFFFF"/>
        </w:rPr>
        <w:t>Promoex</w:t>
      </w:r>
      <w:proofErr w:type="spellEnd"/>
      <w:r w:rsidRPr="00B36C6E">
        <w:rPr>
          <w:rStyle w:val="Forte"/>
          <w:rFonts w:cs="Times New Roman"/>
          <w:b w:val="0"/>
          <w:i/>
          <w:szCs w:val="24"/>
          <w:shd w:val="clear" w:color="auto" w:fill="FFFFFF"/>
        </w:rPr>
        <w:t xml:space="preserve"> - 1º e 2º Semestres de 2013 (Relatório Final).</w:t>
      </w:r>
      <w:r w:rsidRPr="00B36C6E">
        <w:rPr>
          <w:rStyle w:val="Forte"/>
          <w:rFonts w:cs="Times New Roman"/>
          <w:szCs w:val="24"/>
          <w:shd w:val="clear" w:color="auto" w:fill="FFFFFF"/>
        </w:rPr>
        <w:t xml:space="preserve"> </w:t>
      </w:r>
      <w:r w:rsidRPr="00B36C6E">
        <w:rPr>
          <w:rStyle w:val="Forte"/>
          <w:rFonts w:cs="Times New Roman"/>
          <w:b w:val="0"/>
          <w:szCs w:val="24"/>
          <w:shd w:val="clear" w:color="auto" w:fill="FFFFFF"/>
        </w:rPr>
        <w:t>Ofício n. 322/2013/PROMOEX/DENOV/SEGEP-MP. Acesso em 27 dez. 2013.</w:t>
      </w:r>
    </w:p>
    <w:p w14:paraId="2B5207DC" w14:textId="77777777" w:rsidR="00102F88" w:rsidRPr="00B36C6E" w:rsidRDefault="00102F88" w:rsidP="00102F88">
      <w:pPr>
        <w:pStyle w:val="SemEspaamento"/>
        <w:jc w:val="left"/>
        <w:rPr>
          <w:rFonts w:cs="Times New Roman"/>
          <w:szCs w:val="24"/>
        </w:rPr>
      </w:pPr>
    </w:p>
    <w:p w14:paraId="05045546" w14:textId="77777777" w:rsidR="00102F88" w:rsidRPr="00B36C6E" w:rsidRDefault="00102F88" w:rsidP="00102F88">
      <w:pPr>
        <w:pStyle w:val="SemEspaamento"/>
        <w:jc w:val="left"/>
        <w:rPr>
          <w:rFonts w:cs="Times New Roman"/>
          <w:szCs w:val="24"/>
        </w:rPr>
      </w:pPr>
      <w:r w:rsidRPr="00B36C6E">
        <w:rPr>
          <w:rFonts w:cs="Times New Roman"/>
          <w:szCs w:val="24"/>
        </w:rPr>
        <w:t xml:space="preserve">BRESSER-PEREIRA, L. C.; GRAU, N. C. </w:t>
      </w:r>
      <w:proofErr w:type="spellStart"/>
      <w:r w:rsidRPr="00B36C6E">
        <w:rPr>
          <w:rFonts w:cs="Times New Roman"/>
          <w:szCs w:val="24"/>
        </w:rPr>
        <w:t>Coords</w:t>
      </w:r>
      <w:proofErr w:type="spellEnd"/>
      <w:r w:rsidRPr="00B36C6E">
        <w:rPr>
          <w:rFonts w:cs="Times New Roman"/>
          <w:szCs w:val="24"/>
        </w:rPr>
        <w:t xml:space="preserve">. </w:t>
      </w:r>
      <w:r w:rsidRPr="00B36C6E">
        <w:rPr>
          <w:rFonts w:cs="Times New Roman"/>
          <w:bCs/>
          <w:i/>
          <w:szCs w:val="24"/>
        </w:rPr>
        <w:t>Responsabilização na Administração Pública</w:t>
      </w:r>
      <w:r w:rsidRPr="00B36C6E">
        <w:rPr>
          <w:rFonts w:cs="Times New Roman"/>
          <w:szCs w:val="24"/>
        </w:rPr>
        <w:t xml:space="preserve">. São Paulo: </w:t>
      </w:r>
      <w:proofErr w:type="spellStart"/>
      <w:r w:rsidRPr="00B36C6E">
        <w:rPr>
          <w:rFonts w:cs="Times New Roman"/>
          <w:szCs w:val="24"/>
        </w:rPr>
        <w:t>Clad</w:t>
      </w:r>
      <w:proofErr w:type="spellEnd"/>
      <w:r w:rsidRPr="00B36C6E">
        <w:rPr>
          <w:rFonts w:cs="Times New Roman"/>
          <w:szCs w:val="24"/>
        </w:rPr>
        <w:t>/</w:t>
      </w:r>
      <w:proofErr w:type="spellStart"/>
      <w:r w:rsidRPr="00B36C6E">
        <w:rPr>
          <w:rFonts w:cs="Times New Roman"/>
          <w:szCs w:val="24"/>
        </w:rPr>
        <w:t>Fundap</w:t>
      </w:r>
      <w:proofErr w:type="spellEnd"/>
      <w:r w:rsidRPr="00B36C6E">
        <w:rPr>
          <w:rFonts w:cs="Times New Roman"/>
          <w:szCs w:val="24"/>
        </w:rPr>
        <w:t>, 2006.</w:t>
      </w:r>
    </w:p>
    <w:p w14:paraId="12480373" w14:textId="77777777" w:rsidR="00102F88" w:rsidRPr="00B36C6E" w:rsidRDefault="00102F88" w:rsidP="00102F88">
      <w:pPr>
        <w:pStyle w:val="SemEspaamento"/>
        <w:jc w:val="left"/>
        <w:rPr>
          <w:rFonts w:cs="Times New Roman"/>
          <w:szCs w:val="24"/>
        </w:rPr>
      </w:pPr>
    </w:p>
    <w:p w14:paraId="6FB8FBE9" w14:textId="77777777" w:rsidR="00102F88" w:rsidRPr="00B36C6E" w:rsidRDefault="00102F88" w:rsidP="00102F88">
      <w:pPr>
        <w:pStyle w:val="SemEspaamento"/>
        <w:jc w:val="left"/>
        <w:rPr>
          <w:rFonts w:cs="Times New Roman"/>
          <w:szCs w:val="24"/>
        </w:rPr>
      </w:pPr>
      <w:r w:rsidRPr="00B36C6E">
        <w:rPr>
          <w:rFonts w:cs="Times New Roman"/>
          <w:szCs w:val="24"/>
        </w:rPr>
        <w:t xml:space="preserve">BUGARIN, M. S.; VIEIRA, L. M.; GARCIA, L. M. </w:t>
      </w:r>
      <w:r w:rsidRPr="00B36C6E">
        <w:rPr>
          <w:rFonts w:cs="Times New Roman"/>
          <w:i/>
          <w:szCs w:val="24"/>
        </w:rPr>
        <w:t>O controle dos gastos públicos no Brasil.</w:t>
      </w:r>
      <w:r w:rsidRPr="00B36C6E">
        <w:rPr>
          <w:rFonts w:cs="Times New Roman"/>
          <w:szCs w:val="24"/>
        </w:rPr>
        <w:t xml:space="preserve"> Instituições oficiais, controle social e um mecanismo para ampliar o envolvimento da sociedade. Rio de Janeiro: Konrad-</w:t>
      </w:r>
      <w:proofErr w:type="spellStart"/>
      <w:r w:rsidRPr="00B36C6E">
        <w:rPr>
          <w:rFonts w:cs="Times New Roman"/>
          <w:szCs w:val="24"/>
        </w:rPr>
        <w:t>Adenauer</w:t>
      </w:r>
      <w:proofErr w:type="spellEnd"/>
      <w:r w:rsidRPr="00B36C6E">
        <w:rPr>
          <w:rFonts w:cs="Times New Roman"/>
          <w:szCs w:val="24"/>
        </w:rPr>
        <w:t>-</w:t>
      </w:r>
      <w:proofErr w:type="spellStart"/>
      <w:r w:rsidRPr="00B36C6E">
        <w:rPr>
          <w:rFonts w:cs="Times New Roman"/>
          <w:szCs w:val="24"/>
        </w:rPr>
        <w:t>Stiftung</w:t>
      </w:r>
      <w:proofErr w:type="spellEnd"/>
      <w:r w:rsidRPr="00B36C6E">
        <w:rPr>
          <w:rFonts w:cs="Times New Roman"/>
          <w:szCs w:val="24"/>
        </w:rPr>
        <w:t>, 2003, 224 p.</w:t>
      </w:r>
    </w:p>
    <w:p w14:paraId="26A50F22" w14:textId="77777777" w:rsidR="00102F88" w:rsidRPr="00B36C6E" w:rsidRDefault="00102F88" w:rsidP="00102F88">
      <w:pPr>
        <w:pStyle w:val="SemEspaamento"/>
        <w:jc w:val="left"/>
        <w:rPr>
          <w:rFonts w:cs="Times New Roman"/>
          <w:szCs w:val="24"/>
        </w:rPr>
      </w:pPr>
    </w:p>
    <w:p w14:paraId="25425E00" w14:textId="77777777" w:rsidR="00102F88" w:rsidRPr="00B36C6E" w:rsidRDefault="00102F88" w:rsidP="00102F88">
      <w:pPr>
        <w:autoSpaceDE w:val="0"/>
        <w:autoSpaceDN w:val="0"/>
        <w:adjustRightInd w:val="0"/>
        <w:jc w:val="left"/>
        <w:rPr>
          <w:rFonts w:cs="Times New Roman"/>
          <w:szCs w:val="24"/>
        </w:rPr>
      </w:pPr>
      <w:r w:rsidRPr="00B36C6E">
        <w:rPr>
          <w:rFonts w:cs="Times New Roman"/>
          <w:szCs w:val="24"/>
        </w:rPr>
        <w:t>CASTALDELLI JÚNIOR, E.; AQUINO, A. C. B</w:t>
      </w:r>
      <w:r w:rsidRPr="00B36C6E">
        <w:rPr>
          <w:rFonts w:cs="Times New Roman"/>
          <w:b/>
          <w:szCs w:val="24"/>
        </w:rPr>
        <w:t>.</w:t>
      </w:r>
      <w:r w:rsidRPr="00B36C6E">
        <w:rPr>
          <w:rFonts w:cs="Times New Roman"/>
          <w:szCs w:val="24"/>
        </w:rPr>
        <w:t xml:space="preserve"> Indicadores de desempenho em entidades fiscalizadoras superiores: o caso brasileiro. </w:t>
      </w:r>
      <w:r w:rsidRPr="00B36C6E">
        <w:rPr>
          <w:rFonts w:cs="Times New Roman"/>
          <w:i/>
          <w:szCs w:val="24"/>
        </w:rPr>
        <w:t>Revista Contabilidade Vista &amp; Revista</w:t>
      </w:r>
      <w:r w:rsidRPr="00B36C6E">
        <w:rPr>
          <w:rFonts w:cs="Times New Roman"/>
          <w:szCs w:val="24"/>
        </w:rPr>
        <w:t xml:space="preserve">, </w:t>
      </w:r>
      <w:r w:rsidRPr="00B36C6E">
        <w:rPr>
          <w:rFonts w:cs="Times New Roman"/>
          <w:i/>
          <w:szCs w:val="24"/>
        </w:rPr>
        <w:t>22</w:t>
      </w:r>
      <w:r w:rsidRPr="00B36C6E">
        <w:rPr>
          <w:rFonts w:cs="Times New Roman"/>
          <w:szCs w:val="24"/>
        </w:rPr>
        <w:t xml:space="preserve"> (3), 15-40, 2011.</w:t>
      </w:r>
    </w:p>
    <w:p w14:paraId="7E1CE6E2" w14:textId="77777777" w:rsidR="00102F88" w:rsidRPr="00B36C6E" w:rsidRDefault="00102F88" w:rsidP="00102F88">
      <w:pPr>
        <w:autoSpaceDE w:val="0"/>
        <w:autoSpaceDN w:val="0"/>
        <w:adjustRightInd w:val="0"/>
        <w:jc w:val="left"/>
        <w:rPr>
          <w:rFonts w:cs="Times New Roman"/>
          <w:szCs w:val="24"/>
        </w:rPr>
      </w:pPr>
    </w:p>
    <w:p w14:paraId="35D277D8" w14:textId="61720911" w:rsidR="00102F88" w:rsidRPr="00B36C6E" w:rsidRDefault="00102F88" w:rsidP="00102F88">
      <w:pPr>
        <w:autoSpaceDE w:val="0"/>
        <w:autoSpaceDN w:val="0"/>
        <w:adjustRightInd w:val="0"/>
        <w:jc w:val="left"/>
        <w:rPr>
          <w:rFonts w:cs="Times New Roman"/>
          <w:szCs w:val="24"/>
        </w:rPr>
      </w:pPr>
      <w:r w:rsidRPr="00B36C6E">
        <w:rPr>
          <w:rFonts w:cs="Times New Roman"/>
          <w:szCs w:val="24"/>
        </w:rPr>
        <w:t xml:space="preserve">CÔRREA, I. M. Planejamento estratégico e gestão pública por resultados no processo de reforma administrativa do estado de Minas Gerais. </w:t>
      </w:r>
      <w:r w:rsidRPr="00B36C6E">
        <w:rPr>
          <w:rFonts w:cs="Times New Roman"/>
          <w:i/>
          <w:szCs w:val="24"/>
        </w:rPr>
        <w:t>Revista de Administração Pública, (41)</w:t>
      </w:r>
      <w:r w:rsidRPr="00B36C6E">
        <w:rPr>
          <w:rFonts w:cs="Times New Roman"/>
          <w:szCs w:val="24"/>
        </w:rPr>
        <w:t>, 3, 487-504, 2007.</w:t>
      </w:r>
    </w:p>
    <w:p w14:paraId="6ED2AB63" w14:textId="585FBA00" w:rsidR="009A527D" w:rsidRPr="00B36C6E" w:rsidRDefault="009A527D" w:rsidP="00102F88">
      <w:pPr>
        <w:autoSpaceDE w:val="0"/>
        <w:autoSpaceDN w:val="0"/>
        <w:adjustRightInd w:val="0"/>
        <w:jc w:val="left"/>
        <w:rPr>
          <w:rFonts w:cs="Times New Roman"/>
          <w:szCs w:val="24"/>
        </w:rPr>
      </w:pPr>
    </w:p>
    <w:p w14:paraId="30047595" w14:textId="77777777" w:rsidR="009A527D" w:rsidRPr="00B36C6E" w:rsidRDefault="009A527D" w:rsidP="009A527D">
      <w:pPr>
        <w:autoSpaceDE w:val="0"/>
        <w:autoSpaceDN w:val="0"/>
        <w:adjustRightInd w:val="0"/>
        <w:rPr>
          <w:rFonts w:cs="Times New Roman"/>
          <w:color w:val="000000" w:themeColor="text1"/>
          <w:szCs w:val="24"/>
        </w:rPr>
      </w:pPr>
      <w:proofErr w:type="spellStart"/>
      <w:r w:rsidRPr="00B36C6E">
        <w:rPr>
          <w:rFonts w:cs="Times New Roman"/>
          <w:color w:val="000000" w:themeColor="text1"/>
          <w:szCs w:val="24"/>
        </w:rPr>
        <w:t>Creswell</w:t>
      </w:r>
      <w:proofErr w:type="spellEnd"/>
      <w:r w:rsidRPr="00B36C6E">
        <w:rPr>
          <w:rFonts w:cs="Times New Roman"/>
          <w:color w:val="000000" w:themeColor="text1"/>
          <w:szCs w:val="24"/>
        </w:rPr>
        <w:t xml:space="preserve">, J. W. Projeto de pesquisa: métodos qualitativo, quantitativo e misto. </w:t>
      </w:r>
      <w:proofErr w:type="gramStart"/>
      <w:r w:rsidRPr="00B36C6E">
        <w:rPr>
          <w:rFonts w:cs="Times New Roman"/>
          <w:color w:val="000000" w:themeColor="text1"/>
          <w:szCs w:val="24"/>
        </w:rPr>
        <w:t>2 ed.</w:t>
      </w:r>
      <w:proofErr w:type="gramEnd"/>
      <w:r w:rsidRPr="00B36C6E">
        <w:rPr>
          <w:rFonts w:cs="Times New Roman"/>
          <w:color w:val="000000" w:themeColor="text1"/>
          <w:szCs w:val="24"/>
        </w:rPr>
        <w:t xml:space="preserve"> Porto Alegre: Artmed, 2007, 248p.</w:t>
      </w:r>
    </w:p>
    <w:p w14:paraId="6B6F6B76" w14:textId="77777777" w:rsidR="009A527D" w:rsidRPr="00B36C6E" w:rsidRDefault="009A527D" w:rsidP="009A527D">
      <w:pPr>
        <w:autoSpaceDE w:val="0"/>
        <w:autoSpaceDN w:val="0"/>
        <w:adjustRightInd w:val="0"/>
        <w:jc w:val="left"/>
        <w:rPr>
          <w:rFonts w:cs="Times New Roman"/>
          <w:szCs w:val="24"/>
        </w:rPr>
      </w:pPr>
    </w:p>
    <w:p w14:paraId="664C6A2A" w14:textId="77777777" w:rsidR="00102F88" w:rsidRPr="00B36C6E" w:rsidRDefault="00102F88" w:rsidP="00102F88">
      <w:pPr>
        <w:autoSpaceDE w:val="0"/>
        <w:autoSpaceDN w:val="0"/>
        <w:adjustRightInd w:val="0"/>
        <w:jc w:val="left"/>
        <w:rPr>
          <w:rFonts w:cs="Times New Roman"/>
          <w:szCs w:val="24"/>
        </w:rPr>
      </w:pPr>
    </w:p>
    <w:p w14:paraId="1C91BF27" w14:textId="1C2B0875" w:rsidR="00102F88" w:rsidRPr="00B36C6E" w:rsidRDefault="00102F88" w:rsidP="00102F88">
      <w:pPr>
        <w:pStyle w:val="SemEspaamento"/>
        <w:jc w:val="left"/>
        <w:rPr>
          <w:rFonts w:cs="Times New Roman"/>
          <w:szCs w:val="24"/>
        </w:rPr>
      </w:pPr>
      <w:r w:rsidRPr="00B36C6E">
        <w:rPr>
          <w:rFonts w:cs="Times New Roman"/>
          <w:szCs w:val="24"/>
        </w:rPr>
        <w:t xml:space="preserve">FERNANDES, J. U. J. </w:t>
      </w:r>
      <w:r w:rsidRPr="00B36C6E">
        <w:rPr>
          <w:rFonts w:cs="Times New Roman"/>
          <w:i/>
          <w:szCs w:val="24"/>
        </w:rPr>
        <w:t>Tribunais de Contas do Brasil:</w:t>
      </w:r>
      <w:r w:rsidRPr="00B36C6E">
        <w:rPr>
          <w:rFonts w:cs="Times New Roman"/>
          <w:szCs w:val="24"/>
        </w:rPr>
        <w:t xml:space="preserve"> jurisdição e competência. Belo Horizonte: Ed. Fórum, 2003, 890p.</w:t>
      </w:r>
    </w:p>
    <w:p w14:paraId="39F0246E" w14:textId="0B860AF7" w:rsidR="00E42B05" w:rsidRPr="00B36C6E" w:rsidRDefault="00E42B05" w:rsidP="00102F88">
      <w:pPr>
        <w:pStyle w:val="SemEspaamento"/>
        <w:jc w:val="left"/>
        <w:rPr>
          <w:rFonts w:cs="Times New Roman"/>
          <w:szCs w:val="24"/>
        </w:rPr>
      </w:pPr>
    </w:p>
    <w:p w14:paraId="305F4E28" w14:textId="21F78082" w:rsidR="00E42B05" w:rsidRPr="00B36C6E" w:rsidRDefault="00E42B05" w:rsidP="00102F88">
      <w:pPr>
        <w:pStyle w:val="SemEspaamento"/>
        <w:jc w:val="left"/>
        <w:rPr>
          <w:rFonts w:cs="Times New Roman"/>
          <w:szCs w:val="24"/>
          <w:lang w:val="en-US"/>
        </w:rPr>
      </w:pPr>
      <w:r w:rsidRPr="00B36C6E">
        <w:rPr>
          <w:rFonts w:cs="Times New Roman"/>
          <w:szCs w:val="24"/>
        </w:rPr>
        <w:t xml:space="preserve">GENÉDIO, L. Auditoria Financeira: o papel do controle externo. Seminário brasileiro de Custos e Contabilidade aplicada ao setor público. Secretaria do Tesouro Nacional. Disponível em </w:t>
      </w:r>
      <w:hyperlink r:id="rId15" w:history="1">
        <w:r w:rsidRPr="00B36C6E">
          <w:rPr>
            <w:rStyle w:val="Hyperlink"/>
            <w:rFonts w:cs="Times New Roman"/>
            <w:szCs w:val="24"/>
          </w:rPr>
          <w:t>http://www.tesouro.fazenda.gov.br/pt_PT/treinamentos-e-eventos</w:t>
        </w:r>
      </w:hyperlink>
      <w:r w:rsidRPr="00B36C6E">
        <w:rPr>
          <w:rFonts w:cs="Times New Roman"/>
          <w:szCs w:val="24"/>
        </w:rPr>
        <w:t xml:space="preserve">. </w:t>
      </w:r>
      <w:r w:rsidRPr="00B36C6E">
        <w:rPr>
          <w:rFonts w:cs="Times New Roman"/>
          <w:szCs w:val="24"/>
          <w:lang w:val="en-US"/>
        </w:rPr>
        <w:t xml:space="preserve">Acesso </w:t>
      </w:r>
      <w:proofErr w:type="spellStart"/>
      <w:r w:rsidRPr="00B36C6E">
        <w:rPr>
          <w:rFonts w:cs="Times New Roman"/>
          <w:szCs w:val="24"/>
          <w:lang w:val="en-US"/>
        </w:rPr>
        <w:t>em</w:t>
      </w:r>
      <w:proofErr w:type="spellEnd"/>
      <w:r w:rsidRPr="00B36C6E">
        <w:rPr>
          <w:rFonts w:cs="Times New Roman"/>
          <w:szCs w:val="24"/>
          <w:lang w:val="en-US"/>
        </w:rPr>
        <w:t xml:space="preserve"> 02 Jul 2017.</w:t>
      </w:r>
    </w:p>
    <w:p w14:paraId="1E5EF23E" w14:textId="77777777" w:rsidR="00102F88" w:rsidRPr="00B36C6E" w:rsidRDefault="00102F88" w:rsidP="00102F88">
      <w:pPr>
        <w:autoSpaceDE w:val="0"/>
        <w:autoSpaceDN w:val="0"/>
        <w:adjustRightInd w:val="0"/>
        <w:jc w:val="left"/>
        <w:rPr>
          <w:rFonts w:cs="Times New Roman"/>
          <w:szCs w:val="24"/>
          <w:lang w:val="en-US"/>
        </w:rPr>
      </w:pPr>
    </w:p>
    <w:p w14:paraId="3B7FFB68" w14:textId="77777777" w:rsidR="00102F88" w:rsidRPr="00B36C6E" w:rsidRDefault="00102F88" w:rsidP="00102F88">
      <w:pPr>
        <w:autoSpaceDE w:val="0"/>
        <w:autoSpaceDN w:val="0"/>
        <w:adjustRightInd w:val="0"/>
        <w:jc w:val="left"/>
        <w:rPr>
          <w:rFonts w:cs="Times New Roman"/>
          <w:szCs w:val="24"/>
          <w:lang w:val="en-US"/>
        </w:rPr>
      </w:pPr>
      <w:r w:rsidRPr="00B36C6E">
        <w:rPr>
          <w:rFonts w:cs="Times New Roman"/>
          <w:szCs w:val="24"/>
          <w:lang w:val="en-US"/>
        </w:rPr>
        <w:t xml:space="preserve">GONZÁLEZ, B.; LÓPEZ, A.; GARCÍA, R. Supreme Audit Institutions e their communication strategies. </w:t>
      </w:r>
      <w:r w:rsidRPr="00B36C6E">
        <w:rPr>
          <w:rFonts w:cs="Times New Roman"/>
          <w:bCs/>
          <w:i/>
          <w:szCs w:val="24"/>
          <w:lang w:val="en-US"/>
        </w:rPr>
        <w:t>International Review of Administrative Sciences</w:t>
      </w:r>
      <w:r w:rsidRPr="00B36C6E">
        <w:rPr>
          <w:rFonts w:cs="Times New Roman"/>
          <w:i/>
          <w:szCs w:val="24"/>
          <w:lang w:val="en-US"/>
        </w:rPr>
        <w:t>, 74</w:t>
      </w:r>
      <w:r w:rsidRPr="00B36C6E">
        <w:rPr>
          <w:rFonts w:cs="Times New Roman"/>
          <w:szCs w:val="24"/>
          <w:lang w:val="en-US"/>
        </w:rPr>
        <w:t xml:space="preserve"> (3), 435–461, 2008.</w:t>
      </w:r>
    </w:p>
    <w:p w14:paraId="37DC982D" w14:textId="77777777" w:rsidR="00102F88" w:rsidRPr="00B36C6E" w:rsidRDefault="00102F88" w:rsidP="00102F88">
      <w:pPr>
        <w:autoSpaceDE w:val="0"/>
        <w:autoSpaceDN w:val="0"/>
        <w:adjustRightInd w:val="0"/>
        <w:jc w:val="left"/>
        <w:rPr>
          <w:rFonts w:cs="Times New Roman"/>
          <w:szCs w:val="24"/>
          <w:lang w:val="en-US"/>
        </w:rPr>
      </w:pPr>
    </w:p>
    <w:p w14:paraId="24C6D68F" w14:textId="77777777" w:rsidR="00102F88" w:rsidRPr="00B36C6E" w:rsidRDefault="00102F88" w:rsidP="00102F88">
      <w:pPr>
        <w:pStyle w:val="SemEspaamento"/>
        <w:jc w:val="left"/>
        <w:rPr>
          <w:rFonts w:cs="Times New Roman"/>
          <w:szCs w:val="24"/>
        </w:rPr>
      </w:pPr>
      <w:r w:rsidRPr="00B36C6E">
        <w:rPr>
          <w:rFonts w:cs="Times New Roman"/>
          <w:szCs w:val="24"/>
        </w:rPr>
        <w:t xml:space="preserve">INSTITUTO RUI BARBOSA. </w:t>
      </w:r>
      <w:r w:rsidRPr="00B36C6E">
        <w:rPr>
          <w:rFonts w:cs="Times New Roman"/>
          <w:bCs/>
          <w:i/>
          <w:szCs w:val="24"/>
        </w:rPr>
        <w:t>Ofício Circular IRB n. 32/2013</w:t>
      </w:r>
      <w:r w:rsidRPr="00B36C6E">
        <w:rPr>
          <w:rFonts w:cs="Times New Roman"/>
          <w:szCs w:val="24"/>
        </w:rPr>
        <w:t>. Planejamento estratégico. Termo de Referência do Comitê de Planejamento Organizacional do IRB. Palmas, 2013.</w:t>
      </w:r>
    </w:p>
    <w:p w14:paraId="7B21E81D" w14:textId="77777777" w:rsidR="00102F88" w:rsidRPr="00B36C6E" w:rsidRDefault="00102F88" w:rsidP="00102F88">
      <w:pPr>
        <w:autoSpaceDE w:val="0"/>
        <w:autoSpaceDN w:val="0"/>
        <w:adjustRightInd w:val="0"/>
        <w:jc w:val="left"/>
        <w:rPr>
          <w:rFonts w:cs="Times New Roman"/>
          <w:szCs w:val="24"/>
        </w:rPr>
      </w:pPr>
    </w:p>
    <w:p w14:paraId="5ED29B44" w14:textId="77777777" w:rsidR="00102F88" w:rsidRPr="00B36C6E" w:rsidRDefault="00102F88" w:rsidP="00102F88">
      <w:pPr>
        <w:autoSpaceDE w:val="0"/>
        <w:autoSpaceDN w:val="0"/>
        <w:adjustRightInd w:val="0"/>
        <w:jc w:val="left"/>
        <w:rPr>
          <w:rFonts w:cs="Times New Roman"/>
          <w:szCs w:val="24"/>
          <w:lang w:val="en-US"/>
        </w:rPr>
      </w:pPr>
      <w:r w:rsidRPr="00B36C6E">
        <w:rPr>
          <w:rFonts w:cs="Times New Roman"/>
          <w:szCs w:val="24"/>
        </w:rPr>
        <w:t>_____. Diretoria do IRB se reúne e define nova composição de Gestões e Comitês Temáticos. Disponível em: &lt;</w:t>
      </w:r>
      <w:hyperlink r:id="rId16" w:history="1">
        <w:r w:rsidRPr="00B36C6E">
          <w:rPr>
            <w:rFonts w:cs="Times New Roman"/>
            <w:szCs w:val="24"/>
          </w:rPr>
          <w:t>http://www.irbcontas.org.br/noticia/diretoria-do-irb-se-reune-e-define-nova-composicao-de-gestoes-e-comites-tematicos/412</w:t>
        </w:r>
      </w:hyperlink>
      <w:r w:rsidRPr="00B36C6E">
        <w:rPr>
          <w:rFonts w:cs="Times New Roman"/>
          <w:szCs w:val="24"/>
        </w:rPr>
        <w:t xml:space="preserve">&gt;. </w:t>
      </w:r>
      <w:proofErr w:type="spellStart"/>
      <w:r w:rsidRPr="00B36C6E">
        <w:rPr>
          <w:rFonts w:cs="Times New Roman"/>
          <w:szCs w:val="24"/>
          <w:lang w:val="en-US"/>
        </w:rPr>
        <w:t>Acesso</w:t>
      </w:r>
      <w:proofErr w:type="spellEnd"/>
      <w:r w:rsidRPr="00B36C6E">
        <w:rPr>
          <w:rFonts w:cs="Times New Roman"/>
          <w:szCs w:val="24"/>
          <w:lang w:val="en-US"/>
        </w:rPr>
        <w:t xml:space="preserve"> </w:t>
      </w:r>
      <w:proofErr w:type="spellStart"/>
      <w:r w:rsidRPr="00B36C6E">
        <w:rPr>
          <w:rFonts w:cs="Times New Roman"/>
          <w:szCs w:val="24"/>
          <w:lang w:val="en-US"/>
        </w:rPr>
        <w:t>em</w:t>
      </w:r>
      <w:proofErr w:type="spellEnd"/>
      <w:r w:rsidRPr="00B36C6E">
        <w:rPr>
          <w:rFonts w:cs="Times New Roman"/>
          <w:szCs w:val="24"/>
          <w:lang w:val="en-US"/>
        </w:rPr>
        <w:t xml:space="preserve"> 13 </w:t>
      </w:r>
      <w:proofErr w:type="spellStart"/>
      <w:r w:rsidRPr="00B36C6E">
        <w:rPr>
          <w:rFonts w:cs="Times New Roman"/>
          <w:szCs w:val="24"/>
          <w:lang w:val="en-US"/>
        </w:rPr>
        <w:t>maio</w:t>
      </w:r>
      <w:proofErr w:type="spellEnd"/>
      <w:r w:rsidRPr="00B36C6E">
        <w:rPr>
          <w:rFonts w:cs="Times New Roman"/>
          <w:szCs w:val="24"/>
          <w:lang w:val="en-US"/>
        </w:rPr>
        <w:t xml:space="preserve"> 2014.</w:t>
      </w:r>
    </w:p>
    <w:p w14:paraId="509B6DEC" w14:textId="77777777" w:rsidR="00102F88" w:rsidRPr="00B36C6E" w:rsidRDefault="00102F88" w:rsidP="00102F88">
      <w:pPr>
        <w:autoSpaceDE w:val="0"/>
        <w:autoSpaceDN w:val="0"/>
        <w:adjustRightInd w:val="0"/>
        <w:jc w:val="left"/>
        <w:rPr>
          <w:rFonts w:cs="Times New Roman"/>
          <w:szCs w:val="24"/>
          <w:lang w:val="en-US"/>
        </w:rPr>
      </w:pPr>
    </w:p>
    <w:p w14:paraId="75D4D7FD" w14:textId="77777777" w:rsidR="00102F88" w:rsidRPr="00B36C6E" w:rsidRDefault="00102F88" w:rsidP="00102F88">
      <w:pPr>
        <w:autoSpaceDE w:val="0"/>
        <w:autoSpaceDN w:val="0"/>
        <w:adjustRightInd w:val="0"/>
        <w:jc w:val="left"/>
        <w:rPr>
          <w:rFonts w:cs="Times New Roman"/>
          <w:szCs w:val="24"/>
        </w:rPr>
      </w:pPr>
      <w:r w:rsidRPr="00B36C6E">
        <w:rPr>
          <w:rFonts w:cs="Times New Roman"/>
          <w:szCs w:val="24"/>
          <w:lang w:val="en-US"/>
        </w:rPr>
        <w:t xml:space="preserve">INTERNATIONAL ORGANIZATION OF SUPREME AUDIT INSTITUTIONS - INTOSAI. Strategic Plan 2011-2016. </w:t>
      </w:r>
      <w:r w:rsidRPr="00B36C6E">
        <w:rPr>
          <w:rFonts w:cs="Times New Roman"/>
          <w:szCs w:val="24"/>
        </w:rPr>
        <w:t xml:space="preserve">Disponível em </w:t>
      </w:r>
      <w:hyperlink r:id="rId17" w:history="1">
        <w:r w:rsidRPr="00B36C6E">
          <w:rPr>
            <w:rStyle w:val="Hyperlink"/>
            <w:rFonts w:cs="Times New Roman"/>
            <w:szCs w:val="24"/>
          </w:rPr>
          <w:t>http://www.intosai.org/uploads/intosaispenglishv9web.pdf</w:t>
        </w:r>
      </w:hyperlink>
      <w:r w:rsidRPr="00B36C6E">
        <w:rPr>
          <w:rFonts w:cs="Times New Roman"/>
          <w:szCs w:val="24"/>
        </w:rPr>
        <w:t>. Acesso em 10 jul. 2013.</w:t>
      </w:r>
    </w:p>
    <w:p w14:paraId="016EFC46" w14:textId="77777777" w:rsidR="00102F88" w:rsidRPr="00B36C6E" w:rsidRDefault="00102F88" w:rsidP="00102F88">
      <w:pPr>
        <w:pStyle w:val="SemEspaamento"/>
        <w:jc w:val="left"/>
        <w:rPr>
          <w:rFonts w:cs="Times New Roman"/>
          <w:szCs w:val="24"/>
        </w:rPr>
      </w:pPr>
    </w:p>
    <w:p w14:paraId="19D0CA8C" w14:textId="77777777" w:rsidR="00102F88" w:rsidRPr="00B36C6E" w:rsidRDefault="00102F88" w:rsidP="00102F88">
      <w:pPr>
        <w:pStyle w:val="SemEspaamento"/>
        <w:jc w:val="left"/>
        <w:rPr>
          <w:rFonts w:cs="Times New Roman"/>
          <w:szCs w:val="24"/>
        </w:rPr>
      </w:pPr>
      <w:r w:rsidRPr="00B36C6E">
        <w:rPr>
          <w:rFonts w:cs="Times New Roman"/>
          <w:szCs w:val="24"/>
        </w:rPr>
        <w:t>JANUZZI, P. M. Indicadores sociais no Brasil. Conceitos, fontes de dados e aplicações. 4 ed. Campinas-SP: Editora Alínea, 2009.</w:t>
      </w:r>
    </w:p>
    <w:p w14:paraId="79F70A6A" w14:textId="77777777" w:rsidR="00102F88" w:rsidRPr="00B36C6E" w:rsidRDefault="00102F88" w:rsidP="00102F88">
      <w:pPr>
        <w:pStyle w:val="SemEspaamento"/>
        <w:jc w:val="left"/>
        <w:rPr>
          <w:rFonts w:cs="Times New Roman"/>
          <w:szCs w:val="24"/>
        </w:rPr>
      </w:pPr>
    </w:p>
    <w:p w14:paraId="15577AA3" w14:textId="77777777" w:rsidR="00102F88" w:rsidRPr="00B36C6E" w:rsidRDefault="00102F88" w:rsidP="00102F88">
      <w:pPr>
        <w:pStyle w:val="SemEspaamento"/>
        <w:jc w:val="left"/>
        <w:rPr>
          <w:rFonts w:cs="Times New Roman"/>
          <w:szCs w:val="24"/>
        </w:rPr>
      </w:pPr>
      <w:r w:rsidRPr="00B36C6E">
        <w:rPr>
          <w:rFonts w:cs="Times New Roman"/>
          <w:szCs w:val="24"/>
        </w:rPr>
        <w:t xml:space="preserve">KELLES, M. F. </w:t>
      </w:r>
      <w:r w:rsidRPr="00B36C6E">
        <w:rPr>
          <w:rFonts w:cs="Times New Roman"/>
          <w:i/>
          <w:szCs w:val="24"/>
        </w:rPr>
        <w:t>Controle da Administração Pública democrática:</w:t>
      </w:r>
      <w:r w:rsidRPr="00B36C6E">
        <w:rPr>
          <w:rFonts w:cs="Times New Roman"/>
          <w:szCs w:val="24"/>
        </w:rPr>
        <w:t xml:space="preserve"> Tribunal de Contas no controle da LRF. Belo Horizonte: Fórum, 2007, 295 p. </w:t>
      </w:r>
    </w:p>
    <w:p w14:paraId="58086D4B" w14:textId="77777777" w:rsidR="00102F88" w:rsidRPr="00B36C6E" w:rsidRDefault="00102F88" w:rsidP="00102F88">
      <w:pPr>
        <w:pStyle w:val="SemEspaamento"/>
        <w:jc w:val="left"/>
        <w:rPr>
          <w:rFonts w:cs="Times New Roman"/>
          <w:szCs w:val="24"/>
        </w:rPr>
      </w:pPr>
      <w:r w:rsidRPr="00B36C6E">
        <w:rPr>
          <w:rFonts w:cs="Times New Roman"/>
          <w:szCs w:val="24"/>
        </w:rPr>
        <w:tab/>
      </w:r>
    </w:p>
    <w:p w14:paraId="5655CB48" w14:textId="77777777" w:rsidR="00102F88" w:rsidRPr="00B36C6E" w:rsidRDefault="00102F88" w:rsidP="00102F88">
      <w:pPr>
        <w:autoSpaceDE w:val="0"/>
        <w:autoSpaceDN w:val="0"/>
        <w:adjustRightInd w:val="0"/>
        <w:jc w:val="left"/>
        <w:rPr>
          <w:rFonts w:cs="Times New Roman"/>
          <w:szCs w:val="24"/>
        </w:rPr>
      </w:pPr>
      <w:r w:rsidRPr="00B36C6E">
        <w:rPr>
          <w:rFonts w:cs="Times New Roman"/>
          <w:szCs w:val="24"/>
        </w:rPr>
        <w:t xml:space="preserve">LOUREIRO, M. R.; TEIXEIRA, M. A. C.; MORAES, T. C. Democratização e reforma do Estado: o desenvolvimento institucional dos Tribunais de Contas no Brasil recente. </w:t>
      </w:r>
      <w:r w:rsidRPr="00B36C6E">
        <w:rPr>
          <w:rFonts w:cs="Times New Roman"/>
          <w:i/>
          <w:szCs w:val="24"/>
        </w:rPr>
        <w:t>Revista de Administração Pública, 43</w:t>
      </w:r>
      <w:r w:rsidRPr="00B36C6E">
        <w:rPr>
          <w:rFonts w:cs="Times New Roman"/>
          <w:szCs w:val="24"/>
        </w:rPr>
        <w:t>(4), 739-72, 2009.</w:t>
      </w:r>
    </w:p>
    <w:p w14:paraId="34647EB8" w14:textId="77777777" w:rsidR="00102F88" w:rsidRPr="00B36C6E" w:rsidRDefault="00102F88" w:rsidP="00102F88">
      <w:pPr>
        <w:pStyle w:val="SemEspaamento"/>
        <w:jc w:val="left"/>
        <w:rPr>
          <w:rFonts w:cs="Times New Roman"/>
          <w:szCs w:val="24"/>
        </w:rPr>
      </w:pPr>
    </w:p>
    <w:p w14:paraId="0E5E3276" w14:textId="77777777" w:rsidR="00102F88" w:rsidRPr="00B36C6E" w:rsidRDefault="00102F88" w:rsidP="00102F88">
      <w:pPr>
        <w:pStyle w:val="SemEspaamento"/>
        <w:jc w:val="left"/>
        <w:rPr>
          <w:rFonts w:cs="Times New Roman"/>
          <w:szCs w:val="24"/>
        </w:rPr>
      </w:pPr>
      <w:r w:rsidRPr="00B36C6E">
        <w:rPr>
          <w:rFonts w:cs="Times New Roman"/>
          <w:szCs w:val="24"/>
        </w:rPr>
        <w:t xml:space="preserve">MARTINS, G. A.; THEÓPHILO, C. R. </w:t>
      </w:r>
      <w:r w:rsidRPr="00B36C6E">
        <w:rPr>
          <w:rFonts w:cs="Times New Roman"/>
          <w:i/>
          <w:szCs w:val="24"/>
        </w:rPr>
        <w:t>Metodologia da investigação científica para ciências sociais aplicadas</w:t>
      </w:r>
      <w:r w:rsidRPr="00B36C6E">
        <w:rPr>
          <w:rFonts w:cs="Times New Roman"/>
          <w:b/>
          <w:szCs w:val="24"/>
        </w:rPr>
        <w:t xml:space="preserve">. </w:t>
      </w:r>
      <w:r w:rsidRPr="00B36C6E">
        <w:rPr>
          <w:rFonts w:cs="Times New Roman"/>
          <w:szCs w:val="24"/>
        </w:rPr>
        <w:t>2. ed. São Paulo: Atlas, 2009.</w:t>
      </w:r>
    </w:p>
    <w:p w14:paraId="4EC295A2" w14:textId="77777777" w:rsidR="00102F88" w:rsidRPr="00B36C6E" w:rsidRDefault="00102F88" w:rsidP="00102F88">
      <w:pPr>
        <w:autoSpaceDE w:val="0"/>
        <w:autoSpaceDN w:val="0"/>
        <w:adjustRightInd w:val="0"/>
        <w:jc w:val="left"/>
        <w:rPr>
          <w:rFonts w:cs="Times New Roman"/>
          <w:szCs w:val="24"/>
        </w:rPr>
      </w:pPr>
    </w:p>
    <w:p w14:paraId="19F34D9B" w14:textId="77777777" w:rsidR="00102F88" w:rsidRPr="00B36C6E" w:rsidRDefault="00102F88" w:rsidP="00102F88">
      <w:pPr>
        <w:autoSpaceDE w:val="0"/>
        <w:autoSpaceDN w:val="0"/>
        <w:adjustRightInd w:val="0"/>
        <w:jc w:val="left"/>
        <w:rPr>
          <w:rFonts w:cs="Times New Roman"/>
          <w:bCs/>
          <w:i/>
          <w:szCs w:val="24"/>
        </w:rPr>
      </w:pPr>
      <w:r w:rsidRPr="00B36C6E">
        <w:rPr>
          <w:rFonts w:cs="Times New Roman"/>
          <w:szCs w:val="24"/>
        </w:rPr>
        <w:t xml:space="preserve">MAZZON, J. A.; NOGUEIRA, R. </w:t>
      </w:r>
      <w:r w:rsidRPr="00B36C6E">
        <w:rPr>
          <w:rFonts w:cs="Times New Roman"/>
          <w:bCs/>
          <w:i/>
          <w:szCs w:val="24"/>
        </w:rPr>
        <w:t>Projeto de prestação de serviço especializado para</w:t>
      </w:r>
    </w:p>
    <w:p w14:paraId="25F50069" w14:textId="77777777" w:rsidR="00102F88" w:rsidRPr="00B36C6E" w:rsidRDefault="00102F88" w:rsidP="00102F88">
      <w:pPr>
        <w:autoSpaceDE w:val="0"/>
        <w:autoSpaceDN w:val="0"/>
        <w:adjustRightInd w:val="0"/>
        <w:jc w:val="left"/>
        <w:rPr>
          <w:rFonts w:cs="Times New Roman"/>
          <w:szCs w:val="24"/>
        </w:rPr>
      </w:pPr>
      <w:r w:rsidRPr="00B36C6E">
        <w:rPr>
          <w:rFonts w:cs="Times New Roman"/>
          <w:bCs/>
          <w:i/>
          <w:szCs w:val="24"/>
        </w:rPr>
        <w:t>realização de pesquisa e proposição de iniciativas para adequada implantação da Lei de Responsabilidade Fiscal (LRF) pelos tribunais de contas estaduais e municipais.</w:t>
      </w:r>
      <w:r w:rsidRPr="00B36C6E">
        <w:rPr>
          <w:rFonts w:cs="Times New Roman"/>
          <w:b/>
          <w:bCs/>
          <w:szCs w:val="24"/>
        </w:rPr>
        <w:t xml:space="preserve"> </w:t>
      </w:r>
      <w:r w:rsidRPr="00B36C6E">
        <w:rPr>
          <w:rFonts w:cs="Times New Roman"/>
          <w:szCs w:val="24"/>
        </w:rPr>
        <w:t>São</w:t>
      </w:r>
    </w:p>
    <w:p w14:paraId="431D9276" w14:textId="77777777" w:rsidR="00102F88" w:rsidRPr="00B36C6E" w:rsidRDefault="00102F88" w:rsidP="00102F88">
      <w:pPr>
        <w:pStyle w:val="SemEspaamento"/>
        <w:jc w:val="left"/>
        <w:rPr>
          <w:rFonts w:cs="Times New Roman"/>
          <w:szCs w:val="24"/>
        </w:rPr>
      </w:pPr>
      <w:r w:rsidRPr="00B36C6E">
        <w:rPr>
          <w:rFonts w:cs="Times New Roman"/>
          <w:szCs w:val="24"/>
        </w:rPr>
        <w:lastRenderedPageBreak/>
        <w:t>Paulo: FIA/USP (Relatório de Pesquisa), 2002.</w:t>
      </w:r>
    </w:p>
    <w:p w14:paraId="60889C4C" w14:textId="77777777" w:rsidR="00102F88" w:rsidRPr="00B36C6E" w:rsidRDefault="00102F88" w:rsidP="00102F88">
      <w:pPr>
        <w:pStyle w:val="SemEspaamento"/>
        <w:jc w:val="left"/>
        <w:rPr>
          <w:rFonts w:cs="Times New Roman"/>
          <w:szCs w:val="24"/>
        </w:rPr>
      </w:pPr>
    </w:p>
    <w:p w14:paraId="73E0EADF" w14:textId="77777777" w:rsidR="00102F88" w:rsidRPr="00B36C6E" w:rsidRDefault="00102F88" w:rsidP="00102F88">
      <w:pPr>
        <w:autoSpaceDE w:val="0"/>
        <w:autoSpaceDN w:val="0"/>
        <w:adjustRightInd w:val="0"/>
        <w:jc w:val="left"/>
        <w:rPr>
          <w:rFonts w:cs="Times New Roman"/>
          <w:szCs w:val="24"/>
        </w:rPr>
      </w:pPr>
      <w:r w:rsidRPr="00B36C6E">
        <w:rPr>
          <w:rFonts w:cs="Times New Roman"/>
          <w:szCs w:val="24"/>
        </w:rPr>
        <w:t xml:space="preserve">MORAES, T. C. </w:t>
      </w:r>
      <w:r w:rsidRPr="00B36C6E">
        <w:rPr>
          <w:rFonts w:cs="Times New Roman"/>
          <w:i/>
          <w:szCs w:val="24"/>
        </w:rPr>
        <w:t>O processo de modernização dos Tribunais de Contas no contexto da Reforma do Estado no Brasil.</w:t>
      </w:r>
      <w:r w:rsidRPr="00B36C6E">
        <w:rPr>
          <w:rFonts w:cs="Times New Roman"/>
          <w:szCs w:val="24"/>
        </w:rPr>
        <w:t xml:space="preserve"> 110 f. Dissertação (Mestrado em Administração de Empresas). Escola de Administração de Empresas de São Paulo da Fundação Getúlio Vargas, 2006.</w:t>
      </w:r>
    </w:p>
    <w:p w14:paraId="169F4FFF" w14:textId="77777777" w:rsidR="00102F88" w:rsidRPr="00B36C6E" w:rsidRDefault="00102F88" w:rsidP="00102F88">
      <w:pPr>
        <w:pStyle w:val="SemEspaamento"/>
        <w:jc w:val="left"/>
        <w:rPr>
          <w:rFonts w:cs="Times New Roman"/>
          <w:szCs w:val="24"/>
        </w:rPr>
      </w:pPr>
    </w:p>
    <w:p w14:paraId="78CC9B29" w14:textId="77777777" w:rsidR="00102F88" w:rsidRPr="00B36C6E" w:rsidRDefault="00102F88" w:rsidP="00102F88">
      <w:pPr>
        <w:pStyle w:val="SemEspaamento"/>
        <w:tabs>
          <w:tab w:val="left" w:pos="567"/>
        </w:tabs>
        <w:rPr>
          <w:rFonts w:cs="Times New Roman"/>
          <w:szCs w:val="24"/>
        </w:rPr>
      </w:pPr>
      <w:r w:rsidRPr="00B36C6E">
        <w:rPr>
          <w:rFonts w:cs="Times New Roman"/>
          <w:szCs w:val="24"/>
        </w:rPr>
        <w:t xml:space="preserve">PACHECO, R. S. Mensuração de desempenho no setor público: os termos do debate. </w:t>
      </w:r>
      <w:r w:rsidRPr="00B36C6E">
        <w:rPr>
          <w:rFonts w:cs="Times New Roman"/>
          <w:bCs/>
          <w:i/>
          <w:szCs w:val="24"/>
        </w:rPr>
        <w:t>Cadernos Gestão Pública e Cidadania</w:t>
      </w:r>
      <w:r w:rsidRPr="00B36C6E">
        <w:rPr>
          <w:rFonts w:cs="Times New Roman"/>
          <w:szCs w:val="24"/>
        </w:rPr>
        <w:t xml:space="preserve">, </w:t>
      </w:r>
      <w:r w:rsidRPr="00B36C6E">
        <w:rPr>
          <w:rFonts w:cs="Times New Roman"/>
          <w:i/>
          <w:szCs w:val="24"/>
        </w:rPr>
        <w:t>14</w:t>
      </w:r>
      <w:r w:rsidRPr="00B36C6E">
        <w:rPr>
          <w:rFonts w:cs="Times New Roman"/>
          <w:szCs w:val="24"/>
        </w:rPr>
        <w:t xml:space="preserve"> (55), 149-161, 2009. </w:t>
      </w:r>
    </w:p>
    <w:p w14:paraId="5C697691" w14:textId="77777777" w:rsidR="00102F88" w:rsidRPr="00B36C6E" w:rsidRDefault="00102F88" w:rsidP="00102F88">
      <w:pPr>
        <w:pStyle w:val="SemEspaamento"/>
        <w:tabs>
          <w:tab w:val="left" w:pos="567"/>
        </w:tabs>
        <w:rPr>
          <w:rFonts w:cs="Times New Roman"/>
          <w:szCs w:val="24"/>
        </w:rPr>
      </w:pPr>
    </w:p>
    <w:p w14:paraId="54F6907C" w14:textId="77777777" w:rsidR="00102F88" w:rsidRPr="00B36C6E" w:rsidRDefault="00102F88" w:rsidP="00102F88">
      <w:pPr>
        <w:pStyle w:val="SemEspaamento"/>
        <w:tabs>
          <w:tab w:val="left" w:pos="567"/>
        </w:tabs>
        <w:rPr>
          <w:rFonts w:cs="Times New Roman"/>
          <w:szCs w:val="24"/>
        </w:rPr>
      </w:pPr>
      <w:r w:rsidRPr="00B36C6E">
        <w:rPr>
          <w:rFonts w:cs="Times New Roman"/>
          <w:szCs w:val="24"/>
        </w:rPr>
        <w:t xml:space="preserve">PACHECO, R. S. A agenda da nova gestão pública. In: Loureiro, Maria R.; </w:t>
      </w:r>
      <w:proofErr w:type="spellStart"/>
      <w:r w:rsidRPr="00B36C6E">
        <w:rPr>
          <w:rFonts w:cs="Times New Roman"/>
          <w:szCs w:val="24"/>
        </w:rPr>
        <w:t>Abrúcio</w:t>
      </w:r>
      <w:proofErr w:type="spellEnd"/>
      <w:r w:rsidRPr="00B36C6E">
        <w:rPr>
          <w:rFonts w:cs="Times New Roman"/>
          <w:szCs w:val="24"/>
        </w:rPr>
        <w:t>, Fernando L.; Pacheco, Regina S. (</w:t>
      </w:r>
      <w:proofErr w:type="spellStart"/>
      <w:r w:rsidRPr="00B36C6E">
        <w:rPr>
          <w:rFonts w:cs="Times New Roman"/>
          <w:szCs w:val="24"/>
        </w:rPr>
        <w:t>orgs</w:t>
      </w:r>
      <w:proofErr w:type="spellEnd"/>
      <w:r w:rsidRPr="00B36C6E">
        <w:rPr>
          <w:rFonts w:cs="Times New Roman"/>
          <w:szCs w:val="24"/>
        </w:rPr>
        <w:t xml:space="preserve">.). </w:t>
      </w:r>
      <w:r w:rsidRPr="00B36C6E">
        <w:rPr>
          <w:rFonts w:cs="Times New Roman"/>
          <w:i/>
          <w:szCs w:val="24"/>
        </w:rPr>
        <w:t>Burocracia e política no Brasil:</w:t>
      </w:r>
      <w:r w:rsidRPr="00B36C6E">
        <w:rPr>
          <w:rFonts w:cs="Times New Roman"/>
          <w:szCs w:val="24"/>
        </w:rPr>
        <w:t xml:space="preserve"> desafios para o Estado democrático no século XXI. Rio de Janeiro: Editora da FGV, 183-218, 2010.</w:t>
      </w:r>
    </w:p>
    <w:p w14:paraId="1211CFE6" w14:textId="7EA7C685" w:rsidR="00102F88" w:rsidRPr="00B36C6E" w:rsidRDefault="00102F88" w:rsidP="00102F88">
      <w:pPr>
        <w:pStyle w:val="SemEspaamento"/>
        <w:jc w:val="left"/>
        <w:rPr>
          <w:rFonts w:cs="Times New Roman"/>
          <w:szCs w:val="24"/>
        </w:rPr>
      </w:pPr>
    </w:p>
    <w:p w14:paraId="0577D5A1" w14:textId="42B6D939" w:rsidR="00F327D3" w:rsidRPr="00B36C6E" w:rsidRDefault="00F327D3" w:rsidP="00102F88">
      <w:pPr>
        <w:pStyle w:val="SemEspaamento"/>
        <w:jc w:val="left"/>
        <w:rPr>
          <w:rFonts w:cs="Times New Roman"/>
          <w:szCs w:val="24"/>
        </w:rPr>
      </w:pPr>
      <w:proofErr w:type="spellStart"/>
      <w:r w:rsidRPr="00B36C6E">
        <w:rPr>
          <w:rFonts w:cs="Times New Roman"/>
          <w:szCs w:val="24"/>
        </w:rPr>
        <w:t>Pollit</w:t>
      </w:r>
      <w:proofErr w:type="spellEnd"/>
      <w:r w:rsidRPr="00B36C6E">
        <w:rPr>
          <w:rFonts w:cs="Times New Roman"/>
          <w:szCs w:val="24"/>
        </w:rPr>
        <w:t xml:space="preserve">, C. &amp; </w:t>
      </w:r>
      <w:proofErr w:type="spellStart"/>
      <w:r w:rsidRPr="00B36C6E">
        <w:rPr>
          <w:rFonts w:cs="Times New Roman"/>
          <w:szCs w:val="24"/>
        </w:rPr>
        <w:t>Bouckaert</w:t>
      </w:r>
      <w:proofErr w:type="spellEnd"/>
      <w:r w:rsidRPr="00B36C6E">
        <w:rPr>
          <w:rFonts w:cs="Times New Roman"/>
          <w:szCs w:val="24"/>
        </w:rPr>
        <w:t xml:space="preserve">, G. (2011). </w:t>
      </w:r>
      <w:r w:rsidRPr="00B36C6E">
        <w:rPr>
          <w:rFonts w:cs="Times New Roman"/>
          <w:szCs w:val="24"/>
          <w:lang w:val="en-US"/>
        </w:rPr>
        <w:t xml:space="preserve">Trajectories of reform and modernization. In: </w:t>
      </w:r>
      <w:proofErr w:type="spellStart"/>
      <w:r w:rsidRPr="00B36C6E">
        <w:rPr>
          <w:rFonts w:cs="Times New Roman"/>
          <w:szCs w:val="24"/>
          <w:lang w:val="en-US"/>
        </w:rPr>
        <w:t>Pollit</w:t>
      </w:r>
      <w:proofErr w:type="spellEnd"/>
      <w:r w:rsidRPr="00B36C6E">
        <w:rPr>
          <w:rFonts w:cs="Times New Roman"/>
          <w:szCs w:val="24"/>
          <w:lang w:val="en-US"/>
        </w:rPr>
        <w:t xml:space="preserve">, C., </w:t>
      </w:r>
      <w:proofErr w:type="spellStart"/>
      <w:r w:rsidRPr="00B36C6E">
        <w:rPr>
          <w:rFonts w:cs="Times New Roman"/>
          <w:szCs w:val="24"/>
          <w:lang w:val="en-US"/>
        </w:rPr>
        <w:t>Bouckaert</w:t>
      </w:r>
      <w:proofErr w:type="spellEnd"/>
      <w:r w:rsidRPr="00B36C6E">
        <w:rPr>
          <w:rFonts w:cs="Times New Roman"/>
          <w:szCs w:val="24"/>
          <w:lang w:val="en-US"/>
        </w:rPr>
        <w:t xml:space="preserve">, G. Public Management Reform – a comparative analyses: New Public Management, governance and the Neo-Weberian State. </w:t>
      </w:r>
      <w:r w:rsidRPr="00B36C6E">
        <w:rPr>
          <w:rFonts w:cs="Times New Roman"/>
          <w:szCs w:val="24"/>
        </w:rPr>
        <w:t>Oxford: Oxford Press.</w:t>
      </w:r>
    </w:p>
    <w:p w14:paraId="76AE3B3B" w14:textId="77777777" w:rsidR="00F327D3" w:rsidRPr="00B36C6E" w:rsidRDefault="00F327D3" w:rsidP="00102F88">
      <w:pPr>
        <w:pStyle w:val="SemEspaamento"/>
        <w:jc w:val="left"/>
        <w:rPr>
          <w:rFonts w:cs="Times New Roman"/>
          <w:szCs w:val="24"/>
        </w:rPr>
      </w:pPr>
    </w:p>
    <w:p w14:paraId="50615EC7" w14:textId="77777777" w:rsidR="00102F88" w:rsidRPr="00B36C6E" w:rsidRDefault="00102F88" w:rsidP="00102F88">
      <w:pPr>
        <w:pStyle w:val="SemEspaamento"/>
        <w:jc w:val="left"/>
        <w:rPr>
          <w:rFonts w:cs="Times New Roman"/>
          <w:szCs w:val="24"/>
        </w:rPr>
      </w:pPr>
      <w:r w:rsidRPr="00B36C6E">
        <w:rPr>
          <w:rFonts w:cs="Times New Roman"/>
          <w:szCs w:val="24"/>
        </w:rPr>
        <w:t xml:space="preserve">PORTAL DOS TRIBUNAIS DE CONTAS DO BRASIL. Notícias. </w:t>
      </w:r>
      <w:r w:rsidRPr="00B36C6E">
        <w:rPr>
          <w:rFonts w:cs="Times New Roman"/>
          <w:i/>
          <w:szCs w:val="24"/>
        </w:rPr>
        <w:t>Instituto Rui Barbosa se reúne em Brasília para debater planejamento estratégico</w:t>
      </w:r>
      <w:r w:rsidRPr="00B36C6E">
        <w:rPr>
          <w:rFonts w:cs="Times New Roman"/>
          <w:b/>
          <w:szCs w:val="24"/>
        </w:rPr>
        <w:t>.</w:t>
      </w:r>
      <w:r w:rsidRPr="00B36C6E">
        <w:rPr>
          <w:rFonts w:cs="Times New Roman"/>
          <w:szCs w:val="24"/>
        </w:rPr>
        <w:t xml:space="preserve"> Disponível em </w:t>
      </w:r>
      <w:hyperlink r:id="rId18" w:history="1">
        <w:r w:rsidRPr="00B36C6E">
          <w:rPr>
            <w:rFonts w:cs="Times New Roman"/>
            <w:szCs w:val="24"/>
          </w:rPr>
          <w:t>http://www.controlepublico.org.br/index.php?option=com_content&amp;view=article&amp;Itemid=54&amp;id=3328:instituto-rui-barbosa-se-reune-em-brasilia-para-debater-planejamento-estrategico</w:t>
        </w:r>
      </w:hyperlink>
      <w:r w:rsidRPr="00B36C6E">
        <w:rPr>
          <w:rFonts w:cs="Times New Roman"/>
          <w:szCs w:val="24"/>
        </w:rPr>
        <w:t>. Acesso em 08 set 2013.</w:t>
      </w:r>
    </w:p>
    <w:p w14:paraId="427DE949" w14:textId="77777777" w:rsidR="00102F88" w:rsidRPr="00B36C6E" w:rsidRDefault="00102F88" w:rsidP="00102F88">
      <w:pPr>
        <w:pStyle w:val="SemEspaamento"/>
        <w:jc w:val="left"/>
        <w:rPr>
          <w:rFonts w:cs="Times New Roman"/>
          <w:szCs w:val="24"/>
        </w:rPr>
      </w:pPr>
    </w:p>
    <w:p w14:paraId="736B6C0F" w14:textId="77777777" w:rsidR="00102F88" w:rsidRPr="00B36C6E" w:rsidRDefault="00102F88" w:rsidP="00102F88">
      <w:pPr>
        <w:autoSpaceDE w:val="0"/>
        <w:autoSpaceDN w:val="0"/>
        <w:adjustRightInd w:val="0"/>
        <w:jc w:val="left"/>
        <w:rPr>
          <w:rFonts w:cs="Times New Roman"/>
          <w:szCs w:val="24"/>
        </w:rPr>
      </w:pPr>
      <w:r w:rsidRPr="00B36C6E">
        <w:rPr>
          <w:rFonts w:cs="Times New Roman"/>
          <w:szCs w:val="24"/>
        </w:rPr>
        <w:t xml:space="preserve">QUINTAL, R. S. </w:t>
      </w:r>
      <w:r w:rsidRPr="00B36C6E">
        <w:rPr>
          <w:rFonts w:cs="Times New Roman"/>
          <w:i/>
          <w:szCs w:val="24"/>
        </w:rPr>
        <w:t>et. al</w:t>
      </w:r>
      <w:r w:rsidRPr="00B36C6E">
        <w:rPr>
          <w:rFonts w:cs="Times New Roman"/>
          <w:szCs w:val="24"/>
        </w:rPr>
        <w:t xml:space="preserve">. A atuação dos Tribunais de Contas Estaduais Brasileiros na correção das demonstrações contábeis dos processos de prestação de contas dos governadores. </w:t>
      </w:r>
      <w:r w:rsidRPr="00B36C6E">
        <w:rPr>
          <w:rFonts w:cs="Times New Roman"/>
          <w:i/>
          <w:szCs w:val="24"/>
        </w:rPr>
        <w:t>Cadernos Gestão Pública e Cidadania, 17</w:t>
      </w:r>
      <w:r w:rsidRPr="00B36C6E">
        <w:rPr>
          <w:rFonts w:cs="Times New Roman"/>
          <w:szCs w:val="24"/>
        </w:rPr>
        <w:t xml:space="preserve"> (60), 31-53, 2012.</w:t>
      </w:r>
    </w:p>
    <w:p w14:paraId="7B1D73C8" w14:textId="77777777" w:rsidR="00102F88" w:rsidRPr="00B36C6E" w:rsidRDefault="00102F88" w:rsidP="00102F88">
      <w:pPr>
        <w:pStyle w:val="SemEspaamento"/>
        <w:jc w:val="left"/>
        <w:rPr>
          <w:rFonts w:cs="Times New Roman"/>
          <w:szCs w:val="24"/>
        </w:rPr>
      </w:pPr>
    </w:p>
    <w:p w14:paraId="33EFB512" w14:textId="77777777" w:rsidR="00102F88" w:rsidRPr="00B36C6E" w:rsidRDefault="00102F88" w:rsidP="00102F88">
      <w:pPr>
        <w:pStyle w:val="SemEspaamento"/>
        <w:jc w:val="left"/>
        <w:rPr>
          <w:rFonts w:cs="Times New Roman"/>
          <w:szCs w:val="24"/>
        </w:rPr>
      </w:pPr>
      <w:r w:rsidRPr="00B36C6E">
        <w:rPr>
          <w:rFonts w:cs="Times New Roman"/>
          <w:szCs w:val="24"/>
        </w:rPr>
        <w:t xml:space="preserve">RIBEIRO, R. J. B. O problema central do controle da administração pública pode ser resumido ao debate sobre modelos? </w:t>
      </w:r>
      <w:r w:rsidRPr="00B36C6E">
        <w:rPr>
          <w:rFonts w:cs="Times New Roman"/>
          <w:i/>
          <w:szCs w:val="24"/>
        </w:rPr>
        <w:t>Revista do Tribunal de Contas da União</w:t>
      </w:r>
      <w:r w:rsidRPr="00B36C6E">
        <w:rPr>
          <w:rFonts w:cs="Times New Roman"/>
          <w:szCs w:val="24"/>
        </w:rPr>
        <w:t xml:space="preserve">, </w:t>
      </w:r>
      <w:r w:rsidRPr="00B36C6E">
        <w:rPr>
          <w:rFonts w:cs="Times New Roman"/>
          <w:i/>
          <w:szCs w:val="24"/>
        </w:rPr>
        <w:t>33</w:t>
      </w:r>
      <w:r w:rsidRPr="00B36C6E">
        <w:rPr>
          <w:rFonts w:cs="Times New Roman"/>
          <w:szCs w:val="24"/>
        </w:rPr>
        <w:t xml:space="preserve"> (93), 55-73, 2002.</w:t>
      </w:r>
    </w:p>
    <w:p w14:paraId="0E023F4C" w14:textId="77777777" w:rsidR="00102F88" w:rsidRPr="00B36C6E" w:rsidRDefault="00102F88" w:rsidP="00102F88">
      <w:pPr>
        <w:pStyle w:val="SemEspaamento"/>
        <w:jc w:val="left"/>
        <w:rPr>
          <w:rFonts w:cs="Times New Roman"/>
          <w:szCs w:val="24"/>
        </w:rPr>
      </w:pPr>
    </w:p>
    <w:p w14:paraId="0742EC3A" w14:textId="77777777" w:rsidR="00102F88" w:rsidRPr="00B36C6E" w:rsidRDefault="00102F88" w:rsidP="00102F88">
      <w:pPr>
        <w:pStyle w:val="SemEspaamento"/>
        <w:jc w:val="left"/>
        <w:rPr>
          <w:rFonts w:cs="Times New Roman"/>
          <w:szCs w:val="24"/>
        </w:rPr>
      </w:pPr>
      <w:r w:rsidRPr="00B36C6E">
        <w:rPr>
          <w:rFonts w:cs="Times New Roman"/>
          <w:szCs w:val="24"/>
        </w:rPr>
        <w:t xml:space="preserve">SANTOS, H. M.; SANTANA, A. F.; ALVES, C. F. Análise dos fatores críticos de sucesso da gestão de processos de negócios em organizações públicas. </w:t>
      </w:r>
      <w:r w:rsidRPr="00B36C6E">
        <w:rPr>
          <w:rFonts w:cs="Times New Roman"/>
          <w:i/>
          <w:szCs w:val="24"/>
        </w:rPr>
        <w:t>Revista eletrônica de sistemas de informação</w:t>
      </w:r>
      <w:r w:rsidRPr="00B36C6E">
        <w:rPr>
          <w:rFonts w:cs="Times New Roman"/>
          <w:szCs w:val="24"/>
        </w:rPr>
        <w:t xml:space="preserve">, </w:t>
      </w:r>
      <w:r w:rsidRPr="00B36C6E">
        <w:rPr>
          <w:rFonts w:cs="Times New Roman"/>
          <w:i/>
          <w:szCs w:val="24"/>
        </w:rPr>
        <w:t>11</w:t>
      </w:r>
      <w:r w:rsidRPr="00B36C6E">
        <w:rPr>
          <w:rFonts w:cs="Times New Roman"/>
          <w:szCs w:val="24"/>
        </w:rPr>
        <w:t xml:space="preserve">, (1), 2012. </w:t>
      </w:r>
    </w:p>
    <w:p w14:paraId="2D6D2797" w14:textId="77777777" w:rsidR="00102F88" w:rsidRPr="00B36C6E" w:rsidRDefault="00102F88" w:rsidP="00102F88">
      <w:pPr>
        <w:pStyle w:val="SemEspaamento"/>
        <w:jc w:val="left"/>
        <w:rPr>
          <w:rFonts w:cs="Times New Roman"/>
          <w:szCs w:val="24"/>
        </w:rPr>
      </w:pPr>
    </w:p>
    <w:p w14:paraId="4F94A060" w14:textId="77777777" w:rsidR="00102F88" w:rsidRPr="00B36C6E" w:rsidRDefault="00102F88" w:rsidP="00102F88">
      <w:pPr>
        <w:pStyle w:val="Default"/>
      </w:pPr>
      <w:r w:rsidRPr="00B36C6E">
        <w:t xml:space="preserve">SILVA, F. A. </w:t>
      </w:r>
      <w:r w:rsidRPr="00B36C6E">
        <w:rPr>
          <w:i/>
        </w:rPr>
        <w:t>A</w:t>
      </w:r>
      <w:r w:rsidRPr="00B36C6E">
        <w:rPr>
          <w:bCs/>
          <w:i/>
        </w:rPr>
        <w:t>doção do planejamento estratégico pelos Tribunais de Contas Brasileiros</w:t>
      </w:r>
      <w:r w:rsidRPr="00B36C6E">
        <w:rPr>
          <w:b/>
          <w:bCs/>
        </w:rPr>
        <w:t xml:space="preserve">. </w:t>
      </w:r>
      <w:r w:rsidRPr="00B36C6E">
        <w:t>176 f. Dissertação (Mestrado em Ciências Contábeis) – Centro de Pós-Graduação e Pesquisas em Contabilidade e Controladoria, Universidade Federal de Minas Gerais, Belo Horizonte, 2013.</w:t>
      </w:r>
    </w:p>
    <w:p w14:paraId="13D95885" w14:textId="77777777" w:rsidR="00102F88" w:rsidRPr="00B36C6E" w:rsidRDefault="00102F88" w:rsidP="00102F88">
      <w:pPr>
        <w:pStyle w:val="SemEspaamento"/>
        <w:jc w:val="left"/>
        <w:rPr>
          <w:rFonts w:cs="Times New Roman"/>
          <w:szCs w:val="24"/>
        </w:rPr>
      </w:pPr>
    </w:p>
    <w:p w14:paraId="1425B166" w14:textId="77777777" w:rsidR="00102F88" w:rsidRPr="00B36C6E" w:rsidRDefault="00102F88" w:rsidP="00102F88">
      <w:pPr>
        <w:pStyle w:val="SemEspaamento"/>
        <w:jc w:val="left"/>
        <w:rPr>
          <w:rFonts w:cs="Times New Roman"/>
          <w:szCs w:val="24"/>
        </w:rPr>
      </w:pPr>
      <w:r w:rsidRPr="00B36C6E">
        <w:rPr>
          <w:rFonts w:cs="Times New Roman"/>
          <w:szCs w:val="24"/>
        </w:rPr>
        <w:t xml:space="preserve">SILVA, F. A.; MÁRIO, P. C. O processo de formulação e monitoramento do planejamento estratégico de Tribunais de Contas sob a ótica da Nova Sociologia Institucional. </w:t>
      </w:r>
      <w:r w:rsidRPr="00B36C6E">
        <w:rPr>
          <w:rFonts w:cs="Times New Roman"/>
          <w:i/>
          <w:szCs w:val="24"/>
        </w:rPr>
        <w:t>Revista de Administração Pública.</w:t>
      </w:r>
      <w:r w:rsidRPr="00B36C6E">
        <w:rPr>
          <w:rFonts w:cs="Times New Roman"/>
          <w:szCs w:val="24"/>
        </w:rPr>
        <w:t xml:space="preserve"> Rio de Janeiro 49 (6), 1401-1427, 2015.</w:t>
      </w:r>
    </w:p>
    <w:p w14:paraId="051349AF" w14:textId="77777777" w:rsidR="00102F88" w:rsidRPr="00B36C6E" w:rsidRDefault="00102F88" w:rsidP="00102F88">
      <w:pPr>
        <w:pStyle w:val="SemEspaamento"/>
        <w:jc w:val="left"/>
        <w:rPr>
          <w:rFonts w:cs="Times New Roman"/>
          <w:szCs w:val="24"/>
        </w:rPr>
      </w:pPr>
    </w:p>
    <w:p w14:paraId="4FFE77D2" w14:textId="77777777" w:rsidR="00102F88" w:rsidRPr="00B36C6E" w:rsidRDefault="00102F88" w:rsidP="00102F88">
      <w:pPr>
        <w:pStyle w:val="SemEspaamento"/>
        <w:jc w:val="left"/>
        <w:rPr>
          <w:rFonts w:cs="Times New Roman"/>
          <w:szCs w:val="24"/>
        </w:rPr>
      </w:pPr>
      <w:r w:rsidRPr="00B36C6E">
        <w:rPr>
          <w:rFonts w:cs="Times New Roman"/>
          <w:szCs w:val="24"/>
        </w:rPr>
        <w:t xml:space="preserve">______.; MARTINS, T. C. P. M.; </w:t>
      </w:r>
      <w:r w:rsidRPr="00B36C6E">
        <w:rPr>
          <w:rFonts w:cs="Times New Roman"/>
          <w:iCs/>
          <w:szCs w:val="24"/>
        </w:rPr>
        <w:t>CKAGNAZAROFF, I. B.</w:t>
      </w:r>
      <w:r w:rsidRPr="00B36C6E">
        <w:rPr>
          <w:rFonts w:cs="Times New Roman"/>
          <w:szCs w:val="24"/>
        </w:rPr>
        <w:t xml:space="preserve"> Redes Organizacionais no contexto da governança pública: a experiência dos Tribunais de Contas do Brasil.</w:t>
      </w:r>
      <w:r w:rsidRPr="00B36C6E">
        <w:rPr>
          <w:rFonts w:cs="Times New Roman"/>
          <w:i/>
          <w:szCs w:val="24"/>
        </w:rPr>
        <w:t xml:space="preserve"> </w:t>
      </w:r>
      <w:r w:rsidRPr="00B36C6E">
        <w:rPr>
          <w:rFonts w:eastAsia="Calibri" w:cs="Times New Roman"/>
          <w:bCs/>
          <w:i/>
          <w:szCs w:val="24"/>
        </w:rPr>
        <w:t>Revista do Serviço Público</w:t>
      </w:r>
      <w:r w:rsidRPr="00B36C6E">
        <w:rPr>
          <w:rFonts w:eastAsia="Calibri" w:cs="Times New Roman"/>
          <w:bCs/>
          <w:szCs w:val="24"/>
        </w:rPr>
        <w:t xml:space="preserve">, </w:t>
      </w:r>
      <w:r w:rsidRPr="00B36C6E">
        <w:rPr>
          <w:rFonts w:eastAsia="Calibri" w:cs="Times New Roman"/>
          <w:bCs/>
          <w:i/>
          <w:szCs w:val="24"/>
        </w:rPr>
        <w:t>64</w:t>
      </w:r>
      <w:r w:rsidRPr="00B36C6E">
        <w:rPr>
          <w:rFonts w:eastAsia="Calibri" w:cs="Times New Roman"/>
          <w:bCs/>
          <w:szCs w:val="24"/>
        </w:rPr>
        <w:t xml:space="preserve"> (2), 249-272, 2013.</w:t>
      </w:r>
    </w:p>
    <w:p w14:paraId="7047846F" w14:textId="77777777" w:rsidR="00102F88" w:rsidRPr="00B36C6E" w:rsidRDefault="00102F88" w:rsidP="00102F88">
      <w:pPr>
        <w:pStyle w:val="SemEspaamento"/>
        <w:jc w:val="left"/>
        <w:rPr>
          <w:rFonts w:cs="Times New Roman"/>
          <w:szCs w:val="24"/>
        </w:rPr>
      </w:pPr>
    </w:p>
    <w:p w14:paraId="02B08BAA" w14:textId="77777777" w:rsidR="00102F88" w:rsidRPr="00B36C6E" w:rsidRDefault="00102F88" w:rsidP="00102F88">
      <w:pPr>
        <w:pStyle w:val="SemEspaamento"/>
        <w:jc w:val="left"/>
        <w:rPr>
          <w:rFonts w:cs="Times New Roman"/>
          <w:szCs w:val="24"/>
        </w:rPr>
      </w:pPr>
      <w:r w:rsidRPr="00B36C6E">
        <w:rPr>
          <w:rFonts w:cs="Times New Roman"/>
          <w:szCs w:val="24"/>
        </w:rPr>
        <w:lastRenderedPageBreak/>
        <w:t xml:space="preserve">SPECK, B. W. </w:t>
      </w:r>
      <w:r w:rsidRPr="00B36C6E">
        <w:rPr>
          <w:rFonts w:cs="Times New Roman"/>
          <w:i/>
          <w:szCs w:val="24"/>
        </w:rPr>
        <w:t xml:space="preserve">Inovação e rotina no Tribunal de Contas da União: </w:t>
      </w:r>
      <w:r w:rsidRPr="00B36C6E">
        <w:rPr>
          <w:rFonts w:cs="Times New Roman"/>
          <w:szCs w:val="24"/>
        </w:rPr>
        <w:t xml:space="preserve">o papel da instituição superior de controle financeiro no sistema político-administrativo do Brasil. São Paulo: Fundação Konrad </w:t>
      </w:r>
      <w:proofErr w:type="spellStart"/>
      <w:r w:rsidRPr="00B36C6E">
        <w:rPr>
          <w:rFonts w:cs="Times New Roman"/>
          <w:szCs w:val="24"/>
        </w:rPr>
        <w:t>Adenauer</w:t>
      </w:r>
      <w:proofErr w:type="spellEnd"/>
      <w:r w:rsidRPr="00B36C6E">
        <w:rPr>
          <w:rFonts w:cs="Times New Roman"/>
          <w:szCs w:val="24"/>
        </w:rPr>
        <w:t>, 2000,0226 p.</w:t>
      </w:r>
    </w:p>
    <w:p w14:paraId="49EABD9E" w14:textId="77777777" w:rsidR="00102F88" w:rsidRPr="00B36C6E" w:rsidRDefault="00102F88" w:rsidP="00102F88">
      <w:pPr>
        <w:pStyle w:val="SemEspaamento"/>
        <w:jc w:val="left"/>
        <w:rPr>
          <w:rFonts w:cs="Times New Roman"/>
          <w:szCs w:val="24"/>
        </w:rPr>
      </w:pPr>
    </w:p>
    <w:p w14:paraId="4D792D78" w14:textId="77777777" w:rsidR="00102F88" w:rsidRPr="00B36C6E" w:rsidRDefault="00102F88" w:rsidP="00102F88">
      <w:pPr>
        <w:pStyle w:val="Ttulo2"/>
        <w:rPr>
          <w:b w:val="0"/>
        </w:rPr>
      </w:pPr>
      <w:r w:rsidRPr="00B36C6E">
        <w:rPr>
          <w:b w:val="0"/>
        </w:rPr>
        <w:t xml:space="preserve">TRIBUNAL DE CONTAS DO ESTADO DE MINAS GERAIS - TCEMG. </w:t>
      </w:r>
      <w:r w:rsidRPr="00B36C6E">
        <w:rPr>
          <w:b w:val="0"/>
          <w:bCs/>
          <w:i/>
        </w:rPr>
        <w:t xml:space="preserve">1ª Capacitação Internacional dos Tribunais de Contas em SAI PMF no Brasil. </w:t>
      </w:r>
      <w:r w:rsidRPr="00B36C6E">
        <w:rPr>
          <w:b w:val="0"/>
          <w:bCs/>
        </w:rPr>
        <w:t xml:space="preserve">Disponível em </w:t>
      </w:r>
      <w:hyperlink r:id="rId19" w:history="1">
        <w:r w:rsidRPr="00B36C6E">
          <w:rPr>
            <w:rStyle w:val="Hyperlink"/>
            <w:b w:val="0"/>
            <w:bCs/>
          </w:rPr>
          <w:t>https://libano.tce.mg.gov.br/eeventos/saipmf</w:t>
        </w:r>
      </w:hyperlink>
      <w:r w:rsidRPr="00B36C6E">
        <w:rPr>
          <w:b w:val="0"/>
          <w:bCs/>
        </w:rPr>
        <w:t>. Acesso em 10 maio 2014.</w:t>
      </w:r>
    </w:p>
    <w:p w14:paraId="3CD2219F" w14:textId="77777777" w:rsidR="00102F88" w:rsidRPr="00B36C6E" w:rsidRDefault="00102F88" w:rsidP="00102F88">
      <w:pPr>
        <w:pStyle w:val="SemEspaamento"/>
        <w:jc w:val="left"/>
        <w:rPr>
          <w:rFonts w:cs="Times New Roman"/>
          <w:szCs w:val="24"/>
        </w:rPr>
      </w:pPr>
    </w:p>
    <w:p w14:paraId="6460A01C" w14:textId="77777777" w:rsidR="00102F88" w:rsidRPr="003958F1" w:rsidRDefault="00102F88" w:rsidP="00102F88">
      <w:pPr>
        <w:pStyle w:val="SemEspaamento"/>
        <w:jc w:val="left"/>
        <w:rPr>
          <w:rFonts w:cs="Times New Roman"/>
          <w:szCs w:val="24"/>
        </w:rPr>
      </w:pPr>
      <w:r w:rsidRPr="00B36C6E">
        <w:rPr>
          <w:rFonts w:cs="Times New Roman"/>
          <w:szCs w:val="24"/>
        </w:rPr>
        <w:t xml:space="preserve">TRIVIÑOS, A. N. S. </w:t>
      </w:r>
      <w:r w:rsidRPr="00B36C6E">
        <w:rPr>
          <w:rFonts w:cs="Times New Roman"/>
          <w:b/>
          <w:szCs w:val="24"/>
        </w:rPr>
        <w:t>Introdução à pesquisa em ciências sociais:</w:t>
      </w:r>
      <w:r w:rsidRPr="00B36C6E">
        <w:rPr>
          <w:rFonts w:cs="Times New Roman"/>
          <w:szCs w:val="24"/>
        </w:rPr>
        <w:t xml:space="preserve"> a pesquisa qualitativa em educação. São Paulo: Atlas, 2007.</w:t>
      </w:r>
    </w:p>
    <w:p w14:paraId="69EB39B8" w14:textId="77777777" w:rsidR="00102F88" w:rsidRPr="003958F1" w:rsidRDefault="00102F88" w:rsidP="00102F88">
      <w:pPr>
        <w:rPr>
          <w:rFonts w:cs="Times New Roman"/>
          <w:b/>
          <w:szCs w:val="24"/>
        </w:rPr>
      </w:pPr>
    </w:p>
    <w:p w14:paraId="4E1E745D" w14:textId="77777777" w:rsidR="00102F88" w:rsidRPr="00860F29" w:rsidRDefault="00102F88" w:rsidP="00407C56">
      <w:pPr>
        <w:ind w:firstLine="709"/>
        <w:rPr>
          <w:rFonts w:eastAsia="Calibri" w:cs="Times New Roman"/>
          <w:szCs w:val="24"/>
        </w:rPr>
      </w:pPr>
    </w:p>
    <w:sectPr w:rsidR="00102F88" w:rsidRPr="00860F29" w:rsidSect="00193DEA">
      <w:footerReference w:type="default" r:id="rId20"/>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84474" w14:textId="77777777" w:rsidR="00DF1F85" w:rsidRDefault="00DF1F85" w:rsidP="005D0CED">
      <w:r>
        <w:separator/>
      </w:r>
    </w:p>
  </w:endnote>
  <w:endnote w:type="continuationSeparator" w:id="0">
    <w:p w14:paraId="21DB3766" w14:textId="77777777" w:rsidR="00DF1F85" w:rsidRDefault="00DF1F85" w:rsidP="005D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062873"/>
      <w:docPartObj>
        <w:docPartGallery w:val="Page Numbers (Bottom of Page)"/>
        <w:docPartUnique/>
      </w:docPartObj>
    </w:sdtPr>
    <w:sdtEndPr/>
    <w:sdtContent>
      <w:p w14:paraId="2AD5E951" w14:textId="4A69FB4C" w:rsidR="008F1515" w:rsidRDefault="008F1515">
        <w:pPr>
          <w:pStyle w:val="Rodap"/>
          <w:jc w:val="right"/>
        </w:pPr>
        <w:r>
          <w:fldChar w:fldCharType="begin"/>
        </w:r>
        <w:r>
          <w:instrText>PAGE   \* MERGEFORMAT</w:instrText>
        </w:r>
        <w:r>
          <w:fldChar w:fldCharType="separate"/>
        </w:r>
        <w:r w:rsidR="00F71634">
          <w:rPr>
            <w:noProof/>
          </w:rPr>
          <w:t>1</w:t>
        </w:r>
        <w:r>
          <w:fldChar w:fldCharType="end"/>
        </w:r>
      </w:p>
    </w:sdtContent>
  </w:sdt>
  <w:p w14:paraId="7B738134" w14:textId="77777777" w:rsidR="008F1515" w:rsidRDefault="008F151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31F20" w14:textId="77777777" w:rsidR="00DF1F85" w:rsidRDefault="00DF1F85" w:rsidP="005D0CED">
      <w:r>
        <w:separator/>
      </w:r>
    </w:p>
  </w:footnote>
  <w:footnote w:type="continuationSeparator" w:id="0">
    <w:p w14:paraId="55DE1654" w14:textId="77777777" w:rsidR="00DF1F85" w:rsidRDefault="00DF1F85" w:rsidP="005D0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483B"/>
    <w:multiLevelType w:val="hybridMultilevel"/>
    <w:tmpl w:val="2FA091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D91C22"/>
    <w:multiLevelType w:val="hybridMultilevel"/>
    <w:tmpl w:val="89B45D90"/>
    <w:lvl w:ilvl="0" w:tplc="EB3AA6E8">
      <w:start w:val="1"/>
      <w:numFmt w:val="lowerLetter"/>
      <w:lvlText w:val="%1)"/>
      <w:lvlJc w:val="left"/>
      <w:pPr>
        <w:ind w:left="1789" w:hanging="36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 w15:restartNumberingAfterBreak="0">
    <w:nsid w:val="05CD2DEE"/>
    <w:multiLevelType w:val="hybridMultilevel"/>
    <w:tmpl w:val="D24E8D1A"/>
    <w:lvl w:ilvl="0" w:tplc="C5447F3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109567B8"/>
    <w:multiLevelType w:val="hybridMultilevel"/>
    <w:tmpl w:val="8CE0D7FA"/>
    <w:lvl w:ilvl="0" w:tplc="A822AA42">
      <w:start w:val="1"/>
      <w:numFmt w:val="decimal"/>
      <w:lvlText w:val="%1.1.1"/>
      <w:lvlJc w:val="left"/>
      <w:pPr>
        <w:ind w:left="1077" w:hanging="360"/>
      </w:pPr>
      <w:rPr>
        <w:rFonts w:hint="default"/>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4" w15:restartNumberingAfterBreak="0">
    <w:nsid w:val="176C3A9F"/>
    <w:multiLevelType w:val="hybridMultilevel"/>
    <w:tmpl w:val="56A46D1E"/>
    <w:lvl w:ilvl="0" w:tplc="27B0E45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2E594281"/>
    <w:multiLevelType w:val="hybridMultilevel"/>
    <w:tmpl w:val="D2B28976"/>
    <w:lvl w:ilvl="0" w:tplc="13528F3E">
      <w:start w:val="1"/>
      <w:numFmt w:val="lowerLetter"/>
      <w:lvlText w:val="%1)"/>
      <w:lvlJc w:val="left"/>
      <w:pPr>
        <w:ind w:left="1789" w:hanging="36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6" w15:restartNumberingAfterBreak="0">
    <w:nsid w:val="30C359A0"/>
    <w:multiLevelType w:val="hybridMultilevel"/>
    <w:tmpl w:val="A078CA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5581DE7"/>
    <w:multiLevelType w:val="hybridMultilevel"/>
    <w:tmpl w:val="386E3F70"/>
    <w:lvl w:ilvl="0" w:tplc="7C02F0C4">
      <w:start w:val="1"/>
      <w:numFmt w:val="lowerLetter"/>
      <w:lvlText w:val="%1)"/>
      <w:lvlJc w:val="left"/>
      <w:pPr>
        <w:ind w:left="1789" w:hanging="360"/>
      </w:pPr>
      <w:rPr>
        <w:rFonts w:hint="default"/>
        <w:b/>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8" w15:restartNumberingAfterBreak="0">
    <w:nsid w:val="3A977F9E"/>
    <w:multiLevelType w:val="hybridMultilevel"/>
    <w:tmpl w:val="33D6F5A2"/>
    <w:lvl w:ilvl="0" w:tplc="12A8FF3E">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C430E7"/>
    <w:multiLevelType w:val="hybridMultilevel"/>
    <w:tmpl w:val="3A426A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2A562F"/>
    <w:multiLevelType w:val="hybridMultilevel"/>
    <w:tmpl w:val="4C442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DC1F8A"/>
    <w:multiLevelType w:val="hybridMultilevel"/>
    <w:tmpl w:val="56D244F2"/>
    <w:lvl w:ilvl="0" w:tplc="0F28CBB0">
      <w:start w:val="1"/>
      <w:numFmt w:val="bullet"/>
      <w:lvlText w:val=""/>
      <w:lvlJc w:val="left"/>
      <w:pPr>
        <w:tabs>
          <w:tab w:val="num" w:pos="720"/>
        </w:tabs>
        <w:ind w:left="720" w:hanging="360"/>
      </w:pPr>
      <w:rPr>
        <w:rFonts w:ascii="Symbol" w:hAnsi="Symbol" w:hint="default"/>
      </w:rPr>
    </w:lvl>
    <w:lvl w:ilvl="1" w:tplc="C588A1F6" w:tentative="1">
      <w:start w:val="1"/>
      <w:numFmt w:val="bullet"/>
      <w:lvlText w:val="•"/>
      <w:lvlJc w:val="left"/>
      <w:pPr>
        <w:tabs>
          <w:tab w:val="num" w:pos="1440"/>
        </w:tabs>
        <w:ind w:left="1440" w:hanging="360"/>
      </w:pPr>
      <w:rPr>
        <w:rFonts w:ascii="Arial" w:hAnsi="Arial" w:hint="default"/>
      </w:rPr>
    </w:lvl>
    <w:lvl w:ilvl="2" w:tplc="CBC280DA" w:tentative="1">
      <w:start w:val="1"/>
      <w:numFmt w:val="bullet"/>
      <w:lvlText w:val="•"/>
      <w:lvlJc w:val="left"/>
      <w:pPr>
        <w:tabs>
          <w:tab w:val="num" w:pos="2160"/>
        </w:tabs>
        <w:ind w:left="2160" w:hanging="360"/>
      </w:pPr>
      <w:rPr>
        <w:rFonts w:ascii="Arial" w:hAnsi="Arial" w:hint="default"/>
      </w:rPr>
    </w:lvl>
    <w:lvl w:ilvl="3" w:tplc="B252A004" w:tentative="1">
      <w:start w:val="1"/>
      <w:numFmt w:val="bullet"/>
      <w:lvlText w:val="•"/>
      <w:lvlJc w:val="left"/>
      <w:pPr>
        <w:tabs>
          <w:tab w:val="num" w:pos="2880"/>
        </w:tabs>
        <w:ind w:left="2880" w:hanging="360"/>
      </w:pPr>
      <w:rPr>
        <w:rFonts w:ascii="Arial" w:hAnsi="Arial" w:hint="default"/>
      </w:rPr>
    </w:lvl>
    <w:lvl w:ilvl="4" w:tplc="4866DC16" w:tentative="1">
      <w:start w:val="1"/>
      <w:numFmt w:val="bullet"/>
      <w:lvlText w:val="•"/>
      <w:lvlJc w:val="left"/>
      <w:pPr>
        <w:tabs>
          <w:tab w:val="num" w:pos="3600"/>
        </w:tabs>
        <w:ind w:left="3600" w:hanging="360"/>
      </w:pPr>
      <w:rPr>
        <w:rFonts w:ascii="Arial" w:hAnsi="Arial" w:hint="default"/>
      </w:rPr>
    </w:lvl>
    <w:lvl w:ilvl="5" w:tplc="ECEEEA86" w:tentative="1">
      <w:start w:val="1"/>
      <w:numFmt w:val="bullet"/>
      <w:lvlText w:val="•"/>
      <w:lvlJc w:val="left"/>
      <w:pPr>
        <w:tabs>
          <w:tab w:val="num" w:pos="4320"/>
        </w:tabs>
        <w:ind w:left="4320" w:hanging="360"/>
      </w:pPr>
      <w:rPr>
        <w:rFonts w:ascii="Arial" w:hAnsi="Arial" w:hint="default"/>
      </w:rPr>
    </w:lvl>
    <w:lvl w:ilvl="6" w:tplc="B274980E" w:tentative="1">
      <w:start w:val="1"/>
      <w:numFmt w:val="bullet"/>
      <w:lvlText w:val="•"/>
      <w:lvlJc w:val="left"/>
      <w:pPr>
        <w:tabs>
          <w:tab w:val="num" w:pos="5040"/>
        </w:tabs>
        <w:ind w:left="5040" w:hanging="360"/>
      </w:pPr>
      <w:rPr>
        <w:rFonts w:ascii="Arial" w:hAnsi="Arial" w:hint="default"/>
      </w:rPr>
    </w:lvl>
    <w:lvl w:ilvl="7" w:tplc="00609D20" w:tentative="1">
      <w:start w:val="1"/>
      <w:numFmt w:val="bullet"/>
      <w:lvlText w:val="•"/>
      <w:lvlJc w:val="left"/>
      <w:pPr>
        <w:tabs>
          <w:tab w:val="num" w:pos="5760"/>
        </w:tabs>
        <w:ind w:left="5760" w:hanging="360"/>
      </w:pPr>
      <w:rPr>
        <w:rFonts w:ascii="Arial" w:hAnsi="Arial" w:hint="default"/>
      </w:rPr>
    </w:lvl>
    <w:lvl w:ilvl="8" w:tplc="57D612C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1631153"/>
    <w:multiLevelType w:val="hybridMultilevel"/>
    <w:tmpl w:val="AF34F968"/>
    <w:lvl w:ilvl="0" w:tplc="E5D818A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5288727E"/>
    <w:multiLevelType w:val="hybridMultilevel"/>
    <w:tmpl w:val="D138CEFC"/>
    <w:lvl w:ilvl="0" w:tplc="7BF630C2">
      <w:start w:val="1"/>
      <w:numFmt w:val="decimal"/>
      <w:pStyle w:val="Ttulo1"/>
      <w:lvlText w:val="%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4747377"/>
    <w:multiLevelType w:val="hybridMultilevel"/>
    <w:tmpl w:val="DA4A06D0"/>
    <w:lvl w:ilvl="0" w:tplc="15466D50">
      <w:start w:val="1"/>
      <w:numFmt w:val="lowerLetter"/>
      <w:lvlText w:val="%1)"/>
      <w:lvlJc w:val="left"/>
      <w:pPr>
        <w:ind w:left="720" w:hanging="360"/>
      </w:pPr>
      <w:rPr>
        <w:rFonts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7823BA6"/>
    <w:multiLevelType w:val="hybridMultilevel"/>
    <w:tmpl w:val="952AF6DA"/>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678A5636"/>
    <w:multiLevelType w:val="hybridMultilevel"/>
    <w:tmpl w:val="5F3271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14E00AB"/>
    <w:multiLevelType w:val="hybridMultilevel"/>
    <w:tmpl w:val="3A96D764"/>
    <w:lvl w:ilvl="0" w:tplc="16D2BDF0">
      <w:start w:val="1"/>
      <w:numFmt w:val="decimal"/>
      <w:lvlText w:val="1.%1"/>
      <w:lvlJc w:val="left"/>
      <w:pPr>
        <w:ind w:left="360" w:hanging="360"/>
      </w:pPr>
      <w:rPr>
        <w:rFonts w:hint="default"/>
      </w:rPr>
    </w:lvl>
    <w:lvl w:ilvl="1" w:tplc="0D76D6DC" w:tentative="1">
      <w:start w:val="1"/>
      <w:numFmt w:val="lowerLetter"/>
      <w:lvlText w:val="%2."/>
      <w:lvlJc w:val="left"/>
      <w:pPr>
        <w:ind w:left="1440" w:hanging="360"/>
      </w:pPr>
    </w:lvl>
    <w:lvl w:ilvl="2" w:tplc="39A611E2" w:tentative="1">
      <w:start w:val="1"/>
      <w:numFmt w:val="lowerRoman"/>
      <w:lvlText w:val="%3."/>
      <w:lvlJc w:val="right"/>
      <w:pPr>
        <w:ind w:left="2160" w:hanging="180"/>
      </w:pPr>
    </w:lvl>
    <w:lvl w:ilvl="3" w:tplc="873CA534" w:tentative="1">
      <w:start w:val="1"/>
      <w:numFmt w:val="decimal"/>
      <w:lvlText w:val="%4."/>
      <w:lvlJc w:val="left"/>
      <w:pPr>
        <w:ind w:left="2880" w:hanging="360"/>
      </w:pPr>
    </w:lvl>
    <w:lvl w:ilvl="4" w:tplc="6DD63A76" w:tentative="1">
      <w:start w:val="1"/>
      <w:numFmt w:val="lowerLetter"/>
      <w:lvlText w:val="%5."/>
      <w:lvlJc w:val="left"/>
      <w:pPr>
        <w:ind w:left="3600" w:hanging="360"/>
      </w:pPr>
    </w:lvl>
    <w:lvl w:ilvl="5" w:tplc="433A8B46" w:tentative="1">
      <w:start w:val="1"/>
      <w:numFmt w:val="lowerRoman"/>
      <w:lvlText w:val="%6."/>
      <w:lvlJc w:val="right"/>
      <w:pPr>
        <w:ind w:left="4320" w:hanging="180"/>
      </w:pPr>
    </w:lvl>
    <w:lvl w:ilvl="6" w:tplc="8416AA4A" w:tentative="1">
      <w:start w:val="1"/>
      <w:numFmt w:val="decimal"/>
      <w:lvlText w:val="%7."/>
      <w:lvlJc w:val="left"/>
      <w:pPr>
        <w:ind w:left="5040" w:hanging="360"/>
      </w:pPr>
    </w:lvl>
    <w:lvl w:ilvl="7" w:tplc="671873D2" w:tentative="1">
      <w:start w:val="1"/>
      <w:numFmt w:val="lowerLetter"/>
      <w:lvlText w:val="%8."/>
      <w:lvlJc w:val="left"/>
      <w:pPr>
        <w:ind w:left="5760" w:hanging="360"/>
      </w:pPr>
    </w:lvl>
    <w:lvl w:ilvl="8" w:tplc="A7DC2100" w:tentative="1">
      <w:start w:val="1"/>
      <w:numFmt w:val="lowerRoman"/>
      <w:lvlText w:val="%9."/>
      <w:lvlJc w:val="right"/>
      <w:pPr>
        <w:ind w:left="6480" w:hanging="180"/>
      </w:pPr>
    </w:lvl>
  </w:abstractNum>
  <w:abstractNum w:abstractNumId="18" w15:restartNumberingAfterBreak="0">
    <w:nsid w:val="77512ADC"/>
    <w:multiLevelType w:val="hybridMultilevel"/>
    <w:tmpl w:val="56A46D1E"/>
    <w:lvl w:ilvl="0" w:tplc="27B0E45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3"/>
  </w:num>
  <w:num w:numId="2">
    <w:abstractNumId w:val="17"/>
  </w:num>
  <w:num w:numId="3">
    <w:abstractNumId w:val="17"/>
  </w:num>
  <w:num w:numId="4">
    <w:abstractNumId w:val="3"/>
  </w:num>
  <w:num w:numId="5">
    <w:abstractNumId w:val="2"/>
  </w:num>
  <w:num w:numId="6">
    <w:abstractNumId w:val="0"/>
  </w:num>
  <w:num w:numId="7">
    <w:abstractNumId w:val="9"/>
  </w:num>
  <w:num w:numId="8">
    <w:abstractNumId w:val="10"/>
  </w:num>
  <w:num w:numId="9">
    <w:abstractNumId w:val="8"/>
  </w:num>
  <w:num w:numId="10">
    <w:abstractNumId w:val="7"/>
  </w:num>
  <w:num w:numId="11">
    <w:abstractNumId w:val="1"/>
  </w:num>
  <w:num w:numId="12">
    <w:abstractNumId w:val="5"/>
  </w:num>
  <w:num w:numId="13">
    <w:abstractNumId w:val="6"/>
  </w:num>
  <w:num w:numId="14">
    <w:abstractNumId w:val="11"/>
  </w:num>
  <w:num w:numId="15">
    <w:abstractNumId w:val="13"/>
    <w:lvlOverride w:ilvl="0">
      <w:startOverride w:val="6"/>
    </w:lvlOverride>
  </w:num>
  <w:num w:numId="16">
    <w:abstractNumId w:val="12"/>
  </w:num>
  <w:num w:numId="17">
    <w:abstractNumId w:val="16"/>
  </w:num>
  <w:num w:numId="18">
    <w:abstractNumId w:val="14"/>
  </w:num>
  <w:num w:numId="19">
    <w:abstractNumId w:val="15"/>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018"/>
    <w:rsid w:val="00002E62"/>
    <w:rsid w:val="0001477C"/>
    <w:rsid w:val="000156D2"/>
    <w:rsid w:val="00020BAC"/>
    <w:rsid w:val="000250C6"/>
    <w:rsid w:val="00036DD3"/>
    <w:rsid w:val="00042E8B"/>
    <w:rsid w:val="00045215"/>
    <w:rsid w:val="000573C1"/>
    <w:rsid w:val="00060070"/>
    <w:rsid w:val="0006288C"/>
    <w:rsid w:val="0006794E"/>
    <w:rsid w:val="00072D66"/>
    <w:rsid w:val="00077558"/>
    <w:rsid w:val="0009148C"/>
    <w:rsid w:val="000A3280"/>
    <w:rsid w:val="000A44AF"/>
    <w:rsid w:val="000A6E9A"/>
    <w:rsid w:val="000B00ED"/>
    <w:rsid w:val="000B0C09"/>
    <w:rsid w:val="000B2A1D"/>
    <w:rsid w:val="000B7916"/>
    <w:rsid w:val="000C77C5"/>
    <w:rsid w:val="000C7A4F"/>
    <w:rsid w:val="000D29AA"/>
    <w:rsid w:val="000E0F1F"/>
    <w:rsid w:val="000E78C9"/>
    <w:rsid w:val="00102F88"/>
    <w:rsid w:val="001040CC"/>
    <w:rsid w:val="00110F5E"/>
    <w:rsid w:val="00113306"/>
    <w:rsid w:val="00116287"/>
    <w:rsid w:val="001165E9"/>
    <w:rsid w:val="00117712"/>
    <w:rsid w:val="00130BC9"/>
    <w:rsid w:val="00142027"/>
    <w:rsid w:val="00151143"/>
    <w:rsid w:val="00167252"/>
    <w:rsid w:val="00172002"/>
    <w:rsid w:val="00193DEA"/>
    <w:rsid w:val="00196523"/>
    <w:rsid w:val="00197D62"/>
    <w:rsid w:val="001B0E56"/>
    <w:rsid w:val="001B55E6"/>
    <w:rsid w:val="001D3849"/>
    <w:rsid w:val="001D6E0D"/>
    <w:rsid w:val="001D7D72"/>
    <w:rsid w:val="001E02E9"/>
    <w:rsid w:val="001E6E77"/>
    <w:rsid w:val="001F3123"/>
    <w:rsid w:val="001F4BC9"/>
    <w:rsid w:val="002034D5"/>
    <w:rsid w:val="0021081E"/>
    <w:rsid w:val="00213958"/>
    <w:rsid w:val="002441C9"/>
    <w:rsid w:val="00256A87"/>
    <w:rsid w:val="00261A77"/>
    <w:rsid w:val="0026387D"/>
    <w:rsid w:val="00273E26"/>
    <w:rsid w:val="00274313"/>
    <w:rsid w:val="0028191A"/>
    <w:rsid w:val="0029453F"/>
    <w:rsid w:val="00295AE8"/>
    <w:rsid w:val="002B2C55"/>
    <w:rsid w:val="002B4AF8"/>
    <w:rsid w:val="002C1859"/>
    <w:rsid w:val="002C377E"/>
    <w:rsid w:val="002C3EE1"/>
    <w:rsid w:val="002C4286"/>
    <w:rsid w:val="002D134A"/>
    <w:rsid w:val="002E6F9E"/>
    <w:rsid w:val="002F1B8F"/>
    <w:rsid w:val="003103A4"/>
    <w:rsid w:val="0031072D"/>
    <w:rsid w:val="00310DC4"/>
    <w:rsid w:val="003411A7"/>
    <w:rsid w:val="00345601"/>
    <w:rsid w:val="00346B4D"/>
    <w:rsid w:val="003527A4"/>
    <w:rsid w:val="00357FCC"/>
    <w:rsid w:val="0036040A"/>
    <w:rsid w:val="0037198A"/>
    <w:rsid w:val="00373544"/>
    <w:rsid w:val="003774C0"/>
    <w:rsid w:val="003939B9"/>
    <w:rsid w:val="003958F1"/>
    <w:rsid w:val="00397350"/>
    <w:rsid w:val="003A2653"/>
    <w:rsid w:val="003B1041"/>
    <w:rsid w:val="003C38A1"/>
    <w:rsid w:val="003C79F1"/>
    <w:rsid w:val="003D42C5"/>
    <w:rsid w:val="003E424D"/>
    <w:rsid w:val="003E5D24"/>
    <w:rsid w:val="003F04B2"/>
    <w:rsid w:val="003F3CB2"/>
    <w:rsid w:val="004070C4"/>
    <w:rsid w:val="00407C56"/>
    <w:rsid w:val="00413639"/>
    <w:rsid w:val="004139E6"/>
    <w:rsid w:val="00417D58"/>
    <w:rsid w:val="00421302"/>
    <w:rsid w:val="00422FD2"/>
    <w:rsid w:val="004364E1"/>
    <w:rsid w:val="004442E8"/>
    <w:rsid w:val="004620EF"/>
    <w:rsid w:val="00476274"/>
    <w:rsid w:val="00476846"/>
    <w:rsid w:val="00483D10"/>
    <w:rsid w:val="00483D5F"/>
    <w:rsid w:val="00484DE5"/>
    <w:rsid w:val="004869D4"/>
    <w:rsid w:val="0049126A"/>
    <w:rsid w:val="00492E34"/>
    <w:rsid w:val="0049348B"/>
    <w:rsid w:val="00495F9A"/>
    <w:rsid w:val="004A3533"/>
    <w:rsid w:val="004A4C4A"/>
    <w:rsid w:val="004A7018"/>
    <w:rsid w:val="004B145D"/>
    <w:rsid w:val="004C3420"/>
    <w:rsid w:val="004C598C"/>
    <w:rsid w:val="004D24FD"/>
    <w:rsid w:val="004D75FC"/>
    <w:rsid w:val="004F0D1B"/>
    <w:rsid w:val="004F3F6F"/>
    <w:rsid w:val="004F42F7"/>
    <w:rsid w:val="005068BE"/>
    <w:rsid w:val="0051060F"/>
    <w:rsid w:val="00515992"/>
    <w:rsid w:val="0051718F"/>
    <w:rsid w:val="005269C3"/>
    <w:rsid w:val="0054551F"/>
    <w:rsid w:val="005516B4"/>
    <w:rsid w:val="00555175"/>
    <w:rsid w:val="00556F74"/>
    <w:rsid w:val="005616A5"/>
    <w:rsid w:val="005625BF"/>
    <w:rsid w:val="00566B74"/>
    <w:rsid w:val="0058728A"/>
    <w:rsid w:val="005922FF"/>
    <w:rsid w:val="00596F38"/>
    <w:rsid w:val="005A193F"/>
    <w:rsid w:val="005A264C"/>
    <w:rsid w:val="005B1623"/>
    <w:rsid w:val="005B51D9"/>
    <w:rsid w:val="005B6F11"/>
    <w:rsid w:val="005C30D2"/>
    <w:rsid w:val="005C772D"/>
    <w:rsid w:val="005D0CED"/>
    <w:rsid w:val="005D1EDD"/>
    <w:rsid w:val="005D36CE"/>
    <w:rsid w:val="00625940"/>
    <w:rsid w:val="0063085A"/>
    <w:rsid w:val="00640FB5"/>
    <w:rsid w:val="00644877"/>
    <w:rsid w:val="00654693"/>
    <w:rsid w:val="00672504"/>
    <w:rsid w:val="006911B5"/>
    <w:rsid w:val="00692508"/>
    <w:rsid w:val="0069544E"/>
    <w:rsid w:val="006A14BE"/>
    <w:rsid w:val="006A1870"/>
    <w:rsid w:val="006C26FD"/>
    <w:rsid w:val="006D4446"/>
    <w:rsid w:val="006D5FB7"/>
    <w:rsid w:val="006D68C5"/>
    <w:rsid w:val="006E4505"/>
    <w:rsid w:val="006E536C"/>
    <w:rsid w:val="006E5B66"/>
    <w:rsid w:val="006F47A4"/>
    <w:rsid w:val="006F4F66"/>
    <w:rsid w:val="0070191E"/>
    <w:rsid w:val="0070478E"/>
    <w:rsid w:val="00704A12"/>
    <w:rsid w:val="00717F6D"/>
    <w:rsid w:val="0072638F"/>
    <w:rsid w:val="00730A45"/>
    <w:rsid w:val="00743BDC"/>
    <w:rsid w:val="00757A53"/>
    <w:rsid w:val="00760D41"/>
    <w:rsid w:val="00780513"/>
    <w:rsid w:val="00786D21"/>
    <w:rsid w:val="007A0E3F"/>
    <w:rsid w:val="007E6337"/>
    <w:rsid w:val="007E6B93"/>
    <w:rsid w:val="00801359"/>
    <w:rsid w:val="00816C4B"/>
    <w:rsid w:val="00833F59"/>
    <w:rsid w:val="008347AD"/>
    <w:rsid w:val="00835CDE"/>
    <w:rsid w:val="00841068"/>
    <w:rsid w:val="008502D2"/>
    <w:rsid w:val="00857383"/>
    <w:rsid w:val="0085799B"/>
    <w:rsid w:val="00860F29"/>
    <w:rsid w:val="00860FB1"/>
    <w:rsid w:val="0086273F"/>
    <w:rsid w:val="00862EFC"/>
    <w:rsid w:val="0087075D"/>
    <w:rsid w:val="00872DC7"/>
    <w:rsid w:val="00875953"/>
    <w:rsid w:val="00887251"/>
    <w:rsid w:val="008878C5"/>
    <w:rsid w:val="008907B9"/>
    <w:rsid w:val="00892C63"/>
    <w:rsid w:val="00896A4F"/>
    <w:rsid w:val="008C2C4D"/>
    <w:rsid w:val="008C6D09"/>
    <w:rsid w:val="008D4478"/>
    <w:rsid w:val="008D7592"/>
    <w:rsid w:val="008E51F9"/>
    <w:rsid w:val="008F0B2C"/>
    <w:rsid w:val="008F1515"/>
    <w:rsid w:val="008F35A3"/>
    <w:rsid w:val="008F3A2E"/>
    <w:rsid w:val="008F4C88"/>
    <w:rsid w:val="008F4E86"/>
    <w:rsid w:val="00900DFA"/>
    <w:rsid w:val="00904F5C"/>
    <w:rsid w:val="00912102"/>
    <w:rsid w:val="00920E21"/>
    <w:rsid w:val="00925934"/>
    <w:rsid w:val="00934101"/>
    <w:rsid w:val="00952431"/>
    <w:rsid w:val="00954C47"/>
    <w:rsid w:val="0095678D"/>
    <w:rsid w:val="0096710F"/>
    <w:rsid w:val="0097027A"/>
    <w:rsid w:val="00972131"/>
    <w:rsid w:val="00973104"/>
    <w:rsid w:val="009802F2"/>
    <w:rsid w:val="00983AEC"/>
    <w:rsid w:val="009A431A"/>
    <w:rsid w:val="009A527D"/>
    <w:rsid w:val="009C0ED6"/>
    <w:rsid w:val="009C6812"/>
    <w:rsid w:val="009D7229"/>
    <w:rsid w:val="009E1A97"/>
    <w:rsid w:val="009F18BA"/>
    <w:rsid w:val="009F75E9"/>
    <w:rsid w:val="009F7777"/>
    <w:rsid w:val="00A10E1B"/>
    <w:rsid w:val="00A170AF"/>
    <w:rsid w:val="00A264D3"/>
    <w:rsid w:val="00A4244A"/>
    <w:rsid w:val="00A43C89"/>
    <w:rsid w:val="00A44EEB"/>
    <w:rsid w:val="00A568EF"/>
    <w:rsid w:val="00A81ED1"/>
    <w:rsid w:val="00AA4378"/>
    <w:rsid w:val="00AB1816"/>
    <w:rsid w:val="00AB19A1"/>
    <w:rsid w:val="00AB1C64"/>
    <w:rsid w:val="00AB6DC1"/>
    <w:rsid w:val="00AC4322"/>
    <w:rsid w:val="00AD57B6"/>
    <w:rsid w:val="00AD7957"/>
    <w:rsid w:val="00AE1406"/>
    <w:rsid w:val="00AE3DE7"/>
    <w:rsid w:val="00B013C5"/>
    <w:rsid w:val="00B057CD"/>
    <w:rsid w:val="00B07DE9"/>
    <w:rsid w:val="00B10782"/>
    <w:rsid w:val="00B20448"/>
    <w:rsid w:val="00B217A5"/>
    <w:rsid w:val="00B3291E"/>
    <w:rsid w:val="00B33160"/>
    <w:rsid w:val="00B36C6E"/>
    <w:rsid w:val="00B36E64"/>
    <w:rsid w:val="00B430D2"/>
    <w:rsid w:val="00B6030D"/>
    <w:rsid w:val="00B65D29"/>
    <w:rsid w:val="00B6750F"/>
    <w:rsid w:val="00B7368E"/>
    <w:rsid w:val="00B851D3"/>
    <w:rsid w:val="00B916B1"/>
    <w:rsid w:val="00BA6BAF"/>
    <w:rsid w:val="00BB05AA"/>
    <w:rsid w:val="00BB76E6"/>
    <w:rsid w:val="00BC4EE2"/>
    <w:rsid w:val="00BC6F28"/>
    <w:rsid w:val="00BD0D3B"/>
    <w:rsid w:val="00BE64E0"/>
    <w:rsid w:val="00BF2BFF"/>
    <w:rsid w:val="00BF5E8D"/>
    <w:rsid w:val="00C11CCB"/>
    <w:rsid w:val="00C27827"/>
    <w:rsid w:val="00C42D4F"/>
    <w:rsid w:val="00C51004"/>
    <w:rsid w:val="00C526BD"/>
    <w:rsid w:val="00C542DF"/>
    <w:rsid w:val="00C544C5"/>
    <w:rsid w:val="00C624BB"/>
    <w:rsid w:val="00C65355"/>
    <w:rsid w:val="00C7108E"/>
    <w:rsid w:val="00C7484D"/>
    <w:rsid w:val="00C8264F"/>
    <w:rsid w:val="00C87218"/>
    <w:rsid w:val="00C90B87"/>
    <w:rsid w:val="00CA414E"/>
    <w:rsid w:val="00CA5161"/>
    <w:rsid w:val="00CB11F4"/>
    <w:rsid w:val="00CD0FCA"/>
    <w:rsid w:val="00CE2C0B"/>
    <w:rsid w:val="00CE56FE"/>
    <w:rsid w:val="00CE7A4F"/>
    <w:rsid w:val="00D1023E"/>
    <w:rsid w:val="00D13972"/>
    <w:rsid w:val="00D17017"/>
    <w:rsid w:val="00D17A24"/>
    <w:rsid w:val="00D22269"/>
    <w:rsid w:val="00D235AD"/>
    <w:rsid w:val="00D2783E"/>
    <w:rsid w:val="00D351EF"/>
    <w:rsid w:val="00D36BF9"/>
    <w:rsid w:val="00D425A2"/>
    <w:rsid w:val="00D4312C"/>
    <w:rsid w:val="00D44EE4"/>
    <w:rsid w:val="00D47EA6"/>
    <w:rsid w:val="00D6279F"/>
    <w:rsid w:val="00D634A7"/>
    <w:rsid w:val="00D6465E"/>
    <w:rsid w:val="00D725D2"/>
    <w:rsid w:val="00D859AC"/>
    <w:rsid w:val="00D9508F"/>
    <w:rsid w:val="00DA455A"/>
    <w:rsid w:val="00DA4AFD"/>
    <w:rsid w:val="00DA66F8"/>
    <w:rsid w:val="00DB167C"/>
    <w:rsid w:val="00DB2E3B"/>
    <w:rsid w:val="00DB4C1D"/>
    <w:rsid w:val="00DC301B"/>
    <w:rsid w:val="00DE31C1"/>
    <w:rsid w:val="00DE6E71"/>
    <w:rsid w:val="00DF1F85"/>
    <w:rsid w:val="00E026A5"/>
    <w:rsid w:val="00E02D29"/>
    <w:rsid w:val="00E037AF"/>
    <w:rsid w:val="00E123A6"/>
    <w:rsid w:val="00E174C9"/>
    <w:rsid w:val="00E40313"/>
    <w:rsid w:val="00E42B05"/>
    <w:rsid w:val="00E52190"/>
    <w:rsid w:val="00E54BA7"/>
    <w:rsid w:val="00E74146"/>
    <w:rsid w:val="00E81E06"/>
    <w:rsid w:val="00E84AF8"/>
    <w:rsid w:val="00E914F4"/>
    <w:rsid w:val="00E91996"/>
    <w:rsid w:val="00E974BC"/>
    <w:rsid w:val="00E9799B"/>
    <w:rsid w:val="00ED6641"/>
    <w:rsid w:val="00ED6992"/>
    <w:rsid w:val="00ED6E22"/>
    <w:rsid w:val="00EE5AB9"/>
    <w:rsid w:val="00EE6107"/>
    <w:rsid w:val="00F0514B"/>
    <w:rsid w:val="00F0719F"/>
    <w:rsid w:val="00F15AD2"/>
    <w:rsid w:val="00F15FC2"/>
    <w:rsid w:val="00F16008"/>
    <w:rsid w:val="00F2572E"/>
    <w:rsid w:val="00F26374"/>
    <w:rsid w:val="00F307EF"/>
    <w:rsid w:val="00F327D3"/>
    <w:rsid w:val="00F46153"/>
    <w:rsid w:val="00F517ED"/>
    <w:rsid w:val="00F52427"/>
    <w:rsid w:val="00F60E46"/>
    <w:rsid w:val="00F6208F"/>
    <w:rsid w:val="00F71634"/>
    <w:rsid w:val="00F7390A"/>
    <w:rsid w:val="00F8053A"/>
    <w:rsid w:val="00F81D16"/>
    <w:rsid w:val="00F86998"/>
    <w:rsid w:val="00F9624B"/>
    <w:rsid w:val="00FA2215"/>
    <w:rsid w:val="00FA251C"/>
    <w:rsid w:val="00FA71A6"/>
    <w:rsid w:val="00FC4C8B"/>
    <w:rsid w:val="00FE07FE"/>
    <w:rsid w:val="00FE0F87"/>
    <w:rsid w:val="00FE2B3A"/>
    <w:rsid w:val="00FE3AB5"/>
    <w:rsid w:val="00FF0F36"/>
    <w:rsid w:val="00FF11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24ED"/>
  <w15:docId w15:val="{B57A4EFD-6138-4B49-A8A1-FC0B80E3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ED1"/>
    <w:pPr>
      <w:spacing w:after="0" w:line="240" w:lineRule="auto"/>
      <w:jc w:val="both"/>
    </w:pPr>
    <w:rPr>
      <w:rFonts w:ascii="Times New Roman" w:hAnsi="Times New Roman"/>
      <w:sz w:val="24"/>
    </w:rPr>
  </w:style>
  <w:style w:type="paragraph" w:styleId="Ttulo1">
    <w:name w:val="heading 1"/>
    <w:basedOn w:val="Normal"/>
    <w:next w:val="Normal"/>
    <w:link w:val="Ttulo1Char"/>
    <w:uiPriority w:val="9"/>
    <w:qFormat/>
    <w:rsid w:val="00B3291E"/>
    <w:pPr>
      <w:keepNext/>
      <w:keepLines/>
      <w:numPr>
        <w:numId w:val="1"/>
      </w:numPr>
      <w:outlineLvl w:val="0"/>
    </w:pPr>
    <w:rPr>
      <w:rFonts w:eastAsiaTheme="majorEastAsia" w:cstheme="majorBidi"/>
      <w:b/>
      <w:bCs/>
      <w:szCs w:val="28"/>
    </w:rPr>
  </w:style>
  <w:style w:type="paragraph" w:styleId="Ttulo2">
    <w:name w:val="heading 2"/>
    <w:basedOn w:val="Ttulo1"/>
    <w:next w:val="Normal"/>
    <w:link w:val="Ttulo2Char"/>
    <w:autoRedefine/>
    <w:uiPriority w:val="9"/>
    <w:unhideWhenUsed/>
    <w:qFormat/>
    <w:rsid w:val="00A81ED1"/>
    <w:pPr>
      <w:numPr>
        <w:numId w:val="0"/>
      </w:numPr>
      <w:shd w:val="clear" w:color="auto" w:fill="FFFFFF"/>
      <w:textAlignment w:val="baseline"/>
      <w:outlineLvl w:val="1"/>
    </w:pPr>
    <w:rPr>
      <w:rFonts w:cs="Times New Roman"/>
      <w:bCs w:val="0"/>
      <w:szCs w:val="24"/>
    </w:rPr>
  </w:style>
  <w:style w:type="paragraph" w:styleId="Ttulo3">
    <w:name w:val="heading 3"/>
    <w:basedOn w:val="Ttulo2"/>
    <w:next w:val="Normal"/>
    <w:link w:val="Ttulo3Char"/>
    <w:autoRedefine/>
    <w:uiPriority w:val="9"/>
    <w:unhideWhenUsed/>
    <w:qFormat/>
    <w:rsid w:val="00DA4AFD"/>
    <w:pPr>
      <w:ind w:left="717" w:hanging="717"/>
      <w:jc w:val="center"/>
      <w:outlineLvl w:val="2"/>
    </w:pPr>
    <w:rPr>
      <w:bCs/>
    </w:rPr>
  </w:style>
  <w:style w:type="paragraph" w:styleId="Ttulo4">
    <w:name w:val="heading 4"/>
    <w:basedOn w:val="Ttulo3"/>
    <w:next w:val="Normal"/>
    <w:link w:val="Ttulo4Char"/>
    <w:uiPriority w:val="9"/>
    <w:unhideWhenUsed/>
    <w:qFormat/>
    <w:rsid w:val="004A7018"/>
    <w:pPr>
      <w:ind w:left="720" w:hanging="720"/>
      <w:outlineLvl w:val="3"/>
    </w:pPr>
    <w:rPr>
      <w:bCs w:val="0"/>
      <w:iCs/>
    </w:rPr>
  </w:style>
  <w:style w:type="paragraph" w:styleId="Ttulo5">
    <w:name w:val="heading 5"/>
    <w:aliases w:val="Enumeração"/>
    <w:basedOn w:val="Normal"/>
    <w:next w:val="Normal"/>
    <w:link w:val="Ttulo5Char"/>
    <w:uiPriority w:val="9"/>
    <w:unhideWhenUsed/>
    <w:qFormat/>
    <w:rsid w:val="004A701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Ttulo4"/>
    <w:next w:val="Normal"/>
    <w:link w:val="Ttulo6Char"/>
    <w:uiPriority w:val="9"/>
    <w:unhideWhenUsed/>
    <w:qFormat/>
    <w:rsid w:val="004A7018"/>
    <w:pPr>
      <w:ind w:left="1134" w:hanging="1134"/>
      <w:outlineLvl w:val="5"/>
    </w:pPr>
    <w:rPr>
      <w:iCs w:val="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291E"/>
    <w:rPr>
      <w:rFonts w:ascii="Times New Roman" w:eastAsiaTheme="majorEastAsia" w:hAnsi="Times New Roman" w:cstheme="majorBidi"/>
      <w:b/>
      <w:bCs/>
      <w:sz w:val="24"/>
      <w:szCs w:val="28"/>
    </w:rPr>
  </w:style>
  <w:style w:type="character" w:customStyle="1" w:styleId="Ttulo2Char">
    <w:name w:val="Título 2 Char"/>
    <w:basedOn w:val="Fontepargpadro"/>
    <w:link w:val="Ttulo2"/>
    <w:uiPriority w:val="9"/>
    <w:rsid w:val="00A81ED1"/>
    <w:rPr>
      <w:rFonts w:ascii="Times New Roman" w:eastAsiaTheme="majorEastAsia" w:hAnsi="Times New Roman" w:cs="Times New Roman"/>
      <w:b/>
      <w:sz w:val="24"/>
      <w:szCs w:val="24"/>
      <w:shd w:val="clear" w:color="auto" w:fill="FFFFFF"/>
    </w:rPr>
  </w:style>
  <w:style w:type="character" w:customStyle="1" w:styleId="Ttulo3Char">
    <w:name w:val="Título 3 Char"/>
    <w:basedOn w:val="Fontepargpadro"/>
    <w:link w:val="Ttulo3"/>
    <w:uiPriority w:val="9"/>
    <w:rsid w:val="00DA4AFD"/>
    <w:rPr>
      <w:rFonts w:ascii="Times New Roman" w:eastAsiaTheme="majorEastAsia" w:hAnsi="Times New Roman" w:cs="Times New Roman"/>
      <w:b/>
      <w:bCs/>
      <w:sz w:val="24"/>
      <w:szCs w:val="24"/>
      <w:shd w:val="clear" w:color="auto" w:fill="FFFFFF"/>
    </w:rPr>
  </w:style>
  <w:style w:type="paragraph" w:styleId="PargrafodaLista">
    <w:name w:val="List Paragraph"/>
    <w:basedOn w:val="Normal"/>
    <w:uiPriority w:val="34"/>
    <w:qFormat/>
    <w:rsid w:val="004A7018"/>
    <w:pPr>
      <w:ind w:left="720"/>
      <w:contextualSpacing/>
    </w:pPr>
  </w:style>
  <w:style w:type="character" w:customStyle="1" w:styleId="Ttulo5Char">
    <w:name w:val="Título 5 Char"/>
    <w:aliases w:val="Enumeração Char"/>
    <w:basedOn w:val="Fontepargpadro"/>
    <w:link w:val="Ttulo5"/>
    <w:uiPriority w:val="9"/>
    <w:semiHidden/>
    <w:rsid w:val="004A7018"/>
    <w:rPr>
      <w:rFonts w:asciiTheme="majorHAnsi" w:eastAsiaTheme="majorEastAsia" w:hAnsiTheme="majorHAnsi" w:cstheme="majorBidi"/>
      <w:color w:val="243F60" w:themeColor="accent1" w:themeShade="7F"/>
      <w:sz w:val="24"/>
    </w:rPr>
  </w:style>
  <w:style w:type="character" w:customStyle="1" w:styleId="Ttulo4Char">
    <w:name w:val="Título 4 Char"/>
    <w:basedOn w:val="Fontepargpadro"/>
    <w:link w:val="Ttulo4"/>
    <w:uiPriority w:val="9"/>
    <w:rsid w:val="004A7018"/>
    <w:rPr>
      <w:rFonts w:ascii="Times New Roman" w:eastAsiaTheme="majorEastAsia" w:hAnsi="Times New Roman" w:cstheme="majorBidi"/>
      <w:b/>
      <w:iCs/>
      <w:sz w:val="24"/>
      <w:szCs w:val="26"/>
      <w:shd w:val="clear" w:color="auto" w:fill="FFFFFF"/>
    </w:rPr>
  </w:style>
  <w:style w:type="character" w:customStyle="1" w:styleId="Ttulo6Char">
    <w:name w:val="Título 6 Char"/>
    <w:basedOn w:val="Fontepargpadro"/>
    <w:link w:val="Ttulo6"/>
    <w:uiPriority w:val="9"/>
    <w:rsid w:val="004A7018"/>
    <w:rPr>
      <w:rFonts w:ascii="Times New Roman" w:eastAsiaTheme="majorEastAsia" w:hAnsi="Times New Roman" w:cstheme="majorBidi"/>
      <w:b/>
      <w:sz w:val="24"/>
      <w:szCs w:val="26"/>
      <w:shd w:val="clear" w:color="auto" w:fill="FFFFFF"/>
    </w:rPr>
  </w:style>
  <w:style w:type="character" w:styleId="Forte">
    <w:name w:val="Strong"/>
    <w:basedOn w:val="Fontepargpadro"/>
    <w:uiPriority w:val="22"/>
    <w:qFormat/>
    <w:rsid w:val="0021081E"/>
    <w:rPr>
      <w:b/>
      <w:bCs/>
    </w:rPr>
  </w:style>
  <w:style w:type="paragraph" w:styleId="Ttulo">
    <w:name w:val="Title"/>
    <w:aliases w:val="Citação direta"/>
    <w:basedOn w:val="Normal"/>
    <w:next w:val="Normal"/>
    <w:link w:val="TtuloChar"/>
    <w:qFormat/>
    <w:rsid w:val="001F4BC9"/>
    <w:pPr>
      <w:ind w:left="2268" w:hanging="2268"/>
      <w:contextualSpacing/>
    </w:pPr>
    <w:rPr>
      <w:rFonts w:eastAsiaTheme="majorEastAsia" w:cstheme="majorBidi"/>
      <w:spacing w:val="5"/>
      <w:kern w:val="28"/>
      <w:sz w:val="20"/>
      <w:szCs w:val="52"/>
    </w:rPr>
  </w:style>
  <w:style w:type="character" w:customStyle="1" w:styleId="TtuloChar">
    <w:name w:val="Título Char"/>
    <w:aliases w:val="Citação direta Char"/>
    <w:basedOn w:val="Fontepargpadro"/>
    <w:link w:val="Ttulo"/>
    <w:rsid w:val="001F4BC9"/>
    <w:rPr>
      <w:rFonts w:ascii="Times New Roman" w:eastAsiaTheme="majorEastAsia" w:hAnsi="Times New Roman" w:cstheme="majorBidi"/>
      <w:spacing w:val="5"/>
      <w:kern w:val="28"/>
      <w:sz w:val="20"/>
      <w:szCs w:val="52"/>
    </w:rPr>
  </w:style>
  <w:style w:type="table" w:styleId="Tabelacomgrade">
    <w:name w:val="Table Grid"/>
    <w:basedOn w:val="Tabelanormal"/>
    <w:rsid w:val="001F4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1F4BC9"/>
    <w:pPr>
      <w:spacing w:after="200"/>
    </w:pPr>
    <w:rPr>
      <w:b/>
      <w:bCs/>
      <w:color w:val="4F81BD" w:themeColor="accent1"/>
      <w:sz w:val="18"/>
      <w:szCs w:val="18"/>
    </w:rPr>
  </w:style>
  <w:style w:type="character" w:styleId="Refdecomentrio">
    <w:name w:val="annotation reference"/>
    <w:basedOn w:val="Fontepargpadro"/>
    <w:uiPriority w:val="99"/>
    <w:semiHidden/>
    <w:unhideWhenUsed/>
    <w:rsid w:val="00A568EF"/>
    <w:rPr>
      <w:sz w:val="16"/>
      <w:szCs w:val="16"/>
    </w:rPr>
  </w:style>
  <w:style w:type="paragraph" w:styleId="Textodecomentrio">
    <w:name w:val="annotation text"/>
    <w:basedOn w:val="Normal"/>
    <w:link w:val="TextodecomentrioChar"/>
    <w:uiPriority w:val="99"/>
    <w:semiHidden/>
    <w:unhideWhenUsed/>
    <w:rsid w:val="00A568EF"/>
    <w:rPr>
      <w:sz w:val="20"/>
      <w:szCs w:val="20"/>
    </w:rPr>
  </w:style>
  <w:style w:type="character" w:customStyle="1" w:styleId="TextodecomentrioChar">
    <w:name w:val="Texto de comentário Char"/>
    <w:basedOn w:val="Fontepargpadro"/>
    <w:link w:val="Textodecomentrio"/>
    <w:uiPriority w:val="99"/>
    <w:semiHidden/>
    <w:rsid w:val="00A568EF"/>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568EF"/>
    <w:rPr>
      <w:b/>
      <w:bCs/>
    </w:rPr>
  </w:style>
  <w:style w:type="character" w:customStyle="1" w:styleId="AssuntodocomentrioChar">
    <w:name w:val="Assunto do comentário Char"/>
    <w:basedOn w:val="TextodecomentrioChar"/>
    <w:link w:val="Assuntodocomentrio"/>
    <w:uiPriority w:val="99"/>
    <w:semiHidden/>
    <w:rsid w:val="00A568EF"/>
    <w:rPr>
      <w:rFonts w:ascii="Times New Roman" w:hAnsi="Times New Roman"/>
      <w:b/>
      <w:bCs/>
      <w:sz w:val="20"/>
      <w:szCs w:val="20"/>
    </w:rPr>
  </w:style>
  <w:style w:type="paragraph" w:styleId="Textodebalo">
    <w:name w:val="Balloon Text"/>
    <w:basedOn w:val="Normal"/>
    <w:link w:val="TextodebaloChar"/>
    <w:uiPriority w:val="99"/>
    <w:semiHidden/>
    <w:unhideWhenUsed/>
    <w:rsid w:val="00A568EF"/>
    <w:rPr>
      <w:rFonts w:ascii="Tahoma" w:hAnsi="Tahoma" w:cs="Tahoma"/>
      <w:sz w:val="16"/>
      <w:szCs w:val="16"/>
    </w:rPr>
  </w:style>
  <w:style w:type="character" w:customStyle="1" w:styleId="TextodebaloChar">
    <w:name w:val="Texto de balão Char"/>
    <w:basedOn w:val="Fontepargpadro"/>
    <w:link w:val="Textodebalo"/>
    <w:uiPriority w:val="99"/>
    <w:semiHidden/>
    <w:rsid w:val="00A568EF"/>
    <w:rPr>
      <w:rFonts w:ascii="Tahoma" w:hAnsi="Tahoma" w:cs="Tahoma"/>
      <w:sz w:val="16"/>
      <w:szCs w:val="16"/>
    </w:rPr>
  </w:style>
  <w:style w:type="paragraph" w:styleId="SemEspaamento">
    <w:name w:val="No Spacing"/>
    <w:aliases w:val="Referência"/>
    <w:uiPriority w:val="1"/>
    <w:qFormat/>
    <w:rsid w:val="005D36CE"/>
    <w:pPr>
      <w:spacing w:after="0" w:line="240" w:lineRule="auto"/>
      <w:jc w:val="both"/>
    </w:pPr>
    <w:rPr>
      <w:rFonts w:ascii="Times New Roman" w:hAnsi="Times New Roman"/>
      <w:sz w:val="24"/>
    </w:rPr>
  </w:style>
  <w:style w:type="character" w:styleId="Hyperlink">
    <w:name w:val="Hyperlink"/>
    <w:basedOn w:val="Fontepargpadro"/>
    <w:uiPriority w:val="99"/>
    <w:unhideWhenUsed/>
    <w:rsid w:val="005D36CE"/>
    <w:rPr>
      <w:color w:val="0000FF" w:themeColor="hyperlink"/>
      <w:u w:val="single"/>
    </w:rPr>
  </w:style>
  <w:style w:type="paragraph" w:styleId="Textodenotaderodap">
    <w:name w:val="footnote text"/>
    <w:basedOn w:val="Normal"/>
    <w:link w:val="TextodenotaderodapChar"/>
    <w:uiPriority w:val="99"/>
    <w:semiHidden/>
    <w:unhideWhenUsed/>
    <w:rsid w:val="005D36CE"/>
    <w:pPr>
      <w:jc w:val="left"/>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semiHidden/>
    <w:rsid w:val="005D36CE"/>
    <w:rPr>
      <w:sz w:val="20"/>
      <w:szCs w:val="20"/>
    </w:rPr>
  </w:style>
  <w:style w:type="paragraph" w:styleId="Sumrio2">
    <w:name w:val="toc 2"/>
    <w:basedOn w:val="Normal"/>
    <w:next w:val="Normal"/>
    <w:autoRedefine/>
    <w:uiPriority w:val="39"/>
    <w:unhideWhenUsed/>
    <w:rsid w:val="003E5D24"/>
    <w:pPr>
      <w:tabs>
        <w:tab w:val="left" w:pos="851"/>
        <w:tab w:val="right" w:leader="dot" w:pos="9061"/>
      </w:tabs>
    </w:pPr>
  </w:style>
  <w:style w:type="character" w:customStyle="1" w:styleId="apple-converted-space">
    <w:name w:val="apple-converted-space"/>
    <w:basedOn w:val="Fontepargpadro"/>
    <w:rsid w:val="003E5D24"/>
  </w:style>
  <w:style w:type="paragraph" w:styleId="Reviso">
    <w:name w:val="Revision"/>
    <w:hidden/>
    <w:uiPriority w:val="99"/>
    <w:semiHidden/>
    <w:rsid w:val="001E6E77"/>
    <w:pPr>
      <w:spacing w:after="0" w:line="240" w:lineRule="auto"/>
    </w:pPr>
    <w:rPr>
      <w:rFonts w:ascii="Times New Roman" w:hAnsi="Times New Roman"/>
      <w:sz w:val="24"/>
    </w:rPr>
  </w:style>
  <w:style w:type="paragraph" w:customStyle="1" w:styleId="Default">
    <w:name w:val="Default"/>
    <w:rsid w:val="008C2C4D"/>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basedOn w:val="Fontepargpadro"/>
    <w:uiPriority w:val="20"/>
    <w:qFormat/>
    <w:rsid w:val="004D24FD"/>
    <w:rPr>
      <w:i/>
      <w:iCs/>
    </w:rPr>
  </w:style>
  <w:style w:type="paragraph" w:styleId="NormalWeb">
    <w:name w:val="Normal (Web)"/>
    <w:basedOn w:val="Normal"/>
    <w:uiPriority w:val="99"/>
    <w:semiHidden/>
    <w:unhideWhenUsed/>
    <w:rsid w:val="00835CDE"/>
    <w:pPr>
      <w:spacing w:before="100" w:beforeAutospacing="1" w:after="100" w:afterAutospacing="1"/>
      <w:jc w:val="left"/>
    </w:pPr>
    <w:rPr>
      <w:rFonts w:eastAsia="Times New Roman" w:cs="Times New Roman"/>
      <w:szCs w:val="24"/>
      <w:lang w:eastAsia="pt-BR"/>
    </w:rPr>
  </w:style>
  <w:style w:type="paragraph" w:styleId="Cabealho">
    <w:name w:val="header"/>
    <w:basedOn w:val="Normal"/>
    <w:link w:val="CabealhoChar"/>
    <w:uiPriority w:val="99"/>
    <w:unhideWhenUsed/>
    <w:rsid w:val="005D0CED"/>
    <w:pPr>
      <w:tabs>
        <w:tab w:val="center" w:pos="4252"/>
        <w:tab w:val="right" w:pos="8504"/>
      </w:tabs>
    </w:pPr>
  </w:style>
  <w:style w:type="character" w:customStyle="1" w:styleId="CabealhoChar">
    <w:name w:val="Cabeçalho Char"/>
    <w:basedOn w:val="Fontepargpadro"/>
    <w:link w:val="Cabealho"/>
    <w:uiPriority w:val="99"/>
    <w:rsid w:val="005D0CED"/>
    <w:rPr>
      <w:rFonts w:ascii="Times New Roman" w:hAnsi="Times New Roman"/>
      <w:sz w:val="24"/>
    </w:rPr>
  </w:style>
  <w:style w:type="paragraph" w:styleId="Rodap">
    <w:name w:val="footer"/>
    <w:basedOn w:val="Normal"/>
    <w:link w:val="RodapChar"/>
    <w:uiPriority w:val="99"/>
    <w:unhideWhenUsed/>
    <w:rsid w:val="005D0CED"/>
    <w:pPr>
      <w:tabs>
        <w:tab w:val="center" w:pos="4252"/>
        <w:tab w:val="right" w:pos="8504"/>
      </w:tabs>
    </w:pPr>
  </w:style>
  <w:style w:type="character" w:customStyle="1" w:styleId="RodapChar">
    <w:name w:val="Rodapé Char"/>
    <w:basedOn w:val="Fontepargpadro"/>
    <w:link w:val="Rodap"/>
    <w:uiPriority w:val="99"/>
    <w:rsid w:val="005D0CED"/>
    <w:rPr>
      <w:rFonts w:ascii="Times New Roman" w:hAnsi="Times New Roman"/>
      <w:sz w:val="24"/>
    </w:rPr>
  </w:style>
  <w:style w:type="character" w:styleId="MenoPendente">
    <w:name w:val="Unresolved Mention"/>
    <w:basedOn w:val="Fontepargpadro"/>
    <w:uiPriority w:val="99"/>
    <w:semiHidden/>
    <w:unhideWhenUsed/>
    <w:rsid w:val="008F15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186017">
      <w:bodyDiv w:val="1"/>
      <w:marLeft w:val="0"/>
      <w:marRight w:val="0"/>
      <w:marTop w:val="0"/>
      <w:marBottom w:val="0"/>
      <w:divBdr>
        <w:top w:val="none" w:sz="0" w:space="0" w:color="auto"/>
        <w:left w:val="none" w:sz="0" w:space="0" w:color="auto"/>
        <w:bottom w:val="none" w:sz="0" w:space="0" w:color="auto"/>
        <w:right w:val="none" w:sz="0" w:space="0" w:color="auto"/>
      </w:divBdr>
    </w:div>
    <w:div w:id="638463534">
      <w:bodyDiv w:val="1"/>
      <w:marLeft w:val="0"/>
      <w:marRight w:val="0"/>
      <w:marTop w:val="0"/>
      <w:marBottom w:val="0"/>
      <w:divBdr>
        <w:top w:val="none" w:sz="0" w:space="0" w:color="auto"/>
        <w:left w:val="none" w:sz="0" w:space="0" w:color="auto"/>
        <w:bottom w:val="none" w:sz="0" w:space="0" w:color="auto"/>
        <w:right w:val="none" w:sz="0" w:space="0" w:color="auto"/>
      </w:divBdr>
    </w:div>
    <w:div w:id="795369851">
      <w:bodyDiv w:val="1"/>
      <w:marLeft w:val="0"/>
      <w:marRight w:val="0"/>
      <w:marTop w:val="0"/>
      <w:marBottom w:val="0"/>
      <w:divBdr>
        <w:top w:val="none" w:sz="0" w:space="0" w:color="auto"/>
        <w:left w:val="none" w:sz="0" w:space="0" w:color="auto"/>
        <w:bottom w:val="none" w:sz="0" w:space="0" w:color="auto"/>
        <w:right w:val="none" w:sz="0" w:space="0" w:color="auto"/>
      </w:divBdr>
    </w:div>
    <w:div w:id="844709847">
      <w:bodyDiv w:val="1"/>
      <w:marLeft w:val="0"/>
      <w:marRight w:val="0"/>
      <w:marTop w:val="0"/>
      <w:marBottom w:val="0"/>
      <w:divBdr>
        <w:top w:val="none" w:sz="0" w:space="0" w:color="auto"/>
        <w:left w:val="none" w:sz="0" w:space="0" w:color="auto"/>
        <w:bottom w:val="none" w:sz="0" w:space="0" w:color="auto"/>
        <w:right w:val="none" w:sz="0" w:space="0" w:color="auto"/>
      </w:divBdr>
    </w:div>
    <w:div w:id="971399123">
      <w:bodyDiv w:val="1"/>
      <w:marLeft w:val="0"/>
      <w:marRight w:val="0"/>
      <w:marTop w:val="0"/>
      <w:marBottom w:val="0"/>
      <w:divBdr>
        <w:top w:val="none" w:sz="0" w:space="0" w:color="auto"/>
        <w:left w:val="none" w:sz="0" w:space="0" w:color="auto"/>
        <w:bottom w:val="none" w:sz="0" w:space="0" w:color="auto"/>
        <w:right w:val="none" w:sz="0" w:space="0" w:color="auto"/>
      </w:divBdr>
    </w:div>
    <w:div w:id="119688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via.admin@gmail.com" TargetMode="External"/><Relationship Id="rId13" Type="http://schemas.openxmlformats.org/officeDocument/2006/relationships/hyperlink" Target="http://www.camara.gov.br/proposicoesWeb/fichadetramitacao?idProposicao=346395" TargetMode="External"/><Relationship Id="rId18" Type="http://schemas.openxmlformats.org/officeDocument/2006/relationships/hyperlink" Target="http://www.controlepublico.org.br/index.php?option=com_content&amp;view=article&amp;Itemid=54&amp;id=3328:instituto-rui-barbosa-se-reune-em-brasilia-para-debater-planejamento-estrategi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oaspraticas.atricon.org.br/" TargetMode="External"/><Relationship Id="rId17" Type="http://schemas.openxmlformats.org/officeDocument/2006/relationships/hyperlink" Target="http://www.intosai.org/uploads/intosaispenglishv9web.pdf" TargetMode="External"/><Relationship Id="rId2" Type="http://schemas.openxmlformats.org/officeDocument/2006/relationships/numbering" Target="numbering.xml"/><Relationship Id="rId16" Type="http://schemas.openxmlformats.org/officeDocument/2006/relationships/hyperlink" Target="http://www.irbcontas.org.br/noticia/diretoria-do-irb-se-reune-e-define-nova-composicao-de-gestoes-e-comites-tematicos/4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ricon.org.br/wp-content/uploads/2015/03/QATC2_VersaoFinalPublicada.pdf" TargetMode="External"/><Relationship Id="rId5" Type="http://schemas.openxmlformats.org/officeDocument/2006/relationships/webSettings" Target="webSettings.xml"/><Relationship Id="rId15" Type="http://schemas.openxmlformats.org/officeDocument/2006/relationships/hyperlink" Target="http://www.tesouro.fazenda.gov.br/pt_PT/treinamentos-e-eventos" TargetMode="External"/><Relationship Id="rId10" Type="http://schemas.openxmlformats.org/officeDocument/2006/relationships/hyperlink" Target="http://www.atricon.org.br/documentos/" TargetMode="External"/><Relationship Id="rId19" Type="http://schemas.openxmlformats.org/officeDocument/2006/relationships/hyperlink" Target="https://libano.tce.mg.gov.br/eeventos/saipmf" TargetMode="External"/><Relationship Id="rId4" Type="http://schemas.openxmlformats.org/officeDocument/2006/relationships/settings" Target="settings.xml"/><Relationship Id="rId9" Type="http://schemas.openxmlformats.org/officeDocument/2006/relationships/hyperlink" Target="http://www.atricon.org.br/wp-content/uploads/2013/07/REGULAMENTO_PARAMETROS_AGILIDADE_QUALIDADE.pdf" TargetMode="External"/><Relationship Id="rId14" Type="http://schemas.openxmlformats.org/officeDocument/2006/relationships/hyperlink" Target="http://www.tce.ma.gov.br/publicacoes/documento/arquivos/Pesquisa%20FGV_PROMOEX%20Diagnostico%20Ambiente%20Externo.pdf"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5C256-4D86-4DDD-BF09-9A0D2B9B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10706</Words>
  <Characters>57817</Characters>
  <Application>Microsoft Office Word</Application>
  <DocSecurity>0</DocSecurity>
  <Lines>481</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FLÁVIA SILVA</dc:creator>
  <cp:lastModifiedBy>FLÁVIA SILVA</cp:lastModifiedBy>
  <cp:revision>3</cp:revision>
  <cp:lastPrinted>2015-08-05T15:30:00Z</cp:lastPrinted>
  <dcterms:created xsi:type="dcterms:W3CDTF">2017-12-03T13:57:00Z</dcterms:created>
  <dcterms:modified xsi:type="dcterms:W3CDTF">2017-12-03T13:59:00Z</dcterms:modified>
</cp:coreProperties>
</file>