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7598" w14:textId="0E126E16" w:rsidR="001503A8" w:rsidRPr="00B83152" w:rsidRDefault="00882C17" w:rsidP="001503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52">
        <w:rPr>
          <w:rFonts w:ascii="Times New Roman" w:hAnsi="Times New Roman" w:cs="Times New Roman"/>
          <w:b/>
          <w:sz w:val="24"/>
          <w:szCs w:val="24"/>
        </w:rPr>
        <w:t xml:space="preserve">O QUE É EVIDENCIADO </w:t>
      </w:r>
      <w:r w:rsidR="00863DAD" w:rsidRPr="00B83152">
        <w:rPr>
          <w:rFonts w:ascii="Times New Roman" w:hAnsi="Times New Roman" w:cs="Times New Roman"/>
          <w:b/>
          <w:sz w:val="24"/>
          <w:szCs w:val="24"/>
        </w:rPr>
        <w:t xml:space="preserve">NO BRASIL </w:t>
      </w:r>
      <w:r w:rsidRPr="00B83152">
        <w:rPr>
          <w:rFonts w:ascii="Times New Roman" w:hAnsi="Times New Roman" w:cs="Times New Roman"/>
          <w:b/>
          <w:sz w:val="24"/>
          <w:szCs w:val="24"/>
        </w:rPr>
        <w:t xml:space="preserve">SOBRE A RESPONSABILIDADE SOCIAL CORPORATIVA ADVINDA DA POLÍTICA NACIONAL DOS RESÍDUOS SÓLIDOS NOS </w:t>
      </w:r>
      <w:r w:rsidR="001503A8" w:rsidRPr="00B83152">
        <w:rPr>
          <w:rFonts w:ascii="Times New Roman" w:hAnsi="Times New Roman" w:cs="Times New Roman"/>
          <w:b/>
          <w:sz w:val="24"/>
          <w:szCs w:val="24"/>
        </w:rPr>
        <w:t>FORMULÁRIO</w:t>
      </w:r>
      <w:r w:rsidRPr="00B83152">
        <w:rPr>
          <w:rFonts w:ascii="Times New Roman" w:hAnsi="Times New Roman" w:cs="Times New Roman"/>
          <w:b/>
          <w:sz w:val="24"/>
          <w:szCs w:val="24"/>
        </w:rPr>
        <w:t>S</w:t>
      </w:r>
      <w:r w:rsidR="001503A8" w:rsidRPr="00B83152">
        <w:rPr>
          <w:rFonts w:ascii="Times New Roman" w:hAnsi="Times New Roman" w:cs="Times New Roman"/>
          <w:b/>
          <w:sz w:val="24"/>
          <w:szCs w:val="24"/>
        </w:rPr>
        <w:t xml:space="preserve"> DE REFERÊNCIA E RELATO</w:t>
      </w:r>
      <w:r w:rsidRPr="00B83152">
        <w:rPr>
          <w:rFonts w:ascii="Times New Roman" w:hAnsi="Times New Roman" w:cs="Times New Roman"/>
          <w:b/>
          <w:sz w:val="24"/>
          <w:szCs w:val="24"/>
        </w:rPr>
        <w:t>S</w:t>
      </w:r>
      <w:r w:rsidR="001503A8" w:rsidRPr="00B83152">
        <w:rPr>
          <w:rFonts w:ascii="Times New Roman" w:hAnsi="Times New Roman" w:cs="Times New Roman"/>
          <w:b/>
          <w:sz w:val="24"/>
          <w:szCs w:val="24"/>
        </w:rPr>
        <w:t xml:space="preserve"> INTEGRADO</w:t>
      </w:r>
      <w:r w:rsidRPr="00B83152">
        <w:rPr>
          <w:rFonts w:ascii="Times New Roman" w:hAnsi="Times New Roman" w:cs="Times New Roman"/>
          <w:b/>
          <w:sz w:val="24"/>
          <w:szCs w:val="24"/>
        </w:rPr>
        <w:t>S</w:t>
      </w:r>
      <w:r w:rsidR="00863DAD" w:rsidRPr="00B83152">
        <w:rPr>
          <w:rFonts w:ascii="Times New Roman" w:hAnsi="Times New Roman" w:cs="Times New Roman"/>
          <w:b/>
          <w:sz w:val="24"/>
          <w:szCs w:val="24"/>
        </w:rPr>
        <w:t>?</w:t>
      </w:r>
    </w:p>
    <w:p w14:paraId="7416086D" w14:textId="0C4E248D" w:rsidR="00A50332" w:rsidRPr="00B83152" w:rsidRDefault="00A50332" w:rsidP="001503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CFEE1" w14:textId="4D775C94" w:rsidR="00A50332" w:rsidRDefault="00A50332" w:rsidP="001503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52">
        <w:rPr>
          <w:rFonts w:ascii="Times New Roman" w:hAnsi="Times New Roman" w:cs="Times New Roman"/>
          <w:b/>
          <w:sz w:val="24"/>
          <w:szCs w:val="24"/>
        </w:rPr>
        <w:t xml:space="preserve">WHAT IS DISCLOSURED IN BRAZIL ABOUT THE CORPORATE SOCIAL RESPONSIBILITY COMING FROM THE SOLID WASTE NATIONAL POLICY IN THE </w:t>
      </w:r>
      <w:r w:rsidR="00EA0F03" w:rsidRPr="00B83152">
        <w:rPr>
          <w:rFonts w:ascii="Times New Roman" w:hAnsi="Times New Roman" w:cs="Times New Roman"/>
          <w:b/>
          <w:sz w:val="24"/>
          <w:szCs w:val="24"/>
        </w:rPr>
        <w:t>REFERENCE FORM</w:t>
      </w:r>
      <w:r w:rsidRPr="00B83152">
        <w:rPr>
          <w:rFonts w:ascii="Times New Roman" w:hAnsi="Times New Roman" w:cs="Times New Roman"/>
          <w:b/>
          <w:sz w:val="24"/>
          <w:szCs w:val="24"/>
        </w:rPr>
        <w:t xml:space="preserve"> AND INTEGRATED REPORTINGS?</w:t>
      </w:r>
    </w:p>
    <w:p w14:paraId="3609BDC2" w14:textId="77777777" w:rsidR="00A50332" w:rsidRDefault="00A50332" w:rsidP="001503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83749" w14:textId="77777777" w:rsidR="00251426" w:rsidRPr="00704821" w:rsidRDefault="00CB7514" w:rsidP="00127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821">
        <w:rPr>
          <w:rFonts w:ascii="Times New Roman" w:hAnsi="Times New Roman" w:cs="Times New Roman"/>
          <w:b/>
          <w:sz w:val="24"/>
          <w:szCs w:val="24"/>
        </w:rPr>
        <w:t>Rodrigo Gaspar de Almeida</w:t>
      </w:r>
      <w:r w:rsidR="00B13AA6" w:rsidRPr="007048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DDD0E6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Mestrando em Ciências Contábeis </w:t>
      </w:r>
    </w:p>
    <w:p w14:paraId="48A3D82D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Programa de Pós-Graduação em Ciências Contábeis (PCO)</w:t>
      </w:r>
    </w:p>
    <w:p w14:paraId="50A92145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Universidade Estadual de Maringá (UEM)</w:t>
      </w:r>
    </w:p>
    <w:p w14:paraId="036E35A1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Av. Colombo, 5790 – Campus Universitário – Bloco C23, sala 227 – Maringá-PR</w:t>
      </w:r>
    </w:p>
    <w:p w14:paraId="360C01A2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E-mail: rogaspar88@hotmail.com - Telefone: (44) 3011-4909</w:t>
      </w:r>
    </w:p>
    <w:p w14:paraId="05A77AC6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DA605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821">
        <w:rPr>
          <w:rFonts w:ascii="Times New Roman" w:hAnsi="Times New Roman" w:cs="Times New Roman"/>
          <w:b/>
          <w:sz w:val="24"/>
          <w:szCs w:val="24"/>
        </w:rPr>
        <w:t xml:space="preserve">Marguit Neumann </w:t>
      </w:r>
    </w:p>
    <w:p w14:paraId="5D76C81C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Doutora em Economia, Université Pierre Mendès France (UPMF)</w:t>
      </w:r>
    </w:p>
    <w:p w14:paraId="30E7C027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Programa de Pós-Graduação em Ciências Contábeis (PCO)</w:t>
      </w:r>
    </w:p>
    <w:p w14:paraId="45C353D0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Universidade Estadual de Maringá (UEM)</w:t>
      </w:r>
    </w:p>
    <w:p w14:paraId="71731C84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Av. Colombo, 5790 – Campus Universitário – Bloco C23, sala 227 – Maringá-PR</w:t>
      </w:r>
    </w:p>
    <w:p w14:paraId="6819D881" w14:textId="77777777" w:rsidR="00B13AA6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E-mail: marguitn26@gmail.com - Telefone: (44) 3011-4909</w:t>
      </w:r>
    </w:p>
    <w:p w14:paraId="4293C413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5E65E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821">
        <w:rPr>
          <w:rFonts w:ascii="Times New Roman" w:hAnsi="Times New Roman" w:cs="Times New Roman"/>
          <w:b/>
          <w:sz w:val="24"/>
          <w:szCs w:val="24"/>
        </w:rPr>
        <w:t>Simone Leticia Raimundini Sanches</w:t>
      </w:r>
    </w:p>
    <w:p w14:paraId="5DF37957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Doutora em Administração, Universidade Federal do Rio Grande do Sul (UFRGS)</w:t>
      </w:r>
    </w:p>
    <w:p w14:paraId="6082EC99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Programa de Pós-Graduação em Ciências Contábeis (PCO)</w:t>
      </w:r>
    </w:p>
    <w:p w14:paraId="19BB9C4D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Universidade Estadual de Maringá (UEM)</w:t>
      </w:r>
    </w:p>
    <w:p w14:paraId="4D67ECF8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Av. Colombo, 5790 – Campus Universitário – Bloco C23, sala 227 – Maringá-PR</w:t>
      </w:r>
    </w:p>
    <w:p w14:paraId="26FACC5F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E-mail: slraimundini@uem.br - Telefone: (44) 3011-4909</w:t>
      </w:r>
    </w:p>
    <w:p w14:paraId="7E7F3006" w14:textId="77777777" w:rsidR="00127208" w:rsidRPr="00704821" w:rsidRDefault="00127208" w:rsidP="00127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25C60" w14:textId="77777777" w:rsidR="00CB7514" w:rsidRPr="00704821" w:rsidRDefault="00127208" w:rsidP="00B13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b/>
          <w:sz w:val="24"/>
          <w:szCs w:val="24"/>
        </w:rPr>
        <w:t>RESUMO</w:t>
      </w:r>
      <w:r w:rsidR="00A514A6" w:rsidRPr="00704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EB502" w14:textId="724402F2" w:rsidR="001218E7" w:rsidRPr="00704821" w:rsidRDefault="00E7196D" w:rsidP="00424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52">
        <w:rPr>
          <w:rFonts w:ascii="Times New Roman" w:hAnsi="Times New Roman" w:cs="Times New Roman"/>
          <w:sz w:val="24"/>
          <w:szCs w:val="24"/>
        </w:rPr>
        <w:t xml:space="preserve">O objetivo desse estudo </w:t>
      </w:r>
      <w:r w:rsidR="00991BD2" w:rsidRPr="00B83152">
        <w:rPr>
          <w:rFonts w:ascii="Times New Roman" w:hAnsi="Times New Roman" w:cs="Times New Roman"/>
          <w:sz w:val="24"/>
          <w:szCs w:val="24"/>
        </w:rPr>
        <w:t>foi</w:t>
      </w:r>
      <w:r w:rsidR="00A6410A" w:rsidRPr="00B83152">
        <w:rPr>
          <w:rFonts w:ascii="Times New Roman" w:hAnsi="Times New Roman" w:cs="Times New Roman"/>
          <w:sz w:val="24"/>
          <w:szCs w:val="24"/>
        </w:rPr>
        <w:t xml:space="preserve"> analisar a evidenciação da Responsabilidade Social Corporativa (RSC) advinda da Política Nacional dos Resíduos Sólidos (PNRS) no Formulário de Referência (FR) e no Relato Integrado (RI). </w:t>
      </w:r>
      <w:r w:rsidR="00C9465F" w:rsidRPr="00B83152">
        <w:rPr>
          <w:rFonts w:ascii="Times New Roman" w:hAnsi="Times New Roman" w:cs="Times New Roman"/>
          <w:sz w:val="24"/>
          <w:szCs w:val="24"/>
        </w:rPr>
        <w:t>Em 2010, o</w:t>
      </w:r>
      <w:r w:rsidR="0098432B" w:rsidRPr="00B83152">
        <w:rPr>
          <w:rFonts w:ascii="Times New Roman" w:hAnsi="Times New Roman" w:cs="Times New Roman"/>
          <w:sz w:val="24"/>
          <w:szCs w:val="24"/>
        </w:rPr>
        <w:t xml:space="preserve"> Brasil, instituiu </w:t>
      </w:r>
      <w:r w:rsidR="00476794" w:rsidRPr="00B83152">
        <w:rPr>
          <w:rFonts w:ascii="Times New Roman" w:hAnsi="Times New Roman" w:cs="Times New Roman"/>
          <w:sz w:val="24"/>
          <w:szCs w:val="24"/>
        </w:rPr>
        <w:t>a Política Nacional dos Resíduos Sólidos</w:t>
      </w:r>
      <w:r w:rsidR="00C9465F" w:rsidRPr="00B83152">
        <w:rPr>
          <w:rFonts w:ascii="Times New Roman" w:hAnsi="Times New Roman" w:cs="Times New Roman"/>
          <w:sz w:val="24"/>
          <w:szCs w:val="24"/>
        </w:rPr>
        <w:t>, e nessa lei, existem responsabilidades para o setor corporativo</w:t>
      </w:r>
      <w:r w:rsidR="005826B1" w:rsidRPr="00B83152">
        <w:rPr>
          <w:rFonts w:ascii="Times New Roman" w:hAnsi="Times New Roman" w:cs="Times New Roman"/>
          <w:sz w:val="24"/>
          <w:szCs w:val="24"/>
        </w:rPr>
        <w:t>, tais quais: a adoção de um modelo empresarial que consolide: a) não geração, b) redução, c) reutilização, d) reciclagem e tratamento e e) disposição final adequados de resíduos sólidos, a Responsabilidade Compartilhada e promover o acesso à informação aos stakeholders</w:t>
      </w:r>
      <w:r w:rsidR="00C9465F" w:rsidRPr="00B83152">
        <w:rPr>
          <w:rFonts w:ascii="Times New Roman" w:hAnsi="Times New Roman" w:cs="Times New Roman"/>
          <w:sz w:val="24"/>
          <w:szCs w:val="24"/>
        </w:rPr>
        <w:t>.</w:t>
      </w:r>
      <w:r w:rsidR="007C6B50" w:rsidRPr="00B83152">
        <w:rPr>
          <w:rFonts w:ascii="Times New Roman" w:hAnsi="Times New Roman" w:cs="Times New Roman"/>
          <w:sz w:val="24"/>
          <w:szCs w:val="24"/>
        </w:rPr>
        <w:t xml:space="preserve"> Essa</w:t>
      </w:r>
      <w:r w:rsidR="007C6B50">
        <w:rPr>
          <w:rFonts w:ascii="Times New Roman" w:hAnsi="Times New Roman" w:cs="Times New Roman"/>
          <w:sz w:val="24"/>
          <w:szCs w:val="24"/>
        </w:rPr>
        <w:t xml:space="preserve"> pesquisa classificou</w:t>
      </w:r>
      <w:r w:rsidR="0042482C" w:rsidRPr="00704821">
        <w:rPr>
          <w:rFonts w:ascii="Times New Roman" w:hAnsi="Times New Roman" w:cs="Times New Roman"/>
          <w:sz w:val="24"/>
          <w:szCs w:val="24"/>
        </w:rPr>
        <w:t xml:space="preserve">-se como, pesquisa aplicada, descritiva, documental, </w:t>
      </w:r>
      <w:r w:rsidR="0042482C" w:rsidRPr="00704821">
        <w:rPr>
          <w:rFonts w:ascii="Times New Roman" w:hAnsi="Times New Roman" w:cs="Times New Roman"/>
          <w:i/>
          <w:sz w:val="24"/>
          <w:szCs w:val="24"/>
        </w:rPr>
        <w:t>ex-post-facto</w:t>
      </w:r>
      <w:r w:rsidR="0042482C" w:rsidRPr="00704821">
        <w:rPr>
          <w:rFonts w:ascii="Times New Roman" w:hAnsi="Times New Roman" w:cs="Times New Roman"/>
          <w:sz w:val="24"/>
          <w:szCs w:val="24"/>
        </w:rPr>
        <w:t xml:space="preserve">, com abordagem qualitativa por meio da </w:t>
      </w:r>
      <w:r w:rsidR="007B5FA4" w:rsidRPr="00704821">
        <w:rPr>
          <w:rFonts w:ascii="Times New Roman" w:hAnsi="Times New Roman" w:cs="Times New Roman"/>
          <w:sz w:val="24"/>
          <w:szCs w:val="24"/>
        </w:rPr>
        <w:t>análise</w:t>
      </w:r>
      <w:r w:rsidR="0042482C" w:rsidRPr="00704821">
        <w:rPr>
          <w:rFonts w:ascii="Times New Roman" w:hAnsi="Times New Roman" w:cs="Times New Roman"/>
          <w:sz w:val="24"/>
          <w:szCs w:val="24"/>
        </w:rPr>
        <w:t xml:space="preserve"> de conteúdo. </w:t>
      </w:r>
      <w:r w:rsidR="001218E7" w:rsidRPr="00704821">
        <w:rPr>
          <w:rFonts w:ascii="Times New Roman" w:hAnsi="Times New Roman" w:cs="Times New Roman"/>
          <w:sz w:val="24"/>
          <w:szCs w:val="24"/>
        </w:rPr>
        <w:t xml:space="preserve">Os resultados foram analisados </w:t>
      </w:r>
      <w:r w:rsidR="008623BC" w:rsidRPr="00704821">
        <w:rPr>
          <w:rFonts w:ascii="Times New Roman" w:hAnsi="Times New Roman" w:cs="Times New Roman"/>
          <w:sz w:val="24"/>
          <w:szCs w:val="24"/>
        </w:rPr>
        <w:t>sob a ótica</w:t>
      </w:r>
      <w:r w:rsidR="001218E7" w:rsidRPr="00704821">
        <w:rPr>
          <w:rFonts w:ascii="Times New Roman" w:hAnsi="Times New Roman" w:cs="Times New Roman"/>
          <w:sz w:val="24"/>
          <w:szCs w:val="24"/>
        </w:rPr>
        <w:t xml:space="preserve"> da Teoria dos </w:t>
      </w:r>
      <w:r w:rsidR="001218E7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42482C" w:rsidRPr="00704821">
        <w:rPr>
          <w:rFonts w:ascii="Times New Roman" w:hAnsi="Times New Roman" w:cs="Times New Roman"/>
          <w:sz w:val="24"/>
          <w:szCs w:val="24"/>
        </w:rPr>
        <w:t xml:space="preserve"> e da Teoria da Legitimidade</w:t>
      </w:r>
      <w:r w:rsidR="00D905CC" w:rsidRPr="00704821">
        <w:rPr>
          <w:rFonts w:ascii="Times New Roman" w:hAnsi="Times New Roman" w:cs="Times New Roman"/>
          <w:sz w:val="24"/>
          <w:szCs w:val="24"/>
        </w:rPr>
        <w:t>.</w:t>
      </w:r>
      <w:r w:rsidR="005F735E" w:rsidRPr="00704821">
        <w:rPr>
          <w:rFonts w:ascii="Times New Roman" w:hAnsi="Times New Roman" w:cs="Times New Roman"/>
          <w:sz w:val="24"/>
          <w:szCs w:val="24"/>
        </w:rPr>
        <w:t xml:space="preserve"> Conclui</w:t>
      </w:r>
      <w:r w:rsidR="007C6B50">
        <w:rPr>
          <w:rFonts w:ascii="Times New Roman" w:hAnsi="Times New Roman" w:cs="Times New Roman"/>
          <w:sz w:val="24"/>
          <w:szCs w:val="24"/>
        </w:rPr>
        <w:t>u</w:t>
      </w:r>
      <w:r w:rsidR="005F735E" w:rsidRPr="00704821">
        <w:rPr>
          <w:rFonts w:ascii="Times New Roman" w:hAnsi="Times New Roman" w:cs="Times New Roman"/>
          <w:sz w:val="24"/>
          <w:szCs w:val="24"/>
        </w:rPr>
        <w:t xml:space="preserve">-se que todas as empresas que integraram a amostra assumiram a </w:t>
      </w:r>
      <w:r w:rsidR="00A6410A" w:rsidRPr="00704821">
        <w:rPr>
          <w:rFonts w:ascii="Times New Roman" w:hAnsi="Times New Roman" w:cs="Times New Roman"/>
          <w:sz w:val="24"/>
          <w:szCs w:val="24"/>
        </w:rPr>
        <w:t>RSC</w:t>
      </w:r>
      <w:r w:rsidR="005F735E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873071" w:rsidRPr="00704821">
        <w:rPr>
          <w:rFonts w:ascii="Times New Roman" w:hAnsi="Times New Roman" w:cs="Times New Roman"/>
          <w:sz w:val="24"/>
          <w:szCs w:val="24"/>
        </w:rPr>
        <w:t>mas</w:t>
      </w:r>
      <w:r w:rsidR="00A6410A" w:rsidRPr="00704821">
        <w:rPr>
          <w:rFonts w:ascii="Times New Roman" w:hAnsi="Times New Roman" w:cs="Times New Roman"/>
          <w:sz w:val="24"/>
          <w:szCs w:val="24"/>
        </w:rPr>
        <w:t xml:space="preserve"> apenas</w:t>
      </w:r>
      <w:r w:rsidR="008623BC" w:rsidRPr="00704821">
        <w:rPr>
          <w:rFonts w:ascii="Times New Roman" w:hAnsi="Times New Roman" w:cs="Times New Roman"/>
          <w:sz w:val="24"/>
          <w:szCs w:val="24"/>
        </w:rPr>
        <w:t xml:space="preserve"> 7 das 17 empresas </w:t>
      </w:r>
      <w:r w:rsidR="005F735E" w:rsidRPr="00704821">
        <w:rPr>
          <w:rFonts w:ascii="Times New Roman" w:hAnsi="Times New Roman" w:cs="Times New Roman"/>
          <w:sz w:val="24"/>
          <w:szCs w:val="24"/>
        </w:rPr>
        <w:t>evidenciaram a PNRS.</w:t>
      </w:r>
      <w:r w:rsidR="001D2ED6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42482C" w:rsidRPr="00704821">
        <w:rPr>
          <w:rFonts w:ascii="Times New Roman" w:hAnsi="Times New Roman" w:cs="Times New Roman"/>
          <w:sz w:val="24"/>
          <w:szCs w:val="24"/>
        </w:rPr>
        <w:t xml:space="preserve">As </w:t>
      </w:r>
      <w:r w:rsidR="00B7388C" w:rsidRPr="00704821">
        <w:rPr>
          <w:rFonts w:ascii="Times New Roman" w:hAnsi="Times New Roman" w:cs="Times New Roman"/>
          <w:sz w:val="24"/>
          <w:szCs w:val="24"/>
        </w:rPr>
        <w:t xml:space="preserve">unidades de análise mais recorrentes foram: </w:t>
      </w:r>
      <w:r w:rsidR="00BD332A" w:rsidRPr="00704821">
        <w:rPr>
          <w:rFonts w:ascii="Times New Roman" w:hAnsi="Times New Roman" w:cs="Times New Roman"/>
          <w:sz w:val="24"/>
          <w:szCs w:val="24"/>
        </w:rPr>
        <w:t xml:space="preserve">acesso à informação (controle social) e desenvolvimento sustentável, </w:t>
      </w:r>
      <w:r w:rsidR="0042482C" w:rsidRPr="00704821">
        <w:rPr>
          <w:rFonts w:ascii="Times New Roman" w:hAnsi="Times New Roman" w:cs="Times New Roman"/>
          <w:sz w:val="24"/>
          <w:szCs w:val="24"/>
        </w:rPr>
        <w:t xml:space="preserve">os grupos de </w:t>
      </w:r>
      <w:r w:rsidR="0042482C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42482C" w:rsidRPr="00704821">
        <w:rPr>
          <w:rFonts w:ascii="Times New Roman" w:hAnsi="Times New Roman" w:cs="Times New Roman"/>
          <w:sz w:val="24"/>
          <w:szCs w:val="24"/>
        </w:rPr>
        <w:t xml:space="preserve"> mais abordados nos FR e no RI, em relação à gestão de resíduos </w:t>
      </w:r>
      <w:r w:rsidR="007C6B50">
        <w:rPr>
          <w:rFonts w:ascii="Times New Roman" w:hAnsi="Times New Roman" w:cs="Times New Roman"/>
          <w:sz w:val="24"/>
          <w:szCs w:val="24"/>
        </w:rPr>
        <w:t>foram</w:t>
      </w:r>
      <w:r w:rsidR="0042482C" w:rsidRPr="00704821">
        <w:rPr>
          <w:rFonts w:ascii="Times New Roman" w:hAnsi="Times New Roman" w:cs="Times New Roman"/>
          <w:sz w:val="24"/>
          <w:szCs w:val="24"/>
        </w:rPr>
        <w:t xml:space="preserve"> o Estado (União, estados e municípios) e a População (clientes ou sociedade civil), e </w:t>
      </w:r>
      <w:r w:rsidR="004335BE" w:rsidRPr="00704821">
        <w:rPr>
          <w:rFonts w:ascii="Times New Roman" w:hAnsi="Times New Roman" w:cs="Times New Roman"/>
          <w:sz w:val="24"/>
          <w:szCs w:val="24"/>
        </w:rPr>
        <w:t xml:space="preserve">com relação </w:t>
      </w:r>
      <w:r w:rsidR="0098432B" w:rsidRPr="00704821">
        <w:rPr>
          <w:rFonts w:ascii="Times New Roman" w:hAnsi="Times New Roman" w:cs="Times New Roman"/>
          <w:sz w:val="24"/>
          <w:szCs w:val="24"/>
        </w:rPr>
        <w:t xml:space="preserve">à </w:t>
      </w:r>
      <w:r w:rsidR="00A6410A" w:rsidRPr="00704821">
        <w:rPr>
          <w:rFonts w:ascii="Times New Roman" w:hAnsi="Times New Roman" w:cs="Times New Roman"/>
          <w:sz w:val="24"/>
          <w:szCs w:val="24"/>
        </w:rPr>
        <w:t xml:space="preserve">Teoria </w:t>
      </w:r>
      <w:r w:rsidR="00DD1A99" w:rsidRPr="00704821">
        <w:rPr>
          <w:rFonts w:ascii="Times New Roman" w:hAnsi="Times New Roman" w:cs="Times New Roman"/>
          <w:sz w:val="24"/>
          <w:szCs w:val="24"/>
        </w:rPr>
        <w:t xml:space="preserve">da </w:t>
      </w:r>
      <w:r w:rsidR="00A6410A" w:rsidRPr="00704821">
        <w:rPr>
          <w:rFonts w:ascii="Times New Roman" w:hAnsi="Times New Roman" w:cs="Times New Roman"/>
          <w:sz w:val="24"/>
          <w:szCs w:val="24"/>
        </w:rPr>
        <w:t>Legitimidade</w:t>
      </w:r>
      <w:r w:rsidR="0042482C" w:rsidRPr="00704821">
        <w:rPr>
          <w:rFonts w:ascii="Times New Roman" w:hAnsi="Times New Roman" w:cs="Times New Roman"/>
          <w:sz w:val="24"/>
          <w:szCs w:val="24"/>
        </w:rPr>
        <w:t xml:space="preserve">, concluiu-se que </w:t>
      </w:r>
      <w:r w:rsidR="0098432B" w:rsidRPr="00704821">
        <w:rPr>
          <w:rFonts w:ascii="Times New Roman" w:hAnsi="Times New Roman" w:cs="Times New Roman"/>
          <w:sz w:val="24"/>
          <w:szCs w:val="24"/>
        </w:rPr>
        <w:t xml:space="preserve">a </w:t>
      </w:r>
      <w:r w:rsidR="001D2ED6" w:rsidRPr="00704821">
        <w:rPr>
          <w:rFonts w:ascii="Times New Roman" w:hAnsi="Times New Roman" w:cs="Times New Roman"/>
          <w:sz w:val="24"/>
          <w:szCs w:val="24"/>
        </w:rPr>
        <w:t>evidenciação socioambiental</w:t>
      </w:r>
      <w:r w:rsidR="0098432B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DD1A99" w:rsidRPr="00704821">
        <w:rPr>
          <w:rFonts w:ascii="Times New Roman" w:hAnsi="Times New Roman" w:cs="Times New Roman"/>
          <w:sz w:val="24"/>
          <w:szCs w:val="24"/>
        </w:rPr>
        <w:t>é um</w:t>
      </w:r>
      <w:r w:rsidR="0098432B" w:rsidRPr="00704821">
        <w:rPr>
          <w:rFonts w:ascii="Times New Roman" w:hAnsi="Times New Roman" w:cs="Times New Roman"/>
          <w:sz w:val="24"/>
          <w:szCs w:val="24"/>
        </w:rPr>
        <w:t xml:space="preserve"> instrumento de legitimação das empresas</w:t>
      </w:r>
      <w:r w:rsidR="001D2ED6" w:rsidRPr="00704821">
        <w:rPr>
          <w:rFonts w:ascii="Times New Roman" w:hAnsi="Times New Roman" w:cs="Times New Roman"/>
          <w:sz w:val="24"/>
          <w:szCs w:val="24"/>
        </w:rPr>
        <w:t>.</w:t>
      </w:r>
      <w:r w:rsidR="004335BE" w:rsidRPr="00704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FE045" w14:textId="77777777" w:rsidR="009257EF" w:rsidRDefault="009257EF" w:rsidP="00B13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DD580" w14:textId="66F4C0A8" w:rsidR="00D37968" w:rsidRPr="00704821" w:rsidRDefault="00D37968" w:rsidP="00B13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704821">
        <w:rPr>
          <w:rFonts w:ascii="Times New Roman" w:hAnsi="Times New Roman" w:cs="Times New Roman"/>
          <w:sz w:val="24"/>
          <w:szCs w:val="24"/>
        </w:rPr>
        <w:t>:</w:t>
      </w:r>
      <w:r w:rsidR="00A514A6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6947AD" w:rsidRPr="00704821">
        <w:rPr>
          <w:rFonts w:ascii="Times New Roman" w:hAnsi="Times New Roman" w:cs="Times New Roman"/>
          <w:sz w:val="24"/>
          <w:szCs w:val="24"/>
        </w:rPr>
        <w:t>responsabilidade social corporativa</w:t>
      </w:r>
      <w:r w:rsidR="00A514A6" w:rsidRPr="00704821">
        <w:rPr>
          <w:rFonts w:ascii="Times New Roman" w:hAnsi="Times New Roman" w:cs="Times New Roman"/>
          <w:sz w:val="24"/>
          <w:szCs w:val="24"/>
        </w:rPr>
        <w:t>; polític</w:t>
      </w:r>
      <w:r w:rsidR="00902EDE" w:rsidRPr="00704821">
        <w:rPr>
          <w:rFonts w:ascii="Times New Roman" w:hAnsi="Times New Roman" w:cs="Times New Roman"/>
          <w:sz w:val="24"/>
          <w:szCs w:val="24"/>
        </w:rPr>
        <w:t>a nacional dos resíduos sólidos</w:t>
      </w:r>
      <w:r w:rsidR="00A514A6" w:rsidRPr="00704821">
        <w:rPr>
          <w:rFonts w:ascii="Times New Roman" w:hAnsi="Times New Roman" w:cs="Times New Roman"/>
          <w:sz w:val="24"/>
          <w:szCs w:val="24"/>
        </w:rPr>
        <w:t xml:space="preserve">; teoria dos </w:t>
      </w:r>
      <w:r w:rsidR="00A514A6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A514A6" w:rsidRPr="00704821">
        <w:rPr>
          <w:rFonts w:ascii="Times New Roman" w:hAnsi="Times New Roman" w:cs="Times New Roman"/>
          <w:sz w:val="24"/>
          <w:szCs w:val="24"/>
        </w:rPr>
        <w:t>; teoria da legitimidade</w:t>
      </w:r>
      <w:r w:rsidR="00A6410A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2697123B" w14:textId="413D5C60" w:rsidR="005F735E" w:rsidRDefault="005F735E" w:rsidP="00B13A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9CDAD" w14:textId="0148F53C" w:rsidR="009257EF" w:rsidRPr="009257EF" w:rsidRDefault="009257EF" w:rsidP="009257E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57E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ABSTRACT</w:t>
      </w:r>
    </w:p>
    <w:p w14:paraId="0F544EFA" w14:textId="13A0FFEC" w:rsidR="009257EF" w:rsidRPr="00B83152" w:rsidRDefault="009257EF" w:rsidP="00925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52">
        <w:rPr>
          <w:rFonts w:ascii="Times New Roman" w:hAnsi="Times New Roman" w:cs="Times New Roman"/>
          <w:sz w:val="24"/>
          <w:szCs w:val="24"/>
        </w:rPr>
        <w:t xml:space="preserve">The </w:t>
      </w:r>
      <w:r w:rsidR="00E90785" w:rsidRPr="00B83152">
        <w:rPr>
          <w:rFonts w:ascii="Times New Roman" w:hAnsi="Times New Roman" w:cs="Times New Roman"/>
          <w:sz w:val="24"/>
          <w:szCs w:val="24"/>
        </w:rPr>
        <w:t>aim</w:t>
      </w:r>
      <w:r w:rsidRPr="00B83152">
        <w:rPr>
          <w:rFonts w:ascii="Times New Roman" w:hAnsi="Times New Roman" w:cs="Times New Roman"/>
          <w:sz w:val="24"/>
          <w:szCs w:val="24"/>
        </w:rPr>
        <w:t xml:space="preserve"> of this study </w:t>
      </w:r>
      <w:r w:rsidR="00991BD2" w:rsidRPr="00B83152">
        <w:rPr>
          <w:rFonts w:ascii="Times New Roman" w:hAnsi="Times New Roman" w:cs="Times New Roman"/>
          <w:sz w:val="24"/>
          <w:szCs w:val="24"/>
        </w:rPr>
        <w:t>was</w:t>
      </w:r>
      <w:r w:rsidRPr="00B83152">
        <w:rPr>
          <w:rFonts w:ascii="Times New Roman" w:hAnsi="Times New Roman" w:cs="Times New Roman"/>
          <w:sz w:val="24"/>
          <w:szCs w:val="24"/>
        </w:rPr>
        <w:t xml:space="preserve"> to analyze the </w:t>
      </w:r>
      <w:r w:rsidR="007C7517" w:rsidRPr="00B83152">
        <w:rPr>
          <w:rFonts w:ascii="Times New Roman" w:hAnsi="Times New Roman" w:cs="Times New Roman"/>
          <w:sz w:val="24"/>
          <w:szCs w:val="24"/>
        </w:rPr>
        <w:t>disclosure</w:t>
      </w:r>
      <w:r w:rsidRPr="00B83152">
        <w:rPr>
          <w:rFonts w:ascii="Times New Roman" w:hAnsi="Times New Roman" w:cs="Times New Roman"/>
          <w:sz w:val="24"/>
          <w:szCs w:val="24"/>
        </w:rPr>
        <w:t xml:space="preserve"> of Corporate Social Responsibility (CSR) </w:t>
      </w:r>
      <w:r w:rsidR="002332FA" w:rsidRPr="00B83152">
        <w:rPr>
          <w:rFonts w:ascii="Times New Roman" w:hAnsi="Times New Roman" w:cs="Times New Roman"/>
          <w:sz w:val="24"/>
          <w:szCs w:val="24"/>
        </w:rPr>
        <w:t xml:space="preserve">coming </w:t>
      </w:r>
      <w:r w:rsidRPr="00B83152">
        <w:rPr>
          <w:rFonts w:ascii="Times New Roman" w:hAnsi="Times New Roman" w:cs="Times New Roman"/>
          <w:sz w:val="24"/>
          <w:szCs w:val="24"/>
        </w:rPr>
        <w:t>from the National Solid Waste Policy (</w:t>
      </w:r>
      <w:r w:rsidR="00B83152" w:rsidRPr="00B83152">
        <w:rPr>
          <w:rFonts w:ascii="Times New Roman" w:hAnsi="Times New Roman" w:cs="Times New Roman"/>
          <w:sz w:val="24"/>
          <w:szCs w:val="24"/>
        </w:rPr>
        <w:t>NSWP</w:t>
      </w:r>
      <w:r w:rsidRPr="00B83152">
        <w:rPr>
          <w:rFonts w:ascii="Times New Roman" w:hAnsi="Times New Roman" w:cs="Times New Roman"/>
          <w:sz w:val="24"/>
          <w:szCs w:val="24"/>
        </w:rPr>
        <w:t xml:space="preserve">) in the </w:t>
      </w:r>
      <w:r w:rsidR="00991BD2" w:rsidRPr="00B83152">
        <w:rPr>
          <w:rFonts w:ascii="Times New Roman" w:hAnsi="Times New Roman" w:cs="Times New Roman"/>
          <w:sz w:val="24"/>
          <w:szCs w:val="24"/>
        </w:rPr>
        <w:t>Reference Form</w:t>
      </w:r>
      <w:r w:rsidRPr="00B83152">
        <w:rPr>
          <w:rFonts w:ascii="Times New Roman" w:hAnsi="Times New Roman" w:cs="Times New Roman"/>
          <w:sz w:val="24"/>
          <w:szCs w:val="24"/>
        </w:rPr>
        <w:t xml:space="preserve"> (FR) and Integrated Report</w:t>
      </w:r>
      <w:r w:rsidR="00F41560" w:rsidRPr="00B83152">
        <w:rPr>
          <w:rFonts w:ascii="Times New Roman" w:hAnsi="Times New Roman" w:cs="Times New Roman"/>
          <w:sz w:val="24"/>
          <w:szCs w:val="24"/>
        </w:rPr>
        <w:t>ing</w:t>
      </w:r>
      <w:r w:rsidR="00991504" w:rsidRPr="00B83152">
        <w:rPr>
          <w:rFonts w:ascii="Times New Roman" w:hAnsi="Times New Roman" w:cs="Times New Roman"/>
          <w:sz w:val="24"/>
          <w:szCs w:val="24"/>
        </w:rPr>
        <w:t xml:space="preserve"> (IR)</w:t>
      </w:r>
      <w:r w:rsidRPr="00B83152">
        <w:rPr>
          <w:rFonts w:ascii="Times New Roman" w:hAnsi="Times New Roman" w:cs="Times New Roman"/>
          <w:sz w:val="24"/>
          <w:szCs w:val="24"/>
        </w:rPr>
        <w:t>. In 2010, Brazil instituted the National Solid Waste Policy, and in this law, there are responsibilities for the corporate sector</w:t>
      </w:r>
      <w:r w:rsidR="005826B1" w:rsidRPr="00B83152">
        <w:rPr>
          <w:rFonts w:ascii="Times New Roman" w:hAnsi="Times New Roman" w:cs="Times New Roman"/>
          <w:sz w:val="24"/>
          <w:szCs w:val="24"/>
        </w:rPr>
        <w:t>, such as: the adoption of a business model that secures: a) non-generation, b) reduction, c) reuse, d) recycling and treatment and e) final disposition of solid wastes, the shared responsibility and to promote access of the information to stakeholders</w:t>
      </w:r>
      <w:r w:rsidRPr="00B83152">
        <w:rPr>
          <w:rFonts w:ascii="Times New Roman" w:hAnsi="Times New Roman" w:cs="Times New Roman"/>
          <w:sz w:val="24"/>
          <w:szCs w:val="24"/>
        </w:rPr>
        <w:t xml:space="preserve">. This </w:t>
      </w:r>
      <w:r w:rsidR="00991BD2" w:rsidRPr="00B83152">
        <w:rPr>
          <w:rFonts w:ascii="Times New Roman" w:hAnsi="Times New Roman" w:cs="Times New Roman"/>
          <w:sz w:val="24"/>
          <w:szCs w:val="24"/>
        </w:rPr>
        <w:t>study</w:t>
      </w:r>
      <w:r w:rsidRPr="00B83152">
        <w:rPr>
          <w:rFonts w:ascii="Times New Roman" w:hAnsi="Times New Roman" w:cs="Times New Roman"/>
          <w:sz w:val="24"/>
          <w:szCs w:val="24"/>
        </w:rPr>
        <w:t xml:space="preserve"> </w:t>
      </w:r>
      <w:r w:rsidR="00D058EE">
        <w:rPr>
          <w:rFonts w:ascii="Times New Roman" w:hAnsi="Times New Roman" w:cs="Times New Roman"/>
          <w:sz w:val="24"/>
          <w:szCs w:val="24"/>
        </w:rPr>
        <w:t>wa</w:t>
      </w:r>
      <w:bookmarkStart w:id="0" w:name="_GoBack"/>
      <w:bookmarkEnd w:id="0"/>
      <w:r w:rsidRPr="00B83152">
        <w:rPr>
          <w:rFonts w:ascii="Times New Roman" w:hAnsi="Times New Roman" w:cs="Times New Roman"/>
          <w:sz w:val="24"/>
          <w:szCs w:val="24"/>
        </w:rPr>
        <w:t xml:space="preserve">s </w:t>
      </w:r>
      <w:r w:rsidR="002332FA" w:rsidRPr="00B83152">
        <w:rPr>
          <w:rFonts w:ascii="Times New Roman" w:hAnsi="Times New Roman" w:cs="Times New Roman"/>
          <w:sz w:val="24"/>
          <w:szCs w:val="24"/>
        </w:rPr>
        <w:t>labeled</w:t>
      </w:r>
      <w:r w:rsidRPr="00B83152">
        <w:rPr>
          <w:rFonts w:ascii="Times New Roman" w:hAnsi="Times New Roman" w:cs="Times New Roman"/>
          <w:sz w:val="24"/>
          <w:szCs w:val="24"/>
        </w:rPr>
        <w:t xml:space="preserve"> as </w:t>
      </w:r>
      <w:r w:rsidR="00991BD2" w:rsidRPr="00B83152">
        <w:rPr>
          <w:rFonts w:ascii="Times New Roman" w:hAnsi="Times New Roman" w:cs="Times New Roman"/>
          <w:sz w:val="24"/>
          <w:szCs w:val="24"/>
        </w:rPr>
        <w:t>applied, descriptive, documentary</w:t>
      </w:r>
      <w:r w:rsidRPr="00B83152">
        <w:rPr>
          <w:rFonts w:ascii="Times New Roman" w:hAnsi="Times New Roman" w:cs="Times New Roman"/>
          <w:sz w:val="24"/>
          <w:szCs w:val="24"/>
        </w:rPr>
        <w:t>, ex-post-facto</w:t>
      </w:r>
      <w:r w:rsidR="00991BD2" w:rsidRPr="00B83152">
        <w:rPr>
          <w:rFonts w:ascii="Times New Roman" w:hAnsi="Times New Roman" w:cs="Times New Roman"/>
          <w:sz w:val="24"/>
          <w:szCs w:val="24"/>
        </w:rPr>
        <w:t>,</w:t>
      </w:r>
      <w:r w:rsidRPr="00B83152">
        <w:rPr>
          <w:rFonts w:ascii="Times New Roman" w:hAnsi="Times New Roman" w:cs="Times New Roman"/>
          <w:sz w:val="24"/>
          <w:szCs w:val="24"/>
        </w:rPr>
        <w:t xml:space="preserve"> with a qualitative approach through content analysis. The results were analyzed from the perspective of Stakeholders Theory and Legitimacy Theory. It was concluded that all the companies included in the sample </w:t>
      </w:r>
      <w:r w:rsidR="00F41560" w:rsidRPr="00B83152">
        <w:rPr>
          <w:rFonts w:ascii="Times New Roman" w:hAnsi="Times New Roman" w:cs="Times New Roman"/>
          <w:sz w:val="24"/>
          <w:szCs w:val="24"/>
        </w:rPr>
        <w:t>admit the</w:t>
      </w:r>
      <w:r w:rsidRPr="00B83152">
        <w:rPr>
          <w:rFonts w:ascii="Times New Roman" w:hAnsi="Times New Roman" w:cs="Times New Roman"/>
          <w:sz w:val="24"/>
          <w:szCs w:val="24"/>
        </w:rPr>
        <w:t xml:space="preserve"> CSR, but only 7 of the 17 companies </w:t>
      </w:r>
      <w:r w:rsidR="00991BD2" w:rsidRPr="00B83152">
        <w:rPr>
          <w:rFonts w:ascii="Times New Roman" w:hAnsi="Times New Roman" w:cs="Times New Roman"/>
          <w:sz w:val="24"/>
          <w:szCs w:val="24"/>
        </w:rPr>
        <w:t>disclosure</w:t>
      </w:r>
      <w:r w:rsidRPr="00B83152">
        <w:rPr>
          <w:rFonts w:ascii="Times New Roman" w:hAnsi="Times New Roman" w:cs="Times New Roman"/>
          <w:sz w:val="24"/>
          <w:szCs w:val="24"/>
        </w:rPr>
        <w:t xml:space="preserve"> the </w:t>
      </w:r>
      <w:r w:rsidR="004B7C90">
        <w:rPr>
          <w:rFonts w:ascii="Times New Roman" w:hAnsi="Times New Roman" w:cs="Times New Roman"/>
          <w:sz w:val="24"/>
          <w:szCs w:val="24"/>
        </w:rPr>
        <w:t>NSWP</w:t>
      </w:r>
      <w:r w:rsidRPr="00B83152">
        <w:rPr>
          <w:rFonts w:ascii="Times New Roman" w:hAnsi="Times New Roman" w:cs="Times New Roman"/>
          <w:sz w:val="24"/>
          <w:szCs w:val="24"/>
        </w:rPr>
        <w:t xml:space="preserve">. The most frequent units of analysis were: access to information (social control) and sustainable development, the groups of stakeholders most </w:t>
      </w:r>
      <w:r w:rsidR="00F41560" w:rsidRPr="00B83152">
        <w:rPr>
          <w:rFonts w:ascii="Times New Roman" w:hAnsi="Times New Roman" w:cs="Times New Roman"/>
          <w:sz w:val="24"/>
          <w:szCs w:val="24"/>
        </w:rPr>
        <w:t>present</w:t>
      </w:r>
      <w:r w:rsidRPr="00B83152">
        <w:rPr>
          <w:rFonts w:ascii="Times New Roman" w:hAnsi="Times New Roman" w:cs="Times New Roman"/>
          <w:sz w:val="24"/>
          <w:szCs w:val="24"/>
        </w:rPr>
        <w:t xml:space="preserve"> in the </w:t>
      </w:r>
      <w:r w:rsidR="004B7C90">
        <w:rPr>
          <w:rFonts w:ascii="Times New Roman" w:hAnsi="Times New Roman" w:cs="Times New Roman"/>
          <w:sz w:val="24"/>
          <w:szCs w:val="24"/>
        </w:rPr>
        <w:t>RF</w:t>
      </w:r>
      <w:r w:rsidRPr="00B83152">
        <w:rPr>
          <w:rFonts w:ascii="Times New Roman" w:hAnsi="Times New Roman" w:cs="Times New Roman"/>
          <w:sz w:val="24"/>
          <w:szCs w:val="24"/>
        </w:rPr>
        <w:t xml:space="preserve"> and </w:t>
      </w:r>
      <w:r w:rsidR="004B7C90">
        <w:rPr>
          <w:rFonts w:ascii="Times New Roman" w:hAnsi="Times New Roman" w:cs="Times New Roman"/>
          <w:sz w:val="24"/>
          <w:szCs w:val="24"/>
        </w:rPr>
        <w:t>IR</w:t>
      </w:r>
      <w:r w:rsidRPr="00B83152">
        <w:rPr>
          <w:rFonts w:ascii="Times New Roman" w:hAnsi="Times New Roman" w:cs="Times New Roman"/>
          <w:sz w:val="24"/>
          <w:szCs w:val="24"/>
        </w:rPr>
        <w:t>, in relation to w</w:t>
      </w:r>
      <w:r w:rsidR="00F41560" w:rsidRPr="00B83152">
        <w:rPr>
          <w:rFonts w:ascii="Times New Roman" w:hAnsi="Times New Roman" w:cs="Times New Roman"/>
          <w:sz w:val="24"/>
          <w:szCs w:val="24"/>
        </w:rPr>
        <w:t>aste management were the State (u</w:t>
      </w:r>
      <w:r w:rsidRPr="00B83152">
        <w:rPr>
          <w:rFonts w:ascii="Times New Roman" w:hAnsi="Times New Roman" w:cs="Times New Roman"/>
          <w:sz w:val="24"/>
          <w:szCs w:val="24"/>
        </w:rPr>
        <w:t>nion, states and municipalities) and Population (</w:t>
      </w:r>
      <w:r w:rsidR="00F41560" w:rsidRPr="00B83152">
        <w:rPr>
          <w:rFonts w:ascii="Times New Roman" w:hAnsi="Times New Roman" w:cs="Times New Roman"/>
          <w:sz w:val="24"/>
          <w:szCs w:val="24"/>
        </w:rPr>
        <w:t>customers</w:t>
      </w:r>
      <w:r w:rsidRPr="00B83152">
        <w:rPr>
          <w:rFonts w:ascii="Times New Roman" w:hAnsi="Times New Roman" w:cs="Times New Roman"/>
          <w:sz w:val="24"/>
          <w:szCs w:val="24"/>
        </w:rPr>
        <w:t xml:space="preserve"> or civil society), and with respect to the </w:t>
      </w:r>
      <w:r w:rsidR="00F41560" w:rsidRPr="00B83152">
        <w:rPr>
          <w:rFonts w:ascii="Times New Roman" w:hAnsi="Times New Roman" w:cs="Times New Roman"/>
          <w:sz w:val="24"/>
          <w:szCs w:val="24"/>
        </w:rPr>
        <w:t>legitimacy theory</w:t>
      </w:r>
      <w:r w:rsidRPr="00B83152">
        <w:rPr>
          <w:rFonts w:ascii="Times New Roman" w:hAnsi="Times New Roman" w:cs="Times New Roman"/>
          <w:sz w:val="24"/>
          <w:szCs w:val="24"/>
        </w:rPr>
        <w:t>, it was concluded that socio-environmental disclosure is an instrument to legitimize companies.</w:t>
      </w:r>
    </w:p>
    <w:p w14:paraId="30667A3A" w14:textId="77777777" w:rsidR="009257EF" w:rsidRPr="00B83152" w:rsidRDefault="009257EF" w:rsidP="00925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52924" w14:textId="6DF300F8" w:rsidR="00E7196D" w:rsidRPr="00F41560" w:rsidRDefault="009257EF" w:rsidP="00925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52">
        <w:rPr>
          <w:rFonts w:ascii="Times New Roman" w:hAnsi="Times New Roman" w:cs="Times New Roman"/>
          <w:b/>
          <w:sz w:val="24"/>
          <w:szCs w:val="24"/>
        </w:rPr>
        <w:t>Keywords</w:t>
      </w:r>
      <w:r w:rsidRPr="00B83152">
        <w:rPr>
          <w:rFonts w:ascii="Times New Roman" w:hAnsi="Times New Roman" w:cs="Times New Roman"/>
          <w:sz w:val="24"/>
          <w:szCs w:val="24"/>
        </w:rPr>
        <w:t xml:space="preserve">: corporate social responsibility; </w:t>
      </w:r>
      <w:r w:rsidR="008E6F33" w:rsidRPr="00B83152">
        <w:rPr>
          <w:rFonts w:ascii="Times New Roman" w:hAnsi="Times New Roman" w:cs="Times New Roman"/>
          <w:sz w:val="24"/>
          <w:szCs w:val="24"/>
        </w:rPr>
        <w:t xml:space="preserve">national solid waste policy; stakeholder theory; </w:t>
      </w:r>
      <w:r w:rsidR="00F41560" w:rsidRPr="00B83152">
        <w:rPr>
          <w:rFonts w:ascii="Times New Roman" w:hAnsi="Times New Roman" w:cs="Times New Roman"/>
          <w:sz w:val="24"/>
          <w:szCs w:val="24"/>
        </w:rPr>
        <w:t xml:space="preserve">legitimacy </w:t>
      </w:r>
      <w:r w:rsidR="008E6F33" w:rsidRPr="00B83152">
        <w:rPr>
          <w:rFonts w:ascii="Times New Roman" w:hAnsi="Times New Roman" w:cs="Times New Roman"/>
          <w:sz w:val="24"/>
          <w:szCs w:val="24"/>
        </w:rPr>
        <w:t>t</w:t>
      </w:r>
      <w:r w:rsidR="00F41560" w:rsidRPr="00B83152">
        <w:rPr>
          <w:rFonts w:ascii="Times New Roman" w:hAnsi="Times New Roman" w:cs="Times New Roman"/>
          <w:sz w:val="24"/>
          <w:szCs w:val="24"/>
        </w:rPr>
        <w:t>heory.</w:t>
      </w:r>
    </w:p>
    <w:p w14:paraId="654AC86E" w14:textId="35FA1BC6" w:rsidR="00E7196D" w:rsidRDefault="00E7196D" w:rsidP="00B13A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085E35" w14:textId="77777777" w:rsidR="005826B1" w:rsidRDefault="005826B1" w:rsidP="00B13A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45B3B2" w14:textId="77777777" w:rsidR="00CD4025" w:rsidRPr="00704821" w:rsidRDefault="008E788A" w:rsidP="008E78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821">
        <w:rPr>
          <w:rFonts w:ascii="Times New Roman" w:hAnsi="Times New Roman" w:cs="Times New Roman"/>
          <w:b/>
          <w:sz w:val="24"/>
          <w:szCs w:val="24"/>
        </w:rPr>
        <w:t>1</w:t>
      </w:r>
      <w:r w:rsidR="000E2596" w:rsidRPr="007048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025" w:rsidRPr="00704821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37DDF22A" w14:textId="6AB7E79B" w:rsidR="00205345" w:rsidRPr="00704821" w:rsidRDefault="00556042" w:rsidP="002C7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O </w:t>
      </w:r>
      <w:r w:rsidR="00E83076" w:rsidRPr="00704821">
        <w:rPr>
          <w:rFonts w:ascii="Times New Roman" w:hAnsi="Times New Roman" w:cs="Times New Roman"/>
          <w:sz w:val="24"/>
          <w:szCs w:val="24"/>
        </w:rPr>
        <w:t>Programa das Nações Unidas para o Desenvolvimento (</w:t>
      </w:r>
      <w:r w:rsidR="004E436A" w:rsidRPr="00704821">
        <w:rPr>
          <w:rFonts w:ascii="Times New Roman" w:hAnsi="Times New Roman" w:cs="Times New Roman"/>
          <w:sz w:val="24"/>
          <w:szCs w:val="24"/>
        </w:rPr>
        <w:t>PNUD</w:t>
      </w:r>
      <w:r w:rsidR="00E83076" w:rsidRPr="00704821">
        <w:rPr>
          <w:rFonts w:ascii="Times New Roman" w:hAnsi="Times New Roman" w:cs="Times New Roman"/>
          <w:sz w:val="24"/>
          <w:szCs w:val="24"/>
        </w:rPr>
        <w:t>)</w:t>
      </w:r>
      <w:r w:rsidR="004E436A" w:rsidRPr="00704821">
        <w:rPr>
          <w:rFonts w:ascii="Times New Roman" w:hAnsi="Times New Roman" w:cs="Times New Roman"/>
          <w:sz w:val="24"/>
          <w:szCs w:val="24"/>
        </w:rPr>
        <w:t xml:space="preserve"> sugeriu que as empresas, a sociedade civil e os demais órgãos púb</w:t>
      </w:r>
      <w:r w:rsidR="00144394" w:rsidRPr="00704821">
        <w:rPr>
          <w:rFonts w:ascii="Times New Roman" w:hAnsi="Times New Roman" w:cs="Times New Roman"/>
          <w:sz w:val="24"/>
          <w:szCs w:val="24"/>
        </w:rPr>
        <w:t>l</w:t>
      </w:r>
      <w:r w:rsidR="004E436A" w:rsidRPr="00704821">
        <w:rPr>
          <w:rFonts w:ascii="Times New Roman" w:hAnsi="Times New Roman" w:cs="Times New Roman"/>
          <w:sz w:val="24"/>
          <w:szCs w:val="24"/>
        </w:rPr>
        <w:t xml:space="preserve">icos e privados, desenvolvam seus negócios e relacionamentos com os </w:t>
      </w:r>
      <w:r w:rsidR="004E436A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4E436A" w:rsidRPr="00704821">
        <w:rPr>
          <w:rFonts w:ascii="Times New Roman" w:hAnsi="Times New Roman" w:cs="Times New Roman"/>
          <w:sz w:val="24"/>
          <w:szCs w:val="24"/>
        </w:rPr>
        <w:t>, na perspectiva dos 5 P’s</w:t>
      </w:r>
      <w:r w:rsidR="007C6FD5" w:rsidRPr="00704821">
        <w:rPr>
          <w:rFonts w:ascii="Times New Roman" w:hAnsi="Times New Roman" w:cs="Times New Roman"/>
          <w:sz w:val="24"/>
          <w:szCs w:val="24"/>
        </w:rPr>
        <w:t xml:space="preserve">, que são: </w:t>
      </w:r>
      <w:r w:rsidR="004E436A" w:rsidRPr="00704821">
        <w:rPr>
          <w:rFonts w:ascii="Times New Roman" w:hAnsi="Times New Roman" w:cs="Times New Roman"/>
          <w:sz w:val="24"/>
          <w:szCs w:val="24"/>
        </w:rPr>
        <w:t>Pessoas, Planeta, Prosperidade (lucros), Paz e Parce</w:t>
      </w:r>
      <w:r w:rsidR="00013A92">
        <w:rPr>
          <w:rFonts w:ascii="Times New Roman" w:hAnsi="Times New Roman" w:cs="Times New Roman"/>
          <w:sz w:val="24"/>
          <w:szCs w:val="24"/>
        </w:rPr>
        <w:t>ri</w:t>
      </w:r>
      <w:r w:rsidR="004E436A" w:rsidRPr="00704821">
        <w:rPr>
          <w:rFonts w:ascii="Times New Roman" w:hAnsi="Times New Roman" w:cs="Times New Roman"/>
          <w:sz w:val="24"/>
          <w:szCs w:val="24"/>
        </w:rPr>
        <w:t>as</w:t>
      </w:r>
      <w:r w:rsidR="007C6FD5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Pr="00704821">
        <w:rPr>
          <w:rFonts w:ascii="Times New Roman" w:hAnsi="Times New Roman" w:cs="Times New Roman"/>
          <w:sz w:val="24"/>
          <w:szCs w:val="24"/>
        </w:rPr>
        <w:t xml:space="preserve">afim de alcançar o desenvolvimento sustentável </w:t>
      </w:r>
      <w:r w:rsidR="00FF7493" w:rsidRPr="00704821">
        <w:rPr>
          <w:rFonts w:ascii="Times New Roman" w:hAnsi="Times New Roman" w:cs="Times New Roman"/>
          <w:sz w:val="24"/>
          <w:szCs w:val="24"/>
        </w:rPr>
        <w:t>(</w:t>
      </w:r>
      <w:r w:rsidR="00361A0F" w:rsidRPr="00704821">
        <w:rPr>
          <w:rFonts w:ascii="Times New Roman" w:hAnsi="Times New Roman" w:cs="Times New Roman"/>
          <w:sz w:val="24"/>
          <w:szCs w:val="24"/>
        </w:rPr>
        <w:t>ORGANIZAÇÃO DAS NAÇÕES UNIDAS</w:t>
      </w:r>
      <w:r w:rsidR="00F3070B" w:rsidRPr="00704821">
        <w:rPr>
          <w:rFonts w:ascii="Times New Roman" w:hAnsi="Times New Roman" w:cs="Times New Roman"/>
          <w:sz w:val="24"/>
          <w:szCs w:val="24"/>
        </w:rPr>
        <w:t>-</w:t>
      </w:r>
      <w:r w:rsidR="00FF7493" w:rsidRPr="00704821">
        <w:rPr>
          <w:rFonts w:ascii="Times New Roman" w:hAnsi="Times New Roman" w:cs="Times New Roman"/>
          <w:sz w:val="24"/>
          <w:szCs w:val="24"/>
        </w:rPr>
        <w:t>ONU, 2016).</w:t>
      </w:r>
      <w:r w:rsidR="0098533D" w:rsidRPr="00704821">
        <w:rPr>
          <w:rFonts w:ascii="Times New Roman" w:hAnsi="Times New Roman" w:cs="Times New Roman"/>
          <w:sz w:val="24"/>
          <w:szCs w:val="24"/>
        </w:rPr>
        <w:t xml:space="preserve"> Se as empresas buscarem apenas maximização do lucro e não observarem as demais perspectivas, adotando</w:t>
      </w:r>
      <w:r w:rsidR="004008B0" w:rsidRPr="00704821">
        <w:rPr>
          <w:rFonts w:ascii="Times New Roman" w:hAnsi="Times New Roman" w:cs="Times New Roman"/>
          <w:sz w:val="24"/>
          <w:szCs w:val="24"/>
        </w:rPr>
        <w:t>,</w:t>
      </w:r>
      <w:r w:rsidR="0098533D" w:rsidRPr="00704821">
        <w:rPr>
          <w:rFonts w:ascii="Times New Roman" w:hAnsi="Times New Roman" w:cs="Times New Roman"/>
          <w:sz w:val="24"/>
          <w:szCs w:val="24"/>
        </w:rPr>
        <w:t xml:space="preserve"> por exemplo</w:t>
      </w:r>
      <w:r w:rsidR="004008B0" w:rsidRPr="00704821">
        <w:rPr>
          <w:rFonts w:ascii="Times New Roman" w:hAnsi="Times New Roman" w:cs="Times New Roman"/>
          <w:sz w:val="24"/>
          <w:szCs w:val="24"/>
        </w:rPr>
        <w:t>,</w:t>
      </w:r>
      <w:r w:rsidR="0098533D" w:rsidRPr="00704821">
        <w:rPr>
          <w:rFonts w:ascii="Times New Roman" w:hAnsi="Times New Roman" w:cs="Times New Roman"/>
          <w:sz w:val="24"/>
          <w:szCs w:val="24"/>
        </w:rPr>
        <w:t xml:space="preserve"> padrões de consumo insustentáveis, contribuirão para a desigualdade social e o esgotamento dos recursos naturais, que, a longo prazo, podem causar um colapso no planeta (</w:t>
      </w:r>
      <w:r w:rsidR="00361A0F" w:rsidRPr="00704821">
        <w:rPr>
          <w:rFonts w:ascii="Times New Roman" w:hAnsi="Times New Roman" w:cs="Times New Roman"/>
          <w:sz w:val="24"/>
          <w:szCs w:val="24"/>
        </w:rPr>
        <w:t>ELKINGTON, 2012; OLIVEIRA</w:t>
      </w:r>
      <w:r w:rsidR="0098533D" w:rsidRPr="00704821">
        <w:rPr>
          <w:rFonts w:ascii="Times New Roman" w:hAnsi="Times New Roman" w:cs="Times New Roman"/>
          <w:sz w:val="24"/>
          <w:szCs w:val="24"/>
        </w:rPr>
        <w:t xml:space="preserve">, 2012). </w:t>
      </w:r>
    </w:p>
    <w:p w14:paraId="35CAC2CF" w14:textId="2415A732" w:rsidR="00E45719" w:rsidRPr="00704821" w:rsidRDefault="007C6104" w:rsidP="0038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U</w:t>
      </w:r>
      <w:r w:rsidR="002C79C5" w:rsidRPr="00704821">
        <w:rPr>
          <w:rFonts w:ascii="Times New Roman" w:hAnsi="Times New Roman" w:cs="Times New Roman"/>
          <w:sz w:val="24"/>
          <w:szCs w:val="24"/>
        </w:rPr>
        <w:t xml:space="preserve">m dos problemas ambientais das cidades é a geração excessiva de </w:t>
      </w:r>
      <w:r w:rsidR="007C6FD5" w:rsidRPr="00704821">
        <w:rPr>
          <w:rFonts w:ascii="Times New Roman" w:hAnsi="Times New Roman" w:cs="Times New Roman"/>
          <w:sz w:val="24"/>
          <w:szCs w:val="24"/>
        </w:rPr>
        <w:t>resíduos sólidos</w:t>
      </w:r>
      <w:r w:rsidRPr="00704821">
        <w:rPr>
          <w:rFonts w:ascii="Times New Roman" w:hAnsi="Times New Roman" w:cs="Times New Roman"/>
          <w:sz w:val="24"/>
          <w:szCs w:val="24"/>
        </w:rPr>
        <w:t>.</w:t>
      </w:r>
      <w:r w:rsidR="00FC7FBE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8114D3" w:rsidRPr="00704821">
        <w:rPr>
          <w:rFonts w:ascii="Times New Roman" w:hAnsi="Times New Roman" w:cs="Times New Roman"/>
          <w:sz w:val="24"/>
          <w:szCs w:val="24"/>
        </w:rPr>
        <w:t>Tanto a população quanto as</w:t>
      </w:r>
      <w:r w:rsidR="00205345" w:rsidRPr="00704821">
        <w:rPr>
          <w:rFonts w:ascii="Times New Roman" w:hAnsi="Times New Roman" w:cs="Times New Roman"/>
          <w:sz w:val="24"/>
          <w:szCs w:val="24"/>
        </w:rPr>
        <w:t xml:space="preserve"> empresas </w:t>
      </w:r>
      <w:r w:rsidR="008114D3" w:rsidRPr="00704821">
        <w:rPr>
          <w:rFonts w:ascii="Times New Roman" w:hAnsi="Times New Roman" w:cs="Times New Roman"/>
          <w:sz w:val="24"/>
          <w:szCs w:val="24"/>
        </w:rPr>
        <w:t xml:space="preserve">geram </w:t>
      </w:r>
      <w:r w:rsidR="0098533D" w:rsidRPr="00704821">
        <w:rPr>
          <w:rFonts w:ascii="Times New Roman" w:hAnsi="Times New Roman" w:cs="Times New Roman"/>
          <w:sz w:val="24"/>
          <w:szCs w:val="24"/>
        </w:rPr>
        <w:t xml:space="preserve">lixo, </w:t>
      </w:r>
      <w:r w:rsidR="002C79C5" w:rsidRPr="00704821">
        <w:rPr>
          <w:rFonts w:ascii="Times New Roman" w:hAnsi="Times New Roman" w:cs="Times New Roman"/>
          <w:sz w:val="24"/>
          <w:szCs w:val="24"/>
        </w:rPr>
        <w:t xml:space="preserve">restos orgânicos das cozinhas, embalagens que envolvem os produtos, pneus, garrafas, </w:t>
      </w:r>
      <w:r w:rsidR="007C6FD5" w:rsidRPr="00704821">
        <w:rPr>
          <w:rFonts w:ascii="Times New Roman" w:hAnsi="Times New Roman" w:cs="Times New Roman"/>
          <w:sz w:val="24"/>
          <w:szCs w:val="24"/>
        </w:rPr>
        <w:t>latas de refrigerante, papel</w:t>
      </w:r>
      <w:r w:rsidR="005F0983" w:rsidRPr="00704821">
        <w:rPr>
          <w:rFonts w:ascii="Times New Roman" w:hAnsi="Times New Roman" w:cs="Times New Roman"/>
          <w:sz w:val="24"/>
          <w:szCs w:val="24"/>
        </w:rPr>
        <w:t>, entre outros</w:t>
      </w:r>
      <w:r w:rsidR="0020534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7C6FD5" w:rsidRPr="00704821">
        <w:rPr>
          <w:rFonts w:ascii="Times New Roman" w:hAnsi="Times New Roman" w:cs="Times New Roman"/>
          <w:sz w:val="24"/>
          <w:szCs w:val="24"/>
        </w:rPr>
        <w:t>(</w:t>
      </w:r>
      <w:r w:rsidR="00A471E0" w:rsidRPr="00704821">
        <w:rPr>
          <w:rFonts w:ascii="Times New Roman" w:hAnsi="Times New Roman" w:cs="Times New Roman"/>
          <w:sz w:val="24"/>
          <w:szCs w:val="24"/>
        </w:rPr>
        <w:t>AZEVEDO</w:t>
      </w:r>
      <w:r w:rsidR="007C6FD5" w:rsidRPr="00704821">
        <w:rPr>
          <w:rFonts w:ascii="Times New Roman" w:hAnsi="Times New Roman" w:cs="Times New Roman"/>
          <w:sz w:val="24"/>
          <w:szCs w:val="24"/>
        </w:rPr>
        <w:t>, 2004)</w:t>
      </w:r>
      <w:r w:rsidR="00095466" w:rsidRPr="00704821">
        <w:rPr>
          <w:rFonts w:ascii="Times New Roman" w:hAnsi="Times New Roman" w:cs="Times New Roman"/>
          <w:sz w:val="24"/>
          <w:szCs w:val="24"/>
        </w:rPr>
        <w:t>.</w:t>
      </w:r>
      <w:r w:rsidR="0020534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16D27" w:rsidRPr="00704821">
        <w:rPr>
          <w:rFonts w:ascii="Times New Roman" w:hAnsi="Times New Roman" w:cs="Times New Roman"/>
          <w:sz w:val="24"/>
          <w:szCs w:val="24"/>
        </w:rPr>
        <w:t>No Brasil</w:t>
      </w:r>
      <w:r w:rsidR="00882C17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E027F8" w:rsidRPr="00704821">
        <w:rPr>
          <w:rFonts w:ascii="Times New Roman" w:hAnsi="Times New Roman" w:cs="Times New Roman"/>
          <w:sz w:val="24"/>
          <w:szCs w:val="24"/>
        </w:rPr>
        <w:t xml:space="preserve">em 2015, </w:t>
      </w:r>
      <w:r w:rsidR="00882C17" w:rsidRPr="00704821">
        <w:rPr>
          <w:rFonts w:ascii="Times New Roman" w:hAnsi="Times New Roman" w:cs="Times New Roman"/>
          <w:sz w:val="24"/>
          <w:szCs w:val="24"/>
        </w:rPr>
        <w:t>cada habitante produz</w:t>
      </w:r>
      <w:r w:rsidR="00E027F8" w:rsidRPr="00704821">
        <w:rPr>
          <w:rFonts w:ascii="Times New Roman" w:hAnsi="Times New Roman" w:cs="Times New Roman"/>
          <w:sz w:val="24"/>
          <w:szCs w:val="24"/>
        </w:rPr>
        <w:t>iu</w:t>
      </w:r>
      <w:r w:rsidR="008F30D0" w:rsidRPr="00704821">
        <w:rPr>
          <w:rFonts w:ascii="Times New Roman" w:hAnsi="Times New Roman" w:cs="Times New Roman"/>
          <w:sz w:val="24"/>
          <w:szCs w:val="24"/>
        </w:rPr>
        <w:t xml:space="preserve">, diariamente, </w:t>
      </w:r>
      <w:r w:rsidR="00E15504" w:rsidRPr="00704821">
        <w:rPr>
          <w:rFonts w:ascii="Times New Roman" w:hAnsi="Times New Roman" w:cs="Times New Roman"/>
          <w:sz w:val="24"/>
          <w:szCs w:val="24"/>
        </w:rPr>
        <w:t xml:space="preserve">em média, </w:t>
      </w:r>
      <w:r w:rsidR="00882C17" w:rsidRPr="00704821">
        <w:rPr>
          <w:rFonts w:ascii="Times New Roman" w:hAnsi="Times New Roman" w:cs="Times New Roman"/>
          <w:sz w:val="24"/>
          <w:szCs w:val="24"/>
        </w:rPr>
        <w:t>1,04 Kg de resíduos</w:t>
      </w:r>
      <w:r w:rsidR="0020534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027F8" w:rsidRPr="00704821">
        <w:rPr>
          <w:rFonts w:ascii="Times New Roman" w:hAnsi="Times New Roman" w:cs="Times New Roman"/>
          <w:sz w:val="24"/>
          <w:szCs w:val="24"/>
        </w:rPr>
        <w:t>e os municípios gastaram R$10,15/mês</w:t>
      </w:r>
      <w:r w:rsidR="002C264A" w:rsidRPr="00704821">
        <w:rPr>
          <w:rFonts w:ascii="Times New Roman" w:hAnsi="Times New Roman" w:cs="Times New Roman"/>
          <w:sz w:val="24"/>
          <w:szCs w:val="24"/>
        </w:rPr>
        <w:t>,</w:t>
      </w:r>
      <w:r w:rsidR="00E027F8" w:rsidRPr="00704821">
        <w:rPr>
          <w:rFonts w:ascii="Times New Roman" w:hAnsi="Times New Roman" w:cs="Times New Roman"/>
          <w:sz w:val="24"/>
          <w:szCs w:val="24"/>
        </w:rPr>
        <w:t xml:space="preserve"> por habitante</w:t>
      </w:r>
      <w:r w:rsidR="002C264A" w:rsidRPr="00704821">
        <w:rPr>
          <w:rFonts w:ascii="Times New Roman" w:hAnsi="Times New Roman" w:cs="Times New Roman"/>
          <w:sz w:val="24"/>
          <w:szCs w:val="24"/>
        </w:rPr>
        <w:t>,</w:t>
      </w:r>
      <w:r w:rsidR="00E027F8" w:rsidRPr="00704821">
        <w:rPr>
          <w:rFonts w:ascii="Times New Roman" w:hAnsi="Times New Roman" w:cs="Times New Roman"/>
          <w:sz w:val="24"/>
          <w:szCs w:val="24"/>
        </w:rPr>
        <w:t xml:space="preserve"> para realizar os serviços de limpeza urbana. </w:t>
      </w:r>
      <w:r w:rsidR="00E15504" w:rsidRPr="00704821">
        <w:rPr>
          <w:rFonts w:ascii="Times New Roman" w:hAnsi="Times New Roman" w:cs="Times New Roman"/>
          <w:sz w:val="24"/>
          <w:szCs w:val="24"/>
        </w:rPr>
        <w:t xml:space="preserve">Além disso, em 2015, 58% dos </w:t>
      </w:r>
      <w:r w:rsidR="00983BFA" w:rsidRPr="00704821">
        <w:rPr>
          <w:rFonts w:ascii="Times New Roman" w:hAnsi="Times New Roman" w:cs="Times New Roman"/>
          <w:sz w:val="24"/>
          <w:szCs w:val="24"/>
        </w:rPr>
        <w:t xml:space="preserve">municípios </w:t>
      </w:r>
      <w:r w:rsidR="00E15504" w:rsidRPr="00704821">
        <w:rPr>
          <w:rFonts w:ascii="Times New Roman" w:hAnsi="Times New Roman" w:cs="Times New Roman"/>
          <w:sz w:val="24"/>
          <w:szCs w:val="24"/>
        </w:rPr>
        <w:t xml:space="preserve">brasileiros </w:t>
      </w:r>
      <w:r w:rsidR="00983BFA" w:rsidRPr="00704821">
        <w:rPr>
          <w:rFonts w:ascii="Times New Roman" w:hAnsi="Times New Roman" w:cs="Times New Roman"/>
          <w:sz w:val="24"/>
          <w:szCs w:val="24"/>
        </w:rPr>
        <w:t xml:space="preserve">declararam </w:t>
      </w:r>
      <w:r w:rsidR="001B5E0B" w:rsidRPr="00704821">
        <w:rPr>
          <w:rFonts w:ascii="Times New Roman" w:hAnsi="Times New Roman" w:cs="Times New Roman"/>
          <w:sz w:val="24"/>
          <w:szCs w:val="24"/>
        </w:rPr>
        <w:t xml:space="preserve">não </w:t>
      </w:r>
      <w:r w:rsidR="00983BFA" w:rsidRPr="00704821">
        <w:rPr>
          <w:rFonts w:ascii="Times New Roman" w:hAnsi="Times New Roman" w:cs="Times New Roman"/>
          <w:sz w:val="24"/>
          <w:szCs w:val="24"/>
        </w:rPr>
        <w:t xml:space="preserve">possuir Planos de Gestão Integrada de Resíduos Sólidos (PGIRS) </w:t>
      </w:r>
      <w:r w:rsidR="00E15504" w:rsidRPr="00704821">
        <w:rPr>
          <w:rFonts w:ascii="Times New Roman" w:hAnsi="Times New Roman" w:cs="Times New Roman"/>
          <w:sz w:val="24"/>
          <w:szCs w:val="24"/>
        </w:rPr>
        <w:t xml:space="preserve">e </w:t>
      </w:r>
      <w:r w:rsidR="00071313" w:rsidRPr="00704821">
        <w:rPr>
          <w:rFonts w:ascii="Times New Roman" w:hAnsi="Times New Roman" w:cs="Times New Roman"/>
          <w:sz w:val="24"/>
          <w:szCs w:val="24"/>
        </w:rPr>
        <w:t>apurou-se um índice de coleta nacional de 90,8%</w:t>
      </w:r>
      <w:r w:rsidR="008114D3" w:rsidRPr="00704821">
        <w:rPr>
          <w:rFonts w:ascii="Times New Roman" w:hAnsi="Times New Roman" w:cs="Times New Roman"/>
          <w:sz w:val="24"/>
          <w:szCs w:val="24"/>
        </w:rPr>
        <w:t>. No entanto,</w:t>
      </w:r>
      <w:r w:rsidR="00071313" w:rsidRPr="00704821">
        <w:rPr>
          <w:rFonts w:ascii="Times New Roman" w:hAnsi="Times New Roman" w:cs="Times New Roman"/>
          <w:sz w:val="24"/>
          <w:szCs w:val="24"/>
        </w:rPr>
        <w:t xml:space="preserve"> cerca de 7,3 milhões de toneladas de resíduos (9,2%) permaneceram </w:t>
      </w:r>
      <w:r w:rsidR="008F30D0" w:rsidRPr="00704821">
        <w:rPr>
          <w:rFonts w:ascii="Times New Roman" w:hAnsi="Times New Roman" w:cs="Times New Roman"/>
          <w:sz w:val="24"/>
          <w:szCs w:val="24"/>
        </w:rPr>
        <w:t xml:space="preserve">sem coleta no país </w:t>
      </w:r>
      <w:r w:rsidR="00071313" w:rsidRPr="00704821">
        <w:rPr>
          <w:rFonts w:ascii="Times New Roman" w:hAnsi="Times New Roman" w:cs="Times New Roman"/>
          <w:sz w:val="24"/>
          <w:szCs w:val="24"/>
        </w:rPr>
        <w:t>ou com destino impróprio (</w:t>
      </w:r>
      <w:r w:rsidR="00A71786" w:rsidRPr="00A71786">
        <w:rPr>
          <w:rFonts w:ascii="Times New Roman" w:hAnsi="Times New Roman" w:cs="Times New Roman"/>
          <w:sz w:val="24"/>
          <w:szCs w:val="24"/>
        </w:rPr>
        <w:t>ASSOCIAÇÃO BRASILEIRA DE EMPRESAS DE LIMPEZA PÚBLICA E RESÍDUOS ESPECIAIS</w:t>
      </w:r>
      <w:r w:rsidR="00A71786">
        <w:rPr>
          <w:rFonts w:ascii="Times New Roman" w:hAnsi="Times New Roman" w:cs="Times New Roman"/>
          <w:sz w:val="24"/>
          <w:szCs w:val="24"/>
        </w:rPr>
        <w:t xml:space="preserve"> -</w:t>
      </w:r>
      <w:r w:rsidR="00071313" w:rsidRPr="00704821">
        <w:rPr>
          <w:rFonts w:ascii="Times New Roman" w:hAnsi="Times New Roman" w:cs="Times New Roman"/>
          <w:sz w:val="24"/>
          <w:szCs w:val="24"/>
        </w:rPr>
        <w:t xml:space="preserve">ABRELPE, 2016; </w:t>
      </w:r>
      <w:r w:rsidR="00A71786">
        <w:rPr>
          <w:rFonts w:ascii="Times New Roman" w:hAnsi="Times New Roman" w:cs="Times New Roman"/>
          <w:sz w:val="24"/>
          <w:szCs w:val="24"/>
        </w:rPr>
        <w:t>MINISTÉRIO DO MEIO AMBIENTE-</w:t>
      </w:r>
      <w:r w:rsidR="00071313" w:rsidRPr="00704821">
        <w:rPr>
          <w:rFonts w:ascii="Times New Roman" w:hAnsi="Times New Roman" w:cs="Times New Roman"/>
          <w:sz w:val="24"/>
          <w:szCs w:val="24"/>
        </w:rPr>
        <w:t>MMA, 2016).</w:t>
      </w:r>
    </w:p>
    <w:p w14:paraId="62D4D82E" w14:textId="26646EFA" w:rsidR="006524EA" w:rsidRPr="00704821" w:rsidRDefault="008F30D0" w:rsidP="00EF5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A destinação</w:t>
      </w:r>
      <w:r w:rsidR="00EC500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4B16E6" w:rsidRPr="00704821">
        <w:rPr>
          <w:rFonts w:ascii="Times New Roman" w:hAnsi="Times New Roman" w:cs="Times New Roman"/>
          <w:sz w:val="24"/>
          <w:szCs w:val="24"/>
        </w:rPr>
        <w:t>incorreta</w:t>
      </w:r>
      <w:r w:rsidR="00EC500F" w:rsidRPr="00704821">
        <w:rPr>
          <w:rFonts w:ascii="Times New Roman" w:hAnsi="Times New Roman" w:cs="Times New Roman"/>
          <w:sz w:val="24"/>
          <w:szCs w:val="24"/>
        </w:rPr>
        <w:t xml:space="preserve"> desses resíduos provoca pontos </w:t>
      </w:r>
      <w:r w:rsidR="00E8345F" w:rsidRPr="00704821">
        <w:rPr>
          <w:rFonts w:ascii="Times New Roman" w:hAnsi="Times New Roman" w:cs="Times New Roman"/>
          <w:sz w:val="24"/>
          <w:szCs w:val="24"/>
        </w:rPr>
        <w:t>de</w:t>
      </w:r>
      <w:r w:rsidR="00EC500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8345F" w:rsidRPr="00704821">
        <w:rPr>
          <w:rFonts w:ascii="Times New Roman" w:hAnsi="Times New Roman" w:cs="Times New Roman"/>
          <w:sz w:val="24"/>
          <w:szCs w:val="24"/>
        </w:rPr>
        <w:t xml:space="preserve">acumulação de </w:t>
      </w:r>
      <w:r w:rsidR="00EC500F" w:rsidRPr="00704821">
        <w:rPr>
          <w:rFonts w:ascii="Times New Roman" w:hAnsi="Times New Roman" w:cs="Times New Roman"/>
          <w:sz w:val="24"/>
          <w:szCs w:val="24"/>
        </w:rPr>
        <w:t>lixo</w:t>
      </w:r>
      <w:r w:rsidR="00F22843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acarretando a</w:t>
      </w:r>
      <w:r w:rsidR="00EC500F" w:rsidRPr="00704821">
        <w:rPr>
          <w:rFonts w:ascii="Times New Roman" w:hAnsi="Times New Roman" w:cs="Times New Roman"/>
          <w:sz w:val="24"/>
          <w:szCs w:val="24"/>
        </w:rPr>
        <w:t xml:space="preserve"> proliferação </w:t>
      </w:r>
      <w:r w:rsidR="00983BFA" w:rsidRPr="00704821">
        <w:rPr>
          <w:rFonts w:ascii="Times New Roman" w:hAnsi="Times New Roman" w:cs="Times New Roman"/>
          <w:sz w:val="24"/>
          <w:szCs w:val="24"/>
        </w:rPr>
        <w:t>de doenças e animais transmissores</w:t>
      </w:r>
      <w:r w:rsidRPr="00704821">
        <w:rPr>
          <w:rFonts w:ascii="Times New Roman" w:hAnsi="Times New Roman" w:cs="Times New Roman"/>
          <w:sz w:val="24"/>
          <w:szCs w:val="24"/>
        </w:rPr>
        <w:t xml:space="preserve"> (mosquitos, ratos e baratas)</w:t>
      </w:r>
      <w:r w:rsidR="00957F4F" w:rsidRPr="00704821">
        <w:rPr>
          <w:rFonts w:ascii="Times New Roman" w:hAnsi="Times New Roman" w:cs="Times New Roman"/>
          <w:sz w:val="24"/>
          <w:szCs w:val="24"/>
        </w:rPr>
        <w:t xml:space="preserve">, além </w:t>
      </w:r>
      <w:r w:rsidR="00983BFA" w:rsidRPr="00704821">
        <w:rPr>
          <w:rFonts w:ascii="Times New Roman" w:hAnsi="Times New Roman" w:cs="Times New Roman"/>
          <w:sz w:val="24"/>
          <w:szCs w:val="24"/>
        </w:rPr>
        <w:t xml:space="preserve">de, potencialmente, </w:t>
      </w:r>
      <w:r w:rsidR="00E8345F" w:rsidRPr="00704821">
        <w:rPr>
          <w:rFonts w:ascii="Times New Roman" w:hAnsi="Times New Roman" w:cs="Times New Roman"/>
          <w:sz w:val="24"/>
          <w:szCs w:val="24"/>
        </w:rPr>
        <w:t>polui</w:t>
      </w:r>
      <w:r w:rsidR="00983BFA" w:rsidRPr="00704821">
        <w:rPr>
          <w:rFonts w:ascii="Times New Roman" w:hAnsi="Times New Roman" w:cs="Times New Roman"/>
          <w:sz w:val="24"/>
          <w:szCs w:val="24"/>
        </w:rPr>
        <w:t xml:space="preserve">r </w:t>
      </w:r>
      <w:r w:rsidR="00E8345F" w:rsidRPr="00704821">
        <w:rPr>
          <w:rFonts w:ascii="Times New Roman" w:hAnsi="Times New Roman" w:cs="Times New Roman"/>
          <w:sz w:val="24"/>
          <w:szCs w:val="24"/>
        </w:rPr>
        <w:t>a água, o solo e</w:t>
      </w:r>
      <w:r w:rsidR="00983BF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8345F" w:rsidRPr="00704821">
        <w:rPr>
          <w:rFonts w:ascii="Times New Roman" w:hAnsi="Times New Roman" w:cs="Times New Roman"/>
          <w:sz w:val="24"/>
          <w:szCs w:val="24"/>
        </w:rPr>
        <w:t>o</w:t>
      </w:r>
      <w:r w:rsidR="00EC500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8345F" w:rsidRPr="00704821">
        <w:rPr>
          <w:rFonts w:ascii="Times New Roman" w:hAnsi="Times New Roman" w:cs="Times New Roman"/>
          <w:sz w:val="24"/>
          <w:szCs w:val="24"/>
        </w:rPr>
        <w:t>ar</w:t>
      </w:r>
      <w:r w:rsidR="00983BF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92880" w:rsidRPr="00704821">
        <w:rPr>
          <w:rFonts w:ascii="Times New Roman" w:hAnsi="Times New Roman" w:cs="Times New Roman"/>
          <w:sz w:val="24"/>
          <w:szCs w:val="24"/>
        </w:rPr>
        <w:t>(</w:t>
      </w:r>
      <w:r w:rsidR="00A471E0" w:rsidRPr="00704821">
        <w:rPr>
          <w:rFonts w:ascii="Times New Roman" w:hAnsi="Times New Roman" w:cs="Times New Roman"/>
          <w:sz w:val="24"/>
          <w:szCs w:val="24"/>
        </w:rPr>
        <w:t>AZEVEDO</w:t>
      </w:r>
      <w:r w:rsidR="00F92880" w:rsidRPr="00704821">
        <w:rPr>
          <w:rFonts w:ascii="Times New Roman" w:hAnsi="Times New Roman" w:cs="Times New Roman"/>
          <w:sz w:val="24"/>
          <w:szCs w:val="24"/>
        </w:rPr>
        <w:t>, 2004</w:t>
      </w:r>
      <w:r w:rsidR="00F12B92" w:rsidRPr="00704821">
        <w:rPr>
          <w:rFonts w:ascii="Times New Roman" w:hAnsi="Times New Roman" w:cs="Times New Roman"/>
          <w:sz w:val="24"/>
          <w:szCs w:val="24"/>
        </w:rPr>
        <w:t>)</w:t>
      </w:r>
      <w:r w:rsidR="00FE254B" w:rsidRPr="00704821">
        <w:rPr>
          <w:rFonts w:ascii="Times New Roman" w:hAnsi="Times New Roman" w:cs="Times New Roman"/>
          <w:sz w:val="24"/>
          <w:szCs w:val="24"/>
        </w:rPr>
        <w:t>.</w:t>
      </w:r>
      <w:r w:rsidR="00983BF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894181" w:rsidRPr="00704821">
        <w:rPr>
          <w:rFonts w:ascii="Times New Roman" w:hAnsi="Times New Roman" w:cs="Times New Roman"/>
          <w:sz w:val="24"/>
          <w:szCs w:val="24"/>
        </w:rPr>
        <w:t xml:space="preserve">Visando 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mitigar </w:t>
      </w:r>
      <w:r w:rsidR="00894181" w:rsidRPr="00704821">
        <w:rPr>
          <w:rFonts w:ascii="Times New Roman" w:hAnsi="Times New Roman" w:cs="Times New Roman"/>
          <w:sz w:val="24"/>
          <w:szCs w:val="24"/>
        </w:rPr>
        <w:t>esse</w:t>
      </w:r>
      <w:r w:rsidR="00A31802" w:rsidRPr="00704821">
        <w:rPr>
          <w:rFonts w:ascii="Times New Roman" w:hAnsi="Times New Roman" w:cs="Times New Roman"/>
          <w:sz w:val="24"/>
          <w:szCs w:val="24"/>
        </w:rPr>
        <w:t>s</w:t>
      </w:r>
      <w:r w:rsidR="00894181" w:rsidRPr="00704821">
        <w:rPr>
          <w:rFonts w:ascii="Times New Roman" w:hAnsi="Times New Roman" w:cs="Times New Roman"/>
          <w:sz w:val="24"/>
          <w:szCs w:val="24"/>
        </w:rPr>
        <w:t xml:space="preserve"> problema</w:t>
      </w:r>
      <w:r w:rsidR="00A31802" w:rsidRPr="00704821">
        <w:rPr>
          <w:rFonts w:ascii="Times New Roman" w:hAnsi="Times New Roman" w:cs="Times New Roman"/>
          <w:sz w:val="24"/>
          <w:szCs w:val="24"/>
        </w:rPr>
        <w:t>s</w:t>
      </w:r>
      <w:r w:rsidR="00894181" w:rsidRPr="00704821">
        <w:rPr>
          <w:rFonts w:ascii="Times New Roman" w:hAnsi="Times New Roman" w:cs="Times New Roman"/>
          <w:sz w:val="24"/>
          <w:szCs w:val="24"/>
        </w:rPr>
        <w:t>, o</w:t>
      </w:r>
      <w:r w:rsidR="001503A8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Congresso Nacional</w:t>
      </w:r>
      <w:r w:rsidR="00894181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1503A8" w:rsidRPr="00704821">
        <w:rPr>
          <w:rFonts w:ascii="Times New Roman" w:hAnsi="Times New Roman" w:cs="Times New Roman"/>
          <w:sz w:val="24"/>
          <w:szCs w:val="24"/>
        </w:rPr>
        <w:t xml:space="preserve">promulgou </w:t>
      </w:r>
      <w:r w:rsidR="00894181" w:rsidRPr="00704821">
        <w:rPr>
          <w:rFonts w:ascii="Times New Roman" w:hAnsi="Times New Roman" w:cs="Times New Roman"/>
          <w:sz w:val="24"/>
          <w:szCs w:val="24"/>
        </w:rPr>
        <w:t>a</w:t>
      </w:r>
      <w:r w:rsidR="002C0FC5" w:rsidRPr="00704821">
        <w:rPr>
          <w:rFonts w:ascii="Times New Roman" w:hAnsi="Times New Roman" w:cs="Times New Roman"/>
          <w:sz w:val="24"/>
          <w:szCs w:val="24"/>
        </w:rPr>
        <w:t xml:space="preserve"> Lei 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nº </w:t>
      </w:r>
      <w:r w:rsidR="002C0FC5" w:rsidRPr="00704821">
        <w:rPr>
          <w:rFonts w:ascii="Times New Roman" w:hAnsi="Times New Roman" w:cs="Times New Roman"/>
          <w:sz w:val="24"/>
          <w:szCs w:val="24"/>
        </w:rPr>
        <w:t xml:space="preserve">12.305 de 02 de agosto de 2010 </w:t>
      </w:r>
      <w:r w:rsidR="00F60A83" w:rsidRPr="00704821">
        <w:rPr>
          <w:rFonts w:ascii="Times New Roman" w:hAnsi="Times New Roman" w:cs="Times New Roman"/>
          <w:sz w:val="24"/>
          <w:szCs w:val="24"/>
        </w:rPr>
        <w:t>e o Decreto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 nº</w:t>
      </w:r>
      <w:r w:rsidR="00F60A83" w:rsidRPr="00704821">
        <w:rPr>
          <w:rFonts w:ascii="Times New Roman" w:hAnsi="Times New Roman" w:cs="Times New Roman"/>
          <w:sz w:val="24"/>
          <w:szCs w:val="24"/>
        </w:rPr>
        <w:t xml:space="preserve"> 7</w:t>
      </w:r>
      <w:r w:rsidR="00F76ADF" w:rsidRPr="00704821">
        <w:rPr>
          <w:rFonts w:ascii="Times New Roman" w:hAnsi="Times New Roman" w:cs="Times New Roman"/>
          <w:sz w:val="24"/>
          <w:szCs w:val="24"/>
        </w:rPr>
        <w:t>.</w:t>
      </w:r>
      <w:r w:rsidR="00F60A83" w:rsidRPr="00704821">
        <w:rPr>
          <w:rFonts w:ascii="Times New Roman" w:hAnsi="Times New Roman" w:cs="Times New Roman"/>
          <w:sz w:val="24"/>
          <w:szCs w:val="24"/>
        </w:rPr>
        <w:t>404</w:t>
      </w:r>
      <w:r w:rsidR="00FE7A51" w:rsidRPr="00704821">
        <w:rPr>
          <w:rFonts w:ascii="Times New Roman" w:hAnsi="Times New Roman" w:cs="Times New Roman"/>
          <w:sz w:val="24"/>
          <w:szCs w:val="24"/>
        </w:rPr>
        <w:t xml:space="preserve"> de 23 de d</w:t>
      </w:r>
      <w:r w:rsidR="00774532" w:rsidRPr="00704821">
        <w:rPr>
          <w:rFonts w:ascii="Times New Roman" w:hAnsi="Times New Roman" w:cs="Times New Roman"/>
          <w:sz w:val="24"/>
          <w:szCs w:val="24"/>
        </w:rPr>
        <w:t>ezembro de 20</w:t>
      </w:r>
      <w:r w:rsidR="00F60A83" w:rsidRPr="00704821">
        <w:rPr>
          <w:rFonts w:ascii="Times New Roman" w:hAnsi="Times New Roman" w:cs="Times New Roman"/>
          <w:sz w:val="24"/>
          <w:szCs w:val="24"/>
        </w:rPr>
        <w:t>10</w:t>
      </w:r>
      <w:r w:rsidR="00AE37E4" w:rsidRPr="00704821">
        <w:rPr>
          <w:rFonts w:ascii="Times New Roman" w:hAnsi="Times New Roman" w:cs="Times New Roman"/>
          <w:sz w:val="24"/>
          <w:szCs w:val="24"/>
        </w:rPr>
        <w:t>,</w:t>
      </w:r>
      <w:r w:rsidR="00F60A83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894181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="00E23153" w:rsidRPr="00704821">
        <w:rPr>
          <w:rFonts w:ascii="Times New Roman" w:hAnsi="Times New Roman" w:cs="Times New Roman"/>
          <w:sz w:val="24"/>
          <w:szCs w:val="24"/>
        </w:rPr>
        <w:t>instituíram</w:t>
      </w:r>
      <w:r w:rsidR="002C0FC5" w:rsidRPr="00704821">
        <w:rPr>
          <w:rFonts w:ascii="Times New Roman" w:hAnsi="Times New Roman" w:cs="Times New Roman"/>
          <w:sz w:val="24"/>
          <w:szCs w:val="24"/>
        </w:rPr>
        <w:t xml:space="preserve"> a Política Nacional dos Resíduos Sólidos (PNRS)</w:t>
      </w:r>
      <w:r w:rsidR="00F60A83" w:rsidRPr="00704821">
        <w:rPr>
          <w:rFonts w:ascii="Times New Roman" w:hAnsi="Times New Roman" w:cs="Times New Roman"/>
          <w:sz w:val="24"/>
          <w:szCs w:val="24"/>
        </w:rPr>
        <w:t xml:space="preserve"> e </w:t>
      </w:r>
      <w:r w:rsidR="00774532" w:rsidRPr="00704821">
        <w:rPr>
          <w:rFonts w:ascii="Times New Roman" w:hAnsi="Times New Roman" w:cs="Times New Roman"/>
          <w:sz w:val="24"/>
          <w:szCs w:val="24"/>
        </w:rPr>
        <w:t xml:space="preserve">estabeleceram as </w:t>
      </w:r>
      <w:r w:rsidR="00902371" w:rsidRPr="00704821">
        <w:rPr>
          <w:rFonts w:ascii="Times New Roman" w:hAnsi="Times New Roman" w:cs="Times New Roman"/>
          <w:sz w:val="24"/>
          <w:szCs w:val="24"/>
        </w:rPr>
        <w:t xml:space="preserve">suas </w:t>
      </w:r>
      <w:r w:rsidR="00774532" w:rsidRPr="00704821">
        <w:rPr>
          <w:rFonts w:ascii="Times New Roman" w:hAnsi="Times New Roman" w:cs="Times New Roman"/>
          <w:sz w:val="24"/>
          <w:szCs w:val="24"/>
        </w:rPr>
        <w:t xml:space="preserve">normas </w:t>
      </w:r>
      <w:r w:rsidR="00902371" w:rsidRPr="00704821">
        <w:rPr>
          <w:rFonts w:ascii="Times New Roman" w:hAnsi="Times New Roman" w:cs="Times New Roman"/>
          <w:sz w:val="24"/>
          <w:szCs w:val="24"/>
        </w:rPr>
        <w:t>de</w:t>
      </w:r>
      <w:r w:rsidR="00774532" w:rsidRPr="00704821">
        <w:rPr>
          <w:rFonts w:ascii="Times New Roman" w:hAnsi="Times New Roman" w:cs="Times New Roman"/>
          <w:sz w:val="24"/>
          <w:szCs w:val="24"/>
        </w:rPr>
        <w:t xml:space="preserve"> execução. </w:t>
      </w:r>
      <w:r w:rsidRPr="00704821">
        <w:rPr>
          <w:rFonts w:ascii="Times New Roman" w:hAnsi="Times New Roman" w:cs="Times New Roman"/>
          <w:sz w:val="24"/>
          <w:szCs w:val="24"/>
        </w:rPr>
        <w:t>Na PNRS</w:t>
      </w:r>
      <w:r w:rsidR="001503A8" w:rsidRPr="00704821">
        <w:rPr>
          <w:rFonts w:ascii="Times New Roman" w:hAnsi="Times New Roman" w:cs="Times New Roman"/>
          <w:sz w:val="24"/>
          <w:szCs w:val="24"/>
        </w:rPr>
        <w:t xml:space="preserve"> s</w:t>
      </w:r>
      <w:r w:rsidR="00EA17D6" w:rsidRPr="00704821">
        <w:rPr>
          <w:rFonts w:ascii="Times New Roman" w:hAnsi="Times New Roman" w:cs="Times New Roman"/>
          <w:sz w:val="24"/>
          <w:szCs w:val="24"/>
        </w:rPr>
        <w:t>ugere-se</w:t>
      </w:r>
      <w:r w:rsidR="001D159A" w:rsidRPr="00704821">
        <w:rPr>
          <w:rFonts w:ascii="Times New Roman" w:hAnsi="Times New Roman" w:cs="Times New Roman"/>
          <w:sz w:val="24"/>
          <w:szCs w:val="24"/>
        </w:rPr>
        <w:t xml:space="preserve"> um modelo de gestão empresarial que consolide </w:t>
      </w:r>
      <w:r w:rsidR="002C264A" w:rsidRPr="00704821">
        <w:rPr>
          <w:rFonts w:ascii="Times New Roman" w:hAnsi="Times New Roman" w:cs="Times New Roman"/>
          <w:sz w:val="24"/>
          <w:szCs w:val="24"/>
        </w:rPr>
        <w:t xml:space="preserve">a) </w:t>
      </w:r>
      <w:r w:rsidR="001D159A" w:rsidRPr="00704821">
        <w:rPr>
          <w:rFonts w:ascii="Times New Roman" w:hAnsi="Times New Roman" w:cs="Times New Roman"/>
          <w:sz w:val="24"/>
          <w:szCs w:val="24"/>
        </w:rPr>
        <w:t xml:space="preserve">não geração, </w:t>
      </w:r>
      <w:r w:rsidR="002C264A" w:rsidRPr="00704821">
        <w:rPr>
          <w:rFonts w:ascii="Times New Roman" w:hAnsi="Times New Roman" w:cs="Times New Roman"/>
          <w:sz w:val="24"/>
          <w:szCs w:val="24"/>
        </w:rPr>
        <w:t xml:space="preserve">b) </w:t>
      </w:r>
      <w:r w:rsidR="001D159A" w:rsidRPr="00704821">
        <w:rPr>
          <w:rFonts w:ascii="Times New Roman" w:hAnsi="Times New Roman" w:cs="Times New Roman"/>
          <w:sz w:val="24"/>
          <w:szCs w:val="24"/>
        </w:rPr>
        <w:t xml:space="preserve">redução, </w:t>
      </w:r>
      <w:r w:rsidR="002C264A" w:rsidRPr="00704821">
        <w:rPr>
          <w:rFonts w:ascii="Times New Roman" w:hAnsi="Times New Roman" w:cs="Times New Roman"/>
          <w:sz w:val="24"/>
          <w:szCs w:val="24"/>
        </w:rPr>
        <w:t xml:space="preserve">c) </w:t>
      </w:r>
      <w:r w:rsidR="001D159A" w:rsidRPr="00704821">
        <w:rPr>
          <w:rFonts w:ascii="Times New Roman" w:hAnsi="Times New Roman" w:cs="Times New Roman"/>
          <w:sz w:val="24"/>
          <w:szCs w:val="24"/>
        </w:rPr>
        <w:t xml:space="preserve">reutilização, </w:t>
      </w:r>
      <w:r w:rsidR="002C264A" w:rsidRPr="00704821">
        <w:rPr>
          <w:rFonts w:ascii="Times New Roman" w:hAnsi="Times New Roman" w:cs="Times New Roman"/>
          <w:sz w:val="24"/>
          <w:szCs w:val="24"/>
        </w:rPr>
        <w:t xml:space="preserve">d) </w:t>
      </w:r>
      <w:r w:rsidR="001D159A" w:rsidRPr="00704821">
        <w:rPr>
          <w:rFonts w:ascii="Times New Roman" w:hAnsi="Times New Roman" w:cs="Times New Roman"/>
          <w:sz w:val="24"/>
          <w:szCs w:val="24"/>
        </w:rPr>
        <w:t xml:space="preserve">reciclagem e tratamento e </w:t>
      </w:r>
      <w:r w:rsidR="002C264A" w:rsidRPr="00704821">
        <w:rPr>
          <w:rFonts w:ascii="Times New Roman" w:hAnsi="Times New Roman" w:cs="Times New Roman"/>
          <w:sz w:val="24"/>
          <w:szCs w:val="24"/>
        </w:rPr>
        <w:t xml:space="preserve">e) </w:t>
      </w:r>
      <w:r w:rsidR="001D159A" w:rsidRPr="00704821">
        <w:rPr>
          <w:rFonts w:ascii="Times New Roman" w:hAnsi="Times New Roman" w:cs="Times New Roman"/>
          <w:sz w:val="24"/>
          <w:szCs w:val="24"/>
        </w:rPr>
        <w:t xml:space="preserve">disposição final adequados de resíduos sólidos. </w:t>
      </w:r>
      <w:r w:rsidR="00072950" w:rsidRPr="00704821">
        <w:rPr>
          <w:rFonts w:ascii="Times New Roman" w:hAnsi="Times New Roman" w:cs="Times New Roman"/>
          <w:sz w:val="24"/>
          <w:szCs w:val="24"/>
        </w:rPr>
        <w:t>São</w:t>
      </w:r>
      <w:r w:rsidR="001D159A" w:rsidRPr="00704821">
        <w:rPr>
          <w:rFonts w:ascii="Times New Roman" w:hAnsi="Times New Roman" w:cs="Times New Roman"/>
          <w:sz w:val="24"/>
          <w:szCs w:val="24"/>
        </w:rPr>
        <w:t xml:space="preserve"> mecanismos </w:t>
      </w:r>
      <w:r w:rsidR="001D159A" w:rsidRPr="00704821">
        <w:rPr>
          <w:rFonts w:ascii="Times New Roman" w:hAnsi="Times New Roman" w:cs="Times New Roman"/>
          <w:sz w:val="24"/>
          <w:szCs w:val="24"/>
        </w:rPr>
        <w:lastRenderedPageBreak/>
        <w:t xml:space="preserve">dessas Leis, os conceitos de Responsabilidade Compartilhada e Logística Reversa, </w:t>
      </w:r>
      <w:r w:rsidR="00894181" w:rsidRPr="00704821">
        <w:rPr>
          <w:rFonts w:ascii="Times New Roman" w:hAnsi="Times New Roman" w:cs="Times New Roman"/>
          <w:sz w:val="24"/>
          <w:szCs w:val="24"/>
        </w:rPr>
        <w:t>e ambos</w:t>
      </w:r>
      <w:r w:rsidR="001D159A" w:rsidRPr="00704821">
        <w:rPr>
          <w:rFonts w:ascii="Times New Roman" w:hAnsi="Times New Roman" w:cs="Times New Roman"/>
          <w:sz w:val="24"/>
          <w:szCs w:val="24"/>
        </w:rPr>
        <w:t xml:space="preserve"> incentivam a criação de parcerias cooptativas com entidades do mesmo setor</w:t>
      </w:r>
      <w:r w:rsidR="009219A2" w:rsidRPr="00704821">
        <w:rPr>
          <w:rFonts w:ascii="Times New Roman" w:hAnsi="Times New Roman" w:cs="Times New Roman"/>
          <w:sz w:val="24"/>
          <w:szCs w:val="24"/>
        </w:rPr>
        <w:t>,</w:t>
      </w:r>
      <w:r w:rsidR="001D159A" w:rsidRPr="00704821">
        <w:rPr>
          <w:rFonts w:ascii="Times New Roman" w:hAnsi="Times New Roman" w:cs="Times New Roman"/>
          <w:sz w:val="24"/>
          <w:szCs w:val="24"/>
        </w:rPr>
        <w:t xml:space="preserve"> pequenas cooperativas e pessoas físicas de baixa renda</w:t>
      </w:r>
      <w:r w:rsidR="005A125A" w:rsidRPr="00704821">
        <w:rPr>
          <w:rFonts w:ascii="Times New Roman" w:hAnsi="Times New Roman" w:cs="Times New Roman"/>
          <w:sz w:val="24"/>
          <w:szCs w:val="24"/>
        </w:rPr>
        <w:t xml:space="preserve"> (</w:t>
      </w:r>
      <w:r w:rsidR="008F0BF7" w:rsidRPr="00704821">
        <w:rPr>
          <w:rFonts w:ascii="Times New Roman" w:hAnsi="Times New Roman" w:cs="Times New Roman"/>
          <w:sz w:val="24"/>
          <w:szCs w:val="24"/>
        </w:rPr>
        <w:t>BRASIL</w:t>
      </w:r>
      <w:r w:rsidR="005A125A" w:rsidRPr="00704821">
        <w:rPr>
          <w:rFonts w:ascii="Times New Roman" w:hAnsi="Times New Roman" w:cs="Times New Roman"/>
          <w:sz w:val="24"/>
          <w:szCs w:val="24"/>
        </w:rPr>
        <w:t xml:space="preserve">, 2010a, </w:t>
      </w:r>
      <w:r w:rsidR="008F0BF7" w:rsidRPr="00704821">
        <w:rPr>
          <w:rFonts w:ascii="Times New Roman" w:hAnsi="Times New Roman" w:cs="Times New Roman"/>
          <w:sz w:val="24"/>
          <w:szCs w:val="24"/>
        </w:rPr>
        <w:t>BRASIL</w:t>
      </w:r>
      <w:r w:rsidR="005A125A" w:rsidRPr="00704821">
        <w:rPr>
          <w:rFonts w:ascii="Times New Roman" w:hAnsi="Times New Roman" w:cs="Times New Roman"/>
          <w:sz w:val="24"/>
          <w:szCs w:val="24"/>
        </w:rPr>
        <w:t>, 2010b)</w:t>
      </w:r>
      <w:r w:rsidR="006524EA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34F2D4EE" w14:textId="5F9EA1D0" w:rsidR="00AE37E4" w:rsidRPr="00704821" w:rsidRDefault="00774532" w:rsidP="00EF5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Estão </w:t>
      </w:r>
      <w:r w:rsidR="002C0FC5" w:rsidRPr="00704821">
        <w:rPr>
          <w:rFonts w:ascii="Times New Roman" w:hAnsi="Times New Roman" w:cs="Times New Roman"/>
          <w:sz w:val="24"/>
          <w:szCs w:val="24"/>
        </w:rPr>
        <w:t>sujeitas a observância d</w:t>
      </w:r>
      <w:r w:rsidR="008F30D0" w:rsidRPr="00704821">
        <w:rPr>
          <w:rFonts w:ascii="Times New Roman" w:hAnsi="Times New Roman" w:cs="Times New Roman"/>
          <w:sz w:val="24"/>
          <w:szCs w:val="24"/>
        </w:rPr>
        <w:t>a PNRS e do Decreto 7</w:t>
      </w:r>
      <w:r w:rsidR="00A72C70" w:rsidRPr="00704821">
        <w:rPr>
          <w:rFonts w:ascii="Times New Roman" w:hAnsi="Times New Roman" w:cs="Times New Roman"/>
          <w:sz w:val="24"/>
          <w:szCs w:val="24"/>
        </w:rPr>
        <w:t>.</w:t>
      </w:r>
      <w:r w:rsidR="008F30D0" w:rsidRPr="00704821">
        <w:rPr>
          <w:rFonts w:ascii="Times New Roman" w:hAnsi="Times New Roman" w:cs="Times New Roman"/>
          <w:sz w:val="24"/>
          <w:szCs w:val="24"/>
        </w:rPr>
        <w:t>404/2010</w:t>
      </w:r>
      <w:r w:rsidR="002C0FC5" w:rsidRPr="00704821">
        <w:rPr>
          <w:rFonts w:ascii="Times New Roman" w:hAnsi="Times New Roman" w:cs="Times New Roman"/>
          <w:sz w:val="24"/>
          <w:szCs w:val="24"/>
        </w:rPr>
        <w:t xml:space="preserve">, as pessoas físicas e jurídicas, de direito público ou privado que de forma </w:t>
      </w:r>
      <w:r w:rsidR="0055166F" w:rsidRPr="00704821">
        <w:rPr>
          <w:rFonts w:ascii="Times New Roman" w:hAnsi="Times New Roman" w:cs="Times New Roman"/>
          <w:sz w:val="24"/>
          <w:szCs w:val="24"/>
        </w:rPr>
        <w:t xml:space="preserve">direta ou </w:t>
      </w:r>
      <w:r w:rsidR="002C0FC5" w:rsidRPr="00704821">
        <w:rPr>
          <w:rFonts w:ascii="Times New Roman" w:hAnsi="Times New Roman" w:cs="Times New Roman"/>
          <w:sz w:val="24"/>
          <w:szCs w:val="24"/>
        </w:rPr>
        <w:t>indireta geram resíduos sólidos ou possuem um sistema de gestão integrada ou realizam gerenciamento de resíduos</w:t>
      </w:r>
      <w:r w:rsidR="002C0FC5" w:rsidRPr="007048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3153" w:rsidRPr="00704821">
        <w:rPr>
          <w:rFonts w:ascii="Times New Roman" w:hAnsi="Times New Roman" w:cs="Times New Roman"/>
          <w:sz w:val="24"/>
          <w:szCs w:val="24"/>
        </w:rPr>
        <w:t>(</w:t>
      </w:r>
      <w:r w:rsidR="003F4CFC" w:rsidRPr="00704821">
        <w:rPr>
          <w:rFonts w:ascii="Times New Roman" w:hAnsi="Times New Roman" w:cs="Times New Roman"/>
          <w:sz w:val="24"/>
          <w:szCs w:val="24"/>
        </w:rPr>
        <w:t>BRASIL</w:t>
      </w:r>
      <w:r w:rsidR="00E23153" w:rsidRPr="00704821">
        <w:rPr>
          <w:rFonts w:ascii="Times New Roman" w:hAnsi="Times New Roman" w:cs="Times New Roman"/>
          <w:sz w:val="24"/>
          <w:szCs w:val="24"/>
        </w:rPr>
        <w:t>, 2010</w:t>
      </w:r>
      <w:r w:rsidRPr="00704821">
        <w:rPr>
          <w:rFonts w:ascii="Times New Roman" w:hAnsi="Times New Roman" w:cs="Times New Roman"/>
          <w:sz w:val="24"/>
          <w:szCs w:val="24"/>
        </w:rPr>
        <w:t xml:space="preserve">a, </w:t>
      </w:r>
      <w:r w:rsidR="003F4CFC" w:rsidRPr="00704821">
        <w:rPr>
          <w:rFonts w:ascii="Times New Roman" w:hAnsi="Times New Roman" w:cs="Times New Roman"/>
          <w:sz w:val="24"/>
          <w:szCs w:val="24"/>
        </w:rPr>
        <w:t>BRASIL</w:t>
      </w:r>
      <w:r w:rsidRPr="00704821">
        <w:rPr>
          <w:rFonts w:ascii="Times New Roman" w:hAnsi="Times New Roman" w:cs="Times New Roman"/>
          <w:sz w:val="24"/>
          <w:szCs w:val="24"/>
        </w:rPr>
        <w:t>, 2010b</w:t>
      </w:r>
      <w:r w:rsidR="00E23153" w:rsidRPr="00704821">
        <w:rPr>
          <w:rFonts w:ascii="Times New Roman" w:hAnsi="Times New Roman" w:cs="Times New Roman"/>
          <w:sz w:val="24"/>
          <w:szCs w:val="24"/>
        </w:rPr>
        <w:t>).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26B67" w:rsidRPr="00704821">
        <w:rPr>
          <w:rFonts w:ascii="Times New Roman" w:hAnsi="Times New Roman" w:cs="Times New Roman"/>
          <w:sz w:val="24"/>
          <w:szCs w:val="24"/>
        </w:rPr>
        <w:t>Outra exigência da PNRS, observada no artigo nº 9 é que as empresas devem promover o acesso à informação</w:t>
      </w:r>
      <w:r w:rsidR="001C5CEB" w:rsidRPr="00704821">
        <w:rPr>
          <w:rFonts w:ascii="Times New Roman" w:hAnsi="Times New Roman" w:cs="Times New Roman"/>
          <w:sz w:val="24"/>
          <w:szCs w:val="24"/>
        </w:rPr>
        <w:t>,</w:t>
      </w:r>
      <w:r w:rsidR="00F26B67" w:rsidRPr="00704821">
        <w:rPr>
          <w:rFonts w:ascii="Times New Roman" w:hAnsi="Times New Roman" w:cs="Times New Roman"/>
          <w:sz w:val="24"/>
          <w:szCs w:val="24"/>
        </w:rPr>
        <w:t xml:space="preserve"> para que os </w:t>
      </w:r>
      <w:r w:rsidR="00F26B67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F26B67" w:rsidRPr="00704821">
        <w:rPr>
          <w:rFonts w:ascii="Times New Roman" w:hAnsi="Times New Roman" w:cs="Times New Roman"/>
          <w:sz w:val="24"/>
          <w:szCs w:val="24"/>
        </w:rPr>
        <w:t xml:space="preserve"> possam </w:t>
      </w:r>
      <w:r w:rsidR="001C5CEB" w:rsidRPr="00704821">
        <w:rPr>
          <w:rFonts w:ascii="Times New Roman" w:hAnsi="Times New Roman" w:cs="Times New Roman"/>
          <w:sz w:val="24"/>
          <w:szCs w:val="24"/>
        </w:rPr>
        <w:t xml:space="preserve">monitorar e/ou </w:t>
      </w:r>
      <w:r w:rsidR="00E81EB6" w:rsidRPr="00704821">
        <w:rPr>
          <w:rFonts w:ascii="Times New Roman" w:hAnsi="Times New Roman" w:cs="Times New Roman"/>
          <w:sz w:val="24"/>
          <w:szCs w:val="24"/>
        </w:rPr>
        <w:t>acompanha</w:t>
      </w:r>
      <w:r w:rsidR="001C5CEB" w:rsidRPr="00704821">
        <w:rPr>
          <w:rFonts w:ascii="Times New Roman" w:hAnsi="Times New Roman" w:cs="Times New Roman"/>
          <w:sz w:val="24"/>
          <w:szCs w:val="24"/>
        </w:rPr>
        <w:t xml:space="preserve">r </w:t>
      </w:r>
      <w:r w:rsidR="00E81EB6" w:rsidRPr="00704821">
        <w:rPr>
          <w:rFonts w:ascii="Times New Roman" w:hAnsi="Times New Roman" w:cs="Times New Roman"/>
          <w:sz w:val="24"/>
          <w:szCs w:val="24"/>
        </w:rPr>
        <w:t xml:space="preserve">as atividades </w:t>
      </w:r>
      <w:r w:rsidR="004A1380" w:rsidRPr="00704821">
        <w:rPr>
          <w:rFonts w:ascii="Times New Roman" w:hAnsi="Times New Roman" w:cs="Times New Roman"/>
          <w:sz w:val="24"/>
          <w:szCs w:val="24"/>
        </w:rPr>
        <w:t>empresariais</w:t>
      </w:r>
      <w:r w:rsidR="002A423A" w:rsidRPr="00704821">
        <w:rPr>
          <w:rFonts w:ascii="Times New Roman" w:hAnsi="Times New Roman" w:cs="Times New Roman"/>
          <w:sz w:val="24"/>
          <w:szCs w:val="24"/>
        </w:rPr>
        <w:t xml:space="preserve"> (</w:t>
      </w:r>
      <w:r w:rsidR="003F4CFC" w:rsidRPr="00704821">
        <w:rPr>
          <w:rFonts w:ascii="Times New Roman" w:hAnsi="Times New Roman" w:cs="Times New Roman"/>
          <w:sz w:val="24"/>
          <w:szCs w:val="24"/>
        </w:rPr>
        <w:t>BRASIL</w:t>
      </w:r>
      <w:r w:rsidR="002A423A" w:rsidRPr="00704821">
        <w:rPr>
          <w:rFonts w:ascii="Times New Roman" w:hAnsi="Times New Roman" w:cs="Times New Roman"/>
          <w:sz w:val="24"/>
          <w:szCs w:val="24"/>
        </w:rPr>
        <w:t>, 2010</w:t>
      </w:r>
      <w:r w:rsidR="00E477F1" w:rsidRPr="00704821">
        <w:rPr>
          <w:rFonts w:ascii="Times New Roman" w:hAnsi="Times New Roman" w:cs="Times New Roman"/>
          <w:sz w:val="24"/>
          <w:szCs w:val="24"/>
        </w:rPr>
        <w:t>b</w:t>
      </w:r>
      <w:r w:rsidR="002A423A" w:rsidRPr="00704821">
        <w:rPr>
          <w:rFonts w:ascii="Times New Roman" w:hAnsi="Times New Roman" w:cs="Times New Roman"/>
          <w:sz w:val="24"/>
          <w:szCs w:val="24"/>
        </w:rPr>
        <w:t>)</w:t>
      </w:r>
      <w:r w:rsidR="00F26B67" w:rsidRPr="007048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B335AE" w14:textId="206400D9" w:rsidR="00AE37E4" w:rsidRPr="00704821" w:rsidRDefault="00573619" w:rsidP="00AE3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Ainda s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obre a PNRS, de acordo com </w:t>
      </w:r>
      <w:r w:rsidR="00F768DF" w:rsidRPr="00704821">
        <w:rPr>
          <w:rFonts w:ascii="Times New Roman" w:hAnsi="Times New Roman" w:cs="Times New Roman"/>
          <w:sz w:val="24"/>
          <w:szCs w:val="24"/>
        </w:rPr>
        <w:t>Slomski</w:t>
      </w:r>
      <w:r w:rsidR="00F768DF">
        <w:rPr>
          <w:rFonts w:ascii="Times New Roman" w:hAnsi="Times New Roman" w:cs="Times New Roman"/>
          <w:sz w:val="24"/>
          <w:szCs w:val="24"/>
        </w:rPr>
        <w:t xml:space="preserve"> et al.</w:t>
      </w:r>
      <w:r w:rsidR="00610154">
        <w:rPr>
          <w:rFonts w:ascii="Times New Roman" w:hAnsi="Times New Roman" w:cs="Times New Roman"/>
          <w:sz w:val="24"/>
          <w:szCs w:val="24"/>
        </w:rPr>
        <w:t xml:space="preserve"> </w:t>
      </w:r>
      <w:r w:rsidR="00AE37E4" w:rsidRPr="00704821">
        <w:rPr>
          <w:rFonts w:ascii="Times New Roman" w:hAnsi="Times New Roman" w:cs="Times New Roman"/>
          <w:sz w:val="24"/>
          <w:szCs w:val="24"/>
        </w:rPr>
        <w:t>(2012, p. 276) “o espírito da Lei compreende a aplicação do princípio da responsabilidade pós-consumo, ou destinação final do produto”.</w:t>
      </w:r>
      <w:r w:rsidR="002C539A" w:rsidRPr="00704821">
        <w:rPr>
          <w:rFonts w:ascii="Times New Roman" w:hAnsi="Times New Roman" w:cs="Times New Roman"/>
          <w:sz w:val="24"/>
          <w:szCs w:val="24"/>
        </w:rPr>
        <w:t xml:space="preserve"> Acerca dis</w:t>
      </w:r>
      <w:r w:rsidRPr="00704821">
        <w:rPr>
          <w:rFonts w:ascii="Times New Roman" w:hAnsi="Times New Roman" w:cs="Times New Roman"/>
          <w:sz w:val="24"/>
          <w:szCs w:val="24"/>
        </w:rPr>
        <w:t>s</w:t>
      </w:r>
      <w:r w:rsidR="002C539A" w:rsidRPr="00704821">
        <w:rPr>
          <w:rFonts w:ascii="Times New Roman" w:hAnsi="Times New Roman" w:cs="Times New Roman"/>
          <w:sz w:val="24"/>
          <w:szCs w:val="24"/>
        </w:rPr>
        <w:t>o, o estudo de Ribeiro (2012) revela que a</w:t>
      </w:r>
      <w:r w:rsidR="00AE37E4" w:rsidRPr="00704821">
        <w:rPr>
          <w:rFonts w:ascii="Times New Roman" w:hAnsi="Times New Roman" w:cs="Times New Roman"/>
          <w:sz w:val="24"/>
          <w:szCs w:val="24"/>
        </w:rPr>
        <w:t>lgumas empresas afirmavam que a responsabilidade socioambiental era exclusivamente do governo e</w:t>
      </w:r>
      <w:r w:rsidR="002C539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nota-se </w:t>
      </w:r>
      <w:r w:rsidR="002C539A" w:rsidRPr="00704821">
        <w:rPr>
          <w:rFonts w:ascii="Times New Roman" w:hAnsi="Times New Roman" w:cs="Times New Roman"/>
          <w:sz w:val="24"/>
          <w:szCs w:val="24"/>
        </w:rPr>
        <w:t xml:space="preserve">a </w:t>
      </w:r>
      <w:r w:rsidR="00AE37E4" w:rsidRPr="00704821">
        <w:rPr>
          <w:rFonts w:ascii="Times New Roman" w:hAnsi="Times New Roman" w:cs="Times New Roman"/>
          <w:sz w:val="24"/>
          <w:szCs w:val="24"/>
        </w:rPr>
        <w:t>relutância delas assumirem, espontaneamente, suas contingências, incluindo</w:t>
      </w:r>
      <w:r w:rsidRPr="00704821">
        <w:rPr>
          <w:rFonts w:ascii="Times New Roman" w:hAnsi="Times New Roman" w:cs="Times New Roman"/>
          <w:sz w:val="24"/>
          <w:szCs w:val="24"/>
        </w:rPr>
        <w:t>-se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 os passivos ambientais gerados no processo produtivo</w:t>
      </w:r>
      <w:r w:rsidRPr="00704821">
        <w:rPr>
          <w:rFonts w:ascii="Times New Roman" w:hAnsi="Times New Roman" w:cs="Times New Roman"/>
          <w:sz w:val="24"/>
          <w:szCs w:val="24"/>
        </w:rPr>
        <w:t xml:space="preserve"> (</w:t>
      </w:r>
      <w:r w:rsidR="00610154" w:rsidRPr="00704821">
        <w:rPr>
          <w:rFonts w:ascii="Times New Roman" w:hAnsi="Times New Roman" w:cs="Times New Roman"/>
          <w:sz w:val="24"/>
          <w:szCs w:val="24"/>
        </w:rPr>
        <w:t>SLOMSKI</w:t>
      </w:r>
      <w:r w:rsidR="00F768DF">
        <w:rPr>
          <w:rFonts w:ascii="Times New Roman" w:hAnsi="Times New Roman" w:cs="Times New Roman"/>
          <w:sz w:val="24"/>
          <w:szCs w:val="24"/>
        </w:rPr>
        <w:t xml:space="preserve"> et al.</w:t>
      </w:r>
      <w:r w:rsidRPr="00704821">
        <w:rPr>
          <w:rFonts w:ascii="Times New Roman" w:hAnsi="Times New Roman" w:cs="Times New Roman"/>
          <w:sz w:val="24"/>
          <w:szCs w:val="24"/>
        </w:rPr>
        <w:t>, 2012)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Pr="00704821">
        <w:rPr>
          <w:rFonts w:ascii="Times New Roman" w:hAnsi="Times New Roman" w:cs="Times New Roman"/>
          <w:sz w:val="24"/>
          <w:szCs w:val="24"/>
        </w:rPr>
        <w:t>Em outro estudo, verificou-se que a evidenciação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socioambiental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 não possuí </w:t>
      </w:r>
      <w:r w:rsidR="00BD4906">
        <w:rPr>
          <w:rFonts w:ascii="Times New Roman" w:hAnsi="Times New Roman" w:cs="Times New Roman"/>
          <w:sz w:val="24"/>
          <w:szCs w:val="24"/>
        </w:rPr>
        <w:t>acurácia e é incipiente (GARCIA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BD4906">
        <w:rPr>
          <w:rFonts w:ascii="Times New Roman" w:hAnsi="Times New Roman" w:cs="Times New Roman"/>
          <w:sz w:val="24"/>
          <w:szCs w:val="24"/>
        </w:rPr>
        <w:t>et al.</w:t>
      </w:r>
      <w:r w:rsidR="00AE37E4" w:rsidRPr="00704821">
        <w:rPr>
          <w:rFonts w:ascii="Times New Roman" w:hAnsi="Times New Roman" w:cs="Times New Roman"/>
          <w:sz w:val="24"/>
          <w:szCs w:val="24"/>
        </w:rPr>
        <w:t>, 2015).</w:t>
      </w:r>
    </w:p>
    <w:p w14:paraId="566ECCA8" w14:textId="48063488" w:rsidR="004E773B" w:rsidRPr="00704821" w:rsidRDefault="002C539A" w:rsidP="00AE37E4">
      <w:pPr>
        <w:pStyle w:val="Pr-formatao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ab/>
      </w:r>
      <w:r w:rsidR="004A1A0E">
        <w:rPr>
          <w:rFonts w:ascii="Times New Roman" w:hAnsi="Times New Roman" w:cs="Times New Roman"/>
          <w:sz w:val="24"/>
          <w:szCs w:val="24"/>
        </w:rPr>
        <w:t>Voss et al.</w:t>
      </w:r>
      <w:r w:rsidR="004A1A0E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AE37E4" w:rsidRPr="00704821">
        <w:rPr>
          <w:rFonts w:ascii="Times New Roman" w:hAnsi="Times New Roman" w:cs="Times New Roman"/>
          <w:sz w:val="24"/>
          <w:szCs w:val="24"/>
        </w:rPr>
        <w:t>(2013)</w:t>
      </w:r>
      <w:r w:rsidRPr="00704821">
        <w:rPr>
          <w:rFonts w:ascii="Times New Roman" w:hAnsi="Times New Roman" w:cs="Times New Roman"/>
          <w:sz w:val="24"/>
          <w:szCs w:val="24"/>
        </w:rPr>
        <w:t xml:space="preserve">, motivados </w:t>
      </w:r>
      <w:r w:rsidR="00AE37E4" w:rsidRPr="00704821">
        <w:rPr>
          <w:rFonts w:ascii="Times New Roman" w:hAnsi="Times New Roman" w:cs="Times New Roman"/>
          <w:sz w:val="24"/>
          <w:szCs w:val="24"/>
        </w:rPr>
        <w:t>pela publicação da Lei</w:t>
      </w:r>
      <w:r w:rsidRPr="00704821">
        <w:rPr>
          <w:rFonts w:ascii="Times New Roman" w:hAnsi="Times New Roman" w:cs="Times New Roman"/>
          <w:sz w:val="24"/>
          <w:szCs w:val="24"/>
        </w:rPr>
        <w:t xml:space="preserve"> nº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 12</w:t>
      </w:r>
      <w:r w:rsidRPr="00704821">
        <w:rPr>
          <w:rFonts w:ascii="Times New Roman" w:hAnsi="Times New Roman" w:cs="Times New Roman"/>
          <w:sz w:val="24"/>
          <w:szCs w:val="24"/>
        </w:rPr>
        <w:t>.</w:t>
      </w:r>
      <w:r w:rsidR="00AE37E4" w:rsidRPr="00704821">
        <w:rPr>
          <w:rFonts w:ascii="Times New Roman" w:hAnsi="Times New Roman" w:cs="Times New Roman"/>
          <w:sz w:val="24"/>
          <w:szCs w:val="24"/>
        </w:rPr>
        <w:t>305/2010 (PNRS), aplicaram o modelo Waste-Ede (</w:t>
      </w:r>
      <w:r w:rsidR="00AE37E4" w:rsidRPr="00704821">
        <w:rPr>
          <w:rFonts w:ascii="Times New Roman" w:hAnsi="Times New Roman" w:cs="Times New Roman"/>
          <w:i/>
          <w:sz w:val="24"/>
          <w:szCs w:val="24"/>
        </w:rPr>
        <w:t>Environmental Disclosure Evaluation</w:t>
      </w:r>
      <w:r w:rsidR="00AE37E4" w:rsidRPr="00704821">
        <w:rPr>
          <w:rFonts w:ascii="Times New Roman" w:hAnsi="Times New Roman" w:cs="Times New Roman"/>
          <w:sz w:val="24"/>
          <w:szCs w:val="24"/>
        </w:rPr>
        <w:t>) e os resultados foram</w:t>
      </w:r>
      <w:r w:rsidR="005D4EF8">
        <w:rPr>
          <w:rFonts w:ascii="Times New Roman" w:hAnsi="Times New Roman" w:cs="Times New Roman"/>
          <w:sz w:val="24"/>
          <w:szCs w:val="24"/>
        </w:rPr>
        <w:t xml:space="preserve"> analisados sob pressupostos da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T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eorias da </w:t>
      </w:r>
      <w:r w:rsidRPr="00704821">
        <w:rPr>
          <w:rFonts w:ascii="Times New Roman" w:hAnsi="Times New Roman" w:cs="Times New Roman"/>
          <w:sz w:val="24"/>
          <w:szCs w:val="24"/>
        </w:rPr>
        <w:t>L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egitimidade e </w:t>
      </w:r>
      <w:r w:rsidR="005D4EF8">
        <w:rPr>
          <w:rFonts w:ascii="Times New Roman" w:hAnsi="Times New Roman" w:cs="Times New Roman"/>
          <w:sz w:val="24"/>
          <w:szCs w:val="24"/>
        </w:rPr>
        <w:t xml:space="preserve">Teoria 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dos </w:t>
      </w:r>
      <w:r w:rsidRPr="00704821">
        <w:rPr>
          <w:rFonts w:ascii="Times New Roman" w:hAnsi="Times New Roman" w:cs="Times New Roman"/>
          <w:i/>
          <w:sz w:val="24"/>
          <w:szCs w:val="24"/>
        </w:rPr>
        <w:t>S</w:t>
      </w:r>
      <w:r w:rsidR="00AE37E4" w:rsidRPr="00704821">
        <w:rPr>
          <w:rFonts w:ascii="Times New Roman" w:hAnsi="Times New Roman" w:cs="Times New Roman"/>
          <w:i/>
          <w:sz w:val="24"/>
          <w:szCs w:val="24"/>
        </w:rPr>
        <w:t>takeholders</w:t>
      </w:r>
      <w:r w:rsidRPr="0070482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E3590" w:rsidRPr="00704821">
        <w:rPr>
          <w:rFonts w:ascii="Times New Roman" w:hAnsi="Times New Roman" w:cs="Times New Roman"/>
          <w:sz w:val="24"/>
          <w:szCs w:val="24"/>
        </w:rPr>
        <w:t xml:space="preserve">Concluíram </w:t>
      </w:r>
      <w:r w:rsidR="00AE37E4" w:rsidRPr="00704821">
        <w:rPr>
          <w:rFonts w:ascii="Times New Roman" w:hAnsi="Times New Roman" w:cs="Times New Roman"/>
          <w:sz w:val="24"/>
          <w:szCs w:val="24"/>
        </w:rPr>
        <w:t>que as empresas</w:t>
      </w:r>
      <w:r w:rsidRPr="00704821">
        <w:rPr>
          <w:rFonts w:ascii="Times New Roman" w:hAnsi="Times New Roman" w:cs="Times New Roman"/>
          <w:sz w:val="24"/>
          <w:szCs w:val="24"/>
        </w:rPr>
        <w:t>,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 em geral, não estavam preparadas para adesão da norma. </w:t>
      </w:r>
      <w:r w:rsidR="00863DAD" w:rsidRPr="00704821">
        <w:rPr>
          <w:rFonts w:ascii="Times New Roman" w:hAnsi="Times New Roman" w:cs="Times New Roman"/>
          <w:sz w:val="24"/>
          <w:szCs w:val="24"/>
        </w:rPr>
        <w:t xml:space="preserve">Já </w:t>
      </w:r>
      <w:r w:rsidR="005C4A4F" w:rsidRPr="00704821">
        <w:rPr>
          <w:rFonts w:ascii="Times New Roman" w:hAnsi="Times New Roman" w:cs="Times New Roman"/>
          <w:sz w:val="24"/>
          <w:szCs w:val="24"/>
        </w:rPr>
        <w:t xml:space="preserve">no 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estudo </w:t>
      </w:r>
      <w:r w:rsidR="005C4A4F" w:rsidRPr="00704821">
        <w:rPr>
          <w:rFonts w:ascii="Times New Roman" w:hAnsi="Times New Roman" w:cs="Times New Roman"/>
          <w:sz w:val="24"/>
          <w:szCs w:val="24"/>
        </w:rPr>
        <w:t>empírico de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 Ribeiro, Bellen &amp; Carvalho (2013), concluiu</w:t>
      </w:r>
      <w:r w:rsidR="00EB7F7A" w:rsidRPr="00704821">
        <w:rPr>
          <w:rFonts w:ascii="Times New Roman" w:hAnsi="Times New Roman" w:cs="Times New Roman"/>
          <w:sz w:val="24"/>
          <w:szCs w:val="24"/>
        </w:rPr>
        <w:t>-se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 que a publicação de leis</w:t>
      </w:r>
      <w:r w:rsidR="00C55EA8" w:rsidRPr="00704821">
        <w:rPr>
          <w:rFonts w:ascii="Times New Roman" w:hAnsi="Times New Roman" w:cs="Times New Roman"/>
          <w:sz w:val="24"/>
          <w:szCs w:val="24"/>
        </w:rPr>
        <w:t xml:space="preserve"> e </w:t>
      </w:r>
      <w:r w:rsidR="00AE37E4" w:rsidRPr="00704821">
        <w:rPr>
          <w:rFonts w:ascii="Times New Roman" w:hAnsi="Times New Roman" w:cs="Times New Roman"/>
          <w:sz w:val="24"/>
          <w:szCs w:val="24"/>
        </w:rPr>
        <w:t>regulaç</w:t>
      </w:r>
      <w:r w:rsidR="00C55EA8" w:rsidRPr="00704821">
        <w:rPr>
          <w:rFonts w:ascii="Times New Roman" w:hAnsi="Times New Roman" w:cs="Times New Roman"/>
          <w:sz w:val="24"/>
          <w:szCs w:val="24"/>
        </w:rPr>
        <w:t>ões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 aumenta a evidenciação </w:t>
      </w:r>
      <w:r w:rsidR="00264060" w:rsidRPr="00704821">
        <w:rPr>
          <w:rFonts w:ascii="Times New Roman" w:hAnsi="Times New Roman" w:cs="Times New Roman"/>
          <w:sz w:val="24"/>
          <w:szCs w:val="24"/>
        </w:rPr>
        <w:t>socio</w:t>
      </w:r>
      <w:r w:rsidR="00AE37E4" w:rsidRPr="00704821">
        <w:rPr>
          <w:rFonts w:ascii="Times New Roman" w:hAnsi="Times New Roman" w:cs="Times New Roman"/>
          <w:sz w:val="24"/>
          <w:szCs w:val="24"/>
        </w:rPr>
        <w:t xml:space="preserve">ambiental. Portanto, demonstra-se um interesse da academia pelo tema PNRS e também sobre a evidenciação socioambiental. </w:t>
      </w:r>
    </w:p>
    <w:p w14:paraId="3EAFE301" w14:textId="720E1758" w:rsidR="001503A8" w:rsidRPr="00704821" w:rsidRDefault="00134084" w:rsidP="0038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Contudo, para a sobrevivência de uma organização, é necessário identificar quem são os seus </w:t>
      </w:r>
      <w:r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704821">
        <w:rPr>
          <w:rFonts w:ascii="Times New Roman" w:hAnsi="Times New Roman" w:cs="Times New Roman"/>
          <w:sz w:val="24"/>
          <w:szCs w:val="24"/>
        </w:rPr>
        <w:t xml:space="preserve">, buscar a sua aprovação e perceber </w:t>
      </w:r>
      <w:r w:rsidR="00DA4A37" w:rsidRPr="00704821">
        <w:rPr>
          <w:rFonts w:ascii="Times New Roman" w:hAnsi="Times New Roman" w:cs="Times New Roman"/>
          <w:sz w:val="24"/>
          <w:szCs w:val="24"/>
        </w:rPr>
        <w:t>como eles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DA4A37" w:rsidRPr="00704821">
        <w:rPr>
          <w:rFonts w:ascii="Times New Roman" w:hAnsi="Times New Roman" w:cs="Times New Roman"/>
          <w:sz w:val="24"/>
          <w:szCs w:val="24"/>
        </w:rPr>
        <w:t>influenciam</w:t>
      </w:r>
      <w:r w:rsidRPr="00704821">
        <w:rPr>
          <w:rFonts w:ascii="Times New Roman" w:hAnsi="Times New Roman" w:cs="Times New Roman"/>
          <w:sz w:val="24"/>
          <w:szCs w:val="24"/>
        </w:rPr>
        <w:t xml:space="preserve"> ou são afetados</w:t>
      </w:r>
      <w:r w:rsidR="005C4A4F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264060" w:rsidRPr="00704821">
        <w:rPr>
          <w:rFonts w:ascii="Times New Roman" w:hAnsi="Times New Roman" w:cs="Times New Roman"/>
          <w:sz w:val="24"/>
          <w:szCs w:val="24"/>
        </w:rPr>
        <w:t>Nesse âmbito, a</w:t>
      </w:r>
      <w:r w:rsidR="00152E9E" w:rsidRPr="00704821">
        <w:rPr>
          <w:rFonts w:ascii="Times New Roman" w:hAnsi="Times New Roman" w:cs="Times New Roman"/>
          <w:sz w:val="24"/>
          <w:szCs w:val="24"/>
        </w:rPr>
        <w:t xml:space="preserve"> Contabilidade, por meio da evidenciação de informações socioambientais </w:t>
      </w:r>
      <w:r w:rsidR="00AB7430" w:rsidRPr="00704821">
        <w:rPr>
          <w:rFonts w:ascii="Times New Roman" w:hAnsi="Times New Roman" w:cs="Times New Roman"/>
          <w:sz w:val="24"/>
          <w:szCs w:val="24"/>
        </w:rPr>
        <w:t>e da RSC</w:t>
      </w:r>
      <w:r w:rsidR="00264060" w:rsidRPr="00704821">
        <w:rPr>
          <w:rFonts w:ascii="Times New Roman" w:hAnsi="Times New Roman" w:cs="Times New Roman"/>
          <w:sz w:val="24"/>
          <w:szCs w:val="24"/>
        </w:rPr>
        <w:t>,</w:t>
      </w:r>
      <w:r w:rsidR="00AB7430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152E9E" w:rsidRPr="00704821">
        <w:rPr>
          <w:rFonts w:ascii="Times New Roman" w:hAnsi="Times New Roman" w:cs="Times New Roman"/>
          <w:sz w:val="24"/>
          <w:szCs w:val="24"/>
        </w:rPr>
        <w:t xml:space="preserve">tem sido um canal de diálogo entre a empresa e os </w:t>
      </w:r>
      <w:r w:rsidR="00152E9E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152E9E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5C4A4F" w:rsidRPr="00704821">
        <w:rPr>
          <w:rFonts w:ascii="Times New Roman" w:hAnsi="Times New Roman" w:cs="Times New Roman"/>
          <w:sz w:val="24"/>
          <w:szCs w:val="24"/>
        </w:rPr>
        <w:t xml:space="preserve">e está auxiliando as </w:t>
      </w:r>
      <w:r w:rsidR="00151D9E" w:rsidRPr="00704821">
        <w:rPr>
          <w:rFonts w:ascii="Times New Roman" w:hAnsi="Times New Roman" w:cs="Times New Roman"/>
          <w:sz w:val="24"/>
          <w:szCs w:val="24"/>
        </w:rPr>
        <w:t>empresas</w:t>
      </w:r>
      <w:r w:rsidR="005C4A4F" w:rsidRPr="00704821">
        <w:rPr>
          <w:rFonts w:ascii="Times New Roman" w:hAnsi="Times New Roman" w:cs="Times New Roman"/>
          <w:sz w:val="24"/>
          <w:szCs w:val="24"/>
        </w:rPr>
        <w:t xml:space="preserve"> a aprimorarem a gestão </w:t>
      </w:r>
      <w:r w:rsidR="00151D9E" w:rsidRPr="00704821">
        <w:rPr>
          <w:rFonts w:ascii="Times New Roman" w:hAnsi="Times New Roman" w:cs="Times New Roman"/>
          <w:sz w:val="24"/>
          <w:szCs w:val="24"/>
        </w:rPr>
        <w:t>e o relacionamento com os mesmos</w:t>
      </w:r>
      <w:r w:rsidR="005C4A4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4A1A0E">
        <w:rPr>
          <w:rFonts w:ascii="Times New Roman" w:hAnsi="Times New Roman" w:cs="Times New Roman"/>
          <w:sz w:val="24"/>
          <w:szCs w:val="24"/>
        </w:rPr>
        <w:t>(FREEMAN</w:t>
      </w:r>
      <w:r w:rsidR="00DA4A37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4A1A0E">
        <w:rPr>
          <w:rFonts w:ascii="Times New Roman" w:hAnsi="Times New Roman" w:cs="Times New Roman"/>
          <w:sz w:val="24"/>
          <w:szCs w:val="24"/>
        </w:rPr>
        <w:t>et al.</w:t>
      </w:r>
      <w:r w:rsidR="00DA4A37" w:rsidRPr="00704821">
        <w:rPr>
          <w:rFonts w:ascii="Times New Roman" w:hAnsi="Times New Roman" w:cs="Times New Roman"/>
          <w:sz w:val="24"/>
          <w:szCs w:val="24"/>
        </w:rPr>
        <w:t xml:space="preserve"> 2010; </w:t>
      </w:r>
      <w:r w:rsidR="004A1A0E">
        <w:rPr>
          <w:rFonts w:ascii="Times New Roman" w:hAnsi="Times New Roman" w:cs="Times New Roman"/>
          <w:sz w:val="24"/>
          <w:szCs w:val="24"/>
        </w:rPr>
        <w:t>GRAY, KOUHY e</w:t>
      </w:r>
      <w:r w:rsidR="004A1A0E" w:rsidRPr="00704821">
        <w:rPr>
          <w:rFonts w:ascii="Times New Roman" w:hAnsi="Times New Roman" w:cs="Times New Roman"/>
          <w:sz w:val="24"/>
          <w:szCs w:val="24"/>
        </w:rPr>
        <w:t xml:space="preserve"> LAVERS</w:t>
      </w:r>
      <w:r w:rsidR="00F813A6" w:rsidRPr="00704821">
        <w:rPr>
          <w:rFonts w:ascii="Times New Roman" w:hAnsi="Times New Roman" w:cs="Times New Roman"/>
          <w:sz w:val="24"/>
          <w:szCs w:val="24"/>
        </w:rPr>
        <w:t>, 1995</w:t>
      </w:r>
      <w:r w:rsidR="00DA4A37" w:rsidRPr="00704821">
        <w:rPr>
          <w:rFonts w:ascii="Times New Roman" w:hAnsi="Times New Roman" w:cs="Times New Roman"/>
          <w:sz w:val="24"/>
          <w:szCs w:val="24"/>
        </w:rPr>
        <w:t>).</w:t>
      </w:r>
      <w:r w:rsidR="00152E9E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1B5E0B" w:rsidRPr="00704821">
        <w:rPr>
          <w:rFonts w:ascii="Times New Roman" w:hAnsi="Times New Roman" w:cs="Times New Roman"/>
          <w:sz w:val="24"/>
          <w:szCs w:val="24"/>
        </w:rPr>
        <w:t>Ainda</w:t>
      </w:r>
      <w:r w:rsidR="006D2D3B" w:rsidRPr="00704821">
        <w:rPr>
          <w:rFonts w:ascii="Times New Roman" w:hAnsi="Times New Roman" w:cs="Times New Roman"/>
          <w:sz w:val="24"/>
          <w:szCs w:val="24"/>
        </w:rPr>
        <w:t>, n</w:t>
      </w:r>
      <w:r w:rsidR="00EB7F7A" w:rsidRPr="00704821">
        <w:rPr>
          <w:rFonts w:ascii="Times New Roman" w:hAnsi="Times New Roman" w:cs="Times New Roman"/>
          <w:sz w:val="24"/>
          <w:szCs w:val="24"/>
        </w:rPr>
        <w:t>a</w:t>
      </w:r>
      <w:r w:rsidR="00AF011A" w:rsidRPr="00704821">
        <w:rPr>
          <w:rFonts w:ascii="Times New Roman" w:hAnsi="Times New Roman" w:cs="Times New Roman"/>
          <w:sz w:val="24"/>
          <w:szCs w:val="24"/>
        </w:rPr>
        <w:t xml:space="preserve"> Conferência da ONU RIO+20, realizada em 2012, r</w:t>
      </w:r>
      <w:r w:rsidR="003A66AF" w:rsidRPr="00704821">
        <w:rPr>
          <w:rFonts w:ascii="Times New Roman" w:hAnsi="Times New Roman" w:cs="Times New Roman"/>
          <w:sz w:val="24"/>
          <w:szCs w:val="24"/>
        </w:rPr>
        <w:t>ecomend</w:t>
      </w:r>
      <w:r w:rsidR="00EB7F7A" w:rsidRPr="00704821">
        <w:rPr>
          <w:rFonts w:ascii="Times New Roman" w:hAnsi="Times New Roman" w:cs="Times New Roman"/>
          <w:sz w:val="24"/>
          <w:szCs w:val="24"/>
        </w:rPr>
        <w:t xml:space="preserve">ou-se </w:t>
      </w:r>
      <w:r w:rsidR="00152E9E" w:rsidRPr="00704821">
        <w:rPr>
          <w:rFonts w:ascii="Times New Roman" w:hAnsi="Times New Roman" w:cs="Times New Roman"/>
          <w:sz w:val="24"/>
          <w:szCs w:val="24"/>
        </w:rPr>
        <w:t xml:space="preserve">(no item 47 </w:t>
      </w:r>
      <w:r w:rsidR="00264060" w:rsidRPr="00704821">
        <w:rPr>
          <w:rFonts w:ascii="Times New Roman" w:hAnsi="Times New Roman" w:cs="Times New Roman"/>
          <w:sz w:val="24"/>
          <w:szCs w:val="24"/>
        </w:rPr>
        <w:t xml:space="preserve">do relatório </w:t>
      </w:r>
      <w:r w:rsidR="00152E9E" w:rsidRPr="00704821">
        <w:rPr>
          <w:rFonts w:ascii="Times New Roman" w:hAnsi="Times New Roman" w:cs="Times New Roman"/>
          <w:i/>
          <w:sz w:val="24"/>
          <w:szCs w:val="24"/>
        </w:rPr>
        <w:t>The Future We Want</w:t>
      </w:r>
      <w:r w:rsidR="00152E9E" w:rsidRPr="00704821">
        <w:rPr>
          <w:rFonts w:ascii="Times New Roman" w:hAnsi="Times New Roman" w:cs="Times New Roman"/>
          <w:sz w:val="24"/>
          <w:szCs w:val="24"/>
        </w:rPr>
        <w:t xml:space="preserve">) </w:t>
      </w:r>
      <w:r w:rsidR="00EB7F7A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="003A66AF" w:rsidRPr="00704821">
        <w:rPr>
          <w:rFonts w:ascii="Times New Roman" w:hAnsi="Times New Roman" w:cs="Times New Roman"/>
          <w:sz w:val="24"/>
          <w:szCs w:val="24"/>
        </w:rPr>
        <w:t xml:space="preserve">as empresas </w:t>
      </w:r>
      <w:r w:rsidR="00900E30" w:rsidRPr="00704821">
        <w:rPr>
          <w:rFonts w:ascii="Times New Roman" w:hAnsi="Times New Roman" w:cs="Times New Roman"/>
          <w:sz w:val="24"/>
          <w:szCs w:val="24"/>
        </w:rPr>
        <w:t xml:space="preserve">evidenciem </w:t>
      </w:r>
      <w:r w:rsidR="003A66AF" w:rsidRPr="00704821">
        <w:rPr>
          <w:rFonts w:ascii="Times New Roman" w:hAnsi="Times New Roman" w:cs="Times New Roman"/>
          <w:sz w:val="24"/>
          <w:szCs w:val="24"/>
        </w:rPr>
        <w:t xml:space="preserve">o impacto ambiental de suas atividades e integrem as informações sobre a sustentabilidade em seus relatórios </w:t>
      </w:r>
      <w:r w:rsidR="00FE1D07" w:rsidRPr="00704821">
        <w:rPr>
          <w:rFonts w:ascii="Times New Roman" w:hAnsi="Times New Roman" w:cs="Times New Roman"/>
          <w:sz w:val="24"/>
          <w:szCs w:val="24"/>
        </w:rPr>
        <w:t>(ONU, 2012)</w:t>
      </w:r>
      <w:r w:rsidR="003A66AF" w:rsidRPr="00704821">
        <w:rPr>
          <w:rFonts w:ascii="Times New Roman" w:hAnsi="Times New Roman" w:cs="Times New Roman"/>
          <w:sz w:val="24"/>
          <w:szCs w:val="24"/>
        </w:rPr>
        <w:t>.</w:t>
      </w:r>
      <w:r w:rsidR="00EB7F7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726B99">
        <w:rPr>
          <w:rFonts w:ascii="Times New Roman" w:hAnsi="Times New Roman" w:cs="Times New Roman"/>
          <w:sz w:val="24"/>
          <w:szCs w:val="24"/>
        </w:rPr>
        <w:t>Ressalta-se que a</w:t>
      </w:r>
      <w:r w:rsidR="00612098" w:rsidRPr="00704821">
        <w:rPr>
          <w:rFonts w:ascii="Times New Roman" w:hAnsi="Times New Roman" w:cs="Times New Roman"/>
          <w:sz w:val="24"/>
          <w:szCs w:val="24"/>
        </w:rPr>
        <w:t xml:space="preserve">s informações socioambientais e as ações de RSC podem ser </w:t>
      </w:r>
      <w:r w:rsidR="00B53A80" w:rsidRPr="00704821">
        <w:rPr>
          <w:rFonts w:ascii="Times New Roman" w:hAnsi="Times New Roman" w:cs="Times New Roman"/>
          <w:sz w:val="24"/>
          <w:szCs w:val="24"/>
        </w:rPr>
        <w:t>evidenciadas</w:t>
      </w:r>
      <w:r w:rsidR="00612098" w:rsidRPr="00704821">
        <w:rPr>
          <w:rFonts w:ascii="Times New Roman" w:hAnsi="Times New Roman" w:cs="Times New Roman"/>
          <w:sz w:val="24"/>
          <w:szCs w:val="24"/>
        </w:rPr>
        <w:t xml:space="preserve"> de maneira compulsória (exigência de reguladores) ou volunt</w:t>
      </w:r>
      <w:r w:rsidR="00240DE0" w:rsidRPr="00704821">
        <w:rPr>
          <w:rFonts w:ascii="Times New Roman" w:hAnsi="Times New Roman" w:cs="Times New Roman"/>
          <w:sz w:val="24"/>
          <w:szCs w:val="24"/>
        </w:rPr>
        <w:t xml:space="preserve">ária </w:t>
      </w:r>
      <w:r w:rsidR="00612098" w:rsidRPr="00704821">
        <w:rPr>
          <w:rFonts w:ascii="Times New Roman" w:hAnsi="Times New Roman" w:cs="Times New Roman"/>
          <w:sz w:val="24"/>
          <w:szCs w:val="24"/>
        </w:rPr>
        <w:t>(</w:t>
      </w:r>
      <w:r w:rsidR="004A1A0E" w:rsidRPr="00704821">
        <w:rPr>
          <w:rFonts w:ascii="Times New Roman" w:hAnsi="Times New Roman" w:cs="Times New Roman"/>
          <w:sz w:val="24"/>
          <w:szCs w:val="24"/>
        </w:rPr>
        <w:t>ELKINGTON</w:t>
      </w:r>
      <w:r w:rsidR="00612098" w:rsidRPr="00704821">
        <w:rPr>
          <w:rFonts w:ascii="Times New Roman" w:hAnsi="Times New Roman" w:cs="Times New Roman"/>
          <w:sz w:val="24"/>
          <w:szCs w:val="24"/>
        </w:rPr>
        <w:t xml:space="preserve">, 2012). Nesse estudo, serão analisados tanto </w:t>
      </w:r>
      <w:r w:rsidR="005A125A" w:rsidRPr="00704821">
        <w:rPr>
          <w:rFonts w:ascii="Times New Roman" w:hAnsi="Times New Roman" w:cs="Times New Roman"/>
          <w:sz w:val="24"/>
          <w:szCs w:val="24"/>
        </w:rPr>
        <w:t xml:space="preserve">os </w:t>
      </w:r>
      <w:r w:rsidR="00612098" w:rsidRPr="00704821">
        <w:rPr>
          <w:rFonts w:ascii="Times New Roman" w:hAnsi="Times New Roman" w:cs="Times New Roman"/>
          <w:sz w:val="24"/>
          <w:szCs w:val="24"/>
        </w:rPr>
        <w:t xml:space="preserve">relatórios compulsórios (Formulário de Referência) quanto </w:t>
      </w:r>
      <w:r w:rsidR="005A125A" w:rsidRPr="00704821">
        <w:rPr>
          <w:rFonts w:ascii="Times New Roman" w:hAnsi="Times New Roman" w:cs="Times New Roman"/>
          <w:sz w:val="24"/>
          <w:szCs w:val="24"/>
        </w:rPr>
        <w:t xml:space="preserve">os </w:t>
      </w:r>
      <w:r w:rsidR="00612098" w:rsidRPr="00704821">
        <w:rPr>
          <w:rFonts w:ascii="Times New Roman" w:hAnsi="Times New Roman" w:cs="Times New Roman"/>
          <w:sz w:val="24"/>
          <w:szCs w:val="24"/>
        </w:rPr>
        <w:t>relatórios voluntários (Relato Integrado)</w:t>
      </w:r>
      <w:r w:rsidR="00B53A80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7CA46C69" w14:textId="12E4E880" w:rsidR="002C539A" w:rsidRPr="00704821" w:rsidRDefault="003E3B9C" w:rsidP="0038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Portanto, </w:t>
      </w:r>
      <w:r w:rsidR="00612098" w:rsidRPr="00704821">
        <w:rPr>
          <w:rFonts w:ascii="Times New Roman" w:hAnsi="Times New Roman" w:cs="Times New Roman"/>
          <w:sz w:val="24"/>
          <w:szCs w:val="24"/>
        </w:rPr>
        <w:t>a PNRS reforçou a RSC em relação à gestão de resíduos sólidos</w:t>
      </w:r>
      <w:r w:rsidRPr="00704821">
        <w:rPr>
          <w:rFonts w:ascii="Times New Roman" w:hAnsi="Times New Roman" w:cs="Times New Roman"/>
          <w:sz w:val="24"/>
          <w:szCs w:val="24"/>
        </w:rPr>
        <w:t xml:space="preserve"> e </w:t>
      </w:r>
      <w:r w:rsidR="00612098" w:rsidRPr="00704821">
        <w:rPr>
          <w:rFonts w:ascii="Times New Roman" w:hAnsi="Times New Roman" w:cs="Times New Roman"/>
          <w:sz w:val="24"/>
          <w:szCs w:val="24"/>
        </w:rPr>
        <w:t xml:space="preserve">exige evidenciação socioambiental das </w:t>
      </w:r>
      <w:r w:rsidR="00B53A80" w:rsidRPr="00704821">
        <w:rPr>
          <w:rFonts w:ascii="Times New Roman" w:hAnsi="Times New Roman" w:cs="Times New Roman"/>
          <w:sz w:val="24"/>
          <w:szCs w:val="24"/>
        </w:rPr>
        <w:t>práticas empresariais</w:t>
      </w:r>
      <w:r w:rsidR="00612098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38087D" w:rsidRPr="00704821">
        <w:rPr>
          <w:rFonts w:ascii="Times New Roman" w:hAnsi="Times New Roman" w:cs="Times New Roman"/>
          <w:sz w:val="24"/>
          <w:szCs w:val="24"/>
        </w:rPr>
        <w:t>Logo, a</w:t>
      </w:r>
      <w:r w:rsidR="002C539A" w:rsidRPr="00704821">
        <w:rPr>
          <w:rFonts w:ascii="Times New Roman" w:hAnsi="Times New Roman" w:cs="Times New Roman"/>
          <w:sz w:val="24"/>
          <w:szCs w:val="24"/>
        </w:rPr>
        <w:t xml:space="preserve"> questão de pesquisa </w:t>
      </w:r>
      <w:r w:rsidR="00FD3F5E" w:rsidRPr="00704821">
        <w:rPr>
          <w:rFonts w:ascii="Times New Roman" w:hAnsi="Times New Roman" w:cs="Times New Roman"/>
          <w:sz w:val="24"/>
          <w:szCs w:val="24"/>
        </w:rPr>
        <w:t>desse artigo</w:t>
      </w:r>
      <w:r w:rsidR="002C539A" w:rsidRPr="00704821">
        <w:rPr>
          <w:rFonts w:ascii="Times New Roman" w:hAnsi="Times New Roman" w:cs="Times New Roman"/>
          <w:sz w:val="24"/>
          <w:szCs w:val="24"/>
        </w:rPr>
        <w:t xml:space="preserve"> é: </w:t>
      </w:r>
      <w:r w:rsidR="00264060" w:rsidRPr="00F231FC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703D2" w:rsidRPr="00F231FC">
        <w:rPr>
          <w:rFonts w:ascii="Times New Roman" w:hAnsi="Times New Roman" w:cs="Times New Roman"/>
          <w:b/>
          <w:sz w:val="24"/>
          <w:szCs w:val="24"/>
        </w:rPr>
        <w:t xml:space="preserve">que </w:t>
      </w:r>
      <w:r w:rsidR="00B53A80" w:rsidRPr="00F231FC">
        <w:rPr>
          <w:rFonts w:ascii="Times New Roman" w:hAnsi="Times New Roman" w:cs="Times New Roman"/>
          <w:b/>
          <w:sz w:val="24"/>
          <w:szCs w:val="24"/>
        </w:rPr>
        <w:t>se evidencia</w:t>
      </w:r>
      <w:r w:rsidR="005703D2" w:rsidRPr="00F231FC">
        <w:rPr>
          <w:rFonts w:ascii="Times New Roman" w:hAnsi="Times New Roman" w:cs="Times New Roman"/>
          <w:b/>
          <w:sz w:val="24"/>
          <w:szCs w:val="24"/>
        </w:rPr>
        <w:t xml:space="preserve"> no Brasil sobre a </w:t>
      </w:r>
      <w:r w:rsidR="00FD3F5E" w:rsidRPr="00F231FC">
        <w:rPr>
          <w:rFonts w:ascii="Times New Roman" w:hAnsi="Times New Roman" w:cs="Times New Roman"/>
          <w:b/>
          <w:sz w:val="24"/>
          <w:szCs w:val="24"/>
        </w:rPr>
        <w:t>RSC</w:t>
      </w:r>
      <w:r w:rsidR="005703D2" w:rsidRPr="00F231FC">
        <w:rPr>
          <w:rFonts w:ascii="Times New Roman" w:hAnsi="Times New Roman" w:cs="Times New Roman"/>
          <w:b/>
          <w:sz w:val="24"/>
          <w:szCs w:val="24"/>
        </w:rPr>
        <w:t xml:space="preserve"> advinda da PNRS nos Formulários de Referência (FR) e Relatos Integrados (RI)?</w:t>
      </w:r>
      <w:r w:rsidR="005703D2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B87B0C" w:rsidRPr="00704821">
        <w:rPr>
          <w:rFonts w:ascii="Times New Roman" w:hAnsi="Times New Roman" w:cs="Times New Roman"/>
          <w:sz w:val="24"/>
          <w:szCs w:val="24"/>
        </w:rPr>
        <w:t>Sendo assim</w:t>
      </w:r>
      <w:r w:rsidR="002C539A" w:rsidRPr="00704821">
        <w:rPr>
          <w:rFonts w:ascii="Times New Roman" w:hAnsi="Times New Roman" w:cs="Times New Roman"/>
          <w:sz w:val="24"/>
          <w:szCs w:val="24"/>
        </w:rPr>
        <w:t xml:space="preserve">, o objetivo desse estudo é </w:t>
      </w:r>
      <w:r w:rsidR="00163E5A" w:rsidRPr="00704821">
        <w:rPr>
          <w:rFonts w:ascii="Times New Roman" w:hAnsi="Times New Roman" w:cs="Times New Roman"/>
          <w:sz w:val="24"/>
          <w:szCs w:val="24"/>
        </w:rPr>
        <w:t xml:space="preserve">analisar </w:t>
      </w:r>
      <w:r w:rsidR="002D1EDE" w:rsidRPr="00704821">
        <w:rPr>
          <w:rFonts w:ascii="Times New Roman" w:hAnsi="Times New Roman" w:cs="Times New Roman"/>
          <w:sz w:val="24"/>
          <w:szCs w:val="24"/>
        </w:rPr>
        <w:t>a evidenciação d</w:t>
      </w:r>
      <w:r w:rsidR="00163E5A" w:rsidRPr="00704821">
        <w:rPr>
          <w:rFonts w:ascii="Times New Roman" w:hAnsi="Times New Roman" w:cs="Times New Roman"/>
          <w:sz w:val="24"/>
          <w:szCs w:val="24"/>
        </w:rPr>
        <w:t xml:space="preserve">a </w:t>
      </w:r>
      <w:r w:rsidR="00FD3F5E" w:rsidRPr="00704821">
        <w:rPr>
          <w:rFonts w:ascii="Times New Roman" w:hAnsi="Times New Roman" w:cs="Times New Roman"/>
          <w:sz w:val="24"/>
          <w:szCs w:val="24"/>
        </w:rPr>
        <w:t>RSC</w:t>
      </w:r>
      <w:r w:rsidR="005703D2" w:rsidRPr="00704821">
        <w:rPr>
          <w:rFonts w:ascii="Times New Roman" w:hAnsi="Times New Roman" w:cs="Times New Roman"/>
          <w:sz w:val="24"/>
          <w:szCs w:val="24"/>
        </w:rPr>
        <w:t xml:space="preserve"> advinda da PNRS</w:t>
      </w:r>
      <w:r w:rsidR="005703D2" w:rsidRPr="00704821" w:rsidDel="005703D2">
        <w:rPr>
          <w:rFonts w:ascii="Times New Roman" w:hAnsi="Times New Roman" w:cs="Times New Roman"/>
          <w:sz w:val="24"/>
          <w:szCs w:val="24"/>
        </w:rPr>
        <w:t xml:space="preserve"> </w:t>
      </w:r>
      <w:r w:rsidR="00163E5A" w:rsidRPr="00704821">
        <w:rPr>
          <w:rFonts w:ascii="Times New Roman" w:hAnsi="Times New Roman" w:cs="Times New Roman"/>
          <w:sz w:val="24"/>
          <w:szCs w:val="24"/>
        </w:rPr>
        <w:t xml:space="preserve">no </w:t>
      </w:r>
      <w:r w:rsidR="005703D2" w:rsidRPr="00704821">
        <w:rPr>
          <w:rFonts w:ascii="Times New Roman" w:hAnsi="Times New Roman" w:cs="Times New Roman"/>
          <w:sz w:val="24"/>
          <w:szCs w:val="24"/>
        </w:rPr>
        <w:t>FR e no RI.</w:t>
      </w:r>
      <w:r w:rsidR="002C539A" w:rsidRPr="00704821">
        <w:rPr>
          <w:rFonts w:ascii="Times New Roman" w:hAnsi="Times New Roman" w:cs="Times New Roman"/>
          <w:sz w:val="24"/>
          <w:szCs w:val="24"/>
        </w:rPr>
        <w:t xml:space="preserve"> Esse estudo está delimitado às empresas </w:t>
      </w:r>
      <w:r w:rsidR="005703D2" w:rsidRPr="00704821">
        <w:rPr>
          <w:rFonts w:ascii="Times New Roman" w:hAnsi="Times New Roman" w:cs="Times New Roman"/>
          <w:sz w:val="24"/>
          <w:szCs w:val="24"/>
        </w:rPr>
        <w:t xml:space="preserve">de capital aberto </w:t>
      </w:r>
      <w:r w:rsidR="00B17791" w:rsidRPr="00704821">
        <w:rPr>
          <w:rFonts w:ascii="Times New Roman" w:hAnsi="Times New Roman" w:cs="Times New Roman"/>
          <w:sz w:val="24"/>
          <w:szCs w:val="24"/>
        </w:rPr>
        <w:t xml:space="preserve">que apresentaram em 2015, tanto </w:t>
      </w:r>
      <w:r w:rsidR="005703D2" w:rsidRPr="00704821">
        <w:rPr>
          <w:rFonts w:ascii="Times New Roman" w:hAnsi="Times New Roman" w:cs="Times New Roman"/>
          <w:sz w:val="24"/>
          <w:szCs w:val="24"/>
        </w:rPr>
        <w:t>o FR</w:t>
      </w:r>
      <w:r w:rsidR="00B17791" w:rsidRPr="00704821">
        <w:rPr>
          <w:rFonts w:ascii="Times New Roman" w:hAnsi="Times New Roman" w:cs="Times New Roman"/>
          <w:sz w:val="24"/>
          <w:szCs w:val="24"/>
        </w:rPr>
        <w:t xml:space="preserve"> como </w:t>
      </w:r>
      <w:r w:rsidR="005703D2" w:rsidRPr="00704821">
        <w:rPr>
          <w:rFonts w:ascii="Times New Roman" w:hAnsi="Times New Roman" w:cs="Times New Roman"/>
          <w:sz w:val="24"/>
          <w:szCs w:val="24"/>
        </w:rPr>
        <w:t>o RI</w:t>
      </w:r>
      <w:r w:rsidR="002C539A" w:rsidRPr="00704821">
        <w:rPr>
          <w:rFonts w:ascii="Times New Roman" w:hAnsi="Times New Roman" w:cs="Times New Roman"/>
          <w:sz w:val="24"/>
          <w:szCs w:val="24"/>
        </w:rPr>
        <w:t xml:space="preserve">. Os resultados foram analisados à luz da Teoria dos </w:t>
      </w:r>
      <w:r w:rsidR="002C539A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2C539A" w:rsidRPr="00704821">
        <w:rPr>
          <w:rFonts w:ascii="Times New Roman" w:hAnsi="Times New Roman" w:cs="Times New Roman"/>
          <w:sz w:val="24"/>
          <w:szCs w:val="24"/>
        </w:rPr>
        <w:t xml:space="preserve"> e Teoria da Legitimidade</w:t>
      </w:r>
      <w:r w:rsidR="00B87B0C" w:rsidRPr="00704821">
        <w:rPr>
          <w:rFonts w:ascii="Times New Roman" w:hAnsi="Times New Roman" w:cs="Times New Roman"/>
          <w:sz w:val="24"/>
          <w:szCs w:val="24"/>
        </w:rPr>
        <w:t xml:space="preserve">, pois </w:t>
      </w:r>
      <w:r w:rsidR="004D7463" w:rsidRPr="00704821">
        <w:rPr>
          <w:rFonts w:ascii="Times New Roman" w:hAnsi="Times New Roman" w:cs="Times New Roman"/>
          <w:sz w:val="24"/>
          <w:szCs w:val="24"/>
        </w:rPr>
        <w:t>conforme preconiza a PNRS, a</w:t>
      </w:r>
      <w:r w:rsidR="00E338DE" w:rsidRPr="00704821">
        <w:rPr>
          <w:rFonts w:ascii="Times New Roman" w:hAnsi="Times New Roman" w:cs="Times New Roman"/>
          <w:sz w:val="24"/>
          <w:szCs w:val="24"/>
        </w:rPr>
        <w:t>s</w:t>
      </w:r>
      <w:r w:rsidR="004D7463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338DE" w:rsidRPr="00704821">
        <w:rPr>
          <w:rFonts w:ascii="Times New Roman" w:hAnsi="Times New Roman" w:cs="Times New Roman"/>
          <w:sz w:val="24"/>
          <w:szCs w:val="24"/>
        </w:rPr>
        <w:t>empresas</w:t>
      </w:r>
      <w:r w:rsidR="004D7463" w:rsidRPr="00704821">
        <w:rPr>
          <w:rFonts w:ascii="Times New Roman" w:hAnsi="Times New Roman" w:cs="Times New Roman"/>
          <w:sz w:val="24"/>
          <w:szCs w:val="24"/>
        </w:rPr>
        <w:t xml:space="preserve"> deve</w:t>
      </w:r>
      <w:r w:rsidR="00E338DE" w:rsidRPr="00704821">
        <w:rPr>
          <w:rFonts w:ascii="Times New Roman" w:hAnsi="Times New Roman" w:cs="Times New Roman"/>
          <w:sz w:val="24"/>
          <w:szCs w:val="24"/>
        </w:rPr>
        <w:t>m</w:t>
      </w:r>
      <w:r w:rsidR="004D7463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D47B93" w:rsidRPr="00704821">
        <w:rPr>
          <w:rFonts w:ascii="Times New Roman" w:hAnsi="Times New Roman" w:cs="Times New Roman"/>
          <w:sz w:val="24"/>
          <w:szCs w:val="24"/>
        </w:rPr>
        <w:t xml:space="preserve">evidenciar </w:t>
      </w:r>
      <w:r w:rsidR="00E84F12" w:rsidRPr="00704821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4D7463" w:rsidRPr="00704821">
        <w:rPr>
          <w:rFonts w:ascii="Times New Roman" w:hAnsi="Times New Roman" w:cs="Times New Roman"/>
          <w:sz w:val="24"/>
          <w:szCs w:val="24"/>
        </w:rPr>
        <w:t xml:space="preserve">aos </w:t>
      </w:r>
      <w:r w:rsidR="004D7463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4D7463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113446" w:rsidRPr="00704821">
        <w:rPr>
          <w:rFonts w:ascii="Times New Roman" w:hAnsi="Times New Roman" w:cs="Times New Roman"/>
          <w:sz w:val="24"/>
          <w:szCs w:val="24"/>
        </w:rPr>
        <w:t>e</w:t>
      </w:r>
      <w:r w:rsidR="00E80106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338DE" w:rsidRPr="00704821">
        <w:rPr>
          <w:rFonts w:ascii="Times New Roman" w:hAnsi="Times New Roman" w:cs="Times New Roman"/>
          <w:sz w:val="24"/>
          <w:szCs w:val="24"/>
        </w:rPr>
        <w:t>elas</w:t>
      </w:r>
      <w:r w:rsidR="00E80106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264060" w:rsidRPr="00704821">
        <w:rPr>
          <w:rFonts w:ascii="Times New Roman" w:hAnsi="Times New Roman" w:cs="Times New Roman"/>
          <w:sz w:val="24"/>
          <w:szCs w:val="24"/>
        </w:rPr>
        <w:t xml:space="preserve">podem </w:t>
      </w:r>
      <w:r w:rsidR="00E80106" w:rsidRPr="00704821">
        <w:rPr>
          <w:rFonts w:ascii="Times New Roman" w:hAnsi="Times New Roman" w:cs="Times New Roman"/>
          <w:sz w:val="24"/>
          <w:szCs w:val="24"/>
        </w:rPr>
        <w:t>utiliza</w:t>
      </w:r>
      <w:r w:rsidR="00264060" w:rsidRPr="00704821">
        <w:rPr>
          <w:rFonts w:ascii="Times New Roman" w:hAnsi="Times New Roman" w:cs="Times New Roman"/>
          <w:sz w:val="24"/>
          <w:szCs w:val="24"/>
        </w:rPr>
        <w:t>r</w:t>
      </w:r>
      <w:r w:rsidR="00D47B93" w:rsidRPr="00704821">
        <w:rPr>
          <w:rFonts w:ascii="Times New Roman" w:hAnsi="Times New Roman" w:cs="Times New Roman"/>
          <w:sz w:val="24"/>
          <w:szCs w:val="24"/>
        </w:rPr>
        <w:t xml:space="preserve"> a RSC</w:t>
      </w:r>
      <w:r w:rsidR="00E80106" w:rsidRPr="00704821">
        <w:rPr>
          <w:rFonts w:ascii="Times New Roman" w:hAnsi="Times New Roman" w:cs="Times New Roman"/>
          <w:sz w:val="24"/>
          <w:szCs w:val="24"/>
        </w:rPr>
        <w:t xml:space="preserve"> como instrumento de legitimação.</w:t>
      </w:r>
    </w:p>
    <w:p w14:paraId="4ADFEA2F" w14:textId="70D4352C" w:rsidR="00334370" w:rsidRPr="00704821" w:rsidRDefault="00334370" w:rsidP="00080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Esse trabalho diferencia-se dos anteriores </w:t>
      </w:r>
      <w:r w:rsidR="00B87B0C" w:rsidRPr="00704821">
        <w:rPr>
          <w:rFonts w:ascii="Times New Roman" w:hAnsi="Times New Roman" w:cs="Times New Roman"/>
          <w:sz w:val="24"/>
          <w:szCs w:val="24"/>
        </w:rPr>
        <w:t xml:space="preserve">devido </w:t>
      </w:r>
      <w:r w:rsidRPr="00704821">
        <w:rPr>
          <w:rFonts w:ascii="Times New Roman" w:hAnsi="Times New Roman" w:cs="Times New Roman"/>
          <w:sz w:val="24"/>
          <w:szCs w:val="24"/>
        </w:rPr>
        <w:t xml:space="preserve">as informações </w:t>
      </w:r>
      <w:r w:rsidR="00B87B0C" w:rsidRPr="00704821">
        <w:rPr>
          <w:rFonts w:ascii="Times New Roman" w:hAnsi="Times New Roman" w:cs="Times New Roman"/>
          <w:sz w:val="24"/>
          <w:szCs w:val="24"/>
        </w:rPr>
        <w:t xml:space="preserve">serem </w:t>
      </w:r>
      <w:r w:rsidRPr="00704821">
        <w:rPr>
          <w:rFonts w:ascii="Times New Roman" w:hAnsi="Times New Roman" w:cs="Times New Roman"/>
          <w:sz w:val="24"/>
          <w:szCs w:val="24"/>
        </w:rPr>
        <w:t xml:space="preserve">obtidas dos </w:t>
      </w:r>
      <w:r w:rsidR="001B745F" w:rsidRPr="00704821">
        <w:rPr>
          <w:rFonts w:ascii="Times New Roman" w:hAnsi="Times New Roman" w:cs="Times New Roman"/>
          <w:sz w:val="24"/>
          <w:szCs w:val="24"/>
        </w:rPr>
        <w:t>FR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93451A" w:rsidRPr="00704821">
        <w:rPr>
          <w:rFonts w:ascii="Times New Roman" w:hAnsi="Times New Roman" w:cs="Times New Roman"/>
          <w:sz w:val="24"/>
          <w:szCs w:val="24"/>
        </w:rPr>
        <w:t>e também n</w:t>
      </w:r>
      <w:r w:rsidRPr="00704821">
        <w:rPr>
          <w:rFonts w:ascii="Times New Roman" w:hAnsi="Times New Roman" w:cs="Times New Roman"/>
          <w:sz w:val="24"/>
          <w:szCs w:val="24"/>
        </w:rPr>
        <w:t xml:space="preserve">os </w:t>
      </w:r>
      <w:r w:rsidR="001B745F" w:rsidRPr="00704821">
        <w:rPr>
          <w:rFonts w:ascii="Times New Roman" w:hAnsi="Times New Roman" w:cs="Times New Roman"/>
          <w:sz w:val="24"/>
          <w:szCs w:val="24"/>
        </w:rPr>
        <w:t>RI</w:t>
      </w:r>
      <w:r w:rsidRPr="00704821">
        <w:rPr>
          <w:rFonts w:ascii="Times New Roman" w:hAnsi="Times New Roman" w:cs="Times New Roman"/>
          <w:sz w:val="24"/>
          <w:szCs w:val="24"/>
        </w:rPr>
        <w:t xml:space="preserve">. Outro fato que motiva o desenvolvimento desse estudo, é que a </w:t>
      </w:r>
      <w:r w:rsidR="00B55ACA" w:rsidRPr="00704821">
        <w:rPr>
          <w:rFonts w:ascii="Times New Roman" w:hAnsi="Times New Roman" w:cs="Times New Roman"/>
          <w:sz w:val="24"/>
          <w:szCs w:val="24"/>
        </w:rPr>
        <w:t xml:space="preserve">PNRS </w:t>
      </w:r>
      <w:r w:rsidRPr="00704821">
        <w:rPr>
          <w:rFonts w:ascii="Times New Roman" w:hAnsi="Times New Roman" w:cs="Times New Roman"/>
          <w:sz w:val="24"/>
          <w:szCs w:val="24"/>
        </w:rPr>
        <w:t>definiu prazo de 4 a 5 anos (2014-2015) para que os municípios elabor</w:t>
      </w:r>
      <w:r w:rsidR="00B55ACA" w:rsidRPr="00704821">
        <w:rPr>
          <w:rFonts w:ascii="Times New Roman" w:hAnsi="Times New Roman" w:cs="Times New Roman"/>
          <w:sz w:val="24"/>
          <w:szCs w:val="24"/>
        </w:rPr>
        <w:t>ass</w:t>
      </w:r>
      <w:r w:rsidRPr="00704821">
        <w:rPr>
          <w:rFonts w:ascii="Times New Roman" w:hAnsi="Times New Roman" w:cs="Times New Roman"/>
          <w:sz w:val="24"/>
          <w:szCs w:val="24"/>
        </w:rPr>
        <w:t xml:space="preserve">em </w:t>
      </w:r>
      <w:r w:rsidR="00B55ACA" w:rsidRPr="00704821">
        <w:rPr>
          <w:rFonts w:ascii="Times New Roman" w:hAnsi="Times New Roman" w:cs="Times New Roman"/>
          <w:sz w:val="24"/>
          <w:szCs w:val="24"/>
        </w:rPr>
        <w:t xml:space="preserve">os </w:t>
      </w:r>
      <w:r w:rsidR="001E7A0D" w:rsidRPr="00704821">
        <w:rPr>
          <w:rFonts w:ascii="Times New Roman" w:hAnsi="Times New Roman" w:cs="Times New Roman"/>
          <w:sz w:val="24"/>
          <w:szCs w:val="24"/>
        </w:rPr>
        <w:t>PGIRS</w:t>
      </w:r>
      <w:r w:rsidR="004B3057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e </w:t>
      </w:r>
      <w:r w:rsidR="00B55ACA" w:rsidRPr="00704821">
        <w:rPr>
          <w:rFonts w:ascii="Times New Roman" w:hAnsi="Times New Roman" w:cs="Times New Roman"/>
          <w:sz w:val="24"/>
          <w:szCs w:val="24"/>
        </w:rPr>
        <w:t>logo</w:t>
      </w:r>
      <w:r w:rsidRPr="00704821">
        <w:rPr>
          <w:rFonts w:ascii="Times New Roman" w:hAnsi="Times New Roman" w:cs="Times New Roman"/>
          <w:sz w:val="24"/>
          <w:szCs w:val="24"/>
        </w:rPr>
        <w:t xml:space="preserve">, acredita-se que essa lei pode ter </w:t>
      </w:r>
      <w:r w:rsidR="00B55ACA" w:rsidRPr="00704821">
        <w:rPr>
          <w:rFonts w:ascii="Times New Roman" w:hAnsi="Times New Roman" w:cs="Times New Roman"/>
          <w:sz w:val="24"/>
          <w:szCs w:val="24"/>
        </w:rPr>
        <w:t>influenciado a ativi</w:t>
      </w:r>
      <w:r w:rsidR="000F25F2" w:rsidRPr="00704821">
        <w:rPr>
          <w:rFonts w:ascii="Times New Roman" w:hAnsi="Times New Roman" w:cs="Times New Roman"/>
          <w:sz w:val="24"/>
          <w:szCs w:val="24"/>
        </w:rPr>
        <w:t xml:space="preserve">dade empresarial e </w:t>
      </w:r>
      <w:r w:rsidR="00CA6830" w:rsidRPr="00704821">
        <w:rPr>
          <w:rFonts w:ascii="Times New Roman" w:hAnsi="Times New Roman" w:cs="Times New Roman"/>
          <w:sz w:val="24"/>
          <w:szCs w:val="24"/>
        </w:rPr>
        <w:t xml:space="preserve">estar evidenciada </w:t>
      </w:r>
      <w:r w:rsidR="003A35E4" w:rsidRPr="00704821">
        <w:rPr>
          <w:rFonts w:ascii="Times New Roman" w:hAnsi="Times New Roman" w:cs="Times New Roman"/>
          <w:sz w:val="24"/>
          <w:szCs w:val="24"/>
        </w:rPr>
        <w:t>n</w:t>
      </w:r>
      <w:r w:rsidR="004B3057" w:rsidRPr="00704821">
        <w:rPr>
          <w:rFonts w:ascii="Times New Roman" w:hAnsi="Times New Roman" w:cs="Times New Roman"/>
          <w:sz w:val="24"/>
          <w:szCs w:val="24"/>
        </w:rPr>
        <w:t>o</w:t>
      </w:r>
      <w:r w:rsidR="003A35E4" w:rsidRPr="00704821">
        <w:rPr>
          <w:rFonts w:ascii="Times New Roman" w:hAnsi="Times New Roman" w:cs="Times New Roman"/>
          <w:sz w:val="24"/>
          <w:szCs w:val="24"/>
        </w:rPr>
        <w:t>s</w:t>
      </w:r>
      <w:r w:rsidR="006466E2" w:rsidRPr="00704821">
        <w:rPr>
          <w:rFonts w:ascii="Times New Roman" w:hAnsi="Times New Roman" w:cs="Times New Roman"/>
          <w:sz w:val="24"/>
          <w:szCs w:val="24"/>
        </w:rPr>
        <w:t xml:space="preserve"> relatórios empresariais</w:t>
      </w:r>
      <w:r w:rsidRPr="00704821">
        <w:rPr>
          <w:rFonts w:ascii="Times New Roman" w:hAnsi="Times New Roman" w:cs="Times New Roman"/>
          <w:sz w:val="24"/>
          <w:szCs w:val="24"/>
        </w:rPr>
        <w:t>.</w:t>
      </w:r>
      <w:r w:rsidR="00D47B93" w:rsidRPr="00704821">
        <w:rPr>
          <w:rFonts w:ascii="Times New Roman" w:hAnsi="Times New Roman" w:cs="Times New Roman"/>
          <w:sz w:val="24"/>
          <w:szCs w:val="24"/>
        </w:rPr>
        <w:t xml:space="preserve"> Espera-se contribuir com esse artigo </w:t>
      </w:r>
      <w:r w:rsidR="008B0B0C" w:rsidRPr="00704821">
        <w:rPr>
          <w:rFonts w:ascii="Times New Roman" w:hAnsi="Times New Roman" w:cs="Times New Roman"/>
          <w:sz w:val="24"/>
          <w:szCs w:val="24"/>
        </w:rPr>
        <w:t xml:space="preserve">para discussões em torno do </w:t>
      </w:r>
      <w:r w:rsidR="008B0B0C" w:rsidRPr="00704821">
        <w:rPr>
          <w:rFonts w:ascii="Times New Roman" w:hAnsi="Times New Roman" w:cs="Times New Roman"/>
          <w:sz w:val="24"/>
          <w:szCs w:val="24"/>
        </w:rPr>
        <w:lastRenderedPageBreak/>
        <w:t>tema da contabilidade socioambiental enquanto instrumentos de evidenciação da PNRS, mecanismo</w:t>
      </w:r>
      <w:r w:rsidR="00B87B0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8B0B0C" w:rsidRPr="00704821">
        <w:rPr>
          <w:rFonts w:ascii="Times New Roman" w:hAnsi="Times New Roman" w:cs="Times New Roman"/>
          <w:sz w:val="24"/>
          <w:szCs w:val="24"/>
        </w:rPr>
        <w:t xml:space="preserve">de legitimação </w:t>
      </w:r>
      <w:r w:rsidR="00B87B0C" w:rsidRPr="00704821">
        <w:rPr>
          <w:rFonts w:ascii="Times New Roman" w:hAnsi="Times New Roman" w:cs="Times New Roman"/>
          <w:sz w:val="24"/>
          <w:szCs w:val="24"/>
        </w:rPr>
        <w:t xml:space="preserve">das empresas </w:t>
      </w:r>
      <w:r w:rsidR="008B0B0C" w:rsidRPr="00704821">
        <w:rPr>
          <w:rFonts w:ascii="Times New Roman" w:hAnsi="Times New Roman" w:cs="Times New Roman"/>
          <w:sz w:val="24"/>
          <w:szCs w:val="24"/>
        </w:rPr>
        <w:t xml:space="preserve">e relacionamentos com os </w:t>
      </w:r>
      <w:r w:rsidR="008B0B0C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8B0B0C" w:rsidRPr="00704821">
        <w:rPr>
          <w:rFonts w:ascii="Times New Roman" w:hAnsi="Times New Roman" w:cs="Times New Roman"/>
          <w:sz w:val="24"/>
          <w:szCs w:val="24"/>
        </w:rPr>
        <w:t>.</w:t>
      </w:r>
      <w:r w:rsidR="00EB6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F89A" w14:textId="3C7E820A" w:rsidR="00FF63E0" w:rsidRDefault="00EB6F8E" w:rsidP="002B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trabalho está estruturado da seguinte maneira: Introdução (1), Referencial Teórico (2), Procedimentos Metodológicos (3), Análise dos Resultados (4), Considerações Finais (5), seguida das Referências. </w:t>
      </w:r>
    </w:p>
    <w:p w14:paraId="5C4F8F93" w14:textId="77777777" w:rsidR="005826B1" w:rsidRDefault="005826B1" w:rsidP="002B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316C44" w14:textId="532BF62D" w:rsidR="00C91895" w:rsidRPr="00704821" w:rsidRDefault="00C91895" w:rsidP="00DD7D7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82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B56ABF" w:rsidRPr="00704821">
        <w:rPr>
          <w:rFonts w:ascii="Times New Roman" w:hAnsi="Times New Roman" w:cs="Times New Roman"/>
          <w:b/>
          <w:sz w:val="24"/>
          <w:szCs w:val="24"/>
        </w:rPr>
        <w:t>REVISÃO DA LITERATURA</w:t>
      </w:r>
    </w:p>
    <w:p w14:paraId="285684D2" w14:textId="2ECAB37F" w:rsidR="00000BCE" w:rsidRPr="00704821" w:rsidRDefault="00DD7D72" w:rsidP="00DD7D7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821">
        <w:rPr>
          <w:rFonts w:ascii="Times New Roman" w:hAnsi="Times New Roman" w:cs="Times New Roman"/>
          <w:b/>
          <w:sz w:val="24"/>
          <w:szCs w:val="24"/>
        </w:rPr>
        <w:t>2.</w:t>
      </w:r>
      <w:r w:rsidR="00115D76" w:rsidRPr="0070482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568B0" w:rsidRPr="00704821">
        <w:rPr>
          <w:rFonts w:ascii="Times New Roman" w:hAnsi="Times New Roman" w:cs="Times New Roman"/>
          <w:b/>
          <w:sz w:val="24"/>
          <w:szCs w:val="24"/>
        </w:rPr>
        <w:t xml:space="preserve">Cronologia </w:t>
      </w:r>
      <w:r w:rsidR="003E5894" w:rsidRPr="00704821">
        <w:rPr>
          <w:rFonts w:ascii="Times New Roman" w:hAnsi="Times New Roman" w:cs="Times New Roman"/>
          <w:b/>
          <w:sz w:val="24"/>
          <w:szCs w:val="24"/>
        </w:rPr>
        <w:t>d</w:t>
      </w:r>
      <w:r w:rsidR="003A66AF" w:rsidRPr="0070482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568B0" w:rsidRPr="00704821">
        <w:rPr>
          <w:rFonts w:ascii="Times New Roman" w:hAnsi="Times New Roman" w:cs="Times New Roman"/>
          <w:b/>
          <w:sz w:val="24"/>
          <w:szCs w:val="24"/>
        </w:rPr>
        <w:t xml:space="preserve">Responsabilidade Social </w:t>
      </w:r>
      <w:r w:rsidR="00956F2F" w:rsidRPr="00704821">
        <w:rPr>
          <w:rFonts w:ascii="Times New Roman" w:hAnsi="Times New Roman" w:cs="Times New Roman"/>
          <w:b/>
          <w:sz w:val="24"/>
          <w:szCs w:val="24"/>
        </w:rPr>
        <w:t>Corporativa</w:t>
      </w:r>
      <w:r w:rsidR="007E45BA" w:rsidRPr="00704821">
        <w:rPr>
          <w:rFonts w:ascii="Times New Roman" w:hAnsi="Times New Roman" w:cs="Times New Roman"/>
          <w:b/>
          <w:sz w:val="24"/>
          <w:szCs w:val="24"/>
        </w:rPr>
        <w:t xml:space="preserve"> (RSC)</w:t>
      </w:r>
    </w:p>
    <w:p w14:paraId="04546A86" w14:textId="4D387BD4" w:rsidR="00BC4804" w:rsidRPr="00704821" w:rsidRDefault="00BC4804" w:rsidP="0038087D">
      <w:pPr>
        <w:pStyle w:val="PargrafodaList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Responsabilidade Social Corporativa</w:t>
      </w:r>
      <w:r w:rsidR="00047C19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385BD0" w:rsidRPr="00704821">
        <w:rPr>
          <w:rFonts w:ascii="Times New Roman" w:hAnsi="Times New Roman" w:cs="Times New Roman"/>
          <w:sz w:val="24"/>
          <w:szCs w:val="24"/>
        </w:rPr>
        <w:t xml:space="preserve">(RSC) </w:t>
      </w:r>
      <w:r w:rsidR="00047C19" w:rsidRPr="00704821">
        <w:rPr>
          <w:rFonts w:ascii="Times New Roman" w:hAnsi="Times New Roman" w:cs="Times New Roman"/>
          <w:sz w:val="24"/>
          <w:szCs w:val="24"/>
        </w:rPr>
        <w:t xml:space="preserve">é um termo que ganhou importância </w:t>
      </w:r>
      <w:r w:rsidR="004A008C" w:rsidRPr="00704821">
        <w:rPr>
          <w:rFonts w:ascii="Times New Roman" w:hAnsi="Times New Roman" w:cs="Times New Roman"/>
          <w:sz w:val="24"/>
          <w:szCs w:val="24"/>
        </w:rPr>
        <w:t xml:space="preserve">na década de 1990, porém </w:t>
      </w:r>
      <w:r w:rsidR="00047C19" w:rsidRPr="00704821">
        <w:rPr>
          <w:rFonts w:ascii="Times New Roman" w:hAnsi="Times New Roman" w:cs="Times New Roman"/>
          <w:sz w:val="24"/>
          <w:szCs w:val="24"/>
        </w:rPr>
        <w:t>sob enfoque de críticas</w:t>
      </w:r>
      <w:r w:rsidR="004A008C" w:rsidRPr="00704821">
        <w:rPr>
          <w:rFonts w:ascii="Times New Roman" w:hAnsi="Times New Roman" w:cs="Times New Roman"/>
          <w:sz w:val="24"/>
          <w:szCs w:val="24"/>
        </w:rPr>
        <w:t xml:space="preserve"> devido não ter um significado </w:t>
      </w:r>
      <w:r w:rsidR="00834725" w:rsidRPr="00704821">
        <w:rPr>
          <w:rFonts w:ascii="Times New Roman" w:hAnsi="Times New Roman" w:cs="Times New Roman"/>
          <w:sz w:val="24"/>
          <w:szCs w:val="24"/>
        </w:rPr>
        <w:t>exato</w:t>
      </w:r>
      <w:r w:rsidR="00047C19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C46B3B" w:rsidRPr="00704821">
        <w:rPr>
          <w:rFonts w:ascii="Times New Roman" w:hAnsi="Times New Roman" w:cs="Times New Roman"/>
          <w:sz w:val="24"/>
          <w:szCs w:val="24"/>
        </w:rPr>
        <w:t>Baden &amp; Harwood (2013) afir</w:t>
      </w:r>
      <w:r w:rsidR="008F1E37">
        <w:rPr>
          <w:rFonts w:ascii="Times New Roman" w:hAnsi="Times New Roman" w:cs="Times New Roman"/>
          <w:sz w:val="24"/>
          <w:szCs w:val="24"/>
        </w:rPr>
        <w:t>mar</w:t>
      </w:r>
      <w:r w:rsidR="00C46B3B" w:rsidRPr="00704821">
        <w:rPr>
          <w:rFonts w:ascii="Times New Roman" w:hAnsi="Times New Roman" w:cs="Times New Roman"/>
          <w:sz w:val="24"/>
          <w:szCs w:val="24"/>
        </w:rPr>
        <w:t>am que a</w:t>
      </w:r>
      <w:r w:rsidR="00B465B2" w:rsidRPr="00704821">
        <w:rPr>
          <w:rFonts w:ascii="Times New Roman" w:hAnsi="Times New Roman" w:cs="Times New Roman"/>
          <w:sz w:val="24"/>
          <w:szCs w:val="24"/>
        </w:rPr>
        <w:t xml:space="preserve">lguns definem RSC como filantropismo, outros como roubo dos acionistas e alguns como cinismo ou prática de marketing. </w:t>
      </w:r>
      <w:r w:rsidR="00434B69" w:rsidRPr="00704821">
        <w:rPr>
          <w:rFonts w:ascii="Times New Roman" w:hAnsi="Times New Roman" w:cs="Times New Roman"/>
          <w:sz w:val="24"/>
          <w:szCs w:val="24"/>
        </w:rPr>
        <w:t>Segundo esses autores, o</w:t>
      </w:r>
      <w:r w:rsidR="0000512B" w:rsidRPr="00704821">
        <w:rPr>
          <w:rFonts w:ascii="Times New Roman" w:hAnsi="Times New Roman" w:cs="Times New Roman"/>
          <w:sz w:val="24"/>
          <w:szCs w:val="24"/>
        </w:rPr>
        <w:t xml:space="preserve"> termo</w:t>
      </w:r>
      <w:r w:rsidR="00B465B2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153DA8" w:rsidRPr="00704821">
        <w:rPr>
          <w:rFonts w:ascii="Times New Roman" w:hAnsi="Times New Roman" w:cs="Times New Roman"/>
          <w:sz w:val="24"/>
          <w:szCs w:val="24"/>
        </w:rPr>
        <w:t xml:space="preserve">também é sinônimo </w:t>
      </w:r>
      <w:r w:rsidR="00B465B2" w:rsidRPr="00704821">
        <w:rPr>
          <w:rFonts w:ascii="Times New Roman" w:hAnsi="Times New Roman" w:cs="Times New Roman"/>
          <w:sz w:val="24"/>
          <w:szCs w:val="24"/>
        </w:rPr>
        <w:t>de desenvolvimento sustentável</w:t>
      </w:r>
      <w:r w:rsidR="00127166" w:rsidRPr="00704821">
        <w:rPr>
          <w:rFonts w:ascii="Times New Roman" w:hAnsi="Times New Roman" w:cs="Times New Roman"/>
          <w:sz w:val="24"/>
          <w:szCs w:val="24"/>
        </w:rPr>
        <w:t xml:space="preserve"> (</w:t>
      </w:r>
      <w:r w:rsidR="00771E76" w:rsidRPr="00704821">
        <w:rPr>
          <w:rFonts w:ascii="Times New Roman" w:hAnsi="Times New Roman" w:cs="Times New Roman"/>
          <w:sz w:val="24"/>
          <w:szCs w:val="24"/>
        </w:rPr>
        <w:t>DS</w:t>
      </w:r>
      <w:r w:rsidR="00127166" w:rsidRPr="00704821">
        <w:rPr>
          <w:rFonts w:ascii="Times New Roman" w:hAnsi="Times New Roman" w:cs="Times New Roman"/>
          <w:sz w:val="24"/>
          <w:szCs w:val="24"/>
        </w:rPr>
        <w:t>)</w:t>
      </w:r>
      <w:r w:rsidR="00B465B2" w:rsidRPr="00704821">
        <w:rPr>
          <w:rFonts w:ascii="Times New Roman" w:hAnsi="Times New Roman" w:cs="Times New Roman"/>
          <w:sz w:val="24"/>
          <w:szCs w:val="24"/>
        </w:rPr>
        <w:t>, moral mútua</w:t>
      </w:r>
      <w:r w:rsidR="00434B69" w:rsidRPr="00704821">
        <w:rPr>
          <w:rFonts w:ascii="Times New Roman" w:hAnsi="Times New Roman" w:cs="Times New Roman"/>
          <w:sz w:val="24"/>
          <w:szCs w:val="24"/>
        </w:rPr>
        <w:t xml:space="preserve"> e</w:t>
      </w:r>
      <w:r w:rsidR="00B465B2" w:rsidRPr="00704821">
        <w:rPr>
          <w:rFonts w:ascii="Times New Roman" w:hAnsi="Times New Roman" w:cs="Times New Roman"/>
          <w:sz w:val="24"/>
          <w:szCs w:val="24"/>
        </w:rPr>
        <w:t xml:space="preserve"> pegada ética</w:t>
      </w:r>
      <w:r w:rsidR="008B7E67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9A5F80" w:rsidRPr="00704821">
        <w:rPr>
          <w:rFonts w:ascii="Times New Roman" w:hAnsi="Times New Roman" w:cs="Times New Roman"/>
          <w:sz w:val="24"/>
          <w:szCs w:val="24"/>
        </w:rPr>
        <w:t>Nessa etapa do artigo será aprese</w:t>
      </w:r>
      <w:r w:rsidR="008B7E67" w:rsidRPr="00704821">
        <w:rPr>
          <w:rFonts w:ascii="Times New Roman" w:hAnsi="Times New Roman" w:cs="Times New Roman"/>
          <w:sz w:val="24"/>
          <w:szCs w:val="24"/>
        </w:rPr>
        <w:t xml:space="preserve">ntada a cronologia do termo RSC e cabe ressaltar que </w:t>
      </w:r>
      <w:r w:rsidR="00771E76" w:rsidRPr="00704821">
        <w:rPr>
          <w:rFonts w:ascii="Times New Roman" w:hAnsi="Times New Roman" w:cs="Times New Roman"/>
          <w:sz w:val="24"/>
          <w:szCs w:val="24"/>
        </w:rPr>
        <w:t xml:space="preserve">nesse </w:t>
      </w:r>
      <w:r w:rsidR="00194C13" w:rsidRPr="00704821">
        <w:rPr>
          <w:rFonts w:ascii="Times New Roman" w:hAnsi="Times New Roman" w:cs="Times New Roman"/>
          <w:sz w:val="24"/>
          <w:szCs w:val="24"/>
        </w:rPr>
        <w:t xml:space="preserve">estudo, </w:t>
      </w:r>
      <w:r w:rsidR="008B7E67" w:rsidRPr="00704821">
        <w:rPr>
          <w:rFonts w:ascii="Times New Roman" w:hAnsi="Times New Roman" w:cs="Times New Roman"/>
          <w:sz w:val="24"/>
          <w:szCs w:val="24"/>
        </w:rPr>
        <w:t xml:space="preserve">em alguns trechos, </w:t>
      </w:r>
      <w:r w:rsidR="00385BD0" w:rsidRPr="00704821">
        <w:rPr>
          <w:rFonts w:ascii="Times New Roman" w:hAnsi="Times New Roman" w:cs="Times New Roman"/>
          <w:sz w:val="24"/>
          <w:szCs w:val="24"/>
        </w:rPr>
        <w:t>o</w:t>
      </w:r>
      <w:r w:rsidR="008B7E67" w:rsidRPr="00704821">
        <w:rPr>
          <w:rFonts w:ascii="Times New Roman" w:hAnsi="Times New Roman" w:cs="Times New Roman"/>
          <w:sz w:val="24"/>
          <w:szCs w:val="24"/>
        </w:rPr>
        <w:t xml:space="preserve"> termo </w:t>
      </w:r>
      <w:r w:rsidR="00771E76" w:rsidRPr="00704821">
        <w:rPr>
          <w:rFonts w:ascii="Times New Roman" w:hAnsi="Times New Roman" w:cs="Times New Roman"/>
          <w:sz w:val="24"/>
          <w:szCs w:val="24"/>
        </w:rPr>
        <w:t xml:space="preserve">RSC </w:t>
      </w:r>
      <w:r w:rsidR="008B7E67" w:rsidRPr="00704821">
        <w:rPr>
          <w:rFonts w:ascii="Times New Roman" w:hAnsi="Times New Roman" w:cs="Times New Roman"/>
          <w:sz w:val="24"/>
          <w:szCs w:val="24"/>
        </w:rPr>
        <w:t xml:space="preserve">foi empregado como sinônimo de </w:t>
      </w:r>
      <w:r w:rsidR="00771E76" w:rsidRPr="00704821">
        <w:rPr>
          <w:rFonts w:ascii="Times New Roman" w:hAnsi="Times New Roman" w:cs="Times New Roman"/>
          <w:sz w:val="24"/>
          <w:szCs w:val="24"/>
        </w:rPr>
        <w:t>DS</w:t>
      </w:r>
      <w:r w:rsidR="008B7E67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1509D98D" w14:textId="5894D0CF" w:rsidR="008165F2" w:rsidRPr="00704821" w:rsidRDefault="0085479A" w:rsidP="0071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Um dos primeiros </w:t>
      </w:r>
      <w:r w:rsidR="00C93579" w:rsidRPr="00704821">
        <w:rPr>
          <w:rFonts w:ascii="Times New Roman" w:hAnsi="Times New Roman" w:cs="Times New Roman"/>
          <w:sz w:val="24"/>
          <w:szCs w:val="24"/>
        </w:rPr>
        <w:t>alertas a respeito dos impact</w:t>
      </w:r>
      <w:r w:rsidR="0084496A" w:rsidRPr="00704821">
        <w:rPr>
          <w:rFonts w:ascii="Times New Roman" w:hAnsi="Times New Roman" w:cs="Times New Roman"/>
          <w:sz w:val="24"/>
          <w:szCs w:val="24"/>
        </w:rPr>
        <w:t>os negativos das atividades empresariais</w:t>
      </w:r>
      <w:r w:rsidR="003A66AF" w:rsidRPr="00704821">
        <w:rPr>
          <w:rFonts w:ascii="Times New Roman" w:hAnsi="Times New Roman" w:cs="Times New Roman"/>
          <w:sz w:val="24"/>
          <w:szCs w:val="24"/>
        </w:rPr>
        <w:t xml:space="preserve"> ao meio ambiente</w:t>
      </w:r>
      <w:r w:rsidR="00EA1DD4" w:rsidRPr="00704821">
        <w:rPr>
          <w:rFonts w:ascii="Times New Roman" w:hAnsi="Times New Roman" w:cs="Times New Roman"/>
          <w:sz w:val="24"/>
          <w:szCs w:val="24"/>
        </w:rPr>
        <w:t>,</w:t>
      </w:r>
      <w:r w:rsidR="00C93579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A5AB9" w:rsidRPr="00704821">
        <w:rPr>
          <w:rFonts w:ascii="Times New Roman" w:hAnsi="Times New Roman" w:cs="Times New Roman"/>
          <w:sz w:val="24"/>
          <w:szCs w:val="24"/>
        </w:rPr>
        <w:t xml:space="preserve">ocorreu </w:t>
      </w:r>
      <w:r w:rsidR="003A66AF" w:rsidRPr="00704821">
        <w:rPr>
          <w:rFonts w:ascii="Times New Roman" w:hAnsi="Times New Roman" w:cs="Times New Roman"/>
          <w:sz w:val="24"/>
          <w:szCs w:val="24"/>
        </w:rPr>
        <w:t xml:space="preserve">em </w:t>
      </w:r>
      <w:r w:rsidR="00FA5AB9" w:rsidRPr="00704821">
        <w:rPr>
          <w:rFonts w:ascii="Times New Roman" w:hAnsi="Times New Roman" w:cs="Times New Roman"/>
          <w:sz w:val="24"/>
          <w:szCs w:val="24"/>
        </w:rPr>
        <w:t>1962</w:t>
      </w:r>
      <w:r w:rsidR="00EA1DD4" w:rsidRPr="00704821">
        <w:rPr>
          <w:rFonts w:ascii="Times New Roman" w:hAnsi="Times New Roman" w:cs="Times New Roman"/>
          <w:sz w:val="24"/>
          <w:szCs w:val="24"/>
        </w:rPr>
        <w:t>,</w:t>
      </w:r>
      <w:r w:rsidR="002E1559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3A66AF" w:rsidRPr="00704821">
        <w:rPr>
          <w:rFonts w:ascii="Times New Roman" w:hAnsi="Times New Roman" w:cs="Times New Roman"/>
          <w:sz w:val="24"/>
          <w:szCs w:val="24"/>
        </w:rPr>
        <w:t xml:space="preserve">com a publicação da obra </w:t>
      </w:r>
      <w:r w:rsidR="002E1559" w:rsidRPr="00704821">
        <w:rPr>
          <w:rFonts w:ascii="Times New Roman" w:hAnsi="Times New Roman" w:cs="Times New Roman"/>
          <w:i/>
          <w:sz w:val="24"/>
          <w:szCs w:val="24"/>
        </w:rPr>
        <w:t>Silent Spring</w:t>
      </w:r>
      <w:r w:rsidR="00C93579" w:rsidRPr="00704821">
        <w:rPr>
          <w:rFonts w:ascii="Times New Roman" w:hAnsi="Times New Roman" w:cs="Times New Roman"/>
          <w:sz w:val="24"/>
          <w:szCs w:val="24"/>
        </w:rPr>
        <w:t xml:space="preserve">, quando </w:t>
      </w:r>
      <w:r w:rsidR="002E1559" w:rsidRPr="00704821">
        <w:rPr>
          <w:rFonts w:ascii="Times New Roman" w:hAnsi="Times New Roman" w:cs="Times New Roman"/>
          <w:sz w:val="24"/>
          <w:szCs w:val="24"/>
        </w:rPr>
        <w:t>se constatou</w:t>
      </w:r>
      <w:r w:rsidR="00C93579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683694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="00F27196" w:rsidRPr="00704821">
        <w:rPr>
          <w:rFonts w:ascii="Times New Roman" w:hAnsi="Times New Roman" w:cs="Times New Roman"/>
          <w:sz w:val="24"/>
          <w:szCs w:val="24"/>
        </w:rPr>
        <w:t xml:space="preserve">devido as </w:t>
      </w:r>
      <w:r w:rsidR="002E1559" w:rsidRPr="00704821">
        <w:rPr>
          <w:rFonts w:ascii="Times New Roman" w:hAnsi="Times New Roman" w:cs="Times New Roman"/>
          <w:sz w:val="24"/>
          <w:szCs w:val="24"/>
        </w:rPr>
        <w:t>atividades da indústria química</w:t>
      </w:r>
      <w:r w:rsidR="00087FBC" w:rsidRPr="00704821">
        <w:rPr>
          <w:rFonts w:ascii="Times New Roman" w:hAnsi="Times New Roman" w:cs="Times New Roman"/>
          <w:sz w:val="24"/>
          <w:szCs w:val="24"/>
        </w:rPr>
        <w:t>,</w:t>
      </w:r>
      <w:r w:rsidR="00F27196" w:rsidRPr="00704821">
        <w:rPr>
          <w:rFonts w:ascii="Times New Roman" w:hAnsi="Times New Roman" w:cs="Times New Roman"/>
          <w:sz w:val="24"/>
          <w:szCs w:val="24"/>
        </w:rPr>
        <w:t xml:space="preserve"> todos os seres humanos </w:t>
      </w:r>
      <w:r w:rsidR="009E3590" w:rsidRPr="00704821">
        <w:rPr>
          <w:rFonts w:ascii="Times New Roman" w:hAnsi="Times New Roman" w:cs="Times New Roman"/>
          <w:sz w:val="24"/>
          <w:szCs w:val="24"/>
        </w:rPr>
        <w:t xml:space="preserve">estavam </w:t>
      </w:r>
      <w:r w:rsidR="00F27196" w:rsidRPr="00704821">
        <w:rPr>
          <w:rFonts w:ascii="Times New Roman" w:hAnsi="Times New Roman" w:cs="Times New Roman"/>
          <w:sz w:val="24"/>
          <w:szCs w:val="24"/>
        </w:rPr>
        <w:t xml:space="preserve">em contato com </w:t>
      </w:r>
      <w:r w:rsidR="009A5F80" w:rsidRPr="00704821">
        <w:rPr>
          <w:rFonts w:ascii="Times New Roman" w:hAnsi="Times New Roman" w:cs="Times New Roman"/>
          <w:sz w:val="24"/>
          <w:szCs w:val="24"/>
        </w:rPr>
        <w:t>resíduos químicos</w:t>
      </w:r>
      <w:r w:rsidR="000B60A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9A5F80" w:rsidRPr="00704821">
        <w:rPr>
          <w:rFonts w:ascii="Times New Roman" w:hAnsi="Times New Roman" w:cs="Times New Roman"/>
          <w:sz w:val="24"/>
          <w:szCs w:val="24"/>
        </w:rPr>
        <w:t>(</w:t>
      </w:r>
      <w:r w:rsidR="00AB7430" w:rsidRPr="00704821">
        <w:rPr>
          <w:rFonts w:ascii="Times New Roman" w:hAnsi="Times New Roman" w:cs="Times New Roman"/>
          <w:sz w:val="24"/>
          <w:szCs w:val="24"/>
        </w:rPr>
        <w:t xml:space="preserve">presentes na </w:t>
      </w:r>
      <w:r w:rsidR="009A5F80" w:rsidRPr="00704821">
        <w:rPr>
          <w:rFonts w:ascii="Times New Roman" w:hAnsi="Times New Roman" w:cs="Times New Roman"/>
          <w:sz w:val="24"/>
          <w:szCs w:val="24"/>
        </w:rPr>
        <w:t xml:space="preserve">terra, água e ar) </w:t>
      </w:r>
      <w:r w:rsidR="00F27196" w:rsidRPr="00704821">
        <w:rPr>
          <w:rFonts w:ascii="Times New Roman" w:hAnsi="Times New Roman" w:cs="Times New Roman"/>
          <w:sz w:val="24"/>
          <w:szCs w:val="24"/>
        </w:rPr>
        <w:t xml:space="preserve">do momento do nascimento à </w:t>
      </w:r>
      <w:r w:rsidR="006B0BA3" w:rsidRPr="00704821">
        <w:rPr>
          <w:rFonts w:ascii="Times New Roman" w:hAnsi="Times New Roman" w:cs="Times New Roman"/>
          <w:sz w:val="24"/>
          <w:szCs w:val="24"/>
        </w:rPr>
        <w:t>morte</w:t>
      </w:r>
      <w:r w:rsidR="00311370" w:rsidRPr="00704821">
        <w:rPr>
          <w:rFonts w:ascii="Times New Roman" w:hAnsi="Times New Roman" w:cs="Times New Roman"/>
          <w:sz w:val="24"/>
          <w:szCs w:val="24"/>
        </w:rPr>
        <w:t>,</w:t>
      </w:r>
      <w:r w:rsidR="006B0BA3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A1DD4" w:rsidRPr="00704821">
        <w:rPr>
          <w:rFonts w:ascii="Times New Roman" w:hAnsi="Times New Roman" w:cs="Times New Roman"/>
          <w:sz w:val="24"/>
          <w:szCs w:val="24"/>
        </w:rPr>
        <w:t>oriundos d</w:t>
      </w:r>
      <w:r w:rsidR="00581A98" w:rsidRPr="00704821">
        <w:rPr>
          <w:rFonts w:ascii="Times New Roman" w:hAnsi="Times New Roman" w:cs="Times New Roman"/>
          <w:sz w:val="24"/>
          <w:szCs w:val="24"/>
        </w:rPr>
        <w:t>o uso</w:t>
      </w:r>
      <w:r w:rsidR="006B0BA3" w:rsidRPr="00704821">
        <w:rPr>
          <w:rFonts w:ascii="Times New Roman" w:hAnsi="Times New Roman" w:cs="Times New Roman"/>
          <w:sz w:val="24"/>
          <w:szCs w:val="24"/>
        </w:rPr>
        <w:t xml:space="preserve"> de pesticidas e biocidas </w:t>
      </w:r>
      <w:r w:rsidR="009A5F80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="003A66AF" w:rsidRPr="00704821">
        <w:rPr>
          <w:rFonts w:ascii="Times New Roman" w:hAnsi="Times New Roman" w:cs="Times New Roman"/>
          <w:sz w:val="24"/>
          <w:szCs w:val="24"/>
        </w:rPr>
        <w:t xml:space="preserve">afetam </w:t>
      </w:r>
      <w:r w:rsidR="006B0BA3" w:rsidRPr="00704821">
        <w:rPr>
          <w:rFonts w:ascii="Times New Roman" w:hAnsi="Times New Roman" w:cs="Times New Roman"/>
          <w:sz w:val="24"/>
          <w:szCs w:val="24"/>
        </w:rPr>
        <w:t xml:space="preserve">a </w:t>
      </w:r>
      <w:r w:rsidR="00C55E3F" w:rsidRPr="00704821">
        <w:rPr>
          <w:rFonts w:ascii="Times New Roman" w:hAnsi="Times New Roman" w:cs="Times New Roman"/>
          <w:sz w:val="24"/>
          <w:szCs w:val="24"/>
        </w:rPr>
        <w:t xml:space="preserve">flora e </w:t>
      </w:r>
      <w:r w:rsidR="003A66AF" w:rsidRPr="00704821">
        <w:rPr>
          <w:rFonts w:ascii="Times New Roman" w:hAnsi="Times New Roman" w:cs="Times New Roman"/>
          <w:sz w:val="24"/>
          <w:szCs w:val="24"/>
        </w:rPr>
        <w:t xml:space="preserve">a </w:t>
      </w:r>
      <w:r w:rsidR="00C55E3F" w:rsidRPr="00704821">
        <w:rPr>
          <w:rFonts w:ascii="Times New Roman" w:hAnsi="Times New Roman" w:cs="Times New Roman"/>
          <w:sz w:val="24"/>
          <w:szCs w:val="24"/>
        </w:rPr>
        <w:t>fauna</w:t>
      </w:r>
      <w:r w:rsidR="00E058D7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CF3DEB" w:rsidRPr="00704821">
        <w:rPr>
          <w:rFonts w:ascii="Times New Roman" w:hAnsi="Times New Roman" w:cs="Times New Roman"/>
          <w:sz w:val="24"/>
          <w:szCs w:val="24"/>
        </w:rPr>
        <w:t>(</w:t>
      </w:r>
      <w:r w:rsidR="00AD1CB9" w:rsidRPr="00704821">
        <w:rPr>
          <w:rFonts w:ascii="Times New Roman" w:hAnsi="Times New Roman" w:cs="Times New Roman"/>
          <w:sz w:val="24"/>
          <w:szCs w:val="24"/>
        </w:rPr>
        <w:t>CARSON</w:t>
      </w:r>
      <w:r w:rsidR="00CF3DEB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C93579" w:rsidRPr="00704821">
        <w:rPr>
          <w:rFonts w:ascii="Times New Roman" w:hAnsi="Times New Roman" w:cs="Times New Roman"/>
          <w:sz w:val="24"/>
          <w:szCs w:val="24"/>
        </w:rPr>
        <w:t>1962</w:t>
      </w:r>
      <w:r w:rsidR="00CF3DEB" w:rsidRPr="00704821">
        <w:rPr>
          <w:rFonts w:ascii="Times New Roman" w:hAnsi="Times New Roman" w:cs="Times New Roman"/>
          <w:sz w:val="24"/>
          <w:szCs w:val="24"/>
        </w:rPr>
        <w:t xml:space="preserve">). </w:t>
      </w:r>
      <w:r w:rsidR="00E20AD7" w:rsidRPr="00704821">
        <w:rPr>
          <w:rFonts w:ascii="Times New Roman" w:hAnsi="Times New Roman" w:cs="Times New Roman"/>
          <w:sz w:val="24"/>
          <w:szCs w:val="24"/>
        </w:rPr>
        <w:t xml:space="preserve">Criou-se com essa constatação a necessidade </w:t>
      </w:r>
      <w:r w:rsidR="00AB7430" w:rsidRPr="00704821">
        <w:rPr>
          <w:rFonts w:ascii="Times New Roman" w:hAnsi="Times New Roman" w:cs="Times New Roman"/>
          <w:sz w:val="24"/>
          <w:szCs w:val="24"/>
        </w:rPr>
        <w:t>d</w:t>
      </w:r>
      <w:r w:rsidR="00E20AD7" w:rsidRPr="00704821">
        <w:rPr>
          <w:rFonts w:ascii="Times New Roman" w:hAnsi="Times New Roman" w:cs="Times New Roman"/>
          <w:sz w:val="24"/>
          <w:szCs w:val="24"/>
        </w:rPr>
        <w:t xml:space="preserve">as indústrias químicas reduzirem os impactos de suas atividades, bem como relatar </w:t>
      </w:r>
      <w:r w:rsidR="00CC2F60" w:rsidRPr="00704821">
        <w:rPr>
          <w:rFonts w:ascii="Times New Roman" w:hAnsi="Times New Roman" w:cs="Times New Roman"/>
          <w:sz w:val="24"/>
          <w:szCs w:val="24"/>
        </w:rPr>
        <w:t>essa adequação</w:t>
      </w:r>
      <w:r w:rsidR="00E20AD7" w:rsidRPr="00704821">
        <w:rPr>
          <w:rFonts w:ascii="Times New Roman" w:hAnsi="Times New Roman" w:cs="Times New Roman"/>
          <w:sz w:val="24"/>
          <w:szCs w:val="24"/>
        </w:rPr>
        <w:t xml:space="preserve"> aos seus </w:t>
      </w:r>
      <w:r w:rsidR="00E20AD7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E20AD7" w:rsidRPr="00704821">
        <w:rPr>
          <w:rFonts w:ascii="Times New Roman" w:hAnsi="Times New Roman" w:cs="Times New Roman"/>
          <w:sz w:val="24"/>
          <w:szCs w:val="24"/>
        </w:rPr>
        <w:t xml:space="preserve"> (</w:t>
      </w:r>
      <w:r w:rsidR="00AD1CB9" w:rsidRPr="00704821">
        <w:rPr>
          <w:rFonts w:ascii="Times New Roman" w:hAnsi="Times New Roman" w:cs="Times New Roman"/>
          <w:sz w:val="24"/>
          <w:szCs w:val="24"/>
        </w:rPr>
        <w:t>ELKINGTON</w:t>
      </w:r>
      <w:r w:rsidR="00E20AD7" w:rsidRPr="00704821">
        <w:rPr>
          <w:rFonts w:ascii="Times New Roman" w:hAnsi="Times New Roman" w:cs="Times New Roman"/>
          <w:sz w:val="24"/>
          <w:szCs w:val="24"/>
        </w:rPr>
        <w:t>, 2012).</w:t>
      </w:r>
    </w:p>
    <w:p w14:paraId="35EBBE74" w14:textId="28B7CEDD" w:rsidR="00F93BC2" w:rsidRPr="00704821" w:rsidRDefault="001A6A3D" w:rsidP="00F9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Em 1972</w:t>
      </w:r>
      <w:r w:rsidR="00364E2A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o Clube de Roma emitiu o relatório </w:t>
      </w:r>
      <w:r w:rsidR="00F93BC2" w:rsidRPr="00704821">
        <w:rPr>
          <w:rFonts w:ascii="Times New Roman" w:hAnsi="Times New Roman" w:cs="Times New Roman"/>
          <w:i/>
          <w:sz w:val="24"/>
          <w:szCs w:val="24"/>
        </w:rPr>
        <w:t>The Limits to Growth</w:t>
      </w:r>
      <w:r w:rsidR="00364E2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93BC2" w:rsidRPr="00704821">
        <w:rPr>
          <w:rFonts w:ascii="Times New Roman" w:hAnsi="Times New Roman" w:cs="Times New Roman"/>
          <w:sz w:val="24"/>
          <w:szCs w:val="24"/>
        </w:rPr>
        <w:t>que</w:t>
      </w:r>
      <w:r w:rsidR="0075611B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DE7E51" w:rsidRPr="00704821">
        <w:rPr>
          <w:rFonts w:ascii="Times New Roman" w:hAnsi="Times New Roman" w:cs="Times New Roman"/>
          <w:sz w:val="24"/>
          <w:szCs w:val="24"/>
        </w:rPr>
        <w:t>comunicou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 aos cidadãos mundiais sobre os impactos que os crescimentos populacionais e econômicos poderiam causar à Terra. Nesse documento enfatizaram que para ocorrer o </w:t>
      </w:r>
      <w:r w:rsidR="00444A5A" w:rsidRPr="00704821">
        <w:rPr>
          <w:rFonts w:ascii="Times New Roman" w:hAnsi="Times New Roman" w:cs="Times New Roman"/>
          <w:sz w:val="24"/>
          <w:szCs w:val="24"/>
        </w:rPr>
        <w:t>DS</w:t>
      </w:r>
      <w:r w:rsidR="00F93BC2" w:rsidRPr="00704821">
        <w:rPr>
          <w:rFonts w:ascii="Times New Roman" w:hAnsi="Times New Roman" w:cs="Times New Roman"/>
          <w:sz w:val="24"/>
          <w:szCs w:val="24"/>
        </w:rPr>
        <w:t>, haveria necessidade da redução do consumo e crescimento populacional e</w:t>
      </w:r>
      <w:r w:rsidR="00C465AF" w:rsidRPr="00704821">
        <w:rPr>
          <w:rFonts w:ascii="Times New Roman" w:hAnsi="Times New Roman" w:cs="Times New Roman"/>
          <w:sz w:val="24"/>
          <w:szCs w:val="24"/>
        </w:rPr>
        <w:t>,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 consequentemente</w:t>
      </w:r>
      <w:r w:rsidR="00C465AF" w:rsidRPr="00704821">
        <w:rPr>
          <w:rFonts w:ascii="Times New Roman" w:hAnsi="Times New Roman" w:cs="Times New Roman"/>
          <w:sz w:val="24"/>
          <w:szCs w:val="24"/>
        </w:rPr>
        <w:t>,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 do nível de atividade produtiva </w:t>
      </w:r>
      <w:r w:rsidR="00DB2035" w:rsidRPr="00704821">
        <w:rPr>
          <w:rFonts w:ascii="Times New Roman" w:hAnsi="Times New Roman" w:cs="Times New Roman"/>
          <w:sz w:val="24"/>
          <w:szCs w:val="24"/>
        </w:rPr>
        <w:t>das empresas</w:t>
      </w:r>
      <w:r w:rsidR="007032D7" w:rsidRPr="00704821">
        <w:rPr>
          <w:rFonts w:ascii="Times New Roman" w:hAnsi="Times New Roman" w:cs="Times New Roman"/>
          <w:sz w:val="24"/>
          <w:szCs w:val="24"/>
        </w:rPr>
        <w:t>,</w:t>
      </w:r>
      <w:r w:rsidR="00DB203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93BC2" w:rsidRPr="00704821">
        <w:rPr>
          <w:rFonts w:ascii="Times New Roman" w:hAnsi="Times New Roman" w:cs="Times New Roman"/>
          <w:sz w:val="24"/>
          <w:szCs w:val="24"/>
        </w:rPr>
        <w:t>pois</w:t>
      </w:r>
      <w:r w:rsidR="007032D7" w:rsidRPr="00704821">
        <w:rPr>
          <w:rFonts w:ascii="Times New Roman" w:hAnsi="Times New Roman" w:cs="Times New Roman"/>
          <w:sz w:val="24"/>
          <w:szCs w:val="24"/>
        </w:rPr>
        <w:t>,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 os recursos naturais renováveis e não-renováveis poderiam se esgotar</w:t>
      </w:r>
      <w:r w:rsidR="003A66AF" w:rsidRPr="00704821">
        <w:rPr>
          <w:rFonts w:ascii="Times New Roman" w:hAnsi="Times New Roman" w:cs="Times New Roman"/>
          <w:sz w:val="24"/>
          <w:szCs w:val="24"/>
        </w:rPr>
        <w:t>. O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u seja, buscaram desenvolver </w:t>
      </w:r>
      <w:r w:rsidR="003A66AF" w:rsidRPr="00704821">
        <w:rPr>
          <w:rFonts w:ascii="Times New Roman" w:hAnsi="Times New Roman" w:cs="Times New Roman"/>
          <w:sz w:val="24"/>
          <w:szCs w:val="24"/>
        </w:rPr>
        <w:t>a ideia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 do crescimento zero</w:t>
      </w:r>
      <w:r w:rsidR="00E20AD7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93BC2" w:rsidRPr="00704821">
        <w:rPr>
          <w:rFonts w:ascii="Times New Roman" w:hAnsi="Times New Roman" w:cs="Times New Roman"/>
          <w:sz w:val="24"/>
          <w:szCs w:val="24"/>
        </w:rPr>
        <w:t>(</w:t>
      </w:r>
      <w:r w:rsidR="00395A7F" w:rsidRPr="00704821">
        <w:rPr>
          <w:rFonts w:ascii="Times New Roman" w:hAnsi="Times New Roman" w:cs="Times New Roman"/>
          <w:color w:val="000000"/>
          <w:sz w:val="24"/>
          <w:szCs w:val="24"/>
        </w:rPr>
        <w:t>MEADOWS</w:t>
      </w:r>
      <w:r w:rsidR="00C15256">
        <w:rPr>
          <w:rFonts w:ascii="Times New Roman" w:hAnsi="Times New Roman" w:cs="Times New Roman"/>
          <w:color w:val="000000"/>
          <w:sz w:val="24"/>
          <w:szCs w:val="24"/>
        </w:rPr>
        <w:t xml:space="preserve"> et al.</w:t>
      </w:r>
      <w:r w:rsidR="002E1E92" w:rsidRPr="00704821">
        <w:rPr>
          <w:rFonts w:ascii="Times New Roman" w:hAnsi="Times New Roman" w:cs="Times New Roman"/>
          <w:color w:val="000000"/>
          <w:sz w:val="24"/>
          <w:szCs w:val="24"/>
        </w:rPr>
        <w:t>, 1972</w:t>
      </w:r>
      <w:r w:rsidR="00F93BC2" w:rsidRPr="00704821">
        <w:rPr>
          <w:rFonts w:ascii="Times New Roman" w:hAnsi="Times New Roman" w:cs="Times New Roman"/>
          <w:sz w:val="24"/>
          <w:szCs w:val="24"/>
        </w:rPr>
        <w:t>).</w:t>
      </w:r>
    </w:p>
    <w:p w14:paraId="2FF645E1" w14:textId="5238832B" w:rsidR="009C5C32" w:rsidRPr="00704821" w:rsidRDefault="0096629D" w:rsidP="009C5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N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o Relatório da </w:t>
      </w:r>
      <w:r w:rsidR="00AD7404" w:rsidRPr="00704821">
        <w:rPr>
          <w:rFonts w:ascii="Times New Roman" w:hAnsi="Times New Roman" w:cs="Times New Roman"/>
          <w:i/>
          <w:sz w:val="24"/>
          <w:szCs w:val="24"/>
        </w:rPr>
        <w:t>World Commission on Environment and Development</w:t>
      </w:r>
      <w:r w:rsidR="00AD7404" w:rsidRPr="00704821">
        <w:rPr>
          <w:rFonts w:ascii="Times New Roman" w:hAnsi="Times New Roman" w:cs="Times New Roman"/>
          <w:sz w:val="24"/>
          <w:szCs w:val="24"/>
        </w:rPr>
        <w:t xml:space="preserve"> (</w:t>
      </w:r>
      <w:r w:rsidR="00F93BC2" w:rsidRPr="00704821">
        <w:rPr>
          <w:rFonts w:ascii="Times New Roman" w:hAnsi="Times New Roman" w:cs="Times New Roman"/>
          <w:sz w:val="24"/>
          <w:szCs w:val="24"/>
        </w:rPr>
        <w:t>WCED</w:t>
      </w:r>
      <w:r w:rsidR="00AD7404" w:rsidRPr="00704821">
        <w:rPr>
          <w:rFonts w:ascii="Times New Roman" w:hAnsi="Times New Roman" w:cs="Times New Roman"/>
          <w:sz w:val="24"/>
          <w:szCs w:val="24"/>
        </w:rPr>
        <w:t>)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F93BC2" w:rsidRPr="00704821">
        <w:rPr>
          <w:rFonts w:ascii="Times New Roman" w:hAnsi="Times New Roman" w:cs="Times New Roman"/>
          <w:i/>
          <w:sz w:val="24"/>
          <w:szCs w:val="24"/>
        </w:rPr>
        <w:t>Our Commun Future</w:t>
      </w:r>
      <w:r w:rsidR="00A23AE5">
        <w:rPr>
          <w:rFonts w:ascii="Times New Roman" w:hAnsi="Times New Roman" w:cs="Times New Roman"/>
          <w:i/>
          <w:sz w:val="24"/>
          <w:szCs w:val="24"/>
        </w:rPr>
        <w:t>,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 de 1986, definiu-se que o </w:t>
      </w:r>
      <w:r w:rsidR="00444A5A" w:rsidRPr="00704821">
        <w:rPr>
          <w:rFonts w:ascii="Times New Roman" w:hAnsi="Times New Roman" w:cs="Times New Roman"/>
          <w:sz w:val="24"/>
          <w:szCs w:val="24"/>
        </w:rPr>
        <w:t>DS</w:t>
      </w:r>
      <w:r w:rsidR="009E3590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93BC2" w:rsidRPr="00704821">
        <w:rPr>
          <w:rFonts w:ascii="Times New Roman" w:hAnsi="Times New Roman" w:cs="Times New Roman"/>
          <w:sz w:val="24"/>
          <w:szCs w:val="24"/>
        </w:rPr>
        <w:t>significa</w:t>
      </w:r>
      <w:r w:rsidRPr="00704821">
        <w:rPr>
          <w:rFonts w:ascii="Times New Roman" w:hAnsi="Times New Roman" w:cs="Times New Roman"/>
          <w:sz w:val="24"/>
          <w:szCs w:val="24"/>
        </w:rPr>
        <w:t>va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 satisfazer as necessidades do presente sem comprometer a possibilidade das gerações futuras atenderem as necessidades</w:t>
      </w:r>
      <w:r w:rsidR="00E5382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A23AE5">
        <w:rPr>
          <w:rFonts w:ascii="Times New Roman" w:hAnsi="Times New Roman" w:cs="Times New Roman"/>
          <w:sz w:val="24"/>
          <w:szCs w:val="24"/>
        </w:rPr>
        <w:t xml:space="preserve">delas </w:t>
      </w:r>
      <w:r w:rsidR="00E5382C" w:rsidRPr="00704821">
        <w:rPr>
          <w:rFonts w:ascii="Times New Roman" w:hAnsi="Times New Roman" w:cs="Times New Roman"/>
          <w:sz w:val="24"/>
          <w:szCs w:val="24"/>
        </w:rPr>
        <w:t>(WCED,</w:t>
      </w:r>
      <w:r w:rsidR="001A6A3D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5382C" w:rsidRPr="00704821">
        <w:rPr>
          <w:rFonts w:ascii="Times New Roman" w:hAnsi="Times New Roman" w:cs="Times New Roman"/>
          <w:sz w:val="24"/>
          <w:szCs w:val="24"/>
        </w:rPr>
        <w:t>1986)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. A diferença desse relatório em relação ao </w:t>
      </w:r>
      <w:r w:rsidRPr="00704821">
        <w:rPr>
          <w:rFonts w:ascii="Times New Roman" w:hAnsi="Times New Roman" w:cs="Times New Roman"/>
          <w:sz w:val="24"/>
          <w:szCs w:val="24"/>
        </w:rPr>
        <w:t>do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 Clube de Roma</w:t>
      </w:r>
      <w:r w:rsidR="003A66AF" w:rsidRPr="00704821">
        <w:rPr>
          <w:rFonts w:ascii="Times New Roman" w:hAnsi="Times New Roman" w:cs="Times New Roman"/>
          <w:sz w:val="24"/>
          <w:szCs w:val="24"/>
        </w:rPr>
        <w:t>,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 de 1972, é que não se buscava frear </w:t>
      </w:r>
      <w:r w:rsidRPr="00704821">
        <w:rPr>
          <w:rFonts w:ascii="Times New Roman" w:hAnsi="Times New Roman" w:cs="Times New Roman"/>
          <w:sz w:val="24"/>
          <w:szCs w:val="24"/>
        </w:rPr>
        <w:t>o crescimento econômico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Pr="00704821">
        <w:rPr>
          <w:rFonts w:ascii="Times New Roman" w:hAnsi="Times New Roman" w:cs="Times New Roman"/>
          <w:sz w:val="24"/>
          <w:szCs w:val="24"/>
        </w:rPr>
        <w:t>e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 sim, mantê-lo</w:t>
      </w:r>
      <w:r w:rsidRPr="00704821">
        <w:rPr>
          <w:rFonts w:ascii="Times New Roman" w:hAnsi="Times New Roman" w:cs="Times New Roman"/>
          <w:sz w:val="24"/>
          <w:szCs w:val="24"/>
        </w:rPr>
        <w:t>,</w:t>
      </w:r>
      <w:r w:rsidR="00F93BC2" w:rsidRPr="00704821">
        <w:rPr>
          <w:rFonts w:ascii="Times New Roman" w:hAnsi="Times New Roman" w:cs="Times New Roman"/>
          <w:sz w:val="24"/>
          <w:szCs w:val="24"/>
        </w:rPr>
        <w:t xml:space="preserve"> desde que sustentável (</w:t>
      </w:r>
      <w:r w:rsidR="00611D6A" w:rsidRPr="00704821">
        <w:rPr>
          <w:rFonts w:ascii="Times New Roman" w:hAnsi="Times New Roman" w:cs="Times New Roman"/>
          <w:sz w:val="24"/>
          <w:szCs w:val="24"/>
        </w:rPr>
        <w:t>OLIVEIRA</w:t>
      </w:r>
      <w:r w:rsidR="00F93BC2" w:rsidRPr="00704821">
        <w:rPr>
          <w:rFonts w:ascii="Times New Roman" w:hAnsi="Times New Roman" w:cs="Times New Roman"/>
          <w:sz w:val="24"/>
          <w:szCs w:val="24"/>
        </w:rPr>
        <w:t>, 2012</w:t>
      </w:r>
      <w:r w:rsidR="00E5382C" w:rsidRPr="00704821">
        <w:rPr>
          <w:rFonts w:ascii="Times New Roman" w:hAnsi="Times New Roman" w:cs="Times New Roman"/>
          <w:sz w:val="24"/>
          <w:szCs w:val="24"/>
        </w:rPr>
        <w:t>)</w:t>
      </w:r>
      <w:r w:rsidR="00F93BC2" w:rsidRPr="00704821">
        <w:rPr>
          <w:rFonts w:ascii="Times New Roman" w:hAnsi="Times New Roman" w:cs="Times New Roman"/>
          <w:sz w:val="24"/>
          <w:szCs w:val="24"/>
        </w:rPr>
        <w:t>.</w:t>
      </w:r>
      <w:r w:rsidR="00B56AB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527249" w:rsidRPr="00704821">
        <w:rPr>
          <w:rFonts w:ascii="Times New Roman" w:hAnsi="Times New Roman" w:cs="Times New Roman"/>
          <w:sz w:val="24"/>
          <w:szCs w:val="24"/>
        </w:rPr>
        <w:t xml:space="preserve">As empresas </w:t>
      </w:r>
      <w:r w:rsidR="000D7C89" w:rsidRPr="00704821">
        <w:rPr>
          <w:rFonts w:ascii="Times New Roman" w:hAnsi="Times New Roman" w:cs="Times New Roman"/>
          <w:sz w:val="24"/>
          <w:szCs w:val="24"/>
        </w:rPr>
        <w:t xml:space="preserve">passaram a utilizar </w:t>
      </w:r>
      <w:r w:rsidR="00527249" w:rsidRPr="00704821">
        <w:rPr>
          <w:rFonts w:ascii="Times New Roman" w:hAnsi="Times New Roman" w:cs="Times New Roman"/>
          <w:sz w:val="24"/>
          <w:szCs w:val="24"/>
        </w:rPr>
        <w:t xml:space="preserve">o termo RSC como sinônimo de </w:t>
      </w:r>
      <w:r w:rsidR="00444A5A" w:rsidRPr="00704821">
        <w:rPr>
          <w:rFonts w:ascii="Times New Roman" w:hAnsi="Times New Roman" w:cs="Times New Roman"/>
          <w:sz w:val="24"/>
          <w:szCs w:val="24"/>
        </w:rPr>
        <w:t>DS</w:t>
      </w:r>
      <w:r w:rsidR="00527249" w:rsidRPr="00704821">
        <w:rPr>
          <w:rFonts w:ascii="Times New Roman" w:hAnsi="Times New Roman" w:cs="Times New Roman"/>
          <w:sz w:val="24"/>
          <w:szCs w:val="24"/>
        </w:rPr>
        <w:t xml:space="preserve">, no entanto, enfocavam apenas questões ambientais e </w:t>
      </w:r>
      <w:r w:rsidR="00444A5A" w:rsidRPr="00704821">
        <w:rPr>
          <w:rFonts w:ascii="Times New Roman" w:hAnsi="Times New Roman" w:cs="Times New Roman"/>
          <w:sz w:val="24"/>
          <w:szCs w:val="24"/>
        </w:rPr>
        <w:t xml:space="preserve">os </w:t>
      </w:r>
      <w:r w:rsidR="00527249" w:rsidRPr="00704821">
        <w:rPr>
          <w:rFonts w:ascii="Times New Roman" w:hAnsi="Times New Roman" w:cs="Times New Roman"/>
          <w:sz w:val="24"/>
          <w:szCs w:val="24"/>
        </w:rPr>
        <w:t>aspectos sociais eram deixados de lado (</w:t>
      </w:r>
      <w:r w:rsidR="00611D6A">
        <w:rPr>
          <w:rFonts w:ascii="Times New Roman" w:hAnsi="Times New Roman" w:cs="Times New Roman"/>
          <w:sz w:val="24"/>
          <w:szCs w:val="24"/>
        </w:rPr>
        <w:t>BADEN e</w:t>
      </w:r>
      <w:r w:rsidR="00611D6A" w:rsidRPr="00704821">
        <w:rPr>
          <w:rFonts w:ascii="Times New Roman" w:hAnsi="Times New Roman" w:cs="Times New Roman"/>
          <w:sz w:val="24"/>
          <w:szCs w:val="24"/>
        </w:rPr>
        <w:t xml:space="preserve"> HARWOOD</w:t>
      </w:r>
      <w:r w:rsidR="00527249" w:rsidRPr="00704821">
        <w:rPr>
          <w:rFonts w:ascii="Times New Roman" w:hAnsi="Times New Roman" w:cs="Times New Roman"/>
          <w:sz w:val="24"/>
          <w:szCs w:val="24"/>
        </w:rPr>
        <w:t>, 2013)</w:t>
      </w:r>
      <w:r w:rsidR="00C87B32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6E2A6A08" w14:textId="146037BA" w:rsidR="00C47A13" w:rsidRPr="00704821" w:rsidRDefault="00C47A13" w:rsidP="00F0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Seguindo</w:t>
      </w:r>
      <w:r w:rsidR="00444A5A" w:rsidRPr="00704821">
        <w:rPr>
          <w:rFonts w:ascii="Times New Roman" w:hAnsi="Times New Roman" w:cs="Times New Roman"/>
          <w:sz w:val="24"/>
          <w:szCs w:val="24"/>
        </w:rPr>
        <w:t xml:space="preserve"> com a cronologia</w:t>
      </w:r>
      <w:r w:rsidRPr="00704821">
        <w:rPr>
          <w:rFonts w:ascii="Times New Roman" w:hAnsi="Times New Roman" w:cs="Times New Roman"/>
          <w:sz w:val="24"/>
          <w:szCs w:val="24"/>
        </w:rPr>
        <w:t xml:space="preserve">, no ano de 1992, ocorreu no Rio de Janeiro, a Eco 92. Tratou-se de uma conferência </w:t>
      </w:r>
      <w:r w:rsidR="002E37B1" w:rsidRPr="00704821">
        <w:rPr>
          <w:rFonts w:ascii="Times New Roman" w:hAnsi="Times New Roman" w:cs="Times New Roman"/>
          <w:sz w:val="24"/>
          <w:szCs w:val="24"/>
        </w:rPr>
        <w:t xml:space="preserve">mundial </w:t>
      </w:r>
      <w:r w:rsidRPr="00704821">
        <w:rPr>
          <w:rFonts w:ascii="Times New Roman" w:hAnsi="Times New Roman" w:cs="Times New Roman"/>
          <w:sz w:val="24"/>
          <w:szCs w:val="24"/>
        </w:rPr>
        <w:t xml:space="preserve">sobre </w:t>
      </w:r>
      <w:r w:rsidR="002E37B1" w:rsidRPr="00704821">
        <w:rPr>
          <w:rFonts w:ascii="Times New Roman" w:hAnsi="Times New Roman" w:cs="Times New Roman"/>
          <w:sz w:val="24"/>
          <w:szCs w:val="24"/>
        </w:rPr>
        <w:t xml:space="preserve">o </w:t>
      </w:r>
      <w:r w:rsidRPr="00704821">
        <w:rPr>
          <w:rFonts w:ascii="Times New Roman" w:hAnsi="Times New Roman" w:cs="Times New Roman"/>
          <w:sz w:val="24"/>
          <w:szCs w:val="24"/>
        </w:rPr>
        <w:t>meio ambien</w:t>
      </w:r>
      <w:r w:rsidR="00CC13C5">
        <w:rPr>
          <w:rFonts w:ascii="Times New Roman" w:hAnsi="Times New Roman" w:cs="Times New Roman"/>
          <w:sz w:val="24"/>
          <w:szCs w:val="24"/>
        </w:rPr>
        <w:t>te e desenvolvimento, perpassada</w:t>
      </w:r>
      <w:r w:rsidRPr="00704821">
        <w:rPr>
          <w:rFonts w:ascii="Times New Roman" w:hAnsi="Times New Roman" w:cs="Times New Roman"/>
          <w:sz w:val="24"/>
          <w:szCs w:val="24"/>
        </w:rPr>
        <w:t xml:space="preserve"> pela questão populacional</w:t>
      </w:r>
      <w:r w:rsidR="0000159F" w:rsidRPr="00704821">
        <w:rPr>
          <w:rFonts w:ascii="Times New Roman" w:hAnsi="Times New Roman" w:cs="Times New Roman"/>
          <w:sz w:val="24"/>
          <w:szCs w:val="24"/>
        </w:rPr>
        <w:t xml:space="preserve"> e </w:t>
      </w:r>
      <w:r w:rsidR="00F028EE" w:rsidRPr="00704821">
        <w:rPr>
          <w:rFonts w:ascii="Times New Roman" w:hAnsi="Times New Roman" w:cs="Times New Roman"/>
          <w:sz w:val="24"/>
          <w:szCs w:val="24"/>
        </w:rPr>
        <w:t>desdobramentos dos pontos de vista científico, diplomático, político,</w:t>
      </w:r>
      <w:r w:rsidR="0000159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028EE" w:rsidRPr="00704821">
        <w:rPr>
          <w:rFonts w:ascii="Times New Roman" w:hAnsi="Times New Roman" w:cs="Times New Roman"/>
          <w:sz w:val="24"/>
          <w:szCs w:val="24"/>
        </w:rPr>
        <w:t>social e da comunicação</w:t>
      </w:r>
      <w:r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394224" w:rsidRPr="00704821">
        <w:rPr>
          <w:rFonts w:ascii="Times New Roman" w:hAnsi="Times New Roman" w:cs="Times New Roman"/>
          <w:sz w:val="24"/>
          <w:szCs w:val="24"/>
        </w:rPr>
        <w:t>Na Eco 92</w:t>
      </w:r>
      <w:r w:rsidRPr="00704821">
        <w:rPr>
          <w:rFonts w:ascii="Times New Roman" w:hAnsi="Times New Roman" w:cs="Times New Roman"/>
          <w:sz w:val="24"/>
          <w:szCs w:val="24"/>
        </w:rPr>
        <w:t xml:space="preserve"> foi debatido sobre </w:t>
      </w:r>
      <w:r w:rsidR="00C85528" w:rsidRPr="00704821">
        <w:rPr>
          <w:rFonts w:ascii="Times New Roman" w:hAnsi="Times New Roman" w:cs="Times New Roman"/>
          <w:sz w:val="24"/>
          <w:szCs w:val="24"/>
        </w:rPr>
        <w:t xml:space="preserve">mudanças climáticas, </w:t>
      </w:r>
      <w:r w:rsidR="0022292D" w:rsidRPr="00704821">
        <w:rPr>
          <w:rFonts w:ascii="Times New Roman" w:hAnsi="Times New Roman" w:cs="Times New Roman"/>
          <w:sz w:val="24"/>
          <w:szCs w:val="24"/>
        </w:rPr>
        <w:t>redução d</w:t>
      </w:r>
      <w:r w:rsidRPr="00704821">
        <w:rPr>
          <w:rFonts w:ascii="Times New Roman" w:hAnsi="Times New Roman" w:cs="Times New Roman"/>
          <w:sz w:val="24"/>
          <w:szCs w:val="24"/>
        </w:rPr>
        <w:t xml:space="preserve">a pressão sobre </w:t>
      </w:r>
      <w:r w:rsidR="0022292D" w:rsidRPr="00704821">
        <w:rPr>
          <w:rFonts w:ascii="Times New Roman" w:hAnsi="Times New Roman" w:cs="Times New Roman"/>
          <w:sz w:val="24"/>
          <w:szCs w:val="24"/>
        </w:rPr>
        <w:t xml:space="preserve">os </w:t>
      </w:r>
      <w:r w:rsidRPr="00704821">
        <w:rPr>
          <w:rFonts w:ascii="Times New Roman" w:hAnsi="Times New Roman" w:cs="Times New Roman"/>
          <w:sz w:val="24"/>
          <w:szCs w:val="24"/>
        </w:rPr>
        <w:t xml:space="preserve">recursos naturais e problemas mundiais </w:t>
      </w:r>
      <w:r w:rsidR="0021009C" w:rsidRPr="00704821">
        <w:rPr>
          <w:rFonts w:ascii="Times New Roman" w:hAnsi="Times New Roman" w:cs="Times New Roman"/>
          <w:sz w:val="24"/>
          <w:szCs w:val="24"/>
        </w:rPr>
        <w:t xml:space="preserve">tais quais, </w:t>
      </w:r>
      <w:r w:rsidRPr="00704821">
        <w:rPr>
          <w:rFonts w:ascii="Times New Roman" w:hAnsi="Times New Roman" w:cs="Times New Roman"/>
          <w:sz w:val="24"/>
          <w:szCs w:val="24"/>
        </w:rPr>
        <w:t>miséria</w:t>
      </w:r>
      <w:r w:rsidR="0000159F" w:rsidRPr="00704821">
        <w:rPr>
          <w:rFonts w:ascii="Times New Roman" w:hAnsi="Times New Roman" w:cs="Times New Roman"/>
          <w:sz w:val="24"/>
          <w:szCs w:val="24"/>
        </w:rPr>
        <w:t xml:space="preserve"> e crescimento populacional</w:t>
      </w:r>
      <w:r w:rsidRPr="00704821">
        <w:rPr>
          <w:rFonts w:ascii="Times New Roman" w:hAnsi="Times New Roman" w:cs="Times New Roman"/>
          <w:sz w:val="24"/>
          <w:szCs w:val="24"/>
        </w:rPr>
        <w:t>.</w:t>
      </w:r>
      <w:r w:rsidR="00AC734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695291" w:rsidRPr="00704821">
        <w:rPr>
          <w:rFonts w:ascii="Times New Roman" w:hAnsi="Times New Roman" w:cs="Times New Roman"/>
          <w:sz w:val="24"/>
          <w:szCs w:val="24"/>
        </w:rPr>
        <w:t>Abordou-se</w:t>
      </w:r>
      <w:r w:rsidR="00394224" w:rsidRPr="00704821">
        <w:rPr>
          <w:rFonts w:ascii="Times New Roman" w:hAnsi="Times New Roman" w:cs="Times New Roman"/>
          <w:sz w:val="24"/>
          <w:szCs w:val="24"/>
        </w:rPr>
        <w:t xml:space="preserve"> a necessidade de alterações nos mercados de capitais, e que as empresas </w:t>
      </w:r>
      <w:r w:rsidR="00695291" w:rsidRPr="00704821">
        <w:rPr>
          <w:rFonts w:ascii="Times New Roman" w:hAnsi="Times New Roman" w:cs="Times New Roman"/>
          <w:sz w:val="24"/>
          <w:szCs w:val="24"/>
        </w:rPr>
        <w:t xml:space="preserve">deveriam </w:t>
      </w:r>
      <w:r w:rsidR="00394224" w:rsidRPr="00704821">
        <w:rPr>
          <w:rFonts w:ascii="Times New Roman" w:hAnsi="Times New Roman" w:cs="Times New Roman"/>
          <w:sz w:val="24"/>
          <w:szCs w:val="24"/>
        </w:rPr>
        <w:t xml:space="preserve">agir além da </w:t>
      </w:r>
      <w:r w:rsidR="00611D6A" w:rsidRPr="00704821">
        <w:rPr>
          <w:rFonts w:ascii="Times New Roman" w:hAnsi="Times New Roman" w:cs="Times New Roman"/>
          <w:sz w:val="24"/>
          <w:szCs w:val="24"/>
        </w:rPr>
        <w:t>aquiescência</w:t>
      </w:r>
      <w:r w:rsidR="00394224" w:rsidRPr="00704821">
        <w:rPr>
          <w:rFonts w:ascii="Times New Roman" w:hAnsi="Times New Roman" w:cs="Times New Roman"/>
          <w:sz w:val="24"/>
          <w:szCs w:val="24"/>
        </w:rPr>
        <w:t xml:space="preserve"> em relação às questões socioambientais</w:t>
      </w:r>
      <w:r w:rsidR="00695291" w:rsidRPr="00704821">
        <w:rPr>
          <w:rFonts w:ascii="Times New Roman" w:hAnsi="Times New Roman" w:cs="Times New Roman"/>
          <w:sz w:val="24"/>
          <w:szCs w:val="24"/>
        </w:rPr>
        <w:t>. Também</w:t>
      </w:r>
      <w:r w:rsidR="00394224" w:rsidRPr="00704821">
        <w:rPr>
          <w:rFonts w:ascii="Times New Roman" w:hAnsi="Times New Roman" w:cs="Times New Roman"/>
          <w:sz w:val="24"/>
          <w:szCs w:val="24"/>
        </w:rPr>
        <w:t>, a</w:t>
      </w:r>
      <w:r w:rsidR="00213543" w:rsidRPr="00704821">
        <w:rPr>
          <w:rFonts w:ascii="Times New Roman" w:hAnsi="Times New Roman" w:cs="Times New Roman"/>
          <w:sz w:val="24"/>
          <w:szCs w:val="24"/>
        </w:rPr>
        <w:t xml:space="preserve">s agendas </w:t>
      </w:r>
      <w:r w:rsidR="00A600BB" w:rsidRPr="00704821">
        <w:rPr>
          <w:rFonts w:ascii="Times New Roman" w:hAnsi="Times New Roman" w:cs="Times New Roman"/>
          <w:sz w:val="24"/>
          <w:szCs w:val="24"/>
        </w:rPr>
        <w:t xml:space="preserve">da RSC </w:t>
      </w:r>
      <w:r w:rsidR="00213543" w:rsidRPr="00704821">
        <w:rPr>
          <w:rFonts w:ascii="Times New Roman" w:hAnsi="Times New Roman" w:cs="Times New Roman"/>
          <w:sz w:val="24"/>
          <w:szCs w:val="24"/>
        </w:rPr>
        <w:t>foram profissionalizadas</w:t>
      </w:r>
      <w:r w:rsidR="00394224" w:rsidRPr="00704821">
        <w:rPr>
          <w:rFonts w:ascii="Times New Roman" w:hAnsi="Times New Roman" w:cs="Times New Roman"/>
          <w:sz w:val="24"/>
          <w:szCs w:val="24"/>
        </w:rPr>
        <w:t xml:space="preserve"> e </w:t>
      </w:r>
      <w:r w:rsidR="00A600BB" w:rsidRPr="00704821">
        <w:rPr>
          <w:rFonts w:ascii="Times New Roman" w:hAnsi="Times New Roman" w:cs="Times New Roman"/>
          <w:sz w:val="24"/>
          <w:szCs w:val="24"/>
        </w:rPr>
        <w:t xml:space="preserve">exigiram informações para controle social </w:t>
      </w:r>
      <w:r w:rsidR="00C85528" w:rsidRPr="00704821">
        <w:rPr>
          <w:rFonts w:ascii="Times New Roman" w:hAnsi="Times New Roman" w:cs="Times New Roman"/>
          <w:sz w:val="24"/>
          <w:szCs w:val="24"/>
        </w:rPr>
        <w:t xml:space="preserve">e monitoramento das atividades </w:t>
      </w:r>
      <w:r w:rsidR="00A600BB" w:rsidRPr="00704821">
        <w:rPr>
          <w:rFonts w:ascii="Times New Roman" w:hAnsi="Times New Roman" w:cs="Times New Roman"/>
          <w:sz w:val="24"/>
          <w:szCs w:val="24"/>
        </w:rPr>
        <w:t>(</w:t>
      </w:r>
      <w:r w:rsidR="00611D6A" w:rsidRPr="00704821">
        <w:rPr>
          <w:rFonts w:ascii="Times New Roman" w:hAnsi="Times New Roman" w:cs="Times New Roman"/>
          <w:sz w:val="24"/>
          <w:szCs w:val="24"/>
        </w:rPr>
        <w:t>NOVAES</w:t>
      </w:r>
      <w:r w:rsidR="00A600BB" w:rsidRPr="00704821">
        <w:rPr>
          <w:rFonts w:ascii="Times New Roman" w:hAnsi="Times New Roman" w:cs="Times New Roman"/>
          <w:sz w:val="24"/>
          <w:szCs w:val="24"/>
        </w:rPr>
        <w:t xml:space="preserve">, 1992, </w:t>
      </w:r>
      <w:r w:rsidR="00611D6A" w:rsidRPr="00704821">
        <w:rPr>
          <w:rFonts w:ascii="Times New Roman" w:hAnsi="Times New Roman" w:cs="Times New Roman"/>
          <w:sz w:val="24"/>
          <w:szCs w:val="24"/>
        </w:rPr>
        <w:t>ELKINGTON</w:t>
      </w:r>
      <w:r w:rsidR="00A600BB" w:rsidRPr="00704821">
        <w:rPr>
          <w:rFonts w:ascii="Times New Roman" w:hAnsi="Times New Roman" w:cs="Times New Roman"/>
          <w:sz w:val="24"/>
          <w:szCs w:val="24"/>
        </w:rPr>
        <w:t>, 2012)</w:t>
      </w:r>
      <w:r w:rsidR="00394224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15E38522" w14:textId="7B6C16B8" w:rsidR="00BE446D" w:rsidRPr="00704821" w:rsidRDefault="00D72765" w:rsidP="005E6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Mais um marco da RSC</w:t>
      </w:r>
      <w:r w:rsidR="00444A5A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foi a concepção do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 conceito de </w:t>
      </w:r>
      <w:r w:rsidR="00BA0474" w:rsidRPr="00704821">
        <w:rPr>
          <w:rFonts w:ascii="Times New Roman" w:hAnsi="Times New Roman" w:cs="Times New Roman"/>
          <w:i/>
          <w:sz w:val="24"/>
          <w:szCs w:val="24"/>
        </w:rPr>
        <w:t>Triple Botton Line</w:t>
      </w:r>
      <w:r w:rsidR="00BA0474" w:rsidRPr="00704821">
        <w:rPr>
          <w:rFonts w:ascii="Times New Roman" w:hAnsi="Times New Roman" w:cs="Times New Roman"/>
          <w:sz w:val="24"/>
          <w:szCs w:val="24"/>
        </w:rPr>
        <w:t xml:space="preserve"> (</w:t>
      </w:r>
      <w:r w:rsidR="005216A7" w:rsidRPr="00704821">
        <w:rPr>
          <w:rFonts w:ascii="Times New Roman" w:hAnsi="Times New Roman" w:cs="Times New Roman"/>
          <w:sz w:val="24"/>
          <w:szCs w:val="24"/>
        </w:rPr>
        <w:t>TBL</w:t>
      </w:r>
      <w:r w:rsidR="00BA0474" w:rsidRPr="00704821">
        <w:rPr>
          <w:rFonts w:ascii="Times New Roman" w:hAnsi="Times New Roman" w:cs="Times New Roman"/>
          <w:sz w:val="24"/>
          <w:szCs w:val="24"/>
        </w:rPr>
        <w:t>)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começou a ser utilizado </w:t>
      </w:r>
      <w:r w:rsidR="006F29A6">
        <w:rPr>
          <w:rFonts w:ascii="Times New Roman" w:hAnsi="Times New Roman" w:cs="Times New Roman"/>
          <w:sz w:val="24"/>
          <w:szCs w:val="24"/>
        </w:rPr>
        <w:t>pelas empresas</w:t>
      </w:r>
      <w:r w:rsidR="005216A7" w:rsidRPr="00704821">
        <w:rPr>
          <w:rFonts w:ascii="Times New Roman" w:hAnsi="Times New Roman" w:cs="Times New Roman"/>
          <w:sz w:val="24"/>
          <w:szCs w:val="24"/>
        </w:rPr>
        <w:t>,</w:t>
      </w:r>
      <w:r w:rsidR="00C668D2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5216A7" w:rsidRPr="00704821">
        <w:rPr>
          <w:rFonts w:ascii="Times New Roman" w:hAnsi="Times New Roman" w:cs="Times New Roman"/>
          <w:sz w:val="24"/>
          <w:szCs w:val="24"/>
        </w:rPr>
        <w:t>a partir da publicação de Elkington</w:t>
      </w:r>
      <w:r w:rsidR="00CA6A68" w:rsidRPr="00704821">
        <w:rPr>
          <w:rFonts w:ascii="Times New Roman" w:hAnsi="Times New Roman" w:cs="Times New Roman"/>
          <w:sz w:val="24"/>
          <w:szCs w:val="24"/>
        </w:rPr>
        <w:t xml:space="preserve">, em 1994, 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na </w:t>
      </w:r>
      <w:r w:rsidR="005216A7" w:rsidRPr="00704821">
        <w:rPr>
          <w:rFonts w:ascii="Times New Roman" w:hAnsi="Times New Roman" w:cs="Times New Roman"/>
          <w:i/>
          <w:sz w:val="24"/>
          <w:szCs w:val="24"/>
        </w:rPr>
        <w:t xml:space="preserve">California Management </w:t>
      </w:r>
      <w:r w:rsidR="00AD5AB0" w:rsidRPr="00704821">
        <w:rPr>
          <w:rFonts w:ascii="Times New Roman" w:hAnsi="Times New Roman" w:cs="Times New Roman"/>
          <w:i/>
          <w:sz w:val="24"/>
          <w:szCs w:val="24"/>
        </w:rPr>
        <w:t>Review</w:t>
      </w:r>
      <w:r w:rsidR="00AD5AB0" w:rsidRPr="00704821">
        <w:rPr>
          <w:rFonts w:ascii="Times New Roman" w:hAnsi="Times New Roman" w:cs="Times New Roman"/>
          <w:sz w:val="24"/>
          <w:szCs w:val="24"/>
        </w:rPr>
        <w:t xml:space="preserve"> sobre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 estratégias de negócios </w:t>
      </w:r>
      <w:r w:rsidR="005216A7" w:rsidRPr="00704821">
        <w:rPr>
          <w:rFonts w:ascii="Times New Roman" w:hAnsi="Times New Roman" w:cs="Times New Roman"/>
          <w:i/>
          <w:sz w:val="24"/>
          <w:szCs w:val="24"/>
        </w:rPr>
        <w:t>win–win–win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C668D2" w:rsidRPr="00704821">
        <w:rPr>
          <w:rFonts w:ascii="Times New Roman" w:hAnsi="Times New Roman" w:cs="Times New Roman"/>
          <w:sz w:val="24"/>
          <w:szCs w:val="24"/>
        </w:rPr>
        <w:t xml:space="preserve">e após 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a </w:t>
      </w:r>
      <w:r w:rsidR="005216A7" w:rsidRPr="00704821">
        <w:rPr>
          <w:rFonts w:ascii="Times New Roman" w:hAnsi="Times New Roman" w:cs="Times New Roman"/>
          <w:sz w:val="24"/>
          <w:szCs w:val="24"/>
        </w:rPr>
        <w:lastRenderedPageBreak/>
        <w:t xml:space="preserve">publicação do reporte da </w:t>
      </w:r>
      <w:r w:rsidR="00BE446D" w:rsidRPr="0051641A">
        <w:rPr>
          <w:rFonts w:ascii="Times New Roman" w:hAnsi="Times New Roman" w:cs="Times New Roman"/>
          <w:i/>
          <w:sz w:val="24"/>
          <w:szCs w:val="24"/>
        </w:rPr>
        <w:t>S</w:t>
      </w:r>
      <w:r w:rsidR="005216A7" w:rsidRPr="0051641A">
        <w:rPr>
          <w:rFonts w:ascii="Times New Roman" w:hAnsi="Times New Roman" w:cs="Times New Roman"/>
          <w:i/>
          <w:sz w:val="24"/>
          <w:szCs w:val="24"/>
        </w:rPr>
        <w:t>ustainAbility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 em 1996 </w:t>
      </w:r>
      <w:r w:rsidR="005216A7" w:rsidRPr="00704821">
        <w:rPr>
          <w:rFonts w:ascii="Times New Roman" w:hAnsi="Times New Roman" w:cs="Times New Roman"/>
          <w:i/>
          <w:sz w:val="24"/>
          <w:szCs w:val="24"/>
        </w:rPr>
        <w:t>Engaging Stakeholders</w:t>
      </w:r>
      <w:r w:rsidR="00242E02" w:rsidRPr="00704821">
        <w:rPr>
          <w:rFonts w:ascii="Times New Roman" w:hAnsi="Times New Roman" w:cs="Times New Roman"/>
          <w:sz w:val="24"/>
          <w:szCs w:val="24"/>
        </w:rPr>
        <w:t>. E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m 1997, com a o livro de </w:t>
      </w:r>
      <w:r w:rsidR="00BE446D" w:rsidRPr="00704821">
        <w:rPr>
          <w:rFonts w:ascii="Times New Roman" w:hAnsi="Times New Roman" w:cs="Times New Roman"/>
          <w:sz w:val="24"/>
          <w:szCs w:val="24"/>
        </w:rPr>
        <w:t>E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lkington, </w:t>
      </w:r>
      <w:r w:rsidR="005216A7" w:rsidRPr="00704821">
        <w:rPr>
          <w:rFonts w:ascii="Times New Roman" w:hAnsi="Times New Roman" w:cs="Times New Roman"/>
          <w:i/>
          <w:sz w:val="24"/>
          <w:szCs w:val="24"/>
        </w:rPr>
        <w:t>Cannibals with Forks: The Triple Bottom Line of 21st Century Business</w:t>
      </w:r>
      <w:r w:rsidR="00242E02" w:rsidRPr="007048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2E02" w:rsidRPr="00704821">
        <w:rPr>
          <w:rFonts w:ascii="Times New Roman" w:hAnsi="Times New Roman" w:cs="Times New Roman"/>
          <w:sz w:val="24"/>
          <w:szCs w:val="24"/>
        </w:rPr>
        <w:t xml:space="preserve">o termo </w:t>
      </w:r>
      <w:r w:rsidR="00744DF4" w:rsidRPr="00704821">
        <w:rPr>
          <w:rFonts w:ascii="Times New Roman" w:hAnsi="Times New Roman" w:cs="Times New Roman"/>
          <w:sz w:val="24"/>
          <w:szCs w:val="24"/>
        </w:rPr>
        <w:t xml:space="preserve">TBL </w:t>
      </w:r>
      <w:r w:rsidR="00242E02" w:rsidRPr="00704821">
        <w:rPr>
          <w:rFonts w:ascii="Times New Roman" w:hAnsi="Times New Roman" w:cs="Times New Roman"/>
          <w:sz w:val="24"/>
          <w:szCs w:val="24"/>
        </w:rPr>
        <w:t>consolidou-se</w:t>
      </w:r>
      <w:r w:rsidR="005216A7" w:rsidRPr="00704821">
        <w:rPr>
          <w:rFonts w:ascii="Times New Roman" w:hAnsi="Times New Roman" w:cs="Times New Roman"/>
          <w:sz w:val="24"/>
          <w:szCs w:val="24"/>
        </w:rPr>
        <w:t>.</w:t>
      </w:r>
      <w:r w:rsidR="00BE446D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6F29A6">
        <w:rPr>
          <w:rFonts w:ascii="Times New Roman" w:hAnsi="Times New Roman" w:cs="Times New Roman"/>
          <w:sz w:val="24"/>
          <w:szCs w:val="24"/>
        </w:rPr>
        <w:t>Menciona-se que e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m </w:t>
      </w:r>
      <w:r w:rsidR="00682772" w:rsidRPr="00704821">
        <w:rPr>
          <w:rFonts w:ascii="Times New Roman" w:hAnsi="Times New Roman" w:cs="Times New Roman"/>
          <w:sz w:val="24"/>
          <w:szCs w:val="24"/>
        </w:rPr>
        <w:t xml:space="preserve">1995, 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a fórmula dos 3P </w:t>
      </w:r>
      <w:r w:rsidR="005216A7" w:rsidRPr="00704821">
        <w:rPr>
          <w:rFonts w:ascii="Times New Roman" w:hAnsi="Times New Roman" w:cs="Times New Roman"/>
          <w:i/>
          <w:sz w:val="24"/>
          <w:szCs w:val="24"/>
        </w:rPr>
        <w:t>people, planet and profits</w:t>
      </w:r>
      <w:r w:rsidR="005216A7" w:rsidRPr="00704821">
        <w:rPr>
          <w:rFonts w:ascii="Times New Roman" w:hAnsi="Times New Roman" w:cs="Times New Roman"/>
          <w:sz w:val="24"/>
          <w:szCs w:val="24"/>
        </w:rPr>
        <w:t>, foi adotad</w:t>
      </w:r>
      <w:r w:rsidR="00C72C63" w:rsidRPr="00704821">
        <w:rPr>
          <w:rFonts w:ascii="Times New Roman" w:hAnsi="Times New Roman" w:cs="Times New Roman"/>
          <w:sz w:val="24"/>
          <w:szCs w:val="24"/>
        </w:rPr>
        <w:t>a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242E02" w:rsidRPr="00704821">
        <w:rPr>
          <w:rFonts w:ascii="Times New Roman" w:hAnsi="Times New Roman" w:cs="Times New Roman"/>
          <w:sz w:val="24"/>
          <w:szCs w:val="24"/>
        </w:rPr>
        <w:t xml:space="preserve">pela </w:t>
      </w:r>
      <w:r w:rsidR="00BA0474" w:rsidRPr="00704821">
        <w:rPr>
          <w:rFonts w:ascii="Times New Roman" w:hAnsi="Times New Roman" w:cs="Times New Roman"/>
          <w:sz w:val="24"/>
          <w:szCs w:val="24"/>
        </w:rPr>
        <w:t xml:space="preserve">companhia de petróleo </w:t>
      </w:r>
      <w:r w:rsidR="005216A7" w:rsidRPr="00704821">
        <w:rPr>
          <w:rFonts w:ascii="Times New Roman" w:hAnsi="Times New Roman" w:cs="Times New Roman"/>
          <w:sz w:val="24"/>
          <w:szCs w:val="24"/>
        </w:rPr>
        <w:t>Shell</w:t>
      </w:r>
      <w:r w:rsidR="00BA0474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BE446D" w:rsidRPr="00704821">
        <w:rPr>
          <w:rFonts w:ascii="Times New Roman" w:hAnsi="Times New Roman" w:cs="Times New Roman"/>
          <w:sz w:val="24"/>
          <w:szCs w:val="24"/>
        </w:rPr>
        <w:t>e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242E02" w:rsidRPr="00704821">
        <w:rPr>
          <w:rFonts w:ascii="Times New Roman" w:hAnsi="Times New Roman" w:cs="Times New Roman"/>
          <w:sz w:val="24"/>
          <w:szCs w:val="24"/>
        </w:rPr>
        <w:t>outras</w:t>
      </w:r>
      <w:r w:rsidR="005216A7" w:rsidRPr="00704821">
        <w:rPr>
          <w:rFonts w:ascii="Times New Roman" w:hAnsi="Times New Roman" w:cs="Times New Roman"/>
          <w:sz w:val="24"/>
          <w:szCs w:val="24"/>
        </w:rPr>
        <w:t xml:space="preserve"> empresas holandesas.</w:t>
      </w:r>
      <w:r w:rsidR="004A74E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22CC9" w:rsidRPr="00704821">
        <w:rPr>
          <w:rFonts w:ascii="Times New Roman" w:hAnsi="Times New Roman" w:cs="Times New Roman"/>
          <w:sz w:val="24"/>
          <w:szCs w:val="24"/>
        </w:rPr>
        <w:t xml:space="preserve">O TBL </w:t>
      </w:r>
      <w:r w:rsidR="000F25F2" w:rsidRPr="00704821">
        <w:rPr>
          <w:rFonts w:ascii="Times New Roman" w:hAnsi="Times New Roman" w:cs="Times New Roman"/>
          <w:sz w:val="24"/>
          <w:szCs w:val="24"/>
        </w:rPr>
        <w:t>definiu que</w:t>
      </w:r>
      <w:r w:rsidR="004A74E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AF41FF" w:rsidRPr="00704821">
        <w:rPr>
          <w:rFonts w:ascii="Times New Roman" w:hAnsi="Times New Roman" w:cs="Times New Roman"/>
          <w:sz w:val="24"/>
          <w:szCs w:val="24"/>
        </w:rPr>
        <w:t xml:space="preserve">o DS </w:t>
      </w:r>
      <w:r w:rsidR="004A74E5" w:rsidRPr="00704821">
        <w:rPr>
          <w:rFonts w:ascii="Times New Roman" w:hAnsi="Times New Roman" w:cs="Times New Roman"/>
          <w:sz w:val="24"/>
          <w:szCs w:val="24"/>
        </w:rPr>
        <w:t xml:space="preserve">somente ocorre quando são satisfeitas as </w:t>
      </w:r>
      <w:r w:rsidR="00BA0474" w:rsidRPr="00704821">
        <w:rPr>
          <w:rFonts w:ascii="Times New Roman" w:hAnsi="Times New Roman" w:cs="Times New Roman"/>
          <w:sz w:val="24"/>
          <w:szCs w:val="24"/>
        </w:rPr>
        <w:t>3</w:t>
      </w:r>
      <w:r w:rsidR="004A74E5" w:rsidRPr="00704821">
        <w:rPr>
          <w:rFonts w:ascii="Times New Roman" w:hAnsi="Times New Roman" w:cs="Times New Roman"/>
          <w:sz w:val="24"/>
          <w:szCs w:val="24"/>
        </w:rPr>
        <w:t xml:space="preserve"> dimensões, quais </w:t>
      </w:r>
      <w:r w:rsidR="00BE446D" w:rsidRPr="00704821">
        <w:rPr>
          <w:rFonts w:ascii="Times New Roman" w:hAnsi="Times New Roman" w:cs="Times New Roman"/>
          <w:sz w:val="24"/>
          <w:szCs w:val="24"/>
        </w:rPr>
        <w:t>s</w:t>
      </w:r>
      <w:r w:rsidR="004A74E5" w:rsidRPr="00704821">
        <w:rPr>
          <w:rFonts w:ascii="Times New Roman" w:hAnsi="Times New Roman" w:cs="Times New Roman"/>
          <w:sz w:val="24"/>
          <w:szCs w:val="24"/>
        </w:rPr>
        <w:t>eja</w:t>
      </w:r>
      <w:r w:rsidR="004C1529" w:rsidRPr="00704821">
        <w:rPr>
          <w:rFonts w:ascii="Times New Roman" w:hAnsi="Times New Roman" w:cs="Times New Roman"/>
          <w:sz w:val="24"/>
          <w:szCs w:val="24"/>
        </w:rPr>
        <w:t>m</w:t>
      </w:r>
      <w:r w:rsidR="009E3590" w:rsidRPr="00704821">
        <w:rPr>
          <w:rFonts w:ascii="Times New Roman" w:hAnsi="Times New Roman" w:cs="Times New Roman"/>
          <w:sz w:val="24"/>
          <w:szCs w:val="24"/>
        </w:rPr>
        <w:t>:</w:t>
      </w:r>
      <w:r w:rsidR="004C1529" w:rsidRPr="00704821">
        <w:rPr>
          <w:rFonts w:ascii="Times New Roman" w:hAnsi="Times New Roman" w:cs="Times New Roman"/>
          <w:sz w:val="24"/>
          <w:szCs w:val="24"/>
        </w:rPr>
        <w:t xml:space="preserve"> econômica, social e ambiental, </w:t>
      </w:r>
      <w:r w:rsidR="00197A4A" w:rsidRPr="00704821">
        <w:rPr>
          <w:rFonts w:ascii="Times New Roman" w:hAnsi="Times New Roman" w:cs="Times New Roman"/>
          <w:sz w:val="24"/>
          <w:szCs w:val="24"/>
        </w:rPr>
        <w:t>equitativamente</w:t>
      </w:r>
      <w:r w:rsidR="004C1529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4A74E5" w:rsidRPr="00704821">
        <w:rPr>
          <w:rFonts w:ascii="Times New Roman" w:hAnsi="Times New Roman" w:cs="Times New Roman"/>
          <w:sz w:val="24"/>
          <w:szCs w:val="24"/>
        </w:rPr>
        <w:t>(</w:t>
      </w:r>
      <w:r w:rsidR="00FB3272" w:rsidRPr="00704821">
        <w:rPr>
          <w:rFonts w:ascii="Times New Roman" w:hAnsi="Times New Roman" w:cs="Times New Roman"/>
          <w:sz w:val="24"/>
          <w:szCs w:val="24"/>
        </w:rPr>
        <w:t>ELKINGTON</w:t>
      </w:r>
      <w:r w:rsidR="004A74E5" w:rsidRPr="00704821">
        <w:rPr>
          <w:rFonts w:ascii="Times New Roman" w:hAnsi="Times New Roman" w:cs="Times New Roman"/>
          <w:sz w:val="24"/>
          <w:szCs w:val="24"/>
        </w:rPr>
        <w:t>, 2012).</w:t>
      </w:r>
      <w:r w:rsidR="00FC3F74" w:rsidRPr="00704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9E80B" w14:textId="6723A1A4" w:rsidR="00623281" w:rsidRPr="00704821" w:rsidRDefault="00623281" w:rsidP="00623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Por ocasião da Conferência </w:t>
      </w:r>
      <w:r w:rsidR="001723BE" w:rsidRPr="00704821">
        <w:rPr>
          <w:rFonts w:ascii="Times New Roman" w:hAnsi="Times New Roman" w:cs="Times New Roman"/>
          <w:sz w:val="24"/>
          <w:szCs w:val="24"/>
        </w:rPr>
        <w:t xml:space="preserve">da ONU, </w:t>
      </w:r>
      <w:r w:rsidRPr="00704821">
        <w:rPr>
          <w:rFonts w:ascii="Times New Roman" w:hAnsi="Times New Roman" w:cs="Times New Roman"/>
          <w:sz w:val="24"/>
          <w:szCs w:val="24"/>
        </w:rPr>
        <w:t>RIO+10, em</w:t>
      </w:r>
      <w:r w:rsidR="00A320FD" w:rsidRPr="00704821">
        <w:rPr>
          <w:rFonts w:ascii="Times New Roman" w:hAnsi="Times New Roman" w:cs="Times New Roman"/>
          <w:sz w:val="24"/>
          <w:szCs w:val="24"/>
        </w:rPr>
        <w:t xml:space="preserve"> Johanesburgo,</w:t>
      </w:r>
      <w:r w:rsidRPr="00704821">
        <w:rPr>
          <w:rFonts w:ascii="Times New Roman" w:hAnsi="Times New Roman" w:cs="Times New Roman"/>
          <w:sz w:val="24"/>
          <w:szCs w:val="24"/>
        </w:rPr>
        <w:t xml:space="preserve"> 2002, foi </w:t>
      </w:r>
      <w:r w:rsidR="008A3D54" w:rsidRPr="00704821">
        <w:rPr>
          <w:rFonts w:ascii="Times New Roman" w:hAnsi="Times New Roman" w:cs="Times New Roman"/>
          <w:sz w:val="24"/>
          <w:szCs w:val="24"/>
        </w:rPr>
        <w:t>ratificada</w:t>
      </w:r>
      <w:r w:rsidR="00444A5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a Carta da Terra</w:t>
      </w:r>
      <w:r w:rsidR="00444A5A" w:rsidRPr="00704821">
        <w:rPr>
          <w:rFonts w:ascii="Times New Roman" w:hAnsi="Times New Roman" w:cs="Times New Roman"/>
          <w:sz w:val="24"/>
          <w:szCs w:val="24"/>
        </w:rPr>
        <w:t>, documento</w:t>
      </w:r>
      <w:r w:rsidRPr="00704821">
        <w:rPr>
          <w:rFonts w:ascii="Times New Roman" w:hAnsi="Times New Roman" w:cs="Times New Roman"/>
          <w:sz w:val="24"/>
          <w:szCs w:val="24"/>
        </w:rPr>
        <w:t xml:space="preserve"> elaborad</w:t>
      </w:r>
      <w:r w:rsidR="00444A5A" w:rsidRPr="00704821">
        <w:rPr>
          <w:rFonts w:ascii="Times New Roman" w:hAnsi="Times New Roman" w:cs="Times New Roman"/>
          <w:sz w:val="24"/>
          <w:szCs w:val="24"/>
        </w:rPr>
        <w:t>o</w:t>
      </w:r>
      <w:r w:rsidRPr="00704821">
        <w:rPr>
          <w:rFonts w:ascii="Times New Roman" w:hAnsi="Times New Roman" w:cs="Times New Roman"/>
          <w:sz w:val="24"/>
          <w:szCs w:val="24"/>
        </w:rPr>
        <w:t xml:space="preserve"> de forma consensual e com a contribuição de governos e instituições de 179 países. </w:t>
      </w:r>
      <w:r w:rsidR="009E3590" w:rsidRPr="00704821">
        <w:rPr>
          <w:rFonts w:ascii="Times New Roman" w:hAnsi="Times New Roman" w:cs="Times New Roman"/>
          <w:sz w:val="24"/>
          <w:szCs w:val="24"/>
        </w:rPr>
        <w:t xml:space="preserve">Esse </w:t>
      </w:r>
      <w:r w:rsidRPr="00704821">
        <w:rPr>
          <w:rFonts w:ascii="Times New Roman" w:hAnsi="Times New Roman" w:cs="Times New Roman"/>
          <w:sz w:val="24"/>
          <w:szCs w:val="24"/>
        </w:rPr>
        <w:t xml:space="preserve">documento, </w:t>
      </w:r>
      <w:r w:rsidR="009E3590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Pr="00704821">
        <w:rPr>
          <w:rFonts w:ascii="Times New Roman" w:hAnsi="Times New Roman" w:cs="Times New Roman"/>
          <w:sz w:val="24"/>
          <w:szCs w:val="24"/>
        </w:rPr>
        <w:t xml:space="preserve">reconhece a </w:t>
      </w:r>
      <w:r w:rsidR="00817141" w:rsidRPr="00704821">
        <w:rPr>
          <w:rFonts w:ascii="Times New Roman" w:hAnsi="Times New Roman" w:cs="Times New Roman"/>
          <w:sz w:val="24"/>
          <w:szCs w:val="24"/>
        </w:rPr>
        <w:t>RSC</w:t>
      </w:r>
      <w:r w:rsidRPr="00704821">
        <w:rPr>
          <w:rFonts w:ascii="Times New Roman" w:hAnsi="Times New Roman" w:cs="Times New Roman"/>
          <w:sz w:val="24"/>
          <w:szCs w:val="24"/>
        </w:rPr>
        <w:t xml:space="preserve"> acerca do meio ambiente</w:t>
      </w:r>
      <w:r w:rsidR="009E3590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é subdividido em quatro partes: 1. Respeitar e cuidar da comunidade da vida; 2. Integridade ecológica; 3. Justiça social e econômica; 4. Democracia, não violência e paz (ONU, 20</w:t>
      </w:r>
      <w:r w:rsidR="001C0BEA" w:rsidRPr="00704821">
        <w:rPr>
          <w:rFonts w:ascii="Times New Roman" w:hAnsi="Times New Roman" w:cs="Times New Roman"/>
          <w:sz w:val="24"/>
          <w:szCs w:val="24"/>
        </w:rPr>
        <w:t>0</w:t>
      </w:r>
      <w:r w:rsidRPr="00704821">
        <w:rPr>
          <w:rFonts w:ascii="Times New Roman" w:hAnsi="Times New Roman" w:cs="Times New Roman"/>
          <w:sz w:val="24"/>
          <w:szCs w:val="24"/>
        </w:rPr>
        <w:t xml:space="preserve">2). </w:t>
      </w:r>
    </w:p>
    <w:p w14:paraId="7A77E8CD" w14:textId="06382205" w:rsidR="00290274" w:rsidRPr="00704821" w:rsidRDefault="00A56FD6" w:rsidP="005E6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Outro marco </w:t>
      </w:r>
      <w:r w:rsidR="001E5B20" w:rsidRPr="00704821">
        <w:rPr>
          <w:rFonts w:ascii="Times New Roman" w:hAnsi="Times New Roman" w:cs="Times New Roman"/>
          <w:sz w:val="24"/>
          <w:szCs w:val="24"/>
        </w:rPr>
        <w:t>da RSC</w:t>
      </w:r>
      <w:r w:rsidR="00394087" w:rsidRPr="00704821">
        <w:rPr>
          <w:rFonts w:ascii="Times New Roman" w:hAnsi="Times New Roman" w:cs="Times New Roman"/>
          <w:sz w:val="24"/>
          <w:szCs w:val="24"/>
        </w:rPr>
        <w:t xml:space="preserve"> foi a </w:t>
      </w:r>
      <w:r w:rsidR="001723BE" w:rsidRPr="00704821">
        <w:rPr>
          <w:rFonts w:ascii="Times New Roman" w:hAnsi="Times New Roman" w:cs="Times New Roman"/>
          <w:sz w:val="24"/>
          <w:szCs w:val="24"/>
        </w:rPr>
        <w:t xml:space="preserve">Conferência da ONU </w:t>
      </w:r>
      <w:r w:rsidR="00394087" w:rsidRPr="00704821">
        <w:rPr>
          <w:rFonts w:ascii="Times New Roman" w:hAnsi="Times New Roman" w:cs="Times New Roman"/>
          <w:sz w:val="24"/>
          <w:szCs w:val="24"/>
        </w:rPr>
        <w:t>RIO</w:t>
      </w:r>
      <w:r w:rsidRPr="00704821">
        <w:rPr>
          <w:rFonts w:ascii="Times New Roman" w:hAnsi="Times New Roman" w:cs="Times New Roman"/>
          <w:sz w:val="24"/>
          <w:szCs w:val="24"/>
        </w:rPr>
        <w:t xml:space="preserve">+20, ocorrida </w:t>
      </w:r>
      <w:r w:rsidR="0055431C" w:rsidRPr="00704821">
        <w:rPr>
          <w:rFonts w:ascii="Times New Roman" w:hAnsi="Times New Roman" w:cs="Times New Roman"/>
          <w:sz w:val="24"/>
          <w:szCs w:val="24"/>
        </w:rPr>
        <w:t>em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892D7C" w:rsidRPr="00704821">
        <w:rPr>
          <w:rFonts w:ascii="Times New Roman" w:hAnsi="Times New Roman" w:cs="Times New Roman"/>
          <w:sz w:val="24"/>
          <w:szCs w:val="24"/>
        </w:rPr>
        <w:t xml:space="preserve">junho de </w:t>
      </w:r>
      <w:r w:rsidR="001723BE" w:rsidRPr="00704821">
        <w:rPr>
          <w:rFonts w:ascii="Times New Roman" w:hAnsi="Times New Roman" w:cs="Times New Roman"/>
          <w:sz w:val="24"/>
          <w:szCs w:val="24"/>
        </w:rPr>
        <w:t xml:space="preserve">2012, no Rio de Janeiro. Após essa reunião </w:t>
      </w:r>
      <w:r w:rsidR="0055431C" w:rsidRPr="00704821">
        <w:rPr>
          <w:rFonts w:ascii="Times New Roman" w:hAnsi="Times New Roman" w:cs="Times New Roman"/>
          <w:sz w:val="24"/>
          <w:szCs w:val="24"/>
        </w:rPr>
        <w:t>foi emitido</w:t>
      </w:r>
      <w:r w:rsidRPr="00704821">
        <w:rPr>
          <w:rFonts w:ascii="Times New Roman" w:hAnsi="Times New Roman" w:cs="Times New Roman"/>
          <w:sz w:val="24"/>
          <w:szCs w:val="24"/>
        </w:rPr>
        <w:t xml:space="preserve"> o documento </w:t>
      </w:r>
      <w:r w:rsidR="00C00487" w:rsidRPr="00704821">
        <w:rPr>
          <w:rFonts w:ascii="Times New Roman" w:hAnsi="Times New Roman" w:cs="Times New Roman"/>
          <w:i/>
          <w:sz w:val="24"/>
          <w:szCs w:val="24"/>
        </w:rPr>
        <w:t>The Future We Want</w:t>
      </w:r>
      <w:r w:rsidR="00077291" w:rsidRPr="00704821">
        <w:rPr>
          <w:rFonts w:ascii="Times New Roman" w:hAnsi="Times New Roman" w:cs="Times New Roman"/>
          <w:i/>
          <w:sz w:val="24"/>
          <w:szCs w:val="24"/>
        </w:rPr>
        <w:t>,</w:t>
      </w:r>
      <w:r w:rsidR="0055431C" w:rsidRPr="00704821">
        <w:rPr>
          <w:rFonts w:ascii="Times New Roman" w:hAnsi="Times New Roman" w:cs="Times New Roman"/>
          <w:sz w:val="24"/>
          <w:szCs w:val="24"/>
        </w:rPr>
        <w:t xml:space="preserve"> o qual recomendou </w:t>
      </w:r>
      <w:r w:rsidR="006F0F10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="008F3D70" w:rsidRPr="00704821">
        <w:rPr>
          <w:rFonts w:ascii="Times New Roman" w:hAnsi="Times New Roman" w:cs="Times New Roman"/>
          <w:sz w:val="24"/>
          <w:szCs w:val="24"/>
        </w:rPr>
        <w:t>o comércio e a indústria</w:t>
      </w:r>
      <w:r w:rsidR="00266C81" w:rsidRPr="00704821">
        <w:rPr>
          <w:rFonts w:ascii="Times New Roman" w:hAnsi="Times New Roman" w:cs="Times New Roman"/>
          <w:sz w:val="24"/>
          <w:szCs w:val="24"/>
        </w:rPr>
        <w:t xml:space="preserve"> fiquem em</w:t>
      </w:r>
      <w:r w:rsidR="008F3D70" w:rsidRPr="00704821">
        <w:rPr>
          <w:rFonts w:ascii="Times New Roman" w:hAnsi="Times New Roman" w:cs="Times New Roman"/>
          <w:sz w:val="24"/>
          <w:szCs w:val="24"/>
        </w:rPr>
        <w:t xml:space="preserve"> conformidade </w:t>
      </w:r>
      <w:r w:rsidR="005E6FC2" w:rsidRPr="00704821">
        <w:rPr>
          <w:rFonts w:ascii="Times New Roman" w:hAnsi="Times New Roman" w:cs="Times New Roman"/>
          <w:sz w:val="24"/>
          <w:szCs w:val="24"/>
        </w:rPr>
        <w:t>com a legislação nacional, desenvolvam políticas verdes e estratégias de negócios sustentáveis (item 69). D</w:t>
      </w:r>
      <w:r w:rsidR="0043260C" w:rsidRPr="00704821">
        <w:rPr>
          <w:rFonts w:ascii="Times New Roman" w:hAnsi="Times New Roman" w:cs="Times New Roman"/>
          <w:sz w:val="24"/>
          <w:szCs w:val="24"/>
        </w:rPr>
        <w:t xml:space="preserve">iscorre-se </w:t>
      </w:r>
      <w:r w:rsidR="00AF41FF" w:rsidRPr="00704821">
        <w:rPr>
          <w:rFonts w:ascii="Times New Roman" w:hAnsi="Times New Roman" w:cs="Times New Roman"/>
          <w:sz w:val="24"/>
          <w:szCs w:val="24"/>
        </w:rPr>
        <w:t xml:space="preserve">ainda nesse relato da </w:t>
      </w:r>
      <w:r w:rsidR="00077291" w:rsidRPr="00704821">
        <w:rPr>
          <w:rFonts w:ascii="Times New Roman" w:hAnsi="Times New Roman" w:cs="Times New Roman"/>
          <w:sz w:val="24"/>
          <w:szCs w:val="24"/>
        </w:rPr>
        <w:t>RIO+20</w:t>
      </w:r>
      <w:r w:rsidR="00AF41FF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43260C" w:rsidRPr="00704821">
        <w:rPr>
          <w:rFonts w:ascii="Times New Roman" w:hAnsi="Times New Roman" w:cs="Times New Roman"/>
          <w:sz w:val="24"/>
          <w:szCs w:val="24"/>
        </w:rPr>
        <w:t>q</w:t>
      </w:r>
      <w:r w:rsidR="001B44A1" w:rsidRPr="00704821">
        <w:rPr>
          <w:rFonts w:ascii="Times New Roman" w:hAnsi="Times New Roman" w:cs="Times New Roman"/>
          <w:sz w:val="24"/>
          <w:szCs w:val="24"/>
        </w:rPr>
        <w:t xml:space="preserve">ue </w:t>
      </w:r>
      <w:r w:rsidR="005E6FC2" w:rsidRPr="00704821">
        <w:rPr>
          <w:rFonts w:ascii="Times New Roman" w:hAnsi="Times New Roman" w:cs="Times New Roman"/>
          <w:sz w:val="24"/>
          <w:szCs w:val="24"/>
        </w:rPr>
        <w:t xml:space="preserve">o setor empresarial </w:t>
      </w:r>
      <w:r w:rsidR="00414A6B" w:rsidRPr="00704821">
        <w:rPr>
          <w:rFonts w:ascii="Times New Roman" w:hAnsi="Times New Roman" w:cs="Times New Roman"/>
          <w:sz w:val="24"/>
          <w:szCs w:val="24"/>
        </w:rPr>
        <w:t>necessita</w:t>
      </w:r>
      <w:r w:rsidR="001B44A1" w:rsidRPr="00704821">
        <w:rPr>
          <w:rFonts w:ascii="Times New Roman" w:hAnsi="Times New Roman" w:cs="Times New Roman"/>
          <w:sz w:val="24"/>
          <w:szCs w:val="24"/>
        </w:rPr>
        <w:t xml:space="preserve"> promover </w:t>
      </w:r>
      <w:r w:rsidR="008C2C46" w:rsidRPr="00704821">
        <w:rPr>
          <w:rFonts w:ascii="Times New Roman" w:hAnsi="Times New Roman" w:cs="Times New Roman"/>
          <w:sz w:val="24"/>
          <w:szCs w:val="24"/>
        </w:rPr>
        <w:t xml:space="preserve">a gestão sustentável dos resíduos </w:t>
      </w:r>
      <w:r w:rsidR="004E338E" w:rsidRPr="00704821">
        <w:rPr>
          <w:rFonts w:ascii="Times New Roman" w:hAnsi="Times New Roman" w:cs="Times New Roman"/>
          <w:sz w:val="24"/>
          <w:szCs w:val="24"/>
        </w:rPr>
        <w:t>por meio</w:t>
      </w:r>
      <w:r w:rsidR="008C2C46" w:rsidRPr="00704821">
        <w:rPr>
          <w:rFonts w:ascii="Times New Roman" w:hAnsi="Times New Roman" w:cs="Times New Roman"/>
          <w:sz w:val="24"/>
          <w:szCs w:val="24"/>
        </w:rPr>
        <w:t xml:space="preserve"> da aplicação dos 3Rs (r</w:t>
      </w:r>
      <w:r w:rsidR="0090085F" w:rsidRPr="00704821">
        <w:rPr>
          <w:rFonts w:ascii="Times New Roman" w:hAnsi="Times New Roman" w:cs="Times New Roman"/>
          <w:sz w:val="24"/>
          <w:szCs w:val="24"/>
        </w:rPr>
        <w:t>eduzir, reutilizar e reciclar</w:t>
      </w:r>
      <w:r w:rsidR="00077291" w:rsidRPr="00704821">
        <w:rPr>
          <w:rFonts w:ascii="Times New Roman" w:hAnsi="Times New Roman" w:cs="Times New Roman"/>
          <w:sz w:val="24"/>
          <w:szCs w:val="24"/>
        </w:rPr>
        <w:t xml:space="preserve">) e </w:t>
      </w:r>
      <w:r w:rsidR="00414A6B" w:rsidRPr="00704821">
        <w:rPr>
          <w:rFonts w:ascii="Times New Roman" w:hAnsi="Times New Roman" w:cs="Times New Roman"/>
          <w:sz w:val="24"/>
          <w:szCs w:val="24"/>
        </w:rPr>
        <w:t>deve dar</w:t>
      </w:r>
      <w:r w:rsidR="00077291" w:rsidRPr="00704821">
        <w:rPr>
          <w:rFonts w:ascii="Times New Roman" w:hAnsi="Times New Roman" w:cs="Times New Roman"/>
          <w:sz w:val="24"/>
          <w:szCs w:val="24"/>
        </w:rPr>
        <w:t xml:space="preserve"> atenção</w:t>
      </w:r>
      <w:r w:rsidR="005E6FC2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B7757A" w:rsidRPr="00704821">
        <w:rPr>
          <w:rFonts w:ascii="Times New Roman" w:hAnsi="Times New Roman" w:cs="Times New Roman"/>
          <w:sz w:val="24"/>
          <w:szCs w:val="24"/>
        </w:rPr>
        <w:t>a</w:t>
      </w:r>
      <w:r w:rsidR="005E6FC2" w:rsidRPr="00704821">
        <w:rPr>
          <w:rFonts w:ascii="Times New Roman" w:hAnsi="Times New Roman" w:cs="Times New Roman"/>
          <w:sz w:val="24"/>
          <w:szCs w:val="24"/>
        </w:rPr>
        <w:t>o</w:t>
      </w:r>
      <w:r w:rsidR="00290274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B7757A" w:rsidRPr="00704821">
        <w:rPr>
          <w:rFonts w:ascii="Times New Roman" w:hAnsi="Times New Roman" w:cs="Times New Roman"/>
          <w:sz w:val="24"/>
          <w:szCs w:val="24"/>
        </w:rPr>
        <w:t xml:space="preserve">impacto do </w:t>
      </w:r>
      <w:r w:rsidR="00290274" w:rsidRPr="00704821">
        <w:rPr>
          <w:rFonts w:ascii="Times New Roman" w:hAnsi="Times New Roman" w:cs="Times New Roman"/>
          <w:sz w:val="24"/>
          <w:szCs w:val="24"/>
        </w:rPr>
        <w:t xml:space="preserve">ciclo de vida </w:t>
      </w:r>
      <w:r w:rsidR="0090085F" w:rsidRPr="00704821">
        <w:rPr>
          <w:rFonts w:ascii="Times New Roman" w:hAnsi="Times New Roman" w:cs="Times New Roman"/>
          <w:sz w:val="24"/>
          <w:szCs w:val="24"/>
        </w:rPr>
        <w:t>dos produtos</w:t>
      </w:r>
      <w:r w:rsidR="00290274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CC19DE" w:rsidRPr="00704821">
        <w:rPr>
          <w:rFonts w:ascii="Times New Roman" w:hAnsi="Times New Roman" w:cs="Times New Roman"/>
          <w:sz w:val="24"/>
          <w:szCs w:val="24"/>
        </w:rPr>
        <w:t>(ONU, 2012).</w:t>
      </w:r>
    </w:p>
    <w:p w14:paraId="31DF7EF3" w14:textId="77777777" w:rsidR="00705A8A" w:rsidRDefault="00611D57" w:rsidP="003A6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A partir da </w:t>
      </w:r>
      <w:r w:rsidR="00147319" w:rsidRPr="00704821">
        <w:rPr>
          <w:rFonts w:ascii="Times New Roman" w:hAnsi="Times New Roman" w:cs="Times New Roman"/>
          <w:sz w:val="24"/>
          <w:szCs w:val="24"/>
        </w:rPr>
        <w:t>R</w:t>
      </w:r>
      <w:r w:rsidR="00AF011A" w:rsidRPr="00704821">
        <w:rPr>
          <w:rFonts w:ascii="Times New Roman" w:hAnsi="Times New Roman" w:cs="Times New Roman"/>
          <w:sz w:val="24"/>
          <w:szCs w:val="24"/>
        </w:rPr>
        <w:t>IO</w:t>
      </w:r>
      <w:r w:rsidR="00211856" w:rsidRPr="00704821">
        <w:rPr>
          <w:rFonts w:ascii="Times New Roman" w:hAnsi="Times New Roman" w:cs="Times New Roman"/>
          <w:sz w:val="24"/>
          <w:szCs w:val="24"/>
        </w:rPr>
        <w:t xml:space="preserve">+20, </w:t>
      </w:r>
      <w:r w:rsidRPr="00704821">
        <w:rPr>
          <w:rFonts w:ascii="Times New Roman" w:hAnsi="Times New Roman" w:cs="Times New Roman"/>
          <w:sz w:val="24"/>
          <w:szCs w:val="24"/>
        </w:rPr>
        <w:t>inst</w:t>
      </w:r>
      <w:r w:rsidR="001A15CF" w:rsidRPr="00704821">
        <w:rPr>
          <w:rFonts w:ascii="Times New Roman" w:hAnsi="Times New Roman" w:cs="Times New Roman"/>
          <w:sz w:val="24"/>
          <w:szCs w:val="24"/>
        </w:rPr>
        <w:t xml:space="preserve">ituições brasileiras, tais como </w:t>
      </w:r>
      <w:r w:rsidR="00881D92" w:rsidRPr="00704821">
        <w:rPr>
          <w:rFonts w:ascii="Times New Roman" w:hAnsi="Times New Roman" w:cs="Times New Roman"/>
          <w:sz w:val="24"/>
          <w:szCs w:val="24"/>
        </w:rPr>
        <w:t>Associação Brasileira das Companhias Abertas</w:t>
      </w:r>
      <w:r w:rsidR="004C3D9B" w:rsidRPr="00704821">
        <w:rPr>
          <w:rFonts w:ascii="Times New Roman" w:hAnsi="Times New Roman" w:cs="Times New Roman"/>
          <w:sz w:val="24"/>
          <w:szCs w:val="24"/>
        </w:rPr>
        <w:t xml:space="preserve"> (ABRASCA)</w:t>
      </w:r>
      <w:r w:rsidR="00AD7826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1A15CF" w:rsidRPr="00704821">
        <w:rPr>
          <w:rFonts w:ascii="Times New Roman" w:hAnsi="Times New Roman" w:cs="Times New Roman"/>
          <w:sz w:val="24"/>
          <w:szCs w:val="24"/>
        </w:rPr>
        <w:t>Associação Brasileira das Entidades dos Mercados Financeiro e de Capitais</w:t>
      </w:r>
      <w:r w:rsidR="004C3D9B" w:rsidRPr="00704821">
        <w:rPr>
          <w:rFonts w:ascii="Times New Roman" w:hAnsi="Times New Roman" w:cs="Times New Roman"/>
          <w:sz w:val="24"/>
          <w:szCs w:val="24"/>
        </w:rPr>
        <w:t xml:space="preserve"> (ANBIMA</w:t>
      </w:r>
      <w:r w:rsidR="001A15CF" w:rsidRPr="00704821">
        <w:rPr>
          <w:rFonts w:ascii="Times New Roman" w:hAnsi="Times New Roman" w:cs="Times New Roman"/>
          <w:sz w:val="24"/>
          <w:szCs w:val="24"/>
        </w:rPr>
        <w:t>)</w:t>
      </w:r>
      <w:r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1A15CF" w:rsidRPr="00704821">
        <w:rPr>
          <w:rFonts w:ascii="Times New Roman" w:hAnsi="Times New Roman" w:cs="Times New Roman"/>
          <w:sz w:val="24"/>
          <w:szCs w:val="24"/>
        </w:rPr>
        <w:t>Associação dos Analistas e Profissionais de Investimento do Mercado de Capitais</w:t>
      </w:r>
      <w:r w:rsidR="00C43245" w:rsidRPr="00704821">
        <w:rPr>
          <w:rFonts w:ascii="Times New Roman" w:hAnsi="Times New Roman" w:cs="Times New Roman"/>
          <w:sz w:val="24"/>
          <w:szCs w:val="24"/>
        </w:rPr>
        <w:t xml:space="preserve"> (APIMEC</w:t>
      </w:r>
      <w:r w:rsidR="001A15CF" w:rsidRPr="00704821">
        <w:rPr>
          <w:rFonts w:ascii="Times New Roman" w:hAnsi="Times New Roman" w:cs="Times New Roman"/>
          <w:sz w:val="24"/>
          <w:szCs w:val="24"/>
        </w:rPr>
        <w:t>)</w:t>
      </w:r>
      <w:r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206A94" w:rsidRPr="00704821">
        <w:rPr>
          <w:rFonts w:ascii="Times New Roman" w:hAnsi="Times New Roman" w:cs="Times New Roman"/>
          <w:sz w:val="24"/>
          <w:szCs w:val="24"/>
        </w:rPr>
        <w:t>Instituto Brasileiro de Governança Corporativa</w:t>
      </w:r>
      <w:r w:rsidR="00C43245" w:rsidRPr="00704821">
        <w:rPr>
          <w:rFonts w:ascii="Times New Roman" w:hAnsi="Times New Roman" w:cs="Times New Roman"/>
          <w:sz w:val="24"/>
          <w:szCs w:val="24"/>
        </w:rPr>
        <w:t xml:space="preserve"> (IBGC</w:t>
      </w:r>
      <w:r w:rsidR="00206A94" w:rsidRPr="00704821">
        <w:rPr>
          <w:rFonts w:ascii="Times New Roman" w:hAnsi="Times New Roman" w:cs="Times New Roman"/>
          <w:sz w:val="24"/>
          <w:szCs w:val="24"/>
        </w:rPr>
        <w:t>)</w:t>
      </w:r>
      <w:r w:rsidRPr="00704821">
        <w:rPr>
          <w:rFonts w:ascii="Times New Roman" w:hAnsi="Times New Roman" w:cs="Times New Roman"/>
          <w:sz w:val="24"/>
          <w:szCs w:val="24"/>
        </w:rPr>
        <w:t>, Instituto ETHOS</w:t>
      </w:r>
      <w:r w:rsidR="005C117F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MMA</w:t>
      </w:r>
      <w:r w:rsidR="005C117F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5C117F" w:rsidRPr="00704821">
        <w:rPr>
          <w:rFonts w:ascii="Times New Roman" w:hAnsi="Times New Roman" w:cs="Times New Roman"/>
          <w:sz w:val="24"/>
          <w:szCs w:val="24"/>
        </w:rPr>
        <w:t xml:space="preserve"> entre outros, </w:t>
      </w:r>
      <w:r w:rsidRPr="00704821">
        <w:rPr>
          <w:rFonts w:ascii="Times New Roman" w:hAnsi="Times New Roman" w:cs="Times New Roman"/>
          <w:sz w:val="24"/>
          <w:szCs w:val="24"/>
        </w:rPr>
        <w:t xml:space="preserve">somaram esforços e introduziram </w:t>
      </w:r>
      <w:r w:rsidR="00AD7826" w:rsidRPr="00704821">
        <w:rPr>
          <w:rFonts w:ascii="Times New Roman" w:hAnsi="Times New Roman" w:cs="Times New Roman"/>
          <w:sz w:val="24"/>
          <w:szCs w:val="24"/>
        </w:rPr>
        <w:t>no mercado de capitais brasileiro,</w:t>
      </w:r>
      <w:r w:rsidR="00EC6B4F" w:rsidRPr="00704821">
        <w:rPr>
          <w:rFonts w:ascii="Times New Roman" w:hAnsi="Times New Roman" w:cs="Times New Roman"/>
          <w:sz w:val="24"/>
          <w:szCs w:val="24"/>
        </w:rPr>
        <w:t xml:space="preserve"> o </w:t>
      </w:r>
      <w:r w:rsidR="004F2D21" w:rsidRPr="00704821">
        <w:rPr>
          <w:rFonts w:ascii="Times New Roman" w:hAnsi="Times New Roman" w:cs="Times New Roman"/>
          <w:sz w:val="24"/>
          <w:szCs w:val="24"/>
        </w:rPr>
        <w:t>Í</w:t>
      </w:r>
      <w:r w:rsidR="003510FF" w:rsidRPr="00704821">
        <w:rPr>
          <w:rFonts w:ascii="Times New Roman" w:hAnsi="Times New Roman" w:cs="Times New Roman"/>
          <w:sz w:val="24"/>
          <w:szCs w:val="24"/>
        </w:rPr>
        <w:t>ndice d</w:t>
      </w:r>
      <w:r w:rsidR="004F2D21" w:rsidRPr="00704821">
        <w:rPr>
          <w:rFonts w:ascii="Times New Roman" w:hAnsi="Times New Roman" w:cs="Times New Roman"/>
          <w:sz w:val="24"/>
          <w:szCs w:val="24"/>
        </w:rPr>
        <w:t>e Sustentabilidade E</w:t>
      </w:r>
      <w:r w:rsidR="005F585F" w:rsidRPr="00704821">
        <w:rPr>
          <w:rFonts w:ascii="Times New Roman" w:hAnsi="Times New Roman" w:cs="Times New Roman"/>
          <w:sz w:val="24"/>
          <w:szCs w:val="24"/>
        </w:rPr>
        <w:t>mpresarial</w:t>
      </w:r>
      <w:r w:rsidR="004F2D21" w:rsidRPr="00704821">
        <w:rPr>
          <w:rFonts w:ascii="Times New Roman" w:hAnsi="Times New Roman" w:cs="Times New Roman"/>
          <w:sz w:val="24"/>
          <w:szCs w:val="24"/>
        </w:rPr>
        <w:t xml:space="preserve"> (ISE)</w:t>
      </w:r>
      <w:r w:rsidR="00C02E00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55431C" w:rsidRPr="00704821">
        <w:rPr>
          <w:rFonts w:ascii="Times New Roman" w:hAnsi="Times New Roman" w:cs="Times New Roman"/>
          <w:sz w:val="24"/>
          <w:szCs w:val="24"/>
        </w:rPr>
        <w:t>a</w:t>
      </w:r>
      <w:r w:rsidR="00AD7826" w:rsidRPr="00704821">
        <w:rPr>
          <w:rFonts w:ascii="Times New Roman" w:hAnsi="Times New Roman" w:cs="Times New Roman"/>
          <w:sz w:val="24"/>
          <w:szCs w:val="24"/>
        </w:rPr>
        <w:t xml:space="preserve"> adoção do modelo relate ou explique e também </w:t>
      </w:r>
      <w:r w:rsidR="00171937" w:rsidRPr="00704821">
        <w:rPr>
          <w:rFonts w:ascii="Times New Roman" w:hAnsi="Times New Roman" w:cs="Times New Roman"/>
          <w:sz w:val="24"/>
          <w:szCs w:val="24"/>
        </w:rPr>
        <w:t xml:space="preserve">sugeriram </w:t>
      </w:r>
      <w:r w:rsidR="00AD7826" w:rsidRPr="00704821">
        <w:rPr>
          <w:rFonts w:ascii="Times New Roman" w:hAnsi="Times New Roman" w:cs="Times New Roman"/>
          <w:sz w:val="24"/>
          <w:szCs w:val="24"/>
        </w:rPr>
        <w:t>que</w:t>
      </w:r>
      <w:r w:rsidR="00AF011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200A20" w:rsidRPr="00704821">
        <w:rPr>
          <w:rFonts w:ascii="Times New Roman" w:hAnsi="Times New Roman" w:cs="Times New Roman"/>
          <w:sz w:val="24"/>
          <w:szCs w:val="24"/>
        </w:rPr>
        <w:t>a</w:t>
      </w:r>
      <w:r w:rsidR="00AF011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AD7826" w:rsidRPr="00704821">
        <w:rPr>
          <w:rFonts w:ascii="Times New Roman" w:hAnsi="Times New Roman" w:cs="Times New Roman"/>
          <w:sz w:val="24"/>
          <w:szCs w:val="24"/>
        </w:rPr>
        <w:t xml:space="preserve">governança corporativa das empresas alinhasse suas estratégias </w:t>
      </w:r>
      <w:r w:rsidR="00C02E00" w:rsidRPr="00704821">
        <w:rPr>
          <w:rFonts w:ascii="Times New Roman" w:hAnsi="Times New Roman" w:cs="Times New Roman"/>
          <w:sz w:val="24"/>
          <w:szCs w:val="24"/>
        </w:rPr>
        <w:t>à RSC</w:t>
      </w:r>
      <w:r w:rsidR="00DE7E51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DA670E" w:rsidRPr="00704821">
        <w:rPr>
          <w:rFonts w:ascii="Times New Roman" w:hAnsi="Times New Roman" w:cs="Times New Roman"/>
          <w:sz w:val="24"/>
          <w:szCs w:val="24"/>
        </w:rPr>
        <w:t>(CVM, 2014).</w:t>
      </w:r>
    </w:p>
    <w:p w14:paraId="652AF595" w14:textId="5E87B345" w:rsidR="003A66AF" w:rsidRPr="00704821" w:rsidRDefault="00AF011A" w:rsidP="003A6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Todavia, a ideia de </w:t>
      </w:r>
      <w:r w:rsidR="003F43C8" w:rsidRPr="00704821">
        <w:rPr>
          <w:rFonts w:ascii="Times New Roman" w:hAnsi="Times New Roman" w:cs="Times New Roman"/>
          <w:sz w:val="24"/>
          <w:szCs w:val="24"/>
        </w:rPr>
        <w:t>RSC</w:t>
      </w:r>
      <w:r w:rsidR="003A66A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 xml:space="preserve">no Brasil está prevista </w:t>
      </w:r>
      <w:r w:rsidR="002D1EDE" w:rsidRPr="00704821">
        <w:rPr>
          <w:rFonts w:ascii="Times New Roman" w:hAnsi="Times New Roman" w:cs="Times New Roman"/>
          <w:sz w:val="24"/>
          <w:szCs w:val="24"/>
        </w:rPr>
        <w:t>desde a Constituição Federal de 1988</w:t>
      </w:r>
      <w:r w:rsidR="003D0426" w:rsidRPr="00704821">
        <w:rPr>
          <w:rFonts w:ascii="Times New Roman" w:hAnsi="Times New Roman" w:cs="Times New Roman"/>
          <w:sz w:val="24"/>
          <w:szCs w:val="24"/>
        </w:rPr>
        <w:t xml:space="preserve"> (</w:t>
      </w:r>
      <w:r w:rsidR="003A66AF" w:rsidRPr="00704821">
        <w:rPr>
          <w:rFonts w:ascii="Times New Roman" w:hAnsi="Times New Roman" w:cs="Times New Roman"/>
          <w:sz w:val="24"/>
          <w:szCs w:val="24"/>
        </w:rPr>
        <w:t>Artigo 225</w:t>
      </w:r>
      <w:r w:rsidR="003D0426" w:rsidRPr="00704821">
        <w:rPr>
          <w:rFonts w:ascii="Times New Roman" w:hAnsi="Times New Roman" w:cs="Times New Roman"/>
          <w:sz w:val="24"/>
          <w:szCs w:val="24"/>
        </w:rPr>
        <w:t>)</w:t>
      </w:r>
      <w:r w:rsidR="003A66A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7828F3" w:rsidRPr="00704821">
        <w:rPr>
          <w:rFonts w:ascii="Times New Roman" w:hAnsi="Times New Roman" w:cs="Times New Roman"/>
          <w:sz w:val="24"/>
          <w:szCs w:val="24"/>
        </w:rPr>
        <w:t>a</w:t>
      </w:r>
      <w:r w:rsidR="003A66AF" w:rsidRPr="00704821">
        <w:rPr>
          <w:rFonts w:ascii="Times New Roman" w:hAnsi="Times New Roman" w:cs="Times New Roman"/>
          <w:sz w:val="24"/>
          <w:szCs w:val="24"/>
        </w:rPr>
        <w:t xml:space="preserve"> qual </w:t>
      </w:r>
      <w:r w:rsidRPr="00704821">
        <w:rPr>
          <w:rFonts w:ascii="Times New Roman" w:hAnsi="Times New Roman" w:cs="Times New Roman"/>
          <w:sz w:val="24"/>
          <w:szCs w:val="24"/>
        </w:rPr>
        <w:t xml:space="preserve">orienta que tanto o Poder Público quanto </w:t>
      </w:r>
      <w:r w:rsidR="00380C7A" w:rsidRPr="00704821">
        <w:rPr>
          <w:rFonts w:ascii="Times New Roman" w:hAnsi="Times New Roman" w:cs="Times New Roman"/>
          <w:sz w:val="24"/>
          <w:szCs w:val="24"/>
        </w:rPr>
        <w:t>a coletividade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3A66AF" w:rsidRPr="00704821">
        <w:rPr>
          <w:rFonts w:ascii="Times New Roman" w:hAnsi="Times New Roman" w:cs="Times New Roman"/>
          <w:sz w:val="24"/>
          <w:szCs w:val="24"/>
        </w:rPr>
        <w:t>devem desenvolver técnicas, projetos e tecnologias que minimizem os danos ao meio ambiente (</w:t>
      </w:r>
      <w:r w:rsidR="00C5755B" w:rsidRPr="00704821">
        <w:rPr>
          <w:rFonts w:ascii="Times New Roman" w:hAnsi="Times New Roman" w:cs="Times New Roman"/>
          <w:sz w:val="24"/>
          <w:szCs w:val="24"/>
        </w:rPr>
        <w:t>BRASIL</w:t>
      </w:r>
      <w:r w:rsidR="003A66AF" w:rsidRPr="00704821">
        <w:rPr>
          <w:rFonts w:ascii="Times New Roman" w:hAnsi="Times New Roman" w:cs="Times New Roman"/>
          <w:sz w:val="24"/>
          <w:szCs w:val="24"/>
        </w:rPr>
        <w:t>, 1988).</w:t>
      </w:r>
      <w:r w:rsidR="009905BB" w:rsidRPr="00704821">
        <w:rPr>
          <w:rFonts w:ascii="Times New Roman" w:hAnsi="Times New Roman" w:cs="Times New Roman"/>
          <w:sz w:val="24"/>
          <w:szCs w:val="24"/>
        </w:rPr>
        <w:t xml:space="preserve"> Ainda, considera-se um marco para a</w:t>
      </w:r>
      <w:r w:rsidR="00EF289A">
        <w:rPr>
          <w:rFonts w:ascii="Times New Roman" w:hAnsi="Times New Roman" w:cs="Times New Roman"/>
          <w:sz w:val="24"/>
          <w:szCs w:val="24"/>
        </w:rPr>
        <w:t xml:space="preserve"> RSC (brasileira) a PNRS</w:t>
      </w:r>
      <w:r w:rsidR="009905BB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4B5FBE" w:rsidRPr="00704821">
        <w:rPr>
          <w:rFonts w:ascii="Times New Roman" w:hAnsi="Times New Roman" w:cs="Times New Roman"/>
          <w:sz w:val="24"/>
          <w:szCs w:val="24"/>
        </w:rPr>
        <w:t xml:space="preserve">em 2010, </w:t>
      </w:r>
      <w:r w:rsidR="009905BB" w:rsidRPr="00704821">
        <w:rPr>
          <w:rFonts w:ascii="Times New Roman" w:hAnsi="Times New Roman" w:cs="Times New Roman"/>
          <w:sz w:val="24"/>
          <w:szCs w:val="24"/>
        </w:rPr>
        <w:t xml:space="preserve">pois, </w:t>
      </w:r>
      <w:r w:rsidR="004B5FBE" w:rsidRPr="00704821">
        <w:rPr>
          <w:rFonts w:ascii="Times New Roman" w:hAnsi="Times New Roman" w:cs="Times New Roman"/>
          <w:sz w:val="24"/>
          <w:szCs w:val="24"/>
        </w:rPr>
        <w:t>n</w:t>
      </w:r>
      <w:r w:rsidR="009905BB" w:rsidRPr="00704821">
        <w:rPr>
          <w:rFonts w:ascii="Times New Roman" w:hAnsi="Times New Roman" w:cs="Times New Roman"/>
          <w:sz w:val="24"/>
          <w:szCs w:val="24"/>
        </w:rPr>
        <w:t>essa Lei sugere</w:t>
      </w:r>
      <w:r w:rsidR="00AF6FA3" w:rsidRPr="00704821">
        <w:rPr>
          <w:rFonts w:ascii="Times New Roman" w:hAnsi="Times New Roman" w:cs="Times New Roman"/>
          <w:sz w:val="24"/>
          <w:szCs w:val="24"/>
        </w:rPr>
        <w:t>-se</w:t>
      </w:r>
      <w:r w:rsidR="009905BB" w:rsidRPr="00704821">
        <w:rPr>
          <w:rFonts w:ascii="Times New Roman" w:hAnsi="Times New Roman" w:cs="Times New Roman"/>
          <w:sz w:val="24"/>
          <w:szCs w:val="24"/>
        </w:rPr>
        <w:t xml:space="preserve"> que as empresas adotem padrões sustentáveis de consumo, a ecoeficiência, acordos setoriais com o governo e empresas, responsabilidade compartilhada, logística reversa, tecnologia limpa, parceria com catadores de lixo, cooperativas e discorre sobre a proteção ambiental (</w:t>
      </w:r>
      <w:r w:rsidR="00C5755B" w:rsidRPr="00704821">
        <w:rPr>
          <w:rFonts w:ascii="Times New Roman" w:hAnsi="Times New Roman" w:cs="Times New Roman"/>
          <w:sz w:val="24"/>
          <w:szCs w:val="24"/>
        </w:rPr>
        <w:t>BRASIL</w:t>
      </w:r>
      <w:r w:rsidR="009905BB" w:rsidRPr="00704821">
        <w:rPr>
          <w:rFonts w:ascii="Times New Roman" w:hAnsi="Times New Roman" w:cs="Times New Roman"/>
          <w:sz w:val="24"/>
          <w:szCs w:val="24"/>
        </w:rPr>
        <w:t>, 2010b).</w:t>
      </w:r>
    </w:p>
    <w:p w14:paraId="194A72DD" w14:textId="3A2F80AF" w:rsidR="000A1827" w:rsidRPr="00704821" w:rsidRDefault="001F74D2" w:rsidP="00AF4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Encerrando a cronologia</w:t>
      </w:r>
      <w:r w:rsidR="0054450E" w:rsidRPr="00704821">
        <w:rPr>
          <w:rFonts w:ascii="Times New Roman" w:hAnsi="Times New Roman" w:cs="Times New Roman"/>
          <w:sz w:val="24"/>
          <w:szCs w:val="24"/>
        </w:rPr>
        <w:t xml:space="preserve"> da RSC</w:t>
      </w:r>
      <w:r w:rsidRPr="00704821">
        <w:rPr>
          <w:rFonts w:ascii="Times New Roman" w:hAnsi="Times New Roman" w:cs="Times New Roman"/>
          <w:sz w:val="24"/>
          <w:szCs w:val="24"/>
        </w:rPr>
        <w:t>, n</w:t>
      </w:r>
      <w:r w:rsidR="00506667" w:rsidRPr="00704821">
        <w:rPr>
          <w:rFonts w:ascii="Times New Roman" w:hAnsi="Times New Roman" w:cs="Times New Roman"/>
          <w:sz w:val="24"/>
          <w:szCs w:val="24"/>
        </w:rPr>
        <w:t xml:space="preserve">o ano de 2015, </w:t>
      </w:r>
      <w:r w:rsidR="00AD5AB0" w:rsidRPr="00704821">
        <w:rPr>
          <w:rFonts w:ascii="Times New Roman" w:hAnsi="Times New Roman" w:cs="Times New Roman"/>
          <w:sz w:val="24"/>
          <w:szCs w:val="24"/>
        </w:rPr>
        <w:t xml:space="preserve">foi divulgada a Agenda 2030 do </w:t>
      </w:r>
      <w:r w:rsidR="00C41F55" w:rsidRPr="00704821">
        <w:rPr>
          <w:rFonts w:ascii="Times New Roman" w:hAnsi="Times New Roman" w:cs="Times New Roman"/>
          <w:sz w:val="24"/>
          <w:szCs w:val="24"/>
        </w:rPr>
        <w:t>DS</w:t>
      </w:r>
      <w:r w:rsidR="00AD5AB0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127166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="00EF289A" w:rsidRPr="00704821">
        <w:rPr>
          <w:rFonts w:ascii="Times New Roman" w:hAnsi="Times New Roman" w:cs="Times New Roman"/>
          <w:sz w:val="24"/>
          <w:szCs w:val="24"/>
        </w:rPr>
        <w:t>se refere</w:t>
      </w:r>
      <w:r w:rsidR="00127166" w:rsidRPr="00704821">
        <w:rPr>
          <w:rFonts w:ascii="Times New Roman" w:hAnsi="Times New Roman" w:cs="Times New Roman"/>
          <w:sz w:val="24"/>
          <w:szCs w:val="24"/>
        </w:rPr>
        <w:t xml:space="preserve"> a </w:t>
      </w:r>
      <w:r w:rsidR="00AD5AB0" w:rsidRPr="00704821">
        <w:rPr>
          <w:rFonts w:ascii="Times New Roman" w:hAnsi="Times New Roman" w:cs="Times New Roman"/>
          <w:sz w:val="24"/>
          <w:szCs w:val="24"/>
        </w:rPr>
        <w:t xml:space="preserve">um plano de ação </w:t>
      </w:r>
      <w:r w:rsidR="00127166" w:rsidRPr="00704821">
        <w:rPr>
          <w:rFonts w:ascii="Times New Roman" w:hAnsi="Times New Roman" w:cs="Times New Roman"/>
          <w:sz w:val="24"/>
          <w:szCs w:val="24"/>
        </w:rPr>
        <w:t>direcionado à</w:t>
      </w:r>
      <w:r w:rsidR="00AD5AB0" w:rsidRPr="00704821">
        <w:rPr>
          <w:rFonts w:ascii="Times New Roman" w:hAnsi="Times New Roman" w:cs="Times New Roman"/>
          <w:sz w:val="24"/>
          <w:szCs w:val="24"/>
        </w:rPr>
        <w:t xml:space="preserve">s pessoas, </w:t>
      </w:r>
      <w:r w:rsidR="00127166" w:rsidRPr="00704821">
        <w:rPr>
          <w:rFonts w:ascii="Times New Roman" w:hAnsi="Times New Roman" w:cs="Times New Roman"/>
          <w:sz w:val="24"/>
          <w:szCs w:val="24"/>
        </w:rPr>
        <w:t>ao planeta</w:t>
      </w:r>
      <w:r w:rsidR="00C41F55" w:rsidRPr="00704821">
        <w:rPr>
          <w:rFonts w:ascii="Times New Roman" w:hAnsi="Times New Roman" w:cs="Times New Roman"/>
          <w:sz w:val="24"/>
          <w:szCs w:val="24"/>
        </w:rPr>
        <w:t>,</w:t>
      </w:r>
      <w:r w:rsidR="00127166" w:rsidRPr="00704821">
        <w:rPr>
          <w:rFonts w:ascii="Times New Roman" w:hAnsi="Times New Roman" w:cs="Times New Roman"/>
          <w:sz w:val="24"/>
          <w:szCs w:val="24"/>
        </w:rPr>
        <w:t xml:space="preserve"> e à prosperidade </w:t>
      </w:r>
      <w:r w:rsidR="0034455C" w:rsidRPr="00704821">
        <w:rPr>
          <w:rFonts w:ascii="Times New Roman" w:hAnsi="Times New Roman" w:cs="Times New Roman"/>
          <w:sz w:val="24"/>
          <w:szCs w:val="24"/>
        </w:rPr>
        <w:t xml:space="preserve">(pilar econômico) </w:t>
      </w:r>
      <w:r w:rsidR="00C41F55" w:rsidRPr="00704821">
        <w:rPr>
          <w:rFonts w:ascii="Times New Roman" w:hAnsi="Times New Roman" w:cs="Times New Roman"/>
          <w:sz w:val="24"/>
          <w:szCs w:val="24"/>
        </w:rPr>
        <w:t>qu</w:t>
      </w:r>
      <w:r w:rsidR="00127166" w:rsidRPr="00704821">
        <w:rPr>
          <w:rFonts w:ascii="Times New Roman" w:hAnsi="Times New Roman" w:cs="Times New Roman"/>
          <w:sz w:val="24"/>
          <w:szCs w:val="24"/>
        </w:rPr>
        <w:t xml:space="preserve">e </w:t>
      </w:r>
      <w:r w:rsidR="00C41F55" w:rsidRPr="00704821">
        <w:rPr>
          <w:rFonts w:ascii="Times New Roman" w:hAnsi="Times New Roman" w:cs="Times New Roman"/>
          <w:sz w:val="24"/>
          <w:szCs w:val="24"/>
        </w:rPr>
        <w:t>buscou</w:t>
      </w:r>
      <w:r w:rsidR="00AD5AB0" w:rsidRPr="00704821">
        <w:rPr>
          <w:rFonts w:ascii="Times New Roman" w:hAnsi="Times New Roman" w:cs="Times New Roman"/>
          <w:sz w:val="24"/>
          <w:szCs w:val="24"/>
        </w:rPr>
        <w:t xml:space="preserve"> fortalecer a paz universal</w:t>
      </w:r>
      <w:r w:rsidR="00C41F55" w:rsidRPr="00704821">
        <w:rPr>
          <w:rFonts w:ascii="Times New Roman" w:hAnsi="Times New Roman" w:cs="Times New Roman"/>
          <w:sz w:val="24"/>
          <w:szCs w:val="24"/>
        </w:rPr>
        <w:t xml:space="preserve"> e para tanto solicitou que </w:t>
      </w:r>
      <w:r w:rsidR="00127166" w:rsidRPr="00704821">
        <w:rPr>
          <w:rFonts w:ascii="Times New Roman" w:hAnsi="Times New Roman" w:cs="Times New Roman"/>
          <w:sz w:val="24"/>
          <w:szCs w:val="24"/>
        </w:rPr>
        <w:t>t</w:t>
      </w:r>
      <w:r w:rsidR="00AD5AB0" w:rsidRPr="00704821">
        <w:rPr>
          <w:rFonts w:ascii="Times New Roman" w:hAnsi="Times New Roman" w:cs="Times New Roman"/>
          <w:sz w:val="24"/>
          <w:szCs w:val="24"/>
        </w:rPr>
        <w:t xml:space="preserve">odos os países e </w:t>
      </w:r>
      <w:r w:rsidR="00C41F55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AD5AB0" w:rsidRPr="007048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7166" w:rsidRPr="00704821">
        <w:rPr>
          <w:rFonts w:ascii="Times New Roman" w:hAnsi="Times New Roman" w:cs="Times New Roman"/>
          <w:sz w:val="24"/>
          <w:szCs w:val="24"/>
        </w:rPr>
        <w:t>atuem</w:t>
      </w:r>
      <w:r w:rsidR="00C41F55" w:rsidRPr="00704821">
        <w:rPr>
          <w:rFonts w:ascii="Times New Roman" w:hAnsi="Times New Roman" w:cs="Times New Roman"/>
          <w:sz w:val="24"/>
          <w:szCs w:val="24"/>
        </w:rPr>
        <w:t xml:space="preserve"> em parceria colaborativa</w:t>
      </w:r>
      <w:r w:rsidR="0028082B" w:rsidRPr="00704821">
        <w:rPr>
          <w:rFonts w:ascii="Times New Roman" w:hAnsi="Times New Roman" w:cs="Times New Roman"/>
          <w:sz w:val="24"/>
          <w:szCs w:val="24"/>
        </w:rPr>
        <w:t xml:space="preserve"> (5 P’s da ONU)</w:t>
      </w:r>
      <w:r w:rsidR="00C41F55" w:rsidRPr="00704821">
        <w:rPr>
          <w:rFonts w:ascii="Times New Roman" w:hAnsi="Times New Roman" w:cs="Times New Roman"/>
          <w:sz w:val="24"/>
          <w:szCs w:val="24"/>
        </w:rPr>
        <w:t xml:space="preserve">. Por ocasião da Agenda 2030 foram </w:t>
      </w:r>
      <w:r w:rsidR="0054450E" w:rsidRPr="00704821">
        <w:rPr>
          <w:rFonts w:ascii="Times New Roman" w:hAnsi="Times New Roman" w:cs="Times New Roman"/>
          <w:sz w:val="24"/>
          <w:szCs w:val="24"/>
        </w:rPr>
        <w:t>elaborados</w:t>
      </w:r>
      <w:r w:rsidR="00C41F55" w:rsidRPr="00704821">
        <w:rPr>
          <w:rFonts w:ascii="Times New Roman" w:hAnsi="Times New Roman" w:cs="Times New Roman"/>
          <w:sz w:val="24"/>
          <w:szCs w:val="24"/>
        </w:rPr>
        <w:t xml:space="preserve"> o</w:t>
      </w:r>
      <w:r w:rsidR="0054450E" w:rsidRPr="00704821">
        <w:rPr>
          <w:rFonts w:ascii="Times New Roman" w:hAnsi="Times New Roman" w:cs="Times New Roman"/>
          <w:sz w:val="24"/>
          <w:szCs w:val="24"/>
        </w:rPr>
        <w:t xml:space="preserve">s 17 Objetivos do </w:t>
      </w:r>
      <w:r w:rsidR="00C41F55" w:rsidRPr="00704821">
        <w:rPr>
          <w:rFonts w:ascii="Times New Roman" w:hAnsi="Times New Roman" w:cs="Times New Roman"/>
          <w:sz w:val="24"/>
          <w:szCs w:val="24"/>
        </w:rPr>
        <w:t>D</w:t>
      </w:r>
      <w:r w:rsidR="00AA59EC" w:rsidRPr="00704821">
        <w:rPr>
          <w:rFonts w:ascii="Times New Roman" w:hAnsi="Times New Roman" w:cs="Times New Roman"/>
          <w:sz w:val="24"/>
          <w:szCs w:val="24"/>
        </w:rPr>
        <w:t xml:space="preserve">esenvolvimento </w:t>
      </w:r>
      <w:r w:rsidR="00C41F55" w:rsidRPr="00704821">
        <w:rPr>
          <w:rFonts w:ascii="Times New Roman" w:hAnsi="Times New Roman" w:cs="Times New Roman"/>
          <w:sz w:val="24"/>
          <w:szCs w:val="24"/>
        </w:rPr>
        <w:t>S</w:t>
      </w:r>
      <w:r w:rsidR="00AA59EC" w:rsidRPr="00704821">
        <w:rPr>
          <w:rFonts w:ascii="Times New Roman" w:hAnsi="Times New Roman" w:cs="Times New Roman"/>
          <w:sz w:val="24"/>
          <w:szCs w:val="24"/>
        </w:rPr>
        <w:t>ustentável (ODS)</w:t>
      </w:r>
      <w:r w:rsidR="00AD5AB0" w:rsidRPr="00704821">
        <w:rPr>
          <w:rFonts w:ascii="Times New Roman" w:hAnsi="Times New Roman" w:cs="Times New Roman"/>
          <w:sz w:val="24"/>
          <w:szCs w:val="24"/>
        </w:rPr>
        <w:t xml:space="preserve"> e 169 m</w:t>
      </w:r>
      <w:r w:rsidR="0054450E" w:rsidRPr="00704821">
        <w:rPr>
          <w:rFonts w:ascii="Times New Roman" w:hAnsi="Times New Roman" w:cs="Times New Roman"/>
          <w:sz w:val="24"/>
          <w:szCs w:val="24"/>
        </w:rPr>
        <w:t>etas congruentes a ele</w:t>
      </w:r>
      <w:r w:rsidR="00C41F55" w:rsidRPr="00704821">
        <w:rPr>
          <w:rFonts w:ascii="Times New Roman" w:hAnsi="Times New Roman" w:cs="Times New Roman"/>
          <w:sz w:val="24"/>
          <w:szCs w:val="24"/>
        </w:rPr>
        <w:t>s</w:t>
      </w:r>
      <w:r w:rsidR="0054450E" w:rsidRPr="00704821">
        <w:rPr>
          <w:rFonts w:ascii="Times New Roman" w:hAnsi="Times New Roman" w:cs="Times New Roman"/>
          <w:sz w:val="24"/>
          <w:szCs w:val="24"/>
        </w:rPr>
        <w:t xml:space="preserve"> (objetivos específicos)</w:t>
      </w:r>
      <w:r w:rsidR="00F97F0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9D192D" w:rsidRPr="00704821">
        <w:rPr>
          <w:rFonts w:ascii="Times New Roman" w:hAnsi="Times New Roman" w:cs="Times New Roman"/>
          <w:sz w:val="24"/>
          <w:szCs w:val="24"/>
        </w:rPr>
        <w:t>(ONU, 2016).</w:t>
      </w:r>
      <w:r w:rsidR="0054450E" w:rsidRPr="00704821">
        <w:rPr>
          <w:rFonts w:ascii="Times New Roman" w:hAnsi="Times New Roman" w:cs="Times New Roman"/>
          <w:sz w:val="24"/>
          <w:szCs w:val="24"/>
        </w:rPr>
        <w:t xml:space="preserve"> Essa agenda reconhece a importância da atuação das empresas e demais agentes dos mercados de capitais para a consecução dos objetivos. Logo, práticas de RSC, tais como a evidenciação socioambiental, </w:t>
      </w:r>
      <w:r w:rsidR="0054450E" w:rsidRPr="00704821">
        <w:rPr>
          <w:rFonts w:ascii="Times New Roman" w:hAnsi="Times New Roman" w:cs="Times New Roman"/>
          <w:i/>
          <w:sz w:val="24"/>
          <w:szCs w:val="24"/>
        </w:rPr>
        <w:t>compliance, enforcement</w:t>
      </w:r>
      <w:r w:rsidR="0054450E" w:rsidRPr="00704821">
        <w:rPr>
          <w:rFonts w:ascii="Times New Roman" w:hAnsi="Times New Roman" w:cs="Times New Roman"/>
          <w:sz w:val="24"/>
          <w:szCs w:val="24"/>
        </w:rPr>
        <w:t>, estão inclusas ness</w:t>
      </w:r>
      <w:r w:rsidR="00183747" w:rsidRPr="00704821">
        <w:rPr>
          <w:rFonts w:ascii="Times New Roman" w:hAnsi="Times New Roman" w:cs="Times New Roman"/>
          <w:sz w:val="24"/>
          <w:szCs w:val="24"/>
        </w:rPr>
        <w:t>a agenda</w:t>
      </w:r>
      <w:r w:rsidR="00EF289A">
        <w:rPr>
          <w:rFonts w:ascii="Times New Roman" w:hAnsi="Times New Roman" w:cs="Times New Roman"/>
          <w:sz w:val="24"/>
          <w:szCs w:val="24"/>
        </w:rPr>
        <w:t>,</w:t>
      </w:r>
      <w:r w:rsidR="00183747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54450E" w:rsidRPr="00704821">
        <w:rPr>
          <w:rFonts w:ascii="Times New Roman" w:hAnsi="Times New Roman" w:cs="Times New Roman"/>
          <w:sz w:val="24"/>
          <w:szCs w:val="24"/>
        </w:rPr>
        <w:t>que exige a transparência das informações</w:t>
      </w:r>
      <w:r w:rsidR="00F97F0A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2D3806" w:rsidRPr="00704821">
        <w:rPr>
          <w:rFonts w:ascii="Times New Roman" w:hAnsi="Times New Roman" w:cs="Times New Roman"/>
          <w:sz w:val="24"/>
          <w:szCs w:val="24"/>
        </w:rPr>
        <w:t>O</w:t>
      </w:r>
      <w:r w:rsidR="000A1827" w:rsidRPr="00704821">
        <w:rPr>
          <w:rFonts w:ascii="Times New Roman" w:hAnsi="Times New Roman" w:cs="Times New Roman"/>
          <w:sz w:val="24"/>
          <w:szCs w:val="24"/>
        </w:rPr>
        <w:t xml:space="preserve">s fatos históricos </w:t>
      </w:r>
      <w:r w:rsidR="002D3806" w:rsidRPr="00704821">
        <w:rPr>
          <w:rFonts w:ascii="Times New Roman" w:hAnsi="Times New Roman" w:cs="Times New Roman"/>
          <w:sz w:val="24"/>
          <w:szCs w:val="24"/>
        </w:rPr>
        <w:t>d</w:t>
      </w:r>
      <w:r w:rsidR="00EF289A">
        <w:rPr>
          <w:rFonts w:ascii="Times New Roman" w:hAnsi="Times New Roman" w:cs="Times New Roman"/>
          <w:sz w:val="24"/>
          <w:szCs w:val="24"/>
        </w:rPr>
        <w:t>essa seção</w:t>
      </w:r>
      <w:r w:rsidR="000A1827" w:rsidRPr="00704821">
        <w:rPr>
          <w:rFonts w:ascii="Times New Roman" w:hAnsi="Times New Roman" w:cs="Times New Roman"/>
          <w:sz w:val="24"/>
          <w:szCs w:val="24"/>
        </w:rPr>
        <w:t xml:space="preserve"> est</w:t>
      </w:r>
      <w:r w:rsidR="00B71AEC" w:rsidRPr="00704821">
        <w:rPr>
          <w:rFonts w:ascii="Times New Roman" w:hAnsi="Times New Roman" w:cs="Times New Roman"/>
          <w:sz w:val="24"/>
          <w:szCs w:val="24"/>
        </w:rPr>
        <w:t xml:space="preserve">ão dispostos na </w:t>
      </w:r>
      <w:r w:rsidR="0055431C" w:rsidRPr="00704821">
        <w:rPr>
          <w:rFonts w:ascii="Times New Roman" w:hAnsi="Times New Roman" w:cs="Times New Roman"/>
          <w:sz w:val="24"/>
          <w:szCs w:val="24"/>
        </w:rPr>
        <w:t xml:space="preserve">linha </w:t>
      </w:r>
      <w:r w:rsidR="00B71AEC" w:rsidRPr="00704821">
        <w:rPr>
          <w:rFonts w:ascii="Times New Roman" w:hAnsi="Times New Roman" w:cs="Times New Roman"/>
          <w:sz w:val="24"/>
          <w:szCs w:val="24"/>
        </w:rPr>
        <w:t xml:space="preserve">do </w:t>
      </w:r>
      <w:r w:rsidR="0055431C" w:rsidRPr="00704821">
        <w:rPr>
          <w:rFonts w:ascii="Times New Roman" w:hAnsi="Times New Roman" w:cs="Times New Roman"/>
          <w:sz w:val="24"/>
          <w:szCs w:val="24"/>
        </w:rPr>
        <w:t xml:space="preserve">tempo </w:t>
      </w:r>
      <w:r w:rsidR="00B71AEC" w:rsidRPr="00704821">
        <w:rPr>
          <w:rFonts w:ascii="Times New Roman" w:hAnsi="Times New Roman" w:cs="Times New Roman"/>
          <w:sz w:val="24"/>
          <w:szCs w:val="24"/>
        </w:rPr>
        <w:t>na Figura 1.</w:t>
      </w:r>
    </w:p>
    <w:p w14:paraId="1492DFD9" w14:textId="77777777" w:rsidR="004D671F" w:rsidRDefault="004D671F" w:rsidP="0024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A275FD" w14:textId="63A477AB" w:rsidR="004D671F" w:rsidRDefault="004D671F" w:rsidP="00F231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671F">
        <w:rPr>
          <w:noProof/>
        </w:rPr>
        <w:lastRenderedPageBreak/>
        <w:drawing>
          <wp:inline distT="0" distB="0" distL="0" distR="0" wp14:anchorId="7243386A" wp14:editId="4E79C1CB">
            <wp:extent cx="6039864" cy="16998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043" cy="170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F8207" w14:textId="77777777" w:rsidR="00D429AC" w:rsidRDefault="00D429AC" w:rsidP="00D429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4821">
        <w:rPr>
          <w:rFonts w:ascii="Times New Roman" w:hAnsi="Times New Roman" w:cs="Times New Roman"/>
          <w:sz w:val="20"/>
          <w:szCs w:val="20"/>
        </w:rPr>
        <w:t>Figura 1 – Cronologia da RSC</w:t>
      </w:r>
    </w:p>
    <w:p w14:paraId="3FC00EA4" w14:textId="04852BEB" w:rsidR="00F97F0A" w:rsidRDefault="00F97F0A" w:rsidP="004D6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4821">
        <w:rPr>
          <w:rFonts w:ascii="Times New Roman" w:hAnsi="Times New Roman" w:cs="Times New Roman"/>
          <w:sz w:val="20"/>
          <w:szCs w:val="20"/>
        </w:rPr>
        <w:t>Fonte: Elaborado pelos Autores.</w:t>
      </w:r>
    </w:p>
    <w:p w14:paraId="03F29ADC" w14:textId="77777777" w:rsidR="005441BF" w:rsidRPr="00704821" w:rsidRDefault="005441BF" w:rsidP="004D6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27FC12" w14:textId="0EDB9335" w:rsidR="003A5A7E" w:rsidRPr="00704821" w:rsidRDefault="00F57BD4" w:rsidP="00FD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O objetivo dessa seção não foi esgotar o assunto sobre os eventos históricos que norteiam a RSC</w:t>
      </w:r>
      <w:r w:rsidR="002F60B1" w:rsidRPr="00704821">
        <w:rPr>
          <w:rFonts w:ascii="Times New Roman" w:hAnsi="Times New Roman" w:cs="Times New Roman"/>
          <w:sz w:val="24"/>
          <w:szCs w:val="24"/>
        </w:rPr>
        <w:t xml:space="preserve">. Portanto ressalta-se que </w:t>
      </w:r>
      <w:r w:rsidRPr="00704821">
        <w:rPr>
          <w:rFonts w:ascii="Times New Roman" w:hAnsi="Times New Roman" w:cs="Times New Roman"/>
          <w:sz w:val="24"/>
          <w:szCs w:val="24"/>
        </w:rPr>
        <w:t xml:space="preserve">existem outros marcos que não foram abordados, tais como </w:t>
      </w:r>
      <w:r w:rsidR="00311370" w:rsidRPr="00704821">
        <w:rPr>
          <w:rFonts w:ascii="Times New Roman" w:hAnsi="Times New Roman" w:cs="Times New Roman"/>
          <w:sz w:val="24"/>
          <w:szCs w:val="24"/>
        </w:rPr>
        <w:t>Conferência de Estocolmo (1972), Programa Internacional de Educação Ambiental (1975), Congresso Internacional do PNUMA em Moscou (1987), Declaração da HAIA (1989), Conferência Mundial do Clima (1995), entre outros (MMA, 2017</w:t>
      </w:r>
      <w:r w:rsidR="008E4AEF" w:rsidRPr="00704821">
        <w:rPr>
          <w:rFonts w:ascii="Times New Roman" w:hAnsi="Times New Roman" w:cs="Times New Roman"/>
          <w:sz w:val="24"/>
          <w:szCs w:val="24"/>
        </w:rPr>
        <w:t>a</w:t>
      </w:r>
      <w:r w:rsidR="00311370" w:rsidRPr="00704821">
        <w:rPr>
          <w:rFonts w:ascii="Times New Roman" w:hAnsi="Times New Roman" w:cs="Times New Roman"/>
          <w:sz w:val="24"/>
          <w:szCs w:val="24"/>
        </w:rPr>
        <w:t>)</w:t>
      </w:r>
      <w:r w:rsidR="00C77B6F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AA24D5" w:rsidRPr="00704821">
        <w:rPr>
          <w:rFonts w:ascii="Times New Roman" w:hAnsi="Times New Roman" w:cs="Times New Roman"/>
          <w:sz w:val="24"/>
          <w:szCs w:val="24"/>
        </w:rPr>
        <w:t>M</w:t>
      </w:r>
      <w:r w:rsidR="00717DDC" w:rsidRPr="00704821">
        <w:rPr>
          <w:rFonts w:ascii="Times New Roman" w:hAnsi="Times New Roman" w:cs="Times New Roman"/>
          <w:sz w:val="24"/>
          <w:szCs w:val="24"/>
        </w:rPr>
        <w:t>as</w:t>
      </w:r>
      <w:r w:rsidR="00155BAE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em todos os fatos descritos </w:t>
      </w:r>
      <w:r w:rsidR="00EF289A">
        <w:rPr>
          <w:rFonts w:ascii="Times New Roman" w:hAnsi="Times New Roman" w:cs="Times New Roman"/>
          <w:sz w:val="24"/>
          <w:szCs w:val="24"/>
        </w:rPr>
        <w:t>nesse trecho</w:t>
      </w:r>
      <w:r w:rsidR="00155BAE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vislumbrou-se que as empresas afetam o meio ambiente por ocasião de suas atividades e</w:t>
      </w:r>
      <w:r w:rsidR="00184141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portanto, cabe a elas desenvolverem mecanismos para diminuir as suas externalidades negativas, bem como cooptar com os </w:t>
      </w:r>
      <w:r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704821">
        <w:rPr>
          <w:rFonts w:ascii="Times New Roman" w:hAnsi="Times New Roman" w:cs="Times New Roman"/>
          <w:sz w:val="24"/>
          <w:szCs w:val="24"/>
        </w:rPr>
        <w:t xml:space="preserve"> e toda a sociedade civil. </w:t>
      </w:r>
      <w:r w:rsidR="00E315D5" w:rsidRPr="00704821">
        <w:rPr>
          <w:rFonts w:ascii="Times New Roman" w:hAnsi="Times New Roman" w:cs="Times New Roman"/>
          <w:sz w:val="24"/>
          <w:szCs w:val="24"/>
        </w:rPr>
        <w:t>Outro desafio</w:t>
      </w:r>
      <w:r w:rsidR="00184141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717DDC" w:rsidRPr="00704821">
        <w:rPr>
          <w:rFonts w:ascii="Times New Roman" w:hAnsi="Times New Roman" w:cs="Times New Roman"/>
          <w:sz w:val="24"/>
          <w:szCs w:val="24"/>
        </w:rPr>
        <w:t>advém d</w:t>
      </w:r>
      <w:r w:rsidR="00184141" w:rsidRPr="00704821">
        <w:rPr>
          <w:rFonts w:ascii="Times New Roman" w:hAnsi="Times New Roman" w:cs="Times New Roman"/>
          <w:sz w:val="24"/>
          <w:szCs w:val="24"/>
        </w:rPr>
        <w:t>a projeção d</w:t>
      </w:r>
      <w:r w:rsidR="00FF4D4A" w:rsidRPr="00704821">
        <w:rPr>
          <w:rFonts w:ascii="Times New Roman" w:hAnsi="Times New Roman" w:cs="Times New Roman"/>
          <w:sz w:val="24"/>
          <w:szCs w:val="24"/>
        </w:rPr>
        <w:t xml:space="preserve">e que </w:t>
      </w:r>
      <w:r w:rsidR="00506EDE" w:rsidRPr="00704821">
        <w:rPr>
          <w:rFonts w:ascii="Times New Roman" w:hAnsi="Times New Roman" w:cs="Times New Roman"/>
          <w:sz w:val="24"/>
          <w:szCs w:val="24"/>
        </w:rPr>
        <w:t xml:space="preserve">a população global </w:t>
      </w:r>
      <w:r w:rsidR="00717DDC" w:rsidRPr="00704821">
        <w:rPr>
          <w:rFonts w:ascii="Times New Roman" w:hAnsi="Times New Roman" w:cs="Times New Roman"/>
          <w:sz w:val="24"/>
          <w:szCs w:val="24"/>
        </w:rPr>
        <w:t xml:space="preserve">deva </w:t>
      </w:r>
      <w:r w:rsidR="00506EDE" w:rsidRPr="00704821">
        <w:rPr>
          <w:rFonts w:ascii="Times New Roman" w:hAnsi="Times New Roman" w:cs="Times New Roman"/>
          <w:sz w:val="24"/>
          <w:szCs w:val="24"/>
        </w:rPr>
        <w:t>chegar a</w:t>
      </w:r>
      <w:r w:rsidR="00184141" w:rsidRPr="00704821">
        <w:rPr>
          <w:rFonts w:ascii="Times New Roman" w:hAnsi="Times New Roman" w:cs="Times New Roman"/>
          <w:sz w:val="24"/>
          <w:szCs w:val="24"/>
        </w:rPr>
        <w:t xml:space="preserve"> 9,6 bilhões </w:t>
      </w:r>
      <w:r w:rsidR="00E315D5" w:rsidRPr="00704821">
        <w:rPr>
          <w:rFonts w:ascii="Times New Roman" w:hAnsi="Times New Roman" w:cs="Times New Roman"/>
          <w:sz w:val="24"/>
          <w:szCs w:val="24"/>
        </w:rPr>
        <w:t xml:space="preserve">até 2050. </w:t>
      </w:r>
      <w:r w:rsidR="00FF4D4A" w:rsidRPr="00704821">
        <w:rPr>
          <w:rFonts w:ascii="Times New Roman" w:hAnsi="Times New Roman" w:cs="Times New Roman"/>
          <w:sz w:val="24"/>
          <w:szCs w:val="24"/>
        </w:rPr>
        <w:t>O montan</w:t>
      </w:r>
      <w:r w:rsidR="00EF289A">
        <w:rPr>
          <w:rFonts w:ascii="Times New Roman" w:hAnsi="Times New Roman" w:cs="Times New Roman"/>
          <w:sz w:val="24"/>
          <w:szCs w:val="24"/>
        </w:rPr>
        <w:t>te de resíduos, também crescerá</w:t>
      </w:r>
      <w:r w:rsidR="00FF4D4A" w:rsidRPr="00704821">
        <w:rPr>
          <w:rFonts w:ascii="Times New Roman" w:hAnsi="Times New Roman" w:cs="Times New Roman"/>
          <w:sz w:val="24"/>
          <w:szCs w:val="24"/>
        </w:rPr>
        <w:t xml:space="preserve"> na mesma proporção da população se não for adotada uma nova mentalidade de consumo e produção, tal qual recomenda a PNRS. </w:t>
      </w:r>
      <w:r w:rsidR="00E315D5" w:rsidRPr="00704821">
        <w:rPr>
          <w:rFonts w:ascii="Times New Roman" w:hAnsi="Times New Roman" w:cs="Times New Roman"/>
          <w:sz w:val="24"/>
          <w:szCs w:val="24"/>
        </w:rPr>
        <w:t>Ainda, se</w:t>
      </w:r>
      <w:r w:rsidR="006410A5" w:rsidRPr="00704821">
        <w:rPr>
          <w:rFonts w:ascii="Times New Roman" w:hAnsi="Times New Roman" w:cs="Times New Roman"/>
          <w:sz w:val="24"/>
          <w:szCs w:val="24"/>
        </w:rPr>
        <w:t xml:space="preserve"> as empresas </w:t>
      </w:r>
      <w:r w:rsidR="00E315D5" w:rsidRPr="00704821">
        <w:rPr>
          <w:rFonts w:ascii="Times New Roman" w:hAnsi="Times New Roman" w:cs="Times New Roman"/>
          <w:sz w:val="24"/>
          <w:szCs w:val="24"/>
        </w:rPr>
        <w:t>desejam atuar</w:t>
      </w:r>
      <w:r w:rsidR="006410A5" w:rsidRPr="00704821">
        <w:rPr>
          <w:rFonts w:ascii="Times New Roman" w:hAnsi="Times New Roman" w:cs="Times New Roman"/>
          <w:sz w:val="24"/>
          <w:szCs w:val="24"/>
        </w:rPr>
        <w:t xml:space="preserve"> no âmbito da RSC, deverão aderir à</w:t>
      </w:r>
      <w:r w:rsidR="00246D44" w:rsidRPr="00704821">
        <w:rPr>
          <w:rFonts w:ascii="Times New Roman" w:hAnsi="Times New Roman" w:cs="Times New Roman"/>
          <w:sz w:val="24"/>
          <w:szCs w:val="24"/>
        </w:rPr>
        <w:t xml:space="preserve"> transparência</w:t>
      </w:r>
      <w:r w:rsidR="006410A5" w:rsidRPr="00704821">
        <w:rPr>
          <w:rFonts w:ascii="Times New Roman" w:hAnsi="Times New Roman" w:cs="Times New Roman"/>
          <w:sz w:val="24"/>
          <w:szCs w:val="24"/>
        </w:rPr>
        <w:t xml:space="preserve"> e </w:t>
      </w:r>
      <w:r w:rsidR="001B713A" w:rsidRPr="00704821">
        <w:rPr>
          <w:rFonts w:ascii="Times New Roman" w:hAnsi="Times New Roman" w:cs="Times New Roman"/>
          <w:sz w:val="24"/>
          <w:szCs w:val="24"/>
        </w:rPr>
        <w:t>evidenci</w:t>
      </w:r>
      <w:r w:rsidR="006410A5" w:rsidRPr="00704821">
        <w:rPr>
          <w:rFonts w:ascii="Times New Roman" w:hAnsi="Times New Roman" w:cs="Times New Roman"/>
          <w:sz w:val="24"/>
          <w:szCs w:val="24"/>
        </w:rPr>
        <w:t>ar</w:t>
      </w:r>
      <w:r w:rsidR="001B713A" w:rsidRPr="00704821">
        <w:rPr>
          <w:rFonts w:ascii="Times New Roman" w:hAnsi="Times New Roman" w:cs="Times New Roman"/>
          <w:sz w:val="24"/>
          <w:szCs w:val="24"/>
        </w:rPr>
        <w:t xml:space="preserve"> os </w:t>
      </w:r>
      <w:r w:rsidR="0034770F" w:rsidRPr="00704821">
        <w:rPr>
          <w:rFonts w:ascii="Times New Roman" w:hAnsi="Times New Roman" w:cs="Times New Roman"/>
          <w:sz w:val="24"/>
          <w:szCs w:val="24"/>
        </w:rPr>
        <w:t xml:space="preserve">impactos </w:t>
      </w:r>
      <w:r w:rsidR="00E628D0" w:rsidRPr="00704821">
        <w:rPr>
          <w:rFonts w:ascii="Times New Roman" w:hAnsi="Times New Roman" w:cs="Times New Roman"/>
          <w:sz w:val="24"/>
          <w:szCs w:val="24"/>
        </w:rPr>
        <w:t xml:space="preserve">e riscos </w:t>
      </w:r>
      <w:r w:rsidR="0034770F" w:rsidRPr="00704821">
        <w:rPr>
          <w:rFonts w:ascii="Times New Roman" w:hAnsi="Times New Roman" w:cs="Times New Roman"/>
          <w:sz w:val="24"/>
          <w:szCs w:val="24"/>
        </w:rPr>
        <w:t xml:space="preserve">socioambientais </w:t>
      </w:r>
      <w:r w:rsidR="001B713A" w:rsidRPr="00704821">
        <w:rPr>
          <w:rFonts w:ascii="Times New Roman" w:hAnsi="Times New Roman" w:cs="Times New Roman"/>
          <w:sz w:val="24"/>
          <w:szCs w:val="24"/>
        </w:rPr>
        <w:t>de suas atividades</w:t>
      </w:r>
      <w:r w:rsidR="006410A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628D0" w:rsidRPr="00704821">
        <w:rPr>
          <w:rFonts w:ascii="Times New Roman" w:hAnsi="Times New Roman" w:cs="Times New Roman"/>
          <w:sz w:val="24"/>
          <w:szCs w:val="24"/>
        </w:rPr>
        <w:t>(</w:t>
      </w:r>
      <w:r w:rsidR="00CF3AAE" w:rsidRPr="00704821">
        <w:rPr>
          <w:rFonts w:ascii="Times New Roman" w:hAnsi="Times New Roman" w:cs="Times New Roman"/>
          <w:sz w:val="24"/>
          <w:szCs w:val="24"/>
        </w:rPr>
        <w:t>ELKINGTON</w:t>
      </w:r>
      <w:r w:rsidR="00E628D0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34770F" w:rsidRPr="00704821">
        <w:rPr>
          <w:rFonts w:ascii="Times New Roman" w:hAnsi="Times New Roman" w:cs="Times New Roman"/>
          <w:sz w:val="24"/>
          <w:szCs w:val="24"/>
        </w:rPr>
        <w:t>2012)</w:t>
      </w:r>
      <w:r w:rsidR="006E1C31" w:rsidRPr="00704821">
        <w:rPr>
          <w:rFonts w:ascii="Times New Roman" w:hAnsi="Times New Roman" w:cs="Times New Roman"/>
          <w:sz w:val="24"/>
          <w:szCs w:val="24"/>
        </w:rPr>
        <w:t>.</w:t>
      </w:r>
      <w:r w:rsidR="0027471A" w:rsidRPr="00704821">
        <w:rPr>
          <w:rFonts w:ascii="Times New Roman" w:hAnsi="Times New Roman" w:cs="Times New Roman"/>
          <w:sz w:val="24"/>
          <w:szCs w:val="24"/>
        </w:rPr>
        <w:t xml:space="preserve"> Na próxima parte dessa seção do artigo, será abordado sobre o FR e o RI</w:t>
      </w:r>
      <w:r w:rsidR="005F5185" w:rsidRPr="00704821">
        <w:rPr>
          <w:rFonts w:ascii="Times New Roman" w:hAnsi="Times New Roman" w:cs="Times New Roman"/>
          <w:sz w:val="24"/>
          <w:szCs w:val="24"/>
        </w:rPr>
        <w:t xml:space="preserve">, dois </w:t>
      </w:r>
      <w:r w:rsidR="00717DDC" w:rsidRPr="00704821">
        <w:rPr>
          <w:rFonts w:ascii="Times New Roman" w:hAnsi="Times New Roman" w:cs="Times New Roman"/>
          <w:sz w:val="24"/>
          <w:szCs w:val="24"/>
        </w:rPr>
        <w:t xml:space="preserve">instrumentos </w:t>
      </w:r>
      <w:r w:rsidR="005F5185" w:rsidRPr="00704821">
        <w:rPr>
          <w:rFonts w:ascii="Times New Roman" w:hAnsi="Times New Roman" w:cs="Times New Roman"/>
          <w:sz w:val="24"/>
          <w:szCs w:val="24"/>
        </w:rPr>
        <w:t xml:space="preserve">de evidenciação </w:t>
      </w:r>
      <w:r w:rsidR="00717DDC" w:rsidRPr="00704821">
        <w:rPr>
          <w:rFonts w:ascii="Times New Roman" w:hAnsi="Times New Roman" w:cs="Times New Roman"/>
          <w:sz w:val="24"/>
          <w:szCs w:val="24"/>
        </w:rPr>
        <w:t>da RSC</w:t>
      </w:r>
      <w:r w:rsidR="005F5185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2ADFFB31" w14:textId="77777777" w:rsidR="00241B47" w:rsidRPr="00704821" w:rsidRDefault="00241B47" w:rsidP="00FD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F1ED23" w14:textId="1EE9243F" w:rsidR="00D37418" w:rsidRPr="00704821" w:rsidRDefault="002351C2" w:rsidP="0038087D">
      <w:pPr>
        <w:pStyle w:val="PargrafodaLista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b/>
          <w:sz w:val="24"/>
          <w:szCs w:val="24"/>
        </w:rPr>
        <w:t>Formulário de Referência</w:t>
      </w:r>
      <w:r w:rsidR="006D0354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6D0354" w:rsidRPr="00704821">
        <w:rPr>
          <w:rFonts w:ascii="Times New Roman" w:hAnsi="Times New Roman" w:cs="Times New Roman"/>
          <w:b/>
          <w:sz w:val="24"/>
          <w:szCs w:val="24"/>
        </w:rPr>
        <w:t xml:space="preserve">e Relato Integrado como </w:t>
      </w:r>
      <w:r w:rsidR="007A3254" w:rsidRPr="00704821">
        <w:rPr>
          <w:rFonts w:ascii="Times New Roman" w:hAnsi="Times New Roman" w:cs="Times New Roman"/>
          <w:b/>
          <w:sz w:val="24"/>
          <w:szCs w:val="24"/>
        </w:rPr>
        <w:t>v</w:t>
      </w:r>
      <w:r w:rsidR="006D0354" w:rsidRPr="00704821">
        <w:rPr>
          <w:rFonts w:ascii="Times New Roman" w:hAnsi="Times New Roman" w:cs="Times New Roman"/>
          <w:b/>
          <w:sz w:val="24"/>
          <w:szCs w:val="24"/>
        </w:rPr>
        <w:t xml:space="preserve">eículos de </w:t>
      </w:r>
      <w:r w:rsidR="007A3254" w:rsidRPr="00704821">
        <w:rPr>
          <w:rFonts w:ascii="Times New Roman" w:hAnsi="Times New Roman" w:cs="Times New Roman"/>
          <w:b/>
          <w:sz w:val="24"/>
          <w:szCs w:val="24"/>
        </w:rPr>
        <w:t>evidenciação da RSC</w:t>
      </w:r>
    </w:p>
    <w:p w14:paraId="38CF205C" w14:textId="6EB62648" w:rsidR="002351C2" w:rsidRPr="00704821" w:rsidRDefault="00D37418" w:rsidP="0038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Nessa parte do estudo, são abordados aspectos referentes ao FR e ao RI, os quais serão </w:t>
      </w:r>
      <w:r w:rsidR="008A79F4" w:rsidRPr="00704821">
        <w:rPr>
          <w:rFonts w:ascii="Times New Roman" w:hAnsi="Times New Roman" w:cs="Times New Roman"/>
          <w:sz w:val="24"/>
          <w:szCs w:val="24"/>
        </w:rPr>
        <w:t>considerados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9F72DB" w:rsidRPr="00704821">
        <w:rPr>
          <w:rFonts w:ascii="Times New Roman" w:hAnsi="Times New Roman" w:cs="Times New Roman"/>
          <w:sz w:val="24"/>
          <w:szCs w:val="24"/>
        </w:rPr>
        <w:t xml:space="preserve">como </w:t>
      </w:r>
      <w:r w:rsidR="00A15A6C" w:rsidRPr="00704821">
        <w:rPr>
          <w:rFonts w:ascii="Times New Roman" w:hAnsi="Times New Roman" w:cs="Times New Roman"/>
          <w:sz w:val="24"/>
          <w:szCs w:val="24"/>
        </w:rPr>
        <w:t xml:space="preserve">instrumentos </w:t>
      </w:r>
      <w:r w:rsidRPr="00704821">
        <w:rPr>
          <w:rFonts w:ascii="Times New Roman" w:hAnsi="Times New Roman" w:cs="Times New Roman"/>
          <w:sz w:val="24"/>
          <w:szCs w:val="24"/>
        </w:rPr>
        <w:t>de evidenciação da RSC</w:t>
      </w:r>
      <w:r w:rsidR="008A79F4" w:rsidRPr="00704821">
        <w:rPr>
          <w:rFonts w:ascii="Times New Roman" w:hAnsi="Times New Roman" w:cs="Times New Roman"/>
          <w:sz w:val="24"/>
          <w:szCs w:val="24"/>
        </w:rPr>
        <w:t xml:space="preserve"> das empresas</w:t>
      </w:r>
      <w:r w:rsidRPr="00704821">
        <w:rPr>
          <w:rFonts w:ascii="Times New Roman" w:hAnsi="Times New Roman" w:cs="Times New Roman"/>
          <w:sz w:val="24"/>
          <w:szCs w:val="24"/>
        </w:rPr>
        <w:t>. Optou-se pela escolha desses dois relatórios pois um deles é de caráter compulsório (FR) e o outro refere-se a uma demonstração voluntária (RI)</w:t>
      </w:r>
      <w:r w:rsidR="00ED25D0" w:rsidRPr="007048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82FB16" w14:textId="3F11238B" w:rsidR="00532AAE" w:rsidRPr="00704821" w:rsidRDefault="002351C2" w:rsidP="00235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O </w:t>
      </w:r>
      <w:r w:rsidR="00A02CF2" w:rsidRPr="00704821">
        <w:rPr>
          <w:rFonts w:ascii="Times New Roman" w:hAnsi="Times New Roman" w:cs="Times New Roman"/>
          <w:sz w:val="24"/>
          <w:szCs w:val="24"/>
        </w:rPr>
        <w:t>FR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53023A" w:rsidRPr="00704821">
        <w:rPr>
          <w:rFonts w:ascii="Times New Roman" w:hAnsi="Times New Roman" w:cs="Times New Roman"/>
          <w:sz w:val="24"/>
          <w:szCs w:val="24"/>
        </w:rPr>
        <w:t xml:space="preserve">foi instituído pela </w:t>
      </w:r>
      <w:r w:rsidR="00532AAE" w:rsidRPr="00704821">
        <w:rPr>
          <w:rFonts w:ascii="Times New Roman" w:hAnsi="Times New Roman" w:cs="Times New Roman"/>
          <w:sz w:val="24"/>
          <w:szCs w:val="24"/>
        </w:rPr>
        <w:t>Instrução Normativa (</w:t>
      </w:r>
      <w:r w:rsidR="0053023A" w:rsidRPr="00704821">
        <w:rPr>
          <w:rFonts w:ascii="Times New Roman" w:hAnsi="Times New Roman" w:cs="Times New Roman"/>
          <w:sz w:val="24"/>
          <w:szCs w:val="24"/>
        </w:rPr>
        <w:t>IN</w:t>
      </w:r>
      <w:r w:rsidR="00532AAE" w:rsidRPr="00704821">
        <w:rPr>
          <w:rFonts w:ascii="Times New Roman" w:hAnsi="Times New Roman" w:cs="Times New Roman"/>
          <w:sz w:val="24"/>
          <w:szCs w:val="24"/>
        </w:rPr>
        <w:t>)</w:t>
      </w:r>
      <w:r w:rsidR="0053023A" w:rsidRPr="00704821">
        <w:rPr>
          <w:rFonts w:ascii="Times New Roman" w:hAnsi="Times New Roman" w:cs="Times New Roman"/>
          <w:sz w:val="24"/>
          <w:szCs w:val="24"/>
        </w:rPr>
        <w:t xml:space="preserve"> CVM nº 480/09 (Publicada no D.O.U. de 09.12.09) que teve alterações introduzidas pelas Instruções CVM Nº 488/10, 509/11, 511/11, 520/12, 525/12, 547/14, 552/14, 561/15, 567/15, 568/15 e 569/15. Trata-se de </w:t>
      </w:r>
      <w:r w:rsidRPr="00704821">
        <w:rPr>
          <w:rFonts w:ascii="Times New Roman" w:hAnsi="Times New Roman" w:cs="Times New Roman"/>
          <w:sz w:val="24"/>
          <w:szCs w:val="24"/>
        </w:rPr>
        <w:t xml:space="preserve">um documento </w:t>
      </w:r>
      <w:r w:rsidR="0067449A" w:rsidRPr="00704821">
        <w:rPr>
          <w:rFonts w:ascii="Times New Roman" w:hAnsi="Times New Roman" w:cs="Times New Roman"/>
          <w:sz w:val="24"/>
          <w:szCs w:val="24"/>
        </w:rPr>
        <w:t xml:space="preserve">elaborado pela Diretoria de Relação com Investidores, com propósito </w:t>
      </w:r>
      <w:r w:rsidRPr="00704821">
        <w:rPr>
          <w:rFonts w:ascii="Times New Roman" w:hAnsi="Times New Roman" w:cs="Times New Roman"/>
          <w:sz w:val="24"/>
          <w:szCs w:val="24"/>
        </w:rPr>
        <w:t>estratégico, dinâmico</w:t>
      </w:r>
      <w:r w:rsidR="0067449A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9F72DB" w:rsidRPr="00704821">
        <w:rPr>
          <w:rFonts w:ascii="Times New Roman" w:hAnsi="Times New Roman" w:cs="Times New Roman"/>
          <w:sz w:val="24"/>
          <w:szCs w:val="24"/>
        </w:rPr>
        <w:t xml:space="preserve">e </w:t>
      </w:r>
      <w:r w:rsidR="00A15A6C" w:rsidRPr="00704821">
        <w:rPr>
          <w:rFonts w:ascii="Times New Roman" w:hAnsi="Times New Roman" w:cs="Times New Roman"/>
          <w:sz w:val="24"/>
          <w:szCs w:val="24"/>
        </w:rPr>
        <w:t>deve ser</w:t>
      </w:r>
      <w:r w:rsidR="009F72DB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constantemente atualizado (quando ocorrer transações relevantes)</w:t>
      </w:r>
      <w:r w:rsidR="00ED25D0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9F72DB" w:rsidRPr="00704821">
        <w:rPr>
          <w:rFonts w:ascii="Times New Roman" w:hAnsi="Times New Roman" w:cs="Times New Roman"/>
          <w:sz w:val="24"/>
          <w:szCs w:val="24"/>
        </w:rPr>
        <w:t xml:space="preserve">além de </w:t>
      </w:r>
      <w:r w:rsidR="00F71AFF" w:rsidRPr="00704821">
        <w:rPr>
          <w:rFonts w:ascii="Times New Roman" w:hAnsi="Times New Roman" w:cs="Times New Roman"/>
          <w:sz w:val="24"/>
          <w:szCs w:val="24"/>
        </w:rPr>
        <w:t>serv</w:t>
      </w:r>
      <w:r w:rsidR="009F72DB" w:rsidRPr="00704821">
        <w:rPr>
          <w:rFonts w:ascii="Times New Roman" w:hAnsi="Times New Roman" w:cs="Times New Roman"/>
          <w:sz w:val="24"/>
          <w:szCs w:val="24"/>
        </w:rPr>
        <w:t>ir</w:t>
      </w:r>
      <w:r w:rsidR="00F71AF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 xml:space="preserve">como um canal de comunicação entre a empresa e o mercado (investidores). </w:t>
      </w:r>
      <w:r w:rsidR="00532AAE" w:rsidRPr="00704821">
        <w:rPr>
          <w:rFonts w:ascii="Times New Roman" w:hAnsi="Times New Roman" w:cs="Times New Roman"/>
          <w:sz w:val="24"/>
          <w:szCs w:val="24"/>
        </w:rPr>
        <w:t xml:space="preserve">No FR </w:t>
      </w:r>
      <w:r w:rsidRPr="00704821">
        <w:rPr>
          <w:rFonts w:ascii="Times New Roman" w:hAnsi="Times New Roman" w:cs="Times New Roman"/>
          <w:sz w:val="24"/>
          <w:szCs w:val="24"/>
        </w:rPr>
        <w:t xml:space="preserve">são descritas informações sobre as atividades da organização, </w:t>
      </w:r>
      <w:r w:rsidR="001632C5" w:rsidRPr="00704821">
        <w:rPr>
          <w:rFonts w:ascii="Times New Roman" w:hAnsi="Times New Roman" w:cs="Times New Roman"/>
          <w:sz w:val="24"/>
          <w:szCs w:val="24"/>
        </w:rPr>
        <w:t>riscos</w:t>
      </w:r>
      <w:r w:rsidR="00ED25D0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1632C5" w:rsidRPr="00704821">
        <w:rPr>
          <w:rFonts w:ascii="Times New Roman" w:hAnsi="Times New Roman" w:cs="Times New Roman"/>
          <w:sz w:val="24"/>
          <w:szCs w:val="24"/>
        </w:rPr>
        <w:t xml:space="preserve">e </w:t>
      </w:r>
      <w:r w:rsidRPr="00704821">
        <w:rPr>
          <w:rFonts w:ascii="Times New Roman" w:hAnsi="Times New Roman" w:cs="Times New Roman"/>
          <w:sz w:val="24"/>
          <w:szCs w:val="24"/>
        </w:rPr>
        <w:t>perspectivas futuras</w:t>
      </w:r>
      <w:r w:rsidR="00DD6AD6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93D87" w:rsidRPr="00704821">
        <w:rPr>
          <w:rFonts w:ascii="Times New Roman" w:hAnsi="Times New Roman" w:cs="Times New Roman"/>
          <w:sz w:val="24"/>
          <w:szCs w:val="24"/>
        </w:rPr>
        <w:t>(CODIM, 2011</w:t>
      </w:r>
      <w:r w:rsidR="00DD6AD6" w:rsidRPr="00704821">
        <w:rPr>
          <w:rFonts w:ascii="Times New Roman" w:hAnsi="Times New Roman" w:cs="Times New Roman"/>
          <w:sz w:val="24"/>
          <w:szCs w:val="24"/>
        </w:rPr>
        <w:t>, CVM, 2015)</w:t>
      </w:r>
      <w:r w:rsidRPr="00704821">
        <w:rPr>
          <w:rFonts w:ascii="Times New Roman" w:hAnsi="Times New Roman" w:cs="Times New Roman"/>
          <w:sz w:val="24"/>
          <w:szCs w:val="24"/>
        </w:rPr>
        <w:t>.</w:t>
      </w:r>
    </w:p>
    <w:p w14:paraId="26E2948A" w14:textId="57C5D550" w:rsidR="002351C2" w:rsidRPr="00704821" w:rsidRDefault="00532AAE" w:rsidP="00235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O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s artigos nº 14 a nº 19 da IN CVM nº 480/09 </w:t>
      </w:r>
      <w:r w:rsidRPr="00704821">
        <w:rPr>
          <w:rFonts w:ascii="Times New Roman" w:hAnsi="Times New Roman" w:cs="Times New Roman"/>
          <w:sz w:val="24"/>
          <w:szCs w:val="24"/>
        </w:rPr>
        <w:t xml:space="preserve">discorrem </w:t>
      </w:r>
      <w:r w:rsidR="001632C5" w:rsidRPr="00704821">
        <w:rPr>
          <w:rFonts w:ascii="Times New Roman" w:hAnsi="Times New Roman" w:cs="Times New Roman"/>
          <w:sz w:val="24"/>
          <w:szCs w:val="24"/>
        </w:rPr>
        <w:t xml:space="preserve">sobre 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as </w:t>
      </w:r>
      <w:r w:rsidR="001632C5" w:rsidRPr="00704821">
        <w:rPr>
          <w:rFonts w:ascii="Times New Roman" w:hAnsi="Times New Roman" w:cs="Times New Roman"/>
          <w:sz w:val="24"/>
          <w:szCs w:val="24"/>
        </w:rPr>
        <w:t xml:space="preserve">características </w:t>
      </w:r>
      <w:r w:rsidR="00DA128F" w:rsidRPr="00704821">
        <w:rPr>
          <w:rFonts w:ascii="Times New Roman" w:hAnsi="Times New Roman" w:cs="Times New Roman"/>
          <w:sz w:val="24"/>
          <w:szCs w:val="24"/>
        </w:rPr>
        <w:t xml:space="preserve">que as 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67449A" w:rsidRPr="00704821">
        <w:rPr>
          <w:rFonts w:ascii="Times New Roman" w:hAnsi="Times New Roman" w:cs="Times New Roman"/>
          <w:sz w:val="24"/>
          <w:szCs w:val="24"/>
        </w:rPr>
        <w:t xml:space="preserve">contidas 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no </w:t>
      </w:r>
      <w:r w:rsidR="00A02CF2" w:rsidRPr="00704821">
        <w:rPr>
          <w:rFonts w:ascii="Times New Roman" w:hAnsi="Times New Roman" w:cs="Times New Roman"/>
          <w:sz w:val="24"/>
          <w:szCs w:val="24"/>
        </w:rPr>
        <w:t>FR</w:t>
      </w:r>
      <w:r w:rsidR="001632C5" w:rsidRPr="00704821">
        <w:rPr>
          <w:rFonts w:ascii="Times New Roman" w:hAnsi="Times New Roman" w:cs="Times New Roman"/>
          <w:sz w:val="24"/>
          <w:szCs w:val="24"/>
        </w:rPr>
        <w:t xml:space="preserve"> devem </w:t>
      </w:r>
      <w:r w:rsidR="0067449A" w:rsidRPr="00704821">
        <w:rPr>
          <w:rFonts w:ascii="Times New Roman" w:hAnsi="Times New Roman" w:cs="Times New Roman"/>
          <w:sz w:val="24"/>
          <w:szCs w:val="24"/>
        </w:rPr>
        <w:t>ter</w:t>
      </w:r>
      <w:r w:rsidR="00124FE0" w:rsidRPr="00704821">
        <w:rPr>
          <w:rFonts w:ascii="Times New Roman" w:hAnsi="Times New Roman" w:cs="Times New Roman"/>
          <w:sz w:val="24"/>
          <w:szCs w:val="24"/>
        </w:rPr>
        <w:t>, que são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 a) serem verdadeiras, completas, consistentes e não induzir o investidor a</w:t>
      </w:r>
      <w:r w:rsidR="00140F8D">
        <w:rPr>
          <w:rFonts w:ascii="Times New Roman" w:hAnsi="Times New Roman" w:cs="Times New Roman"/>
          <w:sz w:val="24"/>
          <w:szCs w:val="24"/>
        </w:rPr>
        <w:t>o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 erro; b) escritas em linguagem simples, clara, objetiva e concisa; c) serem divulgadas de forma abrangente, equitativa e simultânea para todo o mercado; d) serem uteis à avaliação dos valores mobiliários por ele emitidos; e) válidas por um prazo determinável; f) </w:t>
      </w:r>
      <w:r w:rsidRPr="00704821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2351C2" w:rsidRPr="00704821">
        <w:rPr>
          <w:rFonts w:ascii="Times New Roman" w:hAnsi="Times New Roman" w:cs="Times New Roman"/>
          <w:sz w:val="24"/>
          <w:szCs w:val="24"/>
        </w:rPr>
        <w:t>factuais devem ser diferenciadas de interpretações, opiniões, projeções e estimativas e quando possível, vir</w:t>
      </w:r>
      <w:r w:rsidR="001632C5" w:rsidRPr="00704821">
        <w:rPr>
          <w:rFonts w:ascii="Times New Roman" w:hAnsi="Times New Roman" w:cs="Times New Roman"/>
          <w:sz w:val="24"/>
          <w:szCs w:val="24"/>
        </w:rPr>
        <w:t>em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 acompanhadas da indicação de suas fontes </w:t>
      </w:r>
      <w:r w:rsidR="00881A4C" w:rsidRPr="00704821">
        <w:rPr>
          <w:rFonts w:ascii="Times New Roman" w:hAnsi="Times New Roman" w:cs="Times New Roman"/>
          <w:sz w:val="24"/>
          <w:szCs w:val="24"/>
        </w:rPr>
        <w:t>(</w:t>
      </w:r>
      <w:r w:rsidR="002351C2" w:rsidRPr="00704821">
        <w:rPr>
          <w:rFonts w:ascii="Times New Roman" w:hAnsi="Times New Roman" w:cs="Times New Roman"/>
          <w:sz w:val="24"/>
          <w:szCs w:val="24"/>
        </w:rPr>
        <w:t>CVM, 2015</w:t>
      </w:r>
      <w:r w:rsidR="00881A4C" w:rsidRPr="00704821">
        <w:rPr>
          <w:rFonts w:ascii="Times New Roman" w:hAnsi="Times New Roman" w:cs="Times New Roman"/>
          <w:sz w:val="24"/>
          <w:szCs w:val="24"/>
        </w:rPr>
        <w:t>)</w:t>
      </w:r>
      <w:r w:rsidR="002351C2" w:rsidRPr="00704821">
        <w:rPr>
          <w:rFonts w:ascii="Times New Roman" w:hAnsi="Times New Roman" w:cs="Times New Roman"/>
          <w:sz w:val="24"/>
          <w:szCs w:val="24"/>
        </w:rPr>
        <w:t>.</w:t>
      </w:r>
      <w:r w:rsidR="0067449A" w:rsidRPr="00704821">
        <w:rPr>
          <w:rFonts w:ascii="Times New Roman" w:hAnsi="Times New Roman" w:cs="Times New Roman"/>
          <w:sz w:val="24"/>
          <w:szCs w:val="24"/>
        </w:rPr>
        <w:t xml:space="preserve"> E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m relação às informações do </w:t>
      </w:r>
      <w:r w:rsidR="00A02CF2" w:rsidRPr="00704821">
        <w:rPr>
          <w:rFonts w:ascii="Times New Roman" w:hAnsi="Times New Roman" w:cs="Times New Roman"/>
          <w:sz w:val="24"/>
          <w:szCs w:val="24"/>
        </w:rPr>
        <w:t>FR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 há campos que são de </w:t>
      </w:r>
      <w:r w:rsidR="002351C2" w:rsidRPr="00704821">
        <w:rPr>
          <w:rFonts w:ascii="Times New Roman" w:hAnsi="Times New Roman" w:cs="Times New Roman"/>
          <w:sz w:val="24"/>
          <w:szCs w:val="24"/>
        </w:rPr>
        <w:lastRenderedPageBreak/>
        <w:t xml:space="preserve">preenchimento obrigatório, como </w:t>
      </w:r>
      <w:r w:rsidRPr="00704821">
        <w:rPr>
          <w:rFonts w:ascii="Times New Roman" w:hAnsi="Times New Roman" w:cs="Times New Roman"/>
          <w:sz w:val="24"/>
          <w:szCs w:val="24"/>
        </w:rPr>
        <w:t>fatores de risco (riscos socioambientais), informações financeiras selecionadas, comentários dos diretores, composição acionária, composição dos conselhos, remuneração dos administradores, políticas socioambientais</w:t>
      </w:r>
      <w:r w:rsidR="00F71AFF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e outros, que são de caráter voluntário</w:t>
      </w:r>
      <w:r w:rsidR="00ED25D0" w:rsidRPr="00704821">
        <w:rPr>
          <w:rFonts w:ascii="Times New Roman" w:hAnsi="Times New Roman" w:cs="Times New Roman"/>
          <w:sz w:val="24"/>
          <w:szCs w:val="24"/>
        </w:rPr>
        <w:t xml:space="preserve"> como as projeções financeiras </w:t>
      </w:r>
      <w:r w:rsidR="002351C2" w:rsidRPr="00704821">
        <w:rPr>
          <w:rFonts w:ascii="Times New Roman" w:hAnsi="Times New Roman" w:cs="Times New Roman"/>
          <w:sz w:val="24"/>
          <w:szCs w:val="24"/>
        </w:rPr>
        <w:t>(CVM, 2</w:t>
      </w:r>
      <w:r w:rsidR="00881A4C" w:rsidRPr="00704821">
        <w:rPr>
          <w:rFonts w:ascii="Times New Roman" w:hAnsi="Times New Roman" w:cs="Times New Roman"/>
          <w:sz w:val="24"/>
          <w:szCs w:val="24"/>
        </w:rPr>
        <w:t>015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D6929A7" w14:textId="64B49154" w:rsidR="002351C2" w:rsidRPr="00704821" w:rsidRDefault="002351C2" w:rsidP="00235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O </w:t>
      </w:r>
      <w:r w:rsidR="00532AAE" w:rsidRPr="00704821">
        <w:rPr>
          <w:rFonts w:ascii="Times New Roman" w:hAnsi="Times New Roman" w:cs="Times New Roman"/>
          <w:sz w:val="24"/>
          <w:szCs w:val="24"/>
        </w:rPr>
        <w:t>FR</w:t>
      </w:r>
      <w:r w:rsidRPr="00704821">
        <w:rPr>
          <w:rFonts w:ascii="Times New Roman" w:hAnsi="Times New Roman" w:cs="Times New Roman"/>
          <w:sz w:val="24"/>
          <w:szCs w:val="24"/>
        </w:rPr>
        <w:t xml:space="preserve"> é compulsório para as empresas listadas na BM&amp;F</w:t>
      </w:r>
      <w:r w:rsidR="00BB4071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 xml:space="preserve">Bovespa e deve </w:t>
      </w:r>
      <w:r w:rsidR="008C449B" w:rsidRPr="00704821">
        <w:rPr>
          <w:rFonts w:ascii="Times New Roman" w:hAnsi="Times New Roman" w:cs="Times New Roman"/>
          <w:sz w:val="24"/>
          <w:szCs w:val="24"/>
        </w:rPr>
        <w:t>ser auditado</w:t>
      </w:r>
      <w:r w:rsidRPr="00704821">
        <w:rPr>
          <w:rFonts w:ascii="Times New Roman" w:hAnsi="Times New Roman" w:cs="Times New Roman"/>
          <w:sz w:val="24"/>
          <w:szCs w:val="24"/>
        </w:rPr>
        <w:t xml:space="preserve"> por auditores independentes. A data limite de entrega é 31 de maio do ano </w:t>
      </w:r>
      <w:r w:rsidR="008C449B" w:rsidRPr="00704821">
        <w:rPr>
          <w:rFonts w:ascii="Times New Roman" w:hAnsi="Times New Roman" w:cs="Times New Roman"/>
          <w:sz w:val="24"/>
          <w:szCs w:val="24"/>
        </w:rPr>
        <w:t>subsequente</w:t>
      </w:r>
      <w:r w:rsidRPr="00704821">
        <w:rPr>
          <w:rFonts w:ascii="Times New Roman" w:hAnsi="Times New Roman" w:cs="Times New Roman"/>
          <w:sz w:val="24"/>
          <w:szCs w:val="24"/>
        </w:rPr>
        <w:t xml:space="preserve"> ao ano base de elaboração das informações (CVM, 20</w:t>
      </w:r>
      <w:r w:rsidR="00C40EBD" w:rsidRPr="00704821">
        <w:rPr>
          <w:rFonts w:ascii="Times New Roman" w:hAnsi="Times New Roman" w:cs="Times New Roman"/>
          <w:sz w:val="24"/>
          <w:szCs w:val="24"/>
        </w:rPr>
        <w:t>15</w:t>
      </w:r>
      <w:r w:rsidRPr="00704821">
        <w:rPr>
          <w:rFonts w:ascii="Times New Roman" w:hAnsi="Times New Roman" w:cs="Times New Roman"/>
          <w:sz w:val="24"/>
          <w:szCs w:val="24"/>
        </w:rPr>
        <w:t>). Esse documento deve estar disponível no site da empresa (canal de Relação com Investidores) e no site da BM&amp;F Bovespa para acesso público (</w:t>
      </w:r>
      <w:r w:rsidR="00A35DE2" w:rsidRPr="00704821">
        <w:rPr>
          <w:rFonts w:ascii="Times New Roman" w:hAnsi="Times New Roman" w:cs="Times New Roman"/>
          <w:sz w:val="24"/>
          <w:szCs w:val="24"/>
        </w:rPr>
        <w:t>CODIM, 2011</w:t>
      </w:r>
      <w:r w:rsidRPr="00704821">
        <w:rPr>
          <w:rFonts w:ascii="Times New Roman" w:hAnsi="Times New Roman" w:cs="Times New Roman"/>
          <w:sz w:val="24"/>
          <w:szCs w:val="24"/>
        </w:rPr>
        <w:t>; CVM, 20</w:t>
      </w:r>
      <w:r w:rsidR="00C40EBD" w:rsidRPr="00704821">
        <w:rPr>
          <w:rFonts w:ascii="Times New Roman" w:hAnsi="Times New Roman" w:cs="Times New Roman"/>
          <w:sz w:val="24"/>
          <w:szCs w:val="24"/>
        </w:rPr>
        <w:t>15</w:t>
      </w:r>
      <w:r w:rsidRPr="00704821">
        <w:rPr>
          <w:rFonts w:ascii="Times New Roman" w:hAnsi="Times New Roman" w:cs="Times New Roman"/>
          <w:sz w:val="24"/>
          <w:szCs w:val="24"/>
        </w:rPr>
        <w:t>).</w:t>
      </w:r>
    </w:p>
    <w:p w14:paraId="38BB34FC" w14:textId="16EACCCB" w:rsidR="00A605E8" w:rsidRPr="00704821" w:rsidRDefault="0067449A" w:rsidP="00434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Por sua vez, </w:t>
      </w:r>
      <w:r w:rsidR="00ED25D0" w:rsidRPr="00704821">
        <w:rPr>
          <w:rFonts w:ascii="Times New Roman" w:hAnsi="Times New Roman" w:cs="Times New Roman"/>
          <w:sz w:val="24"/>
          <w:szCs w:val="24"/>
        </w:rPr>
        <w:t xml:space="preserve">o </w:t>
      </w:r>
      <w:r w:rsidR="00730FD7" w:rsidRPr="00704821">
        <w:rPr>
          <w:rFonts w:ascii="Times New Roman" w:hAnsi="Times New Roman" w:cs="Times New Roman"/>
          <w:sz w:val="24"/>
          <w:szCs w:val="24"/>
        </w:rPr>
        <w:t xml:space="preserve">RI </w:t>
      </w:r>
      <w:r w:rsidR="00BB4071" w:rsidRPr="00704821">
        <w:rPr>
          <w:rFonts w:ascii="Times New Roman" w:hAnsi="Times New Roman" w:cs="Times New Roman"/>
          <w:sz w:val="24"/>
          <w:szCs w:val="24"/>
        </w:rPr>
        <w:t xml:space="preserve">é um relatório voluntário, </w:t>
      </w:r>
      <w:r w:rsidR="00C24B8B" w:rsidRPr="00704821">
        <w:rPr>
          <w:rFonts w:ascii="Times New Roman" w:hAnsi="Times New Roman" w:cs="Times New Roman"/>
          <w:sz w:val="24"/>
          <w:szCs w:val="24"/>
        </w:rPr>
        <w:t>conciso</w:t>
      </w:r>
      <w:r w:rsidR="00BB4071" w:rsidRPr="00704821">
        <w:rPr>
          <w:rFonts w:ascii="Times New Roman" w:hAnsi="Times New Roman" w:cs="Times New Roman"/>
          <w:sz w:val="24"/>
          <w:szCs w:val="24"/>
        </w:rPr>
        <w:t>,</w:t>
      </w:r>
      <w:r w:rsidR="00C24B8B" w:rsidRPr="00704821">
        <w:rPr>
          <w:rFonts w:ascii="Times New Roman" w:hAnsi="Times New Roman" w:cs="Times New Roman"/>
          <w:sz w:val="24"/>
          <w:szCs w:val="24"/>
        </w:rPr>
        <w:t xml:space="preserve"> sobre </w:t>
      </w:r>
      <w:r w:rsidR="00BB4071" w:rsidRPr="00704821">
        <w:rPr>
          <w:rFonts w:ascii="Times New Roman" w:hAnsi="Times New Roman" w:cs="Times New Roman"/>
          <w:sz w:val="24"/>
          <w:szCs w:val="24"/>
        </w:rPr>
        <w:t xml:space="preserve">como </w:t>
      </w:r>
      <w:r w:rsidR="00C24B8B" w:rsidRPr="00704821">
        <w:rPr>
          <w:rFonts w:ascii="Times New Roman" w:hAnsi="Times New Roman" w:cs="Times New Roman"/>
          <w:sz w:val="24"/>
          <w:szCs w:val="24"/>
        </w:rPr>
        <w:t>a estratégia, a governança, o desempenho e as perspectivas de uma organização, levam à geração de valor</w:t>
      </w:r>
      <w:r w:rsidR="00730FD7" w:rsidRPr="00704821">
        <w:rPr>
          <w:rFonts w:ascii="Times New Roman" w:hAnsi="Times New Roman" w:cs="Times New Roman"/>
          <w:sz w:val="24"/>
          <w:szCs w:val="24"/>
        </w:rPr>
        <w:t xml:space="preserve"> em curto, médio e longo prazo.</w:t>
      </w:r>
      <w:r w:rsidR="00C24B8B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730FD7" w:rsidRPr="00704821">
        <w:rPr>
          <w:rFonts w:ascii="Times New Roman" w:hAnsi="Times New Roman" w:cs="Times New Roman"/>
          <w:sz w:val="24"/>
          <w:szCs w:val="24"/>
        </w:rPr>
        <w:t>D</w:t>
      </w:r>
      <w:r w:rsidR="00F02085" w:rsidRPr="00704821">
        <w:rPr>
          <w:rFonts w:ascii="Times New Roman" w:hAnsi="Times New Roman" w:cs="Times New Roman"/>
          <w:sz w:val="24"/>
          <w:szCs w:val="24"/>
        </w:rPr>
        <w:t>eve ser mais do que a junção dos relatórios financeiros</w:t>
      </w:r>
      <w:r w:rsidR="00C30134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693F77" w:rsidRPr="00704821">
        <w:rPr>
          <w:rFonts w:ascii="Times New Roman" w:hAnsi="Times New Roman" w:cs="Times New Roman"/>
          <w:sz w:val="24"/>
          <w:szCs w:val="24"/>
        </w:rPr>
        <w:t>informações não financeiras</w:t>
      </w:r>
      <w:r w:rsidR="00730FD7" w:rsidRPr="00704821">
        <w:rPr>
          <w:rFonts w:ascii="Times New Roman" w:hAnsi="Times New Roman" w:cs="Times New Roman"/>
          <w:sz w:val="24"/>
          <w:szCs w:val="24"/>
        </w:rPr>
        <w:t xml:space="preserve"> e de sustentabilidade</w:t>
      </w:r>
      <w:r w:rsidR="00DD6AD6" w:rsidRPr="00704821">
        <w:rPr>
          <w:rFonts w:ascii="Times New Roman" w:hAnsi="Times New Roman" w:cs="Times New Roman"/>
          <w:sz w:val="24"/>
          <w:szCs w:val="24"/>
        </w:rPr>
        <w:t xml:space="preserve">. O objetivo do RI </w:t>
      </w:r>
      <w:r w:rsidR="00605624" w:rsidRPr="00704821">
        <w:rPr>
          <w:rFonts w:ascii="Times New Roman" w:hAnsi="Times New Roman" w:cs="Times New Roman"/>
          <w:sz w:val="24"/>
          <w:szCs w:val="24"/>
        </w:rPr>
        <w:t>é explicar aos provedores de capital</w:t>
      </w:r>
      <w:r w:rsidR="00434678" w:rsidRPr="00704821">
        <w:rPr>
          <w:rFonts w:ascii="Times New Roman" w:hAnsi="Times New Roman" w:cs="Times New Roman"/>
          <w:sz w:val="24"/>
          <w:szCs w:val="24"/>
        </w:rPr>
        <w:t>, empregados, clientes, fornecedores, parceiros comerciais, comunidades locais, legisladores</w:t>
      </w:r>
      <w:r w:rsidR="0054287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434678" w:rsidRPr="00704821">
        <w:rPr>
          <w:rFonts w:ascii="Times New Roman" w:hAnsi="Times New Roman" w:cs="Times New Roman"/>
          <w:sz w:val="24"/>
          <w:szCs w:val="24"/>
        </w:rPr>
        <w:t xml:space="preserve">e formuladores de </w:t>
      </w:r>
      <w:r w:rsidR="001B1700" w:rsidRPr="00704821">
        <w:rPr>
          <w:rFonts w:ascii="Times New Roman" w:hAnsi="Times New Roman" w:cs="Times New Roman"/>
          <w:sz w:val="24"/>
          <w:szCs w:val="24"/>
        </w:rPr>
        <w:t>políticas, como</w:t>
      </w:r>
      <w:r w:rsidR="00434678" w:rsidRPr="00704821">
        <w:rPr>
          <w:rFonts w:ascii="Times New Roman" w:hAnsi="Times New Roman" w:cs="Times New Roman"/>
          <w:sz w:val="24"/>
          <w:szCs w:val="24"/>
        </w:rPr>
        <w:t xml:space="preserve"> a organização gera </w:t>
      </w:r>
      <w:r w:rsidR="00BB7176" w:rsidRPr="00704821">
        <w:rPr>
          <w:rFonts w:ascii="Times New Roman" w:hAnsi="Times New Roman" w:cs="Times New Roman"/>
          <w:sz w:val="24"/>
          <w:szCs w:val="24"/>
        </w:rPr>
        <w:t>valor ao</w:t>
      </w:r>
      <w:r w:rsidR="00213DE9" w:rsidRPr="00704821">
        <w:rPr>
          <w:rFonts w:ascii="Times New Roman" w:hAnsi="Times New Roman" w:cs="Times New Roman"/>
          <w:sz w:val="24"/>
          <w:szCs w:val="24"/>
        </w:rPr>
        <w:t xml:space="preserve"> longo do tempo</w:t>
      </w:r>
      <w:r w:rsidR="0054287C" w:rsidRPr="00704821">
        <w:rPr>
          <w:rFonts w:ascii="Times New Roman" w:hAnsi="Times New Roman" w:cs="Times New Roman"/>
          <w:sz w:val="24"/>
          <w:szCs w:val="24"/>
        </w:rPr>
        <w:t>,</w:t>
      </w:r>
      <w:r w:rsidR="00053565" w:rsidRPr="00704821">
        <w:rPr>
          <w:rFonts w:ascii="Times New Roman" w:hAnsi="Times New Roman" w:cs="Times New Roman"/>
          <w:sz w:val="24"/>
          <w:szCs w:val="24"/>
        </w:rPr>
        <w:t xml:space="preserve"> por </w:t>
      </w:r>
      <w:r w:rsidR="00D06C2C" w:rsidRPr="00704821">
        <w:rPr>
          <w:rFonts w:ascii="Times New Roman" w:hAnsi="Times New Roman" w:cs="Times New Roman"/>
          <w:sz w:val="24"/>
          <w:szCs w:val="24"/>
        </w:rPr>
        <w:t>uso e conexão dos 6 capitais (financeiro, manufaturado, intelectual, humano, social e relacionamento e natural</w:t>
      </w:r>
      <w:r w:rsidR="00DD6AD6" w:rsidRPr="00704821">
        <w:rPr>
          <w:rFonts w:ascii="Times New Roman" w:hAnsi="Times New Roman" w:cs="Times New Roman"/>
          <w:sz w:val="24"/>
          <w:szCs w:val="24"/>
        </w:rPr>
        <w:t>)</w:t>
      </w:r>
      <w:r w:rsidR="00D06C2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A605E8" w:rsidRPr="00704821">
        <w:rPr>
          <w:rFonts w:ascii="Times New Roman" w:hAnsi="Times New Roman" w:cs="Times New Roman"/>
          <w:sz w:val="24"/>
          <w:szCs w:val="24"/>
        </w:rPr>
        <w:t>(</w:t>
      </w:r>
      <w:r w:rsidR="00214B24" w:rsidRPr="00704821">
        <w:rPr>
          <w:rFonts w:ascii="Times New Roman" w:hAnsi="Times New Roman" w:cs="Times New Roman"/>
          <w:sz w:val="24"/>
          <w:szCs w:val="24"/>
        </w:rPr>
        <w:t>ADAMS</w:t>
      </w:r>
      <w:r w:rsidR="00CF54D5" w:rsidRPr="00704821">
        <w:rPr>
          <w:rFonts w:ascii="Times New Roman" w:hAnsi="Times New Roman" w:cs="Times New Roman"/>
          <w:sz w:val="24"/>
          <w:szCs w:val="24"/>
        </w:rPr>
        <w:t>, 2013</w:t>
      </w:r>
      <w:r w:rsidR="00A605E8" w:rsidRPr="00704821">
        <w:rPr>
          <w:rFonts w:ascii="Times New Roman" w:hAnsi="Times New Roman" w:cs="Times New Roman"/>
          <w:sz w:val="24"/>
          <w:szCs w:val="24"/>
        </w:rPr>
        <w:t>)</w:t>
      </w:r>
      <w:r w:rsidR="007379F0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4E9FEF96" w14:textId="00A257A1" w:rsidR="001F60C7" w:rsidRPr="00704821" w:rsidRDefault="001F60C7" w:rsidP="00434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O RI enfatiza a importância do pensamento integrado nas organizações, que é </w:t>
      </w:r>
      <w:r w:rsidR="003C4449">
        <w:rPr>
          <w:rFonts w:ascii="Times New Roman" w:hAnsi="Times New Roman" w:cs="Times New Roman"/>
          <w:sz w:val="24"/>
          <w:szCs w:val="24"/>
        </w:rPr>
        <w:t xml:space="preserve">a </w:t>
      </w:r>
      <w:r w:rsidRPr="00704821">
        <w:rPr>
          <w:rFonts w:ascii="Times New Roman" w:hAnsi="Times New Roman" w:cs="Times New Roman"/>
          <w:sz w:val="24"/>
          <w:szCs w:val="24"/>
        </w:rPr>
        <w:t xml:space="preserve">consideração efetiva que a empresa dá aos relacionamentos entre as suas unidades operacionais </w:t>
      </w:r>
      <w:r w:rsidR="0054287C" w:rsidRPr="00704821">
        <w:rPr>
          <w:rFonts w:ascii="Times New Roman" w:hAnsi="Times New Roman" w:cs="Times New Roman"/>
          <w:sz w:val="24"/>
          <w:szCs w:val="24"/>
        </w:rPr>
        <w:t>e funcionais com</w:t>
      </w:r>
      <w:r w:rsidRPr="00704821">
        <w:rPr>
          <w:rFonts w:ascii="Times New Roman" w:hAnsi="Times New Roman" w:cs="Times New Roman"/>
          <w:sz w:val="24"/>
          <w:szCs w:val="24"/>
        </w:rPr>
        <w:t xml:space="preserve"> o ambiente externo. O pensamento integrado leva em conta todos os fatores que podem afetar a capacidade de uma organização </w:t>
      </w:r>
      <w:r w:rsidR="00BB4071" w:rsidRPr="00704821">
        <w:rPr>
          <w:rFonts w:ascii="Times New Roman" w:hAnsi="Times New Roman" w:cs="Times New Roman"/>
          <w:sz w:val="24"/>
          <w:szCs w:val="24"/>
        </w:rPr>
        <w:t xml:space="preserve">de </w:t>
      </w:r>
      <w:r w:rsidRPr="00704821">
        <w:rPr>
          <w:rFonts w:ascii="Times New Roman" w:hAnsi="Times New Roman" w:cs="Times New Roman"/>
          <w:sz w:val="24"/>
          <w:szCs w:val="24"/>
        </w:rPr>
        <w:t>criar valor</w:t>
      </w:r>
      <w:r w:rsidR="00A15A6C" w:rsidRPr="00704821">
        <w:rPr>
          <w:rFonts w:ascii="Times New Roman" w:hAnsi="Times New Roman" w:cs="Times New Roman"/>
          <w:sz w:val="24"/>
          <w:szCs w:val="24"/>
        </w:rPr>
        <w:t xml:space="preserve"> e </w:t>
      </w:r>
      <w:r w:rsidR="0054287C" w:rsidRPr="00704821">
        <w:rPr>
          <w:rFonts w:ascii="Times New Roman" w:hAnsi="Times New Roman" w:cs="Times New Roman"/>
          <w:sz w:val="24"/>
          <w:szCs w:val="24"/>
        </w:rPr>
        <w:t xml:space="preserve">a capacidade </w:t>
      </w:r>
      <w:r w:rsidR="00A15A6C" w:rsidRPr="00704821">
        <w:rPr>
          <w:rFonts w:ascii="Times New Roman" w:hAnsi="Times New Roman" w:cs="Times New Roman"/>
          <w:sz w:val="24"/>
          <w:szCs w:val="24"/>
        </w:rPr>
        <w:t>de</w:t>
      </w:r>
      <w:r w:rsidR="0054287C" w:rsidRPr="00704821">
        <w:rPr>
          <w:rFonts w:ascii="Times New Roman" w:hAnsi="Times New Roman" w:cs="Times New Roman"/>
          <w:sz w:val="24"/>
          <w:szCs w:val="24"/>
        </w:rPr>
        <w:t xml:space="preserve"> atender aos legítimos interesses e necessidades dos </w:t>
      </w:r>
      <w:r w:rsidR="0054287C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54287C" w:rsidRPr="00704821">
        <w:rPr>
          <w:rFonts w:ascii="Times New Roman" w:hAnsi="Times New Roman" w:cs="Times New Roman"/>
          <w:sz w:val="24"/>
          <w:szCs w:val="24"/>
        </w:rPr>
        <w:t xml:space="preserve"> (IIRC, 2014)</w:t>
      </w:r>
      <w:r w:rsidR="00A4572A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3F5263F3" w14:textId="7EB71B94" w:rsidR="00ED25D0" w:rsidRPr="00704821" w:rsidRDefault="00BD332A" w:rsidP="009A7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A partir da abordagem proposta pressupõem-se</w:t>
      </w:r>
      <w:r w:rsidR="00AA24D5" w:rsidRPr="00704821">
        <w:rPr>
          <w:rFonts w:ascii="Times New Roman" w:hAnsi="Times New Roman" w:cs="Times New Roman"/>
          <w:sz w:val="24"/>
          <w:szCs w:val="24"/>
        </w:rPr>
        <w:t xml:space="preserve"> que</w:t>
      </w:r>
      <w:r w:rsidR="00BB4071" w:rsidRPr="00704821">
        <w:rPr>
          <w:rFonts w:ascii="Times New Roman" w:hAnsi="Times New Roman" w:cs="Times New Roman"/>
          <w:sz w:val="24"/>
          <w:szCs w:val="24"/>
        </w:rPr>
        <w:t xml:space="preserve"> no FR sejam evidenciada</w:t>
      </w:r>
      <w:r w:rsidR="00ED25D0" w:rsidRPr="00704821">
        <w:rPr>
          <w:rFonts w:ascii="Times New Roman" w:hAnsi="Times New Roman" w:cs="Times New Roman"/>
          <w:sz w:val="24"/>
          <w:szCs w:val="24"/>
        </w:rPr>
        <w:t xml:space="preserve">s </w:t>
      </w:r>
      <w:r w:rsidR="001138A1" w:rsidRPr="00704821">
        <w:rPr>
          <w:rFonts w:ascii="Times New Roman" w:hAnsi="Times New Roman" w:cs="Times New Roman"/>
          <w:sz w:val="24"/>
          <w:szCs w:val="24"/>
        </w:rPr>
        <w:t xml:space="preserve">informações referentes à PNRS, mas no âmbito de riscos legais, riscos socioambientais, </w:t>
      </w:r>
      <w:r w:rsidR="00BB4071" w:rsidRPr="00704821">
        <w:rPr>
          <w:rFonts w:ascii="Times New Roman" w:hAnsi="Times New Roman" w:cs="Times New Roman"/>
          <w:i/>
          <w:sz w:val="24"/>
          <w:szCs w:val="24"/>
        </w:rPr>
        <w:t>compliance</w:t>
      </w:r>
      <w:r w:rsidR="00BB4071" w:rsidRPr="00704821">
        <w:rPr>
          <w:rFonts w:ascii="Times New Roman" w:hAnsi="Times New Roman" w:cs="Times New Roman"/>
          <w:sz w:val="24"/>
          <w:szCs w:val="24"/>
        </w:rPr>
        <w:t xml:space="preserve">, ou seja, instrumento de legitimidade. Já na análise dos RIs, a expectativa é de que a PNRS seja abordada com ênfase no relacionamento das empresas com os </w:t>
      </w:r>
      <w:r w:rsidR="009E25AC" w:rsidRPr="00704821">
        <w:rPr>
          <w:rFonts w:ascii="Times New Roman" w:hAnsi="Times New Roman" w:cs="Times New Roman"/>
          <w:i/>
          <w:sz w:val="24"/>
          <w:szCs w:val="24"/>
        </w:rPr>
        <w:t>s</w:t>
      </w:r>
      <w:r w:rsidR="00BB4071" w:rsidRPr="00704821">
        <w:rPr>
          <w:rFonts w:ascii="Times New Roman" w:hAnsi="Times New Roman" w:cs="Times New Roman"/>
          <w:i/>
          <w:sz w:val="24"/>
          <w:szCs w:val="24"/>
        </w:rPr>
        <w:t xml:space="preserve">takeholders </w:t>
      </w:r>
      <w:r w:rsidR="00BB4071" w:rsidRPr="00704821">
        <w:rPr>
          <w:rFonts w:ascii="Times New Roman" w:hAnsi="Times New Roman" w:cs="Times New Roman"/>
          <w:sz w:val="24"/>
          <w:szCs w:val="24"/>
        </w:rPr>
        <w:t>e como ela utiliza a gestão de resíduos para criar valor, no curto, médio e longo prazo.</w:t>
      </w:r>
      <w:r w:rsidR="00654FDF" w:rsidRPr="00704821">
        <w:rPr>
          <w:rFonts w:ascii="Times New Roman" w:hAnsi="Times New Roman" w:cs="Times New Roman"/>
          <w:sz w:val="24"/>
          <w:szCs w:val="24"/>
        </w:rPr>
        <w:t xml:space="preserve"> A seguir são discorridos aspectos da Teoria dos </w:t>
      </w:r>
      <w:r w:rsidR="00654FDF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654FDF" w:rsidRPr="00704821">
        <w:rPr>
          <w:rFonts w:ascii="Times New Roman" w:hAnsi="Times New Roman" w:cs="Times New Roman"/>
          <w:sz w:val="24"/>
          <w:szCs w:val="24"/>
        </w:rPr>
        <w:t xml:space="preserve"> e Teoria da Legitimidade.</w:t>
      </w:r>
    </w:p>
    <w:p w14:paraId="677A15BB" w14:textId="3A8E3AF9" w:rsidR="00A275C8" w:rsidRPr="00704821" w:rsidRDefault="00A27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68B360" w14:textId="7D7930D4" w:rsidR="002351C2" w:rsidRPr="00704821" w:rsidRDefault="002351C2" w:rsidP="00380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b/>
          <w:sz w:val="24"/>
          <w:szCs w:val="24"/>
        </w:rPr>
        <w:t>2</w:t>
      </w:r>
      <w:r w:rsidR="007E2147" w:rsidRPr="00704821">
        <w:rPr>
          <w:rFonts w:ascii="Times New Roman" w:hAnsi="Times New Roman" w:cs="Times New Roman"/>
          <w:b/>
          <w:sz w:val="24"/>
          <w:szCs w:val="24"/>
        </w:rPr>
        <w:t>.</w:t>
      </w:r>
      <w:r w:rsidR="0067449A" w:rsidRPr="00704821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704821">
        <w:rPr>
          <w:rFonts w:ascii="Times New Roman" w:hAnsi="Times New Roman" w:cs="Times New Roman"/>
          <w:b/>
          <w:sz w:val="24"/>
          <w:szCs w:val="24"/>
        </w:rPr>
        <w:t xml:space="preserve">Teoria dos </w:t>
      </w:r>
      <w:r w:rsidRPr="00704821">
        <w:rPr>
          <w:rFonts w:ascii="Times New Roman" w:hAnsi="Times New Roman" w:cs="Times New Roman"/>
          <w:b/>
          <w:i/>
          <w:sz w:val="24"/>
          <w:szCs w:val="24"/>
        </w:rPr>
        <w:t xml:space="preserve">Stakeholders </w:t>
      </w:r>
      <w:r w:rsidRPr="00704821">
        <w:rPr>
          <w:rFonts w:ascii="Times New Roman" w:hAnsi="Times New Roman" w:cs="Times New Roman"/>
          <w:b/>
          <w:sz w:val="24"/>
          <w:szCs w:val="24"/>
        </w:rPr>
        <w:t>e Teoria da Legitimidade</w:t>
      </w:r>
    </w:p>
    <w:p w14:paraId="32DE4F51" w14:textId="2A88B0E3" w:rsidR="00FB69B7" w:rsidRPr="00704821" w:rsidRDefault="00EC123F" w:rsidP="00C8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De acordo com Suchman (1995) a legitimidade é uma percepção ou suposição de que as ações de uma entidade são desejáveis, convincentes ou apropriadas dentro de um sistema social constituído por normas, valores, crenças e definições. 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As organizações estão sendo cada vez mais monitoradas pelos </w:t>
      </w:r>
      <w:r w:rsidR="007A49CF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7A49C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e a sua </w:t>
      </w:r>
      <w:r w:rsidR="0067449A" w:rsidRPr="00704821">
        <w:rPr>
          <w:rFonts w:ascii="Times New Roman" w:hAnsi="Times New Roman" w:cs="Times New Roman"/>
          <w:sz w:val="24"/>
          <w:szCs w:val="24"/>
        </w:rPr>
        <w:t xml:space="preserve">continuidade 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requer o apoio dos mesmos, que pode ser alcançada por meio </w:t>
      </w:r>
      <w:r w:rsidR="00316647" w:rsidRPr="00704821">
        <w:rPr>
          <w:rFonts w:ascii="Times New Roman" w:hAnsi="Times New Roman" w:cs="Times New Roman"/>
          <w:sz w:val="24"/>
          <w:szCs w:val="24"/>
        </w:rPr>
        <w:t xml:space="preserve">da evidenciação </w:t>
      </w:r>
      <w:r w:rsidR="009A7C1A" w:rsidRPr="00704821">
        <w:rPr>
          <w:rFonts w:ascii="Times New Roman" w:hAnsi="Times New Roman" w:cs="Times New Roman"/>
          <w:sz w:val="24"/>
          <w:szCs w:val="24"/>
        </w:rPr>
        <w:t>d</w:t>
      </w:r>
      <w:r w:rsidR="00316647" w:rsidRPr="00704821">
        <w:rPr>
          <w:rFonts w:ascii="Times New Roman" w:hAnsi="Times New Roman" w:cs="Times New Roman"/>
          <w:sz w:val="24"/>
          <w:szCs w:val="24"/>
        </w:rPr>
        <w:t>a RSC</w:t>
      </w:r>
      <w:r w:rsidR="009A7C1A" w:rsidRPr="00704821">
        <w:rPr>
          <w:rFonts w:ascii="Times New Roman" w:hAnsi="Times New Roman" w:cs="Times New Roman"/>
          <w:sz w:val="24"/>
          <w:szCs w:val="24"/>
        </w:rPr>
        <w:t>. No entanto, isso</w:t>
      </w:r>
      <w:r w:rsidR="00316647" w:rsidRPr="00704821">
        <w:rPr>
          <w:rFonts w:ascii="Times New Roman" w:hAnsi="Times New Roman" w:cs="Times New Roman"/>
          <w:sz w:val="24"/>
          <w:szCs w:val="24"/>
        </w:rPr>
        <w:t xml:space="preserve"> requer que </w:t>
      </w:r>
      <w:r w:rsidR="002351C2" w:rsidRPr="00704821">
        <w:rPr>
          <w:rFonts w:ascii="Times New Roman" w:hAnsi="Times New Roman" w:cs="Times New Roman"/>
          <w:sz w:val="24"/>
          <w:szCs w:val="24"/>
        </w:rPr>
        <w:t>as empresas inform</w:t>
      </w:r>
      <w:r w:rsidR="00316647" w:rsidRPr="00704821">
        <w:rPr>
          <w:rFonts w:ascii="Times New Roman" w:hAnsi="Times New Roman" w:cs="Times New Roman"/>
          <w:sz w:val="24"/>
          <w:szCs w:val="24"/>
        </w:rPr>
        <w:t>em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 aos seus </w:t>
      </w:r>
      <w:r w:rsidR="002351C2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 como lidam com os impactos que </w:t>
      </w:r>
      <w:r w:rsidR="0097587A" w:rsidRPr="00704821">
        <w:rPr>
          <w:rFonts w:ascii="Times New Roman" w:hAnsi="Times New Roman" w:cs="Times New Roman"/>
          <w:sz w:val="24"/>
          <w:szCs w:val="24"/>
        </w:rPr>
        <w:t xml:space="preserve">elas 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geram no meio ambiente e na sociedade. </w:t>
      </w:r>
      <w:r w:rsidR="00C86B9A" w:rsidRPr="00704821">
        <w:rPr>
          <w:rFonts w:ascii="Times New Roman" w:hAnsi="Times New Roman" w:cs="Times New Roman"/>
          <w:sz w:val="24"/>
          <w:szCs w:val="24"/>
        </w:rPr>
        <w:t>Ainda, em relação a RSC, u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m aumento da </w:t>
      </w:r>
      <w:r w:rsidR="00AE3B31" w:rsidRPr="00704821">
        <w:rPr>
          <w:rFonts w:ascii="Times New Roman" w:hAnsi="Times New Roman" w:cs="Times New Roman"/>
          <w:sz w:val="24"/>
          <w:szCs w:val="24"/>
        </w:rPr>
        <w:t>evidenciação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 pode ser interpretado como </w:t>
      </w:r>
      <w:r w:rsidR="00FB69B7" w:rsidRPr="00704821">
        <w:rPr>
          <w:rFonts w:ascii="Times New Roman" w:hAnsi="Times New Roman" w:cs="Times New Roman"/>
          <w:sz w:val="24"/>
          <w:szCs w:val="24"/>
        </w:rPr>
        <w:t xml:space="preserve">a busca 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da aprovação </w:t>
      </w:r>
      <w:r w:rsidR="00FB69B7" w:rsidRPr="00704821">
        <w:rPr>
          <w:rFonts w:ascii="Times New Roman" w:hAnsi="Times New Roman" w:cs="Times New Roman"/>
          <w:sz w:val="24"/>
          <w:szCs w:val="24"/>
        </w:rPr>
        <w:t>da empresa perante o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s </w:t>
      </w:r>
      <w:r w:rsidR="007A49CF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7A49C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2351C2" w:rsidRPr="00704821">
        <w:rPr>
          <w:rFonts w:ascii="Times New Roman" w:hAnsi="Times New Roman" w:cs="Times New Roman"/>
          <w:sz w:val="24"/>
          <w:szCs w:val="24"/>
        </w:rPr>
        <w:t>(</w:t>
      </w:r>
      <w:r w:rsidR="00214B24" w:rsidRPr="00704821">
        <w:rPr>
          <w:rFonts w:ascii="Times New Roman" w:hAnsi="Times New Roman" w:cs="Times New Roman"/>
          <w:sz w:val="24"/>
          <w:szCs w:val="24"/>
        </w:rPr>
        <w:t>GARCIA</w:t>
      </w:r>
      <w:r w:rsidR="00FB69B7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214B24">
        <w:rPr>
          <w:rFonts w:ascii="Times New Roman" w:hAnsi="Times New Roman" w:cs="Times New Roman"/>
          <w:sz w:val="24"/>
          <w:szCs w:val="24"/>
        </w:rPr>
        <w:t>et al.</w:t>
      </w:r>
      <w:r w:rsidR="00FB69B7" w:rsidRPr="00704821">
        <w:rPr>
          <w:rFonts w:ascii="Times New Roman" w:hAnsi="Times New Roman" w:cs="Times New Roman"/>
          <w:sz w:val="24"/>
          <w:szCs w:val="24"/>
        </w:rPr>
        <w:t xml:space="preserve">, 2015; </w:t>
      </w:r>
      <w:r w:rsidR="00214B24" w:rsidRPr="00704821">
        <w:rPr>
          <w:rFonts w:ascii="Times New Roman" w:hAnsi="Times New Roman" w:cs="Times New Roman"/>
          <w:sz w:val="24"/>
          <w:szCs w:val="24"/>
        </w:rPr>
        <w:t xml:space="preserve">GRAY, KOUHY </w:t>
      </w:r>
      <w:r w:rsidR="00214B24">
        <w:rPr>
          <w:rFonts w:ascii="Times New Roman" w:hAnsi="Times New Roman" w:cs="Times New Roman"/>
          <w:sz w:val="24"/>
          <w:szCs w:val="24"/>
        </w:rPr>
        <w:t>e</w:t>
      </w:r>
      <w:r w:rsidR="00214B24" w:rsidRPr="00704821">
        <w:rPr>
          <w:rFonts w:ascii="Times New Roman" w:hAnsi="Times New Roman" w:cs="Times New Roman"/>
          <w:sz w:val="24"/>
          <w:szCs w:val="24"/>
        </w:rPr>
        <w:t xml:space="preserve"> LAVERS</w:t>
      </w:r>
      <w:r w:rsidR="002351C2" w:rsidRPr="00704821">
        <w:rPr>
          <w:rFonts w:ascii="Times New Roman" w:hAnsi="Times New Roman" w:cs="Times New Roman"/>
          <w:sz w:val="24"/>
          <w:szCs w:val="24"/>
        </w:rPr>
        <w:t>,</w:t>
      </w:r>
      <w:r w:rsidR="007A49C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2351C2" w:rsidRPr="00704821">
        <w:rPr>
          <w:rFonts w:ascii="Times New Roman" w:hAnsi="Times New Roman" w:cs="Times New Roman"/>
          <w:sz w:val="24"/>
          <w:szCs w:val="24"/>
        </w:rPr>
        <w:t xml:space="preserve">1995). </w:t>
      </w:r>
    </w:p>
    <w:p w14:paraId="4E0C4635" w14:textId="3914E562" w:rsidR="00597616" w:rsidRPr="00704821" w:rsidRDefault="00597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Um dos precursores da Teoria dos </w:t>
      </w:r>
      <w:r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704821">
        <w:rPr>
          <w:rFonts w:ascii="Times New Roman" w:hAnsi="Times New Roman" w:cs="Times New Roman"/>
          <w:sz w:val="24"/>
          <w:szCs w:val="24"/>
        </w:rPr>
        <w:t xml:space="preserve"> foi </w:t>
      </w:r>
      <w:r w:rsidR="00277BB1">
        <w:rPr>
          <w:rFonts w:ascii="Times New Roman" w:hAnsi="Times New Roman" w:cs="Times New Roman"/>
          <w:sz w:val="24"/>
          <w:szCs w:val="24"/>
        </w:rPr>
        <w:t xml:space="preserve">Edward </w:t>
      </w:r>
      <w:r w:rsidRPr="00704821">
        <w:rPr>
          <w:rFonts w:ascii="Times New Roman" w:hAnsi="Times New Roman" w:cs="Times New Roman"/>
          <w:sz w:val="24"/>
          <w:szCs w:val="24"/>
        </w:rPr>
        <w:t>Freeman</w:t>
      </w:r>
      <w:r w:rsidR="00037F86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em 1984</w:t>
      </w:r>
      <w:r w:rsidR="00037F86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com o livro </w:t>
      </w:r>
      <w:r w:rsidRPr="00704821">
        <w:rPr>
          <w:rFonts w:ascii="Times New Roman" w:hAnsi="Times New Roman" w:cs="Times New Roman"/>
          <w:i/>
          <w:sz w:val="24"/>
          <w:szCs w:val="24"/>
        </w:rPr>
        <w:t>Strategic Management: A Stakeholder Approach</w:t>
      </w:r>
      <w:r w:rsidRPr="00704821">
        <w:rPr>
          <w:rFonts w:ascii="Times New Roman" w:hAnsi="Times New Roman" w:cs="Times New Roman"/>
          <w:sz w:val="24"/>
          <w:szCs w:val="24"/>
        </w:rPr>
        <w:t xml:space="preserve">. Nessa obra definiu-se </w:t>
      </w:r>
      <w:r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704821">
        <w:rPr>
          <w:rFonts w:ascii="Times New Roman" w:hAnsi="Times New Roman" w:cs="Times New Roman"/>
          <w:sz w:val="24"/>
          <w:szCs w:val="24"/>
        </w:rPr>
        <w:t xml:space="preserve"> como todos que influenciam e são i</w:t>
      </w:r>
      <w:r w:rsidR="00606689" w:rsidRPr="00704821">
        <w:rPr>
          <w:rFonts w:ascii="Times New Roman" w:hAnsi="Times New Roman" w:cs="Times New Roman"/>
          <w:sz w:val="24"/>
          <w:szCs w:val="24"/>
        </w:rPr>
        <w:t>nfluenciados pelas organizações</w:t>
      </w:r>
      <w:r w:rsidRPr="00704821">
        <w:rPr>
          <w:rFonts w:ascii="Times New Roman" w:hAnsi="Times New Roman" w:cs="Times New Roman"/>
          <w:sz w:val="24"/>
          <w:szCs w:val="24"/>
        </w:rPr>
        <w:t>. Outros pontos abordados n</w:t>
      </w:r>
      <w:r w:rsidR="00AC53AC" w:rsidRPr="00704821">
        <w:rPr>
          <w:rFonts w:ascii="Times New Roman" w:hAnsi="Times New Roman" w:cs="Times New Roman"/>
          <w:sz w:val="24"/>
          <w:szCs w:val="24"/>
        </w:rPr>
        <w:t>a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BE63C6" w:rsidRPr="00704821">
        <w:rPr>
          <w:rFonts w:ascii="Times New Roman" w:hAnsi="Times New Roman" w:cs="Times New Roman"/>
          <w:sz w:val="24"/>
          <w:szCs w:val="24"/>
        </w:rPr>
        <w:t xml:space="preserve">Teoria dos </w:t>
      </w:r>
      <w:r w:rsidR="00BE63C6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704821">
        <w:rPr>
          <w:rFonts w:ascii="Times New Roman" w:hAnsi="Times New Roman" w:cs="Times New Roman"/>
          <w:sz w:val="24"/>
          <w:szCs w:val="24"/>
        </w:rPr>
        <w:t xml:space="preserve"> são: a criação de valor, ética, legitimidade, </w:t>
      </w:r>
      <w:r w:rsidR="00B73C84" w:rsidRPr="00704821">
        <w:rPr>
          <w:rFonts w:ascii="Times New Roman" w:hAnsi="Times New Roman" w:cs="Times New Roman"/>
          <w:sz w:val="24"/>
          <w:szCs w:val="24"/>
        </w:rPr>
        <w:t>RSC</w:t>
      </w:r>
      <w:r w:rsidR="009A7C1A" w:rsidRPr="00704821">
        <w:rPr>
          <w:rFonts w:ascii="Times New Roman" w:hAnsi="Times New Roman" w:cs="Times New Roman"/>
          <w:sz w:val="24"/>
          <w:szCs w:val="24"/>
        </w:rPr>
        <w:t>. N</w:t>
      </w:r>
      <w:r w:rsidR="004544C2" w:rsidRPr="00704821">
        <w:rPr>
          <w:rFonts w:ascii="Times New Roman" w:hAnsi="Times New Roman" w:cs="Times New Roman"/>
          <w:sz w:val="24"/>
          <w:szCs w:val="24"/>
        </w:rPr>
        <w:t>o entanto,</w:t>
      </w:r>
      <w:r w:rsidR="00AC53AC" w:rsidRPr="00704821">
        <w:rPr>
          <w:rFonts w:ascii="Times New Roman" w:hAnsi="Times New Roman" w:cs="Times New Roman"/>
          <w:sz w:val="24"/>
          <w:szCs w:val="24"/>
        </w:rPr>
        <w:t xml:space="preserve"> uma das críticas dessa teoria é que não há unanimidade em relação a quem são os </w:t>
      </w:r>
      <w:r w:rsidR="00AC53AC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AC53AC" w:rsidRPr="00704821">
        <w:rPr>
          <w:rFonts w:ascii="Times New Roman" w:hAnsi="Times New Roman" w:cs="Times New Roman"/>
          <w:sz w:val="24"/>
          <w:szCs w:val="24"/>
        </w:rPr>
        <w:t>, como eles agem</w:t>
      </w:r>
      <w:r w:rsidR="00BE63C6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AC53AC" w:rsidRPr="00704821">
        <w:rPr>
          <w:rFonts w:ascii="Times New Roman" w:hAnsi="Times New Roman" w:cs="Times New Roman"/>
          <w:sz w:val="24"/>
          <w:szCs w:val="24"/>
        </w:rPr>
        <w:t xml:space="preserve">ou são afetados </w:t>
      </w:r>
      <w:r w:rsidRPr="00704821">
        <w:rPr>
          <w:rFonts w:ascii="Times New Roman" w:hAnsi="Times New Roman" w:cs="Times New Roman"/>
          <w:sz w:val="24"/>
          <w:szCs w:val="24"/>
        </w:rPr>
        <w:t>(</w:t>
      </w:r>
      <w:r w:rsidR="000645C9" w:rsidRPr="00704821">
        <w:rPr>
          <w:rFonts w:ascii="Times New Roman" w:hAnsi="Times New Roman" w:cs="Times New Roman"/>
          <w:sz w:val="24"/>
          <w:szCs w:val="24"/>
        </w:rPr>
        <w:t>FREEMAN</w:t>
      </w:r>
      <w:r w:rsidR="00102E2A" w:rsidRPr="00704821">
        <w:rPr>
          <w:rFonts w:ascii="Times New Roman" w:hAnsi="Times New Roman" w:cs="Times New Roman"/>
          <w:sz w:val="24"/>
          <w:szCs w:val="24"/>
        </w:rPr>
        <w:t xml:space="preserve"> et al., 2010</w:t>
      </w:r>
      <w:r w:rsidRPr="00704821">
        <w:rPr>
          <w:rFonts w:ascii="Times New Roman" w:hAnsi="Times New Roman" w:cs="Times New Roman"/>
          <w:sz w:val="24"/>
          <w:szCs w:val="24"/>
        </w:rPr>
        <w:t>).</w:t>
      </w:r>
      <w:r w:rsidR="0066553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8115C4" w:rsidRPr="00704821">
        <w:rPr>
          <w:rFonts w:ascii="Times New Roman" w:hAnsi="Times New Roman" w:cs="Times New Roman"/>
          <w:sz w:val="24"/>
          <w:szCs w:val="24"/>
        </w:rPr>
        <w:t xml:space="preserve">No entanto, Freeman et. al (2010) discorreram que as empresas devem dar atenção ao menos para os seguintes grupos de </w:t>
      </w:r>
      <w:r w:rsidR="008115C4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8115C4" w:rsidRPr="00704821">
        <w:rPr>
          <w:rFonts w:ascii="Times New Roman" w:hAnsi="Times New Roman" w:cs="Times New Roman"/>
          <w:sz w:val="24"/>
          <w:szCs w:val="24"/>
        </w:rPr>
        <w:t xml:space="preserve">: clientes, funcionários, fornecedores, comunidades e financiadores. </w:t>
      </w:r>
      <w:r w:rsidR="00FE637B" w:rsidRPr="00704821">
        <w:rPr>
          <w:rFonts w:ascii="Times New Roman" w:hAnsi="Times New Roman" w:cs="Times New Roman"/>
          <w:sz w:val="24"/>
          <w:szCs w:val="24"/>
        </w:rPr>
        <w:t xml:space="preserve">Burlea &amp; Popa (2013) </w:t>
      </w:r>
      <w:r w:rsidR="008115C4" w:rsidRPr="00704821">
        <w:rPr>
          <w:rFonts w:ascii="Times New Roman" w:hAnsi="Times New Roman" w:cs="Times New Roman"/>
          <w:sz w:val="24"/>
          <w:szCs w:val="24"/>
        </w:rPr>
        <w:t>afirmaram</w:t>
      </w:r>
      <w:r w:rsidR="00FE637B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4544C2" w:rsidRPr="00704821">
        <w:rPr>
          <w:rFonts w:ascii="Times New Roman" w:hAnsi="Times New Roman" w:cs="Times New Roman"/>
          <w:sz w:val="24"/>
          <w:szCs w:val="24"/>
        </w:rPr>
        <w:t xml:space="preserve">que para </w:t>
      </w:r>
      <w:r w:rsidR="0074293C" w:rsidRPr="00704821">
        <w:rPr>
          <w:rFonts w:ascii="Times New Roman" w:hAnsi="Times New Roman" w:cs="Times New Roman"/>
          <w:sz w:val="24"/>
          <w:szCs w:val="24"/>
        </w:rPr>
        <w:t>um</w:t>
      </w:r>
      <w:r w:rsidR="004544C2" w:rsidRPr="00704821">
        <w:rPr>
          <w:rFonts w:ascii="Times New Roman" w:hAnsi="Times New Roman" w:cs="Times New Roman"/>
          <w:sz w:val="24"/>
          <w:szCs w:val="24"/>
        </w:rPr>
        <w:t xml:space="preserve">a empresa </w:t>
      </w:r>
      <w:r w:rsidR="0074293C" w:rsidRPr="00704821">
        <w:rPr>
          <w:rFonts w:ascii="Times New Roman" w:hAnsi="Times New Roman" w:cs="Times New Roman"/>
          <w:sz w:val="24"/>
          <w:szCs w:val="24"/>
        </w:rPr>
        <w:t>se legitimar</w:t>
      </w:r>
      <w:r w:rsidR="00FE637B" w:rsidRPr="00704821">
        <w:rPr>
          <w:rFonts w:ascii="Times New Roman" w:hAnsi="Times New Roman" w:cs="Times New Roman"/>
          <w:sz w:val="24"/>
          <w:szCs w:val="24"/>
        </w:rPr>
        <w:t xml:space="preserve">, primeiro </w:t>
      </w:r>
      <w:r w:rsidR="0074293C" w:rsidRPr="00704821">
        <w:rPr>
          <w:rFonts w:ascii="Times New Roman" w:hAnsi="Times New Roman" w:cs="Times New Roman"/>
          <w:sz w:val="24"/>
          <w:szCs w:val="24"/>
        </w:rPr>
        <w:t>deve</w:t>
      </w:r>
      <w:r w:rsidR="00FE637B" w:rsidRPr="00704821">
        <w:rPr>
          <w:rFonts w:ascii="Times New Roman" w:hAnsi="Times New Roman" w:cs="Times New Roman"/>
          <w:sz w:val="24"/>
          <w:szCs w:val="24"/>
        </w:rPr>
        <w:t xml:space="preserve"> identificar quem são seus </w:t>
      </w:r>
      <w:r w:rsidR="00FE637B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FE637B" w:rsidRPr="00704821">
        <w:rPr>
          <w:rFonts w:ascii="Times New Roman" w:hAnsi="Times New Roman" w:cs="Times New Roman"/>
          <w:sz w:val="24"/>
          <w:szCs w:val="24"/>
        </w:rPr>
        <w:t xml:space="preserve">, quando </w:t>
      </w:r>
      <w:r w:rsidR="0074293C" w:rsidRPr="00704821">
        <w:rPr>
          <w:rFonts w:ascii="Times New Roman" w:hAnsi="Times New Roman" w:cs="Times New Roman"/>
          <w:sz w:val="24"/>
          <w:szCs w:val="24"/>
        </w:rPr>
        <w:t>é</w:t>
      </w:r>
      <w:r w:rsidR="00FE637B" w:rsidRPr="00704821">
        <w:rPr>
          <w:rFonts w:ascii="Times New Roman" w:hAnsi="Times New Roman" w:cs="Times New Roman"/>
          <w:sz w:val="24"/>
          <w:szCs w:val="24"/>
        </w:rPr>
        <w:t xml:space="preserve"> considerada legítima e quem afeta a sua legitimidade.</w:t>
      </w:r>
      <w:r w:rsidR="00A5232C" w:rsidRPr="00704821">
        <w:rPr>
          <w:rFonts w:ascii="Times New Roman" w:hAnsi="Times New Roman" w:cs="Times New Roman"/>
          <w:sz w:val="24"/>
          <w:szCs w:val="24"/>
        </w:rPr>
        <w:t xml:space="preserve"> Ou </w:t>
      </w:r>
      <w:r w:rsidR="00A5232C" w:rsidRPr="00704821">
        <w:rPr>
          <w:rFonts w:ascii="Times New Roman" w:hAnsi="Times New Roman" w:cs="Times New Roman"/>
          <w:sz w:val="24"/>
          <w:szCs w:val="24"/>
        </w:rPr>
        <w:lastRenderedPageBreak/>
        <w:t xml:space="preserve">seja, no caso da organização desconhecer seus </w:t>
      </w:r>
      <w:r w:rsidR="00A5232C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A5232C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D16671" w:rsidRPr="00704821">
        <w:rPr>
          <w:rFonts w:ascii="Times New Roman" w:hAnsi="Times New Roman" w:cs="Times New Roman"/>
          <w:sz w:val="24"/>
          <w:szCs w:val="24"/>
        </w:rPr>
        <w:t xml:space="preserve">sua </w:t>
      </w:r>
      <w:r w:rsidR="0074293C" w:rsidRPr="00704821">
        <w:rPr>
          <w:rFonts w:ascii="Times New Roman" w:hAnsi="Times New Roman" w:cs="Times New Roman"/>
          <w:sz w:val="24"/>
          <w:szCs w:val="24"/>
        </w:rPr>
        <w:t xml:space="preserve">estratégia de </w:t>
      </w:r>
      <w:r w:rsidR="00D16671" w:rsidRPr="00704821">
        <w:rPr>
          <w:rFonts w:ascii="Times New Roman" w:hAnsi="Times New Roman" w:cs="Times New Roman"/>
          <w:sz w:val="24"/>
          <w:szCs w:val="24"/>
        </w:rPr>
        <w:t>legitimidade poderia estar comprometida.</w:t>
      </w:r>
    </w:p>
    <w:p w14:paraId="59999754" w14:textId="14E2710A" w:rsidR="00696435" w:rsidRPr="00704821" w:rsidRDefault="00696435" w:rsidP="002965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Tilling (2004) </w:t>
      </w:r>
      <w:r w:rsidR="008115C4" w:rsidRPr="00704821">
        <w:rPr>
          <w:rFonts w:ascii="Times New Roman" w:hAnsi="Times New Roman" w:cs="Times New Roman"/>
          <w:sz w:val="24"/>
          <w:szCs w:val="24"/>
        </w:rPr>
        <w:t>atestou</w:t>
      </w:r>
      <w:r w:rsidRPr="00704821">
        <w:rPr>
          <w:rFonts w:ascii="Times New Roman" w:hAnsi="Times New Roman" w:cs="Times New Roman"/>
          <w:sz w:val="24"/>
          <w:szCs w:val="24"/>
        </w:rPr>
        <w:t xml:space="preserve"> que as empresas possuem 4 </w:t>
      </w:r>
      <w:r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704821">
        <w:rPr>
          <w:rFonts w:ascii="Times New Roman" w:hAnsi="Times New Roman" w:cs="Times New Roman"/>
          <w:sz w:val="24"/>
          <w:szCs w:val="24"/>
        </w:rPr>
        <w:t xml:space="preserve"> críticos, os quais devem receber atenções nas estratégias de legitimação da empresa, são eles: 1) o estado, por meio de contratos, subsídios, legislação, regulamentação, impostos</w:t>
      </w:r>
      <w:r w:rsidR="009A7C1A" w:rsidRPr="00704821">
        <w:rPr>
          <w:rFonts w:ascii="Times New Roman" w:hAnsi="Times New Roman" w:cs="Times New Roman"/>
          <w:sz w:val="24"/>
          <w:szCs w:val="24"/>
        </w:rPr>
        <w:t xml:space="preserve">; </w:t>
      </w:r>
      <w:r w:rsidRPr="00704821">
        <w:rPr>
          <w:rFonts w:ascii="Times New Roman" w:hAnsi="Times New Roman" w:cs="Times New Roman"/>
          <w:sz w:val="24"/>
          <w:szCs w:val="24"/>
        </w:rPr>
        <w:t xml:space="preserve">2) </w:t>
      </w:r>
      <w:r w:rsidR="0000314D" w:rsidRPr="00704821">
        <w:rPr>
          <w:rFonts w:ascii="Times New Roman" w:hAnsi="Times New Roman" w:cs="Times New Roman"/>
          <w:sz w:val="24"/>
          <w:szCs w:val="24"/>
        </w:rPr>
        <w:t>a população (</w:t>
      </w:r>
      <w:r w:rsidR="0000314D" w:rsidRPr="00704821">
        <w:rPr>
          <w:rFonts w:ascii="Times New Roman" w:hAnsi="Times New Roman" w:cs="Times New Roman"/>
          <w:i/>
          <w:sz w:val="24"/>
          <w:szCs w:val="24"/>
        </w:rPr>
        <w:t>the public</w:t>
      </w:r>
      <w:r w:rsidR="0000314D" w:rsidRPr="00704821">
        <w:rPr>
          <w:rFonts w:ascii="Times New Roman" w:hAnsi="Times New Roman" w:cs="Times New Roman"/>
          <w:sz w:val="24"/>
          <w:szCs w:val="24"/>
        </w:rPr>
        <w:t>) como patrocinadores (clientes) e apoiadores das atividades (interesses da comunidade</w:t>
      </w:r>
      <w:r w:rsidR="009A7C1A" w:rsidRPr="00704821">
        <w:rPr>
          <w:rFonts w:ascii="Times New Roman" w:hAnsi="Times New Roman" w:cs="Times New Roman"/>
          <w:sz w:val="24"/>
          <w:szCs w:val="24"/>
        </w:rPr>
        <w:t xml:space="preserve">); </w:t>
      </w:r>
      <w:r w:rsidR="0000314D" w:rsidRPr="00704821">
        <w:rPr>
          <w:rFonts w:ascii="Times New Roman" w:hAnsi="Times New Roman" w:cs="Times New Roman"/>
          <w:sz w:val="24"/>
          <w:szCs w:val="24"/>
        </w:rPr>
        <w:t>3) comunidade financeira, que são os investidores e</w:t>
      </w:r>
      <w:r w:rsidR="009A7C1A" w:rsidRPr="00704821">
        <w:rPr>
          <w:rFonts w:ascii="Times New Roman" w:hAnsi="Times New Roman" w:cs="Times New Roman"/>
          <w:sz w:val="24"/>
          <w:szCs w:val="24"/>
        </w:rPr>
        <w:t>;</w:t>
      </w:r>
      <w:r w:rsidR="0000314D" w:rsidRPr="00704821">
        <w:rPr>
          <w:rFonts w:ascii="Times New Roman" w:hAnsi="Times New Roman" w:cs="Times New Roman"/>
          <w:sz w:val="24"/>
          <w:szCs w:val="24"/>
        </w:rPr>
        <w:t xml:space="preserve"> 4) a mídia, que possui pouca influência direta, no entanto, podem influenciar </w:t>
      </w:r>
      <w:r w:rsidR="009A4242" w:rsidRPr="00704821">
        <w:rPr>
          <w:rFonts w:ascii="Times New Roman" w:hAnsi="Times New Roman" w:cs="Times New Roman"/>
          <w:sz w:val="24"/>
          <w:szCs w:val="24"/>
        </w:rPr>
        <w:t xml:space="preserve">as </w:t>
      </w:r>
      <w:r w:rsidR="0000314D" w:rsidRPr="00704821">
        <w:rPr>
          <w:rFonts w:ascii="Times New Roman" w:hAnsi="Times New Roman" w:cs="Times New Roman"/>
          <w:sz w:val="24"/>
          <w:szCs w:val="24"/>
        </w:rPr>
        <w:t xml:space="preserve">decisões da população </w:t>
      </w:r>
      <w:r w:rsidR="00A3481A" w:rsidRPr="00704821">
        <w:rPr>
          <w:rFonts w:ascii="Times New Roman" w:hAnsi="Times New Roman" w:cs="Times New Roman"/>
          <w:sz w:val="24"/>
          <w:szCs w:val="24"/>
        </w:rPr>
        <w:t>e da comunidade financeira</w:t>
      </w:r>
      <w:r w:rsidR="0000314D" w:rsidRPr="00704821">
        <w:rPr>
          <w:rFonts w:ascii="Times New Roman" w:hAnsi="Times New Roman" w:cs="Times New Roman"/>
          <w:sz w:val="24"/>
          <w:szCs w:val="24"/>
        </w:rPr>
        <w:t>.</w:t>
      </w:r>
      <w:r w:rsidR="00B416B8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2965B4" w:rsidRPr="00704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0DE02" w14:textId="31F9BF55" w:rsidR="00F479D5" w:rsidRPr="00704821" w:rsidRDefault="00095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Deegan (2002) argumenta que as empresas utilizam a evidenciação socioambiental como estratégia de legitimação</w:t>
      </w:r>
      <w:r w:rsidR="00277BB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sendo um mecanismo pelo qual a administração pode influenc</w:t>
      </w:r>
      <w:r w:rsidR="00241B47" w:rsidRPr="00704821">
        <w:rPr>
          <w:rFonts w:ascii="Times New Roman" w:hAnsi="Times New Roman" w:cs="Times New Roman"/>
          <w:sz w:val="24"/>
          <w:szCs w:val="24"/>
        </w:rPr>
        <w:t xml:space="preserve">iar as percepções da sociedade. </w:t>
      </w:r>
      <w:r w:rsidR="000645C9">
        <w:rPr>
          <w:rFonts w:ascii="Times New Roman" w:hAnsi="Times New Roman" w:cs="Times New Roman"/>
          <w:sz w:val="24"/>
          <w:szCs w:val="24"/>
        </w:rPr>
        <w:t>Gray, Kouhy e</w:t>
      </w:r>
      <w:r w:rsidR="002F2519" w:rsidRPr="00704821">
        <w:rPr>
          <w:rFonts w:ascii="Times New Roman" w:hAnsi="Times New Roman" w:cs="Times New Roman"/>
          <w:sz w:val="24"/>
          <w:szCs w:val="24"/>
        </w:rPr>
        <w:t xml:space="preserve"> Lavers (1995) afirmam que</w:t>
      </w:r>
      <w:r w:rsidRPr="00704821">
        <w:rPr>
          <w:rFonts w:ascii="Times New Roman" w:hAnsi="Times New Roman" w:cs="Times New Roman"/>
          <w:sz w:val="24"/>
          <w:szCs w:val="24"/>
        </w:rPr>
        <w:t xml:space="preserve"> as informações socioambientais s</w:t>
      </w:r>
      <w:r w:rsidR="002F2519" w:rsidRPr="00704821">
        <w:rPr>
          <w:rFonts w:ascii="Times New Roman" w:hAnsi="Times New Roman" w:cs="Times New Roman"/>
          <w:sz w:val="24"/>
          <w:szCs w:val="24"/>
        </w:rPr>
        <w:t>ão</w:t>
      </w:r>
      <w:r w:rsidRPr="00704821">
        <w:rPr>
          <w:rFonts w:ascii="Times New Roman" w:hAnsi="Times New Roman" w:cs="Times New Roman"/>
          <w:sz w:val="24"/>
          <w:szCs w:val="24"/>
        </w:rPr>
        <w:t xml:space="preserve"> predominantemente de caráter voluntário</w:t>
      </w:r>
      <w:r w:rsidR="002F2519" w:rsidRPr="00704821">
        <w:rPr>
          <w:rFonts w:ascii="Times New Roman" w:hAnsi="Times New Roman" w:cs="Times New Roman"/>
          <w:sz w:val="24"/>
          <w:szCs w:val="24"/>
        </w:rPr>
        <w:t xml:space="preserve">, o que corrobora com a afirmação de Deegan (2002) </w:t>
      </w:r>
      <w:r w:rsidR="004969BC" w:rsidRPr="00704821">
        <w:rPr>
          <w:rFonts w:ascii="Times New Roman" w:hAnsi="Times New Roman" w:cs="Times New Roman"/>
          <w:sz w:val="24"/>
          <w:szCs w:val="24"/>
        </w:rPr>
        <w:t>em relação à evidenciação socioambiental, enquanto instrumento de legitimação.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9A7C1A" w:rsidRPr="00704821">
        <w:rPr>
          <w:rFonts w:ascii="Times New Roman" w:hAnsi="Times New Roman" w:cs="Times New Roman"/>
          <w:sz w:val="24"/>
          <w:szCs w:val="24"/>
        </w:rPr>
        <w:t>Entretanto</w:t>
      </w:r>
      <w:r w:rsidRPr="00704821">
        <w:rPr>
          <w:rFonts w:ascii="Times New Roman" w:hAnsi="Times New Roman" w:cs="Times New Roman"/>
          <w:sz w:val="24"/>
          <w:szCs w:val="24"/>
        </w:rPr>
        <w:t>, m</w:t>
      </w:r>
      <w:r w:rsidR="004D3DA2" w:rsidRPr="00704821">
        <w:rPr>
          <w:rFonts w:ascii="Times New Roman" w:hAnsi="Times New Roman" w:cs="Times New Roman"/>
          <w:sz w:val="24"/>
          <w:szCs w:val="24"/>
        </w:rPr>
        <w:t>esmo ciente dessas estratégias, o</w:t>
      </w:r>
      <w:r w:rsidR="00A752AD" w:rsidRPr="00704821">
        <w:rPr>
          <w:rFonts w:ascii="Times New Roman" w:hAnsi="Times New Roman" w:cs="Times New Roman"/>
          <w:sz w:val="24"/>
          <w:szCs w:val="24"/>
          <w:lang w:val="pt-PT"/>
        </w:rPr>
        <w:t xml:space="preserve"> Estado </w:t>
      </w:r>
      <w:r w:rsidR="004D3DA2" w:rsidRPr="00704821">
        <w:rPr>
          <w:rFonts w:ascii="Times New Roman" w:hAnsi="Times New Roman" w:cs="Times New Roman"/>
          <w:sz w:val="24"/>
          <w:szCs w:val="24"/>
          <w:lang w:val="pt-PT"/>
        </w:rPr>
        <w:t xml:space="preserve">também </w:t>
      </w:r>
      <w:r w:rsidR="00A752AD" w:rsidRPr="00704821">
        <w:rPr>
          <w:rFonts w:ascii="Times New Roman" w:hAnsi="Times New Roman" w:cs="Times New Roman"/>
          <w:sz w:val="24"/>
          <w:szCs w:val="24"/>
          <w:lang w:val="pt-PT"/>
        </w:rPr>
        <w:t xml:space="preserve">aprova </w:t>
      </w:r>
      <w:r w:rsidR="009A7C1A" w:rsidRPr="00704821">
        <w:rPr>
          <w:rFonts w:ascii="Times New Roman" w:hAnsi="Times New Roman" w:cs="Times New Roman"/>
          <w:sz w:val="24"/>
          <w:szCs w:val="24"/>
          <w:lang w:val="pt-PT"/>
        </w:rPr>
        <w:t xml:space="preserve">Leis </w:t>
      </w:r>
      <w:r w:rsidR="00A752AD" w:rsidRPr="00704821">
        <w:rPr>
          <w:rFonts w:ascii="Times New Roman" w:hAnsi="Times New Roman" w:cs="Times New Roman"/>
          <w:sz w:val="24"/>
          <w:szCs w:val="24"/>
          <w:lang w:val="pt-PT"/>
        </w:rPr>
        <w:t xml:space="preserve">para encorajar a divulgação de informações sociambientais e criar um maior envolvimento das empresas com a comunidade </w:t>
      </w:r>
      <w:r w:rsidR="00A752AD" w:rsidRPr="00704821">
        <w:rPr>
          <w:rFonts w:ascii="Times New Roman" w:hAnsi="Times New Roman" w:cs="Times New Roman"/>
          <w:sz w:val="24"/>
          <w:szCs w:val="24"/>
        </w:rPr>
        <w:t>(</w:t>
      </w:r>
      <w:r w:rsidR="000645C9" w:rsidRPr="00704821">
        <w:rPr>
          <w:rFonts w:ascii="Times New Roman" w:hAnsi="Times New Roman" w:cs="Times New Roman"/>
          <w:sz w:val="24"/>
          <w:szCs w:val="24"/>
        </w:rPr>
        <w:t>GRAY, KOUHY</w:t>
      </w:r>
      <w:r w:rsidR="00A752AD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0645C9">
        <w:rPr>
          <w:rFonts w:ascii="Times New Roman" w:hAnsi="Times New Roman" w:cs="Times New Roman"/>
          <w:sz w:val="24"/>
          <w:szCs w:val="24"/>
        </w:rPr>
        <w:t>e</w:t>
      </w:r>
      <w:r w:rsidR="005C09E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0645C9" w:rsidRPr="00704821">
        <w:rPr>
          <w:rFonts w:ascii="Times New Roman" w:hAnsi="Times New Roman" w:cs="Times New Roman"/>
          <w:sz w:val="24"/>
          <w:szCs w:val="24"/>
        </w:rPr>
        <w:t>LAVERS</w:t>
      </w:r>
      <w:r w:rsidR="00A752AD" w:rsidRPr="00704821">
        <w:rPr>
          <w:rFonts w:ascii="Times New Roman" w:hAnsi="Times New Roman" w:cs="Times New Roman"/>
          <w:sz w:val="24"/>
          <w:szCs w:val="24"/>
        </w:rPr>
        <w:t>,</w:t>
      </w:r>
      <w:r w:rsidR="005C09E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A752AD" w:rsidRPr="00704821">
        <w:rPr>
          <w:rFonts w:ascii="Times New Roman" w:hAnsi="Times New Roman" w:cs="Times New Roman"/>
          <w:sz w:val="24"/>
          <w:szCs w:val="24"/>
        </w:rPr>
        <w:t xml:space="preserve">1995). As pressões normativas, como a Lei </w:t>
      </w:r>
      <w:r w:rsidR="00277BB1">
        <w:rPr>
          <w:rFonts w:ascii="Times New Roman" w:hAnsi="Times New Roman" w:cs="Times New Roman"/>
          <w:sz w:val="24"/>
          <w:szCs w:val="24"/>
        </w:rPr>
        <w:t>nº 12.305/2010, os investidores e</w:t>
      </w:r>
      <w:r w:rsidR="00A752AD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F6B9D" w:rsidRPr="00704821">
        <w:rPr>
          <w:rFonts w:ascii="Times New Roman" w:hAnsi="Times New Roman" w:cs="Times New Roman"/>
          <w:sz w:val="24"/>
          <w:szCs w:val="24"/>
        </w:rPr>
        <w:t>a sociedade</w:t>
      </w:r>
      <w:r w:rsidR="00A752AD" w:rsidRPr="00704821">
        <w:rPr>
          <w:rFonts w:ascii="Times New Roman" w:hAnsi="Times New Roman" w:cs="Times New Roman"/>
          <w:sz w:val="24"/>
          <w:szCs w:val="24"/>
        </w:rPr>
        <w:t>, são responsáveis pela transparência e</w:t>
      </w:r>
      <w:r w:rsidR="00FF6B9D" w:rsidRPr="00704821">
        <w:rPr>
          <w:rFonts w:ascii="Times New Roman" w:hAnsi="Times New Roman" w:cs="Times New Roman"/>
          <w:sz w:val="24"/>
          <w:szCs w:val="24"/>
        </w:rPr>
        <w:t>,</w:t>
      </w:r>
      <w:r w:rsidR="00A752AD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6C1896" w:rsidRPr="00704821">
        <w:rPr>
          <w:rFonts w:ascii="Times New Roman" w:hAnsi="Times New Roman" w:cs="Times New Roman"/>
          <w:sz w:val="24"/>
          <w:szCs w:val="24"/>
        </w:rPr>
        <w:t xml:space="preserve">por </w:t>
      </w:r>
      <w:r w:rsidR="00A752AD" w:rsidRPr="00704821">
        <w:rPr>
          <w:rFonts w:ascii="Times New Roman" w:hAnsi="Times New Roman" w:cs="Times New Roman"/>
          <w:sz w:val="24"/>
          <w:szCs w:val="24"/>
        </w:rPr>
        <w:t>conseguinte</w:t>
      </w:r>
      <w:r w:rsidR="00FF6B9D" w:rsidRPr="00704821">
        <w:rPr>
          <w:rFonts w:ascii="Times New Roman" w:hAnsi="Times New Roman" w:cs="Times New Roman"/>
          <w:sz w:val="24"/>
          <w:szCs w:val="24"/>
        </w:rPr>
        <w:t>,</w:t>
      </w:r>
      <w:r w:rsidR="00A752AD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F6B9D" w:rsidRPr="00704821">
        <w:rPr>
          <w:rFonts w:ascii="Times New Roman" w:hAnsi="Times New Roman" w:cs="Times New Roman"/>
          <w:sz w:val="24"/>
          <w:szCs w:val="24"/>
        </w:rPr>
        <w:t>pela</w:t>
      </w:r>
      <w:r w:rsidR="00A752AD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470643" w:rsidRPr="00704821">
        <w:rPr>
          <w:rFonts w:ascii="Times New Roman" w:hAnsi="Times New Roman" w:cs="Times New Roman"/>
          <w:sz w:val="24"/>
          <w:szCs w:val="24"/>
        </w:rPr>
        <w:t>evidenciação socioambiental</w:t>
      </w:r>
      <w:r w:rsidR="00A752AD" w:rsidRPr="00704821">
        <w:rPr>
          <w:rFonts w:ascii="Times New Roman" w:hAnsi="Times New Roman" w:cs="Times New Roman"/>
          <w:sz w:val="24"/>
          <w:szCs w:val="24"/>
        </w:rPr>
        <w:t xml:space="preserve"> (</w:t>
      </w:r>
      <w:r w:rsidR="002622CA" w:rsidRPr="00704821">
        <w:rPr>
          <w:rFonts w:ascii="Times New Roman" w:hAnsi="Times New Roman" w:cs="Times New Roman"/>
          <w:sz w:val="24"/>
          <w:szCs w:val="24"/>
        </w:rPr>
        <w:t>VOSS</w:t>
      </w:r>
      <w:r w:rsidR="00A752AD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2622CA">
        <w:rPr>
          <w:rFonts w:ascii="Times New Roman" w:hAnsi="Times New Roman" w:cs="Times New Roman"/>
          <w:sz w:val="24"/>
          <w:szCs w:val="24"/>
        </w:rPr>
        <w:t>et al.</w:t>
      </w:r>
      <w:r w:rsidR="00A752AD" w:rsidRPr="00704821">
        <w:rPr>
          <w:rFonts w:ascii="Times New Roman" w:hAnsi="Times New Roman" w:cs="Times New Roman"/>
          <w:sz w:val="24"/>
          <w:szCs w:val="24"/>
        </w:rPr>
        <w:t>, 2013).</w:t>
      </w:r>
    </w:p>
    <w:p w14:paraId="23E4F771" w14:textId="03B9A83F" w:rsidR="006C1896" w:rsidRPr="00704821" w:rsidRDefault="006C1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Diante do exposto pode-se inferir que</w:t>
      </w:r>
      <w:r w:rsidR="00EA37FC" w:rsidRPr="00704821">
        <w:rPr>
          <w:rFonts w:ascii="Times New Roman" w:hAnsi="Times New Roman" w:cs="Times New Roman"/>
          <w:sz w:val="24"/>
          <w:szCs w:val="24"/>
        </w:rPr>
        <w:t xml:space="preserve"> a</w:t>
      </w:r>
      <w:r w:rsidR="00D13EAC" w:rsidRPr="00704821">
        <w:rPr>
          <w:rFonts w:ascii="Times New Roman" w:hAnsi="Times New Roman" w:cs="Times New Roman"/>
          <w:sz w:val="24"/>
          <w:szCs w:val="24"/>
        </w:rPr>
        <w:t xml:space="preserve"> Teoria da Legitimidade aborda a relação da empresa com o meio ambiente</w:t>
      </w:r>
      <w:r w:rsidR="00400E3E" w:rsidRPr="00704821">
        <w:rPr>
          <w:rFonts w:ascii="Times New Roman" w:hAnsi="Times New Roman" w:cs="Times New Roman"/>
          <w:sz w:val="24"/>
          <w:szCs w:val="24"/>
        </w:rPr>
        <w:t xml:space="preserve"> e a </w:t>
      </w:r>
      <w:r w:rsidR="00D13EAC" w:rsidRPr="00704821">
        <w:rPr>
          <w:rFonts w:ascii="Times New Roman" w:hAnsi="Times New Roman" w:cs="Times New Roman"/>
          <w:sz w:val="24"/>
          <w:szCs w:val="24"/>
        </w:rPr>
        <w:t>sociedade, e</w:t>
      </w:r>
      <w:r w:rsidR="00F479D5" w:rsidRPr="00704821">
        <w:rPr>
          <w:rFonts w:ascii="Times New Roman" w:hAnsi="Times New Roman" w:cs="Times New Roman"/>
          <w:sz w:val="24"/>
          <w:szCs w:val="24"/>
        </w:rPr>
        <w:t>,</w:t>
      </w:r>
      <w:r w:rsidR="00F37470" w:rsidRPr="00704821">
        <w:rPr>
          <w:rFonts w:ascii="Times New Roman" w:hAnsi="Times New Roman" w:cs="Times New Roman"/>
          <w:sz w:val="24"/>
          <w:szCs w:val="24"/>
        </w:rPr>
        <w:t xml:space="preserve"> discorre sobre </w:t>
      </w:r>
      <w:r w:rsidR="008A69C1" w:rsidRPr="00704821">
        <w:rPr>
          <w:rFonts w:ascii="Times New Roman" w:hAnsi="Times New Roman" w:cs="Times New Roman"/>
          <w:sz w:val="24"/>
          <w:szCs w:val="24"/>
        </w:rPr>
        <w:t xml:space="preserve">como </w:t>
      </w:r>
      <w:r w:rsidR="00F37470" w:rsidRPr="00704821">
        <w:rPr>
          <w:rFonts w:ascii="Times New Roman" w:hAnsi="Times New Roman" w:cs="Times New Roman"/>
          <w:sz w:val="24"/>
          <w:szCs w:val="24"/>
        </w:rPr>
        <w:t xml:space="preserve">a evidenciação de informações </w:t>
      </w:r>
      <w:r w:rsidR="008A69C1" w:rsidRPr="00704821">
        <w:rPr>
          <w:rFonts w:ascii="Times New Roman" w:hAnsi="Times New Roman" w:cs="Times New Roman"/>
          <w:sz w:val="24"/>
          <w:szCs w:val="24"/>
        </w:rPr>
        <w:t xml:space="preserve">pode ser </w:t>
      </w:r>
      <w:r w:rsidR="00F479D5" w:rsidRPr="00704821">
        <w:rPr>
          <w:rFonts w:ascii="Times New Roman" w:hAnsi="Times New Roman" w:cs="Times New Roman"/>
          <w:sz w:val="24"/>
          <w:szCs w:val="24"/>
        </w:rPr>
        <w:t xml:space="preserve">uma </w:t>
      </w:r>
      <w:r w:rsidR="00F37470" w:rsidRPr="00704821">
        <w:rPr>
          <w:rFonts w:ascii="Times New Roman" w:hAnsi="Times New Roman" w:cs="Times New Roman"/>
          <w:sz w:val="24"/>
          <w:szCs w:val="24"/>
        </w:rPr>
        <w:t>estratégia de legitimação</w:t>
      </w:r>
      <w:r w:rsidRPr="00704821">
        <w:rPr>
          <w:rFonts w:ascii="Times New Roman" w:hAnsi="Times New Roman" w:cs="Times New Roman"/>
          <w:sz w:val="24"/>
          <w:szCs w:val="24"/>
        </w:rPr>
        <w:t xml:space="preserve"> enquanto a</w:t>
      </w:r>
      <w:r w:rsidR="00D13EAC" w:rsidRPr="00704821">
        <w:rPr>
          <w:rFonts w:ascii="Times New Roman" w:hAnsi="Times New Roman" w:cs="Times New Roman"/>
          <w:sz w:val="24"/>
          <w:szCs w:val="24"/>
        </w:rPr>
        <w:t xml:space="preserve"> Teoria dos </w:t>
      </w:r>
      <w:r w:rsidR="00D13EAC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400E3E" w:rsidRPr="00704821">
        <w:rPr>
          <w:rFonts w:ascii="Times New Roman" w:hAnsi="Times New Roman" w:cs="Times New Roman"/>
          <w:i/>
          <w:sz w:val="24"/>
          <w:szCs w:val="24"/>
        </w:rPr>
        <w:t>,</w:t>
      </w:r>
      <w:r w:rsidR="00D13EAC" w:rsidRPr="00704821">
        <w:rPr>
          <w:rFonts w:ascii="Times New Roman" w:hAnsi="Times New Roman" w:cs="Times New Roman"/>
          <w:sz w:val="24"/>
          <w:szCs w:val="24"/>
        </w:rPr>
        <w:t xml:space="preserve"> ajuda a compreender como os diferentes grupos de partes interessadas podem contribuir para o sucesso da organização</w:t>
      </w:r>
      <w:r w:rsidR="00EA37F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D13EAC" w:rsidRPr="00704821">
        <w:rPr>
          <w:rFonts w:ascii="Times New Roman" w:hAnsi="Times New Roman" w:cs="Times New Roman"/>
          <w:sz w:val="24"/>
          <w:szCs w:val="24"/>
        </w:rPr>
        <w:t>(</w:t>
      </w:r>
      <w:r w:rsidR="004013C9" w:rsidRPr="00704821">
        <w:rPr>
          <w:rFonts w:ascii="Times New Roman" w:hAnsi="Times New Roman" w:cs="Times New Roman"/>
          <w:sz w:val="24"/>
          <w:szCs w:val="24"/>
        </w:rPr>
        <w:t>ARAÚJO JUNIO</w:t>
      </w:r>
      <w:r w:rsidR="004013C9">
        <w:rPr>
          <w:rFonts w:ascii="Times New Roman" w:hAnsi="Times New Roman" w:cs="Times New Roman"/>
          <w:sz w:val="24"/>
          <w:szCs w:val="24"/>
        </w:rPr>
        <w:t>R et al.</w:t>
      </w:r>
      <w:r w:rsidR="00D13EAC" w:rsidRPr="00704821">
        <w:rPr>
          <w:rFonts w:ascii="Times New Roman" w:hAnsi="Times New Roman" w:cs="Times New Roman"/>
          <w:sz w:val="24"/>
          <w:szCs w:val="24"/>
        </w:rPr>
        <w:t xml:space="preserve">, 2014; </w:t>
      </w:r>
      <w:r w:rsidR="004013C9">
        <w:rPr>
          <w:rFonts w:ascii="Times New Roman" w:hAnsi="Times New Roman" w:cs="Times New Roman"/>
          <w:sz w:val="24"/>
          <w:szCs w:val="24"/>
        </w:rPr>
        <w:t>GRAY, KOUHY e</w:t>
      </w:r>
      <w:r w:rsidR="004013C9" w:rsidRPr="00704821">
        <w:rPr>
          <w:rFonts w:ascii="Times New Roman" w:hAnsi="Times New Roman" w:cs="Times New Roman"/>
          <w:sz w:val="24"/>
          <w:szCs w:val="24"/>
        </w:rPr>
        <w:t xml:space="preserve"> LAVERS</w:t>
      </w:r>
      <w:r w:rsidR="00D13EAC" w:rsidRPr="00704821">
        <w:rPr>
          <w:rFonts w:ascii="Times New Roman" w:hAnsi="Times New Roman" w:cs="Times New Roman"/>
          <w:sz w:val="24"/>
          <w:szCs w:val="24"/>
        </w:rPr>
        <w:t>, 1995).</w:t>
      </w:r>
      <w:r w:rsidR="00F479D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Ainda, pode-se inferir</w:t>
      </w:r>
      <w:r w:rsidR="00F479D5" w:rsidRPr="00704821">
        <w:rPr>
          <w:rFonts w:ascii="Times New Roman" w:hAnsi="Times New Roman" w:cs="Times New Roman"/>
          <w:sz w:val="24"/>
          <w:szCs w:val="24"/>
        </w:rPr>
        <w:t xml:space="preserve"> que não há unanimidade em relação a quem são os </w:t>
      </w:r>
      <w:r w:rsidR="00F479D5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9C054C" w:rsidRPr="00704821">
        <w:rPr>
          <w:rFonts w:ascii="Times New Roman" w:hAnsi="Times New Roman" w:cs="Times New Roman"/>
          <w:sz w:val="24"/>
          <w:szCs w:val="24"/>
        </w:rPr>
        <w:t xml:space="preserve"> das empresas</w:t>
      </w:r>
      <w:r w:rsidRPr="00704821">
        <w:rPr>
          <w:rFonts w:ascii="Times New Roman" w:hAnsi="Times New Roman" w:cs="Times New Roman"/>
          <w:sz w:val="24"/>
          <w:szCs w:val="24"/>
        </w:rPr>
        <w:t>.</w:t>
      </w:r>
      <w:r w:rsidR="009C054C" w:rsidRPr="00704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21F88" w14:textId="66B457EC" w:rsidR="00D13EAC" w:rsidRPr="00704821" w:rsidRDefault="0039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Na próxima etapa, serão vislumbrados </w:t>
      </w:r>
      <w:r w:rsidR="005A400F" w:rsidRPr="00704821">
        <w:rPr>
          <w:rFonts w:ascii="Times New Roman" w:hAnsi="Times New Roman" w:cs="Times New Roman"/>
          <w:sz w:val="24"/>
          <w:szCs w:val="24"/>
        </w:rPr>
        <w:t>os procedimentos</w:t>
      </w:r>
      <w:r w:rsidRPr="00704821">
        <w:rPr>
          <w:rFonts w:ascii="Times New Roman" w:hAnsi="Times New Roman" w:cs="Times New Roman"/>
          <w:sz w:val="24"/>
          <w:szCs w:val="24"/>
        </w:rPr>
        <w:t xml:space="preserve"> metodológicos </w:t>
      </w:r>
      <w:r w:rsidR="005A400F" w:rsidRPr="00704821">
        <w:rPr>
          <w:rFonts w:ascii="Times New Roman" w:hAnsi="Times New Roman" w:cs="Times New Roman"/>
          <w:sz w:val="24"/>
          <w:szCs w:val="24"/>
        </w:rPr>
        <w:t>para</w:t>
      </w:r>
      <w:r w:rsidRPr="00704821">
        <w:rPr>
          <w:rFonts w:ascii="Times New Roman" w:hAnsi="Times New Roman" w:cs="Times New Roman"/>
          <w:sz w:val="24"/>
          <w:szCs w:val="24"/>
        </w:rPr>
        <w:t xml:space="preserve"> atingir o objetivo do estudo.</w:t>
      </w:r>
    </w:p>
    <w:p w14:paraId="79FF8D06" w14:textId="77777777" w:rsidR="00D13EAC" w:rsidRPr="00704821" w:rsidRDefault="00D13EAC" w:rsidP="00235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B496B2" w14:textId="62C90C42" w:rsidR="00C72BD5" w:rsidRPr="00704821" w:rsidRDefault="00AF4BF7" w:rsidP="00AF4B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821">
        <w:rPr>
          <w:rFonts w:ascii="Times New Roman" w:hAnsi="Times New Roman" w:cs="Times New Roman"/>
          <w:b/>
          <w:sz w:val="24"/>
          <w:szCs w:val="24"/>
        </w:rPr>
        <w:t>3</w:t>
      </w:r>
      <w:r w:rsidR="002D1EDE" w:rsidRPr="007048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b/>
          <w:sz w:val="24"/>
          <w:szCs w:val="24"/>
        </w:rPr>
        <w:t>PROCEDIMENTOS METODOLÓGICOS</w:t>
      </w:r>
    </w:p>
    <w:p w14:paraId="1EF00217" w14:textId="6265C0D5" w:rsidR="00D60674" w:rsidRPr="00704821" w:rsidRDefault="002D1EDE" w:rsidP="00AE3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046273" w:rsidRPr="00704821">
        <w:rPr>
          <w:rFonts w:ascii="Times New Roman" w:hAnsi="Times New Roman" w:cs="Times New Roman"/>
          <w:sz w:val="24"/>
          <w:szCs w:val="24"/>
        </w:rPr>
        <w:t>o objetivo desse estudo é analisar a evidenciação da RSC advinda da PNRS</w:t>
      </w:r>
      <w:r w:rsidR="00046273" w:rsidRPr="00704821" w:rsidDel="005703D2">
        <w:rPr>
          <w:rFonts w:ascii="Times New Roman" w:hAnsi="Times New Roman" w:cs="Times New Roman"/>
          <w:sz w:val="24"/>
          <w:szCs w:val="24"/>
        </w:rPr>
        <w:t xml:space="preserve"> </w:t>
      </w:r>
      <w:r w:rsidR="00046273" w:rsidRPr="00704821">
        <w:rPr>
          <w:rFonts w:ascii="Times New Roman" w:hAnsi="Times New Roman" w:cs="Times New Roman"/>
          <w:sz w:val="24"/>
          <w:szCs w:val="24"/>
        </w:rPr>
        <w:t>no FR e no RI</w:t>
      </w:r>
      <w:r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046273" w:rsidRPr="00704821">
        <w:rPr>
          <w:rFonts w:ascii="Times New Roman" w:hAnsi="Times New Roman" w:cs="Times New Roman"/>
          <w:sz w:val="24"/>
          <w:szCs w:val="24"/>
        </w:rPr>
        <w:t>a presente seção</w:t>
      </w:r>
      <w:r w:rsidR="00AE31DC" w:rsidRPr="00704821">
        <w:rPr>
          <w:rFonts w:ascii="Times New Roman" w:hAnsi="Times New Roman" w:cs="Times New Roman"/>
          <w:sz w:val="24"/>
          <w:szCs w:val="24"/>
        </w:rPr>
        <w:t xml:space="preserve"> apresenta o enquadramento metodológico da pesquisa. Em relação à finalidade, classifica</w:t>
      </w:r>
      <w:r w:rsidR="00046273" w:rsidRPr="00704821">
        <w:rPr>
          <w:rFonts w:ascii="Times New Roman" w:hAnsi="Times New Roman" w:cs="Times New Roman"/>
          <w:sz w:val="24"/>
          <w:szCs w:val="24"/>
        </w:rPr>
        <w:t>-se</w:t>
      </w:r>
      <w:r w:rsidR="00AE31DC" w:rsidRPr="00704821">
        <w:rPr>
          <w:rFonts w:ascii="Times New Roman" w:hAnsi="Times New Roman" w:cs="Times New Roman"/>
          <w:sz w:val="24"/>
          <w:szCs w:val="24"/>
        </w:rPr>
        <w:t xml:space="preserve"> como </w:t>
      </w:r>
      <w:r w:rsidR="00046273" w:rsidRPr="00704821">
        <w:rPr>
          <w:rFonts w:ascii="Times New Roman" w:hAnsi="Times New Roman" w:cs="Times New Roman"/>
          <w:sz w:val="24"/>
          <w:szCs w:val="24"/>
        </w:rPr>
        <w:t>pesquisa aplicada</w:t>
      </w:r>
      <w:r w:rsidR="00AE31DC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7A1446" w:rsidRPr="00704821">
        <w:rPr>
          <w:rFonts w:ascii="Times New Roman" w:hAnsi="Times New Roman" w:cs="Times New Roman"/>
          <w:sz w:val="24"/>
          <w:szCs w:val="24"/>
        </w:rPr>
        <w:t xml:space="preserve">porque foi conduzida para encontrar respostas específicas relacionadas a ação, </w:t>
      </w:r>
      <w:r w:rsidR="00D665D9" w:rsidRPr="00704821">
        <w:rPr>
          <w:rFonts w:ascii="Times New Roman" w:hAnsi="Times New Roman" w:cs="Times New Roman"/>
          <w:sz w:val="24"/>
          <w:szCs w:val="24"/>
        </w:rPr>
        <w:t>desempenho ou situações práticas e q</w:t>
      </w:r>
      <w:r w:rsidR="00AE31DC" w:rsidRPr="00704821">
        <w:rPr>
          <w:rFonts w:ascii="Times New Roman" w:hAnsi="Times New Roman" w:cs="Times New Roman"/>
          <w:sz w:val="24"/>
          <w:szCs w:val="24"/>
        </w:rPr>
        <w:t xml:space="preserve">uanto ao objetivo, </w:t>
      </w:r>
      <w:r w:rsidR="00046273" w:rsidRPr="00704821">
        <w:rPr>
          <w:rFonts w:ascii="Times New Roman" w:hAnsi="Times New Roman" w:cs="Times New Roman"/>
          <w:sz w:val="24"/>
          <w:szCs w:val="24"/>
        </w:rPr>
        <w:t>enquadrou-se</w:t>
      </w:r>
      <w:r w:rsidR="00AE31DC" w:rsidRPr="00704821">
        <w:rPr>
          <w:rFonts w:ascii="Times New Roman" w:hAnsi="Times New Roman" w:cs="Times New Roman"/>
          <w:sz w:val="24"/>
          <w:szCs w:val="24"/>
        </w:rPr>
        <w:t xml:space="preserve"> como descritiv</w:t>
      </w:r>
      <w:r w:rsidR="00046273" w:rsidRPr="00704821">
        <w:rPr>
          <w:rFonts w:ascii="Times New Roman" w:hAnsi="Times New Roman" w:cs="Times New Roman"/>
          <w:sz w:val="24"/>
          <w:szCs w:val="24"/>
        </w:rPr>
        <w:t>a</w:t>
      </w:r>
      <w:r w:rsidR="00AE31DC" w:rsidRPr="00704821">
        <w:rPr>
          <w:rFonts w:ascii="Times New Roman" w:hAnsi="Times New Roman" w:cs="Times New Roman"/>
          <w:sz w:val="24"/>
          <w:szCs w:val="24"/>
        </w:rPr>
        <w:t xml:space="preserve">, pois o pesquisador busca descrever ou definir um assunto criando interações entre as variáveis observadas </w:t>
      </w:r>
      <w:r w:rsidR="00046273" w:rsidRPr="00704821">
        <w:rPr>
          <w:rFonts w:ascii="Times New Roman" w:hAnsi="Times New Roman" w:cs="Times New Roman"/>
          <w:sz w:val="24"/>
          <w:szCs w:val="24"/>
        </w:rPr>
        <w:t xml:space="preserve">no FR e no RI </w:t>
      </w:r>
      <w:r w:rsidR="00AE31DC" w:rsidRPr="00704821">
        <w:rPr>
          <w:rFonts w:ascii="Times New Roman" w:hAnsi="Times New Roman" w:cs="Times New Roman"/>
          <w:sz w:val="24"/>
          <w:szCs w:val="24"/>
        </w:rPr>
        <w:t>(</w:t>
      </w:r>
      <w:r w:rsidR="004013C9">
        <w:rPr>
          <w:rFonts w:ascii="Times New Roman" w:hAnsi="Times New Roman" w:cs="Times New Roman"/>
          <w:sz w:val="24"/>
          <w:szCs w:val="24"/>
        </w:rPr>
        <w:t>COOPER e</w:t>
      </w:r>
      <w:r w:rsidR="004013C9" w:rsidRPr="00704821">
        <w:rPr>
          <w:rFonts w:ascii="Times New Roman" w:hAnsi="Times New Roman" w:cs="Times New Roman"/>
          <w:sz w:val="24"/>
          <w:szCs w:val="24"/>
        </w:rPr>
        <w:t xml:space="preserve"> SCHINDLER</w:t>
      </w:r>
      <w:r w:rsidR="00AE31DC" w:rsidRPr="00704821">
        <w:rPr>
          <w:rFonts w:ascii="Times New Roman" w:hAnsi="Times New Roman" w:cs="Times New Roman"/>
          <w:sz w:val="24"/>
          <w:szCs w:val="24"/>
        </w:rPr>
        <w:t xml:space="preserve">, 2016). </w:t>
      </w:r>
    </w:p>
    <w:p w14:paraId="246F0139" w14:textId="585978C7" w:rsidR="00AE31DC" w:rsidRPr="00704821" w:rsidRDefault="00AE31DC" w:rsidP="00AE3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Em relação aos procedimentos técnicos, classifica</w:t>
      </w:r>
      <w:r w:rsidR="00046273" w:rsidRPr="00704821">
        <w:rPr>
          <w:rFonts w:ascii="Times New Roman" w:hAnsi="Times New Roman" w:cs="Times New Roman"/>
          <w:sz w:val="24"/>
          <w:szCs w:val="24"/>
        </w:rPr>
        <w:t xml:space="preserve">-se </w:t>
      </w:r>
      <w:r w:rsidRPr="00704821">
        <w:rPr>
          <w:rFonts w:ascii="Times New Roman" w:hAnsi="Times New Roman" w:cs="Times New Roman"/>
          <w:sz w:val="24"/>
          <w:szCs w:val="24"/>
        </w:rPr>
        <w:t xml:space="preserve">como </w:t>
      </w:r>
      <w:r w:rsidR="00067673">
        <w:rPr>
          <w:rFonts w:ascii="Times New Roman" w:hAnsi="Times New Roman" w:cs="Times New Roman"/>
          <w:sz w:val="24"/>
          <w:szCs w:val="24"/>
        </w:rPr>
        <w:t>documental</w:t>
      </w:r>
      <w:r w:rsidRPr="00704821">
        <w:rPr>
          <w:rFonts w:ascii="Times New Roman" w:hAnsi="Times New Roman" w:cs="Times New Roman"/>
          <w:sz w:val="24"/>
          <w:szCs w:val="24"/>
        </w:rPr>
        <w:t xml:space="preserve"> pois a coleta de dados </w:t>
      </w:r>
      <w:r w:rsidR="00D60674" w:rsidRPr="00704821">
        <w:rPr>
          <w:rFonts w:ascii="Times New Roman" w:hAnsi="Times New Roman" w:cs="Times New Roman"/>
          <w:sz w:val="24"/>
          <w:szCs w:val="24"/>
        </w:rPr>
        <w:t>ocorre</w:t>
      </w:r>
      <w:r w:rsidR="00046273" w:rsidRPr="00704821">
        <w:rPr>
          <w:rFonts w:ascii="Times New Roman" w:hAnsi="Times New Roman" w:cs="Times New Roman"/>
          <w:sz w:val="24"/>
          <w:szCs w:val="24"/>
        </w:rPr>
        <w:t>u</w:t>
      </w:r>
      <w:r w:rsidR="00D60674" w:rsidRPr="00704821">
        <w:rPr>
          <w:rFonts w:ascii="Times New Roman" w:hAnsi="Times New Roman" w:cs="Times New Roman"/>
          <w:sz w:val="24"/>
          <w:szCs w:val="24"/>
        </w:rPr>
        <w:t xml:space="preserve"> a partir </w:t>
      </w:r>
      <w:r w:rsidR="00067673">
        <w:rPr>
          <w:rFonts w:ascii="Times New Roman" w:hAnsi="Times New Roman" w:cs="Times New Roman"/>
          <w:sz w:val="24"/>
          <w:szCs w:val="24"/>
        </w:rPr>
        <w:t>da análise de conteúdo d</w:t>
      </w:r>
      <w:r w:rsidRPr="00704821">
        <w:rPr>
          <w:rFonts w:ascii="Times New Roman" w:hAnsi="Times New Roman" w:cs="Times New Roman"/>
          <w:sz w:val="24"/>
          <w:szCs w:val="24"/>
        </w:rPr>
        <w:t xml:space="preserve">os </w:t>
      </w:r>
      <w:r w:rsidR="00D60674" w:rsidRPr="00704821">
        <w:rPr>
          <w:rFonts w:ascii="Times New Roman" w:hAnsi="Times New Roman" w:cs="Times New Roman"/>
          <w:sz w:val="24"/>
          <w:szCs w:val="24"/>
        </w:rPr>
        <w:t xml:space="preserve">FR e os RI, ou seja, fontes secundárias, obtidos nos sites das </w:t>
      </w:r>
      <w:r w:rsidRPr="00704821">
        <w:rPr>
          <w:rFonts w:ascii="Times New Roman" w:hAnsi="Times New Roman" w:cs="Times New Roman"/>
          <w:sz w:val="24"/>
          <w:szCs w:val="24"/>
        </w:rPr>
        <w:t xml:space="preserve">empresas </w:t>
      </w:r>
      <w:r w:rsidR="00D60674" w:rsidRPr="00704821">
        <w:rPr>
          <w:rFonts w:ascii="Times New Roman" w:hAnsi="Times New Roman" w:cs="Times New Roman"/>
          <w:sz w:val="24"/>
          <w:szCs w:val="24"/>
        </w:rPr>
        <w:t>componentes d</w:t>
      </w:r>
      <w:r w:rsidRPr="00704821">
        <w:rPr>
          <w:rFonts w:ascii="Times New Roman" w:hAnsi="Times New Roman" w:cs="Times New Roman"/>
          <w:sz w:val="24"/>
          <w:szCs w:val="24"/>
        </w:rPr>
        <w:t xml:space="preserve">a amostra </w:t>
      </w:r>
      <w:r w:rsidR="00D60674" w:rsidRPr="00704821">
        <w:rPr>
          <w:rFonts w:ascii="Times New Roman" w:hAnsi="Times New Roman" w:cs="Times New Roman"/>
          <w:sz w:val="24"/>
          <w:szCs w:val="24"/>
        </w:rPr>
        <w:t>(</w:t>
      </w:r>
      <w:r w:rsidR="00733820" w:rsidRPr="00704821">
        <w:rPr>
          <w:rFonts w:ascii="Times New Roman" w:hAnsi="Times New Roman" w:cs="Times New Roman"/>
          <w:sz w:val="24"/>
          <w:szCs w:val="24"/>
        </w:rPr>
        <w:t>Quadro 1</w:t>
      </w:r>
      <w:r w:rsidR="00046273" w:rsidRPr="00704821">
        <w:rPr>
          <w:rFonts w:ascii="Times New Roman" w:hAnsi="Times New Roman" w:cs="Times New Roman"/>
          <w:sz w:val="24"/>
          <w:szCs w:val="24"/>
        </w:rPr>
        <w:t xml:space="preserve">) e; </w:t>
      </w:r>
      <w:r w:rsidR="00046273" w:rsidRPr="00704821">
        <w:rPr>
          <w:rFonts w:ascii="Times New Roman" w:hAnsi="Times New Roman" w:cs="Times New Roman"/>
          <w:i/>
          <w:sz w:val="24"/>
          <w:szCs w:val="24"/>
        </w:rPr>
        <w:t>ex-post-facto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D60674" w:rsidRPr="00704821">
        <w:rPr>
          <w:rFonts w:ascii="Times New Roman" w:hAnsi="Times New Roman" w:cs="Times New Roman"/>
          <w:sz w:val="24"/>
          <w:szCs w:val="24"/>
        </w:rPr>
        <w:t>por referir-se a eventos já ocorridos</w:t>
      </w:r>
      <w:r w:rsidR="00733820" w:rsidRPr="00704821">
        <w:rPr>
          <w:rFonts w:ascii="Times New Roman" w:hAnsi="Times New Roman" w:cs="Times New Roman"/>
          <w:sz w:val="24"/>
          <w:szCs w:val="24"/>
        </w:rPr>
        <w:t xml:space="preserve"> (exercício de 2015)</w:t>
      </w:r>
      <w:r w:rsidR="00D60674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46C1518D" w14:textId="54BEED92" w:rsidR="00606CAC" w:rsidRPr="00704821" w:rsidRDefault="00CE2C21" w:rsidP="002D1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P</w:t>
      </w:r>
      <w:r w:rsidR="00184779" w:rsidRPr="00704821">
        <w:rPr>
          <w:rFonts w:ascii="Times New Roman" w:hAnsi="Times New Roman" w:cs="Times New Roman"/>
          <w:sz w:val="24"/>
          <w:szCs w:val="24"/>
        </w:rPr>
        <w:t xml:space="preserve">ara a definição da amostra foi utilizado o relatório da BM&amp;F Bovespa </w:t>
      </w:r>
      <w:r w:rsidR="00733820" w:rsidRPr="00704821">
        <w:rPr>
          <w:rFonts w:ascii="Times New Roman" w:hAnsi="Times New Roman" w:cs="Times New Roman"/>
          <w:sz w:val="24"/>
          <w:szCs w:val="24"/>
        </w:rPr>
        <w:t xml:space="preserve">(2016) </w:t>
      </w:r>
      <w:r w:rsidR="00125D09" w:rsidRPr="00704821">
        <w:rPr>
          <w:rFonts w:ascii="Times New Roman" w:hAnsi="Times New Roman" w:cs="Times New Roman"/>
          <w:sz w:val="24"/>
          <w:szCs w:val="24"/>
        </w:rPr>
        <w:t xml:space="preserve">da iniciativa </w:t>
      </w:r>
      <w:r w:rsidR="007A49CF" w:rsidRPr="00704821">
        <w:rPr>
          <w:rFonts w:ascii="Times New Roman" w:hAnsi="Times New Roman" w:cs="Times New Roman"/>
          <w:sz w:val="24"/>
          <w:szCs w:val="24"/>
        </w:rPr>
        <w:t xml:space="preserve">relate </w:t>
      </w:r>
      <w:r w:rsidR="00125D09" w:rsidRPr="00704821">
        <w:rPr>
          <w:rFonts w:ascii="Times New Roman" w:hAnsi="Times New Roman" w:cs="Times New Roman"/>
          <w:sz w:val="24"/>
          <w:szCs w:val="24"/>
        </w:rPr>
        <w:t xml:space="preserve">ou </w:t>
      </w:r>
      <w:r w:rsidR="007A49CF" w:rsidRPr="00704821">
        <w:rPr>
          <w:rFonts w:ascii="Times New Roman" w:hAnsi="Times New Roman" w:cs="Times New Roman"/>
          <w:sz w:val="24"/>
          <w:szCs w:val="24"/>
        </w:rPr>
        <w:t xml:space="preserve">explique </w:t>
      </w:r>
      <w:r w:rsidR="00125D09" w:rsidRPr="00704821">
        <w:rPr>
          <w:rFonts w:ascii="Times New Roman" w:hAnsi="Times New Roman" w:cs="Times New Roman"/>
          <w:sz w:val="24"/>
          <w:szCs w:val="24"/>
        </w:rPr>
        <w:t xml:space="preserve">para o Relatório de Sustentabilidade ou Integrado </w:t>
      </w:r>
      <w:r w:rsidR="00DA347C" w:rsidRPr="00704821">
        <w:rPr>
          <w:rFonts w:ascii="Times New Roman" w:hAnsi="Times New Roman" w:cs="Times New Roman"/>
          <w:sz w:val="24"/>
          <w:szCs w:val="24"/>
        </w:rPr>
        <w:t xml:space="preserve">de </w:t>
      </w:r>
      <w:r w:rsidR="00125D09" w:rsidRPr="00704821">
        <w:rPr>
          <w:rFonts w:ascii="Times New Roman" w:hAnsi="Times New Roman" w:cs="Times New Roman"/>
          <w:sz w:val="24"/>
          <w:szCs w:val="24"/>
        </w:rPr>
        <w:t>2015</w:t>
      </w:r>
      <w:r w:rsidR="00184779" w:rsidRPr="00704821">
        <w:rPr>
          <w:rFonts w:ascii="Times New Roman" w:hAnsi="Times New Roman" w:cs="Times New Roman"/>
          <w:sz w:val="24"/>
          <w:szCs w:val="24"/>
        </w:rPr>
        <w:t xml:space="preserve">. Cabe ressaltar que foram considerados os Relatórios Anuais ou Relatórios de Sustentabilidade que foram elaborados de acordo com as diretrizes do </w:t>
      </w:r>
      <w:r w:rsidR="00EB27D8" w:rsidRPr="00704821">
        <w:rPr>
          <w:rFonts w:ascii="Times New Roman" w:hAnsi="Times New Roman" w:cs="Times New Roman"/>
          <w:i/>
          <w:sz w:val="24"/>
          <w:szCs w:val="24"/>
        </w:rPr>
        <w:t>International Integrated Reporting Council</w:t>
      </w:r>
      <w:r w:rsidR="00EB27D8" w:rsidRPr="00704821">
        <w:rPr>
          <w:rFonts w:ascii="Times New Roman" w:hAnsi="Times New Roman" w:cs="Times New Roman"/>
          <w:sz w:val="24"/>
          <w:szCs w:val="24"/>
        </w:rPr>
        <w:t xml:space="preserve"> (</w:t>
      </w:r>
      <w:r w:rsidR="00184779" w:rsidRPr="00704821">
        <w:rPr>
          <w:rFonts w:ascii="Times New Roman" w:hAnsi="Times New Roman" w:cs="Times New Roman"/>
          <w:sz w:val="24"/>
          <w:szCs w:val="24"/>
        </w:rPr>
        <w:t>IIRC</w:t>
      </w:r>
      <w:r w:rsidR="00EB27D8" w:rsidRPr="00704821">
        <w:rPr>
          <w:rFonts w:ascii="Times New Roman" w:hAnsi="Times New Roman" w:cs="Times New Roman"/>
          <w:sz w:val="24"/>
          <w:szCs w:val="24"/>
        </w:rPr>
        <w:t>)</w:t>
      </w:r>
      <w:r w:rsidR="00184779" w:rsidRPr="00704821">
        <w:rPr>
          <w:rFonts w:ascii="Times New Roman" w:hAnsi="Times New Roman" w:cs="Times New Roman"/>
          <w:sz w:val="24"/>
          <w:szCs w:val="24"/>
        </w:rPr>
        <w:t xml:space="preserve"> já que o RI refere-se a </w:t>
      </w:r>
      <w:r w:rsidR="00EB27D8" w:rsidRPr="00704821">
        <w:rPr>
          <w:rFonts w:ascii="Times New Roman" w:hAnsi="Times New Roman" w:cs="Times New Roman"/>
          <w:sz w:val="24"/>
          <w:szCs w:val="24"/>
        </w:rPr>
        <w:t>premissa</w:t>
      </w:r>
      <w:r w:rsidR="00184779" w:rsidRPr="00704821">
        <w:rPr>
          <w:rFonts w:ascii="Times New Roman" w:hAnsi="Times New Roman" w:cs="Times New Roman"/>
          <w:sz w:val="24"/>
          <w:szCs w:val="24"/>
        </w:rPr>
        <w:t xml:space="preserve"> do pensamento </w:t>
      </w:r>
      <w:r w:rsidR="00733820" w:rsidRPr="00704821">
        <w:rPr>
          <w:rFonts w:ascii="Times New Roman" w:hAnsi="Times New Roman" w:cs="Times New Roman"/>
          <w:sz w:val="24"/>
          <w:szCs w:val="24"/>
        </w:rPr>
        <w:t xml:space="preserve">integrado </w:t>
      </w:r>
      <w:r w:rsidR="00184779" w:rsidRPr="00704821">
        <w:rPr>
          <w:rFonts w:ascii="Times New Roman" w:hAnsi="Times New Roman" w:cs="Times New Roman"/>
          <w:sz w:val="24"/>
          <w:szCs w:val="24"/>
        </w:rPr>
        <w:t>e não ao título do reporte. Nesse caso, os relatórios que não forem denominados R</w:t>
      </w:r>
      <w:r w:rsidR="00271FEA">
        <w:rPr>
          <w:rFonts w:ascii="Times New Roman" w:hAnsi="Times New Roman" w:cs="Times New Roman"/>
          <w:sz w:val="24"/>
          <w:szCs w:val="24"/>
        </w:rPr>
        <w:t xml:space="preserve">elatos </w:t>
      </w:r>
      <w:r w:rsidR="00184779" w:rsidRPr="00704821">
        <w:rPr>
          <w:rFonts w:ascii="Times New Roman" w:hAnsi="Times New Roman" w:cs="Times New Roman"/>
          <w:sz w:val="24"/>
          <w:szCs w:val="24"/>
        </w:rPr>
        <w:t>I</w:t>
      </w:r>
      <w:r w:rsidR="00271FEA">
        <w:rPr>
          <w:rFonts w:ascii="Times New Roman" w:hAnsi="Times New Roman" w:cs="Times New Roman"/>
          <w:sz w:val="24"/>
          <w:szCs w:val="24"/>
        </w:rPr>
        <w:t>ntegrados</w:t>
      </w:r>
      <w:r w:rsidR="00184779" w:rsidRPr="00704821">
        <w:rPr>
          <w:rFonts w:ascii="Times New Roman" w:hAnsi="Times New Roman" w:cs="Times New Roman"/>
          <w:sz w:val="24"/>
          <w:szCs w:val="24"/>
        </w:rPr>
        <w:t>, deveriam conter uma declaração de que foram elaborados seguindo as diretrizes do IIRC</w:t>
      </w:r>
      <w:r w:rsidR="00DA347C" w:rsidRPr="00704821">
        <w:rPr>
          <w:rFonts w:ascii="Times New Roman" w:hAnsi="Times New Roman" w:cs="Times New Roman"/>
          <w:sz w:val="24"/>
          <w:szCs w:val="24"/>
        </w:rPr>
        <w:t xml:space="preserve"> (2014)</w:t>
      </w:r>
      <w:r w:rsidRPr="00704821">
        <w:rPr>
          <w:rFonts w:ascii="Times New Roman" w:hAnsi="Times New Roman" w:cs="Times New Roman"/>
          <w:sz w:val="24"/>
          <w:szCs w:val="24"/>
        </w:rPr>
        <w:t>. Quando essa</w:t>
      </w:r>
      <w:r w:rsidR="00184779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184779" w:rsidRPr="00704821">
        <w:rPr>
          <w:rFonts w:ascii="Times New Roman" w:hAnsi="Times New Roman" w:cs="Times New Roman"/>
          <w:sz w:val="24"/>
          <w:szCs w:val="24"/>
        </w:rPr>
        <w:lastRenderedPageBreak/>
        <w:t xml:space="preserve">declaração </w:t>
      </w:r>
      <w:r w:rsidR="00DA347C" w:rsidRPr="00704821">
        <w:rPr>
          <w:rFonts w:ascii="Times New Roman" w:hAnsi="Times New Roman" w:cs="Times New Roman"/>
          <w:sz w:val="24"/>
          <w:szCs w:val="24"/>
        </w:rPr>
        <w:t xml:space="preserve">(que é uma exigência do Framework do RI) </w:t>
      </w:r>
      <w:r w:rsidR="00184779" w:rsidRPr="00704821">
        <w:rPr>
          <w:rFonts w:ascii="Times New Roman" w:hAnsi="Times New Roman" w:cs="Times New Roman"/>
          <w:sz w:val="24"/>
          <w:szCs w:val="24"/>
        </w:rPr>
        <w:t xml:space="preserve">não </w:t>
      </w:r>
      <w:r w:rsidR="00271FEA">
        <w:rPr>
          <w:rFonts w:ascii="Times New Roman" w:hAnsi="Times New Roman" w:cs="Times New Roman"/>
          <w:sz w:val="24"/>
          <w:szCs w:val="24"/>
        </w:rPr>
        <w:t>foi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184779" w:rsidRPr="00704821">
        <w:rPr>
          <w:rFonts w:ascii="Times New Roman" w:hAnsi="Times New Roman" w:cs="Times New Roman"/>
          <w:sz w:val="24"/>
          <w:szCs w:val="24"/>
        </w:rPr>
        <w:t xml:space="preserve">localizada a empresa </w:t>
      </w:r>
      <w:r w:rsidRPr="00704821">
        <w:rPr>
          <w:rFonts w:ascii="Times New Roman" w:hAnsi="Times New Roman" w:cs="Times New Roman"/>
          <w:sz w:val="24"/>
          <w:szCs w:val="24"/>
        </w:rPr>
        <w:t>foi</w:t>
      </w:r>
      <w:r w:rsidR="00184779" w:rsidRPr="00704821">
        <w:rPr>
          <w:rFonts w:ascii="Times New Roman" w:hAnsi="Times New Roman" w:cs="Times New Roman"/>
          <w:sz w:val="24"/>
          <w:szCs w:val="24"/>
        </w:rPr>
        <w:t xml:space="preserve"> excluída da amostra.</w:t>
      </w:r>
    </w:p>
    <w:p w14:paraId="3E8B5CC9" w14:textId="7DF9908B" w:rsidR="00DE190F" w:rsidRPr="00704821" w:rsidRDefault="00606CAC" w:rsidP="00DE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B27D8" w:rsidRPr="00704821">
        <w:rPr>
          <w:rFonts w:ascii="Times New Roman" w:hAnsi="Times New Roman" w:cs="Times New Roman"/>
          <w:sz w:val="24"/>
          <w:szCs w:val="24"/>
        </w:rPr>
        <w:t>A população foi</w:t>
      </w:r>
      <w:r w:rsidRPr="00704821">
        <w:rPr>
          <w:rFonts w:ascii="Times New Roman" w:hAnsi="Times New Roman" w:cs="Times New Roman"/>
          <w:sz w:val="24"/>
          <w:szCs w:val="24"/>
        </w:rPr>
        <w:t xml:space="preserve"> composta por 41 </w:t>
      </w:r>
      <w:r w:rsidR="00EB27D8" w:rsidRPr="00704821">
        <w:rPr>
          <w:rFonts w:ascii="Times New Roman" w:hAnsi="Times New Roman" w:cs="Times New Roman"/>
          <w:sz w:val="24"/>
          <w:szCs w:val="24"/>
        </w:rPr>
        <w:t xml:space="preserve">empresas sendo que </w:t>
      </w:r>
      <w:r w:rsidR="009F0328" w:rsidRPr="00704821">
        <w:rPr>
          <w:rFonts w:ascii="Times New Roman" w:hAnsi="Times New Roman" w:cs="Times New Roman"/>
          <w:sz w:val="24"/>
          <w:szCs w:val="24"/>
        </w:rPr>
        <w:t xml:space="preserve">excluiu-se </w:t>
      </w:r>
      <w:r w:rsidRPr="00704821">
        <w:rPr>
          <w:rFonts w:ascii="Times New Roman" w:hAnsi="Times New Roman" w:cs="Times New Roman"/>
          <w:sz w:val="24"/>
          <w:szCs w:val="24"/>
        </w:rPr>
        <w:t xml:space="preserve">24 por não terem apresentado </w:t>
      </w:r>
      <w:r w:rsidR="00184779" w:rsidRPr="00704821">
        <w:rPr>
          <w:rFonts w:ascii="Times New Roman" w:hAnsi="Times New Roman" w:cs="Times New Roman"/>
          <w:sz w:val="24"/>
          <w:szCs w:val="24"/>
        </w:rPr>
        <w:t xml:space="preserve">a </w:t>
      </w:r>
      <w:r w:rsidRPr="00704821">
        <w:rPr>
          <w:rFonts w:ascii="Times New Roman" w:hAnsi="Times New Roman" w:cs="Times New Roman"/>
          <w:sz w:val="24"/>
          <w:szCs w:val="24"/>
        </w:rPr>
        <w:t>declara</w:t>
      </w:r>
      <w:r w:rsidR="00184779" w:rsidRPr="00704821">
        <w:rPr>
          <w:rFonts w:ascii="Times New Roman" w:hAnsi="Times New Roman" w:cs="Times New Roman"/>
          <w:sz w:val="24"/>
          <w:szCs w:val="24"/>
        </w:rPr>
        <w:t>ção de que</w:t>
      </w:r>
      <w:r w:rsidRPr="00704821">
        <w:rPr>
          <w:rFonts w:ascii="Times New Roman" w:hAnsi="Times New Roman" w:cs="Times New Roman"/>
          <w:sz w:val="24"/>
          <w:szCs w:val="24"/>
        </w:rPr>
        <w:t xml:space="preserve"> elaborar</w:t>
      </w:r>
      <w:r w:rsidR="00184779" w:rsidRPr="00704821">
        <w:rPr>
          <w:rFonts w:ascii="Times New Roman" w:hAnsi="Times New Roman" w:cs="Times New Roman"/>
          <w:sz w:val="24"/>
          <w:szCs w:val="24"/>
        </w:rPr>
        <w:t>am</w:t>
      </w:r>
      <w:r w:rsidRPr="00704821">
        <w:rPr>
          <w:rFonts w:ascii="Times New Roman" w:hAnsi="Times New Roman" w:cs="Times New Roman"/>
          <w:sz w:val="24"/>
          <w:szCs w:val="24"/>
        </w:rPr>
        <w:t xml:space="preserve"> o </w:t>
      </w:r>
      <w:r w:rsidR="00184779" w:rsidRPr="00704821">
        <w:rPr>
          <w:rFonts w:ascii="Times New Roman" w:hAnsi="Times New Roman" w:cs="Times New Roman"/>
          <w:sz w:val="24"/>
          <w:szCs w:val="24"/>
        </w:rPr>
        <w:t>RI</w:t>
      </w:r>
      <w:r w:rsidRPr="00704821">
        <w:rPr>
          <w:rFonts w:ascii="Times New Roman" w:hAnsi="Times New Roman" w:cs="Times New Roman"/>
          <w:sz w:val="24"/>
          <w:szCs w:val="24"/>
        </w:rPr>
        <w:t xml:space="preserve"> seguindo diretrizes do IIRC</w:t>
      </w:r>
      <w:r w:rsidR="00EB6C2B">
        <w:rPr>
          <w:rFonts w:ascii="Times New Roman" w:hAnsi="Times New Roman" w:cs="Times New Roman"/>
          <w:sz w:val="24"/>
          <w:szCs w:val="24"/>
        </w:rPr>
        <w:t xml:space="preserve"> (2014)</w:t>
      </w:r>
      <w:r w:rsidR="003D365D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DE190F" w:rsidRPr="00704821">
        <w:rPr>
          <w:rFonts w:ascii="Times New Roman" w:hAnsi="Times New Roman" w:cs="Times New Roman"/>
          <w:sz w:val="24"/>
          <w:szCs w:val="24"/>
        </w:rPr>
        <w:t xml:space="preserve">Portanto, a amostra </w:t>
      </w:r>
      <w:r w:rsidR="00EB6C2B">
        <w:rPr>
          <w:rFonts w:ascii="Times New Roman" w:hAnsi="Times New Roman" w:cs="Times New Roman"/>
          <w:sz w:val="24"/>
          <w:szCs w:val="24"/>
        </w:rPr>
        <w:t>consistiu</w:t>
      </w:r>
      <w:r w:rsidR="003D365D" w:rsidRPr="00704821">
        <w:rPr>
          <w:rFonts w:ascii="Times New Roman" w:hAnsi="Times New Roman" w:cs="Times New Roman"/>
          <w:sz w:val="24"/>
          <w:szCs w:val="24"/>
        </w:rPr>
        <w:t xml:space="preserve"> em 17 </w:t>
      </w:r>
      <w:r w:rsidR="00DE190F" w:rsidRPr="00704821">
        <w:rPr>
          <w:rFonts w:ascii="Times New Roman" w:hAnsi="Times New Roman" w:cs="Times New Roman"/>
          <w:sz w:val="24"/>
          <w:szCs w:val="24"/>
        </w:rPr>
        <w:t>empresas (Quadro 1).</w:t>
      </w:r>
    </w:p>
    <w:p w14:paraId="037361F1" w14:textId="28DD436C" w:rsidR="00DE190F" w:rsidRDefault="00DE190F" w:rsidP="00DE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705369" w14:textId="2F3CCBEF" w:rsidR="004013C9" w:rsidRPr="00704821" w:rsidRDefault="004013C9" w:rsidP="0040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0"/>
          <w:szCs w:val="20"/>
        </w:rPr>
        <w:t>Quadro 1 – Empresas que compõe a Amostra e Relatórios Analisados</w:t>
      </w:r>
      <w:r w:rsidRPr="0070482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Tabelacomgrade"/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729"/>
        <w:gridCol w:w="1245"/>
        <w:gridCol w:w="1276"/>
        <w:gridCol w:w="709"/>
        <w:gridCol w:w="1701"/>
        <w:gridCol w:w="1275"/>
        <w:gridCol w:w="567"/>
      </w:tblGrid>
      <w:tr w:rsidR="00DE190F" w:rsidRPr="00704821" w14:paraId="18C35E1C" w14:textId="77777777" w:rsidTr="00733820">
        <w:trPr>
          <w:jc w:val="center"/>
        </w:trPr>
        <w:tc>
          <w:tcPr>
            <w:tcW w:w="426" w:type="dxa"/>
            <w:vMerge w:val="restart"/>
            <w:shd w:val="clear" w:color="auto" w:fill="D0CECE" w:themeFill="background2" w:themeFillShade="E6"/>
            <w:vAlign w:val="center"/>
          </w:tcPr>
          <w:p w14:paraId="7EEDDBFC" w14:textId="4B4D3D15" w:rsidR="00DE190F" w:rsidRPr="00704821" w:rsidRDefault="00DE190F" w:rsidP="003D365D">
            <w:pPr>
              <w:ind w:lef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ID</w:t>
            </w:r>
            <w:r w:rsidR="00383A43"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14:paraId="061D5AFF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shd w:val="clear" w:color="auto" w:fill="D9D9D9" w:themeFill="background1" w:themeFillShade="D9"/>
            <w:vAlign w:val="center"/>
          </w:tcPr>
          <w:p w14:paraId="2F389346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Empresa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center"/>
          </w:tcPr>
          <w:p w14:paraId="2876A578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Setor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6AB6B98B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Formulário de Referência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EF8F83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</w:t>
            </w:r>
          </w:p>
          <w:p w14:paraId="305827D5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Pág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14:paraId="40FCF0F8" w14:textId="4D29E388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Documento Analisado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42B524B9" w14:textId="57E78E67" w:rsidR="00DE190F" w:rsidRPr="00704821" w:rsidRDefault="00DE190F" w:rsidP="003D3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Nº</w:t>
            </w:r>
          </w:p>
          <w:p w14:paraId="3A4EA3C0" w14:textId="77777777" w:rsidR="00DE190F" w:rsidRPr="00704821" w:rsidRDefault="00DE1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Pág</w:t>
            </w:r>
          </w:p>
          <w:p w14:paraId="75ECCEB8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190F" w:rsidRPr="00704821" w14:paraId="5B00C204" w14:textId="77777777" w:rsidTr="00733820">
        <w:trPr>
          <w:jc w:val="center"/>
        </w:trPr>
        <w:tc>
          <w:tcPr>
            <w:tcW w:w="426" w:type="dxa"/>
            <w:vMerge/>
            <w:shd w:val="clear" w:color="auto" w:fill="D0CECE" w:themeFill="background2" w:themeFillShade="E6"/>
            <w:vAlign w:val="center"/>
          </w:tcPr>
          <w:p w14:paraId="19FE15FE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D9D9D9" w:themeFill="background1" w:themeFillShade="D9"/>
            <w:vAlign w:val="center"/>
          </w:tcPr>
          <w:p w14:paraId="439E5F21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center"/>
          </w:tcPr>
          <w:p w14:paraId="2DB4551F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A3261D2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9DFB424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0EB6DA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Nome do Relatório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D8980B7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Declaração IIRC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F1BDD2D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190F" w:rsidRPr="00704821" w14:paraId="1F249A59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71FF5E9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Align w:val="center"/>
          </w:tcPr>
          <w:p w14:paraId="3029B90C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Sanepar</w:t>
            </w:r>
          </w:p>
        </w:tc>
        <w:tc>
          <w:tcPr>
            <w:tcW w:w="1245" w:type="dxa"/>
            <w:vAlign w:val="center"/>
          </w:tcPr>
          <w:p w14:paraId="4BACCD30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Água e Saneamento</w:t>
            </w:r>
          </w:p>
        </w:tc>
        <w:tc>
          <w:tcPr>
            <w:tcW w:w="1276" w:type="dxa"/>
            <w:vAlign w:val="center"/>
          </w:tcPr>
          <w:p w14:paraId="3F487D62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10 - 28/12/2016</w:t>
            </w:r>
          </w:p>
        </w:tc>
        <w:tc>
          <w:tcPr>
            <w:tcW w:w="709" w:type="dxa"/>
            <w:vAlign w:val="center"/>
          </w:tcPr>
          <w:p w14:paraId="5AFEF55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701" w:type="dxa"/>
            <w:vAlign w:val="center"/>
          </w:tcPr>
          <w:p w14:paraId="0217C5AF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de Administração e Sustentabilidade</w:t>
            </w:r>
          </w:p>
        </w:tc>
        <w:tc>
          <w:tcPr>
            <w:tcW w:w="1275" w:type="dxa"/>
            <w:vAlign w:val="center"/>
          </w:tcPr>
          <w:p w14:paraId="65077655" w14:textId="77777777" w:rsidR="00DE190F" w:rsidRPr="00704821" w:rsidRDefault="00DE190F" w:rsidP="004F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Sim-Pág 100</w:t>
            </w:r>
          </w:p>
        </w:tc>
        <w:tc>
          <w:tcPr>
            <w:tcW w:w="567" w:type="dxa"/>
            <w:vAlign w:val="center"/>
          </w:tcPr>
          <w:p w14:paraId="6A5377B7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</w:tr>
      <w:tr w:rsidR="00DE190F" w:rsidRPr="00704821" w14:paraId="2684F081" w14:textId="77777777" w:rsidTr="00733820">
        <w:trPr>
          <w:trHeight w:val="609"/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A420D44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9" w:type="dxa"/>
            <w:vAlign w:val="center"/>
          </w:tcPr>
          <w:p w14:paraId="3303C7B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Brf S.A.</w:t>
            </w:r>
          </w:p>
        </w:tc>
        <w:tc>
          <w:tcPr>
            <w:tcW w:w="1245" w:type="dxa"/>
            <w:vAlign w:val="center"/>
          </w:tcPr>
          <w:p w14:paraId="331275E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Alimentos</w:t>
            </w:r>
          </w:p>
        </w:tc>
        <w:tc>
          <w:tcPr>
            <w:tcW w:w="1276" w:type="dxa"/>
            <w:vAlign w:val="center"/>
          </w:tcPr>
          <w:p w14:paraId="6642DDE3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6 - 25/11/2016</w:t>
            </w:r>
          </w:p>
        </w:tc>
        <w:tc>
          <w:tcPr>
            <w:tcW w:w="709" w:type="dxa"/>
            <w:vAlign w:val="center"/>
          </w:tcPr>
          <w:p w14:paraId="2E4730AC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701" w:type="dxa"/>
            <w:vAlign w:val="center"/>
          </w:tcPr>
          <w:p w14:paraId="7C22FCD7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Anual</w:t>
            </w:r>
          </w:p>
        </w:tc>
        <w:tc>
          <w:tcPr>
            <w:tcW w:w="1275" w:type="dxa"/>
            <w:vAlign w:val="center"/>
          </w:tcPr>
          <w:p w14:paraId="654AB372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 5</w:t>
            </w:r>
          </w:p>
        </w:tc>
        <w:tc>
          <w:tcPr>
            <w:tcW w:w="567" w:type="dxa"/>
            <w:vAlign w:val="center"/>
          </w:tcPr>
          <w:p w14:paraId="7DD31977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</w:tr>
      <w:tr w:rsidR="00DE190F" w:rsidRPr="00704821" w14:paraId="5DC76762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50B4B85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9" w:type="dxa"/>
            <w:vAlign w:val="center"/>
          </w:tcPr>
          <w:p w14:paraId="2D5D122C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Banco do Brasil</w:t>
            </w:r>
          </w:p>
        </w:tc>
        <w:tc>
          <w:tcPr>
            <w:tcW w:w="1245" w:type="dxa"/>
            <w:vAlign w:val="center"/>
          </w:tcPr>
          <w:p w14:paraId="668EE831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Bancos</w:t>
            </w:r>
          </w:p>
        </w:tc>
        <w:tc>
          <w:tcPr>
            <w:tcW w:w="1276" w:type="dxa"/>
            <w:vAlign w:val="center"/>
          </w:tcPr>
          <w:p w14:paraId="136E8136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19 – 10/01/2017</w:t>
            </w:r>
          </w:p>
        </w:tc>
        <w:tc>
          <w:tcPr>
            <w:tcW w:w="709" w:type="dxa"/>
            <w:vAlign w:val="center"/>
          </w:tcPr>
          <w:p w14:paraId="115FAD31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701" w:type="dxa"/>
            <w:vAlign w:val="center"/>
          </w:tcPr>
          <w:p w14:paraId="1E83E999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Anual</w:t>
            </w:r>
          </w:p>
        </w:tc>
        <w:tc>
          <w:tcPr>
            <w:tcW w:w="1275" w:type="dxa"/>
            <w:vAlign w:val="center"/>
          </w:tcPr>
          <w:p w14:paraId="45A56048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Sim-Pág. 11</w:t>
            </w:r>
          </w:p>
        </w:tc>
        <w:tc>
          <w:tcPr>
            <w:tcW w:w="567" w:type="dxa"/>
            <w:vAlign w:val="center"/>
          </w:tcPr>
          <w:p w14:paraId="746B91DB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DE190F" w:rsidRPr="00704821" w14:paraId="3FEA933B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5D5F8F0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9" w:type="dxa"/>
            <w:vAlign w:val="center"/>
          </w:tcPr>
          <w:p w14:paraId="3CBBDCF7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Bndes Partic. S.A.</w:t>
            </w:r>
          </w:p>
        </w:tc>
        <w:tc>
          <w:tcPr>
            <w:tcW w:w="1245" w:type="dxa"/>
            <w:vAlign w:val="center"/>
          </w:tcPr>
          <w:p w14:paraId="0E18B80A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Bancos</w:t>
            </w:r>
          </w:p>
        </w:tc>
        <w:tc>
          <w:tcPr>
            <w:tcW w:w="1276" w:type="dxa"/>
            <w:vAlign w:val="center"/>
          </w:tcPr>
          <w:p w14:paraId="655915F9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7 – 24/11/2016</w:t>
            </w:r>
          </w:p>
        </w:tc>
        <w:tc>
          <w:tcPr>
            <w:tcW w:w="709" w:type="dxa"/>
            <w:vAlign w:val="center"/>
          </w:tcPr>
          <w:p w14:paraId="25ACD018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701" w:type="dxa"/>
            <w:vAlign w:val="center"/>
          </w:tcPr>
          <w:p w14:paraId="71B7EC00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Anual</w:t>
            </w:r>
          </w:p>
        </w:tc>
        <w:tc>
          <w:tcPr>
            <w:tcW w:w="1275" w:type="dxa"/>
            <w:vAlign w:val="center"/>
          </w:tcPr>
          <w:p w14:paraId="37E5C08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 4</w:t>
            </w:r>
          </w:p>
        </w:tc>
        <w:tc>
          <w:tcPr>
            <w:tcW w:w="567" w:type="dxa"/>
            <w:vAlign w:val="center"/>
          </w:tcPr>
          <w:p w14:paraId="0418A124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DE190F" w:rsidRPr="00704821" w14:paraId="0A74C826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251F1E45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9" w:type="dxa"/>
            <w:vAlign w:val="center"/>
          </w:tcPr>
          <w:p w14:paraId="35D8FCC2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Bradesco</w:t>
            </w:r>
          </w:p>
        </w:tc>
        <w:tc>
          <w:tcPr>
            <w:tcW w:w="1245" w:type="dxa"/>
            <w:vAlign w:val="center"/>
          </w:tcPr>
          <w:p w14:paraId="60656116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Bancos</w:t>
            </w:r>
          </w:p>
        </w:tc>
        <w:tc>
          <w:tcPr>
            <w:tcW w:w="1276" w:type="dxa"/>
            <w:vAlign w:val="center"/>
          </w:tcPr>
          <w:p w14:paraId="2C4A7531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14 - 11/01/2017</w:t>
            </w:r>
          </w:p>
        </w:tc>
        <w:tc>
          <w:tcPr>
            <w:tcW w:w="709" w:type="dxa"/>
            <w:vAlign w:val="center"/>
          </w:tcPr>
          <w:p w14:paraId="3F7E975E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701" w:type="dxa"/>
            <w:vAlign w:val="center"/>
          </w:tcPr>
          <w:p w14:paraId="7681BE52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Integrado</w:t>
            </w:r>
          </w:p>
        </w:tc>
        <w:tc>
          <w:tcPr>
            <w:tcW w:w="1275" w:type="dxa"/>
            <w:vAlign w:val="center"/>
          </w:tcPr>
          <w:p w14:paraId="6A6F5370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 2</w:t>
            </w:r>
          </w:p>
        </w:tc>
        <w:tc>
          <w:tcPr>
            <w:tcW w:w="567" w:type="dxa"/>
            <w:vAlign w:val="center"/>
          </w:tcPr>
          <w:p w14:paraId="4BE0CF12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DE190F" w:rsidRPr="00704821" w14:paraId="5920D2A9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3D2F0EC8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9" w:type="dxa"/>
            <w:vAlign w:val="center"/>
          </w:tcPr>
          <w:p w14:paraId="5156D23E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Itau</w:t>
            </w:r>
          </w:p>
        </w:tc>
        <w:tc>
          <w:tcPr>
            <w:tcW w:w="1245" w:type="dxa"/>
            <w:vAlign w:val="center"/>
          </w:tcPr>
          <w:p w14:paraId="0ACC6839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Bancos</w:t>
            </w:r>
          </w:p>
        </w:tc>
        <w:tc>
          <w:tcPr>
            <w:tcW w:w="1276" w:type="dxa"/>
            <w:vAlign w:val="center"/>
          </w:tcPr>
          <w:p w14:paraId="5EC7020F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15 - 29/12/2016</w:t>
            </w:r>
          </w:p>
        </w:tc>
        <w:tc>
          <w:tcPr>
            <w:tcW w:w="709" w:type="dxa"/>
            <w:vAlign w:val="center"/>
          </w:tcPr>
          <w:p w14:paraId="13A6F1D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701" w:type="dxa"/>
            <w:vAlign w:val="center"/>
          </w:tcPr>
          <w:p w14:paraId="06995ACB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Relato Integrado</w:t>
            </w:r>
          </w:p>
        </w:tc>
        <w:tc>
          <w:tcPr>
            <w:tcW w:w="1275" w:type="dxa"/>
            <w:vAlign w:val="center"/>
          </w:tcPr>
          <w:p w14:paraId="443CD75E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 2</w:t>
            </w:r>
          </w:p>
        </w:tc>
        <w:tc>
          <w:tcPr>
            <w:tcW w:w="567" w:type="dxa"/>
            <w:vAlign w:val="center"/>
          </w:tcPr>
          <w:p w14:paraId="6D1EFEC6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DE190F" w:rsidRPr="00704821" w14:paraId="71F1324E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B3E8A6A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9" w:type="dxa"/>
            <w:vAlign w:val="center"/>
          </w:tcPr>
          <w:p w14:paraId="0950E95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Santander S.A.</w:t>
            </w:r>
          </w:p>
        </w:tc>
        <w:tc>
          <w:tcPr>
            <w:tcW w:w="1245" w:type="dxa"/>
            <w:vAlign w:val="center"/>
          </w:tcPr>
          <w:p w14:paraId="00155AFF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Bancos</w:t>
            </w:r>
          </w:p>
        </w:tc>
        <w:tc>
          <w:tcPr>
            <w:tcW w:w="1276" w:type="dxa"/>
            <w:vAlign w:val="center"/>
          </w:tcPr>
          <w:p w14:paraId="4E50A3AE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12 - 09/01/2017</w:t>
            </w:r>
          </w:p>
        </w:tc>
        <w:tc>
          <w:tcPr>
            <w:tcW w:w="709" w:type="dxa"/>
            <w:vAlign w:val="center"/>
          </w:tcPr>
          <w:p w14:paraId="06A42926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701" w:type="dxa"/>
            <w:vAlign w:val="center"/>
          </w:tcPr>
          <w:p w14:paraId="62CB5D3C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Anual</w:t>
            </w:r>
          </w:p>
        </w:tc>
        <w:tc>
          <w:tcPr>
            <w:tcW w:w="1275" w:type="dxa"/>
            <w:vAlign w:val="center"/>
          </w:tcPr>
          <w:p w14:paraId="2EC4BD1C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 3</w:t>
            </w:r>
          </w:p>
        </w:tc>
        <w:tc>
          <w:tcPr>
            <w:tcW w:w="567" w:type="dxa"/>
            <w:vAlign w:val="center"/>
          </w:tcPr>
          <w:p w14:paraId="4C97ADBE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E190F" w:rsidRPr="00704821" w14:paraId="0C01A87A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D23C3D6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29" w:type="dxa"/>
            <w:vAlign w:val="center"/>
          </w:tcPr>
          <w:p w14:paraId="701CB8F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Magazine luiza</w:t>
            </w:r>
          </w:p>
        </w:tc>
        <w:tc>
          <w:tcPr>
            <w:tcW w:w="1245" w:type="dxa"/>
            <w:vAlign w:val="center"/>
          </w:tcPr>
          <w:p w14:paraId="18F1B05B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Comércio Varejista</w:t>
            </w:r>
          </w:p>
        </w:tc>
        <w:tc>
          <w:tcPr>
            <w:tcW w:w="1276" w:type="dxa"/>
            <w:vAlign w:val="center"/>
          </w:tcPr>
          <w:p w14:paraId="0B0762DC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7 - 24/01/2017</w:t>
            </w:r>
          </w:p>
        </w:tc>
        <w:tc>
          <w:tcPr>
            <w:tcW w:w="709" w:type="dxa"/>
            <w:vAlign w:val="center"/>
          </w:tcPr>
          <w:p w14:paraId="3568568F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701" w:type="dxa"/>
            <w:vAlign w:val="center"/>
          </w:tcPr>
          <w:p w14:paraId="7ECD6E1B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Relato Integrado</w:t>
            </w:r>
          </w:p>
        </w:tc>
        <w:tc>
          <w:tcPr>
            <w:tcW w:w="1275" w:type="dxa"/>
            <w:vAlign w:val="center"/>
          </w:tcPr>
          <w:p w14:paraId="2A0610EC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Pág.59</w:t>
            </w:r>
          </w:p>
        </w:tc>
        <w:tc>
          <w:tcPr>
            <w:tcW w:w="567" w:type="dxa"/>
            <w:vAlign w:val="center"/>
          </w:tcPr>
          <w:p w14:paraId="45C40507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E190F" w:rsidRPr="00704821" w14:paraId="6CB3FCCA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36A8F603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29" w:type="dxa"/>
            <w:vAlign w:val="center"/>
          </w:tcPr>
          <w:p w14:paraId="0AF29295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Duke Energy S.A.</w:t>
            </w:r>
          </w:p>
        </w:tc>
        <w:tc>
          <w:tcPr>
            <w:tcW w:w="1245" w:type="dxa"/>
            <w:vAlign w:val="center"/>
          </w:tcPr>
          <w:p w14:paraId="16EE082B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Energia Elétrica</w:t>
            </w:r>
          </w:p>
        </w:tc>
        <w:tc>
          <w:tcPr>
            <w:tcW w:w="1276" w:type="dxa"/>
            <w:vAlign w:val="center"/>
          </w:tcPr>
          <w:p w14:paraId="44BC0947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3 - 09/01/2017</w:t>
            </w:r>
          </w:p>
        </w:tc>
        <w:tc>
          <w:tcPr>
            <w:tcW w:w="709" w:type="dxa"/>
            <w:vAlign w:val="center"/>
          </w:tcPr>
          <w:p w14:paraId="7CBCB059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  <w:vAlign w:val="center"/>
          </w:tcPr>
          <w:p w14:paraId="6DC63214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Anual</w:t>
            </w:r>
          </w:p>
        </w:tc>
        <w:tc>
          <w:tcPr>
            <w:tcW w:w="1275" w:type="dxa"/>
            <w:vAlign w:val="center"/>
          </w:tcPr>
          <w:p w14:paraId="677C0ABF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 2</w:t>
            </w:r>
          </w:p>
        </w:tc>
        <w:tc>
          <w:tcPr>
            <w:tcW w:w="567" w:type="dxa"/>
            <w:vAlign w:val="center"/>
          </w:tcPr>
          <w:p w14:paraId="1CB5275E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DE190F" w:rsidRPr="00704821" w14:paraId="45C1839E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FF5C1B3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9" w:type="dxa"/>
            <w:vAlign w:val="center"/>
          </w:tcPr>
          <w:p w14:paraId="2214D4A8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Eletropaulo S.A.</w:t>
            </w:r>
          </w:p>
        </w:tc>
        <w:tc>
          <w:tcPr>
            <w:tcW w:w="1245" w:type="dxa"/>
            <w:vAlign w:val="center"/>
          </w:tcPr>
          <w:p w14:paraId="142F08B3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Energia Elétrica</w:t>
            </w:r>
          </w:p>
        </w:tc>
        <w:tc>
          <w:tcPr>
            <w:tcW w:w="1276" w:type="dxa"/>
            <w:vAlign w:val="center"/>
          </w:tcPr>
          <w:p w14:paraId="6B6D826F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14 - 09/01/2017</w:t>
            </w:r>
          </w:p>
        </w:tc>
        <w:tc>
          <w:tcPr>
            <w:tcW w:w="709" w:type="dxa"/>
            <w:vAlign w:val="center"/>
          </w:tcPr>
          <w:p w14:paraId="6331BA22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701" w:type="dxa"/>
            <w:vAlign w:val="center"/>
          </w:tcPr>
          <w:p w14:paraId="05BE9414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de Sustentabilidade</w:t>
            </w:r>
          </w:p>
        </w:tc>
        <w:tc>
          <w:tcPr>
            <w:tcW w:w="1275" w:type="dxa"/>
            <w:vAlign w:val="center"/>
          </w:tcPr>
          <w:p w14:paraId="7B43820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Pág.83</w:t>
            </w:r>
          </w:p>
        </w:tc>
        <w:tc>
          <w:tcPr>
            <w:tcW w:w="567" w:type="dxa"/>
            <w:vAlign w:val="center"/>
          </w:tcPr>
          <w:p w14:paraId="67E1352A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DE190F" w:rsidRPr="00704821" w14:paraId="4947BA32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2BE32BC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9" w:type="dxa"/>
            <w:vAlign w:val="center"/>
          </w:tcPr>
          <w:p w14:paraId="4514246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Natura</w:t>
            </w:r>
          </w:p>
        </w:tc>
        <w:tc>
          <w:tcPr>
            <w:tcW w:w="1245" w:type="dxa"/>
            <w:vAlign w:val="center"/>
          </w:tcPr>
          <w:p w14:paraId="30C631FB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Limpeza e Perfumaria</w:t>
            </w:r>
          </w:p>
        </w:tc>
        <w:tc>
          <w:tcPr>
            <w:tcW w:w="1276" w:type="dxa"/>
            <w:vAlign w:val="center"/>
          </w:tcPr>
          <w:p w14:paraId="3E782F7E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8 - 19/12/2016</w:t>
            </w:r>
          </w:p>
        </w:tc>
        <w:tc>
          <w:tcPr>
            <w:tcW w:w="709" w:type="dxa"/>
            <w:vAlign w:val="center"/>
          </w:tcPr>
          <w:p w14:paraId="23C2CF4A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701" w:type="dxa"/>
            <w:vAlign w:val="center"/>
          </w:tcPr>
          <w:p w14:paraId="03970D8C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Anual (Tem 2 Partes)</w:t>
            </w:r>
          </w:p>
        </w:tc>
        <w:tc>
          <w:tcPr>
            <w:tcW w:w="1275" w:type="dxa"/>
            <w:vAlign w:val="center"/>
          </w:tcPr>
          <w:p w14:paraId="54EF6829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 3</w:t>
            </w:r>
          </w:p>
        </w:tc>
        <w:tc>
          <w:tcPr>
            <w:tcW w:w="567" w:type="dxa"/>
            <w:vAlign w:val="center"/>
          </w:tcPr>
          <w:p w14:paraId="7F7BBE7D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</w:tr>
      <w:tr w:rsidR="00DE190F" w:rsidRPr="00704821" w14:paraId="32E8538D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FBEE282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9" w:type="dxa"/>
            <w:vAlign w:val="center"/>
          </w:tcPr>
          <w:p w14:paraId="390486F8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Duratex S.A.</w:t>
            </w:r>
          </w:p>
        </w:tc>
        <w:tc>
          <w:tcPr>
            <w:tcW w:w="1245" w:type="dxa"/>
            <w:vAlign w:val="center"/>
          </w:tcPr>
          <w:p w14:paraId="7DBAA797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Madeira</w:t>
            </w:r>
          </w:p>
        </w:tc>
        <w:tc>
          <w:tcPr>
            <w:tcW w:w="1276" w:type="dxa"/>
            <w:vAlign w:val="center"/>
          </w:tcPr>
          <w:p w14:paraId="7CBC4157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7 - 11/11/2016</w:t>
            </w:r>
          </w:p>
        </w:tc>
        <w:tc>
          <w:tcPr>
            <w:tcW w:w="709" w:type="dxa"/>
            <w:vAlign w:val="center"/>
          </w:tcPr>
          <w:p w14:paraId="5D239F9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701" w:type="dxa"/>
            <w:vAlign w:val="center"/>
          </w:tcPr>
          <w:p w14:paraId="3AAF315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Anual e Sustentabilidade</w:t>
            </w:r>
          </w:p>
        </w:tc>
        <w:tc>
          <w:tcPr>
            <w:tcW w:w="1275" w:type="dxa"/>
            <w:vAlign w:val="center"/>
          </w:tcPr>
          <w:p w14:paraId="6E0582C4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 4</w:t>
            </w:r>
          </w:p>
        </w:tc>
        <w:tc>
          <w:tcPr>
            <w:tcW w:w="567" w:type="dxa"/>
            <w:vAlign w:val="center"/>
          </w:tcPr>
          <w:p w14:paraId="64768C11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E190F" w:rsidRPr="00704821" w14:paraId="74CDD7F2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5DA06DE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9" w:type="dxa"/>
            <w:vAlign w:val="center"/>
          </w:tcPr>
          <w:p w14:paraId="6846206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Celulose Irani S.A.</w:t>
            </w:r>
          </w:p>
        </w:tc>
        <w:tc>
          <w:tcPr>
            <w:tcW w:w="1245" w:type="dxa"/>
            <w:vAlign w:val="center"/>
          </w:tcPr>
          <w:p w14:paraId="6556F520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Papel e Celulose</w:t>
            </w:r>
          </w:p>
        </w:tc>
        <w:tc>
          <w:tcPr>
            <w:tcW w:w="1276" w:type="dxa"/>
            <w:vAlign w:val="center"/>
          </w:tcPr>
          <w:p w14:paraId="5406AC4F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3 - 27/10/2016</w:t>
            </w:r>
          </w:p>
        </w:tc>
        <w:tc>
          <w:tcPr>
            <w:tcW w:w="709" w:type="dxa"/>
            <w:vAlign w:val="center"/>
          </w:tcPr>
          <w:p w14:paraId="1F0D2AD1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701" w:type="dxa"/>
            <w:vAlign w:val="center"/>
          </w:tcPr>
          <w:p w14:paraId="57305EC7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de Sustentabilidade</w:t>
            </w:r>
          </w:p>
        </w:tc>
        <w:tc>
          <w:tcPr>
            <w:tcW w:w="1275" w:type="dxa"/>
            <w:vAlign w:val="center"/>
          </w:tcPr>
          <w:p w14:paraId="75B0E3B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 9</w:t>
            </w:r>
          </w:p>
        </w:tc>
        <w:tc>
          <w:tcPr>
            <w:tcW w:w="567" w:type="dxa"/>
            <w:vAlign w:val="center"/>
          </w:tcPr>
          <w:p w14:paraId="1E1DB5A2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DE190F" w:rsidRPr="00704821" w14:paraId="1F63CA4D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17E265CA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9" w:type="dxa"/>
            <w:vAlign w:val="center"/>
          </w:tcPr>
          <w:p w14:paraId="6367A80F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Fibria Celulose S.A.</w:t>
            </w:r>
          </w:p>
        </w:tc>
        <w:tc>
          <w:tcPr>
            <w:tcW w:w="1245" w:type="dxa"/>
            <w:vAlign w:val="center"/>
          </w:tcPr>
          <w:p w14:paraId="1AA731B3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Papel e Celulose</w:t>
            </w:r>
          </w:p>
        </w:tc>
        <w:tc>
          <w:tcPr>
            <w:tcW w:w="1276" w:type="dxa"/>
            <w:vAlign w:val="center"/>
          </w:tcPr>
          <w:p w14:paraId="1B2A693C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14 - 23/12/2016</w:t>
            </w:r>
          </w:p>
        </w:tc>
        <w:tc>
          <w:tcPr>
            <w:tcW w:w="709" w:type="dxa"/>
            <w:vAlign w:val="center"/>
          </w:tcPr>
          <w:p w14:paraId="4513E808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701" w:type="dxa"/>
            <w:vAlign w:val="center"/>
          </w:tcPr>
          <w:p w14:paraId="27B94E74" w14:textId="714312B5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</w:t>
            </w:r>
            <w:r w:rsidR="00913975"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Anual</w:t>
            </w:r>
          </w:p>
        </w:tc>
        <w:tc>
          <w:tcPr>
            <w:tcW w:w="1275" w:type="dxa"/>
            <w:vAlign w:val="center"/>
          </w:tcPr>
          <w:p w14:paraId="0B037FED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 4</w:t>
            </w:r>
          </w:p>
        </w:tc>
        <w:tc>
          <w:tcPr>
            <w:tcW w:w="567" w:type="dxa"/>
            <w:vAlign w:val="center"/>
          </w:tcPr>
          <w:p w14:paraId="204F5B06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E190F" w:rsidRPr="00704821" w14:paraId="37A5102B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254ACA3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29" w:type="dxa"/>
            <w:vAlign w:val="center"/>
          </w:tcPr>
          <w:p w14:paraId="156FB9B1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Petrobras</w:t>
            </w:r>
          </w:p>
        </w:tc>
        <w:tc>
          <w:tcPr>
            <w:tcW w:w="1245" w:type="dxa"/>
            <w:vAlign w:val="center"/>
          </w:tcPr>
          <w:p w14:paraId="7A3371EC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Petróleo</w:t>
            </w:r>
          </w:p>
        </w:tc>
        <w:tc>
          <w:tcPr>
            <w:tcW w:w="1276" w:type="dxa"/>
            <w:vAlign w:val="center"/>
          </w:tcPr>
          <w:p w14:paraId="22A65489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6 - 09/12/2016</w:t>
            </w:r>
          </w:p>
        </w:tc>
        <w:tc>
          <w:tcPr>
            <w:tcW w:w="709" w:type="dxa"/>
            <w:vAlign w:val="center"/>
          </w:tcPr>
          <w:p w14:paraId="6205D187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701" w:type="dxa"/>
            <w:vAlign w:val="center"/>
          </w:tcPr>
          <w:p w14:paraId="14440602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de Sustentabilidade</w:t>
            </w:r>
          </w:p>
        </w:tc>
        <w:tc>
          <w:tcPr>
            <w:tcW w:w="1275" w:type="dxa"/>
            <w:vAlign w:val="center"/>
          </w:tcPr>
          <w:p w14:paraId="10A725AA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 5</w:t>
            </w:r>
          </w:p>
        </w:tc>
        <w:tc>
          <w:tcPr>
            <w:tcW w:w="567" w:type="dxa"/>
            <w:vAlign w:val="center"/>
          </w:tcPr>
          <w:p w14:paraId="775CA14D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DE190F" w:rsidRPr="00704821" w14:paraId="73094C7E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26A0B93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29" w:type="dxa"/>
            <w:vAlign w:val="center"/>
          </w:tcPr>
          <w:p w14:paraId="494AEAF5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CCR S.A.</w:t>
            </w:r>
          </w:p>
        </w:tc>
        <w:tc>
          <w:tcPr>
            <w:tcW w:w="1245" w:type="dxa"/>
            <w:vAlign w:val="center"/>
          </w:tcPr>
          <w:p w14:paraId="5A2489B3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Transportes</w:t>
            </w:r>
          </w:p>
        </w:tc>
        <w:tc>
          <w:tcPr>
            <w:tcW w:w="1276" w:type="dxa"/>
            <w:vAlign w:val="center"/>
          </w:tcPr>
          <w:p w14:paraId="46C389EB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8 - 09/01/2017</w:t>
            </w:r>
          </w:p>
        </w:tc>
        <w:tc>
          <w:tcPr>
            <w:tcW w:w="709" w:type="dxa"/>
            <w:vAlign w:val="center"/>
          </w:tcPr>
          <w:p w14:paraId="568ED9CE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701" w:type="dxa"/>
            <w:vAlign w:val="center"/>
          </w:tcPr>
          <w:p w14:paraId="4146A115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Anual e Sustentabilidade</w:t>
            </w:r>
          </w:p>
        </w:tc>
        <w:tc>
          <w:tcPr>
            <w:tcW w:w="1275" w:type="dxa"/>
            <w:vAlign w:val="center"/>
          </w:tcPr>
          <w:p w14:paraId="4D9E7606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 5</w:t>
            </w:r>
          </w:p>
        </w:tc>
        <w:tc>
          <w:tcPr>
            <w:tcW w:w="567" w:type="dxa"/>
            <w:vAlign w:val="center"/>
          </w:tcPr>
          <w:p w14:paraId="5322A463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DE190F" w:rsidRPr="00704821" w14:paraId="3BD96769" w14:textId="77777777" w:rsidTr="00733820">
        <w:trPr>
          <w:jc w:val="center"/>
        </w:trPr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6C87882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29" w:type="dxa"/>
            <w:vAlign w:val="center"/>
          </w:tcPr>
          <w:p w14:paraId="13C3DAF0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Ecorodovias</w:t>
            </w:r>
          </w:p>
        </w:tc>
        <w:tc>
          <w:tcPr>
            <w:tcW w:w="1245" w:type="dxa"/>
            <w:vAlign w:val="center"/>
          </w:tcPr>
          <w:p w14:paraId="5BB2D625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Transportes</w:t>
            </w:r>
          </w:p>
        </w:tc>
        <w:tc>
          <w:tcPr>
            <w:tcW w:w="1276" w:type="dxa"/>
            <w:vAlign w:val="center"/>
          </w:tcPr>
          <w:p w14:paraId="76CE22AE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Versão 5 - 11/11/2016</w:t>
            </w:r>
          </w:p>
        </w:tc>
        <w:tc>
          <w:tcPr>
            <w:tcW w:w="709" w:type="dxa"/>
            <w:vAlign w:val="center"/>
          </w:tcPr>
          <w:p w14:paraId="5D1553DC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701" w:type="dxa"/>
            <w:vAlign w:val="center"/>
          </w:tcPr>
          <w:p w14:paraId="163F1948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Relatório de Sustentabilidade</w:t>
            </w:r>
          </w:p>
        </w:tc>
        <w:tc>
          <w:tcPr>
            <w:tcW w:w="1275" w:type="dxa"/>
            <w:vAlign w:val="center"/>
          </w:tcPr>
          <w:p w14:paraId="0DB9AA63" w14:textId="77777777" w:rsidR="00DE190F" w:rsidRPr="00704821" w:rsidRDefault="00DE190F" w:rsidP="004F40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 - Pág.88</w:t>
            </w:r>
          </w:p>
        </w:tc>
        <w:tc>
          <w:tcPr>
            <w:tcW w:w="567" w:type="dxa"/>
            <w:vAlign w:val="center"/>
          </w:tcPr>
          <w:p w14:paraId="26CA5987" w14:textId="77777777" w:rsidR="00DE190F" w:rsidRPr="00704821" w:rsidRDefault="00DE190F" w:rsidP="004F40C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</w:tbl>
    <w:p w14:paraId="7FF2FDA5" w14:textId="77777777" w:rsidR="00985B48" w:rsidRPr="00704821" w:rsidRDefault="00985B48" w:rsidP="00985B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821">
        <w:rPr>
          <w:rFonts w:ascii="Times New Roman" w:hAnsi="Times New Roman" w:cs="Times New Roman"/>
          <w:sz w:val="20"/>
          <w:szCs w:val="20"/>
        </w:rPr>
        <w:t>Nota: *ID: Identificação da empresa</w:t>
      </w:r>
    </w:p>
    <w:p w14:paraId="75D8AF31" w14:textId="39E7A943" w:rsidR="000D018D" w:rsidRPr="00704821" w:rsidRDefault="000D018D" w:rsidP="00985B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821">
        <w:rPr>
          <w:rFonts w:ascii="Times New Roman" w:hAnsi="Times New Roman" w:cs="Times New Roman"/>
          <w:sz w:val="20"/>
          <w:szCs w:val="20"/>
        </w:rPr>
        <w:t>Fonte: Elaborado com base nos dados da pesquisa.</w:t>
      </w:r>
    </w:p>
    <w:p w14:paraId="3CCC72F3" w14:textId="4119AEC2" w:rsidR="00383A43" w:rsidRPr="00704821" w:rsidRDefault="00383A43" w:rsidP="00DE19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52149B" w14:textId="3B87352E" w:rsidR="00F92781" w:rsidRPr="00704821" w:rsidRDefault="00C1049D" w:rsidP="00AD54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A partir d</w:t>
      </w:r>
      <w:r w:rsidR="003544EF">
        <w:rPr>
          <w:rFonts w:ascii="Times New Roman" w:hAnsi="Times New Roman" w:cs="Times New Roman"/>
          <w:sz w:val="24"/>
          <w:szCs w:val="24"/>
        </w:rPr>
        <w:t>a elaboração do quadro 1 observou</w:t>
      </w:r>
      <w:r w:rsidRPr="00704821">
        <w:rPr>
          <w:rFonts w:ascii="Times New Roman" w:hAnsi="Times New Roman" w:cs="Times New Roman"/>
          <w:sz w:val="24"/>
          <w:szCs w:val="24"/>
        </w:rPr>
        <w:t>-se que a</w:t>
      </w:r>
      <w:r w:rsidR="00F92781" w:rsidRPr="00704821">
        <w:rPr>
          <w:rFonts w:ascii="Times New Roman" w:hAnsi="Times New Roman" w:cs="Times New Roman"/>
          <w:sz w:val="24"/>
          <w:szCs w:val="24"/>
        </w:rPr>
        <w:t xml:space="preserve">lgumas empresas não denominaram o produto do processo de relato integrado como </w:t>
      </w:r>
      <w:r w:rsidR="00536762" w:rsidRPr="00704821">
        <w:rPr>
          <w:rFonts w:ascii="Times New Roman" w:hAnsi="Times New Roman" w:cs="Times New Roman"/>
          <w:sz w:val="24"/>
          <w:szCs w:val="24"/>
        </w:rPr>
        <w:t>R</w:t>
      </w:r>
      <w:r w:rsidR="00CC0FF9" w:rsidRPr="00704821">
        <w:rPr>
          <w:rFonts w:ascii="Times New Roman" w:hAnsi="Times New Roman" w:cs="Times New Roman"/>
          <w:sz w:val="24"/>
          <w:szCs w:val="24"/>
        </w:rPr>
        <w:t xml:space="preserve">elato </w:t>
      </w:r>
      <w:r w:rsidR="00536762" w:rsidRPr="00704821">
        <w:rPr>
          <w:rFonts w:ascii="Times New Roman" w:hAnsi="Times New Roman" w:cs="Times New Roman"/>
          <w:sz w:val="24"/>
          <w:szCs w:val="24"/>
        </w:rPr>
        <w:t>I</w:t>
      </w:r>
      <w:r w:rsidR="00CC0FF9" w:rsidRPr="00704821">
        <w:rPr>
          <w:rFonts w:ascii="Times New Roman" w:hAnsi="Times New Roman" w:cs="Times New Roman"/>
          <w:sz w:val="24"/>
          <w:szCs w:val="24"/>
        </w:rPr>
        <w:t>ntegrado</w:t>
      </w:r>
      <w:r w:rsidR="00F92781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872054" w:rsidRPr="00704821">
        <w:rPr>
          <w:rFonts w:ascii="Times New Roman" w:hAnsi="Times New Roman" w:cs="Times New Roman"/>
          <w:sz w:val="24"/>
          <w:szCs w:val="24"/>
        </w:rPr>
        <w:t>conforme demonstra a colun</w:t>
      </w:r>
      <w:r w:rsidR="0032230C" w:rsidRPr="00704821">
        <w:rPr>
          <w:rFonts w:ascii="Times New Roman" w:hAnsi="Times New Roman" w:cs="Times New Roman"/>
          <w:sz w:val="24"/>
          <w:szCs w:val="24"/>
        </w:rPr>
        <w:t>a Nome do Relatório, do Quadro 1</w:t>
      </w:r>
      <w:r w:rsidR="00872054" w:rsidRPr="00704821">
        <w:rPr>
          <w:rFonts w:ascii="Times New Roman" w:hAnsi="Times New Roman" w:cs="Times New Roman"/>
          <w:sz w:val="24"/>
          <w:szCs w:val="24"/>
        </w:rPr>
        <w:t>. A</w:t>
      </w:r>
      <w:r w:rsidR="00F92781" w:rsidRPr="00704821">
        <w:rPr>
          <w:rFonts w:ascii="Times New Roman" w:hAnsi="Times New Roman" w:cs="Times New Roman"/>
          <w:sz w:val="24"/>
          <w:szCs w:val="24"/>
        </w:rPr>
        <w:t xml:space="preserve">penas o Bradesco (ID 5) caracterizou </w:t>
      </w:r>
      <w:r w:rsidR="00536762" w:rsidRPr="00704821">
        <w:rPr>
          <w:rFonts w:ascii="Times New Roman" w:hAnsi="Times New Roman" w:cs="Times New Roman"/>
          <w:sz w:val="24"/>
          <w:szCs w:val="24"/>
        </w:rPr>
        <w:t xml:space="preserve">seu relatório </w:t>
      </w:r>
      <w:r w:rsidR="00F92781" w:rsidRPr="00704821">
        <w:rPr>
          <w:rFonts w:ascii="Times New Roman" w:hAnsi="Times New Roman" w:cs="Times New Roman"/>
          <w:sz w:val="24"/>
          <w:szCs w:val="24"/>
        </w:rPr>
        <w:t xml:space="preserve">como Relatório Integrado </w:t>
      </w:r>
      <w:r w:rsidR="00AD5477" w:rsidRPr="00704821">
        <w:rPr>
          <w:rFonts w:ascii="Times New Roman" w:hAnsi="Times New Roman" w:cs="Times New Roman"/>
          <w:sz w:val="24"/>
          <w:szCs w:val="24"/>
        </w:rPr>
        <w:t>enquanto que</w:t>
      </w:r>
      <w:r w:rsidR="00F92781" w:rsidRPr="00704821">
        <w:rPr>
          <w:rFonts w:ascii="Times New Roman" w:hAnsi="Times New Roman" w:cs="Times New Roman"/>
          <w:sz w:val="24"/>
          <w:szCs w:val="24"/>
        </w:rPr>
        <w:t xml:space="preserve"> Itaú (ID 6) </w:t>
      </w:r>
      <w:r w:rsidR="00AD5477" w:rsidRPr="00704821">
        <w:rPr>
          <w:rFonts w:ascii="Times New Roman" w:hAnsi="Times New Roman" w:cs="Times New Roman"/>
          <w:sz w:val="24"/>
          <w:szCs w:val="24"/>
        </w:rPr>
        <w:t>e</w:t>
      </w:r>
      <w:r w:rsidR="00F92781" w:rsidRPr="00704821">
        <w:rPr>
          <w:rFonts w:ascii="Times New Roman" w:hAnsi="Times New Roman" w:cs="Times New Roman"/>
          <w:sz w:val="24"/>
          <w:szCs w:val="24"/>
        </w:rPr>
        <w:t xml:space="preserve"> Magazine Luiza (ID</w:t>
      </w:r>
      <w:r w:rsidR="00CC0FF9" w:rsidRPr="00704821">
        <w:rPr>
          <w:rFonts w:ascii="Times New Roman" w:hAnsi="Times New Roman" w:cs="Times New Roman"/>
          <w:sz w:val="24"/>
          <w:szCs w:val="24"/>
        </w:rPr>
        <w:t xml:space="preserve"> 8</w:t>
      </w:r>
      <w:r w:rsidR="00F92781" w:rsidRPr="00704821">
        <w:rPr>
          <w:rFonts w:ascii="Times New Roman" w:hAnsi="Times New Roman" w:cs="Times New Roman"/>
          <w:sz w:val="24"/>
          <w:szCs w:val="24"/>
        </w:rPr>
        <w:t xml:space="preserve">) chamaram </w:t>
      </w:r>
      <w:r w:rsidR="00536762" w:rsidRPr="00704821">
        <w:rPr>
          <w:rFonts w:ascii="Times New Roman" w:hAnsi="Times New Roman" w:cs="Times New Roman"/>
          <w:sz w:val="24"/>
          <w:szCs w:val="24"/>
        </w:rPr>
        <w:t>seus</w:t>
      </w:r>
      <w:r w:rsidR="00F92781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reportes</w:t>
      </w:r>
      <w:r w:rsidR="00F92781" w:rsidRPr="00704821">
        <w:rPr>
          <w:rFonts w:ascii="Times New Roman" w:hAnsi="Times New Roman" w:cs="Times New Roman"/>
          <w:sz w:val="24"/>
          <w:szCs w:val="24"/>
        </w:rPr>
        <w:t xml:space="preserve"> de Relato Integrado. </w:t>
      </w:r>
      <w:r w:rsidR="00A353C9" w:rsidRPr="00704821">
        <w:rPr>
          <w:rFonts w:ascii="Times New Roman" w:hAnsi="Times New Roman" w:cs="Times New Roman"/>
          <w:sz w:val="24"/>
          <w:szCs w:val="24"/>
        </w:rPr>
        <w:t xml:space="preserve">A Sanepar (ID 1) deu o título ao relatório de </w:t>
      </w:r>
      <w:r w:rsidR="00A353C9" w:rsidRPr="00704821">
        <w:rPr>
          <w:rFonts w:ascii="Times New Roman" w:hAnsi="Times New Roman" w:cs="Times New Roman"/>
          <w:color w:val="000000"/>
          <w:sz w:val="24"/>
          <w:szCs w:val="24"/>
        </w:rPr>
        <w:t>Relatório de Administração e Sustentabilidade. As empresas Brf S.A. (ID 2), Banco do Brasil (ID 3), Bndes Partic. S.A. (ID 4), Santander S.A (ID 7), Duke Energy S.A. (ID 9)</w:t>
      </w:r>
      <w:r w:rsidR="00B211D6" w:rsidRPr="00704821">
        <w:rPr>
          <w:rFonts w:ascii="Times New Roman" w:hAnsi="Times New Roman" w:cs="Times New Roman"/>
          <w:color w:val="000000"/>
          <w:sz w:val="24"/>
          <w:szCs w:val="24"/>
        </w:rPr>
        <w:t>, Natura (ID 11)</w:t>
      </w:r>
      <w:r w:rsidR="00A353C9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e Fibria Celulose S.A. (ID 14)</w:t>
      </w:r>
      <w:r w:rsidR="00B46883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color w:val="000000"/>
          <w:sz w:val="24"/>
          <w:szCs w:val="24"/>
        </w:rPr>
        <w:t>identific</w:t>
      </w:r>
      <w:r w:rsidR="007609F8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704821">
        <w:rPr>
          <w:rFonts w:ascii="Times New Roman" w:hAnsi="Times New Roman" w:cs="Times New Roman"/>
          <w:color w:val="000000"/>
          <w:sz w:val="24"/>
          <w:szCs w:val="24"/>
        </w:rPr>
        <w:t>am seus reportes</w:t>
      </w:r>
      <w:r w:rsidR="00B46883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09F8"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="00B46883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06D6" w:rsidRPr="00704821">
        <w:rPr>
          <w:rFonts w:ascii="Times New Roman" w:hAnsi="Times New Roman" w:cs="Times New Roman"/>
          <w:color w:val="000000"/>
          <w:sz w:val="24"/>
          <w:szCs w:val="24"/>
        </w:rPr>
        <w:t>Relatório Anual</w:t>
      </w:r>
      <w:r w:rsidR="00B46883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D16E7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Já as </w:t>
      </w:r>
      <w:r w:rsidR="006F06D6" w:rsidRPr="0070482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empresas Eletropaulo </w:t>
      </w:r>
      <w:r w:rsidR="008D16E7" w:rsidRPr="00704821">
        <w:rPr>
          <w:rFonts w:ascii="Times New Roman" w:hAnsi="Times New Roman" w:cs="Times New Roman"/>
          <w:color w:val="000000"/>
          <w:sz w:val="24"/>
          <w:szCs w:val="24"/>
        </w:rPr>
        <w:t>S.A. (ID 10), Celulose Irani S.A. (ID 13),</w:t>
      </w:r>
      <w:r w:rsidR="00CC0FF9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Petrobrás (ID</w:t>
      </w:r>
      <w:r w:rsidR="008D16E7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15</w:t>
      </w:r>
      <w:r w:rsidR="00CC0FF9" w:rsidRPr="007048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D16E7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CC0FF9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Ecorodovias (ID </w:t>
      </w:r>
      <w:r w:rsidR="008D16E7" w:rsidRPr="00704821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CC0FF9" w:rsidRPr="007048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F06D6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designaram o relatório como Relatório de Sustentabilidade. </w:t>
      </w:r>
      <w:r w:rsidRPr="0070482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F06D6" w:rsidRPr="00704821">
        <w:rPr>
          <w:rFonts w:ascii="Times New Roman" w:hAnsi="Times New Roman" w:cs="Times New Roman"/>
          <w:color w:val="000000"/>
          <w:sz w:val="24"/>
          <w:szCs w:val="24"/>
        </w:rPr>
        <w:t>or fim, as empresas Duratex S.A. (ID 12) e CCR S.A. (ID 16) deram o nome de Relatório Anual e Sustentabilidade</w:t>
      </w:r>
      <w:r w:rsidR="00467B2F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039BF5C" w14:textId="0EF771FF" w:rsidR="00125D09" w:rsidRPr="00704821" w:rsidRDefault="00125D09" w:rsidP="0012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Os dados </w:t>
      </w:r>
      <w:r w:rsidR="00F2635C">
        <w:rPr>
          <w:rFonts w:ascii="Times New Roman" w:hAnsi="Times New Roman" w:cs="Times New Roman"/>
          <w:sz w:val="24"/>
          <w:szCs w:val="24"/>
        </w:rPr>
        <w:t>obtidos d</w:t>
      </w:r>
      <w:r w:rsidRPr="00704821">
        <w:rPr>
          <w:rFonts w:ascii="Times New Roman" w:hAnsi="Times New Roman" w:cs="Times New Roman"/>
          <w:sz w:val="24"/>
          <w:szCs w:val="24"/>
        </w:rPr>
        <w:t xml:space="preserve">os </w:t>
      </w:r>
      <w:r w:rsidR="00927E98" w:rsidRPr="00704821">
        <w:rPr>
          <w:rFonts w:ascii="Times New Roman" w:hAnsi="Times New Roman" w:cs="Times New Roman"/>
          <w:sz w:val="24"/>
          <w:szCs w:val="24"/>
        </w:rPr>
        <w:t>FR e RI</w:t>
      </w:r>
      <w:r w:rsidRPr="00704821">
        <w:rPr>
          <w:rFonts w:ascii="Times New Roman" w:hAnsi="Times New Roman" w:cs="Times New Roman"/>
          <w:sz w:val="24"/>
          <w:szCs w:val="24"/>
        </w:rPr>
        <w:t xml:space="preserve"> das em</w:t>
      </w:r>
      <w:r w:rsidR="00C1049D" w:rsidRPr="00704821">
        <w:rPr>
          <w:rFonts w:ascii="Times New Roman" w:hAnsi="Times New Roman" w:cs="Times New Roman"/>
          <w:sz w:val="24"/>
          <w:szCs w:val="24"/>
        </w:rPr>
        <w:t>presas que compuseram a amostra</w:t>
      </w:r>
      <w:r w:rsidR="00F2635C">
        <w:rPr>
          <w:rFonts w:ascii="Times New Roman" w:hAnsi="Times New Roman" w:cs="Times New Roman"/>
          <w:sz w:val="24"/>
          <w:szCs w:val="24"/>
        </w:rPr>
        <w:t xml:space="preserve">, </w:t>
      </w:r>
      <w:r w:rsidRPr="00704821">
        <w:rPr>
          <w:rFonts w:ascii="Times New Roman" w:hAnsi="Times New Roman" w:cs="Times New Roman"/>
          <w:sz w:val="24"/>
          <w:szCs w:val="24"/>
        </w:rPr>
        <w:t xml:space="preserve">foram analisados sob o prisma qualitativo. A pesquisa qualitativa visa selecionar e abstrair os dados e organizá-los de maneira que se obtenha conclusões por meio </w:t>
      </w:r>
      <w:r w:rsidR="002E600B" w:rsidRPr="00704821">
        <w:rPr>
          <w:rFonts w:ascii="Times New Roman" w:hAnsi="Times New Roman" w:cs="Times New Roman"/>
          <w:sz w:val="24"/>
          <w:szCs w:val="24"/>
        </w:rPr>
        <w:t xml:space="preserve">da </w:t>
      </w:r>
      <w:r w:rsidRPr="00704821">
        <w:rPr>
          <w:rFonts w:ascii="Times New Roman" w:hAnsi="Times New Roman" w:cs="Times New Roman"/>
          <w:sz w:val="24"/>
          <w:szCs w:val="24"/>
        </w:rPr>
        <w:t>análise de tabelas, gráficas e textos narrativos e busca-se explicação e conclusões na literatura (</w:t>
      </w:r>
      <w:r w:rsidR="00906017">
        <w:rPr>
          <w:rFonts w:ascii="Times New Roman" w:hAnsi="Times New Roman" w:cs="Times New Roman"/>
          <w:sz w:val="24"/>
          <w:szCs w:val="24"/>
        </w:rPr>
        <w:t>MARTINS e</w:t>
      </w:r>
      <w:r w:rsidR="00906017" w:rsidRPr="00704821">
        <w:rPr>
          <w:rFonts w:ascii="Times New Roman" w:hAnsi="Times New Roman" w:cs="Times New Roman"/>
          <w:sz w:val="24"/>
          <w:szCs w:val="24"/>
        </w:rPr>
        <w:t xml:space="preserve"> THEÓPHILO</w:t>
      </w:r>
      <w:r w:rsidRPr="00704821">
        <w:rPr>
          <w:rFonts w:ascii="Times New Roman" w:hAnsi="Times New Roman" w:cs="Times New Roman"/>
          <w:sz w:val="24"/>
          <w:szCs w:val="24"/>
        </w:rPr>
        <w:t xml:space="preserve">, 2009). No mesmo sentido, </w:t>
      </w:r>
      <w:r w:rsidR="00383A43" w:rsidRPr="00704821">
        <w:rPr>
          <w:rFonts w:ascii="Times New Roman" w:hAnsi="Times New Roman" w:cs="Times New Roman"/>
          <w:sz w:val="24"/>
          <w:szCs w:val="24"/>
        </w:rPr>
        <w:t xml:space="preserve">Flick </w:t>
      </w:r>
      <w:r w:rsidRPr="00704821">
        <w:rPr>
          <w:rFonts w:ascii="Times New Roman" w:hAnsi="Times New Roman" w:cs="Times New Roman"/>
          <w:sz w:val="24"/>
          <w:szCs w:val="24"/>
        </w:rPr>
        <w:t>(</w:t>
      </w:r>
      <w:r w:rsidR="00C77498" w:rsidRPr="00704821">
        <w:rPr>
          <w:rFonts w:ascii="Times New Roman" w:hAnsi="Times New Roman" w:cs="Times New Roman"/>
          <w:sz w:val="24"/>
          <w:szCs w:val="24"/>
        </w:rPr>
        <w:t>2009</w:t>
      </w:r>
      <w:r w:rsidRPr="00704821">
        <w:rPr>
          <w:rFonts w:ascii="Times New Roman" w:hAnsi="Times New Roman" w:cs="Times New Roman"/>
          <w:sz w:val="24"/>
          <w:szCs w:val="24"/>
        </w:rPr>
        <w:t xml:space="preserve">) </w:t>
      </w:r>
      <w:r w:rsidR="00C77498" w:rsidRPr="00704821">
        <w:rPr>
          <w:rFonts w:ascii="Times New Roman" w:hAnsi="Times New Roman" w:cs="Times New Roman"/>
          <w:sz w:val="24"/>
          <w:szCs w:val="24"/>
        </w:rPr>
        <w:t xml:space="preserve">discorre </w:t>
      </w:r>
      <w:r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="00C77498" w:rsidRPr="00704821">
        <w:rPr>
          <w:rFonts w:ascii="Times New Roman" w:hAnsi="Times New Roman" w:cs="Times New Roman"/>
          <w:sz w:val="24"/>
          <w:szCs w:val="24"/>
        </w:rPr>
        <w:t>a pesquisa</w:t>
      </w:r>
      <w:r w:rsidRPr="00704821">
        <w:rPr>
          <w:rFonts w:ascii="Times New Roman" w:hAnsi="Times New Roman" w:cs="Times New Roman"/>
          <w:sz w:val="24"/>
          <w:szCs w:val="24"/>
        </w:rPr>
        <w:t xml:space="preserve"> qualitativa pode descrever a complexidade de determinado problema, analisar a interação de suas variáveis </w:t>
      </w:r>
      <w:r w:rsidR="002E600B" w:rsidRPr="00704821">
        <w:rPr>
          <w:rFonts w:ascii="Times New Roman" w:hAnsi="Times New Roman" w:cs="Times New Roman"/>
          <w:sz w:val="24"/>
          <w:szCs w:val="24"/>
        </w:rPr>
        <w:t>e demanda do pesquisador</w:t>
      </w:r>
      <w:r w:rsidR="00C77498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2E600B" w:rsidRPr="00704821">
        <w:rPr>
          <w:rFonts w:ascii="Times New Roman" w:hAnsi="Times New Roman" w:cs="Times New Roman"/>
          <w:sz w:val="24"/>
          <w:szCs w:val="24"/>
        </w:rPr>
        <w:t xml:space="preserve">a </w:t>
      </w:r>
      <w:r w:rsidR="00C77498" w:rsidRPr="00704821">
        <w:rPr>
          <w:rFonts w:ascii="Times New Roman" w:hAnsi="Times New Roman" w:cs="Times New Roman"/>
          <w:sz w:val="24"/>
          <w:szCs w:val="24"/>
        </w:rPr>
        <w:t xml:space="preserve">interpretação </w:t>
      </w:r>
      <w:r w:rsidR="002E600B" w:rsidRPr="00704821">
        <w:rPr>
          <w:rFonts w:ascii="Times New Roman" w:hAnsi="Times New Roman" w:cs="Times New Roman"/>
          <w:sz w:val="24"/>
          <w:szCs w:val="24"/>
        </w:rPr>
        <w:t>dos dados</w:t>
      </w:r>
      <w:r w:rsidR="00F2635C">
        <w:rPr>
          <w:rFonts w:ascii="Times New Roman" w:hAnsi="Times New Roman" w:cs="Times New Roman"/>
          <w:sz w:val="24"/>
          <w:szCs w:val="24"/>
        </w:rPr>
        <w:t>, além de</w:t>
      </w:r>
      <w:r w:rsidR="002E600B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2635C">
        <w:rPr>
          <w:rFonts w:ascii="Times New Roman" w:hAnsi="Times New Roman" w:cs="Times New Roman"/>
          <w:sz w:val="24"/>
          <w:szCs w:val="24"/>
        </w:rPr>
        <w:t>permitir</w:t>
      </w:r>
      <w:r w:rsidR="00C77498" w:rsidRPr="00704821">
        <w:rPr>
          <w:rFonts w:ascii="Times New Roman" w:hAnsi="Times New Roman" w:cs="Times New Roman"/>
          <w:sz w:val="24"/>
          <w:szCs w:val="24"/>
        </w:rPr>
        <w:t xml:space="preserve"> o uso de confrontações de métodos na busca de evidências, tal como a triangulação de dados.</w:t>
      </w:r>
    </w:p>
    <w:p w14:paraId="6DF2AB16" w14:textId="54FB7DF3" w:rsidR="000550D9" w:rsidRPr="00704821" w:rsidRDefault="00BD3606" w:rsidP="000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Para desenvolver </w:t>
      </w:r>
      <w:r w:rsidR="00503138" w:rsidRPr="00704821">
        <w:rPr>
          <w:rFonts w:ascii="Times New Roman" w:hAnsi="Times New Roman" w:cs="Times New Roman"/>
          <w:sz w:val="24"/>
          <w:szCs w:val="24"/>
        </w:rPr>
        <w:t>a abordagem</w:t>
      </w:r>
      <w:r w:rsidRPr="00704821">
        <w:rPr>
          <w:rFonts w:ascii="Times New Roman" w:hAnsi="Times New Roman" w:cs="Times New Roman"/>
          <w:sz w:val="24"/>
          <w:szCs w:val="24"/>
        </w:rPr>
        <w:t xml:space="preserve"> qualitativa</w:t>
      </w:r>
      <w:r w:rsidR="00503138" w:rsidRPr="00704821">
        <w:rPr>
          <w:rFonts w:ascii="Times New Roman" w:hAnsi="Times New Roman" w:cs="Times New Roman"/>
          <w:sz w:val="24"/>
          <w:szCs w:val="24"/>
        </w:rPr>
        <w:t xml:space="preserve"> na fase de tratamento e análise dos dados,</w:t>
      </w:r>
      <w:r w:rsidRPr="00704821">
        <w:rPr>
          <w:rFonts w:ascii="Times New Roman" w:hAnsi="Times New Roman" w:cs="Times New Roman"/>
          <w:sz w:val="24"/>
          <w:szCs w:val="24"/>
        </w:rPr>
        <w:t xml:space="preserve"> definiu-se </w:t>
      </w:r>
      <w:r w:rsidR="00503138" w:rsidRPr="00704821">
        <w:rPr>
          <w:rFonts w:ascii="Times New Roman" w:hAnsi="Times New Roman" w:cs="Times New Roman"/>
          <w:sz w:val="24"/>
          <w:szCs w:val="24"/>
        </w:rPr>
        <w:t xml:space="preserve">como </w:t>
      </w:r>
      <w:r w:rsidRPr="00704821">
        <w:rPr>
          <w:rFonts w:ascii="Times New Roman" w:hAnsi="Times New Roman" w:cs="Times New Roman"/>
          <w:sz w:val="24"/>
          <w:szCs w:val="24"/>
        </w:rPr>
        <w:t>técnica</w:t>
      </w:r>
      <w:r w:rsidR="00503138" w:rsidRPr="00704821">
        <w:rPr>
          <w:rFonts w:ascii="Times New Roman" w:hAnsi="Times New Roman" w:cs="Times New Roman"/>
          <w:sz w:val="24"/>
          <w:szCs w:val="24"/>
        </w:rPr>
        <w:t xml:space="preserve">, a análise </w:t>
      </w:r>
      <w:r w:rsidRPr="00704821">
        <w:rPr>
          <w:rFonts w:ascii="Times New Roman" w:hAnsi="Times New Roman" w:cs="Times New Roman"/>
          <w:sz w:val="24"/>
          <w:szCs w:val="24"/>
        </w:rPr>
        <w:t>de conteúdo. A a</w:t>
      </w:r>
      <w:r w:rsidR="00A24F81" w:rsidRPr="00704821">
        <w:rPr>
          <w:rFonts w:ascii="Times New Roman" w:hAnsi="Times New Roman" w:cs="Times New Roman"/>
          <w:sz w:val="24"/>
          <w:szCs w:val="24"/>
        </w:rPr>
        <w:t>nálise</w:t>
      </w:r>
      <w:r w:rsidR="009F00E9" w:rsidRPr="00704821">
        <w:rPr>
          <w:rFonts w:ascii="Times New Roman" w:hAnsi="Times New Roman" w:cs="Times New Roman"/>
          <w:sz w:val="24"/>
          <w:szCs w:val="24"/>
        </w:rPr>
        <w:t xml:space="preserve"> de </w:t>
      </w:r>
      <w:r w:rsidRPr="00704821">
        <w:rPr>
          <w:rFonts w:ascii="Times New Roman" w:hAnsi="Times New Roman" w:cs="Times New Roman"/>
          <w:sz w:val="24"/>
          <w:szCs w:val="24"/>
        </w:rPr>
        <w:t>conteúdo</w:t>
      </w:r>
      <w:r w:rsidR="00733820" w:rsidRPr="00704821">
        <w:rPr>
          <w:rFonts w:ascii="Times New Roman" w:hAnsi="Times New Roman" w:cs="Times New Roman"/>
          <w:sz w:val="24"/>
          <w:szCs w:val="24"/>
        </w:rPr>
        <w:t>, como discorre</w:t>
      </w:r>
      <w:r w:rsidR="008F7FC0">
        <w:rPr>
          <w:rFonts w:ascii="Times New Roman" w:hAnsi="Times New Roman" w:cs="Times New Roman"/>
          <w:sz w:val="24"/>
          <w:szCs w:val="24"/>
        </w:rPr>
        <w:t>u</w:t>
      </w:r>
      <w:r w:rsidR="00733820" w:rsidRPr="00704821">
        <w:rPr>
          <w:rFonts w:ascii="Times New Roman" w:hAnsi="Times New Roman" w:cs="Times New Roman"/>
          <w:sz w:val="24"/>
          <w:szCs w:val="24"/>
        </w:rPr>
        <w:t xml:space="preserve"> Bardin (2016</w:t>
      </w:r>
      <w:r w:rsidR="00C77498" w:rsidRPr="00704821">
        <w:rPr>
          <w:rFonts w:ascii="Times New Roman" w:hAnsi="Times New Roman" w:cs="Times New Roman"/>
          <w:sz w:val="24"/>
          <w:szCs w:val="24"/>
        </w:rPr>
        <w:t>)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78165A" w:rsidRPr="00704821">
        <w:rPr>
          <w:rFonts w:ascii="Times New Roman" w:hAnsi="Times New Roman" w:cs="Times New Roman"/>
          <w:sz w:val="24"/>
          <w:szCs w:val="24"/>
        </w:rPr>
        <w:t>consiste n</w:t>
      </w:r>
      <w:r w:rsidR="00A24F81" w:rsidRPr="00704821">
        <w:rPr>
          <w:rFonts w:ascii="Times New Roman" w:hAnsi="Times New Roman" w:cs="Times New Roman"/>
          <w:sz w:val="24"/>
          <w:szCs w:val="24"/>
        </w:rPr>
        <w:t xml:space="preserve">um conjunto de </w:t>
      </w:r>
      <w:r w:rsidR="00462C5A" w:rsidRPr="00704821">
        <w:rPr>
          <w:rFonts w:ascii="Times New Roman" w:hAnsi="Times New Roman" w:cs="Times New Roman"/>
          <w:sz w:val="24"/>
          <w:szCs w:val="24"/>
        </w:rPr>
        <w:t xml:space="preserve">técnicas da </w:t>
      </w:r>
      <w:r w:rsidR="0078165A" w:rsidRPr="00704821">
        <w:rPr>
          <w:rFonts w:ascii="Times New Roman" w:hAnsi="Times New Roman" w:cs="Times New Roman"/>
          <w:sz w:val="24"/>
          <w:szCs w:val="24"/>
        </w:rPr>
        <w:t xml:space="preserve">análise das comunicações, que por meio de </w:t>
      </w:r>
      <w:r w:rsidR="00A24F81" w:rsidRPr="00704821">
        <w:rPr>
          <w:rFonts w:ascii="Times New Roman" w:hAnsi="Times New Roman" w:cs="Times New Roman"/>
          <w:sz w:val="24"/>
          <w:szCs w:val="24"/>
        </w:rPr>
        <w:t xml:space="preserve">procedimentos </w:t>
      </w:r>
      <w:r w:rsidR="00916C32" w:rsidRPr="00704821">
        <w:rPr>
          <w:rFonts w:ascii="Times New Roman" w:hAnsi="Times New Roman" w:cs="Times New Roman"/>
          <w:sz w:val="24"/>
          <w:szCs w:val="24"/>
        </w:rPr>
        <w:t xml:space="preserve">sistemáticos </w:t>
      </w:r>
      <w:r w:rsidR="00BE5477" w:rsidRPr="00704821">
        <w:rPr>
          <w:rFonts w:ascii="Times New Roman" w:hAnsi="Times New Roman" w:cs="Times New Roman"/>
          <w:sz w:val="24"/>
          <w:szCs w:val="24"/>
        </w:rPr>
        <w:t xml:space="preserve">e objetivos </w:t>
      </w:r>
      <w:r w:rsidR="0078165A" w:rsidRPr="00704821">
        <w:rPr>
          <w:rFonts w:ascii="Times New Roman" w:hAnsi="Times New Roman" w:cs="Times New Roman"/>
          <w:sz w:val="24"/>
          <w:szCs w:val="24"/>
        </w:rPr>
        <w:t>de</w:t>
      </w:r>
      <w:r w:rsidR="00855991" w:rsidRPr="00704821">
        <w:rPr>
          <w:rFonts w:ascii="Times New Roman" w:hAnsi="Times New Roman" w:cs="Times New Roman"/>
          <w:sz w:val="24"/>
          <w:szCs w:val="24"/>
        </w:rPr>
        <w:t xml:space="preserve"> descrição</w:t>
      </w:r>
      <w:r w:rsidR="00916C32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855991" w:rsidRPr="00704821">
        <w:rPr>
          <w:rFonts w:ascii="Times New Roman" w:hAnsi="Times New Roman" w:cs="Times New Roman"/>
          <w:sz w:val="24"/>
          <w:szCs w:val="24"/>
        </w:rPr>
        <w:t>do conteúdo das mensagens</w:t>
      </w:r>
      <w:r w:rsidR="00BE5477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78165A" w:rsidRPr="00704821">
        <w:rPr>
          <w:rFonts w:ascii="Times New Roman" w:hAnsi="Times New Roman" w:cs="Times New Roman"/>
          <w:sz w:val="24"/>
          <w:szCs w:val="24"/>
        </w:rPr>
        <w:t>tem</w:t>
      </w:r>
      <w:r w:rsidR="00BE5477" w:rsidRPr="00704821">
        <w:rPr>
          <w:rFonts w:ascii="Times New Roman" w:hAnsi="Times New Roman" w:cs="Times New Roman"/>
          <w:sz w:val="24"/>
          <w:szCs w:val="24"/>
        </w:rPr>
        <w:t xml:space="preserve"> a finalidade de inferir conhecimentos relativos às condições de uma produção.</w:t>
      </w:r>
      <w:r w:rsidR="0078165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D87EBA" w:rsidRPr="00704821">
        <w:rPr>
          <w:rFonts w:ascii="Times New Roman" w:hAnsi="Times New Roman" w:cs="Times New Roman"/>
          <w:sz w:val="24"/>
          <w:szCs w:val="24"/>
        </w:rPr>
        <w:t xml:space="preserve">Para que a </w:t>
      </w:r>
      <w:r w:rsidRPr="00704821">
        <w:rPr>
          <w:rFonts w:ascii="Times New Roman" w:hAnsi="Times New Roman" w:cs="Times New Roman"/>
          <w:sz w:val="24"/>
          <w:szCs w:val="24"/>
        </w:rPr>
        <w:t xml:space="preserve">análise </w:t>
      </w:r>
      <w:r w:rsidR="00D87EBA" w:rsidRPr="00704821">
        <w:rPr>
          <w:rFonts w:ascii="Times New Roman" w:hAnsi="Times New Roman" w:cs="Times New Roman"/>
          <w:sz w:val="24"/>
          <w:szCs w:val="24"/>
        </w:rPr>
        <w:t xml:space="preserve">de </w:t>
      </w:r>
      <w:r w:rsidRPr="00704821">
        <w:rPr>
          <w:rFonts w:ascii="Times New Roman" w:hAnsi="Times New Roman" w:cs="Times New Roman"/>
          <w:sz w:val="24"/>
          <w:szCs w:val="24"/>
        </w:rPr>
        <w:t xml:space="preserve">conteúdo </w:t>
      </w:r>
      <w:r w:rsidR="0097536C" w:rsidRPr="00704821">
        <w:rPr>
          <w:rFonts w:ascii="Times New Roman" w:hAnsi="Times New Roman" w:cs="Times New Roman"/>
          <w:sz w:val="24"/>
          <w:szCs w:val="24"/>
        </w:rPr>
        <w:t>pudesse</w:t>
      </w:r>
      <w:r w:rsidR="00D87EBA" w:rsidRPr="00704821">
        <w:rPr>
          <w:rFonts w:ascii="Times New Roman" w:hAnsi="Times New Roman" w:cs="Times New Roman"/>
          <w:sz w:val="24"/>
          <w:szCs w:val="24"/>
        </w:rPr>
        <w:t xml:space="preserve"> ser realizada, </w:t>
      </w:r>
      <w:r w:rsidR="0097536C" w:rsidRPr="00704821">
        <w:rPr>
          <w:rFonts w:ascii="Times New Roman" w:hAnsi="Times New Roman" w:cs="Times New Roman"/>
          <w:sz w:val="24"/>
          <w:szCs w:val="24"/>
        </w:rPr>
        <w:t>foi</w:t>
      </w:r>
      <w:r w:rsidR="00D87EBA" w:rsidRPr="00704821">
        <w:rPr>
          <w:rFonts w:ascii="Times New Roman" w:hAnsi="Times New Roman" w:cs="Times New Roman"/>
          <w:sz w:val="24"/>
          <w:szCs w:val="24"/>
        </w:rPr>
        <w:t xml:space="preserve"> necessário que os documentos possu</w:t>
      </w:r>
      <w:r w:rsidR="0097536C" w:rsidRPr="00704821">
        <w:rPr>
          <w:rFonts w:ascii="Times New Roman" w:hAnsi="Times New Roman" w:cs="Times New Roman"/>
          <w:sz w:val="24"/>
          <w:szCs w:val="24"/>
        </w:rPr>
        <w:t>ísse</w:t>
      </w:r>
      <w:r w:rsidR="00D87EBA" w:rsidRPr="00704821">
        <w:rPr>
          <w:rFonts w:ascii="Times New Roman" w:hAnsi="Times New Roman" w:cs="Times New Roman"/>
          <w:sz w:val="24"/>
          <w:szCs w:val="24"/>
        </w:rPr>
        <w:t>m alguns critérios comuns, ou analogias</w:t>
      </w:r>
      <w:r w:rsidR="008F7FC0">
        <w:rPr>
          <w:rFonts w:ascii="Times New Roman" w:hAnsi="Times New Roman" w:cs="Times New Roman"/>
          <w:sz w:val="24"/>
          <w:szCs w:val="24"/>
        </w:rPr>
        <w:t>,</w:t>
      </w:r>
      <w:r w:rsidR="00D87EBA" w:rsidRPr="00704821">
        <w:rPr>
          <w:rFonts w:ascii="Times New Roman" w:hAnsi="Times New Roman" w:cs="Times New Roman"/>
          <w:sz w:val="24"/>
          <w:szCs w:val="24"/>
        </w:rPr>
        <w:t xml:space="preserve"> no seu conteúdo</w:t>
      </w:r>
      <w:r w:rsidR="000E4D1A" w:rsidRPr="00704821">
        <w:rPr>
          <w:rFonts w:ascii="Times New Roman" w:hAnsi="Times New Roman" w:cs="Times New Roman"/>
          <w:sz w:val="24"/>
          <w:szCs w:val="24"/>
        </w:rPr>
        <w:t xml:space="preserve"> (regra da homogeneidade)</w:t>
      </w:r>
      <w:r w:rsidR="00D87EBA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Pr="00704821">
        <w:rPr>
          <w:rFonts w:ascii="Times New Roman" w:hAnsi="Times New Roman" w:cs="Times New Roman"/>
          <w:sz w:val="24"/>
          <w:szCs w:val="24"/>
        </w:rPr>
        <w:t xml:space="preserve">Para atender </w:t>
      </w:r>
      <w:r w:rsidR="00C77498" w:rsidRPr="00704821">
        <w:rPr>
          <w:rFonts w:ascii="Times New Roman" w:hAnsi="Times New Roman" w:cs="Times New Roman"/>
          <w:sz w:val="24"/>
          <w:szCs w:val="24"/>
        </w:rPr>
        <w:t xml:space="preserve">o princípio da </w:t>
      </w:r>
      <w:r w:rsidRPr="00704821">
        <w:rPr>
          <w:rFonts w:ascii="Times New Roman" w:hAnsi="Times New Roman" w:cs="Times New Roman"/>
          <w:sz w:val="24"/>
          <w:szCs w:val="24"/>
        </w:rPr>
        <w:t xml:space="preserve">homogeneidade, </w:t>
      </w:r>
      <w:r w:rsidR="00C77498" w:rsidRPr="00704821">
        <w:rPr>
          <w:rFonts w:ascii="Times New Roman" w:hAnsi="Times New Roman" w:cs="Times New Roman"/>
          <w:sz w:val="24"/>
          <w:szCs w:val="24"/>
        </w:rPr>
        <w:t>considerou-se o fato de que o FR segue a estrutura d</w:t>
      </w:r>
      <w:r w:rsidR="00D87EBA" w:rsidRPr="00704821">
        <w:rPr>
          <w:rFonts w:ascii="Times New Roman" w:hAnsi="Times New Roman" w:cs="Times New Roman"/>
          <w:sz w:val="24"/>
          <w:szCs w:val="24"/>
        </w:rPr>
        <w:t>a IN CVM</w:t>
      </w:r>
      <w:r w:rsidR="00DB5A9F" w:rsidRPr="00704821">
        <w:rPr>
          <w:rFonts w:ascii="Times New Roman" w:hAnsi="Times New Roman" w:cs="Times New Roman"/>
          <w:sz w:val="24"/>
          <w:szCs w:val="24"/>
        </w:rPr>
        <w:t xml:space="preserve"> 480/09 e os </w:t>
      </w:r>
      <w:r w:rsidR="00C77498" w:rsidRPr="00704821">
        <w:rPr>
          <w:rFonts w:ascii="Times New Roman" w:hAnsi="Times New Roman" w:cs="Times New Roman"/>
          <w:sz w:val="24"/>
          <w:szCs w:val="24"/>
        </w:rPr>
        <w:t>RI</w:t>
      </w:r>
      <w:r w:rsidR="00D87EB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AE5757" w:rsidRPr="00704821">
        <w:rPr>
          <w:rFonts w:ascii="Times New Roman" w:hAnsi="Times New Roman" w:cs="Times New Roman"/>
          <w:sz w:val="24"/>
          <w:szCs w:val="24"/>
        </w:rPr>
        <w:t xml:space="preserve">são efetuados </w:t>
      </w:r>
      <w:r w:rsidR="008F7FC0">
        <w:rPr>
          <w:rFonts w:ascii="Times New Roman" w:hAnsi="Times New Roman" w:cs="Times New Roman"/>
          <w:sz w:val="24"/>
          <w:szCs w:val="24"/>
        </w:rPr>
        <w:t xml:space="preserve">sob </w:t>
      </w:r>
      <w:r w:rsidR="00D87EBA" w:rsidRPr="00704821">
        <w:rPr>
          <w:rFonts w:ascii="Times New Roman" w:hAnsi="Times New Roman" w:cs="Times New Roman"/>
          <w:sz w:val="24"/>
          <w:szCs w:val="24"/>
        </w:rPr>
        <w:t>o IIRC</w:t>
      </w:r>
      <w:r w:rsidR="00AE5757" w:rsidRPr="00704821">
        <w:rPr>
          <w:rFonts w:ascii="Times New Roman" w:hAnsi="Times New Roman" w:cs="Times New Roman"/>
          <w:sz w:val="24"/>
          <w:szCs w:val="24"/>
        </w:rPr>
        <w:t xml:space="preserve"> (2014).</w:t>
      </w:r>
    </w:p>
    <w:p w14:paraId="119A68E0" w14:textId="5A9A7A92" w:rsidR="00A24F81" w:rsidRPr="00704821" w:rsidRDefault="00F915A0" w:rsidP="00F9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A </w:t>
      </w:r>
      <w:r w:rsidR="00BD3606" w:rsidRPr="00704821">
        <w:rPr>
          <w:rFonts w:ascii="Times New Roman" w:hAnsi="Times New Roman" w:cs="Times New Roman"/>
          <w:sz w:val="24"/>
          <w:szCs w:val="24"/>
        </w:rPr>
        <w:t xml:space="preserve">análise </w:t>
      </w:r>
      <w:r w:rsidRPr="00704821">
        <w:rPr>
          <w:rFonts w:ascii="Times New Roman" w:hAnsi="Times New Roman" w:cs="Times New Roman"/>
          <w:sz w:val="24"/>
          <w:szCs w:val="24"/>
        </w:rPr>
        <w:t xml:space="preserve">de </w:t>
      </w:r>
      <w:r w:rsidR="00BD3606" w:rsidRPr="00704821">
        <w:rPr>
          <w:rFonts w:ascii="Times New Roman" w:hAnsi="Times New Roman" w:cs="Times New Roman"/>
          <w:sz w:val="24"/>
          <w:szCs w:val="24"/>
        </w:rPr>
        <w:t xml:space="preserve">conteúdo </w:t>
      </w:r>
      <w:r w:rsidR="0097536C" w:rsidRPr="00704821">
        <w:rPr>
          <w:rFonts w:ascii="Times New Roman" w:hAnsi="Times New Roman" w:cs="Times New Roman"/>
          <w:sz w:val="24"/>
          <w:szCs w:val="24"/>
        </w:rPr>
        <w:t>foi</w:t>
      </w:r>
      <w:r w:rsidRPr="00704821">
        <w:rPr>
          <w:rFonts w:ascii="Times New Roman" w:hAnsi="Times New Roman" w:cs="Times New Roman"/>
          <w:sz w:val="24"/>
          <w:szCs w:val="24"/>
        </w:rPr>
        <w:t xml:space="preserve"> realizada em 3 etapas: (a) a pré-análise, que corresponde</w:t>
      </w:r>
      <w:r w:rsidR="00A24F81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a escolha dos documentos (</w:t>
      </w:r>
      <w:r w:rsidRPr="00704821">
        <w:rPr>
          <w:rFonts w:ascii="Times New Roman" w:hAnsi="Times New Roman" w:cs="Times New Roman"/>
          <w:i/>
          <w:sz w:val="24"/>
          <w:szCs w:val="24"/>
        </w:rPr>
        <w:t>corpus</w:t>
      </w:r>
      <w:r w:rsidRPr="00704821">
        <w:rPr>
          <w:rFonts w:ascii="Times New Roman" w:hAnsi="Times New Roman" w:cs="Times New Roman"/>
          <w:sz w:val="24"/>
          <w:szCs w:val="24"/>
        </w:rPr>
        <w:t>), a formulação das categorias e a elaboração de indicadores que fundamentem a interpretação final</w:t>
      </w:r>
      <w:r w:rsidR="004150DD" w:rsidRPr="00704821">
        <w:rPr>
          <w:rFonts w:ascii="Times New Roman" w:hAnsi="Times New Roman" w:cs="Times New Roman"/>
          <w:sz w:val="24"/>
          <w:szCs w:val="24"/>
        </w:rPr>
        <w:t>,</w:t>
      </w:r>
      <w:r w:rsidR="00A24F81" w:rsidRPr="00704821">
        <w:rPr>
          <w:rFonts w:ascii="Times New Roman" w:hAnsi="Times New Roman" w:cs="Times New Roman"/>
          <w:sz w:val="24"/>
          <w:szCs w:val="24"/>
        </w:rPr>
        <w:t xml:space="preserve"> (b) a exploração do material</w:t>
      </w:r>
      <w:r w:rsidR="00A17BEE" w:rsidRPr="00704821">
        <w:rPr>
          <w:rFonts w:ascii="Times New Roman" w:hAnsi="Times New Roman" w:cs="Times New Roman"/>
          <w:sz w:val="24"/>
          <w:szCs w:val="24"/>
        </w:rPr>
        <w:t>, correspondendo a</w:t>
      </w:r>
      <w:r w:rsidR="00A24F81" w:rsidRPr="00704821">
        <w:rPr>
          <w:rFonts w:ascii="Times New Roman" w:hAnsi="Times New Roman" w:cs="Times New Roman"/>
          <w:sz w:val="24"/>
          <w:szCs w:val="24"/>
        </w:rPr>
        <w:t xml:space="preserve"> realização da leitura do material transcrito para e codificação</w:t>
      </w:r>
      <w:r w:rsidR="00522328" w:rsidRPr="00704821">
        <w:rPr>
          <w:rFonts w:ascii="Times New Roman" w:hAnsi="Times New Roman" w:cs="Times New Roman"/>
          <w:sz w:val="24"/>
          <w:szCs w:val="24"/>
        </w:rPr>
        <w:t>, enumeração</w:t>
      </w:r>
      <w:r w:rsidR="00A24F81" w:rsidRPr="00704821">
        <w:rPr>
          <w:rFonts w:ascii="Times New Roman" w:hAnsi="Times New Roman" w:cs="Times New Roman"/>
          <w:sz w:val="24"/>
          <w:szCs w:val="24"/>
        </w:rPr>
        <w:t xml:space="preserve"> dos dados perante as categorias e os critérios de análise</w:t>
      </w:r>
      <w:r w:rsidR="004150DD" w:rsidRPr="00704821">
        <w:rPr>
          <w:rFonts w:ascii="Times New Roman" w:hAnsi="Times New Roman" w:cs="Times New Roman"/>
          <w:sz w:val="24"/>
          <w:szCs w:val="24"/>
        </w:rPr>
        <w:t xml:space="preserve"> e</w:t>
      </w:r>
      <w:r w:rsidR="00A24F81" w:rsidRPr="007048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24F81" w:rsidRPr="00704821">
        <w:rPr>
          <w:rFonts w:ascii="Times New Roman" w:hAnsi="Times New Roman" w:cs="Times New Roman"/>
          <w:sz w:val="24"/>
          <w:szCs w:val="24"/>
        </w:rPr>
        <w:t>(c) tratamento dos resultados, inferência e interpretação dos resultados interpretados</w:t>
      </w:r>
      <w:r w:rsidR="00A24F81" w:rsidRPr="00704821">
        <w:t xml:space="preserve"> (</w:t>
      </w:r>
      <w:r w:rsidR="00906017" w:rsidRPr="00704821">
        <w:rPr>
          <w:rFonts w:ascii="Times New Roman" w:hAnsi="Times New Roman" w:cs="Times New Roman"/>
          <w:sz w:val="24"/>
          <w:szCs w:val="24"/>
        </w:rPr>
        <w:t>BARDIN</w:t>
      </w:r>
      <w:r w:rsidR="00A24F81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733820" w:rsidRPr="00704821">
        <w:rPr>
          <w:rFonts w:ascii="Times New Roman" w:hAnsi="Times New Roman" w:cs="Times New Roman"/>
          <w:sz w:val="24"/>
          <w:szCs w:val="24"/>
        </w:rPr>
        <w:t>2016</w:t>
      </w:r>
      <w:r w:rsidR="00A24F81" w:rsidRPr="0070482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BB612D8" w14:textId="6C758610" w:rsidR="00765A86" w:rsidRPr="00704821" w:rsidRDefault="0097536C" w:rsidP="00765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Para realizar a</w:t>
      </w:r>
      <w:r w:rsidR="00372CB7" w:rsidRPr="00704821">
        <w:rPr>
          <w:rFonts w:ascii="Times New Roman" w:hAnsi="Times New Roman" w:cs="Times New Roman"/>
          <w:sz w:val="24"/>
          <w:szCs w:val="24"/>
        </w:rPr>
        <w:t xml:space="preserve"> pré-análise</w:t>
      </w:r>
      <w:r w:rsidR="00BF1DC1" w:rsidRPr="00704821">
        <w:rPr>
          <w:rFonts w:ascii="Times New Roman" w:hAnsi="Times New Roman" w:cs="Times New Roman"/>
          <w:sz w:val="24"/>
          <w:szCs w:val="24"/>
        </w:rPr>
        <w:t xml:space="preserve"> (etapa a)</w:t>
      </w:r>
      <w:r w:rsidR="00765A86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152AB9" w:rsidRPr="00704821">
        <w:rPr>
          <w:rFonts w:ascii="Times New Roman" w:hAnsi="Times New Roman" w:cs="Times New Roman"/>
          <w:sz w:val="24"/>
          <w:szCs w:val="24"/>
        </w:rPr>
        <w:t xml:space="preserve">e </w:t>
      </w:r>
      <w:r w:rsidR="00D040CB" w:rsidRPr="00704821">
        <w:rPr>
          <w:rFonts w:ascii="Times New Roman" w:hAnsi="Times New Roman" w:cs="Times New Roman"/>
          <w:sz w:val="24"/>
          <w:szCs w:val="24"/>
        </w:rPr>
        <w:t>conforme observa-se no Quadro 2</w:t>
      </w:r>
      <w:r w:rsidR="00152AB9" w:rsidRPr="00704821">
        <w:rPr>
          <w:rFonts w:ascii="Times New Roman" w:hAnsi="Times New Roman" w:cs="Times New Roman"/>
          <w:sz w:val="24"/>
          <w:szCs w:val="24"/>
        </w:rPr>
        <w:t>,</w:t>
      </w:r>
      <w:r w:rsidR="00D040CB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372CB7" w:rsidRPr="00704821">
        <w:rPr>
          <w:rFonts w:ascii="Times New Roman" w:hAnsi="Times New Roman" w:cs="Times New Roman"/>
          <w:sz w:val="24"/>
          <w:szCs w:val="24"/>
        </w:rPr>
        <w:t xml:space="preserve">foi </w:t>
      </w:r>
      <w:r w:rsidRPr="00704821">
        <w:rPr>
          <w:rFonts w:ascii="Times New Roman" w:hAnsi="Times New Roman" w:cs="Times New Roman"/>
          <w:sz w:val="24"/>
          <w:szCs w:val="24"/>
        </w:rPr>
        <w:t>proposta</w:t>
      </w:r>
      <w:r w:rsidR="00D040CB" w:rsidRPr="00704821">
        <w:rPr>
          <w:rFonts w:ascii="Times New Roman" w:hAnsi="Times New Roman" w:cs="Times New Roman"/>
          <w:sz w:val="24"/>
          <w:szCs w:val="24"/>
        </w:rPr>
        <w:t xml:space="preserve"> 1 </w:t>
      </w:r>
      <w:r w:rsidR="00765A86" w:rsidRPr="00704821">
        <w:rPr>
          <w:rFonts w:ascii="Times New Roman" w:hAnsi="Times New Roman" w:cs="Times New Roman"/>
          <w:sz w:val="24"/>
          <w:szCs w:val="24"/>
        </w:rPr>
        <w:t xml:space="preserve">Categoria, </w:t>
      </w:r>
      <w:r w:rsidR="007E03F2" w:rsidRPr="00704821">
        <w:rPr>
          <w:rFonts w:ascii="Times New Roman" w:hAnsi="Times New Roman" w:cs="Times New Roman"/>
          <w:sz w:val="24"/>
          <w:szCs w:val="24"/>
        </w:rPr>
        <w:t xml:space="preserve">denominada Princípios e Objetivos da </w:t>
      </w:r>
      <w:r w:rsidR="00372CB7" w:rsidRPr="00704821">
        <w:rPr>
          <w:rFonts w:ascii="Times New Roman" w:hAnsi="Times New Roman" w:cs="Times New Roman"/>
          <w:sz w:val="24"/>
          <w:szCs w:val="24"/>
        </w:rPr>
        <w:t>RSC advindos da PNRS</w:t>
      </w:r>
      <w:r w:rsidRPr="00704821">
        <w:rPr>
          <w:rFonts w:ascii="Times New Roman" w:hAnsi="Times New Roman" w:cs="Times New Roman"/>
          <w:sz w:val="24"/>
          <w:szCs w:val="24"/>
        </w:rPr>
        <w:t>. Essa Categoria</w:t>
      </w:r>
      <w:r w:rsidR="007E03F2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foi</w:t>
      </w:r>
      <w:r w:rsidR="007E03F2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D040CB" w:rsidRPr="00704821">
        <w:rPr>
          <w:rFonts w:ascii="Times New Roman" w:hAnsi="Times New Roman" w:cs="Times New Roman"/>
          <w:sz w:val="24"/>
          <w:szCs w:val="24"/>
        </w:rPr>
        <w:t>composta por 32</w:t>
      </w:r>
      <w:r w:rsidR="00927E98" w:rsidRPr="00704821">
        <w:rPr>
          <w:rFonts w:ascii="Times New Roman" w:hAnsi="Times New Roman" w:cs="Times New Roman"/>
          <w:sz w:val="24"/>
          <w:szCs w:val="24"/>
        </w:rPr>
        <w:t xml:space="preserve"> Unidades de Análise (UA) </w:t>
      </w:r>
      <w:r w:rsidR="00D040CB" w:rsidRPr="00704821">
        <w:rPr>
          <w:rFonts w:ascii="Times New Roman" w:hAnsi="Times New Roman" w:cs="Times New Roman"/>
          <w:sz w:val="24"/>
          <w:szCs w:val="24"/>
        </w:rPr>
        <w:t>elaboradas com base</w:t>
      </w:r>
      <w:r w:rsidR="00152AB9" w:rsidRPr="00704821">
        <w:rPr>
          <w:rFonts w:ascii="Times New Roman" w:hAnsi="Times New Roman" w:cs="Times New Roman"/>
          <w:sz w:val="24"/>
          <w:szCs w:val="24"/>
        </w:rPr>
        <w:t xml:space="preserve"> nos artigos </w:t>
      </w:r>
      <w:r w:rsidR="000D0CA0">
        <w:rPr>
          <w:rFonts w:ascii="Times New Roman" w:hAnsi="Times New Roman" w:cs="Times New Roman"/>
          <w:sz w:val="24"/>
          <w:szCs w:val="24"/>
        </w:rPr>
        <w:t>nº 6</w:t>
      </w:r>
      <w:r w:rsidR="00152AB9" w:rsidRPr="00704821">
        <w:rPr>
          <w:rFonts w:ascii="Times New Roman" w:hAnsi="Times New Roman" w:cs="Times New Roman"/>
          <w:sz w:val="24"/>
          <w:szCs w:val="24"/>
        </w:rPr>
        <w:t xml:space="preserve"> e </w:t>
      </w:r>
      <w:r w:rsidR="000D0CA0">
        <w:rPr>
          <w:rFonts w:ascii="Times New Roman" w:hAnsi="Times New Roman" w:cs="Times New Roman"/>
          <w:sz w:val="24"/>
          <w:szCs w:val="24"/>
        </w:rPr>
        <w:t>nº 7</w:t>
      </w:r>
      <w:r w:rsidR="00D040CB" w:rsidRPr="00704821">
        <w:rPr>
          <w:rFonts w:ascii="Times New Roman" w:hAnsi="Times New Roman" w:cs="Times New Roman"/>
          <w:sz w:val="24"/>
          <w:szCs w:val="24"/>
        </w:rPr>
        <w:t xml:space="preserve"> da</w:t>
      </w:r>
      <w:r w:rsidR="00927E98" w:rsidRPr="00704821">
        <w:rPr>
          <w:rFonts w:ascii="Times New Roman" w:hAnsi="Times New Roman" w:cs="Times New Roman"/>
          <w:sz w:val="24"/>
          <w:szCs w:val="24"/>
        </w:rPr>
        <w:t xml:space="preserve"> Lei da PNRS, que tratam, respectivamente, dos princípios e objetivos dessa </w:t>
      </w:r>
      <w:r w:rsidR="00344E0E" w:rsidRPr="00704821">
        <w:rPr>
          <w:rFonts w:ascii="Times New Roman" w:hAnsi="Times New Roman" w:cs="Times New Roman"/>
          <w:sz w:val="24"/>
          <w:szCs w:val="24"/>
        </w:rPr>
        <w:t>Lei</w:t>
      </w:r>
      <w:r w:rsidR="00927E98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744B393D" w14:textId="04DFBBFF" w:rsidR="00985B48" w:rsidRPr="00704821" w:rsidRDefault="00985B48" w:rsidP="00765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3F9DB" w14:textId="77777777" w:rsidR="00B90FBB" w:rsidRPr="00704821" w:rsidRDefault="00B90FBB" w:rsidP="00B90F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821">
        <w:rPr>
          <w:rFonts w:ascii="Times New Roman" w:hAnsi="Times New Roman" w:cs="Times New Roman"/>
          <w:sz w:val="20"/>
          <w:szCs w:val="20"/>
        </w:rPr>
        <w:t>Quadro 2 – Unidades de Registro da Análise de Conteúdo.</w:t>
      </w:r>
    </w:p>
    <w:tbl>
      <w:tblPr>
        <w:tblStyle w:val="Tabelacomgrade"/>
        <w:tblW w:w="4865" w:type="pct"/>
        <w:jc w:val="center"/>
        <w:tblLook w:val="04A0" w:firstRow="1" w:lastRow="0" w:firstColumn="1" w:lastColumn="0" w:noHBand="0" w:noVBand="1"/>
      </w:tblPr>
      <w:tblGrid>
        <w:gridCol w:w="505"/>
        <w:gridCol w:w="2600"/>
        <w:gridCol w:w="1530"/>
        <w:gridCol w:w="533"/>
        <w:gridCol w:w="2601"/>
        <w:gridCol w:w="1267"/>
      </w:tblGrid>
      <w:tr w:rsidR="00BD3606" w:rsidRPr="00704821" w14:paraId="23C685C2" w14:textId="77777777" w:rsidTr="00704821"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72438808" w14:textId="34F880ED" w:rsidR="00BD3606" w:rsidRPr="00704821" w:rsidRDefault="00BD3606" w:rsidP="003906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Categoria: </w:t>
            </w:r>
            <w:r w:rsidR="00372CB7"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Princípios e Objetivos da RSC advindos da PNRS</w:t>
            </w:r>
          </w:p>
        </w:tc>
      </w:tr>
      <w:tr w:rsidR="00B66CBD" w:rsidRPr="00704821" w14:paraId="5B479588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center"/>
          </w:tcPr>
          <w:p w14:paraId="02529BD3" w14:textId="178BF803" w:rsidR="00B66CBD" w:rsidRPr="00704821" w:rsidRDefault="00BF1845" w:rsidP="0039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UA</w:t>
            </w:r>
          </w:p>
        </w:tc>
        <w:tc>
          <w:tcPr>
            <w:tcW w:w="1439" w:type="pct"/>
            <w:shd w:val="clear" w:color="auto" w:fill="D0CECE" w:themeFill="background2" w:themeFillShade="E6"/>
            <w:vAlign w:val="center"/>
          </w:tcPr>
          <w:p w14:paraId="3630A3FA" w14:textId="77777777" w:rsidR="00B66CBD" w:rsidRPr="00704821" w:rsidRDefault="00B66CBD" w:rsidP="0039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Unidade de </w:t>
            </w:r>
            <w:r w:rsidR="0039065F" w:rsidRPr="007048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847" w:type="pct"/>
            <w:shd w:val="clear" w:color="auto" w:fill="D0CECE" w:themeFill="background2" w:themeFillShade="E6"/>
            <w:vAlign w:val="center"/>
          </w:tcPr>
          <w:p w14:paraId="030F7BC1" w14:textId="77777777" w:rsidR="00B66CBD" w:rsidRPr="00704821" w:rsidRDefault="00B66CBD" w:rsidP="0039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Fonte (PNRS)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center"/>
          </w:tcPr>
          <w:p w14:paraId="040B3BA3" w14:textId="6FB65318" w:rsidR="00B66CBD" w:rsidRPr="00704821" w:rsidRDefault="00BF1845" w:rsidP="0039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UA</w:t>
            </w:r>
          </w:p>
        </w:tc>
        <w:tc>
          <w:tcPr>
            <w:tcW w:w="1439" w:type="pct"/>
            <w:shd w:val="clear" w:color="auto" w:fill="D0CECE" w:themeFill="background2" w:themeFillShade="E6"/>
            <w:vAlign w:val="center"/>
          </w:tcPr>
          <w:p w14:paraId="3DFB8940" w14:textId="77777777" w:rsidR="00B66CBD" w:rsidRPr="00704821" w:rsidRDefault="0039065F" w:rsidP="0039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Unidade de Registro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75CD2D16" w14:textId="77777777" w:rsidR="00B66CBD" w:rsidRPr="00704821" w:rsidRDefault="00B66CBD" w:rsidP="003906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Fonte (PNRS)</w:t>
            </w:r>
          </w:p>
        </w:tc>
      </w:tr>
      <w:tr w:rsidR="00B66CBD" w:rsidRPr="00704821" w14:paraId="3C287BE3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64407C03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9" w:type="pct"/>
            <w:vAlign w:val="center"/>
          </w:tcPr>
          <w:p w14:paraId="18E277BA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Acesso à informação (controle social)</w:t>
            </w:r>
          </w:p>
        </w:tc>
        <w:tc>
          <w:tcPr>
            <w:tcW w:w="847" w:type="pct"/>
            <w:vAlign w:val="bottom"/>
          </w:tcPr>
          <w:p w14:paraId="4317DEFB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X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05D216CF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39" w:type="pct"/>
            <w:vAlign w:val="bottom"/>
          </w:tcPr>
          <w:p w14:paraId="67C1AB95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Proteção da Saúde Pública</w:t>
            </w:r>
          </w:p>
        </w:tc>
        <w:tc>
          <w:tcPr>
            <w:tcW w:w="701" w:type="pct"/>
            <w:vAlign w:val="bottom"/>
          </w:tcPr>
          <w:p w14:paraId="0BE06FAA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7 Item I</w:t>
            </w:r>
          </w:p>
        </w:tc>
      </w:tr>
      <w:tr w:rsidR="00B66CBD" w:rsidRPr="00704821" w14:paraId="07E8E029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782596F7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9" w:type="pct"/>
            <w:vAlign w:val="center"/>
          </w:tcPr>
          <w:p w14:paraId="551D8A53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Acesso à informação (direito do cidadão)</w:t>
            </w:r>
          </w:p>
        </w:tc>
        <w:tc>
          <w:tcPr>
            <w:tcW w:w="847" w:type="pct"/>
            <w:vAlign w:val="bottom"/>
          </w:tcPr>
          <w:p w14:paraId="69507116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X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4E0F3827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39" w:type="pct"/>
            <w:vAlign w:val="bottom"/>
          </w:tcPr>
          <w:p w14:paraId="38E9FDDF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Proteção Qualidade Ambiental</w:t>
            </w:r>
          </w:p>
        </w:tc>
        <w:tc>
          <w:tcPr>
            <w:tcW w:w="701" w:type="pct"/>
            <w:vAlign w:val="bottom"/>
          </w:tcPr>
          <w:p w14:paraId="03BD155A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7 Item I</w:t>
            </w:r>
          </w:p>
        </w:tc>
      </w:tr>
      <w:tr w:rsidR="00B66CBD" w:rsidRPr="00704821" w14:paraId="63771FB0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0BEC3CCB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9" w:type="pct"/>
            <w:vAlign w:val="bottom"/>
          </w:tcPr>
          <w:p w14:paraId="00E4FE8F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Capacitação Técnica Continuada (área de resíduos)</w:t>
            </w:r>
          </w:p>
        </w:tc>
        <w:tc>
          <w:tcPr>
            <w:tcW w:w="847" w:type="pct"/>
            <w:vAlign w:val="bottom"/>
          </w:tcPr>
          <w:p w14:paraId="6C065A03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7 Item IX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4AB8096B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39" w:type="pct"/>
            <w:vAlign w:val="center"/>
          </w:tcPr>
          <w:p w14:paraId="114E3BA5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Protetor-Recebedor</w:t>
            </w:r>
          </w:p>
        </w:tc>
        <w:tc>
          <w:tcPr>
            <w:tcW w:w="701" w:type="pct"/>
            <w:vAlign w:val="bottom"/>
          </w:tcPr>
          <w:p w14:paraId="0152E064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II</w:t>
            </w:r>
          </w:p>
        </w:tc>
      </w:tr>
      <w:tr w:rsidR="00B66CBD" w:rsidRPr="00704821" w14:paraId="243C3AA1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6C078817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9" w:type="pct"/>
            <w:vAlign w:val="center"/>
          </w:tcPr>
          <w:p w14:paraId="77FCC7E6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Cooperação com Empresas</w:t>
            </w:r>
          </w:p>
        </w:tc>
        <w:tc>
          <w:tcPr>
            <w:tcW w:w="847" w:type="pct"/>
            <w:vAlign w:val="bottom"/>
          </w:tcPr>
          <w:p w14:paraId="378DB1F9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art. 6 Item VI, art. 7 Item VIII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51F17B31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9" w:type="pct"/>
            <w:vAlign w:val="center"/>
          </w:tcPr>
          <w:p w14:paraId="380FE98F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Razoabilidade e Proporcionalidade</w:t>
            </w:r>
          </w:p>
        </w:tc>
        <w:tc>
          <w:tcPr>
            <w:tcW w:w="701" w:type="pct"/>
            <w:vAlign w:val="bottom"/>
          </w:tcPr>
          <w:p w14:paraId="557FD5DC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XI</w:t>
            </w:r>
          </w:p>
        </w:tc>
      </w:tr>
      <w:tr w:rsidR="00B66CBD" w:rsidRPr="00704821" w14:paraId="4C787154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35A206EF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9" w:type="pct"/>
            <w:vAlign w:val="center"/>
          </w:tcPr>
          <w:p w14:paraId="23F0CD80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Cooperação com Governo</w:t>
            </w:r>
          </w:p>
        </w:tc>
        <w:tc>
          <w:tcPr>
            <w:tcW w:w="847" w:type="pct"/>
            <w:vAlign w:val="bottom"/>
          </w:tcPr>
          <w:p w14:paraId="680876B2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art. 6 Item VI, art. 7 Item VIII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27BE8AA5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39" w:type="pct"/>
            <w:vAlign w:val="center"/>
          </w:tcPr>
          <w:p w14:paraId="53D998B5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Reciclagem (bem econômico)</w:t>
            </w:r>
          </w:p>
        </w:tc>
        <w:tc>
          <w:tcPr>
            <w:tcW w:w="701" w:type="pct"/>
            <w:vAlign w:val="bottom"/>
          </w:tcPr>
          <w:p w14:paraId="5DC43D81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VIII</w:t>
            </w:r>
          </w:p>
        </w:tc>
      </w:tr>
      <w:tr w:rsidR="00B66CBD" w:rsidRPr="00704821" w14:paraId="2CAFF92C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43A079D5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9" w:type="pct"/>
            <w:vAlign w:val="center"/>
          </w:tcPr>
          <w:p w14:paraId="7E6EC3CE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Cooperação com Sociedade</w:t>
            </w:r>
          </w:p>
        </w:tc>
        <w:tc>
          <w:tcPr>
            <w:tcW w:w="847" w:type="pct"/>
            <w:vAlign w:val="bottom"/>
          </w:tcPr>
          <w:p w14:paraId="7A5AB775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VI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053D0D00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39" w:type="pct"/>
            <w:vAlign w:val="center"/>
          </w:tcPr>
          <w:p w14:paraId="12287878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Reciclagem (gerador de trabalho e renda)</w:t>
            </w:r>
          </w:p>
        </w:tc>
        <w:tc>
          <w:tcPr>
            <w:tcW w:w="701" w:type="pct"/>
            <w:vAlign w:val="bottom"/>
          </w:tcPr>
          <w:p w14:paraId="35A2414D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VIII</w:t>
            </w:r>
          </w:p>
        </w:tc>
      </w:tr>
      <w:tr w:rsidR="00B66CBD" w:rsidRPr="00704821" w14:paraId="2B025FAF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75F6CA6C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9" w:type="pct"/>
            <w:vAlign w:val="bottom"/>
          </w:tcPr>
          <w:p w14:paraId="17C08F57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Cooperação Técnica e Financeira</w:t>
            </w:r>
          </w:p>
        </w:tc>
        <w:tc>
          <w:tcPr>
            <w:tcW w:w="847" w:type="pct"/>
            <w:vAlign w:val="bottom"/>
          </w:tcPr>
          <w:p w14:paraId="5147CB0E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7 Item VIII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4A45B8BE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39" w:type="pct"/>
            <w:vAlign w:val="center"/>
          </w:tcPr>
          <w:p w14:paraId="6FCD3700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Reciclagem (valor social e promotor da cidadania)</w:t>
            </w:r>
          </w:p>
        </w:tc>
        <w:tc>
          <w:tcPr>
            <w:tcW w:w="701" w:type="pct"/>
            <w:vAlign w:val="bottom"/>
          </w:tcPr>
          <w:p w14:paraId="2EC3DD02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VIII</w:t>
            </w:r>
          </w:p>
        </w:tc>
      </w:tr>
      <w:tr w:rsidR="00B66CBD" w:rsidRPr="00704821" w14:paraId="7A15DF99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151D7AC5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9" w:type="pct"/>
            <w:vAlign w:val="center"/>
          </w:tcPr>
          <w:p w14:paraId="26FB81E7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Desenvolvimento Sustentável / Sustentabilidade</w:t>
            </w:r>
          </w:p>
        </w:tc>
        <w:tc>
          <w:tcPr>
            <w:tcW w:w="847" w:type="pct"/>
            <w:vAlign w:val="bottom"/>
          </w:tcPr>
          <w:p w14:paraId="19B34673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art. 6 Item IV / art. 7 Item XI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0DA260DA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39" w:type="pct"/>
            <w:vAlign w:val="bottom"/>
          </w:tcPr>
          <w:p w14:paraId="296A5214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Recuperação de Custos dos Serviços Prestados de </w:t>
            </w: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Limpeza</w:t>
            </w:r>
          </w:p>
        </w:tc>
        <w:tc>
          <w:tcPr>
            <w:tcW w:w="701" w:type="pct"/>
            <w:vAlign w:val="bottom"/>
          </w:tcPr>
          <w:p w14:paraId="6EDB9CA9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art. 7 Item X</w:t>
            </w:r>
          </w:p>
        </w:tc>
      </w:tr>
      <w:tr w:rsidR="00B66CBD" w:rsidRPr="00704821" w14:paraId="0A5F30B4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342FF97A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9" w:type="pct"/>
            <w:vAlign w:val="center"/>
          </w:tcPr>
          <w:p w14:paraId="2F8291C4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Ecoeficiência</w:t>
            </w:r>
          </w:p>
        </w:tc>
        <w:tc>
          <w:tcPr>
            <w:tcW w:w="847" w:type="pct"/>
            <w:vAlign w:val="bottom"/>
          </w:tcPr>
          <w:p w14:paraId="3F1EDAE1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V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1DBFB8F1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39" w:type="pct"/>
            <w:vAlign w:val="bottom"/>
          </w:tcPr>
          <w:p w14:paraId="5F26A8CD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Redução da periculosidade dos resíduos perigosos</w:t>
            </w:r>
          </w:p>
        </w:tc>
        <w:tc>
          <w:tcPr>
            <w:tcW w:w="701" w:type="pct"/>
            <w:vAlign w:val="bottom"/>
          </w:tcPr>
          <w:p w14:paraId="6926A39A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7, item V</w:t>
            </w:r>
          </w:p>
        </w:tc>
      </w:tr>
      <w:tr w:rsidR="00B66CBD" w:rsidRPr="00704821" w14:paraId="7E9826B9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00DC1022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9" w:type="pct"/>
            <w:vAlign w:val="bottom"/>
          </w:tcPr>
          <w:p w14:paraId="1563984F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Gestão Integrada de Resíduos Sólidos</w:t>
            </w:r>
          </w:p>
        </w:tc>
        <w:tc>
          <w:tcPr>
            <w:tcW w:w="847" w:type="pct"/>
            <w:vAlign w:val="bottom"/>
          </w:tcPr>
          <w:p w14:paraId="28D6CBC5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7 Item VII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535404F7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39" w:type="pct"/>
            <w:vAlign w:val="bottom"/>
          </w:tcPr>
          <w:p w14:paraId="594F695C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Redução do volume de resíduos perigosos</w:t>
            </w:r>
          </w:p>
        </w:tc>
        <w:tc>
          <w:tcPr>
            <w:tcW w:w="701" w:type="pct"/>
            <w:vAlign w:val="bottom"/>
          </w:tcPr>
          <w:p w14:paraId="5689C6B0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7, item V</w:t>
            </w:r>
          </w:p>
        </w:tc>
      </w:tr>
      <w:tr w:rsidR="00B66CBD" w:rsidRPr="00704821" w14:paraId="585664CE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2E1290C7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9" w:type="pct"/>
            <w:vAlign w:val="bottom"/>
          </w:tcPr>
          <w:p w14:paraId="1948E8A7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Incentivo à indústria da reciclagem</w:t>
            </w:r>
          </w:p>
        </w:tc>
        <w:tc>
          <w:tcPr>
            <w:tcW w:w="847" w:type="pct"/>
            <w:vAlign w:val="bottom"/>
          </w:tcPr>
          <w:p w14:paraId="1D1217A7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7 Item VI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5A2211FF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39" w:type="pct"/>
            <w:vAlign w:val="center"/>
          </w:tcPr>
          <w:p w14:paraId="6819438B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Resíduos Sólidos Reutilizáveis</w:t>
            </w:r>
          </w:p>
        </w:tc>
        <w:tc>
          <w:tcPr>
            <w:tcW w:w="701" w:type="pct"/>
            <w:vAlign w:val="bottom"/>
          </w:tcPr>
          <w:p w14:paraId="2C411885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art. 6 item VIII, art. 7 Item VI</w:t>
            </w:r>
          </w:p>
        </w:tc>
      </w:tr>
      <w:tr w:rsidR="00B66CBD" w:rsidRPr="00704821" w14:paraId="1DCB2F69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05661F69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9" w:type="pct"/>
            <w:vAlign w:val="bottom"/>
          </w:tcPr>
          <w:p w14:paraId="39CFBA30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Não geração, redução, reutilização, reciclagem e tratamento, disposição final</w:t>
            </w:r>
          </w:p>
        </w:tc>
        <w:tc>
          <w:tcPr>
            <w:tcW w:w="847" w:type="pct"/>
            <w:vAlign w:val="bottom"/>
          </w:tcPr>
          <w:p w14:paraId="7126A25E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7, item II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722FF5AB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39" w:type="pct"/>
            <w:vAlign w:val="center"/>
          </w:tcPr>
          <w:p w14:paraId="34F09556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Respeito a Diversidades locais e regionais</w:t>
            </w:r>
          </w:p>
        </w:tc>
        <w:tc>
          <w:tcPr>
            <w:tcW w:w="701" w:type="pct"/>
            <w:vAlign w:val="bottom"/>
          </w:tcPr>
          <w:p w14:paraId="0C9DD398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IX</w:t>
            </w:r>
          </w:p>
        </w:tc>
      </w:tr>
      <w:tr w:rsidR="00B66CBD" w:rsidRPr="00704821" w14:paraId="7E347BEF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16E683AC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9" w:type="pct"/>
            <w:vAlign w:val="bottom"/>
          </w:tcPr>
          <w:p w14:paraId="24561DA0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Padrões sustentáveis de produção e consumo</w:t>
            </w:r>
          </w:p>
        </w:tc>
        <w:tc>
          <w:tcPr>
            <w:tcW w:w="847" w:type="pct"/>
            <w:vAlign w:val="bottom"/>
          </w:tcPr>
          <w:p w14:paraId="16BB4930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7, item III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29F3638C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39" w:type="pct"/>
            <w:vAlign w:val="center"/>
          </w:tcPr>
          <w:p w14:paraId="793EB2AB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Responsabilidade Compartilhada Ciclo de Vida</w:t>
            </w:r>
          </w:p>
        </w:tc>
        <w:tc>
          <w:tcPr>
            <w:tcW w:w="701" w:type="pct"/>
            <w:vAlign w:val="bottom"/>
          </w:tcPr>
          <w:p w14:paraId="75594EE4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VII</w:t>
            </w:r>
          </w:p>
        </w:tc>
      </w:tr>
      <w:tr w:rsidR="00B66CBD" w:rsidRPr="00704821" w14:paraId="07614F5B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3E836A73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9" w:type="pct"/>
            <w:vAlign w:val="center"/>
          </w:tcPr>
          <w:p w14:paraId="52978389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Poluidor-Pagador</w:t>
            </w:r>
          </w:p>
        </w:tc>
        <w:tc>
          <w:tcPr>
            <w:tcW w:w="847" w:type="pct"/>
            <w:vAlign w:val="bottom"/>
          </w:tcPr>
          <w:p w14:paraId="199DFCBB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II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5CF5633B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39" w:type="pct"/>
            <w:vAlign w:val="bottom"/>
          </w:tcPr>
          <w:p w14:paraId="4CECAB58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Tecnologias Limpas</w:t>
            </w:r>
          </w:p>
        </w:tc>
        <w:tc>
          <w:tcPr>
            <w:tcW w:w="701" w:type="pct"/>
            <w:vAlign w:val="bottom"/>
          </w:tcPr>
          <w:p w14:paraId="2E7631CD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7, item IV</w:t>
            </w:r>
          </w:p>
        </w:tc>
      </w:tr>
      <w:tr w:rsidR="00B66CBD" w:rsidRPr="00704821" w14:paraId="08981E8E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3B2E0D48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39" w:type="pct"/>
            <w:vAlign w:val="center"/>
          </w:tcPr>
          <w:p w14:paraId="70C057F9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Precaução</w:t>
            </w:r>
          </w:p>
        </w:tc>
        <w:tc>
          <w:tcPr>
            <w:tcW w:w="847" w:type="pct"/>
            <w:vAlign w:val="bottom"/>
          </w:tcPr>
          <w:p w14:paraId="1DFBDCFA" w14:textId="1C5E1255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62591D7D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39" w:type="pct"/>
            <w:vAlign w:val="bottom"/>
          </w:tcPr>
          <w:p w14:paraId="0FCD26DF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Universalização dos Serviços de Prestação de Limpeza.</w:t>
            </w:r>
          </w:p>
        </w:tc>
        <w:tc>
          <w:tcPr>
            <w:tcW w:w="701" w:type="pct"/>
            <w:vAlign w:val="bottom"/>
          </w:tcPr>
          <w:p w14:paraId="4C58E00D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7 Item X</w:t>
            </w:r>
          </w:p>
        </w:tc>
      </w:tr>
      <w:tr w:rsidR="00B66CBD" w:rsidRPr="00704821" w14:paraId="794BAEB0" w14:textId="77777777" w:rsidTr="00B90FBB">
        <w:trPr>
          <w:jc w:val="center"/>
        </w:trPr>
        <w:tc>
          <w:tcPr>
            <w:tcW w:w="279" w:type="pct"/>
            <w:shd w:val="clear" w:color="auto" w:fill="D0CECE" w:themeFill="background2" w:themeFillShade="E6"/>
            <w:vAlign w:val="bottom"/>
          </w:tcPr>
          <w:p w14:paraId="4ED8DA2B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39" w:type="pct"/>
            <w:vAlign w:val="center"/>
          </w:tcPr>
          <w:p w14:paraId="70368061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Prevenção</w:t>
            </w:r>
          </w:p>
        </w:tc>
        <w:tc>
          <w:tcPr>
            <w:tcW w:w="847" w:type="pct"/>
            <w:vAlign w:val="bottom"/>
          </w:tcPr>
          <w:p w14:paraId="75E8047E" w14:textId="5FF1FDA6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bottom"/>
          </w:tcPr>
          <w:p w14:paraId="61014E55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39" w:type="pct"/>
            <w:vAlign w:val="center"/>
          </w:tcPr>
          <w:p w14:paraId="0A26F6C3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Visão Sistêmica</w:t>
            </w:r>
          </w:p>
        </w:tc>
        <w:tc>
          <w:tcPr>
            <w:tcW w:w="701" w:type="pct"/>
            <w:vAlign w:val="bottom"/>
          </w:tcPr>
          <w:p w14:paraId="13D54F30" w14:textId="77777777" w:rsidR="00B66CBD" w:rsidRPr="00704821" w:rsidRDefault="00B66CBD" w:rsidP="00BA00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art. 6 Item III</w:t>
            </w:r>
          </w:p>
        </w:tc>
      </w:tr>
    </w:tbl>
    <w:p w14:paraId="6779965D" w14:textId="7ED52E61" w:rsidR="00BE2312" w:rsidRPr="00704821" w:rsidRDefault="00071481" w:rsidP="0058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821">
        <w:rPr>
          <w:rFonts w:ascii="Times New Roman" w:hAnsi="Times New Roman" w:cs="Times New Roman"/>
          <w:sz w:val="20"/>
          <w:szCs w:val="20"/>
        </w:rPr>
        <w:t>Fonte: Elaborado com base na PNRS (Brasil, 2010a)</w:t>
      </w:r>
    </w:p>
    <w:p w14:paraId="3E8A5483" w14:textId="77777777" w:rsidR="006356DC" w:rsidRPr="00704821" w:rsidRDefault="006356DC" w:rsidP="0058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F70EB2" w14:textId="36EE4230" w:rsidR="00715AE4" w:rsidRPr="00704821" w:rsidRDefault="0084357F" w:rsidP="00715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Cabe salie</w:t>
      </w:r>
      <w:r w:rsidR="00E54D6E" w:rsidRPr="00704821">
        <w:rPr>
          <w:rFonts w:ascii="Times New Roman" w:hAnsi="Times New Roman" w:cs="Times New Roman"/>
          <w:sz w:val="24"/>
          <w:szCs w:val="24"/>
        </w:rPr>
        <w:t xml:space="preserve">ntar que a codificação </w:t>
      </w:r>
      <w:r w:rsidRPr="00704821">
        <w:rPr>
          <w:rFonts w:ascii="Times New Roman" w:hAnsi="Times New Roman" w:cs="Times New Roman"/>
          <w:sz w:val="24"/>
          <w:szCs w:val="24"/>
        </w:rPr>
        <w:t xml:space="preserve">da análise de conteúdo </w:t>
      </w:r>
      <w:r w:rsidR="00E54D6E" w:rsidRPr="00704821">
        <w:rPr>
          <w:rFonts w:ascii="Times New Roman" w:hAnsi="Times New Roman" w:cs="Times New Roman"/>
          <w:sz w:val="24"/>
          <w:szCs w:val="24"/>
        </w:rPr>
        <w:t xml:space="preserve">(etapa b) </w:t>
      </w:r>
      <w:r w:rsidR="00BA00EC" w:rsidRPr="00704821">
        <w:rPr>
          <w:rFonts w:ascii="Times New Roman" w:hAnsi="Times New Roman" w:cs="Times New Roman"/>
          <w:sz w:val="24"/>
          <w:szCs w:val="24"/>
        </w:rPr>
        <w:t>foi</w:t>
      </w:r>
      <w:r w:rsidR="00DF6B83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54D6E" w:rsidRPr="00704821">
        <w:rPr>
          <w:rFonts w:ascii="Times New Roman" w:hAnsi="Times New Roman" w:cs="Times New Roman"/>
          <w:sz w:val="24"/>
          <w:szCs w:val="24"/>
        </w:rPr>
        <w:t>confrontada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DF6B83" w:rsidRPr="00704821">
        <w:rPr>
          <w:rFonts w:ascii="Times New Roman" w:hAnsi="Times New Roman" w:cs="Times New Roman"/>
          <w:sz w:val="24"/>
          <w:szCs w:val="24"/>
        </w:rPr>
        <w:t xml:space="preserve">com </w:t>
      </w:r>
      <w:r w:rsidR="004F4F81">
        <w:rPr>
          <w:rFonts w:ascii="Times New Roman" w:hAnsi="Times New Roman" w:cs="Times New Roman"/>
          <w:sz w:val="24"/>
          <w:szCs w:val="24"/>
        </w:rPr>
        <w:t>conceitos d</w:t>
      </w:r>
      <w:r w:rsidR="00DF6B83" w:rsidRPr="00704821">
        <w:rPr>
          <w:rFonts w:ascii="Times New Roman" w:hAnsi="Times New Roman" w:cs="Times New Roman"/>
          <w:sz w:val="24"/>
          <w:szCs w:val="24"/>
        </w:rPr>
        <w:t xml:space="preserve">a Teoria dos </w:t>
      </w:r>
      <w:r w:rsidR="00DF6B83" w:rsidRPr="00704821">
        <w:rPr>
          <w:rFonts w:ascii="Times New Roman" w:hAnsi="Times New Roman" w:cs="Times New Roman"/>
          <w:i/>
          <w:sz w:val="24"/>
          <w:szCs w:val="24"/>
        </w:rPr>
        <w:t xml:space="preserve">Stakeholders </w:t>
      </w:r>
      <w:r w:rsidR="00DF6B83" w:rsidRPr="00704821">
        <w:rPr>
          <w:rFonts w:ascii="Times New Roman" w:hAnsi="Times New Roman" w:cs="Times New Roman"/>
          <w:sz w:val="24"/>
          <w:szCs w:val="24"/>
        </w:rPr>
        <w:t>e Teoria da Legitimidade</w:t>
      </w:r>
      <w:r w:rsidR="00BA00E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CC46E9" w:rsidRPr="00704821">
        <w:rPr>
          <w:rFonts w:ascii="Times New Roman" w:hAnsi="Times New Roman" w:cs="Times New Roman"/>
          <w:sz w:val="24"/>
          <w:szCs w:val="24"/>
        </w:rPr>
        <w:t>visando maior</w:t>
      </w:r>
      <w:r w:rsidRPr="00704821">
        <w:rPr>
          <w:rFonts w:ascii="Times New Roman" w:hAnsi="Times New Roman" w:cs="Times New Roman"/>
          <w:sz w:val="24"/>
          <w:szCs w:val="24"/>
        </w:rPr>
        <w:t xml:space="preserve"> robustez </w:t>
      </w:r>
      <w:r w:rsidR="00CC46E9" w:rsidRPr="00704821">
        <w:rPr>
          <w:rFonts w:ascii="Times New Roman" w:hAnsi="Times New Roman" w:cs="Times New Roman"/>
          <w:sz w:val="24"/>
          <w:szCs w:val="24"/>
        </w:rPr>
        <w:t xml:space="preserve">para </w:t>
      </w:r>
      <w:r w:rsidRPr="00704821">
        <w:rPr>
          <w:rFonts w:ascii="Times New Roman" w:hAnsi="Times New Roman" w:cs="Times New Roman"/>
          <w:sz w:val="24"/>
          <w:szCs w:val="24"/>
        </w:rPr>
        <w:t xml:space="preserve">a </w:t>
      </w:r>
      <w:r w:rsidR="00CC46E9" w:rsidRPr="00704821">
        <w:rPr>
          <w:rFonts w:ascii="Times New Roman" w:hAnsi="Times New Roman" w:cs="Times New Roman"/>
          <w:sz w:val="24"/>
          <w:szCs w:val="24"/>
        </w:rPr>
        <w:t>última etapa da análise de conteúdo, que refere-se as interpretações e inferências dos resultados</w:t>
      </w:r>
      <w:r w:rsidR="00D95CAE" w:rsidRPr="00704821">
        <w:rPr>
          <w:rFonts w:ascii="Times New Roman" w:hAnsi="Times New Roman" w:cs="Times New Roman"/>
          <w:sz w:val="24"/>
          <w:szCs w:val="24"/>
        </w:rPr>
        <w:t xml:space="preserve"> (etapa c)</w:t>
      </w:r>
      <w:r w:rsidR="00CC46E9" w:rsidRPr="00704821">
        <w:rPr>
          <w:rFonts w:ascii="Times New Roman" w:hAnsi="Times New Roman" w:cs="Times New Roman"/>
          <w:sz w:val="24"/>
          <w:szCs w:val="24"/>
        </w:rPr>
        <w:t xml:space="preserve"> (</w:t>
      </w:r>
      <w:r w:rsidR="0014373D" w:rsidRPr="00704821">
        <w:rPr>
          <w:rFonts w:ascii="Times New Roman" w:hAnsi="Times New Roman" w:cs="Times New Roman"/>
          <w:sz w:val="24"/>
          <w:szCs w:val="24"/>
        </w:rPr>
        <w:t>FLICK</w:t>
      </w:r>
      <w:r w:rsidR="00CC46E9" w:rsidRPr="00704821">
        <w:rPr>
          <w:rFonts w:ascii="Times New Roman" w:hAnsi="Times New Roman" w:cs="Times New Roman"/>
          <w:sz w:val="24"/>
          <w:szCs w:val="24"/>
        </w:rPr>
        <w:t>, 2009)</w:t>
      </w:r>
      <w:r w:rsidR="00DF6B83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2322FB" w:rsidRPr="00704821">
        <w:rPr>
          <w:rFonts w:ascii="Times New Roman" w:hAnsi="Times New Roman" w:cs="Times New Roman"/>
          <w:sz w:val="24"/>
          <w:szCs w:val="24"/>
        </w:rPr>
        <w:t xml:space="preserve">Na próxima </w:t>
      </w:r>
      <w:r w:rsidR="00BA00EC" w:rsidRPr="00704821">
        <w:rPr>
          <w:rFonts w:ascii="Times New Roman" w:hAnsi="Times New Roman" w:cs="Times New Roman"/>
          <w:sz w:val="24"/>
          <w:szCs w:val="24"/>
        </w:rPr>
        <w:t xml:space="preserve">seção </w:t>
      </w:r>
      <w:r w:rsidR="00E54D6E" w:rsidRPr="00704821">
        <w:rPr>
          <w:rFonts w:ascii="Times New Roman" w:hAnsi="Times New Roman" w:cs="Times New Roman"/>
          <w:sz w:val="24"/>
          <w:szCs w:val="24"/>
        </w:rPr>
        <w:t>apresenta</w:t>
      </w:r>
      <w:r w:rsidR="00BA00EC" w:rsidRPr="00704821">
        <w:rPr>
          <w:rFonts w:ascii="Times New Roman" w:hAnsi="Times New Roman" w:cs="Times New Roman"/>
          <w:sz w:val="24"/>
          <w:szCs w:val="24"/>
        </w:rPr>
        <w:t>m-se os resultados da pesquisa</w:t>
      </w:r>
      <w:r w:rsidR="00E54D6E" w:rsidRPr="00704821">
        <w:rPr>
          <w:rFonts w:ascii="Times New Roman" w:hAnsi="Times New Roman" w:cs="Times New Roman"/>
          <w:sz w:val="24"/>
          <w:szCs w:val="24"/>
        </w:rPr>
        <w:t>.</w:t>
      </w:r>
      <w:r w:rsidR="002322FB" w:rsidRPr="00704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B849A" w14:textId="0BDD34EE" w:rsidR="00715AE4" w:rsidRPr="00704821" w:rsidRDefault="00715AE4" w:rsidP="00580D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36EB80A" w14:textId="235393B8" w:rsidR="00BE2312" w:rsidRPr="00704821" w:rsidRDefault="00B03952" w:rsidP="004320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821">
        <w:rPr>
          <w:rFonts w:ascii="Times New Roman" w:hAnsi="Times New Roman" w:cs="Times New Roman"/>
          <w:b/>
          <w:sz w:val="24"/>
          <w:szCs w:val="24"/>
        </w:rPr>
        <w:t>4.</w:t>
      </w:r>
      <w:r w:rsidR="00DF6B83" w:rsidRPr="00704821">
        <w:rPr>
          <w:rFonts w:ascii="Times New Roman" w:hAnsi="Times New Roman" w:cs="Times New Roman"/>
          <w:b/>
          <w:sz w:val="24"/>
          <w:szCs w:val="24"/>
        </w:rPr>
        <w:t xml:space="preserve"> RESULTADOS DA PESQUISA</w:t>
      </w:r>
    </w:p>
    <w:p w14:paraId="05EA9C4F" w14:textId="4F45688C" w:rsidR="008B1335" w:rsidRPr="00704821" w:rsidRDefault="00CB79B5" w:rsidP="004F4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Da </w:t>
      </w:r>
      <w:r w:rsidR="004F4F81">
        <w:rPr>
          <w:rFonts w:ascii="Times New Roman" w:hAnsi="Times New Roman" w:cs="Times New Roman"/>
          <w:sz w:val="24"/>
          <w:szCs w:val="24"/>
        </w:rPr>
        <w:t>leitura e análise d</w:t>
      </w:r>
      <w:r w:rsidR="00DF6B83" w:rsidRPr="00704821">
        <w:rPr>
          <w:rFonts w:ascii="Times New Roman" w:hAnsi="Times New Roman" w:cs="Times New Roman"/>
          <w:sz w:val="24"/>
          <w:szCs w:val="24"/>
        </w:rPr>
        <w:t>o</w:t>
      </w:r>
      <w:r w:rsidR="00D67336" w:rsidRPr="00704821">
        <w:rPr>
          <w:rFonts w:ascii="Times New Roman" w:hAnsi="Times New Roman" w:cs="Times New Roman"/>
          <w:sz w:val="24"/>
          <w:szCs w:val="24"/>
        </w:rPr>
        <w:t>s</w:t>
      </w:r>
      <w:r w:rsidR="00DF6B83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D67336" w:rsidRPr="00704821">
        <w:rPr>
          <w:rFonts w:ascii="Times New Roman" w:hAnsi="Times New Roman" w:cs="Times New Roman"/>
          <w:sz w:val="24"/>
          <w:szCs w:val="24"/>
        </w:rPr>
        <w:t xml:space="preserve">RIs </w:t>
      </w:r>
      <w:r w:rsidR="00EF4E12" w:rsidRPr="00704821">
        <w:rPr>
          <w:rFonts w:ascii="Times New Roman" w:hAnsi="Times New Roman" w:cs="Times New Roman"/>
          <w:sz w:val="24"/>
          <w:szCs w:val="24"/>
        </w:rPr>
        <w:t>e FR</w:t>
      </w:r>
      <w:r w:rsidR="004F4F81">
        <w:rPr>
          <w:rFonts w:ascii="Times New Roman" w:hAnsi="Times New Roman" w:cs="Times New Roman"/>
          <w:sz w:val="24"/>
          <w:szCs w:val="24"/>
        </w:rPr>
        <w:t>s</w:t>
      </w:r>
      <w:r w:rsidR="00DF6B83" w:rsidRPr="00704821">
        <w:rPr>
          <w:rFonts w:ascii="Times New Roman" w:hAnsi="Times New Roman" w:cs="Times New Roman"/>
          <w:sz w:val="24"/>
          <w:szCs w:val="24"/>
        </w:rPr>
        <w:t xml:space="preserve"> das empresas </w:t>
      </w:r>
      <w:r w:rsidR="000D3098">
        <w:rPr>
          <w:rFonts w:ascii="Times New Roman" w:hAnsi="Times New Roman" w:cs="Times New Roman"/>
          <w:sz w:val="24"/>
          <w:szCs w:val="24"/>
        </w:rPr>
        <w:t>relcacionadas</w:t>
      </w:r>
      <w:r w:rsidR="00DF6B83" w:rsidRPr="00704821">
        <w:rPr>
          <w:rFonts w:ascii="Times New Roman" w:hAnsi="Times New Roman" w:cs="Times New Roman"/>
          <w:sz w:val="24"/>
          <w:szCs w:val="24"/>
        </w:rPr>
        <w:t xml:space="preserve"> no Quadro 1 (casos de estudo) foi observado que</w:t>
      </w:r>
      <w:r w:rsidRPr="00704821">
        <w:rPr>
          <w:rFonts w:ascii="Times New Roman" w:hAnsi="Times New Roman" w:cs="Times New Roman"/>
          <w:sz w:val="24"/>
          <w:szCs w:val="24"/>
        </w:rPr>
        <w:t>,</w:t>
      </w:r>
      <w:r w:rsidR="00DF6B83" w:rsidRPr="00704821">
        <w:rPr>
          <w:rFonts w:ascii="Times New Roman" w:hAnsi="Times New Roman" w:cs="Times New Roman"/>
          <w:sz w:val="24"/>
          <w:szCs w:val="24"/>
        </w:rPr>
        <w:t xml:space="preserve"> apenas 7 empresas evidenciaram informações sobre a PNRS (Lei 12.305/2010)</w:t>
      </w:r>
      <w:r w:rsidRPr="00704821">
        <w:rPr>
          <w:rFonts w:ascii="Times New Roman" w:hAnsi="Times New Roman" w:cs="Times New Roman"/>
          <w:sz w:val="24"/>
          <w:szCs w:val="24"/>
        </w:rPr>
        <w:t xml:space="preserve"> em, pelo menos, um documento analisado</w:t>
      </w:r>
      <w:r w:rsidR="00472381" w:rsidRPr="00704821">
        <w:rPr>
          <w:rFonts w:ascii="Times New Roman" w:hAnsi="Times New Roman" w:cs="Times New Roman"/>
          <w:sz w:val="24"/>
          <w:szCs w:val="24"/>
        </w:rPr>
        <w:t xml:space="preserve"> (FR ou RI)</w:t>
      </w:r>
      <w:r w:rsidR="00DF6B83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D34962" w:rsidRPr="00704821">
        <w:rPr>
          <w:rFonts w:ascii="Times New Roman" w:hAnsi="Times New Roman" w:cs="Times New Roman"/>
          <w:sz w:val="24"/>
          <w:szCs w:val="24"/>
        </w:rPr>
        <w:t>do ano de 2015</w:t>
      </w:r>
      <w:r w:rsidR="00DF6B83" w:rsidRPr="00704821">
        <w:rPr>
          <w:rFonts w:ascii="Times New Roman" w:hAnsi="Times New Roman" w:cs="Times New Roman"/>
          <w:sz w:val="24"/>
          <w:szCs w:val="24"/>
        </w:rPr>
        <w:t xml:space="preserve"> (Quadro 3)</w:t>
      </w:r>
      <w:r w:rsidR="006A20AE" w:rsidRPr="00704821">
        <w:rPr>
          <w:rFonts w:ascii="Times New Roman" w:hAnsi="Times New Roman" w:cs="Times New Roman"/>
          <w:sz w:val="24"/>
          <w:szCs w:val="24"/>
        </w:rPr>
        <w:t>.</w:t>
      </w:r>
      <w:r w:rsidR="00E41340" w:rsidRPr="00704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57A86" w14:textId="7F3A3B0C" w:rsidR="00985B48" w:rsidRPr="00704821" w:rsidRDefault="00985B48" w:rsidP="007B1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0BEC8" w14:textId="77777777" w:rsidR="0014373D" w:rsidRPr="00704821" w:rsidRDefault="0014373D" w:rsidP="001437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821">
        <w:rPr>
          <w:rFonts w:ascii="Times New Roman" w:hAnsi="Times New Roman" w:cs="Times New Roman"/>
          <w:sz w:val="20"/>
          <w:szCs w:val="20"/>
        </w:rPr>
        <w:t>Quadro 3 – Evidenciação da PNRS nos Formulários de Referência e nos Relatos Integrados em 2015.</w:t>
      </w:r>
    </w:p>
    <w:tbl>
      <w:tblPr>
        <w:tblStyle w:val="Tabelacomgrade"/>
        <w:tblW w:w="4813" w:type="pct"/>
        <w:jc w:val="center"/>
        <w:tblLook w:val="04A0" w:firstRow="1" w:lastRow="0" w:firstColumn="1" w:lastColumn="0" w:noHBand="0" w:noVBand="1"/>
      </w:tblPr>
      <w:tblGrid>
        <w:gridCol w:w="1203"/>
        <w:gridCol w:w="385"/>
        <w:gridCol w:w="384"/>
        <w:gridCol w:w="384"/>
        <w:gridCol w:w="384"/>
        <w:gridCol w:w="384"/>
        <w:gridCol w:w="384"/>
        <w:gridCol w:w="384"/>
        <w:gridCol w:w="386"/>
        <w:gridCol w:w="386"/>
        <w:gridCol w:w="449"/>
        <w:gridCol w:w="449"/>
        <w:gridCol w:w="449"/>
        <w:gridCol w:w="449"/>
        <w:gridCol w:w="449"/>
        <w:gridCol w:w="449"/>
        <w:gridCol w:w="449"/>
        <w:gridCol w:w="461"/>
        <w:gridCol w:w="672"/>
      </w:tblGrid>
      <w:tr w:rsidR="0032230C" w:rsidRPr="00704821" w14:paraId="2A011CCB" w14:textId="77777777" w:rsidTr="0014373D">
        <w:trPr>
          <w:jc w:val="center"/>
        </w:trPr>
        <w:tc>
          <w:tcPr>
            <w:tcW w:w="672" w:type="pct"/>
            <w:tcBorders>
              <w:top w:val="nil"/>
              <w:left w:val="nil"/>
              <w:bottom w:val="nil"/>
            </w:tcBorders>
          </w:tcPr>
          <w:p w14:paraId="02D75886" w14:textId="77777777" w:rsidR="00566667" w:rsidRPr="00704821" w:rsidRDefault="00566667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pct"/>
            <w:gridSpan w:val="17"/>
            <w:shd w:val="clear" w:color="auto" w:fill="D0CECE" w:themeFill="background2" w:themeFillShade="E6"/>
          </w:tcPr>
          <w:p w14:paraId="1A6BB00C" w14:textId="3035DAE3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Empresas</w:t>
            </w:r>
          </w:p>
        </w:tc>
        <w:tc>
          <w:tcPr>
            <w:tcW w:w="376" w:type="pct"/>
            <w:vMerge w:val="restart"/>
            <w:shd w:val="clear" w:color="auto" w:fill="D0CECE" w:themeFill="background2" w:themeFillShade="E6"/>
            <w:vAlign w:val="center"/>
          </w:tcPr>
          <w:p w14:paraId="304D8C03" w14:textId="77777777" w:rsidR="00566667" w:rsidRPr="00704821" w:rsidRDefault="00566667" w:rsidP="00BA00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102E2A" w:rsidRPr="00704821" w14:paraId="63A8EC82" w14:textId="77777777" w:rsidTr="0014373D">
        <w:trPr>
          <w:jc w:val="center"/>
        </w:trPr>
        <w:tc>
          <w:tcPr>
            <w:tcW w:w="672" w:type="pct"/>
            <w:tcBorders>
              <w:top w:val="nil"/>
              <w:left w:val="nil"/>
            </w:tcBorders>
          </w:tcPr>
          <w:p w14:paraId="07BA5916" w14:textId="77777777" w:rsidR="00566667" w:rsidRPr="00704821" w:rsidRDefault="00566667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D0CECE" w:themeFill="background2" w:themeFillShade="E6"/>
            <w:vAlign w:val="center"/>
          </w:tcPr>
          <w:p w14:paraId="12F86375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D0CECE" w:themeFill="background2" w:themeFillShade="E6"/>
            <w:vAlign w:val="center"/>
          </w:tcPr>
          <w:p w14:paraId="5E0C3766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5" w:type="pct"/>
            <w:shd w:val="clear" w:color="auto" w:fill="D0CECE" w:themeFill="background2" w:themeFillShade="E6"/>
            <w:vAlign w:val="center"/>
          </w:tcPr>
          <w:p w14:paraId="15B6313A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5" w:type="pct"/>
            <w:shd w:val="clear" w:color="auto" w:fill="D0CECE" w:themeFill="background2" w:themeFillShade="E6"/>
            <w:vAlign w:val="center"/>
          </w:tcPr>
          <w:p w14:paraId="098B4A80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5" w:type="pct"/>
            <w:shd w:val="clear" w:color="auto" w:fill="D0CECE" w:themeFill="background2" w:themeFillShade="E6"/>
            <w:vAlign w:val="center"/>
          </w:tcPr>
          <w:p w14:paraId="3FB5CE77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5" w:type="pct"/>
            <w:shd w:val="clear" w:color="auto" w:fill="D0CECE" w:themeFill="background2" w:themeFillShade="E6"/>
            <w:vAlign w:val="center"/>
          </w:tcPr>
          <w:p w14:paraId="3CBE8D63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5" w:type="pct"/>
            <w:shd w:val="clear" w:color="auto" w:fill="D0CECE" w:themeFill="background2" w:themeFillShade="E6"/>
            <w:vAlign w:val="center"/>
          </w:tcPr>
          <w:p w14:paraId="7542E6DA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6" w:type="pct"/>
            <w:shd w:val="clear" w:color="auto" w:fill="D0CECE" w:themeFill="background2" w:themeFillShade="E6"/>
            <w:vAlign w:val="center"/>
          </w:tcPr>
          <w:p w14:paraId="229F3BDF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6" w:type="pct"/>
            <w:shd w:val="clear" w:color="auto" w:fill="D0CECE" w:themeFill="background2" w:themeFillShade="E6"/>
            <w:vAlign w:val="center"/>
          </w:tcPr>
          <w:p w14:paraId="51C8AB75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51" w:type="pct"/>
            <w:shd w:val="clear" w:color="auto" w:fill="D0CECE" w:themeFill="background2" w:themeFillShade="E6"/>
            <w:vAlign w:val="center"/>
          </w:tcPr>
          <w:p w14:paraId="1A66925B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1" w:type="pct"/>
            <w:shd w:val="clear" w:color="auto" w:fill="D0CECE" w:themeFill="background2" w:themeFillShade="E6"/>
            <w:vAlign w:val="center"/>
          </w:tcPr>
          <w:p w14:paraId="6C096148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1" w:type="pct"/>
            <w:shd w:val="clear" w:color="auto" w:fill="D0CECE" w:themeFill="background2" w:themeFillShade="E6"/>
            <w:vAlign w:val="center"/>
          </w:tcPr>
          <w:p w14:paraId="3EE5F826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1" w:type="pct"/>
            <w:shd w:val="clear" w:color="auto" w:fill="D0CECE" w:themeFill="background2" w:themeFillShade="E6"/>
            <w:vAlign w:val="center"/>
          </w:tcPr>
          <w:p w14:paraId="176DA05A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1" w:type="pct"/>
            <w:shd w:val="clear" w:color="auto" w:fill="D0CECE" w:themeFill="background2" w:themeFillShade="E6"/>
            <w:vAlign w:val="center"/>
          </w:tcPr>
          <w:p w14:paraId="63AD484D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51" w:type="pct"/>
            <w:shd w:val="clear" w:color="auto" w:fill="D0CECE" w:themeFill="background2" w:themeFillShade="E6"/>
            <w:vAlign w:val="center"/>
          </w:tcPr>
          <w:p w14:paraId="09BBA73D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51" w:type="pct"/>
            <w:shd w:val="clear" w:color="auto" w:fill="D0CECE" w:themeFill="background2" w:themeFillShade="E6"/>
            <w:vAlign w:val="center"/>
          </w:tcPr>
          <w:p w14:paraId="7F0B8CE6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55" w:type="pct"/>
            <w:shd w:val="clear" w:color="auto" w:fill="D0CECE" w:themeFill="background2" w:themeFillShade="E6"/>
            <w:vAlign w:val="center"/>
          </w:tcPr>
          <w:p w14:paraId="7929472A" w14:textId="77777777" w:rsidR="00566667" w:rsidRPr="00704821" w:rsidRDefault="00566667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76" w:type="pct"/>
            <w:vMerge/>
            <w:shd w:val="clear" w:color="auto" w:fill="D0CECE" w:themeFill="background2" w:themeFillShade="E6"/>
          </w:tcPr>
          <w:p w14:paraId="3F9C20F3" w14:textId="77777777" w:rsidR="00566667" w:rsidRPr="00704821" w:rsidRDefault="00566667" w:rsidP="00BA00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230C" w:rsidRPr="00704821" w14:paraId="50DDA063" w14:textId="77777777" w:rsidTr="0014373D">
        <w:trPr>
          <w:trHeight w:val="611"/>
          <w:jc w:val="center"/>
        </w:trPr>
        <w:tc>
          <w:tcPr>
            <w:tcW w:w="672" w:type="pct"/>
            <w:shd w:val="clear" w:color="auto" w:fill="D0CECE" w:themeFill="background2" w:themeFillShade="E6"/>
            <w:vAlign w:val="center"/>
          </w:tcPr>
          <w:p w14:paraId="62861616" w14:textId="77777777" w:rsidR="007B1720" w:rsidRPr="00704821" w:rsidRDefault="006B6513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Evidenciou PNRS</w:t>
            </w:r>
          </w:p>
        </w:tc>
        <w:tc>
          <w:tcPr>
            <w:tcW w:w="215" w:type="pct"/>
            <w:vAlign w:val="center"/>
          </w:tcPr>
          <w:p w14:paraId="4D0A222F" w14:textId="77777777" w:rsidR="007B1720" w:rsidRPr="00704821" w:rsidRDefault="003207B4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5" w:type="pct"/>
            <w:vAlign w:val="center"/>
          </w:tcPr>
          <w:p w14:paraId="18CE36E6" w14:textId="77777777" w:rsidR="007B1720" w:rsidRPr="00704821" w:rsidRDefault="003207B4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5" w:type="pct"/>
            <w:vAlign w:val="center"/>
          </w:tcPr>
          <w:p w14:paraId="3A1CD685" w14:textId="77777777" w:rsidR="007B1720" w:rsidRPr="00704821" w:rsidRDefault="003207B4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5" w:type="pct"/>
            <w:vAlign w:val="center"/>
          </w:tcPr>
          <w:p w14:paraId="7F5E724C" w14:textId="77777777" w:rsidR="007B1720" w:rsidRPr="00704821" w:rsidRDefault="007B1720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14:paraId="6553C079" w14:textId="77777777" w:rsidR="007B1720" w:rsidRPr="00704821" w:rsidRDefault="007B1720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14:paraId="590BCD54" w14:textId="77777777" w:rsidR="007B1720" w:rsidRPr="00704821" w:rsidRDefault="007B1720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14:paraId="34D0F485" w14:textId="77777777" w:rsidR="007B1720" w:rsidRPr="00704821" w:rsidRDefault="007B1720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Align w:val="center"/>
          </w:tcPr>
          <w:p w14:paraId="4F416676" w14:textId="77777777" w:rsidR="007B1720" w:rsidRPr="00704821" w:rsidRDefault="007B1720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Align w:val="center"/>
          </w:tcPr>
          <w:p w14:paraId="1B049609" w14:textId="77777777" w:rsidR="007B1720" w:rsidRPr="00704821" w:rsidRDefault="007B1720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14:paraId="19FC9098" w14:textId="77777777" w:rsidR="007B1720" w:rsidRPr="00704821" w:rsidRDefault="003207B4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1" w:type="pct"/>
            <w:vAlign w:val="center"/>
          </w:tcPr>
          <w:p w14:paraId="0943C8FA" w14:textId="77777777" w:rsidR="007B1720" w:rsidRPr="00704821" w:rsidRDefault="003207B4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1" w:type="pct"/>
            <w:vAlign w:val="center"/>
          </w:tcPr>
          <w:p w14:paraId="0881C350" w14:textId="77777777" w:rsidR="007B1720" w:rsidRPr="00704821" w:rsidRDefault="007B1720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14:paraId="752E9925" w14:textId="77777777" w:rsidR="007B1720" w:rsidRPr="00704821" w:rsidRDefault="003207B4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1" w:type="pct"/>
            <w:vAlign w:val="center"/>
          </w:tcPr>
          <w:p w14:paraId="17B60C6A" w14:textId="77777777" w:rsidR="007B1720" w:rsidRPr="00704821" w:rsidRDefault="007B1720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14:paraId="3E070E9B" w14:textId="77777777" w:rsidR="007B1720" w:rsidRPr="00704821" w:rsidRDefault="003207B4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1" w:type="pct"/>
            <w:vAlign w:val="center"/>
          </w:tcPr>
          <w:p w14:paraId="2FC830D1" w14:textId="77777777" w:rsidR="007B1720" w:rsidRPr="00704821" w:rsidRDefault="007B1720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2E0599F8" w14:textId="77777777" w:rsidR="007B1720" w:rsidRPr="00704821" w:rsidRDefault="007B1720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27F082FB" w14:textId="77777777" w:rsidR="007B1720" w:rsidRPr="000D3098" w:rsidRDefault="003207B4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09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32230C" w:rsidRPr="00704821" w14:paraId="71C6F96A" w14:textId="77777777" w:rsidTr="0014373D">
        <w:trPr>
          <w:jc w:val="center"/>
        </w:trPr>
        <w:tc>
          <w:tcPr>
            <w:tcW w:w="672" w:type="pct"/>
            <w:shd w:val="clear" w:color="auto" w:fill="D0CECE" w:themeFill="background2" w:themeFillShade="E6"/>
            <w:vAlign w:val="center"/>
          </w:tcPr>
          <w:p w14:paraId="615EE18F" w14:textId="77777777" w:rsidR="007B1720" w:rsidRPr="00704821" w:rsidRDefault="007B1720" w:rsidP="00BA0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 xml:space="preserve">Não </w:t>
            </w:r>
            <w:r w:rsidR="00566667" w:rsidRPr="0070482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videnciou PNRS</w:t>
            </w:r>
          </w:p>
        </w:tc>
        <w:tc>
          <w:tcPr>
            <w:tcW w:w="215" w:type="pct"/>
            <w:vAlign w:val="center"/>
          </w:tcPr>
          <w:p w14:paraId="100024DC" w14:textId="77777777" w:rsidR="007B1720" w:rsidRPr="00704821" w:rsidRDefault="007B1720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14:paraId="7092D3B3" w14:textId="77777777" w:rsidR="007B1720" w:rsidRPr="00704821" w:rsidRDefault="007B1720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14:paraId="4BD07AAE" w14:textId="77777777" w:rsidR="007B1720" w:rsidRPr="00704821" w:rsidRDefault="007B1720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14:paraId="17FF3A68" w14:textId="77777777" w:rsidR="007B1720" w:rsidRPr="00704821" w:rsidRDefault="003207B4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5" w:type="pct"/>
            <w:vAlign w:val="center"/>
          </w:tcPr>
          <w:p w14:paraId="35706F6A" w14:textId="77777777" w:rsidR="007B1720" w:rsidRPr="00704821" w:rsidRDefault="003207B4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5" w:type="pct"/>
            <w:vAlign w:val="center"/>
          </w:tcPr>
          <w:p w14:paraId="356F01DC" w14:textId="77777777" w:rsidR="007B1720" w:rsidRPr="00704821" w:rsidRDefault="003207B4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5" w:type="pct"/>
            <w:vAlign w:val="center"/>
          </w:tcPr>
          <w:p w14:paraId="7EA73247" w14:textId="77777777" w:rsidR="007B1720" w:rsidRPr="00704821" w:rsidRDefault="003207B4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6" w:type="pct"/>
            <w:vAlign w:val="center"/>
          </w:tcPr>
          <w:p w14:paraId="6F40DA6E" w14:textId="77777777" w:rsidR="007B1720" w:rsidRPr="00704821" w:rsidRDefault="003207B4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6" w:type="pct"/>
            <w:vAlign w:val="center"/>
          </w:tcPr>
          <w:p w14:paraId="2608ABEB" w14:textId="77777777" w:rsidR="007B1720" w:rsidRPr="00704821" w:rsidRDefault="003207B4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1" w:type="pct"/>
            <w:vAlign w:val="center"/>
          </w:tcPr>
          <w:p w14:paraId="35B816E3" w14:textId="77777777" w:rsidR="007B1720" w:rsidRPr="00704821" w:rsidRDefault="007B1720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14:paraId="7252C500" w14:textId="77777777" w:rsidR="007B1720" w:rsidRPr="00704821" w:rsidRDefault="007B1720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14:paraId="6C5C763A" w14:textId="77777777" w:rsidR="007B1720" w:rsidRPr="00704821" w:rsidRDefault="003207B4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1" w:type="pct"/>
            <w:vAlign w:val="center"/>
          </w:tcPr>
          <w:p w14:paraId="32307832" w14:textId="77777777" w:rsidR="007B1720" w:rsidRPr="00704821" w:rsidRDefault="007B1720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14:paraId="087FEA03" w14:textId="77777777" w:rsidR="007B1720" w:rsidRPr="00704821" w:rsidRDefault="003207B4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1" w:type="pct"/>
            <w:vAlign w:val="center"/>
          </w:tcPr>
          <w:p w14:paraId="2E413262" w14:textId="77777777" w:rsidR="007B1720" w:rsidRPr="00704821" w:rsidRDefault="007B1720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14:paraId="1636A369" w14:textId="77777777" w:rsidR="007B1720" w:rsidRPr="00704821" w:rsidRDefault="003207B4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5" w:type="pct"/>
            <w:vAlign w:val="center"/>
          </w:tcPr>
          <w:p w14:paraId="4927A366" w14:textId="77777777" w:rsidR="007B1720" w:rsidRPr="00704821" w:rsidRDefault="003207B4" w:rsidP="00BA0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6" w:type="pct"/>
            <w:vAlign w:val="center"/>
          </w:tcPr>
          <w:p w14:paraId="10B458FF" w14:textId="77777777" w:rsidR="007B1720" w:rsidRPr="00704821" w:rsidRDefault="003207B4" w:rsidP="00BA0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14:paraId="7305F83B" w14:textId="03195407" w:rsidR="000D018D" w:rsidRPr="00704821" w:rsidRDefault="000D018D" w:rsidP="000D0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821">
        <w:rPr>
          <w:rFonts w:ascii="Times New Roman" w:hAnsi="Times New Roman" w:cs="Times New Roman"/>
          <w:sz w:val="20"/>
          <w:szCs w:val="20"/>
        </w:rPr>
        <w:t>Fonte: Elaborado com base nos dados da pesquisa.</w:t>
      </w:r>
    </w:p>
    <w:p w14:paraId="2B559D2D" w14:textId="7D8F17F8" w:rsidR="007B1720" w:rsidRPr="00704821" w:rsidRDefault="007B1720" w:rsidP="007B1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77A47" w14:textId="08C83929" w:rsidR="000D1FF0" w:rsidRPr="00704821" w:rsidRDefault="000E5B85" w:rsidP="00BA0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As empresas que evidenciaram a PNRS, tanto no FR, quanto no RI foram</w:t>
      </w:r>
      <w:r w:rsidR="00BE297A" w:rsidRPr="00704821">
        <w:rPr>
          <w:rFonts w:ascii="Times New Roman" w:hAnsi="Times New Roman" w:cs="Times New Roman"/>
          <w:sz w:val="24"/>
          <w:szCs w:val="24"/>
        </w:rPr>
        <w:t xml:space="preserve"> 5, a saber: </w:t>
      </w:r>
      <w:r w:rsidR="000D1FF0" w:rsidRPr="00704821">
        <w:rPr>
          <w:rFonts w:ascii="Times New Roman" w:hAnsi="Times New Roman" w:cs="Times New Roman"/>
          <w:sz w:val="24"/>
          <w:szCs w:val="24"/>
        </w:rPr>
        <w:t xml:space="preserve">Sanepar (ID 1) </w:t>
      </w:r>
      <w:r w:rsidRPr="00704821">
        <w:rPr>
          <w:rFonts w:ascii="Times New Roman" w:hAnsi="Times New Roman" w:cs="Times New Roman"/>
          <w:sz w:val="24"/>
          <w:szCs w:val="24"/>
        </w:rPr>
        <w:t xml:space="preserve">localizadas </w:t>
      </w:r>
      <w:r w:rsidR="000D1FF0" w:rsidRPr="00704821">
        <w:rPr>
          <w:rFonts w:ascii="Times New Roman" w:hAnsi="Times New Roman" w:cs="Times New Roman"/>
          <w:sz w:val="24"/>
          <w:szCs w:val="24"/>
        </w:rPr>
        <w:t>no FR (</w:t>
      </w:r>
      <w:r w:rsidR="00B36299" w:rsidRPr="00704821">
        <w:rPr>
          <w:rFonts w:ascii="Times New Roman" w:hAnsi="Times New Roman" w:cs="Times New Roman"/>
          <w:sz w:val="24"/>
          <w:szCs w:val="24"/>
        </w:rPr>
        <w:t>pág</w:t>
      </w:r>
      <w:r w:rsidR="00BA00EC" w:rsidRPr="00704821">
        <w:rPr>
          <w:rFonts w:ascii="Times New Roman" w:hAnsi="Times New Roman" w:cs="Times New Roman"/>
          <w:sz w:val="24"/>
          <w:szCs w:val="24"/>
        </w:rPr>
        <w:t>ina</w:t>
      </w:r>
      <w:r w:rsidR="00F21417" w:rsidRPr="00704821">
        <w:rPr>
          <w:rFonts w:ascii="Times New Roman" w:hAnsi="Times New Roman" w:cs="Times New Roman"/>
          <w:sz w:val="24"/>
          <w:szCs w:val="24"/>
        </w:rPr>
        <w:t xml:space="preserve"> 125) </w:t>
      </w:r>
      <w:r w:rsidRPr="00704821">
        <w:rPr>
          <w:rFonts w:ascii="Times New Roman" w:hAnsi="Times New Roman" w:cs="Times New Roman"/>
          <w:sz w:val="24"/>
          <w:szCs w:val="24"/>
        </w:rPr>
        <w:t xml:space="preserve">e </w:t>
      </w:r>
      <w:r w:rsidR="000D1FF0" w:rsidRPr="00704821">
        <w:rPr>
          <w:rFonts w:ascii="Times New Roman" w:hAnsi="Times New Roman" w:cs="Times New Roman"/>
          <w:sz w:val="24"/>
          <w:szCs w:val="24"/>
        </w:rPr>
        <w:t>no RI (</w:t>
      </w:r>
      <w:r w:rsidR="00BA00EC" w:rsidRPr="00704821">
        <w:rPr>
          <w:rFonts w:ascii="Times New Roman" w:hAnsi="Times New Roman" w:cs="Times New Roman"/>
          <w:sz w:val="24"/>
          <w:szCs w:val="24"/>
        </w:rPr>
        <w:t>páginas</w:t>
      </w:r>
      <w:r w:rsidR="000D1FF0" w:rsidRPr="00704821">
        <w:rPr>
          <w:rFonts w:ascii="Times New Roman" w:hAnsi="Times New Roman" w:cs="Times New Roman"/>
          <w:sz w:val="24"/>
          <w:szCs w:val="24"/>
        </w:rPr>
        <w:t xml:space="preserve"> 12 e 71)</w:t>
      </w:r>
      <w:r w:rsidRPr="00704821">
        <w:rPr>
          <w:rFonts w:ascii="Times New Roman" w:hAnsi="Times New Roman" w:cs="Times New Roman"/>
          <w:sz w:val="24"/>
          <w:szCs w:val="24"/>
        </w:rPr>
        <w:t>, o Banco do Brasil (ID 3) no FR (</w:t>
      </w:r>
      <w:r w:rsidR="00BA00EC" w:rsidRPr="00704821">
        <w:rPr>
          <w:rFonts w:ascii="Times New Roman" w:hAnsi="Times New Roman" w:cs="Times New Roman"/>
          <w:sz w:val="24"/>
          <w:szCs w:val="24"/>
        </w:rPr>
        <w:t xml:space="preserve">página </w:t>
      </w:r>
      <w:r w:rsidRPr="00704821">
        <w:rPr>
          <w:rFonts w:ascii="Times New Roman" w:hAnsi="Times New Roman" w:cs="Times New Roman"/>
          <w:sz w:val="24"/>
          <w:szCs w:val="24"/>
        </w:rPr>
        <w:t>131) e no RI (</w:t>
      </w:r>
      <w:r w:rsidR="00BA00EC" w:rsidRPr="00704821">
        <w:rPr>
          <w:rFonts w:ascii="Times New Roman" w:hAnsi="Times New Roman" w:cs="Times New Roman"/>
          <w:sz w:val="24"/>
          <w:szCs w:val="24"/>
        </w:rPr>
        <w:t xml:space="preserve">página </w:t>
      </w:r>
      <w:r w:rsidRPr="00704821">
        <w:rPr>
          <w:rFonts w:ascii="Times New Roman" w:hAnsi="Times New Roman" w:cs="Times New Roman"/>
          <w:sz w:val="24"/>
          <w:szCs w:val="24"/>
        </w:rPr>
        <w:t>151)</w:t>
      </w:r>
      <w:r w:rsidR="004349F7" w:rsidRPr="00704821">
        <w:rPr>
          <w:rFonts w:ascii="Times New Roman" w:hAnsi="Times New Roman" w:cs="Times New Roman"/>
          <w:sz w:val="24"/>
          <w:szCs w:val="24"/>
        </w:rPr>
        <w:t>, a Eletropaulo S.A (ID 10), no FR (</w:t>
      </w:r>
      <w:r w:rsidR="00BA00EC" w:rsidRPr="00704821">
        <w:rPr>
          <w:rFonts w:ascii="Times New Roman" w:hAnsi="Times New Roman" w:cs="Times New Roman"/>
          <w:sz w:val="24"/>
          <w:szCs w:val="24"/>
        </w:rPr>
        <w:t>página</w:t>
      </w:r>
      <w:r w:rsidR="004349F7" w:rsidRPr="00704821">
        <w:rPr>
          <w:rFonts w:ascii="Times New Roman" w:hAnsi="Times New Roman" w:cs="Times New Roman"/>
          <w:sz w:val="24"/>
          <w:szCs w:val="24"/>
        </w:rPr>
        <w:t xml:space="preserve"> 104) e no RI (</w:t>
      </w:r>
      <w:r w:rsidR="00BA00EC" w:rsidRPr="00704821">
        <w:rPr>
          <w:rFonts w:ascii="Times New Roman" w:hAnsi="Times New Roman" w:cs="Times New Roman"/>
          <w:sz w:val="24"/>
          <w:szCs w:val="24"/>
        </w:rPr>
        <w:t>página</w:t>
      </w:r>
      <w:r w:rsidR="004349F7" w:rsidRPr="00704821">
        <w:rPr>
          <w:rFonts w:ascii="Times New Roman" w:hAnsi="Times New Roman" w:cs="Times New Roman"/>
          <w:sz w:val="24"/>
          <w:szCs w:val="24"/>
        </w:rPr>
        <w:t xml:space="preserve"> 70 e 73)</w:t>
      </w:r>
      <w:r w:rsidR="00BE297A" w:rsidRPr="00704821">
        <w:rPr>
          <w:rFonts w:ascii="Times New Roman" w:hAnsi="Times New Roman" w:cs="Times New Roman"/>
          <w:sz w:val="24"/>
          <w:szCs w:val="24"/>
        </w:rPr>
        <w:t>, a Natura (ID 11) no FR (</w:t>
      </w:r>
      <w:r w:rsidR="00BA00EC" w:rsidRPr="00704821">
        <w:rPr>
          <w:rFonts w:ascii="Times New Roman" w:hAnsi="Times New Roman" w:cs="Times New Roman"/>
          <w:sz w:val="24"/>
          <w:szCs w:val="24"/>
        </w:rPr>
        <w:t>página</w:t>
      </w:r>
      <w:r w:rsidR="00BE297A" w:rsidRPr="00704821">
        <w:rPr>
          <w:rFonts w:ascii="Times New Roman" w:hAnsi="Times New Roman" w:cs="Times New Roman"/>
          <w:sz w:val="24"/>
          <w:szCs w:val="24"/>
        </w:rPr>
        <w:t xml:space="preserve"> 23 e 78) e no RI (</w:t>
      </w:r>
      <w:r w:rsidR="00BA00EC" w:rsidRPr="00704821">
        <w:rPr>
          <w:rFonts w:ascii="Times New Roman" w:hAnsi="Times New Roman" w:cs="Times New Roman"/>
          <w:sz w:val="24"/>
          <w:szCs w:val="24"/>
        </w:rPr>
        <w:t>página</w:t>
      </w:r>
      <w:r w:rsidR="00BE297A" w:rsidRPr="00704821">
        <w:rPr>
          <w:rFonts w:ascii="Times New Roman" w:hAnsi="Times New Roman" w:cs="Times New Roman"/>
          <w:sz w:val="24"/>
          <w:szCs w:val="24"/>
        </w:rPr>
        <w:t xml:space="preserve"> 30), a Celulose Irani S.A (ID 13), no FR (</w:t>
      </w:r>
      <w:r w:rsidR="00BA00EC" w:rsidRPr="00704821">
        <w:rPr>
          <w:rFonts w:ascii="Times New Roman" w:hAnsi="Times New Roman" w:cs="Times New Roman"/>
          <w:sz w:val="24"/>
          <w:szCs w:val="24"/>
        </w:rPr>
        <w:t xml:space="preserve">página 74) e no RI (página </w:t>
      </w:r>
      <w:r w:rsidR="00BE297A" w:rsidRPr="00704821">
        <w:rPr>
          <w:rFonts w:ascii="Times New Roman" w:hAnsi="Times New Roman" w:cs="Times New Roman"/>
          <w:sz w:val="24"/>
          <w:szCs w:val="24"/>
        </w:rPr>
        <w:t xml:space="preserve">25, 27 e 28). </w:t>
      </w:r>
      <w:r w:rsidR="00BA00EC" w:rsidRPr="00704821">
        <w:rPr>
          <w:rFonts w:ascii="Times New Roman" w:hAnsi="Times New Roman" w:cs="Times New Roman"/>
          <w:sz w:val="24"/>
          <w:szCs w:val="24"/>
        </w:rPr>
        <w:t>Já</w:t>
      </w:r>
      <w:r w:rsidR="00BE297A" w:rsidRPr="00704821">
        <w:rPr>
          <w:rFonts w:ascii="Times New Roman" w:hAnsi="Times New Roman" w:cs="Times New Roman"/>
          <w:sz w:val="24"/>
          <w:szCs w:val="24"/>
        </w:rPr>
        <w:t xml:space="preserve"> 2 empresas evidenciaram a PNRS apenas nos RIs, são elas a</w:t>
      </w:r>
      <w:r w:rsidR="00B36299" w:rsidRPr="00704821">
        <w:rPr>
          <w:rFonts w:ascii="Times New Roman" w:hAnsi="Times New Roman" w:cs="Times New Roman"/>
          <w:sz w:val="24"/>
          <w:szCs w:val="24"/>
        </w:rPr>
        <w:t xml:space="preserve"> BRF S.A (ID 2) </w:t>
      </w:r>
      <w:r w:rsidR="00BE297A" w:rsidRPr="00704821">
        <w:rPr>
          <w:rFonts w:ascii="Times New Roman" w:hAnsi="Times New Roman" w:cs="Times New Roman"/>
          <w:sz w:val="24"/>
          <w:szCs w:val="24"/>
        </w:rPr>
        <w:t>nas páginas 121 e 122 do RI e a Petrobrás (ID 15), na página 66 do seu RI.</w:t>
      </w:r>
    </w:p>
    <w:p w14:paraId="7ECA8E24" w14:textId="6B5B2500" w:rsidR="009813F3" w:rsidRPr="00704821" w:rsidRDefault="004C53ED" w:rsidP="00981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Conforme disposto na PNRS todas as pessoas jurídicas que, de forma direta ou indireta, geram resíduos sólidos ou possuem um sistema de gestão integrada ou realizam gerenciamento de resíduos</w:t>
      </w:r>
      <w:r w:rsidR="000D3098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deveriam evidenciar a PNRS (Brasil, 2010b). Diante disso</w:t>
      </w:r>
      <w:r w:rsidR="00B06C20" w:rsidRPr="00704821">
        <w:rPr>
          <w:rFonts w:ascii="Times New Roman" w:hAnsi="Times New Roman" w:cs="Times New Roman"/>
          <w:sz w:val="24"/>
          <w:szCs w:val="24"/>
        </w:rPr>
        <w:t xml:space="preserve">, todas </w:t>
      </w:r>
      <w:r w:rsidR="0082584B" w:rsidRPr="00704821">
        <w:rPr>
          <w:rFonts w:ascii="Times New Roman" w:hAnsi="Times New Roman" w:cs="Times New Roman"/>
          <w:sz w:val="24"/>
          <w:szCs w:val="24"/>
        </w:rPr>
        <w:t>as 17</w:t>
      </w:r>
      <w:r w:rsidR="00B06C20" w:rsidRPr="00704821">
        <w:rPr>
          <w:rFonts w:ascii="Times New Roman" w:hAnsi="Times New Roman" w:cs="Times New Roman"/>
          <w:sz w:val="24"/>
          <w:szCs w:val="24"/>
        </w:rPr>
        <w:t xml:space="preserve"> empresas afirmaram realizar gestão de resíduos sólido</w:t>
      </w:r>
      <w:r w:rsidR="00C36FF7" w:rsidRPr="00704821">
        <w:rPr>
          <w:rFonts w:ascii="Times New Roman" w:hAnsi="Times New Roman" w:cs="Times New Roman"/>
          <w:sz w:val="24"/>
          <w:szCs w:val="24"/>
        </w:rPr>
        <w:t>s</w:t>
      </w:r>
      <w:r w:rsidRPr="00704821">
        <w:rPr>
          <w:rFonts w:ascii="Times New Roman" w:hAnsi="Times New Roman" w:cs="Times New Roman"/>
          <w:sz w:val="24"/>
          <w:szCs w:val="24"/>
        </w:rPr>
        <w:t xml:space="preserve"> e, </w:t>
      </w:r>
      <w:r w:rsidR="00C36FF7" w:rsidRPr="00704821">
        <w:rPr>
          <w:rFonts w:ascii="Times New Roman" w:hAnsi="Times New Roman" w:cs="Times New Roman"/>
          <w:sz w:val="24"/>
          <w:szCs w:val="24"/>
        </w:rPr>
        <w:t>com base na</w:t>
      </w:r>
      <w:r w:rsidRPr="00704821">
        <w:rPr>
          <w:rFonts w:ascii="Times New Roman" w:hAnsi="Times New Roman" w:cs="Times New Roman"/>
          <w:sz w:val="24"/>
          <w:szCs w:val="24"/>
        </w:rPr>
        <w:t>s</w:t>
      </w:r>
      <w:r w:rsidR="00C36FF7" w:rsidRPr="00704821">
        <w:rPr>
          <w:rFonts w:ascii="Times New Roman" w:hAnsi="Times New Roman" w:cs="Times New Roman"/>
          <w:sz w:val="24"/>
          <w:szCs w:val="24"/>
        </w:rPr>
        <w:t xml:space="preserve"> declara</w:t>
      </w:r>
      <w:r w:rsidRPr="00704821">
        <w:rPr>
          <w:rFonts w:ascii="Times New Roman" w:hAnsi="Times New Roman" w:cs="Times New Roman"/>
          <w:sz w:val="24"/>
          <w:szCs w:val="24"/>
        </w:rPr>
        <w:t xml:space="preserve">ções </w:t>
      </w:r>
      <w:r w:rsidRPr="00704821">
        <w:rPr>
          <w:rFonts w:ascii="Times New Roman" w:hAnsi="Times New Roman" w:cs="Times New Roman"/>
          <w:sz w:val="24"/>
          <w:szCs w:val="24"/>
        </w:rPr>
        <w:lastRenderedPageBreak/>
        <w:t>emitidas</w:t>
      </w:r>
      <w:r w:rsidR="00C36FF7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estariam</w:t>
      </w:r>
      <w:r w:rsidR="00D14EF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C36FF7" w:rsidRPr="00704821">
        <w:rPr>
          <w:rFonts w:ascii="Times New Roman" w:hAnsi="Times New Roman" w:cs="Times New Roman"/>
          <w:sz w:val="24"/>
          <w:szCs w:val="24"/>
        </w:rPr>
        <w:t>subordinada</w:t>
      </w:r>
      <w:r w:rsidR="00586240" w:rsidRPr="00704821">
        <w:rPr>
          <w:rFonts w:ascii="Times New Roman" w:hAnsi="Times New Roman" w:cs="Times New Roman"/>
          <w:sz w:val="24"/>
          <w:szCs w:val="24"/>
        </w:rPr>
        <w:t>s à PNRS</w:t>
      </w:r>
      <w:r w:rsidR="001F6A90" w:rsidRPr="00704821">
        <w:rPr>
          <w:rFonts w:ascii="Times New Roman" w:hAnsi="Times New Roman" w:cs="Times New Roman"/>
          <w:sz w:val="24"/>
          <w:szCs w:val="24"/>
        </w:rPr>
        <w:t>.</w:t>
      </w:r>
      <w:r w:rsidR="00575888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0D3098">
        <w:rPr>
          <w:rFonts w:ascii="Times New Roman" w:hAnsi="Times New Roman" w:cs="Times New Roman"/>
          <w:sz w:val="24"/>
          <w:szCs w:val="24"/>
        </w:rPr>
        <w:t>Ressalta-se que</w:t>
      </w:r>
      <w:r w:rsidR="00575888" w:rsidRPr="00704821">
        <w:rPr>
          <w:rFonts w:ascii="Times New Roman" w:hAnsi="Times New Roman" w:cs="Times New Roman"/>
          <w:sz w:val="24"/>
          <w:szCs w:val="24"/>
        </w:rPr>
        <w:t xml:space="preserve"> 10 empresas </w:t>
      </w:r>
      <w:r w:rsidR="00A556C4" w:rsidRPr="00704821">
        <w:rPr>
          <w:rFonts w:ascii="Times New Roman" w:hAnsi="Times New Roman" w:cs="Times New Roman"/>
          <w:sz w:val="24"/>
          <w:szCs w:val="24"/>
        </w:rPr>
        <w:t>(IDs nº 4, 5, 6, 7, 8, 9, 12, 14, 16 e 17)</w:t>
      </w:r>
      <w:r w:rsidR="000D30C0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0D3098">
        <w:rPr>
          <w:rFonts w:ascii="Times New Roman" w:hAnsi="Times New Roman" w:cs="Times New Roman"/>
          <w:sz w:val="24"/>
          <w:szCs w:val="24"/>
        </w:rPr>
        <w:t>não evidenciaram</w:t>
      </w:r>
      <w:r w:rsidR="009813F3" w:rsidRPr="00704821">
        <w:rPr>
          <w:rFonts w:ascii="Times New Roman" w:hAnsi="Times New Roman" w:cs="Times New Roman"/>
          <w:sz w:val="24"/>
          <w:szCs w:val="24"/>
        </w:rPr>
        <w:t xml:space="preserve"> a PNRS, </w:t>
      </w:r>
      <w:r w:rsidR="000D3098">
        <w:rPr>
          <w:rFonts w:ascii="Times New Roman" w:hAnsi="Times New Roman" w:cs="Times New Roman"/>
          <w:sz w:val="24"/>
          <w:szCs w:val="24"/>
        </w:rPr>
        <w:t xml:space="preserve">contudo, </w:t>
      </w:r>
      <w:r w:rsidR="009813F3" w:rsidRPr="00704821">
        <w:rPr>
          <w:rFonts w:ascii="Times New Roman" w:hAnsi="Times New Roman" w:cs="Times New Roman"/>
          <w:sz w:val="24"/>
          <w:szCs w:val="24"/>
        </w:rPr>
        <w:t xml:space="preserve">estas não foram excluídas da amostra porque realizam gestão de resíduos ou têm contato com resíduos no âmbito de suas operações. Logo, entende-se </w:t>
      </w:r>
      <w:r w:rsidR="000D1C12" w:rsidRPr="00704821">
        <w:rPr>
          <w:rFonts w:ascii="Times New Roman" w:hAnsi="Times New Roman" w:cs="Times New Roman"/>
          <w:sz w:val="24"/>
          <w:szCs w:val="24"/>
        </w:rPr>
        <w:t xml:space="preserve">que estão </w:t>
      </w:r>
      <w:r w:rsidR="00180CF2" w:rsidRPr="00704821">
        <w:rPr>
          <w:rFonts w:ascii="Times New Roman" w:hAnsi="Times New Roman" w:cs="Times New Roman"/>
          <w:sz w:val="24"/>
          <w:szCs w:val="24"/>
        </w:rPr>
        <w:t>s</w:t>
      </w:r>
      <w:r w:rsidR="009813F3" w:rsidRPr="00704821">
        <w:rPr>
          <w:rFonts w:ascii="Times New Roman" w:hAnsi="Times New Roman" w:cs="Times New Roman"/>
          <w:sz w:val="24"/>
          <w:szCs w:val="24"/>
        </w:rPr>
        <w:t xml:space="preserve">ujeitas à PNRS e </w:t>
      </w:r>
      <w:r w:rsidR="000D30C0" w:rsidRPr="00704821">
        <w:rPr>
          <w:rFonts w:ascii="Times New Roman" w:hAnsi="Times New Roman" w:cs="Times New Roman"/>
          <w:sz w:val="24"/>
          <w:szCs w:val="24"/>
        </w:rPr>
        <w:t xml:space="preserve">praticam RSC </w:t>
      </w:r>
      <w:r w:rsidR="009813F3" w:rsidRPr="00704821">
        <w:rPr>
          <w:rFonts w:ascii="Times New Roman" w:hAnsi="Times New Roman" w:cs="Times New Roman"/>
          <w:sz w:val="24"/>
          <w:szCs w:val="24"/>
        </w:rPr>
        <w:t>em relação aos resíduos.</w:t>
      </w:r>
    </w:p>
    <w:p w14:paraId="54897956" w14:textId="5B575697" w:rsidR="00D366FF" w:rsidRPr="00704821" w:rsidRDefault="0025693E" w:rsidP="00BC7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O Quadro nº 04, </w:t>
      </w:r>
      <w:r w:rsidR="004F5552" w:rsidRPr="00704821">
        <w:rPr>
          <w:rFonts w:ascii="Times New Roman" w:hAnsi="Times New Roman" w:cs="Times New Roman"/>
          <w:sz w:val="24"/>
          <w:szCs w:val="24"/>
        </w:rPr>
        <w:t>demonstra</w:t>
      </w:r>
      <w:r w:rsidRPr="00704821">
        <w:rPr>
          <w:rFonts w:ascii="Times New Roman" w:hAnsi="Times New Roman" w:cs="Times New Roman"/>
          <w:sz w:val="24"/>
          <w:szCs w:val="24"/>
        </w:rPr>
        <w:t xml:space="preserve"> o resultado da etapa b da Análise de Conteúdo, qual seja, a Codificação</w:t>
      </w:r>
      <w:r w:rsidR="004F5552" w:rsidRPr="00704821">
        <w:rPr>
          <w:rFonts w:ascii="Times New Roman" w:hAnsi="Times New Roman" w:cs="Times New Roman"/>
          <w:sz w:val="24"/>
          <w:szCs w:val="24"/>
        </w:rPr>
        <w:t xml:space="preserve">, que expressa </w:t>
      </w:r>
      <w:r w:rsidR="00112C33" w:rsidRPr="00704821">
        <w:rPr>
          <w:rFonts w:ascii="Times New Roman" w:hAnsi="Times New Roman" w:cs="Times New Roman"/>
          <w:sz w:val="24"/>
          <w:szCs w:val="24"/>
        </w:rPr>
        <w:t>a</w:t>
      </w:r>
      <w:r w:rsidR="004F5552" w:rsidRPr="00704821">
        <w:rPr>
          <w:rFonts w:ascii="Times New Roman" w:hAnsi="Times New Roman" w:cs="Times New Roman"/>
          <w:sz w:val="24"/>
          <w:szCs w:val="24"/>
        </w:rPr>
        <w:t xml:space="preserve"> frequência de aparição das respectivas </w:t>
      </w:r>
      <w:r w:rsidR="00B956DF" w:rsidRPr="00704821">
        <w:rPr>
          <w:rFonts w:ascii="Times New Roman" w:hAnsi="Times New Roman" w:cs="Times New Roman"/>
          <w:sz w:val="24"/>
          <w:szCs w:val="24"/>
        </w:rPr>
        <w:t>UA</w:t>
      </w:r>
      <w:r w:rsidR="00C02CEC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112C33" w:rsidRPr="00704821">
        <w:rPr>
          <w:rFonts w:ascii="Times New Roman" w:hAnsi="Times New Roman" w:cs="Times New Roman"/>
          <w:sz w:val="24"/>
          <w:szCs w:val="24"/>
        </w:rPr>
        <w:t>Portanto</w:t>
      </w:r>
      <w:r w:rsidR="00C02CEC" w:rsidRPr="00704821">
        <w:rPr>
          <w:rFonts w:ascii="Times New Roman" w:hAnsi="Times New Roman" w:cs="Times New Roman"/>
          <w:sz w:val="24"/>
          <w:szCs w:val="24"/>
        </w:rPr>
        <w:t xml:space="preserve">, é possível relacionar as empresas com as </w:t>
      </w:r>
      <w:r w:rsidR="00B956DF" w:rsidRPr="00704821">
        <w:rPr>
          <w:rFonts w:ascii="Times New Roman" w:hAnsi="Times New Roman" w:cs="Times New Roman"/>
          <w:sz w:val="24"/>
          <w:szCs w:val="24"/>
        </w:rPr>
        <w:t>UA</w:t>
      </w:r>
      <w:r w:rsidR="00C02CEC" w:rsidRPr="00704821">
        <w:rPr>
          <w:rFonts w:ascii="Times New Roman" w:hAnsi="Times New Roman" w:cs="Times New Roman"/>
          <w:sz w:val="24"/>
          <w:szCs w:val="24"/>
        </w:rPr>
        <w:t xml:space="preserve"> presentes nos seus RIs e FRs</w:t>
      </w:r>
      <w:r w:rsidR="00112C33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6080FE67" w14:textId="0D2B9E26" w:rsidR="009C1C85" w:rsidRDefault="009813F3" w:rsidP="009C1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93696C">
        <w:rPr>
          <w:rFonts w:ascii="Times New Roman" w:hAnsi="Times New Roman" w:cs="Times New Roman"/>
          <w:sz w:val="24"/>
          <w:szCs w:val="24"/>
        </w:rPr>
        <w:t>Verificou-se</w:t>
      </w:r>
      <w:r w:rsidR="00D61249" w:rsidRPr="00704821">
        <w:rPr>
          <w:rFonts w:ascii="Times New Roman" w:hAnsi="Times New Roman" w:cs="Times New Roman"/>
          <w:sz w:val="24"/>
          <w:szCs w:val="24"/>
        </w:rPr>
        <w:t xml:space="preserve"> que tanto a UA 1 quanto a UA 8 estavam presentes nos FR e/ou RI de todas as 17 empresas. Outras unidades de análise que possuíram maior frequência foram UA 4 (16 vezes) e UA 10 (15 vezes). Observou-se que as empresas não estão evidenciando a PNRS adequadamente, pois</w:t>
      </w:r>
      <w:r w:rsidR="00F70DCC">
        <w:rPr>
          <w:rFonts w:ascii="Times New Roman" w:hAnsi="Times New Roman" w:cs="Times New Roman"/>
          <w:sz w:val="24"/>
          <w:szCs w:val="24"/>
        </w:rPr>
        <w:t>,</w:t>
      </w:r>
      <w:r w:rsidR="00D61249" w:rsidRPr="00704821">
        <w:rPr>
          <w:rFonts w:ascii="Times New Roman" w:hAnsi="Times New Roman" w:cs="Times New Roman"/>
          <w:sz w:val="24"/>
          <w:szCs w:val="24"/>
        </w:rPr>
        <w:t xml:space="preserve"> das 15 empresas que realizam gestão integrada de resíduos, apenas 7</w:t>
      </w:r>
      <w:r w:rsidR="0093696C">
        <w:rPr>
          <w:rFonts w:ascii="Times New Roman" w:hAnsi="Times New Roman" w:cs="Times New Roman"/>
          <w:sz w:val="24"/>
          <w:szCs w:val="24"/>
        </w:rPr>
        <w:t xml:space="preserve"> (sete) </w:t>
      </w:r>
      <w:r w:rsidR="0093696C" w:rsidRPr="00704821">
        <w:rPr>
          <w:rFonts w:ascii="Times New Roman" w:hAnsi="Times New Roman" w:cs="Times New Roman"/>
          <w:sz w:val="24"/>
          <w:szCs w:val="24"/>
        </w:rPr>
        <w:t>evidenciaram</w:t>
      </w:r>
      <w:r w:rsidR="0093696C">
        <w:rPr>
          <w:rFonts w:ascii="Times New Roman" w:hAnsi="Times New Roman" w:cs="Times New Roman"/>
          <w:sz w:val="24"/>
          <w:szCs w:val="24"/>
        </w:rPr>
        <w:t xml:space="preserve"> a </w:t>
      </w:r>
      <w:r w:rsidR="00F70DCC">
        <w:rPr>
          <w:rFonts w:ascii="Times New Roman" w:hAnsi="Times New Roman" w:cs="Times New Roman"/>
          <w:sz w:val="24"/>
          <w:szCs w:val="24"/>
        </w:rPr>
        <w:t xml:space="preserve">lei </w:t>
      </w:r>
      <w:r w:rsidR="009C1C85">
        <w:rPr>
          <w:rFonts w:ascii="Times New Roman" w:hAnsi="Times New Roman" w:cs="Times New Roman"/>
          <w:sz w:val="24"/>
          <w:szCs w:val="24"/>
        </w:rPr>
        <w:t>d</w:t>
      </w:r>
      <w:r w:rsidR="009C1C85" w:rsidRPr="00704821">
        <w:rPr>
          <w:rFonts w:ascii="Times New Roman" w:hAnsi="Times New Roman" w:cs="Times New Roman"/>
          <w:sz w:val="24"/>
          <w:szCs w:val="24"/>
        </w:rPr>
        <w:t>a PNRS em seus relatórios. Já as UA que obtiveram as menores frequências foram: UA 28, UA 31 e UA 7, sendo 1, 3 e 4 aparições, respectivamente.</w:t>
      </w:r>
      <w:r w:rsidR="009C1C85">
        <w:rPr>
          <w:rFonts w:ascii="Times New Roman" w:hAnsi="Times New Roman" w:cs="Times New Roman"/>
          <w:sz w:val="24"/>
          <w:szCs w:val="24"/>
        </w:rPr>
        <w:t xml:space="preserve"> </w:t>
      </w:r>
      <w:r w:rsidR="009C1C85" w:rsidRPr="00704821">
        <w:rPr>
          <w:rFonts w:ascii="Times New Roman" w:hAnsi="Times New Roman" w:cs="Times New Roman"/>
          <w:sz w:val="24"/>
          <w:szCs w:val="24"/>
        </w:rPr>
        <w:t>Também observou-se que existiram UA que não estavam presentes nos FR e RI dessas empresas no ano de 2015, são elas: UA 14, UA 19 e UA 20.</w:t>
      </w:r>
    </w:p>
    <w:p w14:paraId="5D5EE26F" w14:textId="77777777" w:rsidR="005441BF" w:rsidRPr="00704821" w:rsidRDefault="005441BF" w:rsidP="009C1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9EE8B" w14:textId="77777777" w:rsidR="00543292" w:rsidRPr="00704821" w:rsidRDefault="00543292" w:rsidP="005432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821">
        <w:rPr>
          <w:rFonts w:ascii="Times New Roman" w:hAnsi="Times New Roman" w:cs="Times New Roman"/>
          <w:sz w:val="20"/>
          <w:szCs w:val="20"/>
        </w:rPr>
        <w:t>Quadro 4 – Analise de conteúdo com base nas frequências observadas das UA.</w:t>
      </w:r>
    </w:p>
    <w:tbl>
      <w:tblPr>
        <w:tblStyle w:val="Tabelacomgrade"/>
        <w:tblW w:w="4865" w:type="pct"/>
        <w:jc w:val="center"/>
        <w:tblLook w:val="04A0" w:firstRow="1" w:lastRow="0" w:firstColumn="1" w:lastColumn="0" w:noHBand="0" w:noVBand="1"/>
      </w:tblPr>
      <w:tblGrid>
        <w:gridCol w:w="749"/>
        <w:gridCol w:w="427"/>
        <w:gridCol w:w="427"/>
        <w:gridCol w:w="426"/>
        <w:gridCol w:w="425"/>
        <w:gridCol w:w="425"/>
        <w:gridCol w:w="425"/>
        <w:gridCol w:w="425"/>
        <w:gridCol w:w="425"/>
        <w:gridCol w:w="425"/>
        <w:gridCol w:w="455"/>
        <w:gridCol w:w="455"/>
        <w:gridCol w:w="455"/>
        <w:gridCol w:w="455"/>
        <w:gridCol w:w="455"/>
        <w:gridCol w:w="455"/>
        <w:gridCol w:w="455"/>
        <w:gridCol w:w="457"/>
        <w:gridCol w:w="815"/>
      </w:tblGrid>
      <w:tr w:rsidR="00BE5BD0" w:rsidRPr="00704821" w14:paraId="4A334836" w14:textId="77777777" w:rsidTr="00E20379">
        <w:trPr>
          <w:jc w:val="center"/>
        </w:trPr>
        <w:tc>
          <w:tcPr>
            <w:tcW w:w="414" w:type="pct"/>
            <w:vMerge w:val="restart"/>
            <w:shd w:val="clear" w:color="auto" w:fill="D0CECE" w:themeFill="background2" w:themeFillShade="E6"/>
            <w:vAlign w:val="center"/>
          </w:tcPr>
          <w:p w14:paraId="6AA4C9C4" w14:textId="142387C4" w:rsidR="00BE5BD0" w:rsidRPr="00704821" w:rsidRDefault="009813F3" w:rsidP="00601E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UA</w:t>
            </w:r>
          </w:p>
        </w:tc>
        <w:tc>
          <w:tcPr>
            <w:tcW w:w="4135" w:type="pct"/>
            <w:gridSpan w:val="17"/>
            <w:shd w:val="clear" w:color="auto" w:fill="D0CECE" w:themeFill="background2" w:themeFillShade="E6"/>
          </w:tcPr>
          <w:p w14:paraId="4EDD435D" w14:textId="2B479C0D" w:rsidR="00BE5BD0" w:rsidRPr="00704821" w:rsidRDefault="00BE5BD0" w:rsidP="00BE5B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Empresas</w:t>
            </w:r>
            <w:r w:rsidR="00D254F9"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D0CECE" w:themeFill="background2" w:themeFillShade="E6"/>
            <w:vAlign w:val="center"/>
          </w:tcPr>
          <w:p w14:paraId="2F14C0C0" w14:textId="77777777" w:rsidR="00BE5BD0" w:rsidRPr="00704821" w:rsidRDefault="00BE5BD0" w:rsidP="00601E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BE5BD0" w:rsidRPr="00704821" w14:paraId="6FE93AD7" w14:textId="77777777" w:rsidTr="00E20379">
        <w:trPr>
          <w:jc w:val="center"/>
        </w:trPr>
        <w:tc>
          <w:tcPr>
            <w:tcW w:w="414" w:type="pct"/>
            <w:vMerge/>
            <w:shd w:val="clear" w:color="auto" w:fill="D0CECE" w:themeFill="background2" w:themeFillShade="E6"/>
          </w:tcPr>
          <w:p w14:paraId="2C661DE1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D0CECE" w:themeFill="background2" w:themeFillShade="E6"/>
            <w:vAlign w:val="center"/>
          </w:tcPr>
          <w:p w14:paraId="6495078B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6" w:type="pct"/>
            <w:shd w:val="clear" w:color="auto" w:fill="D0CECE" w:themeFill="background2" w:themeFillShade="E6"/>
            <w:vAlign w:val="center"/>
          </w:tcPr>
          <w:p w14:paraId="444F5249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6" w:type="pct"/>
            <w:shd w:val="clear" w:color="auto" w:fill="D0CECE" w:themeFill="background2" w:themeFillShade="E6"/>
            <w:vAlign w:val="center"/>
          </w:tcPr>
          <w:p w14:paraId="32149EDA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5" w:type="pct"/>
            <w:shd w:val="clear" w:color="auto" w:fill="D0CECE" w:themeFill="background2" w:themeFillShade="E6"/>
            <w:vAlign w:val="center"/>
          </w:tcPr>
          <w:p w14:paraId="5C1ECCFD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5" w:type="pct"/>
            <w:shd w:val="clear" w:color="auto" w:fill="D0CECE" w:themeFill="background2" w:themeFillShade="E6"/>
            <w:vAlign w:val="center"/>
          </w:tcPr>
          <w:p w14:paraId="24AADDCE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5" w:type="pct"/>
            <w:shd w:val="clear" w:color="auto" w:fill="D0CECE" w:themeFill="background2" w:themeFillShade="E6"/>
            <w:vAlign w:val="center"/>
          </w:tcPr>
          <w:p w14:paraId="4A0BDDC9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35" w:type="pct"/>
            <w:shd w:val="clear" w:color="auto" w:fill="D0CECE" w:themeFill="background2" w:themeFillShade="E6"/>
            <w:vAlign w:val="center"/>
          </w:tcPr>
          <w:p w14:paraId="44483977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35" w:type="pct"/>
            <w:shd w:val="clear" w:color="auto" w:fill="D0CECE" w:themeFill="background2" w:themeFillShade="E6"/>
            <w:vAlign w:val="center"/>
          </w:tcPr>
          <w:p w14:paraId="21D17515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5" w:type="pct"/>
            <w:shd w:val="clear" w:color="auto" w:fill="D0CECE" w:themeFill="background2" w:themeFillShade="E6"/>
            <w:vAlign w:val="center"/>
          </w:tcPr>
          <w:p w14:paraId="7B855ADA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52" w:type="pct"/>
            <w:shd w:val="clear" w:color="auto" w:fill="D0CECE" w:themeFill="background2" w:themeFillShade="E6"/>
            <w:vAlign w:val="center"/>
          </w:tcPr>
          <w:p w14:paraId="45FB4E30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2" w:type="pct"/>
            <w:shd w:val="clear" w:color="auto" w:fill="D0CECE" w:themeFill="background2" w:themeFillShade="E6"/>
            <w:vAlign w:val="center"/>
          </w:tcPr>
          <w:p w14:paraId="54F35DFB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2" w:type="pct"/>
            <w:shd w:val="clear" w:color="auto" w:fill="D0CECE" w:themeFill="background2" w:themeFillShade="E6"/>
            <w:vAlign w:val="center"/>
          </w:tcPr>
          <w:p w14:paraId="17693828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2" w:type="pct"/>
            <w:shd w:val="clear" w:color="auto" w:fill="D0CECE" w:themeFill="background2" w:themeFillShade="E6"/>
            <w:vAlign w:val="center"/>
          </w:tcPr>
          <w:p w14:paraId="3A9C256E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2" w:type="pct"/>
            <w:shd w:val="clear" w:color="auto" w:fill="D0CECE" w:themeFill="background2" w:themeFillShade="E6"/>
            <w:vAlign w:val="center"/>
          </w:tcPr>
          <w:p w14:paraId="1354D111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52" w:type="pct"/>
            <w:shd w:val="clear" w:color="auto" w:fill="D0CECE" w:themeFill="background2" w:themeFillShade="E6"/>
            <w:vAlign w:val="center"/>
          </w:tcPr>
          <w:p w14:paraId="37E5466D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52" w:type="pct"/>
            <w:shd w:val="clear" w:color="auto" w:fill="D0CECE" w:themeFill="background2" w:themeFillShade="E6"/>
            <w:vAlign w:val="center"/>
          </w:tcPr>
          <w:p w14:paraId="71CBA7D9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53" w:type="pct"/>
            <w:shd w:val="clear" w:color="auto" w:fill="D0CECE" w:themeFill="background2" w:themeFillShade="E6"/>
            <w:vAlign w:val="center"/>
          </w:tcPr>
          <w:p w14:paraId="2CF33162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51" w:type="pct"/>
            <w:vMerge/>
            <w:shd w:val="clear" w:color="auto" w:fill="D0CECE" w:themeFill="background2" w:themeFillShade="E6"/>
          </w:tcPr>
          <w:p w14:paraId="08BA58B1" w14:textId="77777777" w:rsidR="000D673D" w:rsidRPr="00704821" w:rsidRDefault="000D673D" w:rsidP="000D673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22DD7" w:rsidRPr="00704821" w14:paraId="55D678B4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61834151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bottom"/>
          </w:tcPr>
          <w:p w14:paraId="036D99F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1EB874E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256938B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50B11E1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35DD3EB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03BCAA5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77DF584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4E4A1D4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0C52920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6B7D5F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598B8B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2EF2A5E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2DD3B14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2D452EF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52276D5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4D9B1BAB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52814045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438B660A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922DD7" w:rsidRPr="00704821" w14:paraId="399A88C4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1FE180E3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  <w:vAlign w:val="bottom"/>
          </w:tcPr>
          <w:p w14:paraId="291A42B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6F7ED79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7021F65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61F4B89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0459F68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0A53A76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464A1F1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4988FA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0BCCA82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455BC4D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C9C7DA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4A8D0C9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2028DB3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A6DB49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3DB55A1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714D493D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3CFFAE29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37C91E42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922DD7" w:rsidRPr="00704821" w14:paraId="255A420F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787DA948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  <w:vAlign w:val="bottom"/>
          </w:tcPr>
          <w:p w14:paraId="07D4267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70D39D7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014D6F2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  <w:vAlign w:val="bottom"/>
          </w:tcPr>
          <w:p w14:paraId="12ACC06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085E9FA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311F229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127EF26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B263F0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54DF84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4B3AAB7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24D123F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065C860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268DA9B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23B45A5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58F9E64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06037674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4DE3F903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3DD4BCC2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922DD7" w:rsidRPr="00704821" w14:paraId="7F3ADA86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12A4FC4A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  <w:vAlign w:val="bottom"/>
          </w:tcPr>
          <w:p w14:paraId="5E6F574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7073578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13F23DC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4F398DE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6E05CC1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6F7404F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0EE895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6A18795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47F4068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77AB2F8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7D4C0B2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954328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E2345C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0A38A9E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3AD9D44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51B0D8AB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0874F928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0A872FA1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922DD7" w:rsidRPr="00704821" w14:paraId="583BBA57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0FDE38E0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  <w:vAlign w:val="bottom"/>
          </w:tcPr>
          <w:p w14:paraId="5B3895F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24DDB4C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686C981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  <w:vAlign w:val="bottom"/>
          </w:tcPr>
          <w:p w14:paraId="2913C93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71AACB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561376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0D986B7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B5FEC1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19F197E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645D7FC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71FC406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7540597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40B5B36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15B049A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2706D10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4B8DE451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1D7CCB0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57865A1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22DD7" w:rsidRPr="00704821" w14:paraId="2C558C6E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0668711A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" w:type="pct"/>
            <w:vAlign w:val="bottom"/>
          </w:tcPr>
          <w:p w14:paraId="6FC7AF9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5AA7EFB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77A46B2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79AF233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4EE7A90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84BA77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9635B3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3B00E0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4417C8F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5F846C4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763B293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6A86CF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668CE5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4DC0C98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7801204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5E403FDF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61DF466B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4D9D731A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22DD7" w:rsidRPr="00704821" w14:paraId="47B102BA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68F92596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6" w:type="pct"/>
            <w:vAlign w:val="bottom"/>
          </w:tcPr>
          <w:p w14:paraId="3923CC3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2D5E93A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20534B8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  <w:vAlign w:val="bottom"/>
          </w:tcPr>
          <w:p w14:paraId="368650E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9DB020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41EA1C1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4D446BC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4E6BD4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32F92C4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C24A2E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448AE64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1FB090D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53B0CB7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407B564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56A9896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410A1E2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3C345653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3EE08DE9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22DD7" w:rsidRPr="00704821" w14:paraId="0B195A0E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6CC286AA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" w:type="pct"/>
            <w:vAlign w:val="bottom"/>
          </w:tcPr>
          <w:p w14:paraId="7DB5139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26BCFD4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3B4DE8B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36E5460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14BBCE4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03E4ACC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76C4BF8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74F4A68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68A6BA5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F47F90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72904F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2BB1456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4ABFBAE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38715AB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6FB2574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27CA2F9B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129122CE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64F0F5FA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922DD7" w:rsidRPr="00704821" w14:paraId="71D89BCC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66A08394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" w:type="pct"/>
            <w:vAlign w:val="bottom"/>
          </w:tcPr>
          <w:p w14:paraId="36E4C35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0125F29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27D9320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525FEFF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45866E8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14BEAD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687D2F3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5894D8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1F6F701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12BB92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56A2F9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5B045F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3679D31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7AA45E4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0EC13E0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26757EF7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04949D34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545F94B4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922DD7" w:rsidRPr="00704821" w14:paraId="06B94C34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1DDDDC38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6" w:type="pct"/>
            <w:vAlign w:val="bottom"/>
          </w:tcPr>
          <w:p w14:paraId="6356149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786143F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467A3E4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5AB38C3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35163DA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3148AB5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4BE27A8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4A8471C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560DB11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6508CD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3B38C04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0B34E39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070B1CF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0635A7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0E936C0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48A4946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6CDED670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3BD57369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22DD7" w:rsidRPr="00704821" w14:paraId="6A0825F9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0DAD1E31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6" w:type="pct"/>
            <w:vAlign w:val="bottom"/>
          </w:tcPr>
          <w:p w14:paraId="456BF33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595EBF1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22D629C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0D0D8F4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5C3DBA4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471F434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1565CC3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D57713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1E9FC0D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71B510C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4A518FF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360DB3C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46B5BA9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44C43DF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378B453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74EC1AAF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20C8B080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4E27DAF7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922DD7" w:rsidRPr="00704821" w14:paraId="282C5507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55A59F0B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6" w:type="pct"/>
            <w:vAlign w:val="bottom"/>
          </w:tcPr>
          <w:p w14:paraId="4DD33DD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3BF7461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18484E3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28EDBC3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43599BB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FB67A6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68224C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9CA711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666238A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6123634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25A3D4F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192DB01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08CA451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2C872A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6EE3EDA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391FF55B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1A1482FF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1FF2296F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922DD7" w:rsidRPr="00704821" w14:paraId="4B5B048C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47C6AEE1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6" w:type="pct"/>
            <w:vAlign w:val="bottom"/>
          </w:tcPr>
          <w:p w14:paraId="2C2FD69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4247309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401F3E3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09A26A0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36CB0C5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6A4AE4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16BFE49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5AB1512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5F83B01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5A06670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42AB2BC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3BBAEF3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0D7727B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2F3B1CB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09C9DA7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1FCF11B3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65E6CD47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625E010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922DD7" w:rsidRPr="00704821" w14:paraId="7E9C7696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7DCA4ADE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6" w:type="pct"/>
            <w:vAlign w:val="bottom"/>
          </w:tcPr>
          <w:p w14:paraId="54A728F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2BDAC75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031D74D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  <w:vAlign w:val="bottom"/>
          </w:tcPr>
          <w:p w14:paraId="1C187D6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2909B3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309F449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916B33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6E6097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205F4D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98DE6E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73E09BE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0ACA31F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09EC393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465C7E7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656CD35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1AF42286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22DD1C77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1799B409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22DD7" w:rsidRPr="00704821" w14:paraId="02760045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537E56F8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6" w:type="pct"/>
            <w:vAlign w:val="bottom"/>
          </w:tcPr>
          <w:p w14:paraId="30DB595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69FE172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53CAD26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26F6FC8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6C42C6F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8D70E1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4D43D8E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3EE5D6C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126CC87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7252431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8E55B8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71F4C8C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56C7040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2BF2986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14CE483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48B45B4A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4A1EF768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21061C3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22DD7" w:rsidRPr="00704821" w14:paraId="46EECD02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03F4FBB6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6" w:type="pct"/>
            <w:vAlign w:val="bottom"/>
          </w:tcPr>
          <w:p w14:paraId="686921C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2441A3A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05301C7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21C05F5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6C1748B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44DEE8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4CC4545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2E42FE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70F51E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1C66E6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04862A9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2A1C3C5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843C7E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7B578FE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69394FB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56B4DB01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73428AEE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5AD8B6EF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22DD7" w:rsidRPr="00704821" w14:paraId="2BD5BCDB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523BABEE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6" w:type="pct"/>
            <w:vAlign w:val="bottom"/>
          </w:tcPr>
          <w:p w14:paraId="563F9A0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610422A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76B352E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  <w:vAlign w:val="bottom"/>
          </w:tcPr>
          <w:p w14:paraId="587FBAF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373449C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C0046E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1AC779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3075935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9A200C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4705283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2BE48FD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7A6FC88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2D6BF80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2217AF8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01B5158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1B087759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2ED762D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17F84E04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22DD7" w:rsidRPr="00704821" w14:paraId="0CBF1E30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41BAE963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6" w:type="pct"/>
            <w:vAlign w:val="bottom"/>
          </w:tcPr>
          <w:p w14:paraId="3A984DE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7FF1C06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786F2AA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5BC5010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2FC5E6E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636FE1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16BE5C4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1FE5B6F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4AA86ED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3AB1949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499E0DD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4F85D8A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CD57FE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059940E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635A976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257050C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60D862E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6857D624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922DD7" w:rsidRPr="00704821" w14:paraId="5750CFFD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1AF5DBA0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6" w:type="pct"/>
            <w:vAlign w:val="bottom"/>
          </w:tcPr>
          <w:p w14:paraId="64F747D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7D8BDE3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79D8DF6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  <w:vAlign w:val="bottom"/>
          </w:tcPr>
          <w:p w14:paraId="0FFEB91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3A0FCFB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0BA0A54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CF2648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A08261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5A9913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65352E3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443BE80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49401BE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3B7BF0F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CD92C5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52861CC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7E0AFA12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06288771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5BE0BA1D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22DD7" w:rsidRPr="00704821" w14:paraId="01B98BBA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5247F480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6" w:type="pct"/>
            <w:vAlign w:val="bottom"/>
          </w:tcPr>
          <w:p w14:paraId="2D7BB94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7E80A0E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27A9A74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  <w:vAlign w:val="bottom"/>
          </w:tcPr>
          <w:p w14:paraId="3282C48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DBA4D4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4F34702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9BF07D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09DB3F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D0E5FF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0B84D1B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016E0F6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7652C06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5FAC40A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6E38469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7FF9E4F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30D2330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0AFD2050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2BCD6572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22DD7" w:rsidRPr="00704821" w14:paraId="22549102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463212B8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6" w:type="pct"/>
            <w:vAlign w:val="bottom"/>
          </w:tcPr>
          <w:p w14:paraId="0A0506E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7DE5645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64463FF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76106D3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6F3C028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C39933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7D26CC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EA4754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634BE7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07B137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5CA5FC2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6C7CBD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9E40F9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D36B97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1776117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278949D7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58E292BF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07249AD5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22DD7" w:rsidRPr="00704821" w14:paraId="4748CB93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214BB2F9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6" w:type="pct"/>
            <w:vAlign w:val="bottom"/>
          </w:tcPr>
          <w:p w14:paraId="701DCB9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4218C84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4BC85D6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  <w:vAlign w:val="bottom"/>
          </w:tcPr>
          <w:p w14:paraId="60B3294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544471B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0CB9E9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E91207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098366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0A6AC82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3D8C903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5485CCA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2C09C6E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0E1FDB9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7738039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3AEFEDD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21831291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3C6BFB86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159D1C06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22DD7" w:rsidRPr="00704821" w14:paraId="41EE6959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4EB6A57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6" w:type="pct"/>
            <w:vAlign w:val="bottom"/>
          </w:tcPr>
          <w:p w14:paraId="4FF7732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630917E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6EE6BB0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  <w:vAlign w:val="bottom"/>
          </w:tcPr>
          <w:p w14:paraId="24A0F72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4E3621E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0DC078F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BEE270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6A5B017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4054239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76E6779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028732A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17AFE7B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258712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25F8EB3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59634F0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51DAA68A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4C33D96B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7C28BD2D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22DD7" w:rsidRPr="00704821" w14:paraId="0E252566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724C5ADD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6" w:type="pct"/>
            <w:vAlign w:val="bottom"/>
          </w:tcPr>
          <w:p w14:paraId="7646C0D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1360584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7226D4A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56BA2F5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3FB6061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4513E3F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71D452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8F2115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990880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68BF68A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21FC9E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890A17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0F8E4AB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0D4053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40D939E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688EC607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484FF174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3DEED318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922DD7" w:rsidRPr="00704821" w14:paraId="74EFC565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42188030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6" w:type="pct"/>
            <w:vAlign w:val="bottom"/>
          </w:tcPr>
          <w:p w14:paraId="40FA8BE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66D4F36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128BA1C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  <w:vAlign w:val="bottom"/>
          </w:tcPr>
          <w:p w14:paraId="11C8ED9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4504F9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80B20F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DFD536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A75EAB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8B9525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78984C0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05A9E84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2410B7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7461B0F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2CFD52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5A31A4D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3D8CC9BB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5D23E2A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44BBD539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22DD7" w:rsidRPr="00704821" w14:paraId="20C31B2C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2D749DCB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6" w:type="pct"/>
            <w:vAlign w:val="bottom"/>
          </w:tcPr>
          <w:p w14:paraId="6DD6300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4CFCD6E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1ACE3B6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74C9E18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FDE666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120ADC8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45BAE48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2DDF20A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3F4BDA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3F1C635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3F1CF3B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4BEF39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3C9403E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1567A90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44CBB2F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559E0752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vAlign w:val="bottom"/>
          </w:tcPr>
          <w:p w14:paraId="2A8BC136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1" w:type="pct"/>
          </w:tcPr>
          <w:p w14:paraId="4E800816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922DD7" w:rsidRPr="00704821" w14:paraId="0B08C353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77F61F07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6" w:type="pct"/>
            <w:vAlign w:val="bottom"/>
          </w:tcPr>
          <w:p w14:paraId="38114AA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0A69ACE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131BEC2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313F1E6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D7F5DB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A3C1E8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F6D3A4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4C627A9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906760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07EAF61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BEE7FA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7A5151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43262BB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2A6876C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04A0B17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23C40209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318EDFC6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512B73DD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922DD7" w:rsidRPr="00704821" w14:paraId="60743C76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6A39F90D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6" w:type="pct"/>
            <w:vAlign w:val="bottom"/>
          </w:tcPr>
          <w:p w14:paraId="4D1466E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22BB829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0E8D547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  <w:vAlign w:val="bottom"/>
          </w:tcPr>
          <w:p w14:paraId="5EEF086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1321BB0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10108EB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6403C3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495361E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1EE0874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26B39CB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539103F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7D51AD2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416CF1F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0B8B2BC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751B611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36686322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5DAFD69B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3DC8EE8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922DD7" w:rsidRPr="00704821" w14:paraId="37028087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66405F45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6" w:type="pct"/>
            <w:vAlign w:val="bottom"/>
          </w:tcPr>
          <w:p w14:paraId="4E93C33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15B4029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35D377B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0CA4E88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D78266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756533B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467D396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4D1053D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066CA7F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17447D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34F48A7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24702FF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7EED474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FD3AD1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26A3CD1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74FF58FF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03061B96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1C5D012B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22DD7" w:rsidRPr="00704821" w14:paraId="51CA8619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76098478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6" w:type="pct"/>
            <w:vAlign w:val="bottom"/>
          </w:tcPr>
          <w:p w14:paraId="662BF01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3EA6B65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1CADF77B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58FBF54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4FDD5E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904A7D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32A876B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03DE40F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006FF7D7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6283A2F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F107A0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6625899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491BA724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44E7E8A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0FD4D03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2" w:type="pct"/>
            <w:vAlign w:val="bottom"/>
          </w:tcPr>
          <w:p w14:paraId="7245AD3E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761411BD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7AF9875A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22DD7" w:rsidRPr="00704821" w14:paraId="2F3412A2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61875767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6" w:type="pct"/>
            <w:vAlign w:val="bottom"/>
          </w:tcPr>
          <w:p w14:paraId="203100F5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12FE781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vAlign w:val="bottom"/>
          </w:tcPr>
          <w:p w14:paraId="4752EAD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53073E8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7F76CE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4A19D74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5C646DD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13D6FA5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394FCE8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45B1E2F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545DB942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2A98FF6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4A8AF7D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5053FD9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4134E3BF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2511F852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3D7024C7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</w:tcPr>
          <w:p w14:paraId="123FA89C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22DD7" w:rsidRPr="00704821" w14:paraId="51D243E0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7BBB9FE6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36" w:type="pct"/>
            <w:vAlign w:val="bottom"/>
          </w:tcPr>
          <w:p w14:paraId="67F22C98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50A5AEB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vAlign w:val="bottom"/>
          </w:tcPr>
          <w:p w14:paraId="7F2D7B99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  <w:vAlign w:val="bottom"/>
          </w:tcPr>
          <w:p w14:paraId="0EEB8ED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5" w:type="pct"/>
          </w:tcPr>
          <w:p w14:paraId="7DD3F4D1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4763FBE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61C377B3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22D4035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" w:type="pct"/>
          </w:tcPr>
          <w:p w14:paraId="3A91F1DC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0BF84E0E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4FD72D5A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0CF3AD5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7B4E9030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2" w:type="pct"/>
          </w:tcPr>
          <w:p w14:paraId="0FFE859D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32589B66" w14:textId="77777777" w:rsidR="00922DD7" w:rsidRPr="00704821" w:rsidRDefault="00922DD7" w:rsidP="00922D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  <w:vAlign w:val="bottom"/>
          </w:tcPr>
          <w:p w14:paraId="0C4E56D9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" w:type="pct"/>
            <w:vAlign w:val="bottom"/>
          </w:tcPr>
          <w:p w14:paraId="34667E8D" w14:textId="77777777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5B11B825" w14:textId="2EB9E5D3" w:rsidR="00922DD7" w:rsidRPr="00704821" w:rsidRDefault="00922DD7" w:rsidP="00922D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D1C12" w:rsidRPr="00704821" w14:paraId="23EF9EB0" w14:textId="77777777" w:rsidTr="00E20379">
        <w:trPr>
          <w:jc w:val="center"/>
        </w:trPr>
        <w:tc>
          <w:tcPr>
            <w:tcW w:w="414" w:type="pct"/>
            <w:shd w:val="clear" w:color="auto" w:fill="D0CECE" w:themeFill="background2" w:themeFillShade="E6"/>
          </w:tcPr>
          <w:p w14:paraId="72A2E47E" w14:textId="68F05E03" w:rsidR="000D1C12" w:rsidRPr="00704821" w:rsidRDefault="000D1C12" w:rsidP="00922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36" w:type="pct"/>
            <w:vAlign w:val="bottom"/>
          </w:tcPr>
          <w:p w14:paraId="6E249C6C" w14:textId="3096BC38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36" w:type="pct"/>
            <w:vAlign w:val="bottom"/>
          </w:tcPr>
          <w:p w14:paraId="0D91D598" w14:textId="4A78B204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36" w:type="pct"/>
            <w:vAlign w:val="bottom"/>
          </w:tcPr>
          <w:p w14:paraId="2EBBF386" w14:textId="5031F84E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35" w:type="pct"/>
            <w:vAlign w:val="bottom"/>
          </w:tcPr>
          <w:p w14:paraId="7B7A2435" w14:textId="7C967574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35" w:type="pct"/>
          </w:tcPr>
          <w:p w14:paraId="17CBFEDE" w14:textId="3324DFD3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5" w:type="pct"/>
          </w:tcPr>
          <w:p w14:paraId="07FD36A3" w14:textId="28AB5EB8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5" w:type="pct"/>
          </w:tcPr>
          <w:p w14:paraId="1825B03B" w14:textId="515D941B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5" w:type="pct"/>
          </w:tcPr>
          <w:p w14:paraId="78E696EE" w14:textId="5862C733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14:paraId="41391DF3" w14:textId="6080C4DE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2" w:type="pct"/>
          </w:tcPr>
          <w:p w14:paraId="473EC5EC" w14:textId="6A3E3C3D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52" w:type="pct"/>
          </w:tcPr>
          <w:p w14:paraId="4E3BD5FC" w14:textId="578B0C4D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52" w:type="pct"/>
          </w:tcPr>
          <w:p w14:paraId="688D09EC" w14:textId="68FEE907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2" w:type="pct"/>
          </w:tcPr>
          <w:p w14:paraId="05C299B9" w14:textId="3AD39614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52" w:type="pct"/>
          </w:tcPr>
          <w:p w14:paraId="159012C5" w14:textId="0AC78302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52" w:type="pct"/>
            <w:vAlign w:val="bottom"/>
          </w:tcPr>
          <w:p w14:paraId="532CCAC2" w14:textId="1982DD02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52" w:type="pct"/>
            <w:vAlign w:val="bottom"/>
          </w:tcPr>
          <w:p w14:paraId="786B6158" w14:textId="69031007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53" w:type="pct"/>
            <w:vAlign w:val="bottom"/>
          </w:tcPr>
          <w:p w14:paraId="4A826A40" w14:textId="2A604747" w:rsidR="000D1C12" w:rsidRPr="00704821" w:rsidRDefault="00F60DEB" w:rsidP="00F60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51" w:type="pct"/>
            <w:tcBorders>
              <w:tr2bl w:val="single" w:sz="4" w:space="0" w:color="auto"/>
            </w:tcBorders>
            <w:shd w:val="clear" w:color="auto" w:fill="BFBFBF" w:themeFill="background1" w:themeFillShade="BF"/>
          </w:tcPr>
          <w:p w14:paraId="0832E7B4" w14:textId="77777777" w:rsidR="000D1C12" w:rsidRPr="00704821" w:rsidRDefault="000D1C12" w:rsidP="00922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F4DC64F" w14:textId="584B787D" w:rsidR="000D018D" w:rsidRPr="00704821" w:rsidRDefault="000D018D" w:rsidP="000D0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821">
        <w:rPr>
          <w:rFonts w:ascii="Times New Roman" w:hAnsi="Times New Roman" w:cs="Times New Roman"/>
          <w:sz w:val="20"/>
          <w:szCs w:val="20"/>
        </w:rPr>
        <w:t>Fonte: Elaborado com base nos dados da pesquisa.</w:t>
      </w:r>
    </w:p>
    <w:p w14:paraId="1935866D" w14:textId="77777777" w:rsidR="00E20379" w:rsidRPr="00704821" w:rsidRDefault="00E20379" w:rsidP="00263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282A1F" w14:textId="706D906B" w:rsidR="00D55BC9" w:rsidRPr="00704821" w:rsidRDefault="00C66422" w:rsidP="00511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Em relação as evidenciações da PNRS presentes nos </w:t>
      </w:r>
      <w:r w:rsidR="00D954B6" w:rsidRPr="00704821">
        <w:rPr>
          <w:rFonts w:ascii="Times New Roman" w:hAnsi="Times New Roman" w:cs="Times New Roman"/>
          <w:sz w:val="24"/>
          <w:szCs w:val="24"/>
        </w:rPr>
        <w:t>FRs</w:t>
      </w:r>
      <w:r w:rsidRPr="00704821">
        <w:rPr>
          <w:rFonts w:ascii="Times New Roman" w:hAnsi="Times New Roman" w:cs="Times New Roman"/>
          <w:sz w:val="24"/>
          <w:szCs w:val="24"/>
        </w:rPr>
        <w:t xml:space="preserve">, observou-se predomínio dos campos </w:t>
      </w:r>
      <w:r w:rsidR="006B76D1" w:rsidRPr="00704821">
        <w:rPr>
          <w:rFonts w:ascii="Times New Roman" w:hAnsi="Times New Roman" w:cs="Times New Roman"/>
          <w:sz w:val="24"/>
          <w:szCs w:val="24"/>
        </w:rPr>
        <w:t xml:space="preserve">nº </w:t>
      </w:r>
      <w:r w:rsidR="00DD3B7D" w:rsidRPr="00704821">
        <w:rPr>
          <w:rFonts w:ascii="Times New Roman" w:hAnsi="Times New Roman" w:cs="Times New Roman"/>
          <w:sz w:val="24"/>
          <w:szCs w:val="24"/>
        </w:rPr>
        <w:t>4. Fatores</w:t>
      </w:r>
      <w:r w:rsidRPr="00704821">
        <w:rPr>
          <w:rFonts w:ascii="Times New Roman" w:hAnsi="Times New Roman" w:cs="Times New Roman"/>
          <w:sz w:val="24"/>
          <w:szCs w:val="24"/>
        </w:rPr>
        <w:t xml:space="preserve"> de Risco e </w:t>
      </w:r>
      <w:r w:rsidR="006B76D1" w:rsidRPr="00704821">
        <w:rPr>
          <w:rFonts w:ascii="Times New Roman" w:hAnsi="Times New Roman" w:cs="Times New Roman"/>
          <w:sz w:val="24"/>
          <w:szCs w:val="24"/>
        </w:rPr>
        <w:t xml:space="preserve">nº </w:t>
      </w:r>
      <w:r w:rsidRPr="00704821">
        <w:rPr>
          <w:rFonts w:ascii="Times New Roman" w:hAnsi="Times New Roman" w:cs="Times New Roman"/>
          <w:sz w:val="24"/>
          <w:szCs w:val="24"/>
        </w:rPr>
        <w:t>7.</w:t>
      </w:r>
      <w:r w:rsidR="00887A2E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Atividades do Emissor. Com relação aos fatores de risco, foram elencados</w:t>
      </w:r>
      <w:r w:rsidR="00180CF2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principalmente</w:t>
      </w:r>
      <w:r w:rsidR="00180CF2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os riscos legais (ou regulações), riscos socioambientais e também contingências (principalmente passivos referentes a ações judiciais). A empresa Duke Energy S.A (ID 9)</w:t>
      </w:r>
      <w:r w:rsidR="00D954B6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por exemplo, discorreu no </w:t>
      </w:r>
      <w:r w:rsidR="00D954B6" w:rsidRPr="00704821">
        <w:rPr>
          <w:rFonts w:ascii="Times New Roman" w:hAnsi="Times New Roman" w:cs="Times New Roman"/>
          <w:sz w:val="24"/>
          <w:szCs w:val="24"/>
        </w:rPr>
        <w:t>FR</w:t>
      </w:r>
      <w:r w:rsidRPr="00704821">
        <w:rPr>
          <w:rFonts w:ascii="Times New Roman" w:hAnsi="Times New Roman" w:cs="Times New Roman"/>
          <w:sz w:val="24"/>
          <w:szCs w:val="24"/>
        </w:rPr>
        <w:t xml:space="preserve"> que </w:t>
      </w:r>
      <w:r w:rsidR="000D1C12" w:rsidRPr="00704821">
        <w:rPr>
          <w:rFonts w:ascii="Times New Roman" w:hAnsi="Times New Roman" w:cs="Times New Roman"/>
          <w:sz w:val="24"/>
          <w:szCs w:val="24"/>
        </w:rPr>
        <w:t>foi</w:t>
      </w:r>
      <w:r w:rsidRPr="00704821">
        <w:rPr>
          <w:rFonts w:ascii="Times New Roman" w:hAnsi="Times New Roman" w:cs="Times New Roman"/>
          <w:sz w:val="24"/>
          <w:szCs w:val="24"/>
        </w:rPr>
        <w:t xml:space="preserve"> san</w:t>
      </w:r>
      <w:r w:rsidR="000D1C12" w:rsidRPr="00704821">
        <w:rPr>
          <w:rFonts w:ascii="Times New Roman" w:hAnsi="Times New Roman" w:cs="Times New Roman"/>
          <w:sz w:val="24"/>
          <w:szCs w:val="24"/>
        </w:rPr>
        <w:t>cionada e multada por</w:t>
      </w:r>
      <w:r w:rsidRPr="00704821">
        <w:rPr>
          <w:rFonts w:ascii="Times New Roman" w:hAnsi="Times New Roman" w:cs="Times New Roman"/>
          <w:sz w:val="24"/>
          <w:szCs w:val="24"/>
        </w:rPr>
        <w:t xml:space="preserve"> órgãos fiscalizadores e que realiza provisionamento de passivos jurídi</w:t>
      </w:r>
      <w:r w:rsidR="00EE1797" w:rsidRPr="00704821">
        <w:rPr>
          <w:rFonts w:ascii="Times New Roman" w:hAnsi="Times New Roman" w:cs="Times New Roman"/>
          <w:sz w:val="24"/>
          <w:szCs w:val="24"/>
        </w:rPr>
        <w:t>cos para a questão de resíduos</w:t>
      </w:r>
      <w:r w:rsidR="00461C18" w:rsidRPr="00704821">
        <w:rPr>
          <w:rFonts w:ascii="Times New Roman" w:hAnsi="Times New Roman" w:cs="Times New Roman"/>
          <w:sz w:val="24"/>
          <w:szCs w:val="24"/>
        </w:rPr>
        <w:t xml:space="preserve"> sólidos</w:t>
      </w:r>
      <w:r w:rsidR="00EE1797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69E4C3F2" w14:textId="1250592A" w:rsidR="00C66422" w:rsidRPr="00704821" w:rsidRDefault="00D55BC9" w:rsidP="00511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Com relação ao campo 7 do FR, </w:t>
      </w:r>
      <w:r w:rsidR="00DD3B7D" w:rsidRPr="00704821">
        <w:rPr>
          <w:rFonts w:ascii="Times New Roman" w:hAnsi="Times New Roman" w:cs="Times New Roman"/>
          <w:sz w:val="24"/>
          <w:szCs w:val="24"/>
        </w:rPr>
        <w:t>o qual discorre sobre as Atividad</w:t>
      </w:r>
      <w:r w:rsidRPr="00704821">
        <w:rPr>
          <w:rFonts w:ascii="Times New Roman" w:hAnsi="Times New Roman" w:cs="Times New Roman"/>
          <w:sz w:val="24"/>
          <w:szCs w:val="24"/>
        </w:rPr>
        <w:t>es do Emissor, per</w:t>
      </w:r>
      <w:r w:rsidR="00DD3B7D" w:rsidRPr="00704821">
        <w:rPr>
          <w:rFonts w:ascii="Times New Roman" w:hAnsi="Times New Roman" w:cs="Times New Roman"/>
          <w:sz w:val="24"/>
          <w:szCs w:val="24"/>
        </w:rPr>
        <w:t xml:space="preserve">cebeu-se predomínio </w:t>
      </w:r>
      <w:r w:rsidRPr="00704821">
        <w:rPr>
          <w:rFonts w:ascii="Times New Roman" w:hAnsi="Times New Roman" w:cs="Times New Roman"/>
          <w:sz w:val="24"/>
          <w:szCs w:val="24"/>
        </w:rPr>
        <w:t xml:space="preserve">dos </w:t>
      </w:r>
      <w:r w:rsidR="00D20ECE" w:rsidRPr="00704821">
        <w:rPr>
          <w:rFonts w:ascii="Times New Roman" w:hAnsi="Times New Roman" w:cs="Times New Roman"/>
          <w:sz w:val="24"/>
          <w:szCs w:val="24"/>
        </w:rPr>
        <w:t xml:space="preserve">campos, </w:t>
      </w:r>
      <w:r w:rsidRPr="00704821">
        <w:rPr>
          <w:rFonts w:ascii="Times New Roman" w:hAnsi="Times New Roman" w:cs="Times New Roman"/>
          <w:sz w:val="24"/>
          <w:szCs w:val="24"/>
        </w:rPr>
        <w:t>Efeitos da Regulação e também Políticas Socioambientais. A empresa Sanepar</w:t>
      </w:r>
      <w:r w:rsidR="002C51B5" w:rsidRPr="00704821">
        <w:rPr>
          <w:rFonts w:ascii="Times New Roman" w:hAnsi="Times New Roman" w:cs="Times New Roman"/>
          <w:sz w:val="24"/>
          <w:szCs w:val="24"/>
        </w:rPr>
        <w:t xml:space="preserve"> (ID 1)</w:t>
      </w:r>
      <w:r w:rsidR="0051368E" w:rsidRPr="00704821">
        <w:rPr>
          <w:rFonts w:ascii="Times New Roman" w:hAnsi="Times New Roman" w:cs="Times New Roman"/>
          <w:sz w:val="24"/>
          <w:szCs w:val="24"/>
        </w:rPr>
        <w:t xml:space="preserve"> decla</w:t>
      </w:r>
      <w:r w:rsidR="00D20ECE" w:rsidRPr="00704821">
        <w:rPr>
          <w:rFonts w:ascii="Times New Roman" w:hAnsi="Times New Roman" w:cs="Times New Roman"/>
          <w:sz w:val="24"/>
          <w:szCs w:val="24"/>
        </w:rPr>
        <w:t>r</w:t>
      </w:r>
      <w:r w:rsidR="0051368E" w:rsidRPr="00704821">
        <w:rPr>
          <w:rFonts w:ascii="Times New Roman" w:hAnsi="Times New Roman" w:cs="Times New Roman"/>
          <w:sz w:val="24"/>
          <w:szCs w:val="24"/>
        </w:rPr>
        <w:t xml:space="preserve">ou que </w:t>
      </w:r>
      <w:r w:rsidRPr="00704821">
        <w:rPr>
          <w:rFonts w:ascii="Times New Roman" w:hAnsi="Times New Roman" w:cs="Times New Roman"/>
          <w:sz w:val="24"/>
          <w:szCs w:val="24"/>
        </w:rPr>
        <w:t xml:space="preserve">está subordinada </w:t>
      </w:r>
      <w:r w:rsidR="00D20ECE" w:rsidRPr="00704821">
        <w:rPr>
          <w:rFonts w:ascii="Times New Roman" w:hAnsi="Times New Roman" w:cs="Times New Roman"/>
          <w:sz w:val="24"/>
          <w:szCs w:val="24"/>
        </w:rPr>
        <w:t xml:space="preserve">a </w:t>
      </w:r>
      <w:r w:rsidRPr="00704821">
        <w:rPr>
          <w:rFonts w:ascii="Times New Roman" w:hAnsi="Times New Roman" w:cs="Times New Roman"/>
          <w:sz w:val="24"/>
          <w:szCs w:val="24"/>
        </w:rPr>
        <w:t xml:space="preserve">Lei de Saneamento Básico e </w:t>
      </w:r>
      <w:r w:rsidR="00D20ECE" w:rsidRPr="00704821">
        <w:rPr>
          <w:rFonts w:ascii="Times New Roman" w:hAnsi="Times New Roman" w:cs="Times New Roman"/>
          <w:sz w:val="24"/>
          <w:szCs w:val="24"/>
        </w:rPr>
        <w:t xml:space="preserve">às </w:t>
      </w:r>
      <w:r w:rsidRPr="00704821">
        <w:rPr>
          <w:rFonts w:ascii="Times New Roman" w:hAnsi="Times New Roman" w:cs="Times New Roman"/>
          <w:sz w:val="24"/>
          <w:szCs w:val="24"/>
        </w:rPr>
        <w:t xml:space="preserve">Leis Estaduais nº 16.242/09 e nº 12.726/99 (PR) e que devido a esse fato, já promove a gestão de resíduos antes mesmo da PNRS entrar em vigência. A empresa citou algumas evidências de gestão de resíduos, tais como a construção do aterro sanitário (certificado com ISO 14001:2006) no município de Cianorte/PR em 2013 e </w:t>
      </w:r>
      <w:r w:rsidR="007176AE" w:rsidRPr="00704821">
        <w:rPr>
          <w:rFonts w:ascii="Times New Roman" w:hAnsi="Times New Roman" w:cs="Times New Roman"/>
          <w:sz w:val="24"/>
          <w:szCs w:val="24"/>
        </w:rPr>
        <w:t xml:space="preserve">a parceria </w:t>
      </w:r>
      <w:r w:rsidR="00325B4A" w:rsidRPr="00704821">
        <w:rPr>
          <w:rFonts w:ascii="Times New Roman" w:hAnsi="Times New Roman" w:cs="Times New Roman"/>
          <w:sz w:val="24"/>
          <w:szCs w:val="24"/>
        </w:rPr>
        <w:t>com</w:t>
      </w:r>
      <w:r w:rsidRPr="00704821">
        <w:rPr>
          <w:rFonts w:ascii="Times New Roman" w:hAnsi="Times New Roman" w:cs="Times New Roman"/>
          <w:sz w:val="24"/>
          <w:szCs w:val="24"/>
        </w:rPr>
        <w:t xml:space="preserve"> catadores </w:t>
      </w:r>
      <w:r w:rsidR="007176AE" w:rsidRPr="00704821">
        <w:rPr>
          <w:rFonts w:ascii="Times New Roman" w:hAnsi="Times New Roman" w:cs="Times New Roman"/>
          <w:sz w:val="24"/>
          <w:szCs w:val="24"/>
        </w:rPr>
        <w:t xml:space="preserve">de lixo </w:t>
      </w:r>
      <w:r w:rsidR="00325B4A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Pr="00704821">
        <w:rPr>
          <w:rFonts w:ascii="Times New Roman" w:hAnsi="Times New Roman" w:cs="Times New Roman"/>
          <w:sz w:val="24"/>
          <w:szCs w:val="24"/>
        </w:rPr>
        <w:t>realizou no ano de 2015</w:t>
      </w:r>
      <w:r w:rsidR="00325B4A" w:rsidRPr="00704821">
        <w:rPr>
          <w:rFonts w:ascii="Times New Roman" w:hAnsi="Times New Roman" w:cs="Times New Roman"/>
          <w:sz w:val="24"/>
          <w:szCs w:val="24"/>
        </w:rPr>
        <w:t xml:space="preserve"> para</w:t>
      </w:r>
      <w:r w:rsidRPr="00704821">
        <w:rPr>
          <w:rFonts w:ascii="Times New Roman" w:hAnsi="Times New Roman" w:cs="Times New Roman"/>
          <w:sz w:val="24"/>
          <w:szCs w:val="24"/>
        </w:rPr>
        <w:t xml:space="preserve"> a limpeza da orla marítima do litoral </w:t>
      </w:r>
      <w:r w:rsidR="00DE011C" w:rsidRPr="00704821">
        <w:rPr>
          <w:rFonts w:ascii="Times New Roman" w:hAnsi="Times New Roman" w:cs="Times New Roman"/>
          <w:sz w:val="24"/>
          <w:szCs w:val="24"/>
        </w:rPr>
        <w:t xml:space="preserve">paranaense, </w:t>
      </w:r>
      <w:r w:rsidR="0051368E" w:rsidRPr="00704821">
        <w:rPr>
          <w:rFonts w:ascii="Times New Roman" w:hAnsi="Times New Roman" w:cs="Times New Roman"/>
          <w:sz w:val="24"/>
          <w:szCs w:val="24"/>
        </w:rPr>
        <w:t>um</w:t>
      </w:r>
      <w:r w:rsidR="00180CF2" w:rsidRPr="00704821">
        <w:rPr>
          <w:rFonts w:ascii="Times New Roman" w:hAnsi="Times New Roman" w:cs="Times New Roman"/>
          <w:sz w:val="24"/>
          <w:szCs w:val="24"/>
        </w:rPr>
        <w:t>a</w:t>
      </w:r>
      <w:r w:rsidR="0051368E" w:rsidRPr="00704821">
        <w:rPr>
          <w:rFonts w:ascii="Times New Roman" w:hAnsi="Times New Roman" w:cs="Times New Roman"/>
          <w:sz w:val="24"/>
          <w:szCs w:val="24"/>
        </w:rPr>
        <w:t xml:space="preserve"> vez que </w:t>
      </w:r>
      <w:r w:rsidR="00DE011C" w:rsidRPr="00704821">
        <w:rPr>
          <w:rFonts w:ascii="Times New Roman" w:hAnsi="Times New Roman" w:cs="Times New Roman"/>
          <w:sz w:val="24"/>
          <w:szCs w:val="24"/>
        </w:rPr>
        <w:t>o lixo das praias, poderia afetar as suas atividades</w:t>
      </w:r>
      <w:r w:rsidR="00451C0D" w:rsidRPr="00704821">
        <w:rPr>
          <w:rFonts w:ascii="Times New Roman" w:hAnsi="Times New Roman" w:cs="Times New Roman"/>
          <w:sz w:val="24"/>
          <w:szCs w:val="24"/>
        </w:rPr>
        <w:t xml:space="preserve"> e o bem-estar da sociedade daquela região</w:t>
      </w:r>
      <w:r w:rsidR="00DE011C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083E0F35" w14:textId="6C4A67C1" w:rsidR="000D673D" w:rsidRPr="00704821" w:rsidRDefault="00934EB2" w:rsidP="0093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As empresas pertencentes ao setor bancário evidenciaram </w:t>
      </w:r>
      <w:r w:rsidR="000E5B55" w:rsidRPr="00704821">
        <w:rPr>
          <w:rFonts w:ascii="Times New Roman" w:hAnsi="Times New Roman" w:cs="Times New Roman"/>
          <w:sz w:val="24"/>
          <w:szCs w:val="24"/>
        </w:rPr>
        <w:t xml:space="preserve">as </w:t>
      </w:r>
      <w:r w:rsidRPr="00704821">
        <w:rPr>
          <w:rFonts w:ascii="Times New Roman" w:hAnsi="Times New Roman" w:cs="Times New Roman"/>
          <w:sz w:val="24"/>
          <w:szCs w:val="24"/>
        </w:rPr>
        <w:t>Políticas Socioambientais nos FR</w:t>
      </w:r>
      <w:r w:rsidR="002A0B20" w:rsidRPr="00704821">
        <w:rPr>
          <w:rFonts w:ascii="Times New Roman" w:hAnsi="Times New Roman" w:cs="Times New Roman"/>
          <w:sz w:val="24"/>
          <w:szCs w:val="24"/>
        </w:rPr>
        <w:t>s</w:t>
      </w:r>
      <w:r w:rsidR="0051368E" w:rsidRPr="00704821">
        <w:rPr>
          <w:rFonts w:ascii="Times New Roman" w:hAnsi="Times New Roman" w:cs="Times New Roman"/>
          <w:sz w:val="24"/>
          <w:szCs w:val="24"/>
        </w:rPr>
        <w:t>. N</w:t>
      </w:r>
      <w:r w:rsidRPr="00704821">
        <w:rPr>
          <w:rFonts w:ascii="Times New Roman" w:hAnsi="Times New Roman" w:cs="Times New Roman"/>
          <w:sz w:val="24"/>
          <w:szCs w:val="24"/>
        </w:rPr>
        <w:t>o entanto, apenas</w:t>
      </w:r>
      <w:r w:rsidR="00180CF2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o Banco do Brasil (ID 3) evidenciou a PNRS em seus relatórios.</w:t>
      </w:r>
      <w:r w:rsidR="002A0B20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707A7" w:rsidRPr="00704821">
        <w:rPr>
          <w:rFonts w:ascii="Times New Roman" w:hAnsi="Times New Roman" w:cs="Times New Roman"/>
          <w:sz w:val="24"/>
          <w:szCs w:val="24"/>
        </w:rPr>
        <w:t>Ainda, n</w:t>
      </w:r>
      <w:r w:rsidRPr="00704821">
        <w:rPr>
          <w:rFonts w:ascii="Times New Roman" w:hAnsi="Times New Roman" w:cs="Times New Roman"/>
          <w:sz w:val="24"/>
          <w:szCs w:val="24"/>
        </w:rPr>
        <w:t xml:space="preserve">o </w:t>
      </w:r>
      <w:r w:rsidR="00434662" w:rsidRPr="00704821">
        <w:rPr>
          <w:rFonts w:ascii="Times New Roman" w:hAnsi="Times New Roman" w:cs="Times New Roman"/>
          <w:sz w:val="24"/>
          <w:szCs w:val="24"/>
        </w:rPr>
        <w:t>RI</w:t>
      </w:r>
      <w:r w:rsidRPr="00704821">
        <w:rPr>
          <w:rFonts w:ascii="Times New Roman" w:hAnsi="Times New Roman" w:cs="Times New Roman"/>
          <w:sz w:val="24"/>
          <w:szCs w:val="24"/>
        </w:rPr>
        <w:t xml:space="preserve"> do Banco do Brasil, discorreu-se que eles investiram mais </w:t>
      </w:r>
      <w:r w:rsidR="0051368E" w:rsidRPr="00704821">
        <w:rPr>
          <w:rFonts w:ascii="Times New Roman" w:hAnsi="Times New Roman" w:cs="Times New Roman"/>
          <w:sz w:val="24"/>
          <w:szCs w:val="24"/>
        </w:rPr>
        <w:t xml:space="preserve">de </w:t>
      </w:r>
      <w:r w:rsidRPr="00704821">
        <w:rPr>
          <w:rFonts w:ascii="Times New Roman" w:hAnsi="Times New Roman" w:cs="Times New Roman"/>
          <w:sz w:val="24"/>
          <w:szCs w:val="24"/>
        </w:rPr>
        <w:t xml:space="preserve">R$ 6,6 milhões na inclusão socioprodutiva de catadores de materiais recicláveis e apoiou 33 projetos </w:t>
      </w:r>
      <w:r w:rsidR="00C13E97" w:rsidRPr="00704821">
        <w:rPr>
          <w:rFonts w:ascii="Times New Roman" w:hAnsi="Times New Roman" w:cs="Times New Roman"/>
          <w:sz w:val="24"/>
          <w:szCs w:val="24"/>
        </w:rPr>
        <w:t>da área de reciclagem</w:t>
      </w:r>
      <w:r w:rsidRPr="00704821">
        <w:rPr>
          <w:rFonts w:ascii="Times New Roman" w:hAnsi="Times New Roman" w:cs="Times New Roman"/>
          <w:sz w:val="24"/>
          <w:szCs w:val="24"/>
        </w:rPr>
        <w:t xml:space="preserve"> e já ajudou na capacitação de 30.000 catadores de lixo</w:t>
      </w:r>
      <w:r w:rsidR="00F15E57" w:rsidRPr="00704821">
        <w:rPr>
          <w:rFonts w:ascii="Times New Roman" w:hAnsi="Times New Roman" w:cs="Times New Roman"/>
          <w:sz w:val="24"/>
          <w:szCs w:val="24"/>
        </w:rPr>
        <w:t>, demonstrando assim, evidencias da gestão de resíduos</w:t>
      </w:r>
      <w:r w:rsidR="00631495">
        <w:rPr>
          <w:rFonts w:ascii="Times New Roman" w:hAnsi="Times New Roman" w:cs="Times New Roman"/>
          <w:sz w:val="24"/>
          <w:szCs w:val="24"/>
        </w:rPr>
        <w:t xml:space="preserve"> sólidos</w:t>
      </w:r>
      <w:r w:rsidRPr="00704821">
        <w:rPr>
          <w:rFonts w:ascii="Times New Roman" w:hAnsi="Times New Roman" w:cs="Times New Roman"/>
          <w:sz w:val="24"/>
          <w:szCs w:val="24"/>
        </w:rPr>
        <w:t>.</w:t>
      </w:r>
    </w:p>
    <w:p w14:paraId="7C4338CF" w14:textId="0EC351EE" w:rsidR="000B7E00" w:rsidRPr="00704821" w:rsidRDefault="000E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As</w:t>
      </w:r>
      <w:r w:rsidR="000B7E00" w:rsidRPr="00704821">
        <w:rPr>
          <w:rFonts w:ascii="Times New Roman" w:hAnsi="Times New Roman" w:cs="Times New Roman"/>
          <w:sz w:val="24"/>
          <w:szCs w:val="24"/>
        </w:rPr>
        <w:t xml:space="preserve"> evidenciações da PNRS nos </w:t>
      </w:r>
      <w:r w:rsidR="00163160" w:rsidRPr="00704821">
        <w:rPr>
          <w:rFonts w:ascii="Times New Roman" w:hAnsi="Times New Roman" w:cs="Times New Roman"/>
          <w:sz w:val="24"/>
          <w:szCs w:val="24"/>
        </w:rPr>
        <w:t>RI</w:t>
      </w:r>
      <w:r w:rsidR="000B7E00" w:rsidRPr="00704821">
        <w:rPr>
          <w:rFonts w:ascii="Times New Roman" w:hAnsi="Times New Roman" w:cs="Times New Roman"/>
          <w:sz w:val="24"/>
          <w:szCs w:val="24"/>
        </w:rPr>
        <w:t xml:space="preserve"> foram mais detalhadas se comparadas às dos FR. Nos RI, as empresas efetuaram tabelas, quadros</w:t>
      </w:r>
      <w:r w:rsidRPr="00704821">
        <w:rPr>
          <w:rFonts w:ascii="Times New Roman" w:hAnsi="Times New Roman" w:cs="Times New Roman"/>
          <w:sz w:val="24"/>
          <w:szCs w:val="24"/>
        </w:rPr>
        <w:t>,</w:t>
      </w:r>
      <w:r w:rsidR="000B7E00" w:rsidRPr="00704821">
        <w:rPr>
          <w:rFonts w:ascii="Times New Roman" w:hAnsi="Times New Roman" w:cs="Times New Roman"/>
          <w:sz w:val="24"/>
          <w:szCs w:val="24"/>
        </w:rPr>
        <w:t xml:space="preserve"> relacionaram os resíduos produzidos e os classificaram quando ao tipo e periculosidade</w:t>
      </w:r>
      <w:r w:rsidR="00154862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0E5D33" w:rsidRPr="00704821">
        <w:rPr>
          <w:rFonts w:ascii="Times New Roman" w:hAnsi="Times New Roman" w:cs="Times New Roman"/>
          <w:sz w:val="24"/>
          <w:szCs w:val="24"/>
        </w:rPr>
        <w:t xml:space="preserve">Um </w:t>
      </w:r>
      <w:r w:rsidR="00F71431" w:rsidRPr="00704821">
        <w:rPr>
          <w:rFonts w:ascii="Times New Roman" w:hAnsi="Times New Roman" w:cs="Times New Roman"/>
          <w:sz w:val="24"/>
          <w:szCs w:val="24"/>
        </w:rPr>
        <w:t xml:space="preserve">exemplo foi a empresa Eletropaulo (ID 10), </w:t>
      </w:r>
      <w:r w:rsidR="0051368E" w:rsidRPr="00704821">
        <w:rPr>
          <w:rFonts w:ascii="Times New Roman" w:hAnsi="Times New Roman" w:cs="Times New Roman"/>
          <w:sz w:val="24"/>
          <w:szCs w:val="24"/>
        </w:rPr>
        <w:t xml:space="preserve">a qual </w:t>
      </w:r>
      <w:r w:rsidR="00F71431" w:rsidRPr="00704821">
        <w:rPr>
          <w:rFonts w:ascii="Times New Roman" w:hAnsi="Times New Roman" w:cs="Times New Roman"/>
          <w:sz w:val="24"/>
          <w:szCs w:val="24"/>
        </w:rPr>
        <w:t>apenas cita no item 7.3 do FR que possui projetos alinhados à PNRS, qual seja “</w:t>
      </w:r>
      <w:r w:rsidR="009F2BA9" w:rsidRPr="00704821">
        <w:rPr>
          <w:rFonts w:ascii="Times New Roman" w:hAnsi="Times New Roman" w:cs="Times New Roman"/>
          <w:sz w:val="24"/>
          <w:szCs w:val="24"/>
        </w:rPr>
        <w:t>Recicle mais</w:t>
      </w:r>
      <w:r w:rsidR="00F71431" w:rsidRPr="00704821">
        <w:rPr>
          <w:rFonts w:ascii="Times New Roman" w:hAnsi="Times New Roman" w:cs="Times New Roman"/>
          <w:sz w:val="24"/>
          <w:szCs w:val="24"/>
        </w:rPr>
        <w:t xml:space="preserve">, pague menos” que </w:t>
      </w:r>
      <w:r w:rsidRPr="00704821">
        <w:rPr>
          <w:rFonts w:ascii="Times New Roman" w:hAnsi="Times New Roman" w:cs="Times New Roman"/>
          <w:sz w:val="24"/>
          <w:szCs w:val="24"/>
        </w:rPr>
        <w:t xml:space="preserve">inclusive, </w:t>
      </w:r>
      <w:r w:rsidR="00F71431" w:rsidRPr="00704821">
        <w:rPr>
          <w:rFonts w:ascii="Times New Roman" w:hAnsi="Times New Roman" w:cs="Times New Roman"/>
          <w:sz w:val="24"/>
          <w:szCs w:val="24"/>
        </w:rPr>
        <w:t xml:space="preserve">foi reconhecido pelo MMA como prática de referência da Lei 12305/2010. </w:t>
      </w:r>
      <w:r w:rsidRPr="00704821">
        <w:rPr>
          <w:rFonts w:ascii="Times New Roman" w:hAnsi="Times New Roman" w:cs="Times New Roman"/>
          <w:sz w:val="24"/>
          <w:szCs w:val="24"/>
        </w:rPr>
        <w:t xml:space="preserve">Já no </w:t>
      </w:r>
      <w:r w:rsidR="00F71431" w:rsidRPr="00704821">
        <w:rPr>
          <w:rFonts w:ascii="Times New Roman" w:hAnsi="Times New Roman" w:cs="Times New Roman"/>
          <w:sz w:val="24"/>
          <w:szCs w:val="24"/>
        </w:rPr>
        <w:t>RI</w:t>
      </w:r>
      <w:r w:rsidR="0020609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d</w:t>
      </w:r>
      <w:r w:rsidR="00206095" w:rsidRPr="00704821">
        <w:rPr>
          <w:rFonts w:ascii="Times New Roman" w:hAnsi="Times New Roman" w:cs="Times New Roman"/>
          <w:sz w:val="24"/>
          <w:szCs w:val="24"/>
        </w:rPr>
        <w:t>a Eletropaulo (ID 10)</w:t>
      </w:r>
      <w:r w:rsidRPr="00704821">
        <w:rPr>
          <w:rFonts w:ascii="Times New Roman" w:hAnsi="Times New Roman" w:cs="Times New Roman"/>
          <w:sz w:val="24"/>
          <w:szCs w:val="24"/>
        </w:rPr>
        <w:t>, a mesma</w:t>
      </w:r>
      <w:r w:rsidR="00206095" w:rsidRPr="00704821">
        <w:rPr>
          <w:rFonts w:ascii="Times New Roman" w:hAnsi="Times New Roman" w:cs="Times New Roman"/>
          <w:sz w:val="24"/>
          <w:szCs w:val="24"/>
        </w:rPr>
        <w:t xml:space="preserve"> apresentou</w:t>
      </w:r>
      <w:r w:rsidR="00180CF2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71431" w:rsidRPr="00704821">
        <w:rPr>
          <w:rFonts w:ascii="Times New Roman" w:hAnsi="Times New Roman" w:cs="Times New Roman"/>
          <w:sz w:val="24"/>
          <w:szCs w:val="24"/>
        </w:rPr>
        <w:t>indicadores, metas (reciclar, recuperar ou reutilizar 70% dos resíduos até 2019), mont</w:t>
      </w:r>
      <w:r w:rsidR="008533C5" w:rsidRPr="00704821">
        <w:rPr>
          <w:rFonts w:ascii="Times New Roman" w:hAnsi="Times New Roman" w:cs="Times New Roman"/>
          <w:sz w:val="24"/>
          <w:szCs w:val="24"/>
        </w:rPr>
        <w:t>ante</w:t>
      </w:r>
      <w:r w:rsidR="00F71431" w:rsidRPr="00704821">
        <w:rPr>
          <w:rFonts w:ascii="Times New Roman" w:hAnsi="Times New Roman" w:cs="Times New Roman"/>
          <w:sz w:val="24"/>
          <w:szCs w:val="24"/>
        </w:rPr>
        <w:t xml:space="preserve"> de resíduos gerados nos anos de 2013</w:t>
      </w:r>
      <w:r w:rsidR="00DC2A48" w:rsidRPr="00704821">
        <w:rPr>
          <w:rFonts w:ascii="Times New Roman" w:hAnsi="Times New Roman" w:cs="Times New Roman"/>
          <w:sz w:val="24"/>
          <w:szCs w:val="24"/>
        </w:rPr>
        <w:t xml:space="preserve"> a </w:t>
      </w:r>
      <w:r w:rsidR="0025577F">
        <w:rPr>
          <w:rFonts w:ascii="Times New Roman" w:hAnsi="Times New Roman" w:cs="Times New Roman"/>
          <w:sz w:val="24"/>
          <w:szCs w:val="24"/>
        </w:rPr>
        <w:t>2015 e projetos da PNRS</w:t>
      </w:r>
      <w:r w:rsidR="00F71431" w:rsidRPr="00704821">
        <w:rPr>
          <w:rFonts w:ascii="Times New Roman" w:hAnsi="Times New Roman" w:cs="Times New Roman"/>
          <w:sz w:val="24"/>
          <w:szCs w:val="24"/>
        </w:rPr>
        <w:t xml:space="preserve"> como Educação Ambiental</w:t>
      </w:r>
      <w:r w:rsidR="0025577F">
        <w:rPr>
          <w:rFonts w:ascii="Times New Roman" w:hAnsi="Times New Roman" w:cs="Times New Roman"/>
          <w:sz w:val="24"/>
          <w:szCs w:val="24"/>
        </w:rPr>
        <w:t>,</w:t>
      </w:r>
      <w:r w:rsidR="00F71431" w:rsidRPr="00704821">
        <w:rPr>
          <w:rFonts w:ascii="Times New Roman" w:hAnsi="Times New Roman" w:cs="Times New Roman"/>
          <w:sz w:val="24"/>
          <w:szCs w:val="24"/>
        </w:rPr>
        <w:t xml:space="preserve"> que é uma parceira da empresa com </w:t>
      </w:r>
      <w:r w:rsidR="00B27557" w:rsidRPr="00704821">
        <w:rPr>
          <w:rFonts w:ascii="Times New Roman" w:hAnsi="Times New Roman" w:cs="Times New Roman"/>
          <w:sz w:val="24"/>
          <w:szCs w:val="24"/>
        </w:rPr>
        <w:t>as escolas</w:t>
      </w:r>
      <w:r w:rsidR="00F71431" w:rsidRPr="00704821">
        <w:rPr>
          <w:rFonts w:ascii="Times New Roman" w:hAnsi="Times New Roman" w:cs="Times New Roman"/>
          <w:sz w:val="24"/>
          <w:szCs w:val="24"/>
        </w:rPr>
        <w:t>.</w:t>
      </w:r>
      <w:r w:rsidR="000E5D33" w:rsidRPr="00704821">
        <w:rPr>
          <w:rFonts w:ascii="Times New Roman" w:hAnsi="Times New Roman" w:cs="Times New Roman"/>
          <w:sz w:val="24"/>
          <w:szCs w:val="24"/>
        </w:rPr>
        <w:t xml:space="preserve"> Outro exemplo, foi a</w:t>
      </w:r>
      <w:r w:rsidR="00EE335C" w:rsidRPr="00704821">
        <w:rPr>
          <w:rFonts w:ascii="Times New Roman" w:hAnsi="Times New Roman" w:cs="Times New Roman"/>
          <w:sz w:val="24"/>
          <w:szCs w:val="24"/>
        </w:rPr>
        <w:t xml:space="preserve"> empresa CCR S.A (ID 16)</w:t>
      </w:r>
      <w:r w:rsidR="000E5D33" w:rsidRPr="00704821">
        <w:rPr>
          <w:rFonts w:ascii="Times New Roman" w:hAnsi="Times New Roman" w:cs="Times New Roman"/>
          <w:sz w:val="24"/>
          <w:szCs w:val="24"/>
        </w:rPr>
        <w:t xml:space="preserve">, a qual </w:t>
      </w:r>
      <w:r w:rsidR="00EE335C" w:rsidRPr="00704821">
        <w:rPr>
          <w:rFonts w:ascii="Times New Roman" w:hAnsi="Times New Roman" w:cs="Times New Roman"/>
          <w:sz w:val="24"/>
          <w:szCs w:val="24"/>
        </w:rPr>
        <w:t>discorreu no seu RI que</w:t>
      </w:r>
      <w:r w:rsidR="00206095" w:rsidRPr="00704821">
        <w:rPr>
          <w:rFonts w:ascii="Times New Roman" w:hAnsi="Times New Roman" w:cs="Times New Roman"/>
          <w:sz w:val="24"/>
          <w:szCs w:val="24"/>
        </w:rPr>
        <w:t>,</w:t>
      </w:r>
      <w:r w:rsidR="00EE335C" w:rsidRPr="00704821">
        <w:rPr>
          <w:rFonts w:ascii="Times New Roman" w:hAnsi="Times New Roman" w:cs="Times New Roman"/>
          <w:sz w:val="24"/>
          <w:szCs w:val="24"/>
        </w:rPr>
        <w:t xml:space="preserve"> por meio do Capital Intelectual</w:t>
      </w:r>
      <w:r w:rsidR="00206095" w:rsidRPr="00704821">
        <w:rPr>
          <w:rFonts w:ascii="Times New Roman" w:hAnsi="Times New Roman" w:cs="Times New Roman"/>
          <w:sz w:val="24"/>
          <w:szCs w:val="24"/>
        </w:rPr>
        <w:t>,</w:t>
      </w:r>
      <w:r w:rsidR="00EE335C" w:rsidRPr="00704821">
        <w:rPr>
          <w:rFonts w:ascii="Times New Roman" w:hAnsi="Times New Roman" w:cs="Times New Roman"/>
          <w:sz w:val="24"/>
          <w:szCs w:val="24"/>
        </w:rPr>
        <w:t xml:space="preserve"> busc</w:t>
      </w:r>
      <w:r w:rsidR="00252BFE" w:rsidRPr="00704821">
        <w:rPr>
          <w:rFonts w:ascii="Times New Roman" w:hAnsi="Times New Roman" w:cs="Times New Roman"/>
          <w:sz w:val="24"/>
          <w:szCs w:val="24"/>
        </w:rPr>
        <w:t>ou</w:t>
      </w:r>
      <w:r w:rsidR="00EE335C" w:rsidRPr="00704821">
        <w:rPr>
          <w:rFonts w:ascii="Times New Roman" w:hAnsi="Times New Roman" w:cs="Times New Roman"/>
          <w:sz w:val="24"/>
          <w:szCs w:val="24"/>
        </w:rPr>
        <w:t xml:space="preserve"> por soluções inovadoras de engenharia que visa</w:t>
      </w:r>
      <w:r w:rsidR="00252BFE" w:rsidRPr="00704821">
        <w:rPr>
          <w:rFonts w:ascii="Times New Roman" w:hAnsi="Times New Roman" w:cs="Times New Roman"/>
          <w:sz w:val="24"/>
          <w:szCs w:val="24"/>
        </w:rPr>
        <w:t>va</w:t>
      </w:r>
      <w:r w:rsidR="00EE335C" w:rsidRPr="00704821">
        <w:rPr>
          <w:rFonts w:ascii="Times New Roman" w:hAnsi="Times New Roman" w:cs="Times New Roman"/>
          <w:sz w:val="24"/>
          <w:szCs w:val="24"/>
        </w:rPr>
        <w:t xml:space="preserve">m reduzir os montantes de resíduos gerados. </w:t>
      </w:r>
      <w:r w:rsidR="00252BFE" w:rsidRPr="00704821">
        <w:rPr>
          <w:rFonts w:ascii="Times New Roman" w:hAnsi="Times New Roman" w:cs="Times New Roman"/>
          <w:sz w:val="24"/>
          <w:szCs w:val="24"/>
        </w:rPr>
        <w:t>A CCR S.A</w:t>
      </w:r>
      <w:r w:rsidR="00206095" w:rsidRPr="00704821">
        <w:rPr>
          <w:rFonts w:ascii="Times New Roman" w:hAnsi="Times New Roman" w:cs="Times New Roman"/>
          <w:sz w:val="24"/>
          <w:szCs w:val="24"/>
        </w:rPr>
        <w:t xml:space="preserve"> evidenciou </w:t>
      </w:r>
      <w:r w:rsidR="00252BFE" w:rsidRPr="00704821">
        <w:rPr>
          <w:rFonts w:ascii="Times New Roman" w:hAnsi="Times New Roman" w:cs="Times New Roman"/>
          <w:sz w:val="24"/>
          <w:szCs w:val="24"/>
        </w:rPr>
        <w:t xml:space="preserve">ainda </w:t>
      </w:r>
      <w:r w:rsidR="00206095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="00252BFE" w:rsidRPr="00704821">
        <w:rPr>
          <w:rFonts w:ascii="Times New Roman" w:hAnsi="Times New Roman" w:cs="Times New Roman"/>
          <w:sz w:val="24"/>
          <w:szCs w:val="24"/>
        </w:rPr>
        <w:t xml:space="preserve">em </w:t>
      </w:r>
      <w:r w:rsidR="00EE335C" w:rsidRPr="00704821">
        <w:rPr>
          <w:rFonts w:ascii="Times New Roman" w:hAnsi="Times New Roman" w:cs="Times New Roman"/>
          <w:sz w:val="24"/>
          <w:szCs w:val="24"/>
        </w:rPr>
        <w:t>um dos indicadores do Capital Natural</w:t>
      </w:r>
      <w:r w:rsidR="00252BFE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EE335C" w:rsidRPr="00704821">
        <w:rPr>
          <w:rFonts w:ascii="Times New Roman" w:hAnsi="Times New Roman" w:cs="Times New Roman"/>
          <w:sz w:val="24"/>
          <w:szCs w:val="24"/>
        </w:rPr>
        <w:t xml:space="preserve">houve redução de 51% do volume dos resíduos sólidos não perigosos e </w:t>
      </w:r>
      <w:r w:rsidR="00252BFE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="00EE335C" w:rsidRPr="00704821">
        <w:rPr>
          <w:rFonts w:ascii="Times New Roman" w:hAnsi="Times New Roman" w:cs="Times New Roman"/>
          <w:sz w:val="24"/>
          <w:szCs w:val="24"/>
        </w:rPr>
        <w:t xml:space="preserve">no ano de 2015 foram </w:t>
      </w:r>
      <w:r w:rsidR="004F3E47" w:rsidRPr="00704821">
        <w:rPr>
          <w:rFonts w:ascii="Times New Roman" w:hAnsi="Times New Roman" w:cs="Times New Roman"/>
          <w:sz w:val="24"/>
          <w:szCs w:val="24"/>
        </w:rPr>
        <w:t>geradas</w:t>
      </w:r>
      <w:r w:rsidR="00EE335C" w:rsidRPr="00704821">
        <w:rPr>
          <w:rFonts w:ascii="Times New Roman" w:hAnsi="Times New Roman" w:cs="Times New Roman"/>
          <w:sz w:val="24"/>
          <w:szCs w:val="24"/>
        </w:rPr>
        <w:t xml:space="preserve"> 609 tonel</w:t>
      </w:r>
      <w:r w:rsidR="004F3E47" w:rsidRPr="00704821">
        <w:rPr>
          <w:rFonts w:ascii="Times New Roman" w:hAnsi="Times New Roman" w:cs="Times New Roman"/>
          <w:sz w:val="24"/>
          <w:szCs w:val="24"/>
        </w:rPr>
        <w:t xml:space="preserve">adas de resíduos perigosos. No </w:t>
      </w:r>
      <w:r w:rsidR="00EE335C" w:rsidRPr="00704821">
        <w:rPr>
          <w:rFonts w:ascii="Times New Roman" w:hAnsi="Times New Roman" w:cs="Times New Roman"/>
          <w:sz w:val="24"/>
          <w:szCs w:val="24"/>
        </w:rPr>
        <w:t xml:space="preserve">FR </w:t>
      </w:r>
      <w:r w:rsidR="00206095" w:rsidRPr="00704821">
        <w:rPr>
          <w:rFonts w:ascii="Times New Roman" w:hAnsi="Times New Roman" w:cs="Times New Roman"/>
          <w:sz w:val="24"/>
          <w:szCs w:val="24"/>
        </w:rPr>
        <w:t>a empresa c</w:t>
      </w:r>
      <w:r w:rsidR="004F3E47" w:rsidRPr="00704821">
        <w:rPr>
          <w:rFonts w:ascii="Times New Roman" w:hAnsi="Times New Roman" w:cs="Times New Roman"/>
          <w:sz w:val="24"/>
          <w:szCs w:val="24"/>
        </w:rPr>
        <w:t>ita</w:t>
      </w:r>
      <w:r w:rsidR="00206095" w:rsidRPr="00704821">
        <w:rPr>
          <w:rFonts w:ascii="Times New Roman" w:hAnsi="Times New Roman" w:cs="Times New Roman"/>
          <w:sz w:val="24"/>
          <w:szCs w:val="24"/>
        </w:rPr>
        <w:t>,</w:t>
      </w:r>
      <w:r w:rsidR="004F3E47" w:rsidRPr="00704821">
        <w:rPr>
          <w:rFonts w:ascii="Times New Roman" w:hAnsi="Times New Roman" w:cs="Times New Roman"/>
          <w:sz w:val="24"/>
          <w:szCs w:val="24"/>
        </w:rPr>
        <w:t xml:space="preserve"> brevemente</w:t>
      </w:r>
      <w:r w:rsidR="00252BFE" w:rsidRPr="00704821">
        <w:rPr>
          <w:rFonts w:ascii="Times New Roman" w:hAnsi="Times New Roman" w:cs="Times New Roman"/>
          <w:sz w:val="24"/>
          <w:szCs w:val="24"/>
        </w:rPr>
        <w:t>, e</w:t>
      </w:r>
      <w:r w:rsidR="004F3E47" w:rsidRPr="00704821">
        <w:rPr>
          <w:rFonts w:ascii="Times New Roman" w:hAnsi="Times New Roman" w:cs="Times New Roman"/>
          <w:sz w:val="24"/>
          <w:szCs w:val="24"/>
        </w:rPr>
        <w:t xml:space="preserve"> sem detalh</w:t>
      </w:r>
      <w:r w:rsidR="00206095" w:rsidRPr="00704821">
        <w:rPr>
          <w:rFonts w:ascii="Times New Roman" w:hAnsi="Times New Roman" w:cs="Times New Roman"/>
          <w:sz w:val="24"/>
          <w:szCs w:val="24"/>
        </w:rPr>
        <w:t>amento,</w:t>
      </w:r>
      <w:r w:rsidR="004F3E47" w:rsidRPr="00704821">
        <w:rPr>
          <w:rFonts w:ascii="Times New Roman" w:hAnsi="Times New Roman" w:cs="Times New Roman"/>
          <w:sz w:val="24"/>
          <w:szCs w:val="24"/>
        </w:rPr>
        <w:t xml:space="preserve"> que faz gerenciamento de resíduos (item 7.8).</w:t>
      </w:r>
    </w:p>
    <w:p w14:paraId="39E762F2" w14:textId="3D9D7DB9" w:rsidR="009F2BA9" w:rsidRPr="00704821" w:rsidRDefault="00206095" w:rsidP="0093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De modo similar, </w:t>
      </w:r>
      <w:r w:rsidR="009F2BA9" w:rsidRPr="00704821">
        <w:rPr>
          <w:rFonts w:ascii="Times New Roman" w:hAnsi="Times New Roman" w:cs="Times New Roman"/>
          <w:sz w:val="24"/>
          <w:szCs w:val="24"/>
        </w:rPr>
        <w:t>a empresa Celulose Irani S.A (ID 13) afirmou no FR que efetua ações alinhadas a PNRS, mas não detalhou nenhuma meta</w:t>
      </w:r>
      <w:r w:rsidRPr="00704821">
        <w:rPr>
          <w:rFonts w:ascii="Times New Roman" w:hAnsi="Times New Roman" w:cs="Times New Roman"/>
          <w:sz w:val="24"/>
          <w:szCs w:val="24"/>
        </w:rPr>
        <w:t xml:space="preserve"> ou</w:t>
      </w:r>
      <w:r w:rsidR="009F2BA9" w:rsidRPr="00704821">
        <w:rPr>
          <w:rFonts w:ascii="Times New Roman" w:hAnsi="Times New Roman" w:cs="Times New Roman"/>
          <w:sz w:val="24"/>
          <w:szCs w:val="24"/>
        </w:rPr>
        <w:t xml:space="preserve"> projeto. </w:t>
      </w:r>
      <w:r w:rsidR="003C3DCD" w:rsidRPr="00704821">
        <w:rPr>
          <w:rFonts w:ascii="Times New Roman" w:hAnsi="Times New Roman" w:cs="Times New Roman"/>
          <w:sz w:val="24"/>
          <w:szCs w:val="24"/>
        </w:rPr>
        <w:t xml:space="preserve">No entanto </w:t>
      </w:r>
      <w:r w:rsidR="00963CB3" w:rsidRPr="00704821">
        <w:rPr>
          <w:rFonts w:ascii="Times New Roman" w:hAnsi="Times New Roman" w:cs="Times New Roman"/>
          <w:sz w:val="24"/>
          <w:szCs w:val="24"/>
        </w:rPr>
        <w:t>n</w:t>
      </w:r>
      <w:r w:rsidR="003C3DCD" w:rsidRPr="00704821">
        <w:rPr>
          <w:rFonts w:ascii="Times New Roman" w:hAnsi="Times New Roman" w:cs="Times New Roman"/>
          <w:sz w:val="24"/>
          <w:szCs w:val="24"/>
        </w:rPr>
        <w:t xml:space="preserve">o </w:t>
      </w:r>
      <w:r w:rsidR="005F334F" w:rsidRPr="00704821">
        <w:rPr>
          <w:rFonts w:ascii="Times New Roman" w:hAnsi="Times New Roman" w:cs="Times New Roman"/>
          <w:sz w:val="24"/>
          <w:szCs w:val="24"/>
        </w:rPr>
        <w:t>RI dessa</w:t>
      </w:r>
      <w:r w:rsidR="009F2BA9" w:rsidRPr="00704821">
        <w:rPr>
          <w:rFonts w:ascii="Times New Roman" w:hAnsi="Times New Roman" w:cs="Times New Roman"/>
          <w:sz w:val="24"/>
          <w:szCs w:val="24"/>
        </w:rPr>
        <w:t xml:space="preserve"> empresa</w:t>
      </w:r>
      <w:r w:rsidR="00963CB3" w:rsidRPr="00704821">
        <w:rPr>
          <w:rFonts w:ascii="Times New Roman" w:hAnsi="Times New Roman" w:cs="Times New Roman"/>
          <w:sz w:val="24"/>
          <w:szCs w:val="24"/>
        </w:rPr>
        <w:t>,</w:t>
      </w:r>
      <w:r w:rsidR="009F2BA9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apresent</w:t>
      </w:r>
      <w:r w:rsidR="00963CB3" w:rsidRPr="00704821">
        <w:rPr>
          <w:rFonts w:ascii="Times New Roman" w:hAnsi="Times New Roman" w:cs="Times New Roman"/>
          <w:sz w:val="24"/>
          <w:szCs w:val="24"/>
        </w:rPr>
        <w:t>ou</w:t>
      </w:r>
      <w:r w:rsidR="009F2BA9" w:rsidRPr="00704821">
        <w:rPr>
          <w:rFonts w:ascii="Times New Roman" w:hAnsi="Times New Roman" w:cs="Times New Roman"/>
          <w:sz w:val="24"/>
          <w:szCs w:val="24"/>
        </w:rPr>
        <w:t xml:space="preserve"> indicadores de metas de reciclagem, o montante de resíduos gerados por unidade </w:t>
      </w:r>
      <w:r w:rsidR="00DC2A48" w:rsidRPr="00704821">
        <w:rPr>
          <w:rFonts w:ascii="Times New Roman" w:hAnsi="Times New Roman" w:cs="Times New Roman"/>
          <w:sz w:val="24"/>
          <w:szCs w:val="24"/>
        </w:rPr>
        <w:t>fabril</w:t>
      </w:r>
      <w:r w:rsidR="009F2BA9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963CB3" w:rsidRPr="00704821">
        <w:rPr>
          <w:rFonts w:ascii="Times New Roman" w:hAnsi="Times New Roman" w:cs="Times New Roman"/>
          <w:sz w:val="24"/>
          <w:szCs w:val="24"/>
        </w:rPr>
        <w:t>informações sobre</w:t>
      </w:r>
      <w:r w:rsidR="009F2BA9" w:rsidRPr="00704821">
        <w:rPr>
          <w:rFonts w:ascii="Times New Roman" w:hAnsi="Times New Roman" w:cs="Times New Roman"/>
          <w:sz w:val="24"/>
          <w:szCs w:val="24"/>
        </w:rPr>
        <w:t xml:space="preserve"> parcerias com órgãos fiscalizadores para preservação das florestas e </w:t>
      </w:r>
      <w:r w:rsidR="00963CB3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="009F2BA9" w:rsidRPr="00704821">
        <w:rPr>
          <w:rFonts w:ascii="Times New Roman" w:hAnsi="Times New Roman" w:cs="Times New Roman"/>
          <w:sz w:val="24"/>
          <w:szCs w:val="24"/>
        </w:rPr>
        <w:t xml:space="preserve">está desenvolvendo técnicas </w:t>
      </w:r>
      <w:r w:rsidR="00963CB3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="009F2BA9" w:rsidRPr="00704821">
        <w:rPr>
          <w:rFonts w:ascii="Times New Roman" w:hAnsi="Times New Roman" w:cs="Times New Roman"/>
          <w:sz w:val="24"/>
          <w:szCs w:val="24"/>
        </w:rPr>
        <w:t>reutiliza</w:t>
      </w:r>
      <w:r w:rsidR="00963CB3" w:rsidRPr="00704821">
        <w:rPr>
          <w:rFonts w:ascii="Times New Roman" w:hAnsi="Times New Roman" w:cs="Times New Roman"/>
          <w:sz w:val="24"/>
          <w:szCs w:val="24"/>
        </w:rPr>
        <w:t>rão os</w:t>
      </w:r>
      <w:r w:rsidR="009F2BA9" w:rsidRPr="00704821">
        <w:rPr>
          <w:rFonts w:ascii="Times New Roman" w:hAnsi="Times New Roman" w:cs="Times New Roman"/>
          <w:sz w:val="24"/>
          <w:szCs w:val="24"/>
        </w:rPr>
        <w:t xml:space="preserve"> resíduos como matérias</w:t>
      </w:r>
      <w:r w:rsidR="0061716B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9F2BA9" w:rsidRPr="00704821">
        <w:rPr>
          <w:rFonts w:ascii="Times New Roman" w:hAnsi="Times New Roman" w:cs="Times New Roman"/>
          <w:sz w:val="24"/>
          <w:szCs w:val="24"/>
        </w:rPr>
        <w:t xml:space="preserve">primas, e </w:t>
      </w:r>
      <w:r w:rsidR="004C7251" w:rsidRPr="00704821">
        <w:rPr>
          <w:rFonts w:ascii="Times New Roman" w:hAnsi="Times New Roman" w:cs="Times New Roman"/>
          <w:sz w:val="24"/>
          <w:szCs w:val="24"/>
        </w:rPr>
        <w:t xml:space="preserve">consequentemente, reduzirá seus </w:t>
      </w:r>
      <w:r w:rsidR="009F2BA9" w:rsidRPr="00704821">
        <w:rPr>
          <w:rFonts w:ascii="Times New Roman" w:hAnsi="Times New Roman" w:cs="Times New Roman"/>
          <w:sz w:val="24"/>
          <w:szCs w:val="24"/>
        </w:rPr>
        <w:t>custos.</w:t>
      </w:r>
    </w:p>
    <w:p w14:paraId="01EDF502" w14:textId="79400DF9" w:rsidR="00B5212B" w:rsidRPr="00704821" w:rsidRDefault="0061716B" w:rsidP="0093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No quadro 05</w:t>
      </w:r>
      <w:r w:rsidR="004D63FE">
        <w:rPr>
          <w:rFonts w:ascii="Times New Roman" w:hAnsi="Times New Roman" w:cs="Times New Roman"/>
          <w:sz w:val="24"/>
          <w:szCs w:val="24"/>
        </w:rPr>
        <w:t xml:space="preserve"> relacionou</w:t>
      </w:r>
      <w:r w:rsidR="00193D91" w:rsidRPr="00704821">
        <w:rPr>
          <w:rFonts w:ascii="Times New Roman" w:hAnsi="Times New Roman" w:cs="Times New Roman"/>
          <w:sz w:val="24"/>
          <w:szCs w:val="24"/>
        </w:rPr>
        <w:t xml:space="preserve">-se a identificação dos </w:t>
      </w:r>
      <w:r w:rsidR="000F3F4D" w:rsidRPr="00704821">
        <w:rPr>
          <w:rFonts w:ascii="Times New Roman" w:hAnsi="Times New Roman" w:cs="Times New Roman"/>
          <w:sz w:val="24"/>
          <w:szCs w:val="24"/>
        </w:rPr>
        <w:t xml:space="preserve">grupos de </w:t>
      </w:r>
      <w:r w:rsidR="00193D91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193D91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0F3F4D" w:rsidRPr="00704821">
        <w:rPr>
          <w:rFonts w:ascii="Times New Roman" w:hAnsi="Times New Roman" w:cs="Times New Roman"/>
          <w:sz w:val="24"/>
          <w:szCs w:val="24"/>
        </w:rPr>
        <w:t>abordados na evidenciação d</w:t>
      </w:r>
      <w:r w:rsidR="00193D91" w:rsidRPr="00704821">
        <w:rPr>
          <w:rFonts w:ascii="Times New Roman" w:hAnsi="Times New Roman" w:cs="Times New Roman"/>
          <w:sz w:val="24"/>
          <w:szCs w:val="24"/>
        </w:rPr>
        <w:t>a RSC em relação a PNRS. Os resultados são apresentados c</w:t>
      </w:r>
      <w:r w:rsidR="00537527" w:rsidRPr="00704821">
        <w:rPr>
          <w:rFonts w:ascii="Times New Roman" w:hAnsi="Times New Roman" w:cs="Times New Roman"/>
          <w:sz w:val="24"/>
          <w:szCs w:val="24"/>
        </w:rPr>
        <w:t>om base na</w:t>
      </w:r>
      <w:r w:rsidR="00841872" w:rsidRPr="00704821">
        <w:rPr>
          <w:rFonts w:ascii="Times New Roman" w:hAnsi="Times New Roman" w:cs="Times New Roman"/>
          <w:sz w:val="24"/>
          <w:szCs w:val="24"/>
        </w:rPr>
        <w:t xml:space="preserve"> Teoria </w:t>
      </w:r>
      <w:r w:rsidR="00841872" w:rsidRPr="00704821">
        <w:rPr>
          <w:rFonts w:ascii="Times New Roman" w:hAnsi="Times New Roman" w:cs="Times New Roman"/>
          <w:sz w:val="24"/>
          <w:szCs w:val="24"/>
        </w:rPr>
        <w:lastRenderedPageBreak/>
        <w:t xml:space="preserve">dos </w:t>
      </w:r>
      <w:r w:rsidR="00841872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841872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537527" w:rsidRPr="00704821">
        <w:rPr>
          <w:rFonts w:ascii="Times New Roman" w:hAnsi="Times New Roman" w:cs="Times New Roman"/>
          <w:sz w:val="24"/>
          <w:szCs w:val="24"/>
        </w:rPr>
        <w:t xml:space="preserve">mais especificamente, </w:t>
      </w:r>
      <w:r w:rsidR="00814A7F" w:rsidRPr="00704821">
        <w:rPr>
          <w:rFonts w:ascii="Times New Roman" w:hAnsi="Times New Roman" w:cs="Times New Roman"/>
          <w:sz w:val="24"/>
          <w:szCs w:val="24"/>
        </w:rPr>
        <w:t xml:space="preserve">no constructo de </w:t>
      </w:r>
      <w:r w:rsidR="00B5212B" w:rsidRPr="00704821">
        <w:rPr>
          <w:rFonts w:ascii="Times New Roman" w:hAnsi="Times New Roman" w:cs="Times New Roman"/>
          <w:sz w:val="24"/>
          <w:szCs w:val="24"/>
        </w:rPr>
        <w:t xml:space="preserve">Tilling (2004) que considera 4 grupos de </w:t>
      </w:r>
      <w:r w:rsidR="00B5212B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B5212B" w:rsidRPr="00704821">
        <w:rPr>
          <w:rFonts w:ascii="Times New Roman" w:hAnsi="Times New Roman" w:cs="Times New Roman"/>
          <w:sz w:val="24"/>
          <w:szCs w:val="24"/>
        </w:rPr>
        <w:t xml:space="preserve"> como críticos, quais sejam: 1) o estado, 2) a população (</w:t>
      </w:r>
      <w:r w:rsidR="00B5212B" w:rsidRPr="00704821">
        <w:rPr>
          <w:rFonts w:ascii="Times New Roman" w:hAnsi="Times New Roman" w:cs="Times New Roman"/>
          <w:i/>
          <w:sz w:val="24"/>
          <w:szCs w:val="24"/>
        </w:rPr>
        <w:t>the public</w:t>
      </w:r>
      <w:r w:rsidR="00B5212B" w:rsidRPr="00704821">
        <w:rPr>
          <w:rFonts w:ascii="Times New Roman" w:hAnsi="Times New Roman" w:cs="Times New Roman"/>
          <w:sz w:val="24"/>
          <w:szCs w:val="24"/>
        </w:rPr>
        <w:t xml:space="preserve">), 3) comunidade financeira </w:t>
      </w:r>
      <w:r w:rsidR="00746D0D" w:rsidRPr="00704821">
        <w:rPr>
          <w:rFonts w:ascii="Times New Roman" w:hAnsi="Times New Roman" w:cs="Times New Roman"/>
          <w:sz w:val="24"/>
          <w:szCs w:val="24"/>
        </w:rPr>
        <w:t xml:space="preserve">e 4) a mídia, e </w:t>
      </w:r>
      <w:r w:rsidR="00E11A41" w:rsidRPr="00704821">
        <w:rPr>
          <w:rFonts w:ascii="Times New Roman" w:hAnsi="Times New Roman" w:cs="Times New Roman"/>
          <w:sz w:val="24"/>
          <w:szCs w:val="24"/>
        </w:rPr>
        <w:t xml:space="preserve">Freeman et al. (2010) </w:t>
      </w:r>
      <w:r w:rsidR="00746D0D" w:rsidRPr="00704821">
        <w:rPr>
          <w:rFonts w:ascii="Times New Roman" w:hAnsi="Times New Roman" w:cs="Times New Roman"/>
          <w:sz w:val="24"/>
          <w:szCs w:val="24"/>
        </w:rPr>
        <w:t xml:space="preserve">que consideram além desses grupos, os funcionários e os fornecedores como </w:t>
      </w:r>
      <w:r w:rsidR="00746D0D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376E78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5BBD2D17" w14:textId="53D52B5F" w:rsidR="00FB18F3" w:rsidRDefault="00FB18F3" w:rsidP="0093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17E2D6D" w14:textId="77777777" w:rsidR="00543292" w:rsidRPr="00704821" w:rsidRDefault="00543292" w:rsidP="005432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4821">
        <w:rPr>
          <w:rFonts w:ascii="Times New Roman" w:hAnsi="Times New Roman" w:cs="Times New Roman"/>
          <w:sz w:val="20"/>
          <w:szCs w:val="20"/>
        </w:rPr>
        <w:t>Quadro 05 – Grupos de Stakeholders destacados nos FR e RI em relação à PNRS.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5"/>
        <w:gridCol w:w="425"/>
        <w:gridCol w:w="425"/>
        <w:gridCol w:w="425"/>
        <w:gridCol w:w="425"/>
        <w:gridCol w:w="425"/>
        <w:gridCol w:w="425"/>
        <w:gridCol w:w="425"/>
        <w:gridCol w:w="708"/>
      </w:tblGrid>
      <w:tr w:rsidR="008030AB" w:rsidRPr="00704821" w14:paraId="098D8C8B" w14:textId="77777777" w:rsidTr="00E20379"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76857633" w14:textId="2DFA0117" w:rsidR="008030AB" w:rsidRPr="00704821" w:rsidRDefault="008030AB" w:rsidP="00617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Grupo de</w:t>
            </w:r>
          </w:p>
          <w:p w14:paraId="141BB477" w14:textId="146B7EA9" w:rsidR="008030AB" w:rsidRPr="00704821" w:rsidRDefault="008030AB" w:rsidP="0061716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Stakeholder</w:t>
            </w:r>
            <w:r w:rsidR="00ED20CE" w:rsidRPr="007048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6973" w:type="dxa"/>
            <w:gridSpan w:val="17"/>
            <w:shd w:val="clear" w:color="auto" w:fill="D9D9D9" w:themeFill="background1" w:themeFillShade="D9"/>
          </w:tcPr>
          <w:p w14:paraId="0B964A54" w14:textId="753A6FDE" w:rsidR="008030AB" w:rsidRPr="00704821" w:rsidRDefault="008030AB" w:rsidP="00617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Empresa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1FAE39A1" w14:textId="4960E088" w:rsidR="008030AB" w:rsidRPr="00704821" w:rsidRDefault="008030AB" w:rsidP="00617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102E2A" w:rsidRPr="00704821" w14:paraId="0EE3CE0D" w14:textId="77777777" w:rsidTr="00ED20CE">
        <w:tc>
          <w:tcPr>
            <w:tcW w:w="1418" w:type="dxa"/>
            <w:vMerge/>
            <w:shd w:val="clear" w:color="auto" w:fill="D9D9D9" w:themeFill="background1" w:themeFillShade="D9"/>
          </w:tcPr>
          <w:p w14:paraId="1655682C" w14:textId="77777777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2A7027F0" w14:textId="2638D142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5D0260EB" w14:textId="6CC090D0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7316C33B" w14:textId="3280727A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26F7A079" w14:textId="04B46FFE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36AF95EE" w14:textId="19390332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61114091" w14:textId="3B3C572D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1D5CB93F" w14:textId="14E9342A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6040B954" w14:textId="5182E86D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37757FF0" w14:textId="5A7A58AE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4D1FC41" w14:textId="482DC9F1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58A11E2" w14:textId="304C20FC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CDD0A40" w14:textId="7DFB5E9A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6DF42D1" w14:textId="7092B073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E1338A5" w14:textId="6E404E34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2710149" w14:textId="446600F2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0AF4437" w14:textId="79C7EE45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44B245E" w14:textId="58445D7D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14:paraId="51BECB44" w14:textId="77777777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0AB" w:rsidRPr="00704821" w14:paraId="4208D009" w14:textId="77777777" w:rsidTr="0061716B">
        <w:tc>
          <w:tcPr>
            <w:tcW w:w="1418" w:type="dxa"/>
            <w:shd w:val="clear" w:color="auto" w:fill="D9D9D9" w:themeFill="background1" w:themeFillShade="D9"/>
          </w:tcPr>
          <w:p w14:paraId="546480EB" w14:textId="4C9E3F46" w:rsidR="008030AB" w:rsidRPr="00704821" w:rsidRDefault="008030AB" w:rsidP="00617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Estado</w:t>
            </w:r>
          </w:p>
        </w:tc>
        <w:tc>
          <w:tcPr>
            <w:tcW w:w="397" w:type="dxa"/>
          </w:tcPr>
          <w:p w14:paraId="71CC142C" w14:textId="3CC3C20B" w:rsidR="008030AB" w:rsidRPr="00704821" w:rsidRDefault="00386DBD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07E23E5E" w14:textId="34623F9C" w:rsidR="008030AB" w:rsidRPr="00704821" w:rsidRDefault="00386DBD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54B278F8" w14:textId="5533FEC7" w:rsidR="008030AB" w:rsidRPr="00704821" w:rsidRDefault="00182E88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53DA2538" w14:textId="50E84A4A" w:rsidR="008030AB" w:rsidRPr="00704821" w:rsidRDefault="00182E88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697E200B" w14:textId="04D3FE94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E3F5D6C" w14:textId="031E978C" w:rsidR="008030AB" w:rsidRPr="00704821" w:rsidRDefault="006A07F7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46BA611E" w14:textId="6DE6E72B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063776F" w14:textId="1A2D567F" w:rsidR="008030AB" w:rsidRPr="00704821" w:rsidRDefault="00C71CBA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424A0AF4" w14:textId="57375F3F" w:rsidR="008030AB" w:rsidRPr="00704821" w:rsidRDefault="00E57A08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6874754" w14:textId="5352C538" w:rsidR="008030AB" w:rsidRPr="00704821" w:rsidRDefault="006B0465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29A0E" w14:textId="5DDB2CB7" w:rsidR="008030AB" w:rsidRPr="00704821" w:rsidRDefault="006B0465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CCC708" w14:textId="01CD5A42" w:rsidR="008030AB" w:rsidRPr="00704821" w:rsidRDefault="00FF3084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EFC3D60" w14:textId="3764634E" w:rsidR="008030AB" w:rsidRPr="00704821" w:rsidRDefault="00395B8F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CB3994" w14:textId="4DAA81ED" w:rsidR="008030AB" w:rsidRPr="00704821" w:rsidRDefault="00842BAA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86CDB52" w14:textId="0BFF693D" w:rsidR="008030AB" w:rsidRPr="00704821" w:rsidRDefault="00E50523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7A38AA" w14:textId="60088851" w:rsidR="008030AB" w:rsidRPr="00704821" w:rsidRDefault="00060FF4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326E309" w14:textId="48505DEE" w:rsidR="008030AB" w:rsidRPr="00704821" w:rsidRDefault="001D06F7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05E088B2" w14:textId="6E643F68" w:rsidR="008030AB" w:rsidRPr="00704821" w:rsidRDefault="001D06F7" w:rsidP="00617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030AB" w:rsidRPr="00704821" w14:paraId="40FF42B9" w14:textId="77777777" w:rsidTr="0061716B">
        <w:tc>
          <w:tcPr>
            <w:tcW w:w="1418" w:type="dxa"/>
            <w:shd w:val="clear" w:color="auto" w:fill="D9D9D9" w:themeFill="background1" w:themeFillShade="D9"/>
          </w:tcPr>
          <w:p w14:paraId="6721C82A" w14:textId="01D5FEDE" w:rsidR="008030AB" w:rsidRPr="00704821" w:rsidRDefault="008030AB" w:rsidP="00617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População</w:t>
            </w:r>
          </w:p>
        </w:tc>
        <w:tc>
          <w:tcPr>
            <w:tcW w:w="397" w:type="dxa"/>
          </w:tcPr>
          <w:p w14:paraId="45808020" w14:textId="3CF7F531" w:rsidR="008030AB" w:rsidRPr="00704821" w:rsidRDefault="00386DBD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68C8172A" w14:textId="382F20F5" w:rsidR="008030AB" w:rsidRPr="00704821" w:rsidRDefault="00386DBD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33499437" w14:textId="46C203F7" w:rsidR="008030AB" w:rsidRPr="00704821" w:rsidRDefault="00182E88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16EAF782" w14:textId="7A76D232" w:rsidR="008030AB" w:rsidRPr="00704821" w:rsidRDefault="00182E88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68879FB0" w14:textId="72D2AAAF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FBF6489" w14:textId="47A876FA" w:rsidR="008030AB" w:rsidRPr="00704821" w:rsidRDefault="006A07F7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05FD53E0" w14:textId="3FEA86BF" w:rsidR="008030AB" w:rsidRPr="00704821" w:rsidRDefault="000D3F8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7872B6F7" w14:textId="585C0DB1" w:rsidR="008030AB" w:rsidRPr="00704821" w:rsidRDefault="00C71CBA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7C52C7DD" w14:textId="024DEA81" w:rsidR="008030AB" w:rsidRPr="00704821" w:rsidRDefault="00E57A08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DD43AB2" w14:textId="2964E0A5" w:rsidR="008030AB" w:rsidRPr="00704821" w:rsidRDefault="006B0465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608E228" w14:textId="3C4F57D3" w:rsidR="008030AB" w:rsidRPr="00704821" w:rsidRDefault="006B0465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DD8C569" w14:textId="77777777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1A45C8" w14:textId="21427856" w:rsidR="008030AB" w:rsidRPr="00704821" w:rsidRDefault="00395B8F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F3CE36" w14:textId="21473FBC" w:rsidR="008030AB" w:rsidRPr="00704821" w:rsidRDefault="00842BAA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63AF589" w14:textId="6074FA9C" w:rsidR="008030AB" w:rsidRPr="00704821" w:rsidRDefault="00E50523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54AC053" w14:textId="63E8C6BF" w:rsidR="008030AB" w:rsidRPr="00704821" w:rsidRDefault="00060FF4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EEA75CA" w14:textId="748D9879" w:rsidR="008030AB" w:rsidRPr="00704821" w:rsidRDefault="001D06F7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13B5AB50" w14:textId="5FFFCEEB" w:rsidR="008030AB" w:rsidRPr="00704821" w:rsidRDefault="001D06F7" w:rsidP="00617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030AB" w:rsidRPr="00704821" w14:paraId="5A76E0E8" w14:textId="77777777" w:rsidTr="0061716B">
        <w:tc>
          <w:tcPr>
            <w:tcW w:w="1418" w:type="dxa"/>
            <w:shd w:val="clear" w:color="auto" w:fill="D9D9D9" w:themeFill="background1" w:themeFillShade="D9"/>
          </w:tcPr>
          <w:p w14:paraId="1BAF8ED9" w14:textId="5CBCBB4C" w:rsidR="008030AB" w:rsidRPr="00704821" w:rsidRDefault="008030AB" w:rsidP="00617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Comunidade Financeira</w:t>
            </w:r>
          </w:p>
        </w:tc>
        <w:tc>
          <w:tcPr>
            <w:tcW w:w="397" w:type="dxa"/>
          </w:tcPr>
          <w:p w14:paraId="7DB24BB0" w14:textId="0F86206F" w:rsidR="008030AB" w:rsidRPr="00704821" w:rsidRDefault="00386DBD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735545B0" w14:textId="03103651" w:rsidR="008030AB" w:rsidRPr="00704821" w:rsidRDefault="00386DBD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11F06B03" w14:textId="1C1EF53F" w:rsidR="008030AB" w:rsidRPr="00704821" w:rsidRDefault="00182E88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7F075317" w14:textId="28C7BED3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10F5553" w14:textId="1932F342" w:rsidR="008030AB" w:rsidRPr="00704821" w:rsidRDefault="006A07F7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04A0C6DC" w14:textId="24E9399A" w:rsidR="008030AB" w:rsidRPr="00704821" w:rsidRDefault="006A07F7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030FFB8A" w14:textId="4C80CF62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3E96ED4" w14:textId="5E862B0C" w:rsidR="008030AB" w:rsidRPr="00704821" w:rsidRDefault="00C71CBA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03A5AFF6" w14:textId="0229F896" w:rsidR="008030AB" w:rsidRPr="00704821" w:rsidRDefault="00E57A08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C55633" w14:textId="1E0AD19E" w:rsidR="008030AB" w:rsidRPr="00704821" w:rsidRDefault="006B0465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07D3EE" w14:textId="4AE91058" w:rsidR="008030AB" w:rsidRPr="00704821" w:rsidRDefault="006B0465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C5A14AB" w14:textId="3E0C549E" w:rsidR="008030AB" w:rsidRPr="00704821" w:rsidRDefault="00FF3084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D7E1B4" w14:textId="0E0F3C49" w:rsidR="008030AB" w:rsidRPr="00704821" w:rsidRDefault="00395B8F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2FA7A5A" w14:textId="4564D295" w:rsidR="008030AB" w:rsidRPr="00704821" w:rsidRDefault="00842BAA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E349EDF" w14:textId="02BF2E62" w:rsidR="008030AB" w:rsidRPr="00704821" w:rsidRDefault="00E50523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D163686" w14:textId="77777777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F921F" w14:textId="388C1CA8" w:rsidR="008030AB" w:rsidRPr="00704821" w:rsidRDefault="001D06F7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4755A98B" w14:textId="0B926DB2" w:rsidR="008030AB" w:rsidRPr="00704821" w:rsidRDefault="001D06F7" w:rsidP="00617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030AB" w:rsidRPr="00704821" w14:paraId="0D63A068" w14:textId="77777777" w:rsidTr="0061716B">
        <w:tc>
          <w:tcPr>
            <w:tcW w:w="1418" w:type="dxa"/>
            <w:shd w:val="clear" w:color="auto" w:fill="D9D9D9" w:themeFill="background1" w:themeFillShade="D9"/>
          </w:tcPr>
          <w:p w14:paraId="1D9EF9B4" w14:textId="5731586E" w:rsidR="008030AB" w:rsidRPr="00704821" w:rsidRDefault="008030AB" w:rsidP="00617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Mídia</w:t>
            </w:r>
          </w:p>
        </w:tc>
        <w:tc>
          <w:tcPr>
            <w:tcW w:w="397" w:type="dxa"/>
          </w:tcPr>
          <w:p w14:paraId="14AEDFDA" w14:textId="27970EAE" w:rsidR="008030AB" w:rsidRPr="00704821" w:rsidRDefault="00386DBD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490397C2" w14:textId="200076B4" w:rsidR="008030AB" w:rsidRPr="00704821" w:rsidRDefault="00386DBD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4F89583B" w14:textId="6AB3358B" w:rsidR="008030AB" w:rsidRPr="00704821" w:rsidRDefault="00182E88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72A1999C" w14:textId="4F461B12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65342D41" w14:textId="570B96B6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0B26D66" w14:textId="64492598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6448F98D" w14:textId="26F99AC0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9310F3C" w14:textId="6F5AB9C3" w:rsidR="008030AB" w:rsidRPr="00704821" w:rsidRDefault="00C71CBA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16B59435" w14:textId="5D4DB54C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66A903" w14:textId="20184C4E" w:rsidR="008030AB" w:rsidRPr="00704821" w:rsidRDefault="006B0465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6DE2490" w14:textId="6A24DFE0" w:rsidR="008030AB" w:rsidRPr="00704821" w:rsidRDefault="006B0465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32D8EAA" w14:textId="77777777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C6EE64" w14:textId="77777777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45BF9" w14:textId="47EF7C50" w:rsidR="008030AB" w:rsidRPr="00704821" w:rsidRDefault="00842BAA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1396401" w14:textId="77777777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F6A750" w14:textId="77777777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BE60A4" w14:textId="2836736B" w:rsidR="008030AB" w:rsidRPr="00704821" w:rsidRDefault="008030A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F8E4B19" w14:textId="0B870CC6" w:rsidR="008030AB" w:rsidRPr="00704821" w:rsidRDefault="001D06F7" w:rsidP="00617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44101" w:rsidRPr="00704821" w14:paraId="3AAC22C1" w14:textId="77777777" w:rsidTr="0061716B">
        <w:tc>
          <w:tcPr>
            <w:tcW w:w="1418" w:type="dxa"/>
            <w:shd w:val="clear" w:color="auto" w:fill="D9D9D9" w:themeFill="background1" w:themeFillShade="D9"/>
          </w:tcPr>
          <w:p w14:paraId="2F182A82" w14:textId="380AF0C8" w:rsidR="00044101" w:rsidRPr="00704821" w:rsidRDefault="00044101" w:rsidP="00803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Funcionários</w:t>
            </w:r>
          </w:p>
        </w:tc>
        <w:tc>
          <w:tcPr>
            <w:tcW w:w="397" w:type="dxa"/>
          </w:tcPr>
          <w:p w14:paraId="4D2382E9" w14:textId="691AE035" w:rsidR="00044101" w:rsidRPr="00704821" w:rsidRDefault="00386DBD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6661FBA2" w14:textId="77777777" w:rsidR="00044101" w:rsidRPr="00704821" w:rsidRDefault="00044101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FF71A2" w14:textId="781A1685" w:rsidR="00044101" w:rsidRPr="00704821" w:rsidRDefault="00182E88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7DB73062" w14:textId="77777777" w:rsidR="00044101" w:rsidRPr="00704821" w:rsidRDefault="00044101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7C82C50" w14:textId="77777777" w:rsidR="00044101" w:rsidRPr="00704821" w:rsidRDefault="00044101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558FE0F" w14:textId="22539F31" w:rsidR="00044101" w:rsidRPr="00704821" w:rsidRDefault="006A07F7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52176F2C" w14:textId="23402F9F" w:rsidR="00044101" w:rsidRPr="00704821" w:rsidRDefault="000D3F8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6810D023" w14:textId="5C2E4CD7" w:rsidR="00044101" w:rsidRPr="00704821" w:rsidRDefault="00C71CBA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680DB0CB" w14:textId="77777777" w:rsidR="00044101" w:rsidRPr="00704821" w:rsidRDefault="00044101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445308" w14:textId="5F33FEC3" w:rsidR="00044101" w:rsidRPr="00704821" w:rsidRDefault="006B0465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8323A58" w14:textId="23AD8166" w:rsidR="00044101" w:rsidRPr="00704821" w:rsidRDefault="006B0465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9F4ECC2" w14:textId="7A17058B" w:rsidR="00044101" w:rsidRPr="00704821" w:rsidRDefault="00FF3084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2B7717" w14:textId="7988631B" w:rsidR="00044101" w:rsidRPr="00704821" w:rsidRDefault="00395B8F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2847210" w14:textId="4980EF44" w:rsidR="00044101" w:rsidRPr="00704821" w:rsidRDefault="00842BAA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E18BF4F" w14:textId="77777777" w:rsidR="00044101" w:rsidRPr="00704821" w:rsidRDefault="00044101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6FF7F6" w14:textId="2E39A7F5" w:rsidR="00044101" w:rsidRPr="00704821" w:rsidRDefault="00060FF4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889665" w14:textId="4DBB371F" w:rsidR="00044101" w:rsidRPr="00704821" w:rsidRDefault="001D06F7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42FE8E76" w14:textId="7AAA1D7D" w:rsidR="00044101" w:rsidRPr="00704821" w:rsidRDefault="001D06F7" w:rsidP="00617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44101" w:rsidRPr="00704821" w14:paraId="7402FBAF" w14:textId="77777777" w:rsidTr="0061716B">
        <w:tc>
          <w:tcPr>
            <w:tcW w:w="1418" w:type="dxa"/>
            <w:shd w:val="clear" w:color="auto" w:fill="D9D9D9" w:themeFill="background1" w:themeFillShade="D9"/>
          </w:tcPr>
          <w:p w14:paraId="7F4A914F" w14:textId="14EA36F9" w:rsidR="00044101" w:rsidRPr="00704821" w:rsidRDefault="00ED20CE" w:rsidP="00803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Fornecedores</w:t>
            </w:r>
          </w:p>
        </w:tc>
        <w:tc>
          <w:tcPr>
            <w:tcW w:w="397" w:type="dxa"/>
          </w:tcPr>
          <w:p w14:paraId="6AB57477" w14:textId="202FC492" w:rsidR="00044101" w:rsidRPr="00704821" w:rsidRDefault="00386DBD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4E41E14E" w14:textId="77777777" w:rsidR="00044101" w:rsidRPr="00704821" w:rsidRDefault="00044101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06D52A3" w14:textId="1BDEE447" w:rsidR="00044101" w:rsidRPr="00704821" w:rsidRDefault="00182E88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0D08273C" w14:textId="77777777" w:rsidR="00044101" w:rsidRPr="00704821" w:rsidRDefault="00044101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CD5F17B" w14:textId="52AAF24F" w:rsidR="00044101" w:rsidRPr="00704821" w:rsidRDefault="006A07F7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069DB682" w14:textId="77777777" w:rsidR="00044101" w:rsidRPr="00704821" w:rsidRDefault="00044101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6B6F3CE4" w14:textId="706F9F41" w:rsidR="00044101" w:rsidRPr="00704821" w:rsidRDefault="000D3F8B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257FE25A" w14:textId="7746BA01" w:rsidR="00044101" w:rsidRPr="00704821" w:rsidRDefault="00C71CBA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7" w:type="dxa"/>
          </w:tcPr>
          <w:p w14:paraId="361B6359" w14:textId="77777777" w:rsidR="00044101" w:rsidRPr="00704821" w:rsidRDefault="00044101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BF2034" w14:textId="68C1620B" w:rsidR="00044101" w:rsidRPr="00704821" w:rsidRDefault="006B0465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4340AE" w14:textId="3E508E95" w:rsidR="00044101" w:rsidRPr="00704821" w:rsidRDefault="006B0465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D155297" w14:textId="603C95AA" w:rsidR="00044101" w:rsidRPr="00704821" w:rsidRDefault="00FF3084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60E3C99" w14:textId="77777777" w:rsidR="00044101" w:rsidRPr="00704821" w:rsidRDefault="00044101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37C04E" w14:textId="7267D440" w:rsidR="00044101" w:rsidRPr="00704821" w:rsidRDefault="00842BAA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4D93A97" w14:textId="7B6314CE" w:rsidR="00044101" w:rsidRPr="00704821" w:rsidRDefault="00E50523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CA98CEB" w14:textId="5AF31A05" w:rsidR="00044101" w:rsidRPr="00704821" w:rsidRDefault="00060FF4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F8FF9F2" w14:textId="56F762A8" w:rsidR="00044101" w:rsidRPr="00704821" w:rsidRDefault="001D06F7" w:rsidP="00AA2A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0174AC4F" w14:textId="36DF9BEB" w:rsidR="00044101" w:rsidRPr="00704821" w:rsidRDefault="001D06F7" w:rsidP="00617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14:paraId="127679C4" w14:textId="676DAB44" w:rsidR="000D018D" w:rsidRPr="00704821" w:rsidRDefault="000D018D" w:rsidP="006171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4821">
        <w:rPr>
          <w:rFonts w:ascii="Times New Roman" w:hAnsi="Times New Roman" w:cs="Times New Roman"/>
          <w:sz w:val="20"/>
          <w:szCs w:val="20"/>
        </w:rPr>
        <w:t xml:space="preserve">Fonte: </w:t>
      </w:r>
      <w:r w:rsidR="0061716B" w:rsidRPr="00704821">
        <w:rPr>
          <w:rFonts w:ascii="Times New Roman" w:hAnsi="Times New Roman" w:cs="Times New Roman"/>
          <w:sz w:val="20"/>
          <w:szCs w:val="20"/>
        </w:rPr>
        <w:t xml:space="preserve">Elaborado com base em </w:t>
      </w:r>
      <w:r w:rsidRPr="00704821">
        <w:rPr>
          <w:rFonts w:ascii="Times New Roman" w:hAnsi="Times New Roman" w:cs="Times New Roman"/>
          <w:sz w:val="20"/>
          <w:szCs w:val="20"/>
        </w:rPr>
        <w:t>Tilling (2004) e Freeman et. al (2010).</w:t>
      </w:r>
    </w:p>
    <w:p w14:paraId="4B9FEAA0" w14:textId="7D4C54B6" w:rsidR="008030AB" w:rsidRPr="00704821" w:rsidRDefault="008030AB" w:rsidP="0093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45AD3D5" w14:textId="75F0DBE4" w:rsidR="00565D5D" w:rsidRPr="00704821" w:rsidRDefault="00565D5D" w:rsidP="0093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Observa-se no Quadro 05, que os grupos de </w:t>
      </w:r>
      <w:r w:rsidR="0061716B" w:rsidRPr="00704821">
        <w:rPr>
          <w:rFonts w:ascii="Times New Roman" w:hAnsi="Times New Roman" w:cs="Times New Roman"/>
          <w:i/>
          <w:sz w:val="24"/>
          <w:szCs w:val="24"/>
        </w:rPr>
        <w:t>s</w:t>
      </w:r>
      <w:r w:rsidRPr="00704821">
        <w:rPr>
          <w:rFonts w:ascii="Times New Roman" w:hAnsi="Times New Roman" w:cs="Times New Roman"/>
          <w:i/>
          <w:sz w:val="24"/>
          <w:szCs w:val="24"/>
        </w:rPr>
        <w:t>takeholders</w:t>
      </w:r>
      <w:r w:rsidRPr="00704821">
        <w:rPr>
          <w:rFonts w:ascii="Times New Roman" w:hAnsi="Times New Roman" w:cs="Times New Roman"/>
          <w:sz w:val="24"/>
          <w:szCs w:val="24"/>
        </w:rPr>
        <w:t xml:space="preserve"> mais presentes nos FR e no RI, em relação à PNRS</w:t>
      </w:r>
      <w:r w:rsidR="0061716B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são o Estado (União, estados e municípios) e a População (clientes ou sociedade civil), </w:t>
      </w:r>
      <w:r w:rsidR="00944D26" w:rsidRPr="00704821">
        <w:rPr>
          <w:rFonts w:ascii="Times New Roman" w:hAnsi="Times New Roman" w:cs="Times New Roman"/>
          <w:sz w:val="24"/>
          <w:szCs w:val="24"/>
        </w:rPr>
        <w:t xml:space="preserve">pois apareceram nos relatórios de 15, das 17 empresas que compõe a </w:t>
      </w:r>
      <w:r w:rsidR="0061716B" w:rsidRPr="00704821">
        <w:rPr>
          <w:rFonts w:ascii="Times New Roman" w:hAnsi="Times New Roman" w:cs="Times New Roman"/>
          <w:sz w:val="24"/>
          <w:szCs w:val="24"/>
        </w:rPr>
        <w:t>a</w:t>
      </w:r>
      <w:r w:rsidR="00944D26" w:rsidRPr="00704821">
        <w:rPr>
          <w:rFonts w:ascii="Times New Roman" w:hAnsi="Times New Roman" w:cs="Times New Roman"/>
          <w:sz w:val="24"/>
          <w:szCs w:val="24"/>
        </w:rPr>
        <w:t>mostra</w:t>
      </w:r>
      <w:r w:rsidR="0061716B" w:rsidRPr="00704821">
        <w:rPr>
          <w:rFonts w:ascii="Times New Roman" w:hAnsi="Times New Roman" w:cs="Times New Roman"/>
          <w:sz w:val="24"/>
          <w:szCs w:val="24"/>
        </w:rPr>
        <w:t>. Já o</w:t>
      </w:r>
      <w:r w:rsidR="00944D26" w:rsidRPr="00704821">
        <w:rPr>
          <w:rFonts w:ascii="Times New Roman" w:hAnsi="Times New Roman" w:cs="Times New Roman"/>
          <w:sz w:val="24"/>
          <w:szCs w:val="24"/>
        </w:rPr>
        <w:t xml:space="preserve"> grupo de </w:t>
      </w:r>
      <w:r w:rsidR="0061716B" w:rsidRPr="00704821">
        <w:rPr>
          <w:rFonts w:ascii="Times New Roman" w:hAnsi="Times New Roman" w:cs="Times New Roman"/>
          <w:i/>
          <w:sz w:val="24"/>
          <w:szCs w:val="24"/>
        </w:rPr>
        <w:t>s</w:t>
      </w:r>
      <w:r w:rsidR="00944D26" w:rsidRPr="00704821">
        <w:rPr>
          <w:rFonts w:ascii="Times New Roman" w:hAnsi="Times New Roman" w:cs="Times New Roman"/>
          <w:i/>
          <w:sz w:val="24"/>
          <w:szCs w:val="24"/>
        </w:rPr>
        <w:t>takeholders</w:t>
      </w:r>
      <w:r w:rsidR="00944D26" w:rsidRPr="00704821">
        <w:rPr>
          <w:rFonts w:ascii="Times New Roman" w:hAnsi="Times New Roman" w:cs="Times New Roman"/>
          <w:sz w:val="24"/>
          <w:szCs w:val="24"/>
        </w:rPr>
        <w:t xml:space="preserve"> menos </w:t>
      </w:r>
      <w:r w:rsidR="001C2BB0" w:rsidRPr="00704821">
        <w:rPr>
          <w:rFonts w:ascii="Times New Roman" w:hAnsi="Times New Roman" w:cs="Times New Roman"/>
          <w:sz w:val="24"/>
          <w:szCs w:val="24"/>
        </w:rPr>
        <w:t>abordado</w:t>
      </w:r>
      <w:r w:rsidR="00944D26" w:rsidRPr="00704821">
        <w:rPr>
          <w:rFonts w:ascii="Times New Roman" w:hAnsi="Times New Roman" w:cs="Times New Roman"/>
          <w:sz w:val="24"/>
          <w:szCs w:val="24"/>
        </w:rPr>
        <w:t>, foi a Mídia, com 7 recorrências. Também percebeu-se enfoque significante para a Comunidade Financeiras, que pode ser entendido como acionistas e investidores, pois</w:t>
      </w:r>
      <w:r w:rsidR="00653F42">
        <w:rPr>
          <w:rFonts w:ascii="Times New Roman" w:hAnsi="Times New Roman" w:cs="Times New Roman"/>
          <w:sz w:val="24"/>
          <w:szCs w:val="24"/>
        </w:rPr>
        <w:t>,</w:t>
      </w:r>
      <w:r w:rsidR="00944D26" w:rsidRPr="00704821">
        <w:rPr>
          <w:rFonts w:ascii="Times New Roman" w:hAnsi="Times New Roman" w:cs="Times New Roman"/>
          <w:sz w:val="24"/>
          <w:szCs w:val="24"/>
        </w:rPr>
        <w:t xml:space="preserve"> 14 empresas consideraram esses </w:t>
      </w:r>
      <w:r w:rsidR="0061716B" w:rsidRPr="00704821">
        <w:rPr>
          <w:rFonts w:ascii="Times New Roman" w:hAnsi="Times New Roman" w:cs="Times New Roman"/>
          <w:i/>
          <w:sz w:val="24"/>
          <w:szCs w:val="24"/>
        </w:rPr>
        <w:t>s</w:t>
      </w:r>
      <w:r w:rsidR="00944D26" w:rsidRPr="00704821">
        <w:rPr>
          <w:rFonts w:ascii="Times New Roman" w:hAnsi="Times New Roman" w:cs="Times New Roman"/>
          <w:i/>
          <w:sz w:val="24"/>
          <w:szCs w:val="24"/>
        </w:rPr>
        <w:t>takeholders</w:t>
      </w:r>
      <w:r w:rsidR="00944D26" w:rsidRPr="00704821">
        <w:rPr>
          <w:rFonts w:ascii="Times New Roman" w:hAnsi="Times New Roman" w:cs="Times New Roman"/>
          <w:sz w:val="24"/>
          <w:szCs w:val="24"/>
        </w:rPr>
        <w:t xml:space="preserve"> como componentes do processo de adequação à PNRS.</w:t>
      </w:r>
      <w:r w:rsidR="006B2528" w:rsidRPr="00704821">
        <w:rPr>
          <w:rFonts w:ascii="Times New Roman" w:hAnsi="Times New Roman" w:cs="Times New Roman"/>
          <w:sz w:val="24"/>
          <w:szCs w:val="24"/>
        </w:rPr>
        <w:t xml:space="preserve"> O grupo dos Funcionários e dos Fornecedores estiveram presentes em 12 das 17 empresas.</w:t>
      </w:r>
    </w:p>
    <w:p w14:paraId="54390989" w14:textId="012AD1E2" w:rsidR="00DE0E82" w:rsidRPr="00704821" w:rsidRDefault="00992EF7" w:rsidP="0093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Ao d</w:t>
      </w:r>
      <w:r w:rsidR="00AF1F73" w:rsidRPr="00704821">
        <w:rPr>
          <w:rFonts w:ascii="Times New Roman" w:hAnsi="Times New Roman" w:cs="Times New Roman"/>
          <w:sz w:val="24"/>
          <w:szCs w:val="24"/>
        </w:rPr>
        <w:t xml:space="preserve">estacar o grupo de </w:t>
      </w:r>
      <w:r w:rsidR="00AF1F73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704821">
        <w:rPr>
          <w:rFonts w:ascii="Times New Roman" w:hAnsi="Times New Roman" w:cs="Times New Roman"/>
          <w:sz w:val="24"/>
          <w:szCs w:val="24"/>
        </w:rPr>
        <w:t>,</w:t>
      </w:r>
      <w:r w:rsidR="00AF1F73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Estados, as 15 empresas descreveram que segu</w:t>
      </w:r>
      <w:r w:rsidR="0061716B" w:rsidRPr="00704821">
        <w:rPr>
          <w:rFonts w:ascii="Times New Roman" w:hAnsi="Times New Roman" w:cs="Times New Roman"/>
          <w:sz w:val="24"/>
          <w:szCs w:val="24"/>
        </w:rPr>
        <w:t>em</w:t>
      </w:r>
      <w:r w:rsidRPr="00704821">
        <w:rPr>
          <w:rFonts w:ascii="Times New Roman" w:hAnsi="Times New Roman" w:cs="Times New Roman"/>
          <w:sz w:val="24"/>
          <w:szCs w:val="24"/>
        </w:rPr>
        <w:t xml:space="preserve"> todas as legislações pertinentes, sejam da esfera da federal, estadual ou municipal. Por exemplo, </w:t>
      </w:r>
      <w:r w:rsidR="0061716B" w:rsidRPr="00704821">
        <w:rPr>
          <w:rFonts w:ascii="Times New Roman" w:hAnsi="Times New Roman" w:cs="Times New Roman"/>
          <w:sz w:val="24"/>
          <w:szCs w:val="24"/>
        </w:rPr>
        <w:t>a</w:t>
      </w:r>
      <w:r w:rsidR="00BA2E59" w:rsidRPr="00704821">
        <w:rPr>
          <w:rFonts w:ascii="Times New Roman" w:hAnsi="Times New Roman" w:cs="Times New Roman"/>
          <w:sz w:val="24"/>
          <w:szCs w:val="24"/>
        </w:rPr>
        <w:t xml:space="preserve"> empresa BRF S.A (ID 2) afirmou no FR que cumpriu todas as legislações porque a falha no cumprimento dessas leis ou qualquer falta de licenças ambientais pode resultar em uma publicidade negativa e responsabilidade civil para reparação de danos ambientais. </w:t>
      </w:r>
    </w:p>
    <w:p w14:paraId="61DF3E7F" w14:textId="0B2B100E" w:rsidR="00BA2E59" w:rsidRPr="00704821" w:rsidRDefault="008E0654" w:rsidP="00BA2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O grupo </w:t>
      </w:r>
      <w:r w:rsidR="00537DF2">
        <w:rPr>
          <w:rFonts w:ascii="Times New Roman" w:hAnsi="Times New Roman" w:cs="Times New Roman"/>
          <w:sz w:val="24"/>
          <w:szCs w:val="24"/>
        </w:rPr>
        <w:t xml:space="preserve">de </w:t>
      </w:r>
      <w:r w:rsidR="00537DF2" w:rsidRPr="00537DF2">
        <w:rPr>
          <w:rFonts w:ascii="Times New Roman" w:hAnsi="Times New Roman" w:cs="Times New Roman"/>
          <w:i/>
          <w:sz w:val="24"/>
          <w:szCs w:val="24"/>
        </w:rPr>
        <w:t>stakeholders</w:t>
      </w:r>
      <w:r w:rsidR="00537DF2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 xml:space="preserve">denominado </w:t>
      </w:r>
      <w:r w:rsidR="00DE0E82" w:rsidRPr="00704821">
        <w:rPr>
          <w:rFonts w:ascii="Times New Roman" w:hAnsi="Times New Roman" w:cs="Times New Roman"/>
          <w:sz w:val="24"/>
          <w:szCs w:val="24"/>
        </w:rPr>
        <w:t>População</w:t>
      </w:r>
      <w:r w:rsidRPr="00704821">
        <w:rPr>
          <w:rFonts w:ascii="Times New Roman" w:hAnsi="Times New Roman" w:cs="Times New Roman"/>
          <w:sz w:val="24"/>
          <w:szCs w:val="24"/>
        </w:rPr>
        <w:t xml:space="preserve">, estava presente na forma de </w:t>
      </w:r>
      <w:r w:rsidR="00BA2E59" w:rsidRPr="00704821">
        <w:rPr>
          <w:rFonts w:ascii="Times New Roman" w:hAnsi="Times New Roman" w:cs="Times New Roman"/>
          <w:sz w:val="24"/>
          <w:szCs w:val="24"/>
        </w:rPr>
        <w:t>parcerias realizadas pelas empresas com os catadores de lixo ou as cooperativas de catadores</w:t>
      </w:r>
      <w:r w:rsidRPr="00704821">
        <w:rPr>
          <w:rFonts w:ascii="Times New Roman" w:hAnsi="Times New Roman" w:cs="Times New Roman"/>
          <w:sz w:val="24"/>
          <w:szCs w:val="24"/>
        </w:rPr>
        <w:t>. A empresa Celulose Irani S.A (ID 13)</w:t>
      </w:r>
      <w:r w:rsidR="00537DF2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por exemplo, desenvolve ações em benefício da sociedade, a partir de parcerias ou por incentivo direto, pois</w:t>
      </w:r>
      <w:r w:rsidR="00537DF2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apoia e desenvolve projetos nas áreas de cidadania, educação, cultura, esporte e meio ambiente, com base na Política de Responsabilidade Social.</w:t>
      </w:r>
      <w:r w:rsidR="00AF1F73" w:rsidRPr="00704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ED4BC" w14:textId="0E1391C6" w:rsidR="00AF1F73" w:rsidRPr="00704821" w:rsidRDefault="00AF1F73" w:rsidP="00BA2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Os </w:t>
      </w:r>
      <w:r w:rsidR="0061716B" w:rsidRPr="00704821">
        <w:rPr>
          <w:rFonts w:ascii="Times New Roman" w:hAnsi="Times New Roman" w:cs="Times New Roman"/>
          <w:i/>
          <w:sz w:val="24"/>
          <w:szCs w:val="24"/>
        </w:rPr>
        <w:t>s</w:t>
      </w:r>
      <w:r w:rsidRPr="00704821">
        <w:rPr>
          <w:rFonts w:ascii="Times New Roman" w:hAnsi="Times New Roman" w:cs="Times New Roman"/>
          <w:i/>
          <w:sz w:val="24"/>
          <w:szCs w:val="24"/>
        </w:rPr>
        <w:t>takeholders</w:t>
      </w:r>
      <w:r w:rsidRPr="00704821">
        <w:rPr>
          <w:rFonts w:ascii="Times New Roman" w:hAnsi="Times New Roman" w:cs="Times New Roman"/>
          <w:sz w:val="24"/>
          <w:szCs w:val="24"/>
        </w:rPr>
        <w:t xml:space="preserve"> representantes da Comunidade Financeira (acionistas e investidores), estiveram presentes em 14, das 17 empresas da amostra. As empresas relataram que a prática de gestão integrada de resíduos sólidos propicia maiores retornos aos acionistas, como é o caso da Sanepar (ID 1), ou que podem reduzir os custos de produção, como é o caso da Fibria (ID 14). As empresas que consideram a mídia como um dos </w:t>
      </w:r>
      <w:r w:rsidR="0061716B" w:rsidRPr="00704821">
        <w:rPr>
          <w:rFonts w:ascii="Times New Roman" w:hAnsi="Times New Roman" w:cs="Times New Roman"/>
          <w:i/>
          <w:sz w:val="24"/>
          <w:szCs w:val="24"/>
        </w:rPr>
        <w:t>s</w:t>
      </w:r>
      <w:r w:rsidRPr="00704821">
        <w:rPr>
          <w:rFonts w:ascii="Times New Roman" w:hAnsi="Times New Roman" w:cs="Times New Roman"/>
          <w:i/>
          <w:sz w:val="24"/>
          <w:szCs w:val="24"/>
        </w:rPr>
        <w:t>takeholders</w:t>
      </w:r>
      <w:r w:rsidR="00537DF2">
        <w:rPr>
          <w:rFonts w:ascii="Times New Roman" w:hAnsi="Times New Roman" w:cs="Times New Roman"/>
          <w:i/>
          <w:sz w:val="24"/>
          <w:szCs w:val="24"/>
        </w:rPr>
        <w:t>,</w:t>
      </w:r>
      <w:r w:rsidR="00AD060D" w:rsidRPr="00704821">
        <w:rPr>
          <w:rFonts w:ascii="Times New Roman" w:hAnsi="Times New Roman" w:cs="Times New Roman"/>
          <w:sz w:val="24"/>
          <w:szCs w:val="24"/>
        </w:rPr>
        <w:t xml:space="preserve"> somaram 7 empresas</w:t>
      </w:r>
      <w:r w:rsidR="0061716B" w:rsidRPr="00704821">
        <w:rPr>
          <w:rFonts w:ascii="Times New Roman" w:hAnsi="Times New Roman" w:cs="Times New Roman"/>
          <w:sz w:val="24"/>
          <w:szCs w:val="24"/>
        </w:rPr>
        <w:t>. Um exemplo de</w:t>
      </w:r>
      <w:r w:rsidR="00AD060D" w:rsidRPr="00704821">
        <w:rPr>
          <w:rFonts w:ascii="Times New Roman" w:hAnsi="Times New Roman" w:cs="Times New Roman"/>
          <w:sz w:val="24"/>
          <w:szCs w:val="24"/>
        </w:rPr>
        <w:t xml:space="preserve"> evidenciação desse grupo foi realizado pela empresa Brf S.A (ID 2) </w:t>
      </w:r>
      <w:r w:rsidR="0061716B" w:rsidRPr="00704821">
        <w:rPr>
          <w:rFonts w:ascii="Times New Roman" w:hAnsi="Times New Roman" w:cs="Times New Roman"/>
          <w:sz w:val="24"/>
          <w:szCs w:val="24"/>
        </w:rPr>
        <w:t xml:space="preserve">ressaltando que </w:t>
      </w:r>
      <w:r w:rsidR="00AD060D" w:rsidRPr="00704821">
        <w:rPr>
          <w:rFonts w:ascii="Times New Roman" w:hAnsi="Times New Roman" w:cs="Times New Roman"/>
          <w:sz w:val="24"/>
          <w:szCs w:val="24"/>
        </w:rPr>
        <w:t>que o descumprimento de leis e regulamentos ou qualquer falta de autorizações ou licenças pode resultar em publicidade negativa e responsabilidade civil para reparação de danos ambientais.</w:t>
      </w:r>
    </w:p>
    <w:p w14:paraId="7CCBC097" w14:textId="23B63A86" w:rsidR="00841872" w:rsidRPr="00704821" w:rsidRDefault="006C27C2" w:rsidP="0093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Já para o </w:t>
      </w:r>
      <w:r w:rsidR="0061716B" w:rsidRPr="00704821">
        <w:rPr>
          <w:rFonts w:ascii="Times New Roman" w:hAnsi="Times New Roman" w:cs="Times New Roman"/>
          <w:sz w:val="24"/>
          <w:szCs w:val="24"/>
        </w:rPr>
        <w:t>g</w:t>
      </w:r>
      <w:r w:rsidRPr="00704821">
        <w:rPr>
          <w:rFonts w:ascii="Times New Roman" w:hAnsi="Times New Roman" w:cs="Times New Roman"/>
          <w:sz w:val="24"/>
          <w:szCs w:val="24"/>
        </w:rPr>
        <w:t xml:space="preserve">rupo dos </w:t>
      </w:r>
      <w:r w:rsidR="0061716B" w:rsidRPr="00704821">
        <w:rPr>
          <w:rFonts w:ascii="Times New Roman" w:hAnsi="Times New Roman" w:cs="Times New Roman"/>
          <w:i/>
          <w:sz w:val="24"/>
          <w:szCs w:val="24"/>
        </w:rPr>
        <w:t>s</w:t>
      </w:r>
      <w:r w:rsidRPr="00704821">
        <w:rPr>
          <w:rFonts w:ascii="Times New Roman" w:hAnsi="Times New Roman" w:cs="Times New Roman"/>
          <w:i/>
          <w:sz w:val="24"/>
          <w:szCs w:val="24"/>
        </w:rPr>
        <w:t>takeholders</w:t>
      </w:r>
      <w:r w:rsidRPr="00704821">
        <w:rPr>
          <w:rFonts w:ascii="Times New Roman" w:hAnsi="Times New Roman" w:cs="Times New Roman"/>
          <w:sz w:val="24"/>
          <w:szCs w:val="24"/>
        </w:rPr>
        <w:t>, Funcionários, a</w:t>
      </w:r>
      <w:r w:rsidR="00522638" w:rsidRPr="00704821">
        <w:rPr>
          <w:rFonts w:ascii="Times New Roman" w:hAnsi="Times New Roman" w:cs="Times New Roman"/>
          <w:sz w:val="24"/>
          <w:szCs w:val="24"/>
        </w:rPr>
        <w:t>s</w:t>
      </w:r>
      <w:r w:rsidR="00FF7F2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DE0E82" w:rsidRPr="00704821">
        <w:rPr>
          <w:rFonts w:ascii="Times New Roman" w:hAnsi="Times New Roman" w:cs="Times New Roman"/>
          <w:sz w:val="24"/>
          <w:szCs w:val="24"/>
        </w:rPr>
        <w:t xml:space="preserve">empresas </w:t>
      </w:r>
      <w:r w:rsidR="00522638" w:rsidRPr="00704821">
        <w:rPr>
          <w:rFonts w:ascii="Times New Roman" w:hAnsi="Times New Roman" w:cs="Times New Roman"/>
          <w:sz w:val="24"/>
          <w:szCs w:val="24"/>
        </w:rPr>
        <w:t xml:space="preserve">Sanepar (ID 1), </w:t>
      </w:r>
      <w:r w:rsidR="00FF7F2A" w:rsidRPr="00704821">
        <w:rPr>
          <w:rFonts w:ascii="Times New Roman" w:hAnsi="Times New Roman" w:cs="Times New Roman"/>
          <w:sz w:val="24"/>
          <w:szCs w:val="24"/>
        </w:rPr>
        <w:t xml:space="preserve">Banco do Brasil (ID 3), </w:t>
      </w:r>
      <w:r w:rsidR="006E043F" w:rsidRPr="00704821">
        <w:rPr>
          <w:rFonts w:ascii="Times New Roman" w:hAnsi="Times New Roman" w:cs="Times New Roman"/>
          <w:sz w:val="24"/>
          <w:szCs w:val="24"/>
        </w:rPr>
        <w:t xml:space="preserve">Itaú (ID 6), Santander S.A (ID 7), Magazine Luiza (ID 8), </w:t>
      </w:r>
      <w:r w:rsidR="00FF7F2A" w:rsidRPr="00704821">
        <w:rPr>
          <w:rFonts w:ascii="Times New Roman" w:hAnsi="Times New Roman" w:cs="Times New Roman"/>
          <w:sz w:val="24"/>
          <w:szCs w:val="24"/>
        </w:rPr>
        <w:t>Eletropaulo (ID 10)</w:t>
      </w:r>
      <w:r w:rsidR="006E043F" w:rsidRPr="00704821">
        <w:rPr>
          <w:rFonts w:ascii="Times New Roman" w:hAnsi="Times New Roman" w:cs="Times New Roman"/>
          <w:sz w:val="24"/>
          <w:szCs w:val="24"/>
        </w:rPr>
        <w:t xml:space="preserve">, Natura (ID 11), Duratex S.A (ID 12), Celulose Irani S.A (ID 13), </w:t>
      </w:r>
      <w:r w:rsidR="00FF7F2A" w:rsidRPr="00704821">
        <w:rPr>
          <w:rFonts w:ascii="Times New Roman" w:hAnsi="Times New Roman" w:cs="Times New Roman"/>
          <w:sz w:val="24"/>
          <w:szCs w:val="24"/>
        </w:rPr>
        <w:t>Fibria (ID 14)</w:t>
      </w:r>
      <w:r w:rsidR="006E043F" w:rsidRPr="00704821">
        <w:rPr>
          <w:rFonts w:ascii="Times New Roman" w:hAnsi="Times New Roman" w:cs="Times New Roman"/>
          <w:sz w:val="24"/>
          <w:szCs w:val="24"/>
        </w:rPr>
        <w:t>, CCR S.A (ID 16) e Ecorodovias (ID 17)</w:t>
      </w:r>
      <w:r w:rsidR="00FF7F2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C66B05" w:rsidRPr="00704821">
        <w:rPr>
          <w:rFonts w:ascii="Times New Roman" w:hAnsi="Times New Roman" w:cs="Times New Roman"/>
          <w:sz w:val="24"/>
          <w:szCs w:val="24"/>
        </w:rPr>
        <w:t xml:space="preserve">discorreram que </w:t>
      </w:r>
      <w:r w:rsidR="00FF7F2A" w:rsidRPr="00704821">
        <w:rPr>
          <w:rFonts w:ascii="Times New Roman" w:hAnsi="Times New Roman" w:cs="Times New Roman"/>
          <w:sz w:val="24"/>
          <w:szCs w:val="24"/>
        </w:rPr>
        <w:t xml:space="preserve">realizam ações de educação ambiental com seus funcionários </w:t>
      </w:r>
      <w:r w:rsidR="00C66B05" w:rsidRPr="00704821">
        <w:rPr>
          <w:rFonts w:ascii="Times New Roman" w:hAnsi="Times New Roman" w:cs="Times New Roman"/>
          <w:sz w:val="24"/>
          <w:szCs w:val="24"/>
        </w:rPr>
        <w:t>visando cumprimento d</w:t>
      </w:r>
      <w:r w:rsidR="00FF7F2A" w:rsidRPr="00704821">
        <w:rPr>
          <w:rFonts w:ascii="Times New Roman" w:hAnsi="Times New Roman" w:cs="Times New Roman"/>
          <w:sz w:val="24"/>
          <w:szCs w:val="24"/>
        </w:rPr>
        <w:t xml:space="preserve">a responsabilidade socioambiental </w:t>
      </w:r>
      <w:r w:rsidR="00C66B05" w:rsidRPr="00704821">
        <w:rPr>
          <w:rFonts w:ascii="Times New Roman" w:hAnsi="Times New Roman" w:cs="Times New Roman"/>
          <w:sz w:val="24"/>
          <w:szCs w:val="24"/>
        </w:rPr>
        <w:t xml:space="preserve">dentro e </w:t>
      </w:r>
      <w:r w:rsidR="00FF7F2A" w:rsidRPr="00704821">
        <w:rPr>
          <w:rFonts w:ascii="Times New Roman" w:hAnsi="Times New Roman" w:cs="Times New Roman"/>
          <w:sz w:val="24"/>
          <w:szCs w:val="24"/>
        </w:rPr>
        <w:t xml:space="preserve">fora da </w:t>
      </w:r>
      <w:r w:rsidR="00FF7F2A" w:rsidRPr="00704821">
        <w:rPr>
          <w:rFonts w:ascii="Times New Roman" w:hAnsi="Times New Roman" w:cs="Times New Roman"/>
          <w:sz w:val="24"/>
          <w:szCs w:val="24"/>
        </w:rPr>
        <w:lastRenderedPageBreak/>
        <w:t>empresa</w:t>
      </w:r>
      <w:r w:rsidR="006E043F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61716B" w:rsidRPr="00704821">
        <w:rPr>
          <w:rFonts w:ascii="Times New Roman" w:hAnsi="Times New Roman" w:cs="Times New Roman"/>
          <w:sz w:val="24"/>
          <w:szCs w:val="24"/>
        </w:rPr>
        <w:t xml:space="preserve">reduzindo, </w:t>
      </w:r>
      <w:r w:rsidR="006E043F" w:rsidRPr="00704821">
        <w:rPr>
          <w:rFonts w:ascii="Times New Roman" w:hAnsi="Times New Roman" w:cs="Times New Roman"/>
          <w:sz w:val="24"/>
          <w:szCs w:val="24"/>
        </w:rPr>
        <w:t>por exemplo</w:t>
      </w:r>
      <w:r w:rsidR="0061716B" w:rsidRPr="00704821">
        <w:rPr>
          <w:rFonts w:ascii="Times New Roman" w:hAnsi="Times New Roman" w:cs="Times New Roman"/>
          <w:sz w:val="24"/>
          <w:szCs w:val="24"/>
        </w:rPr>
        <w:t>,</w:t>
      </w:r>
      <w:r w:rsidR="006E043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1019C3" w:rsidRPr="00704821">
        <w:rPr>
          <w:rFonts w:ascii="Times New Roman" w:hAnsi="Times New Roman" w:cs="Times New Roman"/>
          <w:sz w:val="24"/>
          <w:szCs w:val="24"/>
        </w:rPr>
        <w:t>consumo de material de escritório</w:t>
      </w:r>
      <w:r w:rsidR="00920C73" w:rsidRPr="00704821">
        <w:rPr>
          <w:rFonts w:ascii="Times New Roman" w:hAnsi="Times New Roman" w:cs="Times New Roman"/>
          <w:sz w:val="24"/>
          <w:szCs w:val="24"/>
        </w:rPr>
        <w:t xml:space="preserve"> (ambiente interno)</w:t>
      </w:r>
      <w:r w:rsidR="001019C3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FF7F2A" w:rsidRPr="00704821">
        <w:rPr>
          <w:rFonts w:ascii="Times New Roman" w:hAnsi="Times New Roman" w:cs="Times New Roman"/>
          <w:sz w:val="24"/>
          <w:szCs w:val="24"/>
        </w:rPr>
        <w:t>destinando corretamente o óleo de cozinha, pilhas e eletroeletrônicos</w:t>
      </w:r>
      <w:r w:rsidR="00E321FF" w:rsidRPr="00704821">
        <w:rPr>
          <w:rFonts w:ascii="Times New Roman" w:hAnsi="Times New Roman" w:cs="Times New Roman"/>
          <w:sz w:val="24"/>
          <w:szCs w:val="24"/>
        </w:rPr>
        <w:t xml:space="preserve"> (</w:t>
      </w:r>
      <w:r w:rsidR="00920C73" w:rsidRPr="00704821">
        <w:rPr>
          <w:rFonts w:ascii="Times New Roman" w:hAnsi="Times New Roman" w:cs="Times New Roman"/>
          <w:sz w:val="24"/>
          <w:szCs w:val="24"/>
        </w:rPr>
        <w:t xml:space="preserve">ambiente </w:t>
      </w:r>
      <w:r w:rsidR="00E321FF" w:rsidRPr="00704821">
        <w:rPr>
          <w:rFonts w:ascii="Times New Roman" w:hAnsi="Times New Roman" w:cs="Times New Roman"/>
          <w:sz w:val="24"/>
          <w:szCs w:val="24"/>
        </w:rPr>
        <w:t>externo)</w:t>
      </w:r>
      <w:r w:rsidR="00FF7F2A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6AE51F81" w14:textId="70A6B7FC" w:rsidR="00452B87" w:rsidRPr="00704821" w:rsidRDefault="00452B87" w:rsidP="00934E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A gestão dos fornecedores (</w:t>
      </w:r>
      <w:r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704821">
        <w:rPr>
          <w:rFonts w:ascii="Times New Roman" w:hAnsi="Times New Roman" w:cs="Times New Roman"/>
          <w:sz w:val="24"/>
          <w:szCs w:val="24"/>
        </w:rPr>
        <w:t xml:space="preserve">) das organizações, também foi um aspecto enfatizado pelas empresas </w:t>
      </w:r>
      <w:r w:rsidR="00920C73" w:rsidRPr="00704821">
        <w:rPr>
          <w:rFonts w:ascii="Times New Roman" w:hAnsi="Times New Roman" w:cs="Times New Roman"/>
          <w:sz w:val="24"/>
          <w:szCs w:val="24"/>
        </w:rPr>
        <w:t>desse estudo</w:t>
      </w:r>
      <w:r w:rsidRPr="00704821">
        <w:rPr>
          <w:rFonts w:ascii="Times New Roman" w:hAnsi="Times New Roman" w:cs="Times New Roman"/>
          <w:sz w:val="24"/>
          <w:szCs w:val="24"/>
        </w:rPr>
        <w:t>. Empresas como BRF S.A (I</w:t>
      </w:r>
      <w:r w:rsidR="008138C4" w:rsidRPr="00704821">
        <w:rPr>
          <w:rFonts w:ascii="Times New Roman" w:hAnsi="Times New Roman" w:cs="Times New Roman"/>
          <w:sz w:val="24"/>
          <w:szCs w:val="24"/>
        </w:rPr>
        <w:t xml:space="preserve">D 2), Banco do Brasil (ID 3) e </w:t>
      </w:r>
      <w:r w:rsidRPr="00704821">
        <w:rPr>
          <w:rFonts w:ascii="Times New Roman" w:hAnsi="Times New Roman" w:cs="Times New Roman"/>
          <w:sz w:val="24"/>
          <w:szCs w:val="24"/>
        </w:rPr>
        <w:t xml:space="preserve">Santander (ID 7) privilegiam fornecedores que possuem ações de </w:t>
      </w:r>
      <w:r w:rsidR="006C1D5B" w:rsidRPr="00704821">
        <w:rPr>
          <w:rFonts w:ascii="Times New Roman" w:hAnsi="Times New Roman" w:cs="Times New Roman"/>
          <w:sz w:val="24"/>
          <w:szCs w:val="24"/>
        </w:rPr>
        <w:t>RSC</w:t>
      </w:r>
      <w:r w:rsidRPr="00704821">
        <w:rPr>
          <w:rFonts w:ascii="Times New Roman" w:hAnsi="Times New Roman" w:cs="Times New Roman"/>
          <w:sz w:val="24"/>
          <w:szCs w:val="24"/>
        </w:rPr>
        <w:t>. A empresa Petrobras (ID 15) afirmou que como medida preventiva de impactos socioambientais faz verificações das práticas de fornecedores de serviços ambientais, incluindo os serviços referentes a transporte, tratamento, destinação e análises químicas de resíduos</w:t>
      </w:r>
      <w:r w:rsidR="00231520">
        <w:rPr>
          <w:rFonts w:ascii="Times New Roman" w:hAnsi="Times New Roman" w:cs="Times New Roman"/>
          <w:sz w:val="24"/>
          <w:szCs w:val="24"/>
        </w:rPr>
        <w:t xml:space="preserve">, além do fato de </w:t>
      </w:r>
      <w:r w:rsidR="00EC6618">
        <w:rPr>
          <w:rFonts w:ascii="Times New Roman" w:hAnsi="Times New Roman" w:cs="Times New Roman"/>
          <w:sz w:val="24"/>
          <w:szCs w:val="24"/>
        </w:rPr>
        <w:t>que em 2015 registraram</w:t>
      </w:r>
      <w:r w:rsidRPr="00704821">
        <w:rPr>
          <w:rFonts w:ascii="Times New Roman" w:hAnsi="Times New Roman" w:cs="Times New Roman"/>
          <w:sz w:val="24"/>
          <w:szCs w:val="24"/>
        </w:rPr>
        <w:t xml:space="preserve"> 356 verificações (documentadas)</w:t>
      </w:r>
      <w:r w:rsidR="00046275" w:rsidRPr="0070482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63D6575" w14:textId="3EFCA8A4" w:rsidR="00274B7A" w:rsidRPr="00704821" w:rsidRDefault="009709FD" w:rsidP="00274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Com relação aos </w:t>
      </w:r>
      <w:r w:rsidR="00531970" w:rsidRPr="00704821">
        <w:rPr>
          <w:rFonts w:ascii="Times New Roman" w:hAnsi="Times New Roman" w:cs="Times New Roman"/>
          <w:sz w:val="24"/>
          <w:szCs w:val="24"/>
        </w:rPr>
        <w:t xml:space="preserve">aspectos </w:t>
      </w:r>
      <w:r w:rsidR="00905BC1" w:rsidRPr="00704821">
        <w:rPr>
          <w:rFonts w:ascii="Times New Roman" w:hAnsi="Times New Roman" w:cs="Times New Roman"/>
          <w:sz w:val="24"/>
          <w:szCs w:val="24"/>
        </w:rPr>
        <w:t>da Teoria d</w:t>
      </w:r>
      <w:r w:rsidRPr="00704821">
        <w:rPr>
          <w:rFonts w:ascii="Times New Roman" w:hAnsi="Times New Roman" w:cs="Times New Roman"/>
          <w:sz w:val="24"/>
          <w:szCs w:val="24"/>
        </w:rPr>
        <w:t>a</w:t>
      </w:r>
      <w:r w:rsidR="00905BC1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BA2E59" w:rsidRPr="00704821">
        <w:rPr>
          <w:rFonts w:ascii="Times New Roman" w:hAnsi="Times New Roman" w:cs="Times New Roman"/>
          <w:sz w:val="24"/>
          <w:szCs w:val="24"/>
        </w:rPr>
        <w:t>Legitimidade</w:t>
      </w:r>
      <w:r w:rsidRPr="00704821">
        <w:rPr>
          <w:rFonts w:ascii="Times New Roman" w:hAnsi="Times New Roman" w:cs="Times New Roman"/>
          <w:sz w:val="24"/>
          <w:szCs w:val="24"/>
        </w:rPr>
        <w:t>,</w:t>
      </w:r>
      <w:r w:rsidR="00905BC1" w:rsidRPr="00704821">
        <w:rPr>
          <w:rFonts w:ascii="Times New Roman" w:hAnsi="Times New Roman" w:cs="Times New Roman"/>
          <w:sz w:val="24"/>
          <w:szCs w:val="24"/>
        </w:rPr>
        <w:t xml:space="preserve"> foi observado nos FR e no RI das empresas</w:t>
      </w:r>
      <w:r w:rsidR="00AA3289">
        <w:rPr>
          <w:rFonts w:ascii="Times New Roman" w:hAnsi="Times New Roman" w:cs="Times New Roman"/>
          <w:sz w:val="24"/>
          <w:szCs w:val="24"/>
        </w:rPr>
        <w:t>,</w:t>
      </w:r>
      <w:r w:rsidR="00905BC1" w:rsidRPr="00704821">
        <w:rPr>
          <w:rFonts w:ascii="Times New Roman" w:hAnsi="Times New Roman" w:cs="Times New Roman"/>
          <w:sz w:val="24"/>
          <w:szCs w:val="24"/>
        </w:rPr>
        <w:t xml:space="preserve"> que as mesmas buscam evidenciar as externalidades negativas de suas atividades. A empresa Natura, no seu RI declarou que em conjunto com a empresa de auditoria </w:t>
      </w:r>
      <w:hyperlink r:id="rId9" w:history="1">
        <w:r w:rsidR="00531970" w:rsidRPr="00704821">
          <w:rPr>
            <w:rFonts w:ascii="Times New Roman" w:hAnsi="Times New Roman" w:cs="Times New Roman"/>
            <w:sz w:val="24"/>
            <w:szCs w:val="24"/>
          </w:rPr>
          <w:t>PricewaterhouseCoopers (PWC)</w:t>
        </w:r>
      </w:hyperlink>
      <w:r w:rsidR="00905BC1" w:rsidRPr="00704821">
        <w:rPr>
          <w:rFonts w:ascii="Times New Roman" w:hAnsi="Times New Roman" w:cs="Times New Roman"/>
          <w:sz w:val="24"/>
          <w:szCs w:val="24"/>
        </w:rPr>
        <w:t xml:space="preserve">, está desenvolvendo indicadores </w:t>
      </w:r>
      <w:r w:rsidR="0095203F" w:rsidRPr="00704821">
        <w:rPr>
          <w:rFonts w:ascii="Times New Roman" w:hAnsi="Times New Roman" w:cs="Times New Roman"/>
          <w:sz w:val="24"/>
          <w:szCs w:val="24"/>
        </w:rPr>
        <w:t xml:space="preserve">de externalidades </w:t>
      </w:r>
      <w:r w:rsidR="00905BC1" w:rsidRPr="00704821">
        <w:rPr>
          <w:rFonts w:ascii="Times New Roman" w:hAnsi="Times New Roman" w:cs="Times New Roman"/>
          <w:sz w:val="24"/>
          <w:szCs w:val="24"/>
        </w:rPr>
        <w:t xml:space="preserve">ambientais. A empresa </w:t>
      </w:r>
      <w:r w:rsidR="00180CF2" w:rsidRPr="00704821">
        <w:rPr>
          <w:rFonts w:ascii="Times New Roman" w:hAnsi="Times New Roman" w:cs="Times New Roman"/>
          <w:sz w:val="24"/>
          <w:szCs w:val="24"/>
        </w:rPr>
        <w:t xml:space="preserve">afirma, </w:t>
      </w:r>
      <w:r w:rsidR="00A03C07" w:rsidRPr="00704821">
        <w:rPr>
          <w:rFonts w:ascii="Times New Roman" w:hAnsi="Times New Roman" w:cs="Times New Roman"/>
          <w:sz w:val="24"/>
          <w:szCs w:val="24"/>
        </w:rPr>
        <w:t>por exemplo</w:t>
      </w:r>
      <w:r w:rsidR="00180CF2" w:rsidRPr="00704821">
        <w:rPr>
          <w:rFonts w:ascii="Times New Roman" w:hAnsi="Times New Roman" w:cs="Times New Roman"/>
          <w:sz w:val="24"/>
          <w:szCs w:val="24"/>
        </w:rPr>
        <w:t>,</w:t>
      </w:r>
      <w:r w:rsidR="00905BC1" w:rsidRPr="00704821">
        <w:rPr>
          <w:rFonts w:ascii="Times New Roman" w:hAnsi="Times New Roman" w:cs="Times New Roman"/>
          <w:sz w:val="24"/>
          <w:szCs w:val="24"/>
        </w:rPr>
        <w:t xml:space="preserve"> que tenta </w:t>
      </w:r>
      <w:r w:rsidR="0095203F" w:rsidRPr="00704821">
        <w:rPr>
          <w:rFonts w:ascii="Times New Roman" w:hAnsi="Times New Roman" w:cs="Times New Roman"/>
          <w:sz w:val="24"/>
          <w:szCs w:val="24"/>
        </w:rPr>
        <w:t>calcular o impacto na natureza nos rios e mananciais pelo</w:t>
      </w:r>
      <w:r w:rsidR="00180CF2" w:rsidRPr="00704821">
        <w:rPr>
          <w:rFonts w:ascii="Times New Roman" w:hAnsi="Times New Roman" w:cs="Times New Roman"/>
          <w:sz w:val="24"/>
          <w:szCs w:val="24"/>
        </w:rPr>
        <w:t>s</w:t>
      </w:r>
      <w:r w:rsidR="00905BC1" w:rsidRPr="00704821">
        <w:rPr>
          <w:rFonts w:ascii="Times New Roman" w:hAnsi="Times New Roman" w:cs="Times New Roman"/>
          <w:sz w:val="24"/>
          <w:szCs w:val="24"/>
        </w:rPr>
        <w:t xml:space="preserve"> resíduos de seus produtos que são utilizados no banho</w:t>
      </w:r>
      <w:r w:rsidR="00AF2562" w:rsidRPr="00704821">
        <w:rPr>
          <w:rFonts w:ascii="Times New Roman" w:hAnsi="Times New Roman" w:cs="Times New Roman"/>
          <w:sz w:val="24"/>
          <w:szCs w:val="24"/>
        </w:rPr>
        <w:t xml:space="preserve"> e também foi única empresa que, de acordo com a análise de conteúdo evidenciou Respeito a Diversidades locais e regionais (ID 28), pois realiza projetos junto a comunidades locais (fornecedores de matéria-prima)</w:t>
      </w:r>
      <w:r w:rsidR="00440C6A" w:rsidRPr="00704821">
        <w:rPr>
          <w:rFonts w:ascii="Times New Roman" w:hAnsi="Times New Roman" w:cs="Times New Roman"/>
          <w:sz w:val="24"/>
          <w:szCs w:val="24"/>
        </w:rPr>
        <w:t>.</w:t>
      </w:r>
      <w:r w:rsidR="00CB0DB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9C6350" w:rsidRPr="00704821">
        <w:rPr>
          <w:rFonts w:ascii="Times New Roman" w:hAnsi="Times New Roman" w:cs="Times New Roman"/>
          <w:sz w:val="24"/>
          <w:szCs w:val="24"/>
        </w:rPr>
        <w:t xml:space="preserve">A empresa afirmou que causa externalidades negativas como resíduos, captação de água, emissões atmosféricas, odor e ruído, isso vai de encontro </w:t>
      </w:r>
      <w:r w:rsidR="00AA3289">
        <w:rPr>
          <w:rFonts w:ascii="Times New Roman" w:hAnsi="Times New Roman" w:cs="Times New Roman"/>
          <w:sz w:val="24"/>
          <w:szCs w:val="24"/>
        </w:rPr>
        <w:t>às</w:t>
      </w:r>
      <w:r w:rsidR="009C6350" w:rsidRPr="00704821">
        <w:rPr>
          <w:rFonts w:ascii="Times New Roman" w:hAnsi="Times New Roman" w:cs="Times New Roman"/>
          <w:sz w:val="24"/>
          <w:szCs w:val="24"/>
        </w:rPr>
        <w:t xml:space="preserve"> afirmações de Deegan (2002), de que as empresas usam a evidenciação socioambiental como mecanismo </w:t>
      </w:r>
      <w:r w:rsidR="005A7CA8" w:rsidRPr="00704821">
        <w:rPr>
          <w:rFonts w:ascii="Times New Roman" w:hAnsi="Times New Roman" w:cs="Times New Roman"/>
          <w:sz w:val="24"/>
          <w:szCs w:val="24"/>
        </w:rPr>
        <w:t>de influência</w:t>
      </w:r>
      <w:r w:rsidR="009C6350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5A7CA8" w:rsidRPr="00704821">
        <w:rPr>
          <w:rFonts w:ascii="Times New Roman" w:hAnsi="Times New Roman" w:cs="Times New Roman"/>
          <w:sz w:val="24"/>
          <w:szCs w:val="24"/>
        </w:rPr>
        <w:t>n</w:t>
      </w:r>
      <w:r w:rsidR="009C6350" w:rsidRPr="00704821">
        <w:rPr>
          <w:rFonts w:ascii="Times New Roman" w:hAnsi="Times New Roman" w:cs="Times New Roman"/>
          <w:sz w:val="24"/>
          <w:szCs w:val="24"/>
        </w:rPr>
        <w:t>as percepções da sociedade.</w:t>
      </w:r>
      <w:r w:rsidR="00274B7A" w:rsidRPr="00704821">
        <w:rPr>
          <w:rFonts w:ascii="Times New Roman" w:hAnsi="Times New Roman" w:cs="Times New Roman"/>
          <w:sz w:val="24"/>
          <w:szCs w:val="24"/>
        </w:rPr>
        <w:t xml:space="preserve"> Na próxima etapa do artigo, serão dispostas as conclusões.</w:t>
      </w:r>
    </w:p>
    <w:p w14:paraId="3F969618" w14:textId="70F6F0F2" w:rsidR="009435A6" w:rsidRPr="00704821" w:rsidRDefault="004F40CC" w:rsidP="00943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Por meio da análise de conteúdo verificou-se </w:t>
      </w:r>
      <w:r w:rsidR="00340F9F">
        <w:rPr>
          <w:rFonts w:ascii="Times New Roman" w:hAnsi="Times New Roman" w:cs="Times New Roman"/>
          <w:sz w:val="24"/>
          <w:szCs w:val="24"/>
        </w:rPr>
        <w:t>que 7 das 17 empresas que constituíram</w:t>
      </w:r>
      <w:r w:rsidRPr="00704821">
        <w:rPr>
          <w:rFonts w:ascii="Times New Roman" w:hAnsi="Times New Roman" w:cs="Times New Roman"/>
          <w:sz w:val="24"/>
          <w:szCs w:val="24"/>
        </w:rPr>
        <w:t xml:space="preserve"> a amostra desse estudo</w:t>
      </w:r>
      <w:r w:rsidR="00340F9F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evidenciaram nos referidos relatórios a PNRS. Observou-se também que 10 empresas não evidenciaram </w:t>
      </w:r>
      <w:r w:rsidR="003E747F" w:rsidRPr="00704821">
        <w:rPr>
          <w:rFonts w:ascii="Times New Roman" w:hAnsi="Times New Roman" w:cs="Times New Roman"/>
          <w:sz w:val="24"/>
          <w:szCs w:val="24"/>
        </w:rPr>
        <w:t>a PNRS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905C06" w:rsidRPr="00704821">
        <w:rPr>
          <w:rFonts w:ascii="Times New Roman" w:hAnsi="Times New Roman" w:cs="Times New Roman"/>
          <w:sz w:val="24"/>
          <w:szCs w:val="24"/>
        </w:rPr>
        <w:t>nos FR e RI</w:t>
      </w:r>
      <w:r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905C06" w:rsidRPr="00704821">
        <w:rPr>
          <w:rFonts w:ascii="Times New Roman" w:hAnsi="Times New Roman" w:cs="Times New Roman"/>
          <w:sz w:val="24"/>
          <w:szCs w:val="24"/>
        </w:rPr>
        <w:t xml:space="preserve">no entanto, </w:t>
      </w:r>
      <w:r w:rsidRPr="00704821">
        <w:rPr>
          <w:rFonts w:ascii="Times New Roman" w:hAnsi="Times New Roman" w:cs="Times New Roman"/>
          <w:sz w:val="24"/>
          <w:szCs w:val="24"/>
        </w:rPr>
        <w:t xml:space="preserve">todas </w:t>
      </w:r>
      <w:r w:rsidR="00905C06" w:rsidRPr="00704821">
        <w:rPr>
          <w:rFonts w:ascii="Times New Roman" w:hAnsi="Times New Roman" w:cs="Times New Roman"/>
          <w:sz w:val="24"/>
          <w:szCs w:val="24"/>
        </w:rPr>
        <w:t xml:space="preserve">as empresas da amostra </w:t>
      </w:r>
      <w:r w:rsidR="003E6E89">
        <w:rPr>
          <w:rFonts w:ascii="Times New Roman" w:hAnsi="Times New Roman" w:cs="Times New Roman"/>
          <w:sz w:val="24"/>
          <w:szCs w:val="24"/>
        </w:rPr>
        <w:t xml:space="preserve">declararam que </w:t>
      </w:r>
      <w:r w:rsidRPr="00704821">
        <w:rPr>
          <w:rFonts w:ascii="Times New Roman" w:hAnsi="Times New Roman" w:cs="Times New Roman"/>
          <w:sz w:val="24"/>
          <w:szCs w:val="24"/>
        </w:rPr>
        <w:t>realiza</w:t>
      </w:r>
      <w:r w:rsidR="00905C06" w:rsidRPr="00704821">
        <w:rPr>
          <w:rFonts w:ascii="Times New Roman" w:hAnsi="Times New Roman" w:cs="Times New Roman"/>
          <w:sz w:val="24"/>
          <w:szCs w:val="24"/>
        </w:rPr>
        <w:t>ra</w:t>
      </w:r>
      <w:r w:rsidRPr="00704821">
        <w:rPr>
          <w:rFonts w:ascii="Times New Roman" w:hAnsi="Times New Roman" w:cs="Times New Roman"/>
          <w:sz w:val="24"/>
          <w:szCs w:val="24"/>
        </w:rPr>
        <w:t xml:space="preserve">m </w:t>
      </w:r>
      <w:r w:rsidR="00905C06" w:rsidRPr="00704821">
        <w:rPr>
          <w:rFonts w:ascii="Times New Roman" w:hAnsi="Times New Roman" w:cs="Times New Roman"/>
          <w:sz w:val="24"/>
          <w:szCs w:val="24"/>
        </w:rPr>
        <w:t xml:space="preserve">em 2015 a </w:t>
      </w:r>
      <w:r w:rsidRPr="00704821">
        <w:rPr>
          <w:rFonts w:ascii="Times New Roman" w:hAnsi="Times New Roman" w:cs="Times New Roman"/>
          <w:sz w:val="24"/>
          <w:szCs w:val="24"/>
        </w:rPr>
        <w:t>gestão de resíduos sólidos no âmbito de suas atividades, e</w:t>
      </w:r>
      <w:r w:rsidR="00522638" w:rsidRPr="00704821">
        <w:rPr>
          <w:rFonts w:ascii="Times New Roman" w:hAnsi="Times New Roman" w:cs="Times New Roman"/>
          <w:sz w:val="24"/>
          <w:szCs w:val="24"/>
        </w:rPr>
        <w:t>,</w:t>
      </w:r>
      <w:r w:rsidRPr="00704821">
        <w:rPr>
          <w:rFonts w:ascii="Times New Roman" w:hAnsi="Times New Roman" w:cs="Times New Roman"/>
          <w:sz w:val="24"/>
          <w:szCs w:val="24"/>
        </w:rPr>
        <w:t xml:space="preserve"> portanto, estariam subordinadas à PNRS. Conforme artigo nº 9 da PNRS, </w:t>
      </w:r>
      <w:r w:rsidR="00522638" w:rsidRPr="00704821">
        <w:rPr>
          <w:rFonts w:ascii="Times New Roman" w:hAnsi="Times New Roman" w:cs="Times New Roman"/>
          <w:sz w:val="24"/>
          <w:szCs w:val="24"/>
        </w:rPr>
        <w:t xml:space="preserve">elas </w:t>
      </w:r>
      <w:r w:rsidRPr="00704821">
        <w:rPr>
          <w:rFonts w:ascii="Times New Roman" w:hAnsi="Times New Roman" w:cs="Times New Roman"/>
          <w:sz w:val="24"/>
          <w:szCs w:val="24"/>
        </w:rPr>
        <w:t xml:space="preserve">deveriam </w:t>
      </w:r>
      <w:r w:rsidR="00522638" w:rsidRPr="00704821">
        <w:rPr>
          <w:rFonts w:ascii="Times New Roman" w:hAnsi="Times New Roman" w:cs="Times New Roman"/>
          <w:sz w:val="24"/>
          <w:szCs w:val="24"/>
        </w:rPr>
        <w:t>evidenciar tal fato nos seus relatórios</w:t>
      </w:r>
      <w:r w:rsidRPr="00704821">
        <w:rPr>
          <w:rFonts w:ascii="Times New Roman" w:hAnsi="Times New Roman" w:cs="Times New Roman"/>
          <w:sz w:val="24"/>
          <w:szCs w:val="24"/>
        </w:rPr>
        <w:t>.</w:t>
      </w:r>
      <w:r w:rsidR="00CB0DB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9435A6" w:rsidRPr="00704821">
        <w:rPr>
          <w:rFonts w:ascii="Times New Roman" w:hAnsi="Times New Roman" w:cs="Times New Roman"/>
          <w:sz w:val="24"/>
          <w:szCs w:val="24"/>
        </w:rPr>
        <w:t xml:space="preserve">As </w:t>
      </w:r>
      <w:r w:rsidR="00531970" w:rsidRPr="00704821">
        <w:rPr>
          <w:rFonts w:ascii="Times New Roman" w:hAnsi="Times New Roman" w:cs="Times New Roman"/>
          <w:sz w:val="24"/>
          <w:szCs w:val="24"/>
        </w:rPr>
        <w:t>UA</w:t>
      </w:r>
      <w:r w:rsidR="003E747F" w:rsidRPr="00704821">
        <w:rPr>
          <w:rFonts w:ascii="Times New Roman" w:hAnsi="Times New Roman" w:cs="Times New Roman"/>
          <w:sz w:val="24"/>
          <w:szCs w:val="24"/>
        </w:rPr>
        <w:t xml:space="preserve"> mais recorrentes foram a </w:t>
      </w:r>
      <w:r w:rsidR="009435A6" w:rsidRPr="00704821">
        <w:rPr>
          <w:rFonts w:ascii="Times New Roman" w:hAnsi="Times New Roman" w:cs="Times New Roman"/>
          <w:sz w:val="24"/>
          <w:szCs w:val="24"/>
        </w:rPr>
        <w:t xml:space="preserve">UA 1- Acesso à informação (controle social), e a UA 8 - Desenvolvimento Sustentável / Sustentabilidade, </w:t>
      </w:r>
      <w:r w:rsidR="003E747F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="009435A6" w:rsidRPr="00704821">
        <w:rPr>
          <w:rFonts w:ascii="Times New Roman" w:hAnsi="Times New Roman" w:cs="Times New Roman"/>
          <w:sz w:val="24"/>
          <w:szCs w:val="24"/>
        </w:rPr>
        <w:t xml:space="preserve">estavam presentes nos FR e/ou RI de todas as 17 empresas que compõe a Amostra. </w:t>
      </w:r>
      <w:r w:rsidR="003446FF" w:rsidRPr="00704821">
        <w:rPr>
          <w:rFonts w:ascii="Times New Roman" w:hAnsi="Times New Roman" w:cs="Times New Roman"/>
          <w:sz w:val="24"/>
          <w:szCs w:val="24"/>
        </w:rPr>
        <w:t xml:space="preserve">Observou-se ainda, que os grupos de </w:t>
      </w:r>
      <w:r w:rsidR="00531970" w:rsidRPr="00704821">
        <w:rPr>
          <w:rFonts w:ascii="Times New Roman" w:hAnsi="Times New Roman" w:cs="Times New Roman"/>
          <w:i/>
          <w:sz w:val="24"/>
          <w:szCs w:val="24"/>
        </w:rPr>
        <w:t>s</w:t>
      </w:r>
      <w:r w:rsidR="003446FF" w:rsidRPr="00704821">
        <w:rPr>
          <w:rFonts w:ascii="Times New Roman" w:hAnsi="Times New Roman" w:cs="Times New Roman"/>
          <w:i/>
          <w:sz w:val="24"/>
          <w:szCs w:val="24"/>
        </w:rPr>
        <w:t>takeholders</w:t>
      </w:r>
      <w:r w:rsidR="003446FF" w:rsidRPr="00704821">
        <w:rPr>
          <w:rFonts w:ascii="Times New Roman" w:hAnsi="Times New Roman" w:cs="Times New Roman"/>
          <w:sz w:val="24"/>
          <w:szCs w:val="24"/>
        </w:rPr>
        <w:t xml:space="preserve"> mais </w:t>
      </w:r>
      <w:r w:rsidR="00531970" w:rsidRPr="00704821">
        <w:rPr>
          <w:rFonts w:ascii="Times New Roman" w:hAnsi="Times New Roman" w:cs="Times New Roman"/>
          <w:sz w:val="24"/>
          <w:szCs w:val="24"/>
        </w:rPr>
        <w:t>frequentes</w:t>
      </w:r>
      <w:r w:rsidR="002965B4" w:rsidRPr="00704821">
        <w:rPr>
          <w:rFonts w:ascii="Times New Roman" w:hAnsi="Times New Roman" w:cs="Times New Roman"/>
          <w:sz w:val="24"/>
          <w:szCs w:val="24"/>
        </w:rPr>
        <w:t xml:space="preserve"> nos</w:t>
      </w:r>
      <w:r w:rsidR="003446FF" w:rsidRPr="00704821">
        <w:rPr>
          <w:rFonts w:ascii="Times New Roman" w:hAnsi="Times New Roman" w:cs="Times New Roman"/>
          <w:sz w:val="24"/>
          <w:szCs w:val="24"/>
        </w:rPr>
        <w:t xml:space="preserve"> FR e no RI, em relação à </w:t>
      </w:r>
      <w:r w:rsidR="003E747F" w:rsidRPr="00704821">
        <w:rPr>
          <w:rFonts w:ascii="Times New Roman" w:hAnsi="Times New Roman" w:cs="Times New Roman"/>
          <w:sz w:val="24"/>
          <w:szCs w:val="24"/>
        </w:rPr>
        <w:t>gestão de resíduos</w:t>
      </w:r>
      <w:r w:rsidR="003446FF" w:rsidRPr="00704821">
        <w:rPr>
          <w:rFonts w:ascii="Times New Roman" w:hAnsi="Times New Roman" w:cs="Times New Roman"/>
          <w:sz w:val="24"/>
          <w:szCs w:val="24"/>
        </w:rPr>
        <w:t xml:space="preserve"> são o Estado (União, estados e municípios) e a População (clientes ou sociedade civil), pois apareceram nos relatórios de 15, das 17 empresas que compõe a Amostra.</w:t>
      </w:r>
      <w:r w:rsidR="00531970" w:rsidRPr="00704821">
        <w:rPr>
          <w:rFonts w:ascii="Times New Roman" w:hAnsi="Times New Roman" w:cs="Times New Roman"/>
          <w:sz w:val="24"/>
          <w:szCs w:val="24"/>
        </w:rPr>
        <w:t xml:space="preserve"> A seguir, s</w:t>
      </w:r>
      <w:r w:rsidR="00B96CA9" w:rsidRPr="00704821">
        <w:rPr>
          <w:rFonts w:ascii="Times New Roman" w:hAnsi="Times New Roman" w:cs="Times New Roman"/>
          <w:sz w:val="24"/>
          <w:szCs w:val="24"/>
        </w:rPr>
        <w:t xml:space="preserve">ão </w:t>
      </w:r>
      <w:r w:rsidR="00531970" w:rsidRPr="00704821">
        <w:rPr>
          <w:rFonts w:ascii="Times New Roman" w:hAnsi="Times New Roman" w:cs="Times New Roman"/>
          <w:sz w:val="24"/>
          <w:szCs w:val="24"/>
        </w:rPr>
        <w:t>apresentadas</w:t>
      </w:r>
      <w:r w:rsidR="00B96CA9" w:rsidRPr="00704821">
        <w:rPr>
          <w:rFonts w:ascii="Times New Roman" w:hAnsi="Times New Roman" w:cs="Times New Roman"/>
          <w:sz w:val="24"/>
          <w:szCs w:val="24"/>
        </w:rPr>
        <w:t xml:space="preserve"> as considerações finais desse estudo.</w:t>
      </w:r>
    </w:p>
    <w:p w14:paraId="04EEEEB7" w14:textId="5DE28CFC" w:rsidR="00CB0DB5" w:rsidRPr="00704821" w:rsidRDefault="00CB0DB5" w:rsidP="00CB0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F66E55" w14:textId="1F8526A7" w:rsidR="00BE2312" w:rsidRPr="00704821" w:rsidRDefault="00687A22" w:rsidP="00490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821">
        <w:rPr>
          <w:rFonts w:ascii="Times New Roman" w:hAnsi="Times New Roman" w:cs="Times New Roman"/>
          <w:b/>
          <w:sz w:val="24"/>
          <w:szCs w:val="24"/>
        </w:rPr>
        <w:t>5 CONSIDERAÇÕES FINAIS</w:t>
      </w:r>
    </w:p>
    <w:p w14:paraId="54117D4E" w14:textId="2CD4C9BB" w:rsidR="00721709" w:rsidRPr="00704821" w:rsidRDefault="0056392B" w:rsidP="00856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Com base nos resultados apresentados </w:t>
      </w:r>
      <w:r w:rsidR="00874F5A" w:rsidRPr="00704821">
        <w:rPr>
          <w:rFonts w:ascii="Times New Roman" w:hAnsi="Times New Roman" w:cs="Times New Roman"/>
          <w:sz w:val="24"/>
          <w:szCs w:val="24"/>
        </w:rPr>
        <w:t xml:space="preserve">e </w:t>
      </w:r>
      <w:r w:rsidRPr="00704821">
        <w:rPr>
          <w:rFonts w:ascii="Times New Roman" w:hAnsi="Times New Roman" w:cs="Times New Roman"/>
          <w:sz w:val="24"/>
          <w:szCs w:val="24"/>
        </w:rPr>
        <w:t xml:space="preserve">em consonância com o objetivo e questão de pesquisa, </w:t>
      </w:r>
      <w:r w:rsidR="00721709" w:rsidRPr="00704821">
        <w:rPr>
          <w:rFonts w:ascii="Times New Roman" w:hAnsi="Times New Roman" w:cs="Times New Roman"/>
          <w:sz w:val="24"/>
          <w:szCs w:val="24"/>
        </w:rPr>
        <w:t>conclui-se</w:t>
      </w:r>
      <w:r w:rsidR="007F383D" w:rsidRPr="00704821">
        <w:rPr>
          <w:rFonts w:ascii="Times New Roman" w:hAnsi="Times New Roman" w:cs="Times New Roman"/>
          <w:sz w:val="24"/>
          <w:szCs w:val="24"/>
        </w:rPr>
        <w:t xml:space="preserve"> que todas as empresas que integraram a amostra assumiram a </w:t>
      </w:r>
      <w:r w:rsidRPr="00704821">
        <w:rPr>
          <w:rFonts w:ascii="Times New Roman" w:hAnsi="Times New Roman" w:cs="Times New Roman"/>
          <w:sz w:val="24"/>
          <w:szCs w:val="24"/>
        </w:rPr>
        <w:t xml:space="preserve">RSC </w:t>
      </w:r>
      <w:r w:rsidR="00874F5A" w:rsidRPr="00704821">
        <w:rPr>
          <w:rFonts w:ascii="Times New Roman" w:hAnsi="Times New Roman" w:cs="Times New Roman"/>
          <w:sz w:val="24"/>
          <w:szCs w:val="24"/>
        </w:rPr>
        <w:t xml:space="preserve">em relação aos resíduos sólidos, pois, </w:t>
      </w:r>
      <w:r w:rsidR="004B416D" w:rsidRPr="00704821">
        <w:rPr>
          <w:rFonts w:ascii="Times New Roman" w:hAnsi="Times New Roman" w:cs="Times New Roman"/>
          <w:sz w:val="24"/>
          <w:szCs w:val="24"/>
        </w:rPr>
        <w:t xml:space="preserve">as 17 empresas </w:t>
      </w:r>
      <w:r w:rsidR="00312112" w:rsidRPr="00704821">
        <w:rPr>
          <w:rFonts w:ascii="Times New Roman" w:hAnsi="Times New Roman" w:cs="Times New Roman"/>
          <w:sz w:val="24"/>
          <w:szCs w:val="24"/>
        </w:rPr>
        <w:t>efetua</w:t>
      </w:r>
      <w:r w:rsidR="004B416D" w:rsidRPr="00704821">
        <w:rPr>
          <w:rFonts w:ascii="Times New Roman" w:hAnsi="Times New Roman" w:cs="Times New Roman"/>
          <w:sz w:val="24"/>
          <w:szCs w:val="24"/>
        </w:rPr>
        <w:t>ram a</w:t>
      </w:r>
      <w:r w:rsidR="00874F5A" w:rsidRPr="00704821">
        <w:rPr>
          <w:rFonts w:ascii="Times New Roman" w:hAnsi="Times New Roman" w:cs="Times New Roman"/>
          <w:sz w:val="24"/>
          <w:szCs w:val="24"/>
        </w:rPr>
        <w:t xml:space="preserve"> gestão de resíduos sólidos </w:t>
      </w:r>
      <w:r w:rsidR="004B416D" w:rsidRPr="00704821">
        <w:rPr>
          <w:rFonts w:ascii="Times New Roman" w:hAnsi="Times New Roman" w:cs="Times New Roman"/>
          <w:sz w:val="24"/>
          <w:szCs w:val="24"/>
        </w:rPr>
        <w:t xml:space="preserve">em 2015, </w:t>
      </w:r>
      <w:r w:rsidR="00563BBE" w:rsidRPr="00704821">
        <w:rPr>
          <w:rFonts w:ascii="Times New Roman" w:hAnsi="Times New Roman" w:cs="Times New Roman"/>
          <w:sz w:val="24"/>
          <w:szCs w:val="24"/>
        </w:rPr>
        <w:t>porém</w:t>
      </w:r>
      <w:r w:rsidR="00312112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4B416D" w:rsidRPr="00704821">
        <w:rPr>
          <w:rFonts w:ascii="Times New Roman" w:hAnsi="Times New Roman" w:cs="Times New Roman"/>
          <w:sz w:val="24"/>
          <w:szCs w:val="24"/>
        </w:rPr>
        <w:t xml:space="preserve">apenas 7 </w:t>
      </w:r>
      <w:r w:rsidR="00312112" w:rsidRPr="00704821">
        <w:rPr>
          <w:rFonts w:ascii="Times New Roman" w:hAnsi="Times New Roman" w:cs="Times New Roman"/>
          <w:sz w:val="24"/>
          <w:szCs w:val="24"/>
        </w:rPr>
        <w:t>evidenciaram subordinar-se à Lei 12305/2010.</w:t>
      </w:r>
      <w:r w:rsidR="00F64E42" w:rsidRPr="00704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0FD97" w14:textId="7B828FCA" w:rsidR="0087561C" w:rsidRPr="00704821" w:rsidRDefault="00531970" w:rsidP="00856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O</w:t>
      </w:r>
      <w:r w:rsidR="0087561C" w:rsidRPr="00704821">
        <w:rPr>
          <w:rFonts w:ascii="Times New Roman" w:hAnsi="Times New Roman" w:cs="Times New Roman"/>
          <w:sz w:val="24"/>
          <w:szCs w:val="24"/>
        </w:rPr>
        <w:t>bservou-se que os RI</w:t>
      </w:r>
      <w:r w:rsidR="00905043" w:rsidRPr="00704821">
        <w:rPr>
          <w:rFonts w:ascii="Times New Roman" w:hAnsi="Times New Roman" w:cs="Times New Roman"/>
          <w:sz w:val="24"/>
          <w:szCs w:val="24"/>
        </w:rPr>
        <w:t>s</w:t>
      </w:r>
      <w:r w:rsidR="0087561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4F40CC" w:rsidRPr="00704821">
        <w:rPr>
          <w:rFonts w:ascii="Times New Roman" w:hAnsi="Times New Roman" w:cs="Times New Roman"/>
          <w:sz w:val="24"/>
          <w:szCs w:val="24"/>
        </w:rPr>
        <w:t>apresentam</w:t>
      </w:r>
      <w:r w:rsidR="0087561C" w:rsidRPr="00704821">
        <w:rPr>
          <w:rFonts w:ascii="Times New Roman" w:hAnsi="Times New Roman" w:cs="Times New Roman"/>
          <w:sz w:val="24"/>
          <w:szCs w:val="24"/>
        </w:rPr>
        <w:t xml:space="preserve"> informações mais detalhadas em relação </w:t>
      </w:r>
      <w:r w:rsidR="00905043" w:rsidRPr="00704821">
        <w:rPr>
          <w:rFonts w:ascii="Times New Roman" w:hAnsi="Times New Roman" w:cs="Times New Roman"/>
          <w:sz w:val="24"/>
          <w:szCs w:val="24"/>
        </w:rPr>
        <w:t>aos FR</w:t>
      </w:r>
      <w:r w:rsidRPr="00704821">
        <w:rPr>
          <w:rFonts w:ascii="Times New Roman" w:hAnsi="Times New Roman" w:cs="Times New Roman"/>
          <w:sz w:val="24"/>
          <w:szCs w:val="24"/>
        </w:rPr>
        <w:t>s</w:t>
      </w:r>
      <w:r w:rsidR="00905043" w:rsidRPr="00704821">
        <w:rPr>
          <w:rFonts w:ascii="Times New Roman" w:hAnsi="Times New Roman" w:cs="Times New Roman"/>
          <w:sz w:val="24"/>
          <w:szCs w:val="24"/>
        </w:rPr>
        <w:t xml:space="preserve"> na temática gestão de </w:t>
      </w:r>
      <w:r w:rsidR="0087561C" w:rsidRPr="00704821">
        <w:rPr>
          <w:rFonts w:ascii="Times New Roman" w:hAnsi="Times New Roman" w:cs="Times New Roman"/>
          <w:sz w:val="24"/>
          <w:szCs w:val="24"/>
        </w:rPr>
        <w:t>resíduos.</w:t>
      </w:r>
      <w:r w:rsidR="007E73E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3E6E89">
        <w:rPr>
          <w:rFonts w:ascii="Times New Roman" w:hAnsi="Times New Roman" w:cs="Times New Roman"/>
          <w:sz w:val="24"/>
          <w:szCs w:val="24"/>
        </w:rPr>
        <w:t xml:space="preserve">Nos </w:t>
      </w:r>
      <w:r w:rsidR="0087561C" w:rsidRPr="00704821">
        <w:rPr>
          <w:rFonts w:ascii="Times New Roman" w:hAnsi="Times New Roman" w:cs="Times New Roman"/>
          <w:sz w:val="24"/>
          <w:szCs w:val="24"/>
        </w:rPr>
        <w:t>RI</w:t>
      </w:r>
      <w:r w:rsidRPr="00704821">
        <w:rPr>
          <w:rFonts w:ascii="Times New Roman" w:hAnsi="Times New Roman" w:cs="Times New Roman"/>
          <w:sz w:val="24"/>
          <w:szCs w:val="24"/>
        </w:rPr>
        <w:t>s</w:t>
      </w:r>
      <w:r w:rsidR="0087561C" w:rsidRPr="00704821">
        <w:rPr>
          <w:rFonts w:ascii="Times New Roman" w:hAnsi="Times New Roman" w:cs="Times New Roman"/>
          <w:sz w:val="24"/>
          <w:szCs w:val="24"/>
        </w:rPr>
        <w:t>, as empresas apresenta</w:t>
      </w:r>
      <w:r w:rsidR="00905043" w:rsidRPr="00704821">
        <w:rPr>
          <w:rFonts w:ascii="Times New Roman" w:hAnsi="Times New Roman" w:cs="Times New Roman"/>
          <w:sz w:val="24"/>
          <w:szCs w:val="24"/>
        </w:rPr>
        <w:t>ram</w:t>
      </w:r>
      <w:r w:rsidR="0087561C" w:rsidRPr="00704821">
        <w:rPr>
          <w:rFonts w:ascii="Times New Roman" w:hAnsi="Times New Roman" w:cs="Times New Roman"/>
          <w:sz w:val="24"/>
          <w:szCs w:val="24"/>
        </w:rPr>
        <w:t xml:space="preserve"> gráficos, indicadores de efetividade</w:t>
      </w:r>
      <w:r w:rsidR="00322FF5" w:rsidRPr="00704821">
        <w:rPr>
          <w:rFonts w:ascii="Times New Roman" w:hAnsi="Times New Roman" w:cs="Times New Roman"/>
          <w:sz w:val="24"/>
          <w:szCs w:val="24"/>
        </w:rPr>
        <w:t>,</w:t>
      </w:r>
      <w:r w:rsidR="0087561C" w:rsidRPr="00704821">
        <w:rPr>
          <w:rFonts w:ascii="Times New Roman" w:hAnsi="Times New Roman" w:cs="Times New Roman"/>
          <w:sz w:val="24"/>
          <w:szCs w:val="24"/>
        </w:rPr>
        <w:t xml:space="preserve"> metas de redução e reutilização de resíduos sólidos e </w:t>
      </w:r>
      <w:r w:rsidR="00AA7180" w:rsidRPr="00704821">
        <w:rPr>
          <w:rFonts w:ascii="Times New Roman" w:hAnsi="Times New Roman" w:cs="Times New Roman"/>
          <w:sz w:val="24"/>
          <w:szCs w:val="24"/>
        </w:rPr>
        <w:t>demonstram como criavam valor com essas práticas, que é um dos princípios e objetivos do RI (IIRC, 2014).</w:t>
      </w:r>
      <w:r w:rsidR="007B21DA" w:rsidRPr="00704821">
        <w:rPr>
          <w:rFonts w:ascii="Times New Roman" w:hAnsi="Times New Roman" w:cs="Times New Roman"/>
          <w:sz w:val="24"/>
          <w:szCs w:val="24"/>
        </w:rPr>
        <w:t xml:space="preserve"> Nos FR</w:t>
      </w:r>
      <w:r w:rsidRPr="00704821">
        <w:rPr>
          <w:rFonts w:ascii="Times New Roman" w:hAnsi="Times New Roman" w:cs="Times New Roman"/>
          <w:sz w:val="24"/>
          <w:szCs w:val="24"/>
        </w:rPr>
        <w:t>s</w:t>
      </w:r>
      <w:r w:rsidR="007B21DA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Pr="00704821">
        <w:rPr>
          <w:rFonts w:ascii="Times New Roman" w:hAnsi="Times New Roman" w:cs="Times New Roman"/>
          <w:sz w:val="24"/>
          <w:szCs w:val="24"/>
        </w:rPr>
        <w:t>foram</w:t>
      </w:r>
      <w:r w:rsidR="007B21DA" w:rsidRPr="00704821">
        <w:rPr>
          <w:rFonts w:ascii="Times New Roman" w:hAnsi="Times New Roman" w:cs="Times New Roman"/>
          <w:sz w:val="24"/>
          <w:szCs w:val="24"/>
        </w:rPr>
        <w:t xml:space="preserve"> abordadas questões referentes à PNRS, mas com enfoque de </w:t>
      </w:r>
      <w:r w:rsidR="00563BBE" w:rsidRPr="00704821">
        <w:rPr>
          <w:rFonts w:ascii="Times New Roman" w:hAnsi="Times New Roman" w:cs="Times New Roman"/>
          <w:sz w:val="24"/>
          <w:szCs w:val="24"/>
        </w:rPr>
        <w:t>riscos</w:t>
      </w:r>
      <w:r w:rsidR="007B21DA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563BBE" w:rsidRPr="00704821">
        <w:rPr>
          <w:rFonts w:ascii="Times New Roman" w:hAnsi="Times New Roman" w:cs="Times New Roman"/>
          <w:sz w:val="24"/>
          <w:szCs w:val="24"/>
        </w:rPr>
        <w:t>contingências</w:t>
      </w:r>
      <w:r w:rsidR="007B21DA" w:rsidRPr="00704821">
        <w:rPr>
          <w:rFonts w:ascii="Times New Roman" w:hAnsi="Times New Roman" w:cs="Times New Roman"/>
          <w:sz w:val="24"/>
          <w:szCs w:val="24"/>
        </w:rPr>
        <w:t>, aspectos normativos</w:t>
      </w:r>
      <w:r w:rsidR="005959A3" w:rsidRPr="00704821">
        <w:rPr>
          <w:rFonts w:ascii="Times New Roman" w:hAnsi="Times New Roman" w:cs="Times New Roman"/>
          <w:sz w:val="24"/>
          <w:szCs w:val="24"/>
        </w:rPr>
        <w:t>,</w:t>
      </w:r>
      <w:r w:rsidR="007B21D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7E73EF" w:rsidRPr="00704821">
        <w:rPr>
          <w:rFonts w:ascii="Times New Roman" w:hAnsi="Times New Roman" w:cs="Times New Roman"/>
          <w:sz w:val="24"/>
          <w:szCs w:val="24"/>
        </w:rPr>
        <w:t>que são</w:t>
      </w:r>
      <w:r w:rsidR="007B21D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B406CA" w:rsidRPr="00704821">
        <w:rPr>
          <w:rFonts w:ascii="Times New Roman" w:hAnsi="Times New Roman" w:cs="Times New Roman"/>
          <w:sz w:val="24"/>
          <w:szCs w:val="24"/>
        </w:rPr>
        <w:t xml:space="preserve">instrumentos de </w:t>
      </w:r>
      <w:r w:rsidR="00563BBE" w:rsidRPr="00704821">
        <w:rPr>
          <w:rFonts w:ascii="Times New Roman" w:hAnsi="Times New Roman" w:cs="Times New Roman"/>
          <w:sz w:val="24"/>
          <w:szCs w:val="24"/>
        </w:rPr>
        <w:t xml:space="preserve">legitimação </w:t>
      </w:r>
      <w:r w:rsidR="00B406CA" w:rsidRPr="00704821">
        <w:rPr>
          <w:rFonts w:ascii="Times New Roman" w:hAnsi="Times New Roman" w:cs="Times New Roman"/>
          <w:sz w:val="24"/>
          <w:szCs w:val="24"/>
        </w:rPr>
        <w:t xml:space="preserve">junto aos governos, </w:t>
      </w:r>
      <w:r w:rsidR="00563BBE" w:rsidRPr="00704821">
        <w:rPr>
          <w:rFonts w:ascii="Times New Roman" w:hAnsi="Times New Roman" w:cs="Times New Roman"/>
          <w:sz w:val="24"/>
          <w:szCs w:val="24"/>
        </w:rPr>
        <w:t>Organizações Não Governamentais (</w:t>
      </w:r>
      <w:r w:rsidR="00B406CA" w:rsidRPr="00704821">
        <w:rPr>
          <w:rFonts w:ascii="Times New Roman" w:hAnsi="Times New Roman" w:cs="Times New Roman"/>
          <w:sz w:val="24"/>
          <w:szCs w:val="24"/>
        </w:rPr>
        <w:t>ONG’s</w:t>
      </w:r>
      <w:r w:rsidR="00563BBE" w:rsidRPr="00704821">
        <w:rPr>
          <w:rFonts w:ascii="Times New Roman" w:hAnsi="Times New Roman" w:cs="Times New Roman"/>
          <w:sz w:val="24"/>
          <w:szCs w:val="24"/>
        </w:rPr>
        <w:t>)</w:t>
      </w:r>
      <w:r w:rsidR="00B406CA" w:rsidRPr="00704821">
        <w:rPr>
          <w:rFonts w:ascii="Times New Roman" w:hAnsi="Times New Roman" w:cs="Times New Roman"/>
          <w:sz w:val="24"/>
          <w:szCs w:val="24"/>
        </w:rPr>
        <w:t xml:space="preserve"> e outros usuários dessas informações. </w:t>
      </w:r>
    </w:p>
    <w:p w14:paraId="5BE0F0BA" w14:textId="60CD0221" w:rsidR="005959A3" w:rsidRPr="00704821" w:rsidRDefault="00DA651F" w:rsidP="00856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Verificou-se </w:t>
      </w:r>
      <w:r w:rsidR="00B2174B" w:rsidRPr="00704821">
        <w:rPr>
          <w:rFonts w:ascii="Times New Roman" w:hAnsi="Times New Roman" w:cs="Times New Roman"/>
          <w:sz w:val="24"/>
          <w:szCs w:val="24"/>
        </w:rPr>
        <w:t>em relação a</w:t>
      </w:r>
      <w:r w:rsidRPr="00704821">
        <w:rPr>
          <w:rFonts w:ascii="Times New Roman" w:hAnsi="Times New Roman" w:cs="Times New Roman"/>
          <w:sz w:val="24"/>
          <w:szCs w:val="24"/>
        </w:rPr>
        <w:t xml:space="preserve"> Teoria dos </w:t>
      </w:r>
      <w:r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B2174B" w:rsidRPr="00704821">
        <w:rPr>
          <w:rFonts w:ascii="Times New Roman" w:hAnsi="Times New Roman" w:cs="Times New Roman"/>
          <w:sz w:val="24"/>
          <w:szCs w:val="24"/>
        </w:rPr>
        <w:t xml:space="preserve">que </w:t>
      </w:r>
      <w:r w:rsidRPr="00704821">
        <w:rPr>
          <w:rFonts w:ascii="Times New Roman" w:hAnsi="Times New Roman" w:cs="Times New Roman"/>
          <w:sz w:val="24"/>
          <w:szCs w:val="24"/>
        </w:rPr>
        <w:t>a PNR</w:t>
      </w:r>
      <w:r w:rsidR="00531970" w:rsidRPr="00704821">
        <w:rPr>
          <w:rFonts w:ascii="Times New Roman" w:hAnsi="Times New Roman" w:cs="Times New Roman"/>
          <w:sz w:val="24"/>
          <w:szCs w:val="24"/>
        </w:rPr>
        <w:t>S</w:t>
      </w:r>
      <w:r w:rsidRPr="00704821">
        <w:rPr>
          <w:rFonts w:ascii="Times New Roman" w:hAnsi="Times New Roman" w:cs="Times New Roman"/>
          <w:sz w:val="24"/>
          <w:szCs w:val="24"/>
        </w:rPr>
        <w:t xml:space="preserve"> contribui para o relacionamento da empresa com </w:t>
      </w:r>
      <w:r w:rsidR="00B2174B" w:rsidRPr="00704821">
        <w:rPr>
          <w:rFonts w:ascii="Times New Roman" w:hAnsi="Times New Roman" w:cs="Times New Roman"/>
          <w:sz w:val="24"/>
          <w:szCs w:val="24"/>
        </w:rPr>
        <w:t>a sociedade</w:t>
      </w:r>
      <w:r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531970" w:rsidRPr="00704821">
        <w:rPr>
          <w:rFonts w:ascii="Times New Roman" w:hAnsi="Times New Roman" w:cs="Times New Roman"/>
          <w:sz w:val="24"/>
          <w:szCs w:val="24"/>
        </w:rPr>
        <w:t>S</w:t>
      </w:r>
      <w:r w:rsidRPr="00704821">
        <w:rPr>
          <w:rFonts w:ascii="Times New Roman" w:hAnsi="Times New Roman" w:cs="Times New Roman"/>
          <w:sz w:val="24"/>
          <w:szCs w:val="24"/>
        </w:rPr>
        <w:t>ituações observadas na análise de conteúdo</w:t>
      </w:r>
      <w:r w:rsidR="006D5964" w:rsidRPr="00704821">
        <w:rPr>
          <w:rFonts w:ascii="Times New Roman" w:hAnsi="Times New Roman" w:cs="Times New Roman"/>
          <w:sz w:val="24"/>
          <w:szCs w:val="24"/>
        </w:rPr>
        <w:t xml:space="preserve"> são a Educação Ambiental, a redução da geração de resíduos sólidos, a reutilização, reciclagem, a </w:t>
      </w:r>
      <w:r w:rsidR="006D5964" w:rsidRPr="00704821">
        <w:rPr>
          <w:rFonts w:ascii="Times New Roman" w:hAnsi="Times New Roman" w:cs="Times New Roman"/>
          <w:sz w:val="24"/>
          <w:szCs w:val="24"/>
        </w:rPr>
        <w:lastRenderedPageBreak/>
        <w:t>parceria com cooperativas e catadores de lixo.</w:t>
      </w:r>
      <w:r w:rsidR="009C3E1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687D79" w:rsidRPr="00704821">
        <w:rPr>
          <w:rFonts w:ascii="Times New Roman" w:hAnsi="Times New Roman" w:cs="Times New Roman"/>
          <w:sz w:val="24"/>
          <w:szCs w:val="24"/>
        </w:rPr>
        <w:t xml:space="preserve">A Sanepar (ID 1), por exemplo, </w:t>
      </w:r>
      <w:r w:rsidR="009C3E15" w:rsidRPr="00704821">
        <w:rPr>
          <w:rFonts w:ascii="Times New Roman" w:hAnsi="Times New Roman" w:cs="Times New Roman"/>
          <w:sz w:val="24"/>
          <w:szCs w:val="24"/>
        </w:rPr>
        <w:t>relat</w:t>
      </w:r>
      <w:r w:rsidR="00687D79" w:rsidRPr="00704821">
        <w:rPr>
          <w:rFonts w:ascii="Times New Roman" w:hAnsi="Times New Roman" w:cs="Times New Roman"/>
          <w:sz w:val="24"/>
          <w:szCs w:val="24"/>
        </w:rPr>
        <w:t xml:space="preserve">ou que obtém receitas </w:t>
      </w:r>
      <w:r w:rsidR="009C3E15" w:rsidRPr="00704821">
        <w:rPr>
          <w:rFonts w:ascii="Times New Roman" w:hAnsi="Times New Roman" w:cs="Times New Roman"/>
          <w:sz w:val="24"/>
          <w:szCs w:val="24"/>
        </w:rPr>
        <w:t>com a gestão de resíduos sólidos.</w:t>
      </w:r>
      <w:r w:rsidR="007B35F3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9A5BFB" w:rsidRPr="00704821">
        <w:rPr>
          <w:rFonts w:ascii="Times New Roman" w:hAnsi="Times New Roman" w:cs="Times New Roman"/>
          <w:sz w:val="24"/>
          <w:szCs w:val="24"/>
        </w:rPr>
        <w:t xml:space="preserve">Com relação à Teoria da </w:t>
      </w:r>
      <w:r w:rsidR="00531970" w:rsidRPr="00704821">
        <w:rPr>
          <w:rFonts w:ascii="Times New Roman" w:hAnsi="Times New Roman" w:cs="Times New Roman"/>
          <w:sz w:val="24"/>
          <w:szCs w:val="24"/>
        </w:rPr>
        <w:t>L</w:t>
      </w:r>
      <w:r w:rsidR="009A5BFB" w:rsidRPr="00704821">
        <w:rPr>
          <w:rFonts w:ascii="Times New Roman" w:hAnsi="Times New Roman" w:cs="Times New Roman"/>
          <w:sz w:val="24"/>
          <w:szCs w:val="24"/>
        </w:rPr>
        <w:t xml:space="preserve">egitimidade, pode-se observar que as empresas utilizaram a evidenciação como mecanismo de legitimidade, tal afirmação pode ser confrontada com o fato de que </w:t>
      </w:r>
      <w:r w:rsidR="00BE76AD" w:rsidRPr="00704821">
        <w:rPr>
          <w:rFonts w:ascii="Times New Roman" w:hAnsi="Times New Roman" w:cs="Times New Roman"/>
          <w:sz w:val="24"/>
          <w:szCs w:val="24"/>
        </w:rPr>
        <w:t>15 das 17 empresas destacaram como Stakeholder, o Governo, e conforme foi discorrido na análise, enfocaram a questão de regularidade perante as legislações das 3 esferas públicas (federal, estadual e municipal).</w:t>
      </w:r>
    </w:p>
    <w:p w14:paraId="54BBE2DC" w14:textId="04F2CEC1" w:rsidR="00A049CE" w:rsidRDefault="005579EE" w:rsidP="00A04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Como sugestões de estudos futuros, recomenda-se </w:t>
      </w:r>
      <w:r w:rsidR="00A049CE">
        <w:rPr>
          <w:rFonts w:ascii="Times New Roman" w:hAnsi="Times New Roman" w:cs="Times New Roman"/>
          <w:sz w:val="24"/>
          <w:szCs w:val="24"/>
        </w:rPr>
        <w:t>analisar a evidenciação da PNRS em outras empresas e</w:t>
      </w:r>
      <w:r w:rsidR="00397135">
        <w:rPr>
          <w:rFonts w:ascii="Times New Roman" w:hAnsi="Times New Roman" w:cs="Times New Roman"/>
          <w:sz w:val="24"/>
          <w:szCs w:val="24"/>
        </w:rPr>
        <w:t>/ou</w:t>
      </w:r>
      <w:r w:rsidR="00A049CE">
        <w:rPr>
          <w:rFonts w:ascii="Times New Roman" w:hAnsi="Times New Roman" w:cs="Times New Roman"/>
          <w:sz w:val="24"/>
          <w:szCs w:val="24"/>
        </w:rPr>
        <w:t xml:space="preserve"> em outros relatórios</w:t>
      </w:r>
      <w:r w:rsidR="00397135">
        <w:rPr>
          <w:rFonts w:ascii="Times New Roman" w:hAnsi="Times New Roman" w:cs="Times New Roman"/>
          <w:sz w:val="24"/>
          <w:szCs w:val="24"/>
        </w:rPr>
        <w:t xml:space="preserve">, </w:t>
      </w:r>
      <w:r w:rsidR="00A049CE">
        <w:rPr>
          <w:rFonts w:ascii="Times New Roman" w:hAnsi="Times New Roman" w:cs="Times New Roman"/>
          <w:sz w:val="24"/>
          <w:szCs w:val="24"/>
        </w:rPr>
        <w:t>que não foram utilizados nesse estudo. Sugere-se ainda, efetuar uma análise longitudinal nas empresas desse estudo, haja vista que a presente pesquisa foi transversal (2015).</w:t>
      </w:r>
      <w:r w:rsidR="00C87FE1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A049CE">
        <w:rPr>
          <w:rFonts w:ascii="Times New Roman" w:hAnsi="Times New Roman" w:cs="Times New Roman"/>
          <w:sz w:val="24"/>
          <w:szCs w:val="24"/>
        </w:rPr>
        <w:t>Outro problema</w:t>
      </w:r>
      <w:r w:rsidRPr="00704821">
        <w:rPr>
          <w:rFonts w:ascii="Times New Roman" w:hAnsi="Times New Roman" w:cs="Times New Roman"/>
          <w:sz w:val="24"/>
          <w:szCs w:val="24"/>
        </w:rPr>
        <w:t xml:space="preserve"> que possui relação com </w:t>
      </w:r>
      <w:r w:rsidR="00C87FE1" w:rsidRPr="00704821">
        <w:rPr>
          <w:rFonts w:ascii="Times New Roman" w:hAnsi="Times New Roman" w:cs="Times New Roman"/>
          <w:sz w:val="24"/>
          <w:szCs w:val="24"/>
        </w:rPr>
        <w:t>a geração de resíduos</w:t>
      </w:r>
      <w:r w:rsidR="00CB3D75">
        <w:rPr>
          <w:rFonts w:ascii="Times New Roman" w:hAnsi="Times New Roman" w:cs="Times New Roman"/>
          <w:sz w:val="24"/>
          <w:szCs w:val="24"/>
        </w:rPr>
        <w:t xml:space="preserve"> sólidos </w:t>
      </w:r>
      <w:r w:rsidRPr="00704821">
        <w:rPr>
          <w:rFonts w:ascii="Times New Roman" w:hAnsi="Times New Roman" w:cs="Times New Roman"/>
          <w:sz w:val="24"/>
          <w:szCs w:val="24"/>
        </w:rPr>
        <w:t>são as</w:t>
      </w:r>
      <w:r w:rsidR="00C87FE1" w:rsidRPr="00704821">
        <w:rPr>
          <w:rFonts w:ascii="Times New Roman" w:hAnsi="Times New Roman" w:cs="Times New Roman"/>
          <w:sz w:val="24"/>
          <w:szCs w:val="24"/>
        </w:rPr>
        <w:t xml:space="preserve"> alterações climáticas</w:t>
      </w:r>
      <w:r w:rsidRPr="00704821">
        <w:rPr>
          <w:rFonts w:ascii="Times New Roman" w:hAnsi="Times New Roman" w:cs="Times New Roman"/>
          <w:sz w:val="24"/>
          <w:szCs w:val="24"/>
        </w:rPr>
        <w:t>, logo, sugere-se</w:t>
      </w:r>
      <w:r w:rsidR="0042482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C87FE1" w:rsidRPr="00704821">
        <w:rPr>
          <w:rFonts w:ascii="Times New Roman" w:hAnsi="Times New Roman" w:cs="Times New Roman"/>
          <w:sz w:val="24"/>
          <w:szCs w:val="24"/>
        </w:rPr>
        <w:t xml:space="preserve">verificar </w:t>
      </w:r>
      <w:r w:rsidR="00A66F2F">
        <w:rPr>
          <w:rFonts w:ascii="Times New Roman" w:hAnsi="Times New Roman" w:cs="Times New Roman"/>
          <w:sz w:val="24"/>
          <w:szCs w:val="24"/>
        </w:rPr>
        <w:t xml:space="preserve">a relação entre </w:t>
      </w:r>
      <w:r w:rsidR="00C87FE1" w:rsidRPr="00704821">
        <w:rPr>
          <w:rFonts w:ascii="Times New Roman" w:hAnsi="Times New Roman" w:cs="Times New Roman"/>
          <w:sz w:val="24"/>
          <w:szCs w:val="24"/>
        </w:rPr>
        <w:t xml:space="preserve">a emissão de gases de efeito </w:t>
      </w:r>
      <w:r w:rsidR="00E01215">
        <w:rPr>
          <w:rFonts w:ascii="Times New Roman" w:hAnsi="Times New Roman" w:cs="Times New Roman"/>
          <w:sz w:val="24"/>
          <w:szCs w:val="24"/>
        </w:rPr>
        <w:t xml:space="preserve">estufa </w:t>
      </w:r>
      <w:r w:rsidR="00A66F2F">
        <w:rPr>
          <w:rFonts w:ascii="Times New Roman" w:hAnsi="Times New Roman" w:cs="Times New Roman"/>
          <w:sz w:val="24"/>
          <w:szCs w:val="24"/>
        </w:rPr>
        <w:t xml:space="preserve">e </w:t>
      </w:r>
      <w:r w:rsidR="00E01215">
        <w:rPr>
          <w:rFonts w:ascii="Times New Roman" w:hAnsi="Times New Roman" w:cs="Times New Roman"/>
          <w:sz w:val="24"/>
          <w:szCs w:val="24"/>
        </w:rPr>
        <w:t>a redução da geração de</w:t>
      </w:r>
      <w:r w:rsidR="00C87FE1" w:rsidRPr="00704821">
        <w:rPr>
          <w:rFonts w:ascii="Times New Roman" w:hAnsi="Times New Roman" w:cs="Times New Roman"/>
          <w:sz w:val="24"/>
          <w:szCs w:val="24"/>
        </w:rPr>
        <w:t xml:space="preserve"> resíduos sólidos. </w:t>
      </w:r>
    </w:p>
    <w:p w14:paraId="4E16D600" w14:textId="21FC3F85" w:rsidR="00C87FE1" w:rsidRPr="00704821" w:rsidRDefault="00C87FE1" w:rsidP="00C8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A questão relativa ao contrato social </w:t>
      </w:r>
      <w:r w:rsidR="005579EE" w:rsidRPr="00704821">
        <w:rPr>
          <w:rFonts w:ascii="Times New Roman" w:hAnsi="Times New Roman" w:cs="Times New Roman"/>
          <w:sz w:val="24"/>
          <w:szCs w:val="24"/>
        </w:rPr>
        <w:t xml:space="preserve">ou licença para operar </w:t>
      </w:r>
      <w:r w:rsidRPr="00704821">
        <w:rPr>
          <w:rFonts w:ascii="Times New Roman" w:hAnsi="Times New Roman" w:cs="Times New Roman"/>
          <w:sz w:val="24"/>
          <w:szCs w:val="24"/>
        </w:rPr>
        <w:t>foi enfatizada por algumas empresas</w:t>
      </w:r>
      <w:r w:rsidR="00E01215">
        <w:rPr>
          <w:rFonts w:ascii="Times New Roman" w:hAnsi="Times New Roman" w:cs="Times New Roman"/>
          <w:sz w:val="24"/>
          <w:szCs w:val="24"/>
        </w:rPr>
        <w:t>, sobretudo as</w:t>
      </w:r>
      <w:r w:rsidRPr="00704821">
        <w:rPr>
          <w:rFonts w:ascii="Times New Roman" w:hAnsi="Times New Roman" w:cs="Times New Roman"/>
          <w:sz w:val="24"/>
          <w:szCs w:val="24"/>
        </w:rPr>
        <w:t xml:space="preserve"> que decla</w:t>
      </w:r>
      <w:r w:rsidR="00E01215">
        <w:rPr>
          <w:rFonts w:ascii="Times New Roman" w:hAnsi="Times New Roman" w:cs="Times New Roman"/>
          <w:sz w:val="24"/>
          <w:szCs w:val="24"/>
        </w:rPr>
        <w:t>ra</w:t>
      </w:r>
      <w:r w:rsidRPr="00704821">
        <w:rPr>
          <w:rFonts w:ascii="Times New Roman" w:hAnsi="Times New Roman" w:cs="Times New Roman"/>
          <w:sz w:val="24"/>
          <w:szCs w:val="24"/>
        </w:rPr>
        <w:t xml:space="preserve">ram </w:t>
      </w:r>
      <w:r w:rsidR="00E01215">
        <w:rPr>
          <w:rFonts w:ascii="Times New Roman" w:hAnsi="Times New Roman" w:cs="Times New Roman"/>
          <w:sz w:val="24"/>
          <w:szCs w:val="24"/>
        </w:rPr>
        <w:t>emitir externalidades negativas. Tais empreendimentos discorreram</w:t>
      </w:r>
      <w:r w:rsidRPr="00704821">
        <w:rPr>
          <w:rFonts w:ascii="Times New Roman" w:hAnsi="Times New Roman" w:cs="Times New Roman"/>
          <w:sz w:val="24"/>
          <w:szCs w:val="24"/>
        </w:rPr>
        <w:t xml:space="preserve"> que</w:t>
      </w:r>
      <w:r w:rsidR="00E01215">
        <w:rPr>
          <w:rFonts w:ascii="Times New Roman" w:hAnsi="Times New Roman" w:cs="Times New Roman"/>
          <w:sz w:val="24"/>
          <w:szCs w:val="24"/>
        </w:rPr>
        <w:t xml:space="preserve"> investem em projetos, visando</w:t>
      </w:r>
      <w:r w:rsidRPr="00704821">
        <w:rPr>
          <w:rFonts w:ascii="Times New Roman" w:hAnsi="Times New Roman" w:cs="Times New Roman"/>
          <w:sz w:val="24"/>
          <w:szCs w:val="24"/>
        </w:rPr>
        <w:t xml:space="preserve"> minimizar os impactos ao meio ambiente</w:t>
      </w:r>
      <w:r w:rsidR="005579EE" w:rsidRPr="00704821">
        <w:rPr>
          <w:rFonts w:ascii="Times New Roman" w:hAnsi="Times New Roman" w:cs="Times New Roman"/>
          <w:sz w:val="24"/>
          <w:szCs w:val="24"/>
        </w:rPr>
        <w:t>, sugere-se</w:t>
      </w:r>
      <w:r w:rsidR="00E01215">
        <w:rPr>
          <w:rFonts w:ascii="Times New Roman" w:hAnsi="Times New Roman" w:cs="Times New Roman"/>
          <w:sz w:val="24"/>
          <w:szCs w:val="24"/>
        </w:rPr>
        <w:t xml:space="preserve">, portanto, </w:t>
      </w:r>
      <w:r w:rsidR="005579EE" w:rsidRPr="00704821">
        <w:rPr>
          <w:rFonts w:ascii="Times New Roman" w:hAnsi="Times New Roman" w:cs="Times New Roman"/>
          <w:sz w:val="24"/>
          <w:szCs w:val="24"/>
        </w:rPr>
        <w:t xml:space="preserve">analisar o conteúdo desse tipo de </w:t>
      </w:r>
      <w:r w:rsidR="00BE7CB2" w:rsidRPr="00704821">
        <w:rPr>
          <w:rFonts w:ascii="Times New Roman" w:hAnsi="Times New Roman" w:cs="Times New Roman"/>
          <w:sz w:val="24"/>
          <w:szCs w:val="24"/>
        </w:rPr>
        <w:t>evidenciação, qual seja, da existência de um contrato entre a sociedade e a empresa</w:t>
      </w:r>
      <w:r w:rsidR="00222EB9">
        <w:rPr>
          <w:rFonts w:ascii="Times New Roman" w:hAnsi="Times New Roman" w:cs="Times New Roman"/>
          <w:sz w:val="24"/>
          <w:szCs w:val="24"/>
        </w:rPr>
        <w:t xml:space="preserve"> e de que maneira as empresas estão se adequando às externalidades</w:t>
      </w:r>
      <w:r w:rsidRPr="00704821">
        <w:rPr>
          <w:rFonts w:ascii="Times New Roman" w:hAnsi="Times New Roman" w:cs="Times New Roman"/>
          <w:sz w:val="24"/>
          <w:szCs w:val="24"/>
        </w:rPr>
        <w:t>.</w:t>
      </w:r>
    </w:p>
    <w:p w14:paraId="6DFB787E" w14:textId="76693388" w:rsidR="00687A22" w:rsidRPr="00704821" w:rsidRDefault="00687A22" w:rsidP="00A95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Em virtude </w:t>
      </w:r>
      <w:r w:rsidR="00CA03DF" w:rsidRPr="00704821">
        <w:rPr>
          <w:rFonts w:ascii="Times New Roman" w:hAnsi="Times New Roman" w:cs="Times New Roman"/>
          <w:sz w:val="24"/>
          <w:szCs w:val="24"/>
        </w:rPr>
        <w:t>da</w:t>
      </w:r>
      <w:r w:rsidRPr="00704821">
        <w:rPr>
          <w:rFonts w:ascii="Times New Roman" w:hAnsi="Times New Roman" w:cs="Times New Roman"/>
          <w:sz w:val="24"/>
          <w:szCs w:val="24"/>
        </w:rPr>
        <w:t xml:space="preserve"> amostra não ter sido aleatória, os resultados desse estudo não pode</w:t>
      </w:r>
      <w:r w:rsidR="00AC2A7C" w:rsidRPr="00704821">
        <w:rPr>
          <w:rFonts w:ascii="Times New Roman" w:hAnsi="Times New Roman" w:cs="Times New Roman"/>
          <w:sz w:val="24"/>
          <w:szCs w:val="24"/>
        </w:rPr>
        <w:t>m</w:t>
      </w:r>
      <w:r w:rsidRPr="00704821">
        <w:rPr>
          <w:rFonts w:ascii="Times New Roman" w:hAnsi="Times New Roman" w:cs="Times New Roman"/>
          <w:sz w:val="24"/>
          <w:szCs w:val="24"/>
        </w:rPr>
        <w:t xml:space="preserve"> ser generalizados, </w:t>
      </w:r>
      <w:r w:rsidR="005D5743">
        <w:rPr>
          <w:rFonts w:ascii="Times New Roman" w:hAnsi="Times New Roman" w:cs="Times New Roman"/>
          <w:sz w:val="24"/>
          <w:szCs w:val="24"/>
        </w:rPr>
        <w:t xml:space="preserve">desse modo, </w:t>
      </w:r>
      <w:r w:rsidRPr="00704821">
        <w:rPr>
          <w:rFonts w:ascii="Times New Roman" w:hAnsi="Times New Roman" w:cs="Times New Roman"/>
          <w:sz w:val="24"/>
          <w:szCs w:val="24"/>
        </w:rPr>
        <w:t xml:space="preserve">as conclusões servirão apenas </w:t>
      </w:r>
      <w:r w:rsidR="005D5743">
        <w:rPr>
          <w:rFonts w:ascii="Times New Roman" w:hAnsi="Times New Roman" w:cs="Times New Roman"/>
          <w:sz w:val="24"/>
          <w:szCs w:val="24"/>
        </w:rPr>
        <w:t>à</w:t>
      </w:r>
      <w:r w:rsidRPr="00704821">
        <w:rPr>
          <w:rFonts w:ascii="Times New Roman" w:hAnsi="Times New Roman" w:cs="Times New Roman"/>
          <w:sz w:val="24"/>
          <w:szCs w:val="24"/>
        </w:rPr>
        <w:t>s empresas pertencentes a amostra.</w:t>
      </w:r>
      <w:r w:rsidR="00357F36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5D5743">
        <w:rPr>
          <w:rFonts w:ascii="Times New Roman" w:hAnsi="Times New Roman" w:cs="Times New Roman"/>
          <w:sz w:val="24"/>
          <w:szCs w:val="24"/>
        </w:rPr>
        <w:t>No entanto, a</w:t>
      </w:r>
      <w:r w:rsidR="00357F36" w:rsidRPr="00704821">
        <w:rPr>
          <w:rFonts w:ascii="Times New Roman" w:hAnsi="Times New Roman" w:cs="Times New Roman"/>
          <w:sz w:val="24"/>
          <w:szCs w:val="24"/>
        </w:rPr>
        <w:t>credita-se que o processo indutivo propiciado pela abordagem qualitativa, mesmo sem poder de generalização, permitiu discutir a temática PNRS</w:t>
      </w:r>
      <w:r w:rsidR="00591981">
        <w:rPr>
          <w:rFonts w:ascii="Times New Roman" w:hAnsi="Times New Roman" w:cs="Times New Roman"/>
          <w:sz w:val="24"/>
          <w:szCs w:val="24"/>
        </w:rPr>
        <w:t xml:space="preserve">, </w:t>
      </w:r>
      <w:r w:rsidR="00357F36" w:rsidRPr="00704821">
        <w:rPr>
          <w:rFonts w:ascii="Times New Roman" w:hAnsi="Times New Roman" w:cs="Times New Roman"/>
          <w:sz w:val="24"/>
          <w:szCs w:val="24"/>
        </w:rPr>
        <w:t xml:space="preserve">contribuir com a Teoria dos Stakeholders, principalmente na identificação dos grupos de </w:t>
      </w:r>
      <w:r w:rsidR="00357F36" w:rsidRPr="00704821">
        <w:rPr>
          <w:rFonts w:ascii="Times New Roman" w:hAnsi="Times New Roman" w:cs="Times New Roman"/>
          <w:i/>
          <w:sz w:val="24"/>
          <w:szCs w:val="24"/>
        </w:rPr>
        <w:t>stakeholders</w:t>
      </w:r>
      <w:r w:rsidR="003E5C1B">
        <w:rPr>
          <w:rFonts w:ascii="Times New Roman" w:hAnsi="Times New Roman" w:cs="Times New Roman"/>
          <w:sz w:val="24"/>
          <w:szCs w:val="24"/>
        </w:rPr>
        <w:t xml:space="preserve"> mais evidenciados e </w:t>
      </w:r>
      <w:r w:rsidR="00591981">
        <w:rPr>
          <w:rFonts w:ascii="Times New Roman" w:hAnsi="Times New Roman" w:cs="Times New Roman"/>
          <w:sz w:val="24"/>
          <w:szCs w:val="24"/>
        </w:rPr>
        <w:t xml:space="preserve">discussão </w:t>
      </w:r>
      <w:r w:rsidR="003E5C1B">
        <w:rPr>
          <w:rFonts w:ascii="Times New Roman" w:hAnsi="Times New Roman" w:cs="Times New Roman"/>
          <w:sz w:val="24"/>
          <w:szCs w:val="24"/>
        </w:rPr>
        <w:t>acerca da</w:t>
      </w:r>
      <w:r w:rsidR="00A07FA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53BB0">
        <w:rPr>
          <w:rFonts w:ascii="Times New Roman" w:hAnsi="Times New Roman" w:cs="Times New Roman"/>
          <w:sz w:val="24"/>
          <w:szCs w:val="24"/>
        </w:rPr>
        <w:t>evidenciação socioambiental enquanto instrumento</w:t>
      </w:r>
      <w:r w:rsidR="00357F36" w:rsidRPr="00704821">
        <w:rPr>
          <w:rFonts w:ascii="Times New Roman" w:hAnsi="Times New Roman" w:cs="Times New Roman"/>
          <w:sz w:val="24"/>
          <w:szCs w:val="24"/>
        </w:rPr>
        <w:t xml:space="preserve"> de legitimação.</w:t>
      </w:r>
    </w:p>
    <w:p w14:paraId="010B50B9" w14:textId="77777777" w:rsidR="006606C0" w:rsidRPr="00704821" w:rsidRDefault="006606C0" w:rsidP="00A95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24AD30" w14:textId="20A196E6" w:rsidR="00580D46" w:rsidRDefault="00580D46" w:rsidP="00580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4821">
        <w:rPr>
          <w:rFonts w:ascii="Times New Roman" w:hAnsi="Times New Roman" w:cs="Times New Roman"/>
          <w:b/>
          <w:sz w:val="24"/>
          <w:szCs w:val="24"/>
          <w:lang w:val="en-US"/>
        </w:rPr>
        <w:t>REFERÊNCIAS</w:t>
      </w:r>
    </w:p>
    <w:p w14:paraId="7226C966" w14:textId="77777777" w:rsidR="00543292" w:rsidRPr="00704821" w:rsidRDefault="00543292" w:rsidP="00580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14C75B" w14:textId="2D148909" w:rsidR="003879EB" w:rsidRDefault="00543292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4821">
        <w:rPr>
          <w:rFonts w:ascii="Times New Roman" w:hAnsi="Times New Roman" w:cs="Times New Roman"/>
          <w:sz w:val="24"/>
          <w:szCs w:val="24"/>
          <w:lang w:val="en-US"/>
        </w:rPr>
        <w:t>ADAMS</w:t>
      </w:r>
      <w:r w:rsidR="003879EB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B493E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C. A. </w:t>
      </w:r>
      <w:r w:rsidR="009B493E" w:rsidRPr="00543292">
        <w:rPr>
          <w:rFonts w:ascii="Times New Roman" w:hAnsi="Times New Roman" w:cs="Times New Roman"/>
          <w:b/>
          <w:sz w:val="24"/>
          <w:szCs w:val="24"/>
          <w:lang w:val="en-US"/>
        </w:rPr>
        <w:t>Understanding integrated reporting: the concise guide to integrated thinking and the future of corporate reporting</w:t>
      </w:r>
      <w:r w:rsidR="009B493E" w:rsidRPr="00704821">
        <w:rPr>
          <w:rFonts w:ascii="Times New Roman" w:hAnsi="Times New Roman" w:cs="Times New Roman"/>
          <w:sz w:val="24"/>
          <w:szCs w:val="24"/>
          <w:lang w:val="en-US"/>
        </w:rPr>
        <w:t>. Oxford: Do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Sustainability,</w:t>
      </w:r>
      <w:r w:rsidR="009B493E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2013.</w:t>
      </w:r>
    </w:p>
    <w:p w14:paraId="5CC4DD12" w14:textId="77777777" w:rsidR="00543292" w:rsidRPr="00704821" w:rsidRDefault="00543292" w:rsidP="004514C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14:paraId="6030BB62" w14:textId="53EFA7D2" w:rsidR="009A1BB3" w:rsidRDefault="002606E9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4821">
        <w:rPr>
          <w:rFonts w:ascii="Times New Roman" w:hAnsi="Times New Roman" w:cs="Times New Roman"/>
          <w:sz w:val="24"/>
          <w:szCs w:val="24"/>
          <w:lang w:val="en-US"/>
        </w:rPr>
        <w:t>ARAÚJO JUNIOR</w:t>
      </w:r>
      <w:r w:rsidR="00BA0E51">
        <w:rPr>
          <w:rFonts w:ascii="Times New Roman" w:hAnsi="Times New Roman" w:cs="Times New Roman"/>
          <w:sz w:val="24"/>
          <w:szCs w:val="24"/>
          <w:lang w:val="en-US"/>
        </w:rPr>
        <w:t xml:space="preserve"> J. F.</w:t>
      </w:r>
      <w:r w:rsidR="009A1BB3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="00BA0E5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A1BB3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BB3" w:rsidRPr="0093696C">
        <w:rPr>
          <w:rFonts w:ascii="Times New Roman" w:hAnsi="Times New Roman" w:cs="Times New Roman"/>
          <w:b/>
          <w:sz w:val="24"/>
          <w:szCs w:val="24"/>
          <w:lang w:val="en-US"/>
        </w:rPr>
        <w:t>Social disclosure of brazilian and UK firms in light of stakeholder theory, legitimacy theory and voluntary disclosure theory</w:t>
      </w:r>
      <w:r w:rsidR="009A1BB3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A1BB3" w:rsidRPr="0093696C">
        <w:rPr>
          <w:rFonts w:ascii="Times New Roman" w:hAnsi="Times New Roman" w:cs="Times New Roman"/>
          <w:sz w:val="24"/>
          <w:szCs w:val="24"/>
          <w:lang w:val="en-US"/>
        </w:rPr>
        <w:t>Advances in Scientific and Applied Accounting</w:t>
      </w:r>
      <w:r w:rsidR="009A1BB3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São Paulo, v.7, n.2, p. 175-200, 2014.</w:t>
      </w:r>
    </w:p>
    <w:p w14:paraId="60C63E0E" w14:textId="77777777" w:rsidR="002606E9" w:rsidRPr="00704821" w:rsidRDefault="002606E9" w:rsidP="004514C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14:paraId="489189D3" w14:textId="6380B377" w:rsidR="004C45C3" w:rsidRDefault="001124A0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ASSOCIAÇÃO BRASILEIRA DE EMPRESAS DE LIMPEZA PÚBLICA E RESÍDUOS ESPECIAIS</w:t>
      </w:r>
      <w:r w:rsidR="009E21A7">
        <w:rPr>
          <w:rFonts w:ascii="Times New Roman" w:hAnsi="Times New Roman" w:cs="Times New Roman"/>
          <w:sz w:val="24"/>
          <w:szCs w:val="24"/>
        </w:rPr>
        <w:t xml:space="preserve"> (ABRELPE). </w:t>
      </w:r>
      <w:r w:rsidR="004C45C3" w:rsidRPr="003E6CD4">
        <w:rPr>
          <w:rFonts w:ascii="Times New Roman" w:hAnsi="Times New Roman" w:cs="Times New Roman"/>
          <w:b/>
          <w:sz w:val="24"/>
          <w:szCs w:val="24"/>
        </w:rPr>
        <w:t>Panorama dos Resíduos Sólidos no Brasil 2015</w:t>
      </w:r>
      <w:r w:rsidR="004C45C3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8A0D47">
        <w:rPr>
          <w:rFonts w:ascii="Times New Roman" w:hAnsi="Times New Roman" w:cs="Times New Roman"/>
          <w:sz w:val="24"/>
          <w:szCs w:val="24"/>
        </w:rPr>
        <w:t xml:space="preserve">Ano: </w:t>
      </w:r>
      <w:r w:rsidR="009E21A7" w:rsidRPr="00704821">
        <w:rPr>
          <w:rFonts w:ascii="Times New Roman" w:hAnsi="Times New Roman" w:cs="Times New Roman"/>
          <w:sz w:val="24"/>
          <w:szCs w:val="24"/>
        </w:rPr>
        <w:t>2016</w:t>
      </w:r>
      <w:r w:rsidR="009E21A7">
        <w:rPr>
          <w:rFonts w:ascii="Times New Roman" w:hAnsi="Times New Roman" w:cs="Times New Roman"/>
          <w:sz w:val="24"/>
          <w:szCs w:val="24"/>
        </w:rPr>
        <w:t xml:space="preserve">. </w:t>
      </w:r>
      <w:r w:rsidR="004C45C3" w:rsidRPr="00704821"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="003E6CD4" w:rsidRPr="003E6CD4">
        <w:rPr>
          <w:rFonts w:ascii="Times New Roman" w:hAnsi="Times New Roman" w:cs="Times New Roman"/>
          <w:sz w:val="24"/>
          <w:szCs w:val="24"/>
        </w:rPr>
        <w:t>www.abrelpe.org.br/</w:t>
      </w:r>
      <w:r w:rsidR="004C45C3" w:rsidRPr="00704821">
        <w:rPr>
          <w:rFonts w:ascii="Times New Roman" w:hAnsi="Times New Roman" w:cs="Times New Roman"/>
          <w:sz w:val="24"/>
          <w:szCs w:val="24"/>
        </w:rPr>
        <w:t>Panorama/panorama2015.pdf. Acesso em: 01</w:t>
      </w:r>
      <w:r w:rsidR="003E6CD4">
        <w:rPr>
          <w:rFonts w:ascii="Times New Roman" w:hAnsi="Times New Roman" w:cs="Times New Roman"/>
          <w:sz w:val="24"/>
          <w:szCs w:val="24"/>
        </w:rPr>
        <w:t xml:space="preserve"> dez. </w:t>
      </w:r>
      <w:r w:rsidR="004C45C3" w:rsidRPr="00704821">
        <w:rPr>
          <w:rFonts w:ascii="Times New Roman" w:hAnsi="Times New Roman" w:cs="Times New Roman"/>
          <w:sz w:val="24"/>
          <w:szCs w:val="24"/>
        </w:rPr>
        <w:t>2016</w:t>
      </w:r>
    </w:p>
    <w:p w14:paraId="4A962035" w14:textId="77777777" w:rsidR="003E6CD4" w:rsidRPr="00704821" w:rsidRDefault="003E6CD4" w:rsidP="004514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613AB9" w14:textId="2957A192" w:rsidR="008568B0" w:rsidRDefault="00236682" w:rsidP="004514C6">
      <w:pPr>
        <w:spacing w:after="0" w:line="240" w:lineRule="auto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AZEVEDO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 G</w:t>
      </w:r>
      <w:r w:rsidR="00DA384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O</w:t>
      </w:r>
      <w:r w:rsidR="00DA384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D. </w:t>
      </w:r>
      <w:r w:rsidR="0018285F" w:rsidRPr="00236682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>Por</w:t>
      </w:r>
      <w:r w:rsidR="005E13B4" w:rsidRPr="00236682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 menos lixo: a minimização dos resíduos sólidos urbanos na cidade de Salvador/BA</w:t>
      </w:r>
      <w:r w:rsidR="005E13B4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E13B4" w:rsidRPr="0023668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Dissertação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de Mestrado,</w:t>
      </w:r>
      <w:r w:rsidR="005E13B4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Universi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dade Federal da Bahia, Salvador, 2004.</w:t>
      </w:r>
    </w:p>
    <w:p w14:paraId="6A9A81D0" w14:textId="77777777" w:rsidR="001124A0" w:rsidRPr="00704821" w:rsidRDefault="001124A0" w:rsidP="004514C6">
      <w:pPr>
        <w:spacing w:after="0" w:line="240" w:lineRule="auto"/>
        <w:ind w:left="426" w:hanging="426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p w14:paraId="7370930E" w14:textId="722022B5" w:rsidR="006123AD" w:rsidRDefault="00DA3846" w:rsidP="004514C6">
      <w:pPr>
        <w:spacing w:after="0" w:line="240" w:lineRule="auto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BADEN, D. e</w:t>
      </w:r>
      <w:r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HARWOOD</w:t>
      </w:r>
      <w:r w:rsidR="006123AD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 I. A. (</w:t>
      </w:r>
      <w:r w:rsidR="006D73A0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2013</w:t>
      </w:r>
      <w:r w:rsidR="006123AD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6123AD" w:rsidRPr="00BA0E51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>Terminology Matters: A Critical Exploration of Corporate Social Responsibility Terms</w:t>
      </w:r>
      <w:r w:rsidR="006123AD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2536C" w:rsidRPr="0052536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Journal of Business Ethics</w:t>
      </w:r>
      <w:r w:rsidR="006123AD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0E5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v. 116, pp. </w:t>
      </w:r>
      <w:r w:rsidR="006123AD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615–627</w:t>
      </w:r>
      <w:r w:rsidR="00BA0E5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 2013</w:t>
      </w:r>
      <w:r w:rsidR="006123AD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2D3270FE" w14:textId="77777777" w:rsidR="00DA3846" w:rsidRPr="00704821" w:rsidRDefault="00DA3846" w:rsidP="004514C6">
      <w:pPr>
        <w:spacing w:after="0" w:line="240" w:lineRule="auto"/>
        <w:ind w:left="426" w:hanging="426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p w14:paraId="3716813B" w14:textId="7A28FBE1" w:rsidR="007028A3" w:rsidRDefault="007F036B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BARDIN</w:t>
      </w:r>
      <w:r w:rsidR="007028A3" w:rsidRPr="00704821">
        <w:rPr>
          <w:rFonts w:ascii="Times New Roman" w:hAnsi="Times New Roman" w:cs="Times New Roman"/>
          <w:sz w:val="24"/>
          <w:szCs w:val="24"/>
        </w:rPr>
        <w:t xml:space="preserve">, L. </w:t>
      </w:r>
      <w:r w:rsidR="007028A3" w:rsidRPr="007F036B">
        <w:rPr>
          <w:rFonts w:ascii="Times New Roman" w:hAnsi="Times New Roman" w:cs="Times New Roman"/>
          <w:b/>
          <w:sz w:val="24"/>
          <w:szCs w:val="24"/>
        </w:rPr>
        <w:t>Analise de Conteúdo</w:t>
      </w:r>
      <w:r w:rsidR="007028A3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7028A3" w:rsidRPr="007F036B">
        <w:rPr>
          <w:rFonts w:ascii="Times New Roman" w:hAnsi="Times New Roman" w:cs="Times New Roman"/>
          <w:sz w:val="24"/>
          <w:szCs w:val="24"/>
        </w:rPr>
        <w:t>Edições 70</w:t>
      </w:r>
      <w:r w:rsidR="007028A3" w:rsidRPr="00704821">
        <w:rPr>
          <w:rFonts w:ascii="Times New Roman" w:hAnsi="Times New Roman" w:cs="Times New Roman"/>
          <w:sz w:val="24"/>
          <w:szCs w:val="24"/>
        </w:rPr>
        <w:t xml:space="preserve">: </w:t>
      </w:r>
      <w:r w:rsidR="00A71D9F" w:rsidRPr="00704821">
        <w:rPr>
          <w:rFonts w:ascii="Times New Roman" w:hAnsi="Times New Roman" w:cs="Times New Roman"/>
          <w:sz w:val="24"/>
          <w:szCs w:val="24"/>
        </w:rPr>
        <w:t>São Paulo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4821">
        <w:rPr>
          <w:rFonts w:ascii="Times New Roman" w:hAnsi="Times New Roman" w:cs="Times New Roman"/>
          <w:sz w:val="24"/>
          <w:szCs w:val="24"/>
        </w:rPr>
        <w:t>2016</w:t>
      </w:r>
      <w:r w:rsidR="007028A3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2C0EFADF" w14:textId="77777777" w:rsidR="007F036B" w:rsidRPr="00704821" w:rsidRDefault="007F036B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5688CD9" w14:textId="6DA7058B" w:rsidR="00D12768" w:rsidRDefault="00D12768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lastRenderedPageBreak/>
        <w:t>BM</w:t>
      </w:r>
      <w:r w:rsidR="007E0225" w:rsidRPr="00704821">
        <w:rPr>
          <w:rFonts w:ascii="Times New Roman" w:hAnsi="Times New Roman" w:cs="Times New Roman"/>
          <w:sz w:val="24"/>
          <w:szCs w:val="24"/>
        </w:rPr>
        <w:t>&amp;F Bovespa</w:t>
      </w:r>
      <w:r w:rsidR="00D63086">
        <w:rPr>
          <w:rFonts w:ascii="Times New Roman" w:hAnsi="Times New Roman" w:cs="Times New Roman"/>
          <w:sz w:val="24"/>
          <w:szCs w:val="24"/>
        </w:rPr>
        <w:t>.</w:t>
      </w:r>
      <w:r w:rsidR="007E0225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7E0225" w:rsidRPr="00D63086">
        <w:rPr>
          <w:rFonts w:ascii="Times New Roman" w:hAnsi="Times New Roman" w:cs="Times New Roman"/>
          <w:b/>
          <w:sz w:val="24"/>
          <w:szCs w:val="24"/>
        </w:rPr>
        <w:t>Empresas Listadas: Relatório de Sustentabilidade ou Integrado</w:t>
      </w:r>
      <w:r w:rsidR="00D63086">
        <w:rPr>
          <w:rFonts w:ascii="Times New Roman" w:hAnsi="Times New Roman" w:cs="Times New Roman"/>
          <w:sz w:val="24"/>
          <w:szCs w:val="24"/>
        </w:rPr>
        <w:t xml:space="preserve">. Ano 2016. </w:t>
      </w:r>
      <w:r w:rsidR="007E0225" w:rsidRPr="00704821">
        <w:rPr>
          <w:rFonts w:ascii="Times New Roman" w:hAnsi="Times New Roman" w:cs="Times New Roman"/>
          <w:sz w:val="24"/>
          <w:szCs w:val="24"/>
        </w:rPr>
        <w:t>Disponível em: http://www.bmfbovespa.com.br/lumi</w:t>
      </w:r>
      <w:r w:rsidR="001B0A85">
        <w:rPr>
          <w:rFonts w:ascii="Times New Roman" w:hAnsi="Times New Roman" w:cs="Times New Roman"/>
          <w:sz w:val="24"/>
          <w:szCs w:val="24"/>
        </w:rPr>
        <w:t>s/portal/file/fileDownload.jsp?</w:t>
      </w:r>
      <w:r w:rsidR="007E0225" w:rsidRPr="00704821">
        <w:rPr>
          <w:rFonts w:ascii="Times New Roman" w:hAnsi="Times New Roman" w:cs="Times New Roman"/>
          <w:sz w:val="24"/>
          <w:szCs w:val="24"/>
        </w:rPr>
        <w:t>fileId=8A828D</w:t>
      </w:r>
      <w:r w:rsidR="001B0A85">
        <w:rPr>
          <w:rFonts w:ascii="Times New Roman" w:hAnsi="Times New Roman" w:cs="Times New Roman"/>
          <w:sz w:val="24"/>
          <w:szCs w:val="24"/>
        </w:rPr>
        <w:t xml:space="preserve"> </w:t>
      </w:r>
      <w:r w:rsidR="007E0225" w:rsidRPr="00704821">
        <w:rPr>
          <w:rFonts w:ascii="Times New Roman" w:hAnsi="Times New Roman" w:cs="Times New Roman"/>
          <w:sz w:val="24"/>
          <w:szCs w:val="24"/>
        </w:rPr>
        <w:t>295048C0EF0151212076D915A6. Aceso em: 16</w:t>
      </w:r>
      <w:r w:rsidR="001B0A85">
        <w:rPr>
          <w:rFonts w:ascii="Times New Roman" w:hAnsi="Times New Roman" w:cs="Times New Roman"/>
          <w:sz w:val="24"/>
          <w:szCs w:val="24"/>
        </w:rPr>
        <w:t xml:space="preserve"> dez. </w:t>
      </w:r>
      <w:r w:rsidR="007E0225" w:rsidRPr="00704821">
        <w:rPr>
          <w:rFonts w:ascii="Times New Roman" w:hAnsi="Times New Roman" w:cs="Times New Roman"/>
          <w:sz w:val="24"/>
          <w:szCs w:val="24"/>
        </w:rPr>
        <w:t>2016.</w:t>
      </w:r>
    </w:p>
    <w:p w14:paraId="14711C86" w14:textId="77777777" w:rsidR="00910A49" w:rsidRPr="00704821" w:rsidRDefault="00910A49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6F0478F" w14:textId="49DB9F73" w:rsidR="008316AC" w:rsidRDefault="00EB18BC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BRASIL</w:t>
      </w:r>
      <w:r w:rsidR="008316AC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8316AC" w:rsidRPr="00EB18BC">
        <w:rPr>
          <w:rFonts w:ascii="Times New Roman" w:hAnsi="Times New Roman" w:cs="Times New Roman"/>
          <w:b/>
          <w:sz w:val="24"/>
          <w:szCs w:val="24"/>
        </w:rPr>
        <w:t>Constituição da República Federativa do Brasil de 1988.</w:t>
      </w:r>
      <w:r w:rsidR="008316A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Ano: 1988. </w:t>
      </w:r>
      <w:r w:rsidR="008316AC" w:rsidRPr="00704821">
        <w:rPr>
          <w:rFonts w:ascii="Times New Roman" w:hAnsi="Times New Roman" w:cs="Times New Roman"/>
          <w:sz w:val="24"/>
          <w:szCs w:val="24"/>
        </w:rPr>
        <w:t>Disponível em: ht</w:t>
      </w:r>
      <w:r w:rsidR="009212EF">
        <w:rPr>
          <w:rFonts w:ascii="Times New Roman" w:hAnsi="Times New Roman" w:cs="Times New Roman"/>
          <w:sz w:val="24"/>
          <w:szCs w:val="24"/>
        </w:rPr>
        <w:t>tp://www.planalto.gov.br/ccivil</w:t>
      </w:r>
      <w:r w:rsidR="008316AC" w:rsidRPr="00704821">
        <w:rPr>
          <w:rFonts w:ascii="Times New Roman" w:hAnsi="Times New Roman" w:cs="Times New Roman"/>
          <w:sz w:val="24"/>
          <w:szCs w:val="24"/>
        </w:rPr>
        <w:t>03/Constituicao/Constituicao.htm. Acesso em: 02</w:t>
      </w:r>
      <w:r w:rsidR="009212EF">
        <w:rPr>
          <w:rFonts w:ascii="Times New Roman" w:hAnsi="Times New Roman" w:cs="Times New Roman"/>
          <w:sz w:val="24"/>
          <w:szCs w:val="24"/>
        </w:rPr>
        <w:t xml:space="preserve"> nov.</w:t>
      </w:r>
      <w:r w:rsidR="008316AC" w:rsidRPr="00704821">
        <w:rPr>
          <w:rFonts w:ascii="Times New Roman" w:hAnsi="Times New Roman" w:cs="Times New Roman"/>
          <w:sz w:val="24"/>
          <w:szCs w:val="24"/>
        </w:rPr>
        <w:t xml:space="preserve"> 2016.</w:t>
      </w:r>
    </w:p>
    <w:p w14:paraId="74F5389C" w14:textId="77777777" w:rsidR="00EB18BC" w:rsidRPr="00704821" w:rsidRDefault="00EB18BC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AF613FE" w14:textId="0B0389E6" w:rsidR="00A513EC" w:rsidRDefault="00A513EC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_____. </w:t>
      </w:r>
      <w:r w:rsidRPr="009212EF">
        <w:rPr>
          <w:rFonts w:ascii="Times New Roman" w:hAnsi="Times New Roman" w:cs="Times New Roman"/>
          <w:b/>
          <w:sz w:val="24"/>
          <w:szCs w:val="24"/>
        </w:rPr>
        <w:t>Decreto nº 7.404, de 23 de dezembro de 2010</w:t>
      </w:r>
      <w:r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9212EF">
        <w:rPr>
          <w:rFonts w:ascii="Times New Roman" w:hAnsi="Times New Roman" w:cs="Times New Roman"/>
          <w:sz w:val="24"/>
          <w:szCs w:val="24"/>
        </w:rPr>
        <w:t>Ano: 2010a.</w:t>
      </w:r>
      <w:r w:rsidR="009212EF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Disponível em</w:t>
      </w:r>
      <w:r w:rsidR="002E52F3" w:rsidRPr="00704821">
        <w:rPr>
          <w:rFonts w:ascii="Times New Roman" w:hAnsi="Times New Roman" w:cs="Times New Roman"/>
          <w:sz w:val="24"/>
          <w:szCs w:val="24"/>
        </w:rPr>
        <w:t>: http://www.pla nalto.gov.br/ccivil_03/_ato2007-2010/2010/decreto/d7404.htm. Acesso em: 16</w:t>
      </w:r>
      <w:r w:rsidR="007C434C">
        <w:rPr>
          <w:rFonts w:ascii="Times New Roman" w:hAnsi="Times New Roman" w:cs="Times New Roman"/>
          <w:sz w:val="24"/>
          <w:szCs w:val="24"/>
        </w:rPr>
        <w:t xml:space="preserve"> dez. </w:t>
      </w:r>
      <w:r w:rsidR="002E52F3" w:rsidRPr="00704821">
        <w:rPr>
          <w:rFonts w:ascii="Times New Roman" w:hAnsi="Times New Roman" w:cs="Times New Roman"/>
          <w:sz w:val="24"/>
          <w:szCs w:val="24"/>
        </w:rPr>
        <w:t>2016.</w:t>
      </w:r>
    </w:p>
    <w:p w14:paraId="1D5C2361" w14:textId="77777777" w:rsidR="009212EF" w:rsidRPr="00704821" w:rsidRDefault="009212EF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D699EFD" w14:textId="67E5761A" w:rsidR="008316AC" w:rsidRDefault="008568B0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_____</w:t>
      </w:r>
      <w:r w:rsidR="008316AC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8316AC" w:rsidRPr="001842FB">
        <w:rPr>
          <w:rFonts w:ascii="Times New Roman" w:hAnsi="Times New Roman" w:cs="Times New Roman"/>
          <w:b/>
          <w:sz w:val="24"/>
          <w:szCs w:val="24"/>
        </w:rPr>
        <w:t>Lei n. 12.305 de 02 de agos</w:t>
      </w:r>
      <w:r w:rsidR="001842FB">
        <w:rPr>
          <w:rFonts w:ascii="Times New Roman" w:hAnsi="Times New Roman" w:cs="Times New Roman"/>
          <w:b/>
          <w:sz w:val="24"/>
          <w:szCs w:val="24"/>
        </w:rPr>
        <w:t>to de 2</w:t>
      </w:r>
      <w:r w:rsidR="008316AC" w:rsidRPr="001842FB">
        <w:rPr>
          <w:rFonts w:ascii="Times New Roman" w:hAnsi="Times New Roman" w:cs="Times New Roman"/>
          <w:b/>
          <w:sz w:val="24"/>
          <w:szCs w:val="24"/>
        </w:rPr>
        <w:t>010.</w:t>
      </w:r>
      <w:r w:rsidR="00A513E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8316AC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1842FB">
        <w:rPr>
          <w:rFonts w:ascii="Times New Roman" w:hAnsi="Times New Roman" w:cs="Times New Roman"/>
          <w:sz w:val="24"/>
          <w:szCs w:val="24"/>
        </w:rPr>
        <w:t>Ano: 2010b.</w:t>
      </w:r>
      <w:r w:rsidR="001842FB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8316AC" w:rsidRPr="00704821">
        <w:rPr>
          <w:rFonts w:ascii="Times New Roman" w:hAnsi="Times New Roman" w:cs="Times New Roman"/>
          <w:sz w:val="24"/>
          <w:szCs w:val="24"/>
        </w:rPr>
        <w:t>Disponível em: &lt;http://www.planalto.</w:t>
      </w:r>
      <w:r w:rsidR="001842FB">
        <w:rPr>
          <w:rFonts w:ascii="Times New Roman" w:hAnsi="Times New Roman" w:cs="Times New Roman"/>
          <w:sz w:val="24"/>
          <w:szCs w:val="24"/>
        </w:rPr>
        <w:t xml:space="preserve"> </w:t>
      </w:r>
      <w:r w:rsidR="008316AC" w:rsidRPr="00704821">
        <w:rPr>
          <w:rFonts w:ascii="Times New Roman" w:hAnsi="Times New Roman" w:cs="Times New Roman"/>
          <w:sz w:val="24"/>
          <w:szCs w:val="24"/>
        </w:rPr>
        <w:t>gov.br</w:t>
      </w:r>
      <w:r w:rsidR="00B21FF3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8316AC" w:rsidRPr="00704821">
        <w:rPr>
          <w:rFonts w:ascii="Times New Roman" w:hAnsi="Times New Roman" w:cs="Times New Roman"/>
          <w:sz w:val="24"/>
          <w:szCs w:val="24"/>
        </w:rPr>
        <w:t>/ccivil_03/_ato2007-2010/2010/l</w:t>
      </w:r>
      <w:r w:rsidR="004D4A69" w:rsidRPr="00704821">
        <w:rPr>
          <w:rFonts w:ascii="Times New Roman" w:hAnsi="Times New Roman" w:cs="Times New Roman"/>
          <w:sz w:val="24"/>
          <w:szCs w:val="24"/>
        </w:rPr>
        <w:t>ei/l12305.htm&gt; Acesso em</w:t>
      </w:r>
      <w:r w:rsidR="000C775E">
        <w:rPr>
          <w:rFonts w:ascii="Times New Roman" w:hAnsi="Times New Roman" w:cs="Times New Roman"/>
          <w:sz w:val="24"/>
          <w:szCs w:val="24"/>
        </w:rPr>
        <w:t>:</w:t>
      </w:r>
      <w:r w:rsidR="004D4A69" w:rsidRPr="00704821">
        <w:rPr>
          <w:rFonts w:ascii="Times New Roman" w:hAnsi="Times New Roman" w:cs="Times New Roman"/>
          <w:sz w:val="24"/>
          <w:szCs w:val="24"/>
        </w:rPr>
        <w:t xml:space="preserve"> 02</w:t>
      </w:r>
      <w:r w:rsidR="001842FB">
        <w:rPr>
          <w:rFonts w:ascii="Times New Roman" w:hAnsi="Times New Roman" w:cs="Times New Roman"/>
          <w:sz w:val="24"/>
          <w:szCs w:val="24"/>
        </w:rPr>
        <w:t xml:space="preserve"> nov. </w:t>
      </w:r>
      <w:r w:rsidR="008316AC" w:rsidRPr="00704821">
        <w:rPr>
          <w:rFonts w:ascii="Times New Roman" w:hAnsi="Times New Roman" w:cs="Times New Roman"/>
          <w:sz w:val="24"/>
          <w:szCs w:val="24"/>
        </w:rPr>
        <w:t>2016</w:t>
      </w:r>
      <w:r w:rsidR="005E13B4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7D8058AE" w14:textId="77777777" w:rsidR="008B781B" w:rsidRPr="00704821" w:rsidRDefault="008B781B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747E76E" w14:textId="36EC6CDC" w:rsidR="006D73A0" w:rsidRDefault="000E4BA6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BURLEA</w:t>
      </w:r>
      <w:r w:rsidR="000F5B3A">
        <w:rPr>
          <w:rFonts w:ascii="Times New Roman" w:hAnsi="Times New Roman" w:cs="Times New Roman"/>
          <w:sz w:val="24"/>
          <w:szCs w:val="24"/>
        </w:rPr>
        <w:t xml:space="preserve"> Ş. A. e </w:t>
      </w:r>
      <w:r w:rsidRPr="00704821">
        <w:rPr>
          <w:rFonts w:ascii="Times New Roman" w:hAnsi="Times New Roman" w:cs="Times New Roman"/>
          <w:sz w:val="24"/>
          <w:szCs w:val="24"/>
        </w:rPr>
        <w:t>POPA</w:t>
      </w:r>
      <w:r w:rsidR="006D73A0" w:rsidRPr="00704821">
        <w:rPr>
          <w:rFonts w:ascii="Times New Roman" w:hAnsi="Times New Roman" w:cs="Times New Roman"/>
          <w:sz w:val="24"/>
          <w:szCs w:val="24"/>
        </w:rPr>
        <w:t xml:space="preserve"> I. </w:t>
      </w:r>
      <w:r w:rsidR="006123AD" w:rsidRPr="000C775E">
        <w:rPr>
          <w:rFonts w:ascii="Times New Roman" w:hAnsi="Times New Roman" w:cs="Times New Roman"/>
          <w:b/>
          <w:sz w:val="24"/>
          <w:szCs w:val="24"/>
        </w:rPr>
        <w:t>Legitimacy Theory</w:t>
      </w:r>
      <w:r w:rsidR="006123AD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Ano: 2013. </w:t>
      </w:r>
      <w:r w:rsidR="006D73A0" w:rsidRPr="00704821">
        <w:rPr>
          <w:rFonts w:ascii="Times New Roman" w:hAnsi="Times New Roman" w:cs="Times New Roman"/>
          <w:sz w:val="24"/>
          <w:szCs w:val="24"/>
        </w:rPr>
        <w:t>Disponível em:</w:t>
      </w:r>
      <w:r w:rsidR="000C775E">
        <w:rPr>
          <w:rFonts w:ascii="Times New Roman" w:hAnsi="Times New Roman" w:cs="Times New Roman"/>
          <w:sz w:val="24"/>
          <w:szCs w:val="24"/>
        </w:rPr>
        <w:t xml:space="preserve"> </w:t>
      </w:r>
      <w:r w:rsidR="000F5B3A" w:rsidRPr="000F5B3A">
        <w:rPr>
          <w:rFonts w:ascii="Times New Roman" w:hAnsi="Times New Roman" w:cs="Times New Roman"/>
          <w:sz w:val="24"/>
          <w:szCs w:val="24"/>
        </w:rPr>
        <w:t>http://www.springerre</w:t>
      </w:r>
      <w:r w:rsidR="000F5B3A">
        <w:rPr>
          <w:rFonts w:ascii="Times New Roman" w:hAnsi="Times New Roman" w:cs="Times New Roman"/>
          <w:sz w:val="24"/>
          <w:szCs w:val="24"/>
        </w:rPr>
        <w:t xml:space="preserve"> </w:t>
      </w:r>
      <w:r w:rsidR="000F5B3A" w:rsidRPr="000F5B3A">
        <w:rPr>
          <w:rFonts w:ascii="Times New Roman" w:hAnsi="Times New Roman" w:cs="Times New Roman"/>
          <w:sz w:val="24"/>
          <w:szCs w:val="24"/>
        </w:rPr>
        <w:t>ference</w:t>
      </w:r>
      <w:r w:rsidR="006D73A0" w:rsidRPr="00704821">
        <w:rPr>
          <w:rFonts w:ascii="Times New Roman" w:hAnsi="Times New Roman" w:cs="Times New Roman"/>
          <w:sz w:val="24"/>
          <w:szCs w:val="24"/>
        </w:rPr>
        <w:t>.com/docs/html/chapterdbid/333348.html. Acesso em</w:t>
      </w:r>
      <w:r w:rsidR="000C775E">
        <w:rPr>
          <w:rFonts w:ascii="Times New Roman" w:hAnsi="Times New Roman" w:cs="Times New Roman"/>
          <w:sz w:val="24"/>
          <w:szCs w:val="24"/>
        </w:rPr>
        <w:t>:</w:t>
      </w:r>
      <w:r w:rsidR="006D73A0" w:rsidRPr="00704821">
        <w:rPr>
          <w:rFonts w:ascii="Times New Roman" w:hAnsi="Times New Roman" w:cs="Times New Roman"/>
          <w:sz w:val="24"/>
          <w:szCs w:val="24"/>
        </w:rPr>
        <w:t xml:space="preserve"> 02 mar</w:t>
      </w:r>
      <w:r w:rsidR="000C775E">
        <w:rPr>
          <w:rFonts w:ascii="Times New Roman" w:hAnsi="Times New Roman" w:cs="Times New Roman"/>
          <w:sz w:val="24"/>
          <w:szCs w:val="24"/>
        </w:rPr>
        <w:t>.</w:t>
      </w:r>
      <w:r w:rsidR="006D73A0" w:rsidRPr="00704821">
        <w:rPr>
          <w:rFonts w:ascii="Times New Roman" w:hAnsi="Times New Roman" w:cs="Times New Roman"/>
          <w:sz w:val="24"/>
          <w:szCs w:val="24"/>
        </w:rPr>
        <w:t xml:space="preserve"> 2017.</w:t>
      </w:r>
    </w:p>
    <w:p w14:paraId="50211B4E" w14:textId="77777777" w:rsidR="000E4BA6" w:rsidRPr="00704821" w:rsidRDefault="000E4BA6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4EC6CC9" w14:textId="28A9A85D" w:rsidR="00B65A85" w:rsidRDefault="000C5C71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04821">
        <w:rPr>
          <w:rFonts w:ascii="Times New Roman" w:hAnsi="Times New Roman" w:cs="Times New Roman"/>
          <w:sz w:val="24"/>
          <w:szCs w:val="24"/>
          <w:lang w:val="en-US"/>
        </w:rPr>
        <w:t>CARSON</w:t>
      </w:r>
      <w:r w:rsidR="00B65A85" w:rsidRPr="00704821">
        <w:rPr>
          <w:rFonts w:ascii="Times New Roman" w:hAnsi="Times New Roman" w:cs="Times New Roman"/>
          <w:sz w:val="24"/>
          <w:szCs w:val="24"/>
          <w:lang w:val="en-US"/>
        </w:rPr>
        <w:t>, 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5A85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5A85" w:rsidRPr="000C5C71">
        <w:rPr>
          <w:rFonts w:ascii="Times New Roman" w:hAnsi="Times New Roman" w:cs="Times New Roman"/>
          <w:b/>
          <w:sz w:val="24"/>
          <w:szCs w:val="24"/>
          <w:lang w:val="en-US"/>
        </w:rPr>
        <w:t>Silent Spring</w:t>
      </w:r>
      <w:r w:rsidR="00B65A85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65A85" w:rsidRPr="000C5C71">
        <w:rPr>
          <w:rFonts w:ascii="Times New Roman" w:hAnsi="Times New Roman" w:cs="Times New Roman"/>
          <w:sz w:val="24"/>
          <w:szCs w:val="24"/>
          <w:lang w:val="en-US"/>
        </w:rPr>
        <w:t>Houghton Mifflin</w:t>
      </w:r>
      <w:r w:rsidR="00B65A85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Boston: USA, 1962</w:t>
      </w:r>
      <w:r w:rsidR="00BB00FA" w:rsidRPr="007048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D0DFFC" w14:textId="77777777" w:rsidR="000C5C71" w:rsidRPr="00704821" w:rsidRDefault="000C5C71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2D166184" w14:textId="367D0635" w:rsidR="00291E08" w:rsidRDefault="00D707DD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COMISSÃO DOS VALORES MOBILIÁRIOS</w:t>
      </w:r>
      <w:r w:rsidR="00291E08" w:rsidRPr="00704821">
        <w:rPr>
          <w:rFonts w:ascii="Times New Roman" w:hAnsi="Times New Roman" w:cs="Times New Roman"/>
          <w:sz w:val="24"/>
          <w:szCs w:val="24"/>
        </w:rPr>
        <w:t xml:space="preserve"> (CVM)</w:t>
      </w:r>
      <w:r w:rsidR="003E47BB">
        <w:rPr>
          <w:rFonts w:ascii="Times New Roman" w:hAnsi="Times New Roman" w:cs="Times New Roman"/>
          <w:sz w:val="24"/>
          <w:szCs w:val="24"/>
        </w:rPr>
        <w:t>.</w:t>
      </w:r>
      <w:r w:rsidR="00291E08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44264E" w:rsidRPr="003E47BB">
        <w:rPr>
          <w:rFonts w:ascii="Times New Roman" w:hAnsi="Times New Roman" w:cs="Times New Roman"/>
          <w:b/>
          <w:sz w:val="24"/>
          <w:szCs w:val="24"/>
        </w:rPr>
        <w:t>Instrução Normativa CVM nº 480 de 09 de</w:t>
      </w:r>
      <w:r w:rsidR="003E47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64E" w:rsidRPr="003E47BB">
        <w:rPr>
          <w:rFonts w:ascii="Times New Roman" w:hAnsi="Times New Roman" w:cs="Times New Roman"/>
          <w:b/>
          <w:sz w:val="24"/>
          <w:szCs w:val="24"/>
        </w:rPr>
        <w:t>dezembro de 2009 (texto consolidado)</w:t>
      </w:r>
      <w:r w:rsidR="0044264E" w:rsidRPr="00704821">
        <w:rPr>
          <w:rFonts w:ascii="Times New Roman" w:hAnsi="Times New Roman" w:cs="Times New Roman"/>
          <w:sz w:val="24"/>
          <w:szCs w:val="24"/>
        </w:rPr>
        <w:t>.</w:t>
      </w:r>
      <w:r w:rsidR="003E47BB">
        <w:rPr>
          <w:rFonts w:ascii="Times New Roman" w:hAnsi="Times New Roman" w:cs="Times New Roman"/>
          <w:sz w:val="24"/>
          <w:szCs w:val="24"/>
        </w:rPr>
        <w:t xml:space="preserve"> Ano: 2015.</w:t>
      </w:r>
      <w:r w:rsidR="0044264E" w:rsidRPr="00704821">
        <w:rPr>
          <w:rFonts w:ascii="Times New Roman" w:hAnsi="Times New Roman" w:cs="Times New Roman"/>
          <w:sz w:val="24"/>
          <w:szCs w:val="24"/>
        </w:rPr>
        <w:t xml:space="preserve"> Disponí</w:t>
      </w:r>
      <w:r w:rsidR="003E47BB">
        <w:rPr>
          <w:rFonts w:ascii="Times New Roman" w:hAnsi="Times New Roman" w:cs="Times New Roman"/>
          <w:sz w:val="24"/>
          <w:szCs w:val="24"/>
        </w:rPr>
        <w:t xml:space="preserve">vel em:  </w:t>
      </w:r>
      <w:r w:rsidRPr="000551D9">
        <w:rPr>
          <w:rFonts w:ascii="Times New Roman" w:hAnsi="Times New Roman" w:cs="Times New Roman"/>
          <w:sz w:val="24"/>
          <w:szCs w:val="24"/>
        </w:rPr>
        <w:t>http://www.cvm.gov.br</w:t>
      </w:r>
      <w:r w:rsidR="003E47BB">
        <w:rPr>
          <w:rFonts w:ascii="Times New Roman" w:hAnsi="Times New Roman" w:cs="Times New Roman"/>
          <w:sz w:val="24"/>
          <w:szCs w:val="24"/>
        </w:rPr>
        <w:t>/</w:t>
      </w:r>
      <w:r w:rsidR="0044264E" w:rsidRPr="00704821">
        <w:rPr>
          <w:rFonts w:ascii="Times New Roman" w:hAnsi="Times New Roman" w:cs="Times New Roman"/>
          <w:sz w:val="24"/>
          <w:szCs w:val="24"/>
        </w:rPr>
        <w:t>legislacao/inst/inst480.html. Acesso em: 01</w:t>
      </w:r>
      <w:r w:rsidR="003E47BB">
        <w:rPr>
          <w:rFonts w:ascii="Times New Roman" w:hAnsi="Times New Roman" w:cs="Times New Roman"/>
          <w:sz w:val="24"/>
          <w:szCs w:val="24"/>
        </w:rPr>
        <w:t xml:space="preserve"> dez. </w:t>
      </w:r>
      <w:r w:rsidR="0044264E" w:rsidRPr="00704821">
        <w:rPr>
          <w:rFonts w:ascii="Times New Roman" w:hAnsi="Times New Roman" w:cs="Times New Roman"/>
          <w:sz w:val="24"/>
          <w:szCs w:val="24"/>
        </w:rPr>
        <w:t>2016.</w:t>
      </w:r>
    </w:p>
    <w:p w14:paraId="6293BBEB" w14:textId="77777777" w:rsidR="003E47BB" w:rsidRPr="00704821" w:rsidRDefault="003E47BB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EA7E097" w14:textId="5B185445" w:rsidR="005E13B4" w:rsidRDefault="006D73A0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_____</w:t>
      </w:r>
      <w:r w:rsidR="00F8583F">
        <w:rPr>
          <w:rFonts w:ascii="Times New Roman" w:hAnsi="Times New Roman" w:cs="Times New Roman"/>
          <w:sz w:val="24"/>
          <w:szCs w:val="24"/>
        </w:rPr>
        <w:t>.</w:t>
      </w:r>
      <w:r w:rsidR="005E13B4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5E13B4" w:rsidRPr="00F8583F">
        <w:rPr>
          <w:rFonts w:ascii="Times New Roman" w:hAnsi="Times New Roman" w:cs="Times New Roman"/>
          <w:b/>
          <w:sz w:val="24"/>
          <w:szCs w:val="24"/>
        </w:rPr>
        <w:t>O mercado de valores mobiliário brasileiro</w:t>
      </w:r>
      <w:r w:rsidR="005E13B4" w:rsidRPr="00704821">
        <w:rPr>
          <w:rFonts w:ascii="Times New Roman" w:hAnsi="Times New Roman" w:cs="Times New Roman"/>
          <w:sz w:val="24"/>
          <w:szCs w:val="24"/>
        </w:rPr>
        <w:t xml:space="preserve">. Rio de Janeiro: </w:t>
      </w:r>
      <w:r w:rsidR="005E13B4" w:rsidRPr="00F8583F">
        <w:rPr>
          <w:rFonts w:ascii="Times New Roman" w:hAnsi="Times New Roman" w:cs="Times New Roman"/>
          <w:sz w:val="24"/>
          <w:szCs w:val="24"/>
        </w:rPr>
        <w:t>Comissão de Valores Mobiliários</w:t>
      </w:r>
      <w:r w:rsidR="00F8583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8583F" w:rsidRPr="00F8583F">
        <w:rPr>
          <w:rFonts w:ascii="Times New Roman" w:hAnsi="Times New Roman" w:cs="Times New Roman"/>
          <w:sz w:val="24"/>
          <w:szCs w:val="24"/>
        </w:rPr>
        <w:t>2014</w:t>
      </w:r>
      <w:r w:rsidR="005E13B4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79A5B768" w14:textId="77777777" w:rsidR="00F61F43" w:rsidRPr="00704821" w:rsidRDefault="00F61F43" w:rsidP="004514C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95FE051" w14:textId="00391EC5" w:rsidR="00734A94" w:rsidRDefault="001646A2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COMITÊ DE ORIENTAÇÃO PARA DIVULGAÇÃO DE INFORMAÇÕES AO MERCADO</w:t>
      </w:r>
      <w:r w:rsidR="00734A94" w:rsidRPr="00704821">
        <w:rPr>
          <w:rFonts w:ascii="Times New Roman" w:hAnsi="Times New Roman" w:cs="Times New Roman"/>
          <w:sz w:val="24"/>
          <w:szCs w:val="24"/>
        </w:rPr>
        <w:t xml:space="preserve"> (CODIM). </w:t>
      </w:r>
      <w:r w:rsidR="00734A94" w:rsidRPr="001646A2">
        <w:rPr>
          <w:rFonts w:ascii="Times New Roman" w:hAnsi="Times New Roman" w:cs="Times New Roman"/>
          <w:b/>
          <w:sz w:val="24"/>
          <w:szCs w:val="24"/>
        </w:rPr>
        <w:t>Pronunciamento de orientação Nº 9, de 27 de Abril de 2011</w:t>
      </w:r>
      <w:r w:rsidR="00734A94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Ano 2011. </w:t>
      </w:r>
      <w:r w:rsidR="00734A94" w:rsidRPr="00704821">
        <w:rPr>
          <w:rFonts w:ascii="Times New Roman" w:hAnsi="Times New Roman" w:cs="Times New Roman"/>
          <w:sz w:val="24"/>
          <w:szCs w:val="24"/>
        </w:rPr>
        <w:t>Disponível em: http://www.codim.org.br/downloads/Instrucoes_Preparativas_Referencia_Pronunciamento_</w:t>
      </w:r>
      <w:r w:rsidR="006E55F0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734A94" w:rsidRPr="00704821">
        <w:rPr>
          <w:rFonts w:ascii="Times New Roman" w:hAnsi="Times New Roman" w:cs="Times New Roman"/>
          <w:sz w:val="24"/>
          <w:szCs w:val="24"/>
        </w:rPr>
        <w:t>Orientacao_CODIM_N09_</w:t>
      </w:r>
      <w:r w:rsidR="00335117" w:rsidRPr="00704821">
        <w:rPr>
          <w:rFonts w:ascii="Times New Roman" w:hAnsi="Times New Roman" w:cs="Times New Roman"/>
          <w:sz w:val="24"/>
          <w:szCs w:val="24"/>
        </w:rPr>
        <w:t>27042011.pdf</w:t>
      </w:r>
      <w:r w:rsidR="006E55F0" w:rsidRPr="00704821">
        <w:rPr>
          <w:rFonts w:ascii="Times New Roman" w:hAnsi="Times New Roman" w:cs="Times New Roman"/>
          <w:sz w:val="24"/>
          <w:szCs w:val="24"/>
        </w:rPr>
        <w:t>. Acesso em: 01</w:t>
      </w:r>
      <w:r w:rsidR="00A122FB" w:rsidRPr="00704821">
        <w:rPr>
          <w:rFonts w:ascii="Times New Roman" w:hAnsi="Times New Roman" w:cs="Times New Roman"/>
          <w:sz w:val="24"/>
          <w:szCs w:val="24"/>
        </w:rPr>
        <w:t xml:space="preserve"> dez</w:t>
      </w:r>
      <w:r w:rsidR="000F5B3A">
        <w:rPr>
          <w:rFonts w:ascii="Times New Roman" w:hAnsi="Times New Roman" w:cs="Times New Roman"/>
          <w:sz w:val="24"/>
          <w:szCs w:val="24"/>
        </w:rPr>
        <w:t>.</w:t>
      </w:r>
      <w:r w:rsidR="00A122FB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6E55F0" w:rsidRPr="00704821">
        <w:rPr>
          <w:rFonts w:ascii="Times New Roman" w:hAnsi="Times New Roman" w:cs="Times New Roman"/>
          <w:sz w:val="24"/>
          <w:szCs w:val="24"/>
        </w:rPr>
        <w:t>2016.</w:t>
      </w:r>
    </w:p>
    <w:p w14:paraId="09CD9304" w14:textId="77777777" w:rsidR="001646A2" w:rsidRPr="00704821" w:rsidRDefault="001646A2" w:rsidP="004514C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BF63EDF" w14:textId="2D496432" w:rsidR="00A71D9F" w:rsidRDefault="000F5B3A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COOPER</w:t>
      </w:r>
      <w:r>
        <w:rPr>
          <w:rFonts w:ascii="Times New Roman" w:hAnsi="Times New Roman" w:cs="Times New Roman"/>
          <w:sz w:val="24"/>
          <w:szCs w:val="24"/>
        </w:rPr>
        <w:t>, D. R. e</w:t>
      </w:r>
      <w:r w:rsidR="00F146A6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SCHINDLER</w:t>
      </w:r>
      <w:r w:rsidR="00F146A6" w:rsidRPr="00704821">
        <w:rPr>
          <w:rFonts w:ascii="Times New Roman" w:hAnsi="Times New Roman" w:cs="Times New Roman"/>
          <w:sz w:val="24"/>
          <w:szCs w:val="24"/>
        </w:rPr>
        <w:t xml:space="preserve">, P. S. </w:t>
      </w:r>
      <w:r w:rsidR="00F146A6" w:rsidRPr="000F5B3A">
        <w:rPr>
          <w:rFonts w:ascii="Times New Roman" w:hAnsi="Times New Roman" w:cs="Times New Roman"/>
          <w:b/>
          <w:sz w:val="24"/>
          <w:szCs w:val="24"/>
        </w:rPr>
        <w:t>Métodos de Pesquisa em Administração</w:t>
      </w:r>
      <w:r w:rsidR="00F146A6" w:rsidRPr="00704821">
        <w:rPr>
          <w:rFonts w:ascii="Times New Roman" w:hAnsi="Times New Roman" w:cs="Times New Roman"/>
          <w:sz w:val="24"/>
          <w:szCs w:val="24"/>
        </w:rPr>
        <w:t>. AMGH: Porto Alegre</w:t>
      </w:r>
      <w:r>
        <w:rPr>
          <w:rFonts w:ascii="Times New Roman" w:hAnsi="Times New Roman" w:cs="Times New Roman"/>
          <w:sz w:val="24"/>
          <w:szCs w:val="24"/>
        </w:rPr>
        <w:t>, 2016</w:t>
      </w:r>
      <w:r w:rsidR="00F146A6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79078D16" w14:textId="77777777" w:rsidR="000F5B3A" w:rsidRPr="00704821" w:rsidRDefault="000F5B3A" w:rsidP="004514C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E2D46A4" w14:textId="5F98D6D2" w:rsidR="003C662C" w:rsidRDefault="00315CA5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DEEGAN</w:t>
      </w:r>
      <w:r w:rsidR="003C662C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, C.</w:t>
      </w:r>
      <w:r w:rsidR="00BC4879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3C662C" w:rsidRPr="00F603A1"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en-US"/>
        </w:rPr>
        <w:t>Introduction:</w:t>
      </w:r>
      <w:r w:rsidR="003C662C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3C662C" w:rsidRPr="00315CA5"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en-US"/>
        </w:rPr>
        <w:t>The legitimising effect of social and environmental disclosures – a theoretical foundation</w:t>
      </w:r>
      <w:r w:rsidR="003C662C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. Accounting, Auditing &amp; Accountability Journal, v. 15, n. 3, p. 282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="003C662C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311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, 2002</w:t>
      </w:r>
      <w:r w:rsidR="003C662C" w:rsidRPr="00704821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</w:p>
    <w:p w14:paraId="23F784E1" w14:textId="77777777" w:rsidR="00315CA5" w:rsidRPr="00704821" w:rsidRDefault="00315CA5" w:rsidP="004514C6">
      <w:pPr>
        <w:spacing w:after="0" w:line="240" w:lineRule="auto"/>
        <w:ind w:left="284" w:hanging="284"/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47F91049" w14:textId="259BBC34" w:rsidR="008316AC" w:rsidRDefault="00B17860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4821">
        <w:rPr>
          <w:rFonts w:ascii="Times New Roman" w:hAnsi="Times New Roman" w:cs="Times New Roman"/>
          <w:sz w:val="24"/>
          <w:szCs w:val="24"/>
          <w:lang w:val="en-US"/>
        </w:rPr>
        <w:t>ELKINGTON</w:t>
      </w:r>
      <w:r w:rsidR="008316AC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r w:rsidR="008316AC" w:rsidRPr="00B17860">
        <w:rPr>
          <w:rFonts w:ascii="Times New Roman" w:hAnsi="Times New Roman" w:cs="Times New Roman"/>
          <w:b/>
          <w:sz w:val="24"/>
          <w:szCs w:val="24"/>
        </w:rPr>
        <w:t>Sustentabilidade, canibais com garfo e faca</w:t>
      </w:r>
      <w:r w:rsidR="008316AC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8316AC" w:rsidRPr="00704821">
        <w:rPr>
          <w:rFonts w:ascii="Times New Roman" w:hAnsi="Times New Roman" w:cs="Times New Roman"/>
          <w:sz w:val="24"/>
          <w:szCs w:val="24"/>
          <w:lang w:val="en-US"/>
        </w:rPr>
        <w:t>São Paulo: M. Books do Brasil Editora Ltda</w:t>
      </w:r>
      <w:r>
        <w:rPr>
          <w:rFonts w:ascii="Times New Roman" w:hAnsi="Times New Roman" w:cs="Times New Roman"/>
          <w:sz w:val="24"/>
          <w:szCs w:val="24"/>
          <w:lang w:val="en-US"/>
        </w:rPr>
        <w:t>, 2012</w:t>
      </w:r>
      <w:r w:rsidR="008316AC" w:rsidRPr="007048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8FE411" w14:textId="77777777" w:rsidR="00DC5110" w:rsidRPr="00704821" w:rsidRDefault="00DC5110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F290C5" w14:textId="59DD1462" w:rsidR="00C93759" w:rsidRDefault="00A3783D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4821">
        <w:rPr>
          <w:rFonts w:ascii="Times New Roman" w:hAnsi="Times New Roman" w:cs="Times New Roman"/>
          <w:sz w:val="24"/>
          <w:szCs w:val="24"/>
          <w:lang w:val="en-US"/>
        </w:rPr>
        <w:t>FREEMAN</w:t>
      </w:r>
      <w:r w:rsidR="00C93759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B0BA9">
        <w:rPr>
          <w:rFonts w:ascii="Times New Roman" w:hAnsi="Times New Roman" w:cs="Times New Roman"/>
          <w:sz w:val="24"/>
          <w:szCs w:val="24"/>
          <w:lang w:val="en-US"/>
        </w:rPr>
        <w:t>E. et al.</w:t>
      </w:r>
      <w:r w:rsidR="00CC3B47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B47" w:rsidRPr="006B0BA9">
        <w:rPr>
          <w:rFonts w:ascii="Times New Roman" w:hAnsi="Times New Roman" w:cs="Times New Roman"/>
          <w:b/>
          <w:sz w:val="24"/>
          <w:szCs w:val="24"/>
          <w:lang w:val="en-US"/>
        </w:rPr>
        <w:t>Stak</w:t>
      </w:r>
      <w:r w:rsidR="006B0BA9" w:rsidRPr="006B0BA9">
        <w:rPr>
          <w:rFonts w:ascii="Times New Roman" w:hAnsi="Times New Roman" w:cs="Times New Roman"/>
          <w:b/>
          <w:sz w:val="24"/>
          <w:szCs w:val="24"/>
          <w:lang w:val="en-US"/>
        </w:rPr>
        <w:t>eholder theory the state of Art</w:t>
      </w:r>
      <w:r w:rsidR="006B0BA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C3B47" w:rsidRPr="00704821">
        <w:rPr>
          <w:rFonts w:ascii="Times New Roman" w:hAnsi="Times New Roman" w:cs="Times New Roman"/>
          <w:sz w:val="24"/>
          <w:szCs w:val="24"/>
          <w:lang w:val="en-US"/>
        </w:rPr>
        <w:t>Cambridge University Press</w:t>
      </w:r>
      <w:r w:rsidR="006B0BA9">
        <w:rPr>
          <w:rFonts w:ascii="Times New Roman" w:hAnsi="Times New Roman" w:cs="Times New Roman"/>
          <w:sz w:val="24"/>
          <w:szCs w:val="24"/>
          <w:lang w:val="en-US"/>
        </w:rPr>
        <w:t>, 2010</w:t>
      </w:r>
      <w:r w:rsidR="00CC3B47" w:rsidRPr="007048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B6ADDB" w14:textId="77777777" w:rsidR="006B0BA9" w:rsidRPr="00704821" w:rsidRDefault="006B0BA9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35135C09" w14:textId="1EDFCC53" w:rsidR="00A71D9F" w:rsidRDefault="00A3783D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04821">
        <w:rPr>
          <w:rFonts w:ascii="Times New Roman" w:hAnsi="Times New Roman" w:cs="Times New Roman"/>
          <w:sz w:val="24"/>
          <w:szCs w:val="24"/>
          <w:lang w:val="en-US"/>
        </w:rPr>
        <w:t>FLICK</w:t>
      </w:r>
      <w:r w:rsidR="00A71D9F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146A6" w:rsidRPr="0070482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9466A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146A6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46A6" w:rsidRPr="009466AB">
        <w:rPr>
          <w:rFonts w:ascii="Times New Roman" w:hAnsi="Times New Roman" w:cs="Times New Roman"/>
          <w:b/>
          <w:sz w:val="24"/>
          <w:szCs w:val="24"/>
          <w:lang w:val="en-US"/>
        </w:rPr>
        <w:t>Introdução à pesquisa qualitiva</w:t>
      </w:r>
      <w:r w:rsidR="00F146A6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146A6" w:rsidRPr="009466AB">
        <w:rPr>
          <w:rFonts w:ascii="Times New Roman" w:hAnsi="Times New Roman" w:cs="Times New Roman"/>
          <w:sz w:val="24"/>
          <w:szCs w:val="24"/>
          <w:lang w:val="en-US"/>
        </w:rPr>
        <w:t>Artmed:</w:t>
      </w:r>
      <w:r w:rsidR="00F146A6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Porto Alegre</w:t>
      </w:r>
      <w:r w:rsidR="009466AB">
        <w:rPr>
          <w:rFonts w:ascii="Times New Roman" w:hAnsi="Times New Roman" w:cs="Times New Roman"/>
          <w:sz w:val="24"/>
          <w:szCs w:val="24"/>
          <w:lang w:val="en-US"/>
        </w:rPr>
        <w:t>, 2009</w:t>
      </w:r>
      <w:r w:rsidR="00F146A6" w:rsidRPr="007048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A9096F" w14:textId="77777777" w:rsidR="009466AB" w:rsidRPr="00704821" w:rsidRDefault="009466AB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4CA89DA6" w14:textId="6B95E0E3" w:rsidR="00EE1411" w:rsidRDefault="006022F2" w:rsidP="004514C6">
      <w:pPr>
        <w:spacing w:after="0" w:line="240" w:lineRule="auto"/>
        <w:rPr>
          <w:rFonts w:ascii="TimesNewRoman" w:hAnsi="TimesNewRoman"/>
          <w:color w:val="000000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GARCIA</w:t>
      </w:r>
      <w:r w:rsidR="00EE1411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1375A8" w:rsidRPr="00704821">
        <w:rPr>
          <w:rFonts w:ascii="Times New Roman" w:hAnsi="Times New Roman" w:cs="Times New Roman"/>
          <w:sz w:val="24"/>
          <w:szCs w:val="24"/>
        </w:rPr>
        <w:t xml:space="preserve">S; </w:t>
      </w:r>
      <w:r w:rsidR="00A3783D">
        <w:rPr>
          <w:rFonts w:ascii="Times New Roman" w:hAnsi="Times New Roman" w:cs="Times New Roman"/>
          <w:sz w:val="24"/>
          <w:szCs w:val="24"/>
        </w:rPr>
        <w:t>et al.</w:t>
      </w:r>
      <w:r w:rsidR="001375A8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1375A8" w:rsidRPr="006022F2">
        <w:rPr>
          <w:rFonts w:ascii="Times New Roman" w:hAnsi="Times New Roman" w:cs="Times New Roman"/>
          <w:b/>
          <w:sz w:val="24"/>
          <w:szCs w:val="24"/>
        </w:rPr>
        <w:t>Qualidade da divulgação socioambiental: um estudo sobre a acurácia das informações contábeis nos relatórios de sustentabilidade</w:t>
      </w:r>
      <w:r w:rsidR="001375A8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A3783D">
        <w:rPr>
          <w:rFonts w:ascii="Times New Roman" w:hAnsi="Times New Roman" w:cs="Times New Roman"/>
          <w:sz w:val="24"/>
          <w:szCs w:val="24"/>
        </w:rPr>
        <w:t xml:space="preserve">Ano: </w:t>
      </w:r>
      <w:r w:rsidR="00A3783D" w:rsidRPr="00704821">
        <w:rPr>
          <w:rFonts w:ascii="Times New Roman" w:hAnsi="Times New Roman" w:cs="Times New Roman"/>
          <w:sz w:val="24"/>
          <w:szCs w:val="24"/>
        </w:rPr>
        <w:t>2015</w:t>
      </w:r>
      <w:r w:rsidR="00A3783D">
        <w:rPr>
          <w:rFonts w:ascii="Times New Roman" w:hAnsi="Times New Roman" w:cs="Times New Roman"/>
          <w:sz w:val="24"/>
          <w:szCs w:val="24"/>
        </w:rPr>
        <w:t>.</w:t>
      </w:r>
      <w:r w:rsidR="00A3783D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1375A8" w:rsidRPr="00704821"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="001375A8" w:rsidRPr="00704821">
        <w:rPr>
          <w:rFonts w:ascii="TimesNewRoman" w:hAnsi="TimesNewRoman"/>
          <w:color w:val="000000"/>
          <w:sz w:val="24"/>
          <w:szCs w:val="24"/>
        </w:rPr>
        <w:t>DOI: http://dx.doi</w:t>
      </w:r>
      <w:r>
        <w:rPr>
          <w:rFonts w:ascii="TimesNewRoman" w:hAnsi="TimesNewRoman"/>
          <w:color w:val="000000"/>
          <w:sz w:val="24"/>
          <w:szCs w:val="24"/>
        </w:rPr>
        <w:t>.org/10.5007/2175-8069.2015v12n</w:t>
      </w:r>
      <w:r w:rsidR="001375A8" w:rsidRPr="00704821">
        <w:rPr>
          <w:rFonts w:ascii="TimesNewRoman" w:hAnsi="TimesNewRoman"/>
          <w:color w:val="000000"/>
          <w:sz w:val="24"/>
          <w:szCs w:val="24"/>
        </w:rPr>
        <w:t>25p95. Acesso em: 20</w:t>
      </w:r>
      <w:r>
        <w:rPr>
          <w:rFonts w:ascii="TimesNewRoman" w:hAnsi="TimesNewRoman"/>
          <w:color w:val="000000"/>
          <w:sz w:val="24"/>
          <w:szCs w:val="24"/>
        </w:rPr>
        <w:t xml:space="preserve"> dez. </w:t>
      </w:r>
      <w:r w:rsidR="001375A8" w:rsidRPr="00704821">
        <w:rPr>
          <w:rFonts w:ascii="TimesNewRoman" w:hAnsi="TimesNewRoman"/>
          <w:color w:val="000000"/>
          <w:sz w:val="24"/>
          <w:szCs w:val="24"/>
        </w:rPr>
        <w:t>2016.</w:t>
      </w:r>
    </w:p>
    <w:p w14:paraId="2A78AD06" w14:textId="77777777" w:rsidR="00A3783D" w:rsidRPr="00704821" w:rsidRDefault="00A3783D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F2E0571" w14:textId="6FC9742B" w:rsidR="001C43D3" w:rsidRDefault="007A2378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GRAY, R., KOUHY R. e</w:t>
      </w:r>
      <w:r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LAVE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RS S. </w:t>
      </w:r>
      <w:r w:rsidR="001C43D3" w:rsidRPr="007A2378">
        <w:rPr>
          <w:rFonts w:ascii="Times New Roman" w:hAnsi="Times New Roman" w:cs="Times New Roman"/>
          <w:b/>
          <w:sz w:val="24"/>
          <w:szCs w:val="24"/>
          <w:lang w:val="en-US"/>
        </w:rPr>
        <w:t>Corporate soc</w:t>
      </w:r>
      <w:r w:rsidRPr="007A2378">
        <w:rPr>
          <w:rFonts w:ascii="Times New Roman" w:hAnsi="Times New Roman" w:cs="Times New Roman"/>
          <w:b/>
          <w:sz w:val="24"/>
          <w:szCs w:val="24"/>
          <w:lang w:val="en-US"/>
        </w:rPr>
        <w:t>ial and environmental reporting.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237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C43D3" w:rsidRPr="007A2378">
        <w:rPr>
          <w:rFonts w:ascii="Times New Roman" w:hAnsi="Times New Roman" w:cs="Times New Roman"/>
          <w:sz w:val="24"/>
          <w:szCs w:val="24"/>
          <w:lang w:val="en-US"/>
        </w:rPr>
        <w:t>ccounting, Auditing &amp; Accountability Journal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Vol. 8 </w:t>
      </w:r>
      <w:r w:rsidR="002D5D7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D5D74">
        <w:rPr>
          <w:rFonts w:ascii="Times New Roman" w:hAnsi="Times New Roman" w:cs="Times New Roman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pp. 47-</w:t>
      </w:r>
      <w:r w:rsidR="001C43D3" w:rsidRPr="00704821">
        <w:rPr>
          <w:rFonts w:ascii="Times New Roman" w:hAnsi="Times New Roman" w:cs="Times New Roman"/>
          <w:sz w:val="24"/>
          <w:szCs w:val="24"/>
          <w:lang w:val="en-US"/>
        </w:rPr>
        <w:t>77</w:t>
      </w:r>
      <w:r>
        <w:rPr>
          <w:rFonts w:ascii="Times New Roman" w:hAnsi="Times New Roman" w:cs="Times New Roman"/>
          <w:sz w:val="24"/>
          <w:szCs w:val="24"/>
          <w:lang w:val="en-US"/>
        </w:rPr>
        <w:t>, 1995</w:t>
      </w:r>
      <w:r w:rsidR="001C43D3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0C44A25" w14:textId="77777777" w:rsidR="007A2378" w:rsidRPr="00704821" w:rsidRDefault="007A2378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393A894" w14:textId="4128A759" w:rsidR="00475F69" w:rsidRDefault="0096068A" w:rsidP="00451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INTERNATIONAL INTEGRATED REPORTING COUNCIL </w:t>
      </w:r>
      <w:r w:rsidR="00475F69" w:rsidRPr="00704821">
        <w:rPr>
          <w:rFonts w:ascii="Times New Roman" w:hAnsi="Times New Roman" w:cs="Times New Roman"/>
          <w:sz w:val="24"/>
          <w:szCs w:val="24"/>
        </w:rPr>
        <w:t xml:space="preserve">(IIRC) </w:t>
      </w:r>
      <w:r w:rsidR="00475F69" w:rsidRPr="0096068A">
        <w:rPr>
          <w:rFonts w:ascii="Times New Roman" w:hAnsi="Times New Roman" w:cs="Times New Roman"/>
          <w:b/>
          <w:sz w:val="24"/>
          <w:szCs w:val="24"/>
        </w:rPr>
        <w:t>A Estrutura Internacional para Relato Integrado</w:t>
      </w:r>
      <w:r w:rsidR="00475F69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Ano: 2014.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475F69" w:rsidRPr="00704821"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="00A65E7E" w:rsidRPr="00A65E7E">
        <w:rPr>
          <w:rFonts w:ascii="Times New Roman" w:hAnsi="Times New Roman" w:cs="Times New Roman"/>
          <w:sz w:val="24"/>
          <w:szCs w:val="24"/>
        </w:rPr>
        <w:t>goo.gl/qupThg</w:t>
      </w:r>
      <w:r w:rsidR="00BE5BD3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475F69" w:rsidRPr="00704821">
        <w:rPr>
          <w:rFonts w:ascii="Times New Roman" w:hAnsi="Times New Roman" w:cs="Times New Roman"/>
          <w:sz w:val="24"/>
          <w:szCs w:val="24"/>
        </w:rPr>
        <w:t>Acesso em: 12 dez. 2016.</w:t>
      </w:r>
    </w:p>
    <w:p w14:paraId="12C0A4AE" w14:textId="77777777" w:rsidR="0096068A" w:rsidRPr="00704821" w:rsidRDefault="0096068A" w:rsidP="004514C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05AC775" w14:textId="0A6AA4A3" w:rsidR="004A4EE8" w:rsidRDefault="004E6AC9" w:rsidP="004E6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MARTINS, G. A. </w:t>
      </w:r>
      <w:r w:rsidR="00BD457D">
        <w:rPr>
          <w:rFonts w:ascii="Times New Roman" w:hAnsi="Times New Roman" w:cs="Times New Roman"/>
          <w:sz w:val="24"/>
          <w:szCs w:val="24"/>
        </w:rPr>
        <w:t>e</w:t>
      </w:r>
      <w:r w:rsidRPr="00704821">
        <w:rPr>
          <w:rFonts w:ascii="Times New Roman" w:hAnsi="Times New Roman" w:cs="Times New Roman"/>
          <w:sz w:val="24"/>
          <w:szCs w:val="24"/>
        </w:rPr>
        <w:t xml:space="preserve"> THEÓPHILO</w:t>
      </w:r>
      <w:r w:rsidR="004A4EE8" w:rsidRPr="00704821">
        <w:rPr>
          <w:rFonts w:ascii="Times New Roman" w:hAnsi="Times New Roman" w:cs="Times New Roman"/>
          <w:sz w:val="24"/>
          <w:szCs w:val="24"/>
        </w:rPr>
        <w:t xml:space="preserve">, C. R. </w:t>
      </w:r>
      <w:r w:rsidR="004A4EE8" w:rsidRPr="004E6AC9">
        <w:rPr>
          <w:rFonts w:ascii="Times New Roman" w:hAnsi="Times New Roman" w:cs="Times New Roman"/>
          <w:b/>
          <w:sz w:val="24"/>
          <w:szCs w:val="24"/>
        </w:rPr>
        <w:t>Metodologia da Investigação Cientifica para Ciências Sociais Aplicadas</w:t>
      </w:r>
      <w:r w:rsidR="004A4EE8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4A4EE8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2ed. </w:t>
      </w:r>
      <w:r w:rsidR="00A71D9F" w:rsidRPr="00A65E7E">
        <w:rPr>
          <w:rFonts w:ascii="Times New Roman" w:hAnsi="Times New Roman" w:cs="Times New Roman"/>
          <w:sz w:val="24"/>
          <w:szCs w:val="24"/>
          <w:lang w:val="en-US"/>
        </w:rPr>
        <w:t>Atlas</w:t>
      </w:r>
      <w:r w:rsidR="00A71D9F" w:rsidRPr="00704821">
        <w:rPr>
          <w:rFonts w:ascii="Times New Roman" w:hAnsi="Times New Roman" w:cs="Times New Roman"/>
          <w:sz w:val="24"/>
          <w:szCs w:val="24"/>
          <w:lang w:val="en-US"/>
        </w:rPr>
        <w:t>: São Paulo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2009</w:t>
      </w:r>
      <w:r w:rsidR="00A71D9F" w:rsidRPr="007048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8EFD83" w14:textId="77777777" w:rsidR="00E47B90" w:rsidRPr="00704821" w:rsidRDefault="00E47B90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45A2C4CC" w14:textId="4FDF7FB0" w:rsidR="00FB348D" w:rsidRDefault="000576F0" w:rsidP="000576F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4821">
        <w:rPr>
          <w:rFonts w:ascii="Times New Roman" w:hAnsi="Times New Roman" w:cs="Times New Roman"/>
          <w:color w:val="000000"/>
          <w:sz w:val="24"/>
          <w:szCs w:val="24"/>
          <w:lang w:val="en-US"/>
        </w:rPr>
        <w:t>MEADOWS</w:t>
      </w:r>
      <w:r w:rsidR="00FB348D" w:rsidRPr="007048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 H.;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et al.</w:t>
      </w:r>
      <w:r w:rsidR="00FB348D" w:rsidRPr="007048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97DDE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The Limits to G</w:t>
      </w:r>
      <w:r w:rsidR="00FB348D" w:rsidRPr="000576F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rowth</w:t>
      </w:r>
      <w:r w:rsidR="00FB348D" w:rsidRPr="007048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New York-USA</w:t>
      </w:r>
      <w:r w:rsidR="00FB348D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B348D" w:rsidRPr="00704821">
        <w:rPr>
          <w:rFonts w:ascii="Times New Roman" w:hAnsi="Times New Roman" w:cs="Times New Roman"/>
          <w:sz w:val="24"/>
          <w:szCs w:val="24"/>
        </w:rPr>
        <w:t>Universe Book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1972.</w:t>
      </w:r>
      <w:r w:rsidRPr="007048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A3DE5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Disponível em: </w:t>
      </w:r>
      <w:r w:rsidRPr="000576F0">
        <w:rPr>
          <w:rFonts w:ascii="Times New Roman" w:hAnsi="Times New Roman" w:cs="Times New Roman"/>
          <w:color w:val="000000"/>
          <w:sz w:val="24"/>
          <w:szCs w:val="24"/>
        </w:rPr>
        <w:t>goo.gl/XGgRUf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A3DE5" w:rsidRPr="00704821">
        <w:rPr>
          <w:rFonts w:ascii="Times New Roman" w:hAnsi="Times New Roman" w:cs="Times New Roman"/>
          <w:color w:val="000000"/>
          <w:sz w:val="24"/>
          <w:szCs w:val="24"/>
        </w:rPr>
        <w:t>Acesso em: 11 jan. 2017.</w:t>
      </w:r>
    </w:p>
    <w:p w14:paraId="638451E4" w14:textId="77777777" w:rsidR="00A65E7E" w:rsidRPr="00704821" w:rsidRDefault="00A65E7E" w:rsidP="004514C6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1064922A" w14:textId="0167C4BB" w:rsidR="005133FA" w:rsidRDefault="00F23704" w:rsidP="00F2370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4821">
        <w:rPr>
          <w:rFonts w:ascii="Times New Roman" w:hAnsi="Times New Roman" w:cs="Times New Roman"/>
          <w:color w:val="000000"/>
          <w:sz w:val="24"/>
          <w:szCs w:val="24"/>
        </w:rPr>
        <w:t>MINISTÉRIO DO MEIO AMBIENTE</w:t>
      </w:r>
      <w:r w:rsidR="004C45C3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0D0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(MMA) </w:t>
      </w:r>
      <w:r w:rsidR="00D060D0" w:rsidRPr="00F23704">
        <w:rPr>
          <w:rFonts w:ascii="Times New Roman" w:hAnsi="Times New Roman" w:cs="Times New Roman"/>
          <w:b/>
          <w:color w:val="000000"/>
          <w:sz w:val="24"/>
          <w:szCs w:val="24"/>
        </w:rPr>
        <w:t>Site do MMA, Aba Resíduos Sólidos.</w:t>
      </w:r>
      <w:r w:rsidR="00D060D0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Ano: 2016</w:t>
      </w:r>
      <w:r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0D0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Disponível em: </w:t>
      </w:r>
      <w:r w:rsidRPr="00F23704">
        <w:rPr>
          <w:rFonts w:ascii="Times New Roman" w:hAnsi="Times New Roman" w:cs="Times New Roman"/>
          <w:color w:val="000000"/>
          <w:sz w:val="24"/>
          <w:szCs w:val="24"/>
        </w:rPr>
        <w:t>goo.gl/pE1Oxk</w:t>
      </w:r>
      <w:r w:rsidR="00BE5BD3" w:rsidRPr="00704821">
        <w:rPr>
          <w:rFonts w:ascii="Times New Roman" w:hAnsi="Times New Roman" w:cs="Times New Roman"/>
          <w:color w:val="000000"/>
          <w:sz w:val="24"/>
          <w:szCs w:val="24"/>
        </w:rPr>
        <w:t>. Acesso em 16 dez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E5BD3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FE1" w:rsidRPr="00704821">
        <w:rPr>
          <w:rFonts w:ascii="Times New Roman" w:hAnsi="Times New Roman" w:cs="Times New Roman"/>
          <w:color w:val="000000"/>
          <w:sz w:val="24"/>
          <w:szCs w:val="24"/>
        </w:rPr>
        <w:t>2016</w:t>
      </w:r>
      <w:r w:rsidR="00D060D0" w:rsidRPr="007048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D08988" w14:textId="77777777" w:rsidR="00F23704" w:rsidRPr="00704821" w:rsidRDefault="00F23704" w:rsidP="004514C6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73B5E" w14:textId="26BF3F65" w:rsidR="00311370" w:rsidRDefault="00311370" w:rsidP="00F2370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4821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237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3704">
        <w:rPr>
          <w:rFonts w:ascii="Times New Roman" w:hAnsi="Times New Roman" w:cs="Times New Roman"/>
          <w:b/>
          <w:color w:val="000000"/>
          <w:sz w:val="24"/>
          <w:szCs w:val="24"/>
        </w:rPr>
        <w:t>Site do MMA aba Educação ambiental, histórico mundial</w:t>
      </w:r>
      <w:r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23704">
        <w:rPr>
          <w:rFonts w:ascii="Times New Roman" w:hAnsi="Times New Roman" w:cs="Times New Roman"/>
          <w:color w:val="000000"/>
          <w:sz w:val="24"/>
          <w:szCs w:val="24"/>
        </w:rPr>
        <w:t xml:space="preserve">Ano: 2017. </w:t>
      </w:r>
      <w:r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Disponível em: </w:t>
      </w:r>
      <w:r w:rsidR="00F23704" w:rsidRPr="00F23704">
        <w:rPr>
          <w:rFonts w:ascii="Times New Roman" w:hAnsi="Times New Roman" w:cs="Times New Roman"/>
          <w:color w:val="000000"/>
          <w:sz w:val="24"/>
          <w:szCs w:val="24"/>
        </w:rPr>
        <w:t>goo.gl/DrZvPa</w:t>
      </w:r>
      <w:r w:rsidRPr="00704821">
        <w:rPr>
          <w:rFonts w:ascii="Times New Roman" w:hAnsi="Times New Roman" w:cs="Times New Roman"/>
          <w:color w:val="000000"/>
          <w:sz w:val="24"/>
          <w:szCs w:val="24"/>
        </w:rPr>
        <w:t>. Acesso em: 01 mar. 2017.</w:t>
      </w:r>
    </w:p>
    <w:p w14:paraId="76AD2543" w14:textId="77777777" w:rsidR="00F23704" w:rsidRPr="00704821" w:rsidRDefault="00F23704" w:rsidP="004514C6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754A6ADE" w14:textId="6D065AE7" w:rsidR="004772EE" w:rsidRDefault="00972233" w:rsidP="004514C6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704821">
        <w:rPr>
          <w:rFonts w:ascii="Times New Roman" w:hAnsi="Times New Roman" w:cs="Times New Roman"/>
          <w:color w:val="000000"/>
          <w:sz w:val="24"/>
          <w:szCs w:val="24"/>
        </w:rPr>
        <w:t>NOVAES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W. </w:t>
      </w:r>
      <w:r w:rsidR="004772EE" w:rsidRPr="00972233">
        <w:rPr>
          <w:rFonts w:ascii="Times New Roman" w:hAnsi="Times New Roman" w:cs="Times New Roman"/>
          <w:b/>
          <w:color w:val="000000"/>
          <w:sz w:val="24"/>
          <w:szCs w:val="24"/>
        </w:rPr>
        <w:t>Eco-92: avanços e interrogações</w:t>
      </w:r>
      <w:r w:rsidR="004772EE" w:rsidRPr="007048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772EE" w:rsidRPr="00972233">
        <w:rPr>
          <w:rFonts w:ascii="Times New Roman" w:hAnsi="Times New Roman" w:cs="Times New Roman"/>
          <w:color w:val="000000"/>
          <w:sz w:val="24"/>
          <w:szCs w:val="24"/>
        </w:rPr>
        <w:t>Estudos Avançados</w:t>
      </w:r>
      <w:r>
        <w:rPr>
          <w:rFonts w:ascii="Times New Roman" w:hAnsi="Times New Roman" w:cs="Times New Roman"/>
          <w:color w:val="000000"/>
          <w:sz w:val="24"/>
          <w:szCs w:val="24"/>
        </w:rPr>
        <w:t>, 6(15), pp.79-93, 1992.</w:t>
      </w:r>
    </w:p>
    <w:p w14:paraId="64DC0DF9" w14:textId="77777777" w:rsidR="00972233" w:rsidRPr="00704821" w:rsidRDefault="00972233" w:rsidP="004514C6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519D6DC9" w14:textId="1384FC89" w:rsidR="00B21FF3" w:rsidRDefault="00381C6E" w:rsidP="00A07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OLIVEIRA</w:t>
      </w:r>
      <w:r w:rsidR="00020B53" w:rsidRPr="00704821">
        <w:rPr>
          <w:rFonts w:ascii="Times New Roman" w:hAnsi="Times New Roman" w:cs="Times New Roman"/>
          <w:sz w:val="24"/>
          <w:szCs w:val="24"/>
        </w:rPr>
        <w:t xml:space="preserve">, L D. </w:t>
      </w:r>
      <w:r w:rsidR="00020B53" w:rsidRPr="00381C6E">
        <w:rPr>
          <w:rFonts w:ascii="Times New Roman" w:hAnsi="Times New Roman" w:cs="Times New Roman"/>
          <w:b/>
          <w:sz w:val="24"/>
          <w:szCs w:val="24"/>
        </w:rPr>
        <w:t>Os “limites do crescimento” 40 anos depois: das “profecias do apocalipse ambiental” ao “futuro comum ecologicamente sustentável”</w:t>
      </w:r>
      <w:r w:rsidR="00020B53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020B53" w:rsidRPr="00381C6E">
        <w:rPr>
          <w:rFonts w:ascii="Times New Roman" w:hAnsi="Times New Roman" w:cs="Times New Roman"/>
          <w:sz w:val="24"/>
          <w:szCs w:val="24"/>
        </w:rPr>
        <w:t>Revista Continentes (UFRRJ</w:t>
      </w:r>
      <w:r w:rsidR="00020B53" w:rsidRPr="00704821">
        <w:rPr>
          <w:rFonts w:ascii="Times New Roman" w:hAnsi="Times New Roman" w:cs="Times New Roman"/>
          <w:sz w:val="24"/>
          <w:szCs w:val="24"/>
        </w:rPr>
        <w:t>), v. 1, n. 1, pp 72-96</w:t>
      </w:r>
      <w:r>
        <w:rPr>
          <w:rFonts w:ascii="Times New Roman" w:hAnsi="Times New Roman" w:cs="Times New Roman"/>
          <w:sz w:val="24"/>
          <w:szCs w:val="24"/>
        </w:rPr>
        <w:t>, 2012</w:t>
      </w:r>
      <w:r w:rsidR="00020B53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7DF4CC39" w14:textId="77777777" w:rsidR="00A071C8" w:rsidRPr="00704821" w:rsidRDefault="00A071C8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F898E1D" w14:textId="1D484982" w:rsidR="00BC4879" w:rsidRDefault="00B73A6D" w:rsidP="00B73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ORGANIZAÇÃO DAS NAÇÕES UNIDAS</w:t>
      </w:r>
      <w:r w:rsidR="00974E08" w:rsidRPr="00704821">
        <w:rPr>
          <w:rFonts w:ascii="Times New Roman" w:hAnsi="Times New Roman" w:cs="Times New Roman"/>
          <w:sz w:val="24"/>
          <w:szCs w:val="24"/>
        </w:rPr>
        <w:t xml:space="preserve"> (</w:t>
      </w:r>
      <w:r w:rsidR="00BC4879" w:rsidRPr="00704821">
        <w:rPr>
          <w:rFonts w:ascii="Times New Roman" w:hAnsi="Times New Roman" w:cs="Times New Roman"/>
          <w:sz w:val="24"/>
          <w:szCs w:val="24"/>
        </w:rPr>
        <w:t>ONU</w:t>
      </w:r>
      <w:r w:rsidR="00974E08" w:rsidRPr="007048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4879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BC4879" w:rsidRPr="00B73A6D">
        <w:rPr>
          <w:rFonts w:ascii="Times New Roman" w:hAnsi="Times New Roman" w:cs="Times New Roman"/>
          <w:b/>
          <w:sz w:val="24"/>
          <w:szCs w:val="24"/>
        </w:rPr>
        <w:t>Agenda 21</w:t>
      </w:r>
      <w:r>
        <w:rPr>
          <w:rFonts w:ascii="Times New Roman" w:hAnsi="Times New Roman" w:cs="Times New Roman"/>
          <w:sz w:val="24"/>
          <w:szCs w:val="24"/>
        </w:rPr>
        <w:t xml:space="preserve">. Ano: </w:t>
      </w:r>
      <w:r w:rsidRPr="00704821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Disponível em:</w:t>
      </w:r>
      <w:r w:rsidR="00BC4879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B73A6D">
        <w:rPr>
          <w:rFonts w:ascii="Times New Roman" w:hAnsi="Times New Roman" w:cs="Times New Roman"/>
          <w:sz w:val="24"/>
          <w:szCs w:val="24"/>
        </w:rPr>
        <w:t>goo.gl/bQVZmC</w:t>
      </w:r>
      <w:r w:rsidR="00BC4879" w:rsidRPr="00704821">
        <w:rPr>
          <w:rFonts w:ascii="Times New Roman" w:hAnsi="Times New Roman" w:cs="Times New Roman"/>
          <w:sz w:val="24"/>
          <w:szCs w:val="24"/>
        </w:rPr>
        <w:t xml:space="preserve"> Acesso em 02 nov</w:t>
      </w:r>
      <w:r w:rsidR="001C5BD4">
        <w:rPr>
          <w:rFonts w:ascii="Times New Roman" w:hAnsi="Times New Roman" w:cs="Times New Roman"/>
          <w:sz w:val="24"/>
          <w:szCs w:val="24"/>
        </w:rPr>
        <w:t>.</w:t>
      </w:r>
      <w:r w:rsidR="00BC4879" w:rsidRPr="00704821">
        <w:rPr>
          <w:rFonts w:ascii="Times New Roman" w:hAnsi="Times New Roman" w:cs="Times New Roman"/>
          <w:sz w:val="24"/>
          <w:szCs w:val="24"/>
        </w:rPr>
        <w:t xml:space="preserve"> 2016.</w:t>
      </w:r>
    </w:p>
    <w:p w14:paraId="7B7AA5B2" w14:textId="77777777" w:rsidR="00B73A6D" w:rsidRPr="00704821" w:rsidRDefault="00B73A6D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B1DBD0F" w14:textId="58124E37" w:rsidR="00335117" w:rsidRDefault="001C0BEA" w:rsidP="00C95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_____. </w:t>
      </w:r>
      <w:r w:rsidRPr="00C9543C">
        <w:rPr>
          <w:rFonts w:ascii="Times New Roman" w:hAnsi="Times New Roman" w:cs="Times New Roman"/>
          <w:b/>
          <w:sz w:val="24"/>
          <w:szCs w:val="24"/>
          <w:lang w:val="en-US"/>
        </w:rPr>
        <w:t>The future we want</w:t>
      </w:r>
      <w:r w:rsidRPr="007048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543C">
        <w:rPr>
          <w:rFonts w:ascii="Times New Roman" w:hAnsi="Times New Roman" w:cs="Times New Roman"/>
          <w:sz w:val="24"/>
          <w:szCs w:val="24"/>
          <w:lang w:val="en-US"/>
        </w:rPr>
        <w:t xml:space="preserve"> Ano: </w:t>
      </w:r>
      <w:r w:rsidR="00C9543C" w:rsidRPr="00704821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C954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543C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543C">
        <w:rPr>
          <w:rFonts w:ascii="Times New Roman" w:hAnsi="Times New Roman" w:cs="Times New Roman"/>
          <w:sz w:val="24"/>
          <w:szCs w:val="24"/>
          <w:lang w:val="en-US"/>
        </w:rPr>
        <w:t>Disponível em:</w:t>
      </w:r>
      <w:r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543C" w:rsidRPr="00C9543C">
        <w:rPr>
          <w:rFonts w:ascii="Times New Roman" w:hAnsi="Times New Roman" w:cs="Times New Roman"/>
          <w:sz w:val="24"/>
          <w:szCs w:val="24"/>
          <w:lang w:val="en-US"/>
        </w:rPr>
        <w:t>goo.gl/oECfdZ</w:t>
      </w:r>
      <w:r w:rsidR="00C954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5117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Acesso em: 10</w:t>
      </w:r>
      <w:r w:rsidR="00205227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dez</w:t>
      </w:r>
      <w:r w:rsidR="00C9543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5227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5117" w:rsidRPr="00704821">
        <w:rPr>
          <w:rFonts w:ascii="Times New Roman" w:hAnsi="Times New Roman" w:cs="Times New Roman"/>
          <w:sz w:val="24"/>
          <w:szCs w:val="24"/>
          <w:lang w:val="en-US"/>
        </w:rPr>
        <w:t>2016.</w:t>
      </w:r>
    </w:p>
    <w:p w14:paraId="743C5161" w14:textId="77777777" w:rsidR="00C9543C" w:rsidRPr="00704821" w:rsidRDefault="00C9543C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3EEAD013" w14:textId="03CD477E" w:rsidR="00974E08" w:rsidRDefault="00974E08" w:rsidP="00492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 xml:space="preserve">_____. </w:t>
      </w:r>
      <w:r w:rsidRPr="00492064">
        <w:rPr>
          <w:rFonts w:ascii="Times New Roman" w:hAnsi="Times New Roman" w:cs="Times New Roman"/>
          <w:b/>
          <w:sz w:val="24"/>
          <w:szCs w:val="24"/>
        </w:rPr>
        <w:t>Site</w:t>
      </w:r>
      <w:r w:rsidR="00492064" w:rsidRPr="00492064">
        <w:rPr>
          <w:rFonts w:ascii="Times New Roman" w:hAnsi="Times New Roman" w:cs="Times New Roman"/>
          <w:b/>
          <w:sz w:val="24"/>
          <w:szCs w:val="24"/>
        </w:rPr>
        <w:t xml:space="preserve"> da ONU</w:t>
      </w:r>
      <w:r w:rsidRPr="00492064">
        <w:rPr>
          <w:rFonts w:ascii="Times New Roman" w:hAnsi="Times New Roman" w:cs="Times New Roman"/>
          <w:b/>
          <w:sz w:val="24"/>
          <w:szCs w:val="24"/>
        </w:rPr>
        <w:t>, aba desenvolvimento sustentável.</w:t>
      </w:r>
      <w:r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492064">
        <w:rPr>
          <w:rFonts w:ascii="Times New Roman" w:hAnsi="Times New Roman" w:cs="Times New Roman"/>
          <w:sz w:val="24"/>
          <w:szCs w:val="24"/>
        </w:rPr>
        <w:t>Ano: 2016</w:t>
      </w:r>
      <w:r w:rsidR="00492064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Pr="00704821"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="00492064" w:rsidRPr="00492064">
        <w:rPr>
          <w:rFonts w:ascii="Times New Roman" w:hAnsi="Times New Roman" w:cs="Times New Roman"/>
          <w:sz w:val="24"/>
          <w:szCs w:val="24"/>
        </w:rPr>
        <w:t>goo.gl/xTyw73</w:t>
      </w:r>
      <w:r w:rsidR="00492064">
        <w:rPr>
          <w:rFonts w:ascii="Times New Roman" w:hAnsi="Times New Roman" w:cs="Times New Roman"/>
          <w:sz w:val="24"/>
          <w:szCs w:val="24"/>
        </w:rPr>
        <w:t xml:space="preserve">. </w:t>
      </w:r>
      <w:r w:rsidRPr="00704821">
        <w:rPr>
          <w:rFonts w:ascii="Times New Roman" w:hAnsi="Times New Roman" w:cs="Times New Roman"/>
          <w:sz w:val="24"/>
          <w:szCs w:val="24"/>
        </w:rPr>
        <w:t>Acesso em: 27</w:t>
      </w:r>
      <w:r w:rsidR="004D1B5A">
        <w:rPr>
          <w:rFonts w:ascii="Times New Roman" w:hAnsi="Times New Roman" w:cs="Times New Roman"/>
          <w:sz w:val="24"/>
          <w:szCs w:val="24"/>
        </w:rPr>
        <w:t xml:space="preserve"> dez. </w:t>
      </w:r>
      <w:r w:rsidRPr="00704821">
        <w:rPr>
          <w:rFonts w:ascii="Times New Roman" w:hAnsi="Times New Roman" w:cs="Times New Roman"/>
          <w:sz w:val="24"/>
          <w:szCs w:val="24"/>
        </w:rPr>
        <w:t>2016.</w:t>
      </w:r>
    </w:p>
    <w:p w14:paraId="310274D6" w14:textId="77777777" w:rsidR="00492064" w:rsidRPr="00704821" w:rsidRDefault="00492064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13D4AD5" w14:textId="661D21FA" w:rsidR="0089059B" w:rsidRDefault="00F153FD" w:rsidP="00F15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RIBEIRO</w:t>
      </w:r>
      <w:r w:rsidR="0089059B" w:rsidRPr="00704821">
        <w:rPr>
          <w:rFonts w:ascii="Times New Roman" w:hAnsi="Times New Roman" w:cs="Times New Roman"/>
          <w:sz w:val="24"/>
          <w:szCs w:val="24"/>
        </w:rPr>
        <w:t xml:space="preserve">, M. S. </w:t>
      </w:r>
      <w:r w:rsidR="0089059B" w:rsidRPr="00F153FD">
        <w:rPr>
          <w:rFonts w:ascii="Times New Roman" w:hAnsi="Times New Roman" w:cs="Times New Roman"/>
          <w:b/>
          <w:sz w:val="24"/>
          <w:szCs w:val="24"/>
        </w:rPr>
        <w:t>Uma reflexão sobre as oportunidades para a contabilidade ambiental</w:t>
      </w:r>
      <w:r w:rsidR="0089059B" w:rsidRPr="00704821">
        <w:rPr>
          <w:rFonts w:ascii="Times New Roman" w:hAnsi="Times New Roman" w:cs="Times New Roman"/>
          <w:sz w:val="24"/>
          <w:szCs w:val="24"/>
        </w:rPr>
        <w:t>. Revista de Contabilidade do Mestrado em Ciências Contábeis da UERJ, Rio de Janeiro</w:t>
      </w:r>
      <w:r>
        <w:rPr>
          <w:rFonts w:ascii="Times New Roman" w:hAnsi="Times New Roman" w:cs="Times New Roman"/>
          <w:sz w:val="24"/>
          <w:szCs w:val="24"/>
        </w:rPr>
        <w:t>/RJ</w:t>
      </w:r>
      <w:r w:rsidR="0089059B" w:rsidRPr="00704821">
        <w:rPr>
          <w:rFonts w:ascii="Times New Roman" w:hAnsi="Times New Roman" w:cs="Times New Roman"/>
          <w:sz w:val="24"/>
          <w:szCs w:val="24"/>
        </w:rPr>
        <w:t xml:space="preserve">, v. 17, </w:t>
      </w:r>
      <w:r>
        <w:rPr>
          <w:rFonts w:ascii="Times New Roman" w:hAnsi="Times New Roman" w:cs="Times New Roman"/>
          <w:sz w:val="24"/>
          <w:szCs w:val="24"/>
        </w:rPr>
        <w:t>Ed. Especial, p.4</w:t>
      </w:r>
      <w:r w:rsidR="0089059B" w:rsidRPr="007048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17, 2012</w:t>
      </w:r>
      <w:r w:rsidR="0089059B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3912547D" w14:textId="77777777" w:rsidR="00F153FD" w:rsidRPr="00704821" w:rsidRDefault="00F153FD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76CB6BB" w14:textId="5821C9F0" w:rsidR="00EE1411" w:rsidRDefault="00E10358" w:rsidP="00E103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RIBEIRO</w:t>
      </w:r>
      <w:r w:rsidR="00EE1411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4D4603" w:rsidRPr="00704821">
        <w:rPr>
          <w:rFonts w:ascii="Times New Roman" w:hAnsi="Times New Roman" w:cs="Times New Roman"/>
          <w:sz w:val="24"/>
          <w:szCs w:val="24"/>
        </w:rPr>
        <w:t xml:space="preserve">A. M; </w:t>
      </w:r>
      <w:r w:rsidRPr="00704821">
        <w:rPr>
          <w:rFonts w:ascii="Times New Roman" w:hAnsi="Times New Roman" w:cs="Times New Roman"/>
          <w:sz w:val="24"/>
          <w:szCs w:val="24"/>
        </w:rPr>
        <w:t>BELLEN</w:t>
      </w:r>
      <w:r w:rsidR="004D4603" w:rsidRPr="00704821">
        <w:rPr>
          <w:rFonts w:ascii="Times New Roman" w:hAnsi="Times New Roman" w:cs="Times New Roman"/>
          <w:sz w:val="24"/>
          <w:szCs w:val="24"/>
        </w:rPr>
        <w:t>, H. M. V.</w:t>
      </w:r>
      <w:r w:rsidR="00EE1411" w:rsidRPr="00704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EE1411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Pr="00704821">
        <w:rPr>
          <w:rFonts w:ascii="Times New Roman" w:hAnsi="Times New Roman" w:cs="Times New Roman"/>
          <w:sz w:val="24"/>
          <w:szCs w:val="24"/>
        </w:rPr>
        <w:t>CARVALHO</w:t>
      </w:r>
      <w:r w:rsidR="00A84B1C" w:rsidRPr="00704821">
        <w:rPr>
          <w:rFonts w:ascii="Times New Roman" w:hAnsi="Times New Roman" w:cs="Times New Roman"/>
          <w:sz w:val="24"/>
          <w:szCs w:val="24"/>
        </w:rPr>
        <w:t>, L. N. G.</w:t>
      </w:r>
      <w:r w:rsidR="00EE1411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A84B1C" w:rsidRPr="00202AC9">
        <w:rPr>
          <w:rFonts w:ascii="Times New Roman" w:hAnsi="Times New Roman" w:cs="Times New Roman"/>
          <w:b/>
          <w:sz w:val="24"/>
          <w:szCs w:val="24"/>
        </w:rPr>
        <w:t>Regulamentar faz diferença? O caso da evidenciação ambiental</w:t>
      </w:r>
      <w:r w:rsidR="00A84B1C" w:rsidRPr="00704821">
        <w:rPr>
          <w:rFonts w:ascii="Times New Roman" w:hAnsi="Times New Roman" w:cs="Times New Roman"/>
          <w:sz w:val="24"/>
          <w:szCs w:val="24"/>
        </w:rPr>
        <w:t>. Revista Contabilidade e Finanças-USP, São Paulo,</w:t>
      </w:r>
      <w:r w:rsidR="00202AC9">
        <w:rPr>
          <w:rFonts w:ascii="Times New Roman" w:hAnsi="Times New Roman" w:cs="Times New Roman"/>
          <w:sz w:val="24"/>
          <w:szCs w:val="24"/>
        </w:rPr>
        <w:t xml:space="preserve"> </w:t>
      </w:r>
      <w:r w:rsidR="00A84B1C" w:rsidRPr="00704821">
        <w:rPr>
          <w:rFonts w:ascii="Times New Roman" w:hAnsi="Times New Roman" w:cs="Times New Roman"/>
          <w:color w:val="000000"/>
          <w:sz w:val="24"/>
          <w:szCs w:val="24"/>
        </w:rPr>
        <w:t>v. 22, n. 56, p. 137-154</w:t>
      </w:r>
      <w:r w:rsidR="00202A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02AC9">
        <w:rPr>
          <w:rFonts w:ascii="Times New Roman" w:hAnsi="Times New Roman" w:cs="Times New Roman"/>
          <w:sz w:val="24"/>
          <w:szCs w:val="24"/>
        </w:rPr>
        <w:t>2013.</w:t>
      </w:r>
    </w:p>
    <w:p w14:paraId="0F58C087" w14:textId="77777777" w:rsidR="00E10358" w:rsidRPr="00704821" w:rsidRDefault="00E10358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0AAE63E" w14:textId="67B3CBE8" w:rsidR="000232D3" w:rsidRPr="00704821" w:rsidRDefault="005A4229" w:rsidP="005A4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SLOMSKI,</w:t>
      </w:r>
      <w:r w:rsidR="00265E46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0232D3" w:rsidRPr="00704821">
        <w:rPr>
          <w:rFonts w:ascii="Times New Roman" w:hAnsi="Times New Roman" w:cs="Times New Roman"/>
          <w:sz w:val="24"/>
          <w:szCs w:val="24"/>
        </w:rPr>
        <w:t xml:space="preserve">V.; </w:t>
      </w:r>
      <w:r>
        <w:rPr>
          <w:rFonts w:ascii="Times New Roman" w:hAnsi="Times New Roman" w:cs="Times New Roman"/>
          <w:sz w:val="24"/>
          <w:szCs w:val="24"/>
        </w:rPr>
        <w:t>et al.</w:t>
      </w:r>
      <w:r w:rsidR="000232D3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0232D3" w:rsidRPr="00E83967">
        <w:rPr>
          <w:rFonts w:ascii="Times New Roman" w:hAnsi="Times New Roman" w:cs="Times New Roman"/>
          <w:b/>
          <w:sz w:val="24"/>
          <w:szCs w:val="24"/>
        </w:rPr>
        <w:t>Sustentabilidade nas organizações: a internalização dos gastos com o descarte do produto e/ou embalagem aos custos de produção</w:t>
      </w:r>
      <w:r w:rsidR="000232D3" w:rsidRPr="00704821">
        <w:rPr>
          <w:rFonts w:ascii="Times New Roman" w:hAnsi="Times New Roman" w:cs="Times New Roman"/>
          <w:sz w:val="24"/>
          <w:szCs w:val="24"/>
        </w:rPr>
        <w:t>. Revista de Administração: São Paulo, v.47, n.2, p.275-289</w:t>
      </w:r>
      <w:r>
        <w:rPr>
          <w:rFonts w:ascii="Times New Roman" w:hAnsi="Times New Roman" w:cs="Times New Roman"/>
          <w:sz w:val="24"/>
          <w:szCs w:val="24"/>
        </w:rPr>
        <w:t>, 2012.</w:t>
      </w:r>
    </w:p>
    <w:p w14:paraId="78E9C41D" w14:textId="5C9B5808" w:rsidR="00F146A6" w:rsidRDefault="00E83967" w:rsidP="00E83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lastRenderedPageBreak/>
        <w:t>SUCHMAN</w:t>
      </w:r>
      <w:r w:rsidR="00F146A6" w:rsidRPr="00704821">
        <w:rPr>
          <w:rFonts w:ascii="Times New Roman" w:hAnsi="Times New Roman" w:cs="Times New Roman"/>
          <w:sz w:val="24"/>
          <w:szCs w:val="24"/>
        </w:rPr>
        <w:t xml:space="preserve">, M. C. </w:t>
      </w:r>
      <w:r w:rsidR="00F146A6" w:rsidRPr="00E83967">
        <w:rPr>
          <w:rFonts w:ascii="Times New Roman" w:hAnsi="Times New Roman" w:cs="Times New Roman"/>
          <w:b/>
          <w:sz w:val="24"/>
          <w:szCs w:val="24"/>
        </w:rPr>
        <w:t>Managing Legitimacy: Strategic and Institutional Approaches</w:t>
      </w:r>
      <w:r w:rsidR="00F146A6" w:rsidRPr="00704821">
        <w:rPr>
          <w:rFonts w:ascii="Times New Roman" w:hAnsi="Times New Roman" w:cs="Times New Roman"/>
          <w:sz w:val="24"/>
          <w:szCs w:val="24"/>
        </w:rPr>
        <w:t xml:space="preserve">. </w:t>
      </w:r>
      <w:r w:rsidR="00F146A6" w:rsidRPr="00E83967">
        <w:rPr>
          <w:rFonts w:ascii="Times New Roman" w:hAnsi="Times New Roman" w:cs="Times New Roman"/>
          <w:sz w:val="24"/>
          <w:szCs w:val="24"/>
        </w:rPr>
        <w:t>Academy of Management Journal</w:t>
      </w:r>
      <w:r>
        <w:rPr>
          <w:rFonts w:ascii="Times New Roman" w:hAnsi="Times New Roman" w:cs="Times New Roman"/>
          <w:sz w:val="24"/>
          <w:szCs w:val="24"/>
        </w:rPr>
        <w:t>, Vol. 20, No. 3, pp. 571-</w:t>
      </w:r>
      <w:r w:rsidR="00F146A6" w:rsidRPr="00704821">
        <w:rPr>
          <w:rFonts w:ascii="Times New Roman" w:hAnsi="Times New Roman" w:cs="Times New Roman"/>
          <w:sz w:val="24"/>
          <w:szCs w:val="24"/>
        </w:rPr>
        <w:t>610</w:t>
      </w:r>
      <w:r>
        <w:rPr>
          <w:rFonts w:ascii="Times New Roman" w:hAnsi="Times New Roman" w:cs="Times New Roman"/>
          <w:sz w:val="24"/>
          <w:szCs w:val="24"/>
        </w:rPr>
        <w:t>, 1995</w:t>
      </w:r>
      <w:r w:rsidR="00F146A6" w:rsidRPr="00704821">
        <w:rPr>
          <w:rFonts w:ascii="Times New Roman" w:hAnsi="Times New Roman" w:cs="Times New Roman"/>
          <w:sz w:val="24"/>
          <w:szCs w:val="24"/>
        </w:rPr>
        <w:t>.</w:t>
      </w:r>
    </w:p>
    <w:p w14:paraId="0AFB94DC" w14:textId="77777777" w:rsidR="00E83967" w:rsidRPr="00704821" w:rsidRDefault="00E83967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851AFB4" w14:textId="7E954E40" w:rsidR="009F733A" w:rsidRDefault="009B6D90" w:rsidP="009B6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TILLING</w:t>
      </w:r>
      <w:r w:rsidR="00F146A6" w:rsidRPr="00704821">
        <w:rPr>
          <w:rFonts w:ascii="Times New Roman" w:hAnsi="Times New Roman" w:cs="Times New Roman"/>
          <w:sz w:val="24"/>
          <w:szCs w:val="24"/>
        </w:rPr>
        <w:t xml:space="preserve">, M. V. </w:t>
      </w:r>
      <w:r w:rsidR="009F733A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F146A6" w:rsidRPr="009B6D90">
        <w:rPr>
          <w:rFonts w:ascii="Times New Roman" w:hAnsi="Times New Roman" w:cs="Times New Roman"/>
          <w:b/>
          <w:sz w:val="24"/>
          <w:szCs w:val="24"/>
        </w:rPr>
        <w:t>Refinements to Legitimacy Theory in Social and Environmental Accounting</w:t>
      </w:r>
      <w:r w:rsidR="00F146A6" w:rsidRPr="00704821">
        <w:rPr>
          <w:rFonts w:ascii="Times New Roman" w:hAnsi="Times New Roman" w:cs="Times New Roman"/>
          <w:sz w:val="24"/>
          <w:szCs w:val="24"/>
        </w:rPr>
        <w:t>. Commerce research paper series no. 04-6</w:t>
      </w:r>
      <w:r>
        <w:rPr>
          <w:rFonts w:ascii="Times New Roman" w:hAnsi="Times New Roman" w:cs="Times New Roman"/>
          <w:sz w:val="24"/>
          <w:szCs w:val="24"/>
        </w:rPr>
        <w:t>, 2004.</w:t>
      </w:r>
    </w:p>
    <w:p w14:paraId="0A0B8BCA" w14:textId="77777777" w:rsidR="00E83967" w:rsidRPr="00704821" w:rsidRDefault="00E83967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74FCF36" w14:textId="435390F6" w:rsidR="00EE1411" w:rsidRDefault="005A421B" w:rsidP="005A4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</w:rPr>
        <w:t>VOSS</w:t>
      </w:r>
      <w:r w:rsidR="00EE1411" w:rsidRPr="00704821">
        <w:rPr>
          <w:rFonts w:ascii="Times New Roman" w:hAnsi="Times New Roman" w:cs="Times New Roman"/>
          <w:sz w:val="24"/>
          <w:szCs w:val="24"/>
        </w:rPr>
        <w:t xml:space="preserve">, </w:t>
      </w:r>
      <w:r w:rsidR="0095305C" w:rsidRPr="00704821">
        <w:rPr>
          <w:rFonts w:ascii="Times New Roman" w:hAnsi="Times New Roman" w:cs="Times New Roman"/>
          <w:sz w:val="24"/>
          <w:szCs w:val="24"/>
        </w:rPr>
        <w:t xml:space="preserve">B. L; </w:t>
      </w:r>
      <w:r>
        <w:rPr>
          <w:rFonts w:ascii="Times New Roman" w:hAnsi="Times New Roman" w:cs="Times New Roman"/>
          <w:sz w:val="24"/>
          <w:szCs w:val="24"/>
        </w:rPr>
        <w:t>et al.</w:t>
      </w:r>
      <w:r w:rsidR="00EE1411" w:rsidRPr="00704821">
        <w:rPr>
          <w:rFonts w:ascii="Times New Roman" w:hAnsi="Times New Roman" w:cs="Times New Roman"/>
          <w:sz w:val="24"/>
          <w:szCs w:val="24"/>
        </w:rPr>
        <w:t xml:space="preserve"> </w:t>
      </w:r>
      <w:r w:rsidR="0095305C" w:rsidRPr="005A421B">
        <w:rPr>
          <w:rFonts w:ascii="Times New Roman" w:hAnsi="Times New Roman" w:cs="Times New Roman"/>
          <w:b/>
          <w:sz w:val="24"/>
          <w:szCs w:val="24"/>
        </w:rPr>
        <w:t>Evidenciação Ambiental dos Resíduos Sólidos de Companhias Abertas no Brasil Potencialmente Poluidoras</w:t>
      </w:r>
      <w:r w:rsidR="0095305C" w:rsidRPr="00704821">
        <w:rPr>
          <w:rFonts w:ascii="Times New Roman" w:hAnsi="Times New Roman" w:cs="Times New Roman"/>
          <w:sz w:val="24"/>
          <w:szCs w:val="24"/>
        </w:rPr>
        <w:t>. Revista Contabilidade e Finanças-USP, São Paulo, v. 24, n. 62, p. 125-141</w:t>
      </w:r>
      <w:r>
        <w:rPr>
          <w:rFonts w:ascii="Times New Roman" w:hAnsi="Times New Roman" w:cs="Times New Roman"/>
          <w:sz w:val="24"/>
          <w:szCs w:val="24"/>
        </w:rPr>
        <w:t>, 2013</w:t>
      </w:r>
    </w:p>
    <w:p w14:paraId="7A76AB80" w14:textId="77777777" w:rsidR="00E83967" w:rsidRPr="00704821" w:rsidRDefault="00E83967" w:rsidP="004514C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BCD19AA" w14:textId="53CD8840" w:rsidR="002418D0" w:rsidRPr="004D4603" w:rsidRDefault="008338AB" w:rsidP="00833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821">
        <w:rPr>
          <w:rFonts w:ascii="Times New Roman" w:hAnsi="Times New Roman" w:cs="Times New Roman"/>
          <w:sz w:val="24"/>
          <w:szCs w:val="24"/>
          <w:lang w:val="en-US"/>
        </w:rPr>
        <w:t>WORLD COMMISSION ON ENVIRONMENT AND DEVELOPMENT</w:t>
      </w:r>
      <w:r w:rsidR="004D4603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(WCED)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D4603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4603" w:rsidRPr="008338AB">
        <w:rPr>
          <w:rFonts w:ascii="Times New Roman" w:hAnsi="Times New Roman" w:cs="Times New Roman"/>
          <w:b/>
          <w:sz w:val="24"/>
          <w:szCs w:val="24"/>
          <w:lang w:val="en-US"/>
        </w:rPr>
        <w:t>Our Common Future</w:t>
      </w:r>
      <w:r w:rsidR="004D4603" w:rsidRPr="0070482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Ano: 1986.</w:t>
      </w:r>
      <w:r w:rsidR="004D4603" w:rsidRPr="00704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4603" w:rsidRPr="00704821"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="00AF5282" w:rsidRPr="00AF5282">
        <w:rPr>
          <w:rFonts w:ascii="Times New Roman" w:hAnsi="Times New Roman" w:cs="Times New Roman"/>
          <w:sz w:val="24"/>
          <w:szCs w:val="24"/>
        </w:rPr>
        <w:t>goo.gl/sAKfBx</w:t>
      </w:r>
      <w:r w:rsidR="004D4603" w:rsidRPr="00704821">
        <w:rPr>
          <w:rFonts w:ascii="Times New Roman" w:hAnsi="Times New Roman" w:cs="Times New Roman"/>
          <w:sz w:val="24"/>
          <w:szCs w:val="24"/>
        </w:rPr>
        <w:t>. Acesso em: 26 nov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4603" w:rsidRPr="00704821">
        <w:rPr>
          <w:rFonts w:ascii="Times New Roman" w:hAnsi="Times New Roman" w:cs="Times New Roman"/>
          <w:sz w:val="24"/>
          <w:szCs w:val="24"/>
        </w:rPr>
        <w:t xml:space="preserve"> 2016.</w:t>
      </w:r>
    </w:p>
    <w:sectPr w:rsidR="002418D0" w:rsidRPr="004D4603" w:rsidSect="00A5033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2D5B1" w14:textId="77777777" w:rsidR="00B14DF5" w:rsidRDefault="00B14DF5" w:rsidP="00FF63E0">
      <w:pPr>
        <w:spacing w:after="0" w:line="240" w:lineRule="auto"/>
      </w:pPr>
      <w:r>
        <w:separator/>
      </w:r>
    </w:p>
  </w:endnote>
  <w:endnote w:type="continuationSeparator" w:id="0">
    <w:p w14:paraId="768EC4C6" w14:textId="77777777" w:rsidR="00B14DF5" w:rsidRDefault="00B14DF5" w:rsidP="00FF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Book">
    <w:altName w:val="Cambria"/>
    <w:panose1 w:val="00000000000000000000"/>
    <w:charset w:val="00"/>
    <w:family w:val="roman"/>
    <w:notTrueType/>
    <w:pitch w:val="default"/>
  </w:font>
  <w:font w:name="MinionPro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02022" w14:textId="77777777" w:rsidR="00B14DF5" w:rsidRDefault="00B14DF5" w:rsidP="00FF63E0">
      <w:pPr>
        <w:spacing w:after="0" w:line="240" w:lineRule="auto"/>
      </w:pPr>
      <w:r>
        <w:separator/>
      </w:r>
    </w:p>
  </w:footnote>
  <w:footnote w:type="continuationSeparator" w:id="0">
    <w:p w14:paraId="11B8FA84" w14:textId="77777777" w:rsidR="00B14DF5" w:rsidRDefault="00B14DF5" w:rsidP="00FF6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4D1"/>
    <w:multiLevelType w:val="multilevel"/>
    <w:tmpl w:val="536EFB4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4672D5"/>
    <w:multiLevelType w:val="multilevel"/>
    <w:tmpl w:val="4DC4B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64634D4"/>
    <w:multiLevelType w:val="hybridMultilevel"/>
    <w:tmpl w:val="AA60D150"/>
    <w:lvl w:ilvl="0" w:tplc="3C1C7436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9024B3"/>
    <w:multiLevelType w:val="hybridMultilevel"/>
    <w:tmpl w:val="5F8264CC"/>
    <w:lvl w:ilvl="0" w:tplc="6276E6E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A48"/>
    <w:multiLevelType w:val="multilevel"/>
    <w:tmpl w:val="E7A693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8E3089E"/>
    <w:multiLevelType w:val="multilevel"/>
    <w:tmpl w:val="53C4F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AC1ACB"/>
    <w:multiLevelType w:val="hybridMultilevel"/>
    <w:tmpl w:val="37F8737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B2495"/>
    <w:multiLevelType w:val="multilevel"/>
    <w:tmpl w:val="44364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BE3958"/>
    <w:multiLevelType w:val="hybridMultilevel"/>
    <w:tmpl w:val="9B3011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6DE"/>
    <w:rsid w:val="00000BCE"/>
    <w:rsid w:val="0000159F"/>
    <w:rsid w:val="00002374"/>
    <w:rsid w:val="0000314D"/>
    <w:rsid w:val="0000512B"/>
    <w:rsid w:val="00007E64"/>
    <w:rsid w:val="00010234"/>
    <w:rsid w:val="000113D2"/>
    <w:rsid w:val="00012CA1"/>
    <w:rsid w:val="000136A3"/>
    <w:rsid w:val="00013A92"/>
    <w:rsid w:val="00014444"/>
    <w:rsid w:val="0001477F"/>
    <w:rsid w:val="000147C3"/>
    <w:rsid w:val="0001659F"/>
    <w:rsid w:val="000172C2"/>
    <w:rsid w:val="00020831"/>
    <w:rsid w:val="00020B53"/>
    <w:rsid w:val="00021FB9"/>
    <w:rsid w:val="000232D3"/>
    <w:rsid w:val="00025983"/>
    <w:rsid w:val="00025DEF"/>
    <w:rsid w:val="000265C8"/>
    <w:rsid w:val="00027FA8"/>
    <w:rsid w:val="00031AFD"/>
    <w:rsid w:val="00032D5E"/>
    <w:rsid w:val="00035145"/>
    <w:rsid w:val="000359EE"/>
    <w:rsid w:val="00037F86"/>
    <w:rsid w:val="00041913"/>
    <w:rsid w:val="00044101"/>
    <w:rsid w:val="00046273"/>
    <w:rsid w:val="00046275"/>
    <w:rsid w:val="00047C19"/>
    <w:rsid w:val="00047F32"/>
    <w:rsid w:val="00051A7F"/>
    <w:rsid w:val="00052659"/>
    <w:rsid w:val="00053565"/>
    <w:rsid w:val="000550D9"/>
    <w:rsid w:val="000551D9"/>
    <w:rsid w:val="000571F3"/>
    <w:rsid w:val="000573EC"/>
    <w:rsid w:val="000576F0"/>
    <w:rsid w:val="00060369"/>
    <w:rsid w:val="0006036A"/>
    <w:rsid w:val="00060B65"/>
    <w:rsid w:val="00060FF4"/>
    <w:rsid w:val="00061619"/>
    <w:rsid w:val="00061861"/>
    <w:rsid w:val="000626D9"/>
    <w:rsid w:val="00063534"/>
    <w:rsid w:val="000645C9"/>
    <w:rsid w:val="00065141"/>
    <w:rsid w:val="00067673"/>
    <w:rsid w:val="00067B82"/>
    <w:rsid w:val="00071313"/>
    <w:rsid w:val="00071481"/>
    <w:rsid w:val="00072950"/>
    <w:rsid w:val="0007423E"/>
    <w:rsid w:val="00077291"/>
    <w:rsid w:val="00077547"/>
    <w:rsid w:val="00080267"/>
    <w:rsid w:val="000812F5"/>
    <w:rsid w:val="00081322"/>
    <w:rsid w:val="00082F8F"/>
    <w:rsid w:val="00085C53"/>
    <w:rsid w:val="0008734F"/>
    <w:rsid w:val="00087FBC"/>
    <w:rsid w:val="00090D57"/>
    <w:rsid w:val="00095466"/>
    <w:rsid w:val="0009572A"/>
    <w:rsid w:val="0009584B"/>
    <w:rsid w:val="00095F61"/>
    <w:rsid w:val="00096B5E"/>
    <w:rsid w:val="00097508"/>
    <w:rsid w:val="000A0648"/>
    <w:rsid w:val="000A1827"/>
    <w:rsid w:val="000A19A3"/>
    <w:rsid w:val="000A3AAE"/>
    <w:rsid w:val="000A5148"/>
    <w:rsid w:val="000A5D7B"/>
    <w:rsid w:val="000A6A20"/>
    <w:rsid w:val="000B00C1"/>
    <w:rsid w:val="000B0385"/>
    <w:rsid w:val="000B04BA"/>
    <w:rsid w:val="000B2B0E"/>
    <w:rsid w:val="000B3359"/>
    <w:rsid w:val="000B60AA"/>
    <w:rsid w:val="000B7E00"/>
    <w:rsid w:val="000C3C07"/>
    <w:rsid w:val="000C4BD9"/>
    <w:rsid w:val="000C5C71"/>
    <w:rsid w:val="000C775E"/>
    <w:rsid w:val="000D018D"/>
    <w:rsid w:val="000D0CA0"/>
    <w:rsid w:val="000D1C12"/>
    <w:rsid w:val="000D1F04"/>
    <w:rsid w:val="000D1FF0"/>
    <w:rsid w:val="000D3098"/>
    <w:rsid w:val="000D30C0"/>
    <w:rsid w:val="000D38C9"/>
    <w:rsid w:val="000D3B38"/>
    <w:rsid w:val="000D3F8B"/>
    <w:rsid w:val="000D4FE4"/>
    <w:rsid w:val="000D5671"/>
    <w:rsid w:val="000D673D"/>
    <w:rsid w:val="000D7008"/>
    <w:rsid w:val="000D7C89"/>
    <w:rsid w:val="000D7D34"/>
    <w:rsid w:val="000D7EED"/>
    <w:rsid w:val="000E0105"/>
    <w:rsid w:val="000E2596"/>
    <w:rsid w:val="000E2C19"/>
    <w:rsid w:val="000E3C3A"/>
    <w:rsid w:val="000E3E03"/>
    <w:rsid w:val="000E3F5E"/>
    <w:rsid w:val="000E4BA6"/>
    <w:rsid w:val="000E4D1A"/>
    <w:rsid w:val="000E5B55"/>
    <w:rsid w:val="000E5B85"/>
    <w:rsid w:val="000E5D33"/>
    <w:rsid w:val="000F25F2"/>
    <w:rsid w:val="000F3F4D"/>
    <w:rsid w:val="000F5B3A"/>
    <w:rsid w:val="000F73B4"/>
    <w:rsid w:val="000F7604"/>
    <w:rsid w:val="0010154F"/>
    <w:rsid w:val="001019C3"/>
    <w:rsid w:val="0010240E"/>
    <w:rsid w:val="00102C6C"/>
    <w:rsid w:val="00102E2A"/>
    <w:rsid w:val="00102EDC"/>
    <w:rsid w:val="001053EB"/>
    <w:rsid w:val="0010657F"/>
    <w:rsid w:val="00107084"/>
    <w:rsid w:val="00107627"/>
    <w:rsid w:val="00107BB7"/>
    <w:rsid w:val="00111F6A"/>
    <w:rsid w:val="001124A0"/>
    <w:rsid w:val="00112C33"/>
    <w:rsid w:val="00113446"/>
    <w:rsid w:val="001138A1"/>
    <w:rsid w:val="00115757"/>
    <w:rsid w:val="00115D76"/>
    <w:rsid w:val="00117ABC"/>
    <w:rsid w:val="001218E7"/>
    <w:rsid w:val="00122AA6"/>
    <w:rsid w:val="00122E35"/>
    <w:rsid w:val="00123CB8"/>
    <w:rsid w:val="00124FE0"/>
    <w:rsid w:val="00125D09"/>
    <w:rsid w:val="00127166"/>
    <w:rsid w:val="00127208"/>
    <w:rsid w:val="00131613"/>
    <w:rsid w:val="00131A44"/>
    <w:rsid w:val="00132047"/>
    <w:rsid w:val="00133128"/>
    <w:rsid w:val="00133A24"/>
    <w:rsid w:val="00133F5A"/>
    <w:rsid w:val="00134084"/>
    <w:rsid w:val="001350B3"/>
    <w:rsid w:val="001354DE"/>
    <w:rsid w:val="00137107"/>
    <w:rsid w:val="001375A8"/>
    <w:rsid w:val="00137EF0"/>
    <w:rsid w:val="001408B6"/>
    <w:rsid w:val="00140F8D"/>
    <w:rsid w:val="0014373D"/>
    <w:rsid w:val="001441FA"/>
    <w:rsid w:val="00144394"/>
    <w:rsid w:val="00145BF1"/>
    <w:rsid w:val="001463D1"/>
    <w:rsid w:val="00147319"/>
    <w:rsid w:val="00147539"/>
    <w:rsid w:val="00147703"/>
    <w:rsid w:val="001503A8"/>
    <w:rsid w:val="00150C3F"/>
    <w:rsid w:val="001513E7"/>
    <w:rsid w:val="00151D9E"/>
    <w:rsid w:val="00152AB9"/>
    <w:rsid w:val="00152E9E"/>
    <w:rsid w:val="00152F8B"/>
    <w:rsid w:val="0015319D"/>
    <w:rsid w:val="00153DA8"/>
    <w:rsid w:val="00154862"/>
    <w:rsid w:val="0015546D"/>
    <w:rsid w:val="00155BAE"/>
    <w:rsid w:val="00157C3B"/>
    <w:rsid w:val="00157CF7"/>
    <w:rsid w:val="001601C0"/>
    <w:rsid w:val="00160DB7"/>
    <w:rsid w:val="00161328"/>
    <w:rsid w:val="00161715"/>
    <w:rsid w:val="00163160"/>
    <w:rsid w:val="001632C5"/>
    <w:rsid w:val="00163E5A"/>
    <w:rsid w:val="001646A2"/>
    <w:rsid w:val="00164FF8"/>
    <w:rsid w:val="00166164"/>
    <w:rsid w:val="001676F5"/>
    <w:rsid w:val="00167A94"/>
    <w:rsid w:val="00170A69"/>
    <w:rsid w:val="00170C16"/>
    <w:rsid w:val="00170EF9"/>
    <w:rsid w:val="00171937"/>
    <w:rsid w:val="001723BE"/>
    <w:rsid w:val="00172FD3"/>
    <w:rsid w:val="00173405"/>
    <w:rsid w:val="00173747"/>
    <w:rsid w:val="001743BA"/>
    <w:rsid w:val="00176255"/>
    <w:rsid w:val="001808E9"/>
    <w:rsid w:val="00180CF2"/>
    <w:rsid w:val="0018285F"/>
    <w:rsid w:val="001829C7"/>
    <w:rsid w:val="00182CE5"/>
    <w:rsid w:val="00182E88"/>
    <w:rsid w:val="00183036"/>
    <w:rsid w:val="00183558"/>
    <w:rsid w:val="00183747"/>
    <w:rsid w:val="00184141"/>
    <w:rsid w:val="001842FB"/>
    <w:rsid w:val="00184779"/>
    <w:rsid w:val="00193AC4"/>
    <w:rsid w:val="00193CEA"/>
    <w:rsid w:val="00193D91"/>
    <w:rsid w:val="00194C13"/>
    <w:rsid w:val="00195059"/>
    <w:rsid w:val="001958BD"/>
    <w:rsid w:val="00197A4A"/>
    <w:rsid w:val="001A002B"/>
    <w:rsid w:val="001A149F"/>
    <w:rsid w:val="001A15CF"/>
    <w:rsid w:val="001A2B57"/>
    <w:rsid w:val="001A2C1A"/>
    <w:rsid w:val="001A6A3D"/>
    <w:rsid w:val="001A788E"/>
    <w:rsid w:val="001B0A85"/>
    <w:rsid w:val="001B1700"/>
    <w:rsid w:val="001B2585"/>
    <w:rsid w:val="001B44A1"/>
    <w:rsid w:val="001B4B2F"/>
    <w:rsid w:val="001B5E0B"/>
    <w:rsid w:val="001B6185"/>
    <w:rsid w:val="001B6B07"/>
    <w:rsid w:val="001B713A"/>
    <w:rsid w:val="001B745F"/>
    <w:rsid w:val="001C0BEA"/>
    <w:rsid w:val="001C2BB0"/>
    <w:rsid w:val="001C34A5"/>
    <w:rsid w:val="001C43D3"/>
    <w:rsid w:val="001C5324"/>
    <w:rsid w:val="001C5BD4"/>
    <w:rsid w:val="001C5CEB"/>
    <w:rsid w:val="001C638F"/>
    <w:rsid w:val="001C73FE"/>
    <w:rsid w:val="001D06F7"/>
    <w:rsid w:val="001D112C"/>
    <w:rsid w:val="001D159A"/>
    <w:rsid w:val="001D2ED6"/>
    <w:rsid w:val="001D3F16"/>
    <w:rsid w:val="001D7317"/>
    <w:rsid w:val="001E54AA"/>
    <w:rsid w:val="001E5B20"/>
    <w:rsid w:val="001E7A0D"/>
    <w:rsid w:val="001F0850"/>
    <w:rsid w:val="001F23F0"/>
    <w:rsid w:val="001F2C78"/>
    <w:rsid w:val="001F2D11"/>
    <w:rsid w:val="001F449A"/>
    <w:rsid w:val="001F4AA8"/>
    <w:rsid w:val="001F60C7"/>
    <w:rsid w:val="001F6A90"/>
    <w:rsid w:val="001F74D2"/>
    <w:rsid w:val="00200A20"/>
    <w:rsid w:val="00202979"/>
    <w:rsid w:val="00202AC9"/>
    <w:rsid w:val="00205227"/>
    <w:rsid w:val="00205345"/>
    <w:rsid w:val="00205738"/>
    <w:rsid w:val="00206095"/>
    <w:rsid w:val="00206A94"/>
    <w:rsid w:val="0021009C"/>
    <w:rsid w:val="00211856"/>
    <w:rsid w:val="00211D8B"/>
    <w:rsid w:val="00212121"/>
    <w:rsid w:val="0021227E"/>
    <w:rsid w:val="00213543"/>
    <w:rsid w:val="00213DE9"/>
    <w:rsid w:val="00214B24"/>
    <w:rsid w:val="0021583A"/>
    <w:rsid w:val="002159D9"/>
    <w:rsid w:val="00215F65"/>
    <w:rsid w:val="002173E9"/>
    <w:rsid w:val="00220379"/>
    <w:rsid w:val="00220A96"/>
    <w:rsid w:val="0022163C"/>
    <w:rsid w:val="00221F83"/>
    <w:rsid w:val="00222083"/>
    <w:rsid w:val="00222642"/>
    <w:rsid w:val="00222854"/>
    <w:rsid w:val="0022292D"/>
    <w:rsid w:val="00222EB9"/>
    <w:rsid w:val="002230B3"/>
    <w:rsid w:val="00225B3F"/>
    <w:rsid w:val="00226DE5"/>
    <w:rsid w:val="00226EBB"/>
    <w:rsid w:val="00231520"/>
    <w:rsid w:val="002322FB"/>
    <w:rsid w:val="002332FA"/>
    <w:rsid w:val="00233400"/>
    <w:rsid w:val="0023484D"/>
    <w:rsid w:val="00234AAA"/>
    <w:rsid w:val="002351C2"/>
    <w:rsid w:val="00236682"/>
    <w:rsid w:val="00237273"/>
    <w:rsid w:val="00240DE0"/>
    <w:rsid w:val="002418D0"/>
    <w:rsid w:val="00241B47"/>
    <w:rsid w:val="00242877"/>
    <w:rsid w:val="00242E02"/>
    <w:rsid w:val="0024306B"/>
    <w:rsid w:val="00243F40"/>
    <w:rsid w:val="00244A90"/>
    <w:rsid w:val="00244AA4"/>
    <w:rsid w:val="002458F6"/>
    <w:rsid w:val="00246D44"/>
    <w:rsid w:val="00250143"/>
    <w:rsid w:val="00250477"/>
    <w:rsid w:val="00251426"/>
    <w:rsid w:val="00252BFE"/>
    <w:rsid w:val="00254E57"/>
    <w:rsid w:val="0025577F"/>
    <w:rsid w:val="0025693E"/>
    <w:rsid w:val="002606E9"/>
    <w:rsid w:val="00260A9A"/>
    <w:rsid w:val="002616F2"/>
    <w:rsid w:val="002622CA"/>
    <w:rsid w:val="00263A17"/>
    <w:rsid w:val="00264060"/>
    <w:rsid w:val="00265E46"/>
    <w:rsid w:val="00266C81"/>
    <w:rsid w:val="002671D6"/>
    <w:rsid w:val="00267A39"/>
    <w:rsid w:val="00267E2A"/>
    <w:rsid w:val="00270763"/>
    <w:rsid w:val="00270AD1"/>
    <w:rsid w:val="00271FEA"/>
    <w:rsid w:val="00272ED3"/>
    <w:rsid w:val="0027471A"/>
    <w:rsid w:val="00274B7A"/>
    <w:rsid w:val="002758CF"/>
    <w:rsid w:val="00276522"/>
    <w:rsid w:val="00276918"/>
    <w:rsid w:val="00277BB1"/>
    <w:rsid w:val="0028029F"/>
    <w:rsid w:val="0028082B"/>
    <w:rsid w:val="002809DA"/>
    <w:rsid w:val="00280FA6"/>
    <w:rsid w:val="00281045"/>
    <w:rsid w:val="00282FA1"/>
    <w:rsid w:val="002866E4"/>
    <w:rsid w:val="002872C9"/>
    <w:rsid w:val="00287650"/>
    <w:rsid w:val="00290274"/>
    <w:rsid w:val="00291E08"/>
    <w:rsid w:val="00292C57"/>
    <w:rsid w:val="00293A2D"/>
    <w:rsid w:val="0029544D"/>
    <w:rsid w:val="002965B4"/>
    <w:rsid w:val="002A076B"/>
    <w:rsid w:val="002A0A95"/>
    <w:rsid w:val="002A0B20"/>
    <w:rsid w:val="002A2027"/>
    <w:rsid w:val="002A423A"/>
    <w:rsid w:val="002A52E3"/>
    <w:rsid w:val="002A5F7C"/>
    <w:rsid w:val="002B2519"/>
    <w:rsid w:val="002B2A0F"/>
    <w:rsid w:val="002B5404"/>
    <w:rsid w:val="002B6690"/>
    <w:rsid w:val="002B6865"/>
    <w:rsid w:val="002B692F"/>
    <w:rsid w:val="002B75C3"/>
    <w:rsid w:val="002B75D5"/>
    <w:rsid w:val="002C0FC5"/>
    <w:rsid w:val="002C264A"/>
    <w:rsid w:val="002C51B5"/>
    <w:rsid w:val="002C539A"/>
    <w:rsid w:val="002C6D90"/>
    <w:rsid w:val="002C79C5"/>
    <w:rsid w:val="002D0054"/>
    <w:rsid w:val="002D00A9"/>
    <w:rsid w:val="002D0B38"/>
    <w:rsid w:val="002D1EDE"/>
    <w:rsid w:val="002D1F2E"/>
    <w:rsid w:val="002D2A10"/>
    <w:rsid w:val="002D3806"/>
    <w:rsid w:val="002D3EA6"/>
    <w:rsid w:val="002D582B"/>
    <w:rsid w:val="002D5D74"/>
    <w:rsid w:val="002D69E3"/>
    <w:rsid w:val="002D6AE8"/>
    <w:rsid w:val="002D7217"/>
    <w:rsid w:val="002E02C1"/>
    <w:rsid w:val="002E1559"/>
    <w:rsid w:val="002E1E92"/>
    <w:rsid w:val="002E37B1"/>
    <w:rsid w:val="002E475C"/>
    <w:rsid w:val="002E4AE4"/>
    <w:rsid w:val="002E52F3"/>
    <w:rsid w:val="002E583C"/>
    <w:rsid w:val="002E5AD2"/>
    <w:rsid w:val="002E600B"/>
    <w:rsid w:val="002E62AA"/>
    <w:rsid w:val="002E66C4"/>
    <w:rsid w:val="002E78F4"/>
    <w:rsid w:val="002F03A1"/>
    <w:rsid w:val="002F08CF"/>
    <w:rsid w:val="002F0A5F"/>
    <w:rsid w:val="002F1650"/>
    <w:rsid w:val="002F1663"/>
    <w:rsid w:val="002F2519"/>
    <w:rsid w:val="002F51C1"/>
    <w:rsid w:val="002F5586"/>
    <w:rsid w:val="002F60B1"/>
    <w:rsid w:val="00300797"/>
    <w:rsid w:val="00301309"/>
    <w:rsid w:val="00307468"/>
    <w:rsid w:val="00307F19"/>
    <w:rsid w:val="00310B0A"/>
    <w:rsid w:val="00311370"/>
    <w:rsid w:val="00312112"/>
    <w:rsid w:val="00315824"/>
    <w:rsid w:val="00315CA5"/>
    <w:rsid w:val="00316647"/>
    <w:rsid w:val="003207B4"/>
    <w:rsid w:val="003213DD"/>
    <w:rsid w:val="0032230C"/>
    <w:rsid w:val="00322FF5"/>
    <w:rsid w:val="00325B4A"/>
    <w:rsid w:val="00327AC3"/>
    <w:rsid w:val="003305CD"/>
    <w:rsid w:val="00332F59"/>
    <w:rsid w:val="00333840"/>
    <w:rsid w:val="00334370"/>
    <w:rsid w:val="00335117"/>
    <w:rsid w:val="00336A1E"/>
    <w:rsid w:val="00340F9F"/>
    <w:rsid w:val="003418D6"/>
    <w:rsid w:val="003438E3"/>
    <w:rsid w:val="0034455C"/>
    <w:rsid w:val="003446FF"/>
    <w:rsid w:val="00344E0E"/>
    <w:rsid w:val="0034770F"/>
    <w:rsid w:val="0034789B"/>
    <w:rsid w:val="003505BB"/>
    <w:rsid w:val="003510FF"/>
    <w:rsid w:val="00351404"/>
    <w:rsid w:val="00351F19"/>
    <w:rsid w:val="00353DB4"/>
    <w:rsid w:val="003544EF"/>
    <w:rsid w:val="003557DF"/>
    <w:rsid w:val="00357F36"/>
    <w:rsid w:val="00361A0F"/>
    <w:rsid w:val="00364E2A"/>
    <w:rsid w:val="003656D6"/>
    <w:rsid w:val="00366126"/>
    <w:rsid w:val="003662B3"/>
    <w:rsid w:val="00366D1C"/>
    <w:rsid w:val="003726F1"/>
    <w:rsid w:val="00372CB7"/>
    <w:rsid w:val="00374371"/>
    <w:rsid w:val="0037549E"/>
    <w:rsid w:val="003758AB"/>
    <w:rsid w:val="0037612E"/>
    <w:rsid w:val="00376E78"/>
    <w:rsid w:val="00380156"/>
    <w:rsid w:val="0038087D"/>
    <w:rsid w:val="00380C7A"/>
    <w:rsid w:val="003815C1"/>
    <w:rsid w:val="00381C6E"/>
    <w:rsid w:val="00383A43"/>
    <w:rsid w:val="00385BD0"/>
    <w:rsid w:val="00386B2B"/>
    <w:rsid w:val="00386DBD"/>
    <w:rsid w:val="003879EB"/>
    <w:rsid w:val="0039065F"/>
    <w:rsid w:val="00390BBE"/>
    <w:rsid w:val="00390C6C"/>
    <w:rsid w:val="0039127F"/>
    <w:rsid w:val="00394087"/>
    <w:rsid w:val="00394224"/>
    <w:rsid w:val="00395A7F"/>
    <w:rsid w:val="00395B8F"/>
    <w:rsid w:val="00397135"/>
    <w:rsid w:val="00397843"/>
    <w:rsid w:val="00397D57"/>
    <w:rsid w:val="003A35E4"/>
    <w:rsid w:val="003A3CF0"/>
    <w:rsid w:val="003A481D"/>
    <w:rsid w:val="003A5345"/>
    <w:rsid w:val="003A5A7E"/>
    <w:rsid w:val="003A66AF"/>
    <w:rsid w:val="003A79E5"/>
    <w:rsid w:val="003B0104"/>
    <w:rsid w:val="003B5672"/>
    <w:rsid w:val="003B5700"/>
    <w:rsid w:val="003B6BD4"/>
    <w:rsid w:val="003B736D"/>
    <w:rsid w:val="003B736E"/>
    <w:rsid w:val="003C032C"/>
    <w:rsid w:val="003C0A8B"/>
    <w:rsid w:val="003C1657"/>
    <w:rsid w:val="003C184D"/>
    <w:rsid w:val="003C3DCD"/>
    <w:rsid w:val="003C4449"/>
    <w:rsid w:val="003C5209"/>
    <w:rsid w:val="003C5407"/>
    <w:rsid w:val="003C5AE9"/>
    <w:rsid w:val="003C662C"/>
    <w:rsid w:val="003C76C7"/>
    <w:rsid w:val="003D0426"/>
    <w:rsid w:val="003D16C3"/>
    <w:rsid w:val="003D365D"/>
    <w:rsid w:val="003D40FE"/>
    <w:rsid w:val="003D43C7"/>
    <w:rsid w:val="003D442C"/>
    <w:rsid w:val="003D4B05"/>
    <w:rsid w:val="003D5863"/>
    <w:rsid w:val="003D6F0A"/>
    <w:rsid w:val="003E3B9C"/>
    <w:rsid w:val="003E47BB"/>
    <w:rsid w:val="003E5894"/>
    <w:rsid w:val="003E5C1B"/>
    <w:rsid w:val="003E6CD4"/>
    <w:rsid w:val="003E6E89"/>
    <w:rsid w:val="003E747F"/>
    <w:rsid w:val="003F43C8"/>
    <w:rsid w:val="003F44D9"/>
    <w:rsid w:val="003F4CFC"/>
    <w:rsid w:val="004008B0"/>
    <w:rsid w:val="00400E3E"/>
    <w:rsid w:val="004013C9"/>
    <w:rsid w:val="00401EDA"/>
    <w:rsid w:val="0040217D"/>
    <w:rsid w:val="00402EDF"/>
    <w:rsid w:val="0040629D"/>
    <w:rsid w:val="00414A6B"/>
    <w:rsid w:val="00415090"/>
    <w:rsid w:val="004150DD"/>
    <w:rsid w:val="004156DE"/>
    <w:rsid w:val="0041618E"/>
    <w:rsid w:val="0041752A"/>
    <w:rsid w:val="00421814"/>
    <w:rsid w:val="0042482C"/>
    <w:rsid w:val="00424C3B"/>
    <w:rsid w:val="004268FF"/>
    <w:rsid w:val="0042707E"/>
    <w:rsid w:val="00427181"/>
    <w:rsid w:val="00427378"/>
    <w:rsid w:val="00430399"/>
    <w:rsid w:val="00430FFC"/>
    <w:rsid w:val="00431D06"/>
    <w:rsid w:val="004320A9"/>
    <w:rsid w:val="0043260C"/>
    <w:rsid w:val="00432F9A"/>
    <w:rsid w:val="004335BE"/>
    <w:rsid w:val="004340B9"/>
    <w:rsid w:val="00434662"/>
    <w:rsid w:val="00434678"/>
    <w:rsid w:val="004349F7"/>
    <w:rsid w:val="00434B69"/>
    <w:rsid w:val="0043663D"/>
    <w:rsid w:val="00436A02"/>
    <w:rsid w:val="004404FD"/>
    <w:rsid w:val="00440C6A"/>
    <w:rsid w:val="00440EA9"/>
    <w:rsid w:val="0044264E"/>
    <w:rsid w:val="00442E47"/>
    <w:rsid w:val="00442F7B"/>
    <w:rsid w:val="00444A5A"/>
    <w:rsid w:val="00444FA2"/>
    <w:rsid w:val="00445118"/>
    <w:rsid w:val="00446CFE"/>
    <w:rsid w:val="00447406"/>
    <w:rsid w:val="004514C6"/>
    <w:rsid w:val="00451C0D"/>
    <w:rsid w:val="00451CC0"/>
    <w:rsid w:val="00452B87"/>
    <w:rsid w:val="00453B16"/>
    <w:rsid w:val="004544C2"/>
    <w:rsid w:val="00461C18"/>
    <w:rsid w:val="004620AD"/>
    <w:rsid w:val="00462C5A"/>
    <w:rsid w:val="00463CED"/>
    <w:rsid w:val="00464BCC"/>
    <w:rsid w:val="00466F40"/>
    <w:rsid w:val="00466F44"/>
    <w:rsid w:val="004672DB"/>
    <w:rsid w:val="00467796"/>
    <w:rsid w:val="00467B2F"/>
    <w:rsid w:val="00470643"/>
    <w:rsid w:val="00470BC6"/>
    <w:rsid w:val="00472381"/>
    <w:rsid w:val="004741C5"/>
    <w:rsid w:val="00474A29"/>
    <w:rsid w:val="00475F69"/>
    <w:rsid w:val="00476794"/>
    <w:rsid w:val="00476DE6"/>
    <w:rsid w:val="004772EE"/>
    <w:rsid w:val="00480BBF"/>
    <w:rsid w:val="0048230D"/>
    <w:rsid w:val="00485418"/>
    <w:rsid w:val="004859D7"/>
    <w:rsid w:val="0048633A"/>
    <w:rsid w:val="00490573"/>
    <w:rsid w:val="00490D5F"/>
    <w:rsid w:val="00491034"/>
    <w:rsid w:val="0049103B"/>
    <w:rsid w:val="004915F8"/>
    <w:rsid w:val="00492064"/>
    <w:rsid w:val="00494DB8"/>
    <w:rsid w:val="0049610F"/>
    <w:rsid w:val="004969BC"/>
    <w:rsid w:val="004A008C"/>
    <w:rsid w:val="004A1380"/>
    <w:rsid w:val="004A1A0E"/>
    <w:rsid w:val="004A2F2C"/>
    <w:rsid w:val="004A35E8"/>
    <w:rsid w:val="004A485C"/>
    <w:rsid w:val="004A4EE8"/>
    <w:rsid w:val="004A7281"/>
    <w:rsid w:val="004A74E5"/>
    <w:rsid w:val="004B16E6"/>
    <w:rsid w:val="004B3057"/>
    <w:rsid w:val="004B3F06"/>
    <w:rsid w:val="004B414D"/>
    <w:rsid w:val="004B416D"/>
    <w:rsid w:val="004B4FFC"/>
    <w:rsid w:val="004B5FBE"/>
    <w:rsid w:val="004B7C90"/>
    <w:rsid w:val="004C018C"/>
    <w:rsid w:val="004C1529"/>
    <w:rsid w:val="004C1D96"/>
    <w:rsid w:val="004C27FA"/>
    <w:rsid w:val="004C3D9B"/>
    <w:rsid w:val="004C45C3"/>
    <w:rsid w:val="004C4E11"/>
    <w:rsid w:val="004C53ED"/>
    <w:rsid w:val="004C7251"/>
    <w:rsid w:val="004C782E"/>
    <w:rsid w:val="004D043A"/>
    <w:rsid w:val="004D0BCD"/>
    <w:rsid w:val="004D17A7"/>
    <w:rsid w:val="004D1B5A"/>
    <w:rsid w:val="004D3006"/>
    <w:rsid w:val="004D3DA2"/>
    <w:rsid w:val="004D4603"/>
    <w:rsid w:val="004D4A69"/>
    <w:rsid w:val="004D59BF"/>
    <w:rsid w:val="004D63FE"/>
    <w:rsid w:val="004D671F"/>
    <w:rsid w:val="004D7463"/>
    <w:rsid w:val="004E3375"/>
    <w:rsid w:val="004E338E"/>
    <w:rsid w:val="004E436A"/>
    <w:rsid w:val="004E6AC9"/>
    <w:rsid w:val="004E773B"/>
    <w:rsid w:val="004F2D21"/>
    <w:rsid w:val="004F2F78"/>
    <w:rsid w:val="004F3E47"/>
    <w:rsid w:val="004F40CC"/>
    <w:rsid w:val="004F4CEA"/>
    <w:rsid w:val="004F4F81"/>
    <w:rsid w:val="004F5552"/>
    <w:rsid w:val="004F5699"/>
    <w:rsid w:val="004F784F"/>
    <w:rsid w:val="00502C8D"/>
    <w:rsid w:val="005030F4"/>
    <w:rsid w:val="00503138"/>
    <w:rsid w:val="00504A38"/>
    <w:rsid w:val="00506667"/>
    <w:rsid w:val="00506D25"/>
    <w:rsid w:val="00506EDE"/>
    <w:rsid w:val="005077D2"/>
    <w:rsid w:val="00510CB7"/>
    <w:rsid w:val="005117DB"/>
    <w:rsid w:val="00512949"/>
    <w:rsid w:val="00512DB2"/>
    <w:rsid w:val="005133FA"/>
    <w:rsid w:val="0051368E"/>
    <w:rsid w:val="005154A7"/>
    <w:rsid w:val="0051641A"/>
    <w:rsid w:val="005216A7"/>
    <w:rsid w:val="00522328"/>
    <w:rsid w:val="00522638"/>
    <w:rsid w:val="005229B2"/>
    <w:rsid w:val="00525180"/>
    <w:rsid w:val="0052536C"/>
    <w:rsid w:val="00527249"/>
    <w:rsid w:val="0053023A"/>
    <w:rsid w:val="00530296"/>
    <w:rsid w:val="00530453"/>
    <w:rsid w:val="00531970"/>
    <w:rsid w:val="005328A9"/>
    <w:rsid w:val="00532AAE"/>
    <w:rsid w:val="00534050"/>
    <w:rsid w:val="00535C67"/>
    <w:rsid w:val="005365D0"/>
    <w:rsid w:val="00536762"/>
    <w:rsid w:val="00537527"/>
    <w:rsid w:val="00537A09"/>
    <w:rsid w:val="00537DF2"/>
    <w:rsid w:val="00540D5B"/>
    <w:rsid w:val="00542758"/>
    <w:rsid w:val="0054287C"/>
    <w:rsid w:val="00543292"/>
    <w:rsid w:val="005441BF"/>
    <w:rsid w:val="0054450E"/>
    <w:rsid w:val="0054530D"/>
    <w:rsid w:val="0054747A"/>
    <w:rsid w:val="0055166F"/>
    <w:rsid w:val="005517EB"/>
    <w:rsid w:val="005518D0"/>
    <w:rsid w:val="00552760"/>
    <w:rsid w:val="00552F00"/>
    <w:rsid w:val="00553D30"/>
    <w:rsid w:val="0055431C"/>
    <w:rsid w:val="00554A26"/>
    <w:rsid w:val="00556042"/>
    <w:rsid w:val="00556E80"/>
    <w:rsid w:val="005579EE"/>
    <w:rsid w:val="0056264D"/>
    <w:rsid w:val="00562854"/>
    <w:rsid w:val="00562D84"/>
    <w:rsid w:val="0056392B"/>
    <w:rsid w:val="00563BBE"/>
    <w:rsid w:val="00564226"/>
    <w:rsid w:val="00565D5D"/>
    <w:rsid w:val="00566667"/>
    <w:rsid w:val="005703D2"/>
    <w:rsid w:val="00571211"/>
    <w:rsid w:val="005724C3"/>
    <w:rsid w:val="00573619"/>
    <w:rsid w:val="00575286"/>
    <w:rsid w:val="00575888"/>
    <w:rsid w:val="00575FE1"/>
    <w:rsid w:val="00576371"/>
    <w:rsid w:val="00580D46"/>
    <w:rsid w:val="0058102E"/>
    <w:rsid w:val="005810AF"/>
    <w:rsid w:val="00581A98"/>
    <w:rsid w:val="005826B1"/>
    <w:rsid w:val="00584E10"/>
    <w:rsid w:val="0058502D"/>
    <w:rsid w:val="00586240"/>
    <w:rsid w:val="00587B7C"/>
    <w:rsid w:val="00591981"/>
    <w:rsid w:val="00592F64"/>
    <w:rsid w:val="005951D7"/>
    <w:rsid w:val="005959A3"/>
    <w:rsid w:val="00596229"/>
    <w:rsid w:val="00596A18"/>
    <w:rsid w:val="00597616"/>
    <w:rsid w:val="005A078B"/>
    <w:rsid w:val="005A0DFF"/>
    <w:rsid w:val="005A125A"/>
    <w:rsid w:val="005A400F"/>
    <w:rsid w:val="005A421B"/>
    <w:rsid w:val="005A4229"/>
    <w:rsid w:val="005A5E91"/>
    <w:rsid w:val="005A6DED"/>
    <w:rsid w:val="005A75BC"/>
    <w:rsid w:val="005A7CA8"/>
    <w:rsid w:val="005B32F3"/>
    <w:rsid w:val="005B3E70"/>
    <w:rsid w:val="005B40DB"/>
    <w:rsid w:val="005B41A7"/>
    <w:rsid w:val="005B5DF8"/>
    <w:rsid w:val="005C09EC"/>
    <w:rsid w:val="005C117F"/>
    <w:rsid w:val="005C1922"/>
    <w:rsid w:val="005C274C"/>
    <w:rsid w:val="005C4A4F"/>
    <w:rsid w:val="005C59B9"/>
    <w:rsid w:val="005C64E8"/>
    <w:rsid w:val="005C6F1F"/>
    <w:rsid w:val="005D0229"/>
    <w:rsid w:val="005D1095"/>
    <w:rsid w:val="005D1835"/>
    <w:rsid w:val="005D18CB"/>
    <w:rsid w:val="005D3838"/>
    <w:rsid w:val="005D4EF8"/>
    <w:rsid w:val="005D5743"/>
    <w:rsid w:val="005E04BD"/>
    <w:rsid w:val="005E13B4"/>
    <w:rsid w:val="005E35AC"/>
    <w:rsid w:val="005E3A1A"/>
    <w:rsid w:val="005E499F"/>
    <w:rsid w:val="005E690A"/>
    <w:rsid w:val="005E6B82"/>
    <w:rsid w:val="005E6FC2"/>
    <w:rsid w:val="005F0983"/>
    <w:rsid w:val="005F334F"/>
    <w:rsid w:val="005F4213"/>
    <w:rsid w:val="005F4507"/>
    <w:rsid w:val="005F5185"/>
    <w:rsid w:val="005F585F"/>
    <w:rsid w:val="005F5A57"/>
    <w:rsid w:val="005F5E1A"/>
    <w:rsid w:val="005F735E"/>
    <w:rsid w:val="005F7A05"/>
    <w:rsid w:val="00601855"/>
    <w:rsid w:val="00601BA8"/>
    <w:rsid w:val="00601BF9"/>
    <w:rsid w:val="00601E16"/>
    <w:rsid w:val="006022F2"/>
    <w:rsid w:val="00604E64"/>
    <w:rsid w:val="00605624"/>
    <w:rsid w:val="00606689"/>
    <w:rsid w:val="00606CAC"/>
    <w:rsid w:val="00607B1F"/>
    <w:rsid w:val="00610154"/>
    <w:rsid w:val="00611D57"/>
    <w:rsid w:val="00611D6A"/>
    <w:rsid w:val="00612098"/>
    <w:rsid w:val="006123AD"/>
    <w:rsid w:val="00613164"/>
    <w:rsid w:val="006135C2"/>
    <w:rsid w:val="0061443A"/>
    <w:rsid w:val="00615AE4"/>
    <w:rsid w:val="006160CA"/>
    <w:rsid w:val="0061716B"/>
    <w:rsid w:val="00622F1D"/>
    <w:rsid w:val="00622F5F"/>
    <w:rsid w:val="00623281"/>
    <w:rsid w:val="00624391"/>
    <w:rsid w:val="00624EBE"/>
    <w:rsid w:val="006309C6"/>
    <w:rsid w:val="00631495"/>
    <w:rsid w:val="00632576"/>
    <w:rsid w:val="006356DC"/>
    <w:rsid w:val="006359D6"/>
    <w:rsid w:val="00637BB8"/>
    <w:rsid w:val="006410A5"/>
    <w:rsid w:val="00643626"/>
    <w:rsid w:val="00645E84"/>
    <w:rsid w:val="00646213"/>
    <w:rsid w:val="006466E2"/>
    <w:rsid w:val="00646802"/>
    <w:rsid w:val="00647FEB"/>
    <w:rsid w:val="00650205"/>
    <w:rsid w:val="00650B89"/>
    <w:rsid w:val="00650C58"/>
    <w:rsid w:val="00651F8E"/>
    <w:rsid w:val="006524EA"/>
    <w:rsid w:val="006538A4"/>
    <w:rsid w:val="006539E1"/>
    <w:rsid w:val="00653F42"/>
    <w:rsid w:val="00654FDF"/>
    <w:rsid w:val="00657551"/>
    <w:rsid w:val="006601E5"/>
    <w:rsid w:val="006606C0"/>
    <w:rsid w:val="00661533"/>
    <w:rsid w:val="00661DAD"/>
    <w:rsid w:val="00662727"/>
    <w:rsid w:val="00662D7A"/>
    <w:rsid w:val="0066496F"/>
    <w:rsid w:val="00664D08"/>
    <w:rsid w:val="00665076"/>
    <w:rsid w:val="0066553C"/>
    <w:rsid w:val="00666474"/>
    <w:rsid w:val="006738BE"/>
    <w:rsid w:val="0067449A"/>
    <w:rsid w:val="00675795"/>
    <w:rsid w:val="00676577"/>
    <w:rsid w:val="006765F2"/>
    <w:rsid w:val="0067757F"/>
    <w:rsid w:val="00677B0F"/>
    <w:rsid w:val="00681A36"/>
    <w:rsid w:val="00681E79"/>
    <w:rsid w:val="00682772"/>
    <w:rsid w:val="00683694"/>
    <w:rsid w:val="00687A22"/>
    <w:rsid w:val="00687D79"/>
    <w:rsid w:val="00687EE2"/>
    <w:rsid w:val="00692F92"/>
    <w:rsid w:val="006934C4"/>
    <w:rsid w:val="00693F77"/>
    <w:rsid w:val="006942C6"/>
    <w:rsid w:val="006947AD"/>
    <w:rsid w:val="00694A72"/>
    <w:rsid w:val="00694AAA"/>
    <w:rsid w:val="00695291"/>
    <w:rsid w:val="0069557A"/>
    <w:rsid w:val="00696435"/>
    <w:rsid w:val="0069671F"/>
    <w:rsid w:val="00696A01"/>
    <w:rsid w:val="006975B6"/>
    <w:rsid w:val="00697F50"/>
    <w:rsid w:val="006A07F7"/>
    <w:rsid w:val="006A137B"/>
    <w:rsid w:val="006A20AE"/>
    <w:rsid w:val="006A2243"/>
    <w:rsid w:val="006A2ED0"/>
    <w:rsid w:val="006A4A3C"/>
    <w:rsid w:val="006A5D20"/>
    <w:rsid w:val="006B0465"/>
    <w:rsid w:val="006B0BA3"/>
    <w:rsid w:val="006B0BA9"/>
    <w:rsid w:val="006B185F"/>
    <w:rsid w:val="006B2528"/>
    <w:rsid w:val="006B3DE7"/>
    <w:rsid w:val="006B3E53"/>
    <w:rsid w:val="006B46D6"/>
    <w:rsid w:val="006B5EB2"/>
    <w:rsid w:val="006B6513"/>
    <w:rsid w:val="006B76D1"/>
    <w:rsid w:val="006C1896"/>
    <w:rsid w:val="006C1D5B"/>
    <w:rsid w:val="006C27C2"/>
    <w:rsid w:val="006C2F68"/>
    <w:rsid w:val="006C4871"/>
    <w:rsid w:val="006C7671"/>
    <w:rsid w:val="006C7EBD"/>
    <w:rsid w:val="006D0354"/>
    <w:rsid w:val="006D1010"/>
    <w:rsid w:val="006D1236"/>
    <w:rsid w:val="006D206C"/>
    <w:rsid w:val="006D2D3B"/>
    <w:rsid w:val="006D2D9A"/>
    <w:rsid w:val="006D353C"/>
    <w:rsid w:val="006D39A4"/>
    <w:rsid w:val="006D542D"/>
    <w:rsid w:val="006D5964"/>
    <w:rsid w:val="006D6505"/>
    <w:rsid w:val="006D70BB"/>
    <w:rsid w:val="006D73A0"/>
    <w:rsid w:val="006E0293"/>
    <w:rsid w:val="006E043F"/>
    <w:rsid w:val="006E1C31"/>
    <w:rsid w:val="006E392A"/>
    <w:rsid w:val="006E51E9"/>
    <w:rsid w:val="006E55F0"/>
    <w:rsid w:val="006E7946"/>
    <w:rsid w:val="006F06D6"/>
    <w:rsid w:val="006F0F10"/>
    <w:rsid w:val="006F29A6"/>
    <w:rsid w:val="006F2C13"/>
    <w:rsid w:val="006F541E"/>
    <w:rsid w:val="006F61DB"/>
    <w:rsid w:val="007028A3"/>
    <w:rsid w:val="007032D7"/>
    <w:rsid w:val="00704821"/>
    <w:rsid w:val="00704E39"/>
    <w:rsid w:val="00704F39"/>
    <w:rsid w:val="00705A23"/>
    <w:rsid w:val="00705A8A"/>
    <w:rsid w:val="00707C98"/>
    <w:rsid w:val="0071293B"/>
    <w:rsid w:val="00713758"/>
    <w:rsid w:val="0071471B"/>
    <w:rsid w:val="00714D6A"/>
    <w:rsid w:val="0071553C"/>
    <w:rsid w:val="00715AE4"/>
    <w:rsid w:val="00715E85"/>
    <w:rsid w:val="0071702C"/>
    <w:rsid w:val="007176AE"/>
    <w:rsid w:val="0071771C"/>
    <w:rsid w:val="00717DDC"/>
    <w:rsid w:val="00717FAF"/>
    <w:rsid w:val="00721709"/>
    <w:rsid w:val="0072236C"/>
    <w:rsid w:val="00723D28"/>
    <w:rsid w:val="00723FA9"/>
    <w:rsid w:val="0072406B"/>
    <w:rsid w:val="00726B99"/>
    <w:rsid w:val="00727903"/>
    <w:rsid w:val="00727C3B"/>
    <w:rsid w:val="00727E7F"/>
    <w:rsid w:val="00730FD7"/>
    <w:rsid w:val="00732AFF"/>
    <w:rsid w:val="00733820"/>
    <w:rsid w:val="00734A94"/>
    <w:rsid w:val="007379F0"/>
    <w:rsid w:val="007408F9"/>
    <w:rsid w:val="0074293C"/>
    <w:rsid w:val="00744DF4"/>
    <w:rsid w:val="00746D0D"/>
    <w:rsid w:val="00746DF8"/>
    <w:rsid w:val="00747CE3"/>
    <w:rsid w:val="00750C61"/>
    <w:rsid w:val="00754110"/>
    <w:rsid w:val="0075611B"/>
    <w:rsid w:val="00756E3C"/>
    <w:rsid w:val="007578E8"/>
    <w:rsid w:val="007609F8"/>
    <w:rsid w:val="00765A86"/>
    <w:rsid w:val="00767611"/>
    <w:rsid w:val="00771E76"/>
    <w:rsid w:val="00772055"/>
    <w:rsid w:val="00774532"/>
    <w:rsid w:val="00774D4C"/>
    <w:rsid w:val="0077539F"/>
    <w:rsid w:val="00777366"/>
    <w:rsid w:val="007777A7"/>
    <w:rsid w:val="007804B3"/>
    <w:rsid w:val="007804E2"/>
    <w:rsid w:val="0078165A"/>
    <w:rsid w:val="007828F3"/>
    <w:rsid w:val="00784C33"/>
    <w:rsid w:val="007858D4"/>
    <w:rsid w:val="00785AF2"/>
    <w:rsid w:val="00790B12"/>
    <w:rsid w:val="007912F9"/>
    <w:rsid w:val="00791360"/>
    <w:rsid w:val="00793291"/>
    <w:rsid w:val="00793447"/>
    <w:rsid w:val="007A097A"/>
    <w:rsid w:val="007A1446"/>
    <w:rsid w:val="007A2378"/>
    <w:rsid w:val="007A25CE"/>
    <w:rsid w:val="007A3094"/>
    <w:rsid w:val="007A3254"/>
    <w:rsid w:val="007A3CDA"/>
    <w:rsid w:val="007A4935"/>
    <w:rsid w:val="007A49CF"/>
    <w:rsid w:val="007A51E5"/>
    <w:rsid w:val="007A7E79"/>
    <w:rsid w:val="007B1720"/>
    <w:rsid w:val="007B21DA"/>
    <w:rsid w:val="007B290F"/>
    <w:rsid w:val="007B2DB6"/>
    <w:rsid w:val="007B35F3"/>
    <w:rsid w:val="007B39F5"/>
    <w:rsid w:val="007B5F98"/>
    <w:rsid w:val="007B5FA4"/>
    <w:rsid w:val="007B7797"/>
    <w:rsid w:val="007C434C"/>
    <w:rsid w:val="007C47E0"/>
    <w:rsid w:val="007C5A95"/>
    <w:rsid w:val="007C6104"/>
    <w:rsid w:val="007C6B50"/>
    <w:rsid w:val="007C6FD5"/>
    <w:rsid w:val="007C7517"/>
    <w:rsid w:val="007D02FB"/>
    <w:rsid w:val="007D0674"/>
    <w:rsid w:val="007D0AD2"/>
    <w:rsid w:val="007D0F14"/>
    <w:rsid w:val="007D1371"/>
    <w:rsid w:val="007D2B50"/>
    <w:rsid w:val="007D4298"/>
    <w:rsid w:val="007D5CED"/>
    <w:rsid w:val="007D658C"/>
    <w:rsid w:val="007E0225"/>
    <w:rsid w:val="007E03F2"/>
    <w:rsid w:val="007E2147"/>
    <w:rsid w:val="007E219A"/>
    <w:rsid w:val="007E25CE"/>
    <w:rsid w:val="007E2B7A"/>
    <w:rsid w:val="007E45BA"/>
    <w:rsid w:val="007E73EF"/>
    <w:rsid w:val="007F036B"/>
    <w:rsid w:val="007F383D"/>
    <w:rsid w:val="007F3B1B"/>
    <w:rsid w:val="007F5270"/>
    <w:rsid w:val="007F6F7F"/>
    <w:rsid w:val="0080056F"/>
    <w:rsid w:val="008014BE"/>
    <w:rsid w:val="00802CF0"/>
    <w:rsid w:val="008030AB"/>
    <w:rsid w:val="00805384"/>
    <w:rsid w:val="00805513"/>
    <w:rsid w:val="0080553A"/>
    <w:rsid w:val="0080587E"/>
    <w:rsid w:val="00807162"/>
    <w:rsid w:val="008114D3"/>
    <w:rsid w:val="008115C4"/>
    <w:rsid w:val="00813688"/>
    <w:rsid w:val="008138C4"/>
    <w:rsid w:val="00814646"/>
    <w:rsid w:val="00814A7F"/>
    <w:rsid w:val="008165F2"/>
    <w:rsid w:val="00816CE1"/>
    <w:rsid w:val="00817141"/>
    <w:rsid w:val="0082106E"/>
    <w:rsid w:val="0082108E"/>
    <w:rsid w:val="008220B1"/>
    <w:rsid w:val="00822EE3"/>
    <w:rsid w:val="008244E2"/>
    <w:rsid w:val="0082584B"/>
    <w:rsid w:val="00825983"/>
    <w:rsid w:val="008316AC"/>
    <w:rsid w:val="008318DF"/>
    <w:rsid w:val="00832344"/>
    <w:rsid w:val="008338AB"/>
    <w:rsid w:val="00833F90"/>
    <w:rsid w:val="00834725"/>
    <w:rsid w:val="00834AD5"/>
    <w:rsid w:val="00834F00"/>
    <w:rsid w:val="008353BC"/>
    <w:rsid w:val="00835FC7"/>
    <w:rsid w:val="00837F91"/>
    <w:rsid w:val="0084165E"/>
    <w:rsid w:val="00841872"/>
    <w:rsid w:val="008424C3"/>
    <w:rsid w:val="00842BAA"/>
    <w:rsid w:val="0084357F"/>
    <w:rsid w:val="0084496A"/>
    <w:rsid w:val="008455D3"/>
    <w:rsid w:val="00851415"/>
    <w:rsid w:val="008515F5"/>
    <w:rsid w:val="00852B28"/>
    <w:rsid w:val="008533C5"/>
    <w:rsid w:val="008538C7"/>
    <w:rsid w:val="008538F2"/>
    <w:rsid w:val="0085479A"/>
    <w:rsid w:val="00854CDD"/>
    <w:rsid w:val="00855991"/>
    <w:rsid w:val="008568B0"/>
    <w:rsid w:val="008569D6"/>
    <w:rsid w:val="008623BC"/>
    <w:rsid w:val="00863DAD"/>
    <w:rsid w:val="008653C3"/>
    <w:rsid w:val="008668CC"/>
    <w:rsid w:val="00872054"/>
    <w:rsid w:val="00872B6A"/>
    <w:rsid w:val="00873071"/>
    <w:rsid w:val="00874C5C"/>
    <w:rsid w:val="00874F5A"/>
    <w:rsid w:val="0087561C"/>
    <w:rsid w:val="00877AF8"/>
    <w:rsid w:val="00877C24"/>
    <w:rsid w:val="00877E57"/>
    <w:rsid w:val="008803BB"/>
    <w:rsid w:val="008816EF"/>
    <w:rsid w:val="00881A4C"/>
    <w:rsid w:val="00881D92"/>
    <w:rsid w:val="00882C17"/>
    <w:rsid w:val="00882E9B"/>
    <w:rsid w:val="00883056"/>
    <w:rsid w:val="00884CF4"/>
    <w:rsid w:val="00886213"/>
    <w:rsid w:val="00886990"/>
    <w:rsid w:val="00887A2E"/>
    <w:rsid w:val="0089059B"/>
    <w:rsid w:val="0089208F"/>
    <w:rsid w:val="00892D7C"/>
    <w:rsid w:val="008938D0"/>
    <w:rsid w:val="00893E60"/>
    <w:rsid w:val="00894181"/>
    <w:rsid w:val="0089589C"/>
    <w:rsid w:val="00896CBC"/>
    <w:rsid w:val="00896D30"/>
    <w:rsid w:val="00897DDE"/>
    <w:rsid w:val="008A0D47"/>
    <w:rsid w:val="008A2F95"/>
    <w:rsid w:val="008A3D54"/>
    <w:rsid w:val="008A49E9"/>
    <w:rsid w:val="008A69C1"/>
    <w:rsid w:val="008A79F4"/>
    <w:rsid w:val="008B0071"/>
    <w:rsid w:val="008B0B0C"/>
    <w:rsid w:val="008B1335"/>
    <w:rsid w:val="008B31AF"/>
    <w:rsid w:val="008B781B"/>
    <w:rsid w:val="008B7E67"/>
    <w:rsid w:val="008C1152"/>
    <w:rsid w:val="008C2C46"/>
    <w:rsid w:val="008C395F"/>
    <w:rsid w:val="008C449B"/>
    <w:rsid w:val="008C4982"/>
    <w:rsid w:val="008C62FC"/>
    <w:rsid w:val="008D16E7"/>
    <w:rsid w:val="008D2412"/>
    <w:rsid w:val="008D2F55"/>
    <w:rsid w:val="008D3CE6"/>
    <w:rsid w:val="008D61A0"/>
    <w:rsid w:val="008D78D0"/>
    <w:rsid w:val="008E0654"/>
    <w:rsid w:val="008E23D9"/>
    <w:rsid w:val="008E4AEF"/>
    <w:rsid w:val="008E6209"/>
    <w:rsid w:val="008E6325"/>
    <w:rsid w:val="008E6F20"/>
    <w:rsid w:val="008E6F33"/>
    <w:rsid w:val="008E788A"/>
    <w:rsid w:val="008F0BF7"/>
    <w:rsid w:val="008F1E37"/>
    <w:rsid w:val="008F30D0"/>
    <w:rsid w:val="008F3C4D"/>
    <w:rsid w:val="008F3D70"/>
    <w:rsid w:val="008F4FBA"/>
    <w:rsid w:val="008F51A2"/>
    <w:rsid w:val="008F59B7"/>
    <w:rsid w:val="008F5E67"/>
    <w:rsid w:val="008F7392"/>
    <w:rsid w:val="008F7FC0"/>
    <w:rsid w:val="00900046"/>
    <w:rsid w:val="0090085F"/>
    <w:rsid w:val="00900E30"/>
    <w:rsid w:val="00901569"/>
    <w:rsid w:val="009018B0"/>
    <w:rsid w:val="00902371"/>
    <w:rsid w:val="00902EDE"/>
    <w:rsid w:val="009032C5"/>
    <w:rsid w:val="009035AC"/>
    <w:rsid w:val="00905043"/>
    <w:rsid w:val="00905BC1"/>
    <w:rsid w:val="00905C06"/>
    <w:rsid w:val="00906017"/>
    <w:rsid w:val="00906166"/>
    <w:rsid w:val="009067B0"/>
    <w:rsid w:val="00910A49"/>
    <w:rsid w:val="0091275E"/>
    <w:rsid w:val="00913975"/>
    <w:rsid w:val="00914CB8"/>
    <w:rsid w:val="00916B46"/>
    <w:rsid w:val="00916C32"/>
    <w:rsid w:val="00920C73"/>
    <w:rsid w:val="009212EF"/>
    <w:rsid w:val="009219A2"/>
    <w:rsid w:val="00922DD7"/>
    <w:rsid w:val="0092319C"/>
    <w:rsid w:val="009247F1"/>
    <w:rsid w:val="009257EF"/>
    <w:rsid w:val="00927E98"/>
    <w:rsid w:val="00930CD9"/>
    <w:rsid w:val="0093451A"/>
    <w:rsid w:val="00934EB2"/>
    <w:rsid w:val="0093696C"/>
    <w:rsid w:val="00937395"/>
    <w:rsid w:val="0093788E"/>
    <w:rsid w:val="009435A6"/>
    <w:rsid w:val="00943BE4"/>
    <w:rsid w:val="00944C87"/>
    <w:rsid w:val="00944D26"/>
    <w:rsid w:val="009466AB"/>
    <w:rsid w:val="00946D58"/>
    <w:rsid w:val="00947086"/>
    <w:rsid w:val="00947260"/>
    <w:rsid w:val="009474B4"/>
    <w:rsid w:val="00951704"/>
    <w:rsid w:val="0095203F"/>
    <w:rsid w:val="0095305C"/>
    <w:rsid w:val="00954B1D"/>
    <w:rsid w:val="009558F1"/>
    <w:rsid w:val="00956F2F"/>
    <w:rsid w:val="00957F4F"/>
    <w:rsid w:val="0096068A"/>
    <w:rsid w:val="00960AEE"/>
    <w:rsid w:val="00963CB3"/>
    <w:rsid w:val="00964E7A"/>
    <w:rsid w:val="0096629D"/>
    <w:rsid w:val="009703C9"/>
    <w:rsid w:val="00970618"/>
    <w:rsid w:val="009709FD"/>
    <w:rsid w:val="00972233"/>
    <w:rsid w:val="00974E08"/>
    <w:rsid w:val="00974F1B"/>
    <w:rsid w:val="0097536C"/>
    <w:rsid w:val="0097587A"/>
    <w:rsid w:val="009764E7"/>
    <w:rsid w:val="00976B4A"/>
    <w:rsid w:val="009813F3"/>
    <w:rsid w:val="009836BD"/>
    <w:rsid w:val="009838B9"/>
    <w:rsid w:val="00983BFA"/>
    <w:rsid w:val="0098416B"/>
    <w:rsid w:val="00984254"/>
    <w:rsid w:val="0098432B"/>
    <w:rsid w:val="0098508F"/>
    <w:rsid w:val="0098533D"/>
    <w:rsid w:val="00985B48"/>
    <w:rsid w:val="00985C5F"/>
    <w:rsid w:val="00986F09"/>
    <w:rsid w:val="00986F41"/>
    <w:rsid w:val="00987231"/>
    <w:rsid w:val="00987A61"/>
    <w:rsid w:val="009905BB"/>
    <w:rsid w:val="00991504"/>
    <w:rsid w:val="00991BD2"/>
    <w:rsid w:val="00992EF7"/>
    <w:rsid w:val="00997934"/>
    <w:rsid w:val="009A1BB3"/>
    <w:rsid w:val="009A4242"/>
    <w:rsid w:val="009A4DF5"/>
    <w:rsid w:val="009A5BFB"/>
    <w:rsid w:val="009A5F80"/>
    <w:rsid w:val="009A656E"/>
    <w:rsid w:val="009A7C1A"/>
    <w:rsid w:val="009B1E2F"/>
    <w:rsid w:val="009B217A"/>
    <w:rsid w:val="009B2515"/>
    <w:rsid w:val="009B2546"/>
    <w:rsid w:val="009B33EC"/>
    <w:rsid w:val="009B3639"/>
    <w:rsid w:val="009B493E"/>
    <w:rsid w:val="009B6D7B"/>
    <w:rsid w:val="009B6D90"/>
    <w:rsid w:val="009C054C"/>
    <w:rsid w:val="009C0672"/>
    <w:rsid w:val="009C1C85"/>
    <w:rsid w:val="009C1F55"/>
    <w:rsid w:val="009C3E15"/>
    <w:rsid w:val="009C5B60"/>
    <w:rsid w:val="009C5C32"/>
    <w:rsid w:val="009C5F85"/>
    <w:rsid w:val="009C6151"/>
    <w:rsid w:val="009C6350"/>
    <w:rsid w:val="009D00FA"/>
    <w:rsid w:val="009D0104"/>
    <w:rsid w:val="009D192D"/>
    <w:rsid w:val="009D2F01"/>
    <w:rsid w:val="009D4ACF"/>
    <w:rsid w:val="009D5288"/>
    <w:rsid w:val="009D7764"/>
    <w:rsid w:val="009D7998"/>
    <w:rsid w:val="009E0929"/>
    <w:rsid w:val="009E1C31"/>
    <w:rsid w:val="009E21A7"/>
    <w:rsid w:val="009E25AC"/>
    <w:rsid w:val="009E3590"/>
    <w:rsid w:val="009E422B"/>
    <w:rsid w:val="009E4ABA"/>
    <w:rsid w:val="009E5520"/>
    <w:rsid w:val="009E596C"/>
    <w:rsid w:val="009E7D19"/>
    <w:rsid w:val="009F00E9"/>
    <w:rsid w:val="009F0328"/>
    <w:rsid w:val="009F0585"/>
    <w:rsid w:val="009F2BA9"/>
    <w:rsid w:val="009F2D66"/>
    <w:rsid w:val="009F72DB"/>
    <w:rsid w:val="009F731D"/>
    <w:rsid w:val="009F733A"/>
    <w:rsid w:val="00A02CF2"/>
    <w:rsid w:val="00A03002"/>
    <w:rsid w:val="00A031A1"/>
    <w:rsid w:val="00A03C07"/>
    <w:rsid w:val="00A049CE"/>
    <w:rsid w:val="00A05F22"/>
    <w:rsid w:val="00A071C8"/>
    <w:rsid w:val="00A07FA5"/>
    <w:rsid w:val="00A117A6"/>
    <w:rsid w:val="00A118E4"/>
    <w:rsid w:val="00A122FB"/>
    <w:rsid w:val="00A13BCE"/>
    <w:rsid w:val="00A14130"/>
    <w:rsid w:val="00A1426E"/>
    <w:rsid w:val="00A14F3E"/>
    <w:rsid w:val="00A15369"/>
    <w:rsid w:val="00A15A6C"/>
    <w:rsid w:val="00A15B01"/>
    <w:rsid w:val="00A164EA"/>
    <w:rsid w:val="00A17742"/>
    <w:rsid w:val="00A17BEE"/>
    <w:rsid w:val="00A22EC6"/>
    <w:rsid w:val="00A23805"/>
    <w:rsid w:val="00A23AE5"/>
    <w:rsid w:val="00A24C66"/>
    <w:rsid w:val="00A24F81"/>
    <w:rsid w:val="00A275C8"/>
    <w:rsid w:val="00A3086A"/>
    <w:rsid w:val="00A30872"/>
    <w:rsid w:val="00A31802"/>
    <w:rsid w:val="00A320FD"/>
    <w:rsid w:val="00A33CD1"/>
    <w:rsid w:val="00A3481A"/>
    <w:rsid w:val="00A34A4C"/>
    <w:rsid w:val="00A353C9"/>
    <w:rsid w:val="00A35DE2"/>
    <w:rsid w:val="00A3783D"/>
    <w:rsid w:val="00A412A2"/>
    <w:rsid w:val="00A417F4"/>
    <w:rsid w:val="00A44BF3"/>
    <w:rsid w:val="00A4521A"/>
    <w:rsid w:val="00A452D4"/>
    <w:rsid w:val="00A4572A"/>
    <w:rsid w:val="00A458D5"/>
    <w:rsid w:val="00A45A04"/>
    <w:rsid w:val="00A471E0"/>
    <w:rsid w:val="00A50332"/>
    <w:rsid w:val="00A51226"/>
    <w:rsid w:val="00A513EC"/>
    <w:rsid w:val="00A514A6"/>
    <w:rsid w:val="00A51D96"/>
    <w:rsid w:val="00A5232C"/>
    <w:rsid w:val="00A52556"/>
    <w:rsid w:val="00A52BFB"/>
    <w:rsid w:val="00A52CC8"/>
    <w:rsid w:val="00A556C4"/>
    <w:rsid w:val="00A56FD6"/>
    <w:rsid w:val="00A600BB"/>
    <w:rsid w:val="00A60176"/>
    <w:rsid w:val="00A605E8"/>
    <w:rsid w:val="00A60844"/>
    <w:rsid w:val="00A61DA9"/>
    <w:rsid w:val="00A6410A"/>
    <w:rsid w:val="00A65E7E"/>
    <w:rsid w:val="00A66F2F"/>
    <w:rsid w:val="00A71786"/>
    <w:rsid w:val="00A71D9F"/>
    <w:rsid w:val="00A72900"/>
    <w:rsid w:val="00A72C70"/>
    <w:rsid w:val="00A7319F"/>
    <w:rsid w:val="00A732DA"/>
    <w:rsid w:val="00A74101"/>
    <w:rsid w:val="00A752AD"/>
    <w:rsid w:val="00A7663C"/>
    <w:rsid w:val="00A7741C"/>
    <w:rsid w:val="00A7752E"/>
    <w:rsid w:val="00A778FC"/>
    <w:rsid w:val="00A802AD"/>
    <w:rsid w:val="00A8206D"/>
    <w:rsid w:val="00A82DFD"/>
    <w:rsid w:val="00A8348B"/>
    <w:rsid w:val="00A8489F"/>
    <w:rsid w:val="00A84B1C"/>
    <w:rsid w:val="00A8531F"/>
    <w:rsid w:val="00A85764"/>
    <w:rsid w:val="00A872D2"/>
    <w:rsid w:val="00A87D91"/>
    <w:rsid w:val="00A90E73"/>
    <w:rsid w:val="00A95480"/>
    <w:rsid w:val="00A95678"/>
    <w:rsid w:val="00A95CDF"/>
    <w:rsid w:val="00A96231"/>
    <w:rsid w:val="00AA11FA"/>
    <w:rsid w:val="00AA1797"/>
    <w:rsid w:val="00AA1A5F"/>
    <w:rsid w:val="00AA22BC"/>
    <w:rsid w:val="00AA24D5"/>
    <w:rsid w:val="00AA2A5F"/>
    <w:rsid w:val="00AA303F"/>
    <w:rsid w:val="00AA3289"/>
    <w:rsid w:val="00AA3A60"/>
    <w:rsid w:val="00AA55F8"/>
    <w:rsid w:val="00AA59EC"/>
    <w:rsid w:val="00AA6206"/>
    <w:rsid w:val="00AA7180"/>
    <w:rsid w:val="00AB1C3E"/>
    <w:rsid w:val="00AB372C"/>
    <w:rsid w:val="00AB7430"/>
    <w:rsid w:val="00AC2A7C"/>
    <w:rsid w:val="00AC53AC"/>
    <w:rsid w:val="00AC63B8"/>
    <w:rsid w:val="00AC7345"/>
    <w:rsid w:val="00AC7ADE"/>
    <w:rsid w:val="00AC7B0E"/>
    <w:rsid w:val="00AD060D"/>
    <w:rsid w:val="00AD063C"/>
    <w:rsid w:val="00AD1A32"/>
    <w:rsid w:val="00AD1CB9"/>
    <w:rsid w:val="00AD3EA0"/>
    <w:rsid w:val="00AD3FB0"/>
    <w:rsid w:val="00AD53C4"/>
    <w:rsid w:val="00AD5477"/>
    <w:rsid w:val="00AD5AB0"/>
    <w:rsid w:val="00AD7404"/>
    <w:rsid w:val="00AD7826"/>
    <w:rsid w:val="00AD7859"/>
    <w:rsid w:val="00AE00AC"/>
    <w:rsid w:val="00AE31DC"/>
    <w:rsid w:val="00AE37E4"/>
    <w:rsid w:val="00AE3B31"/>
    <w:rsid w:val="00AE5757"/>
    <w:rsid w:val="00AF011A"/>
    <w:rsid w:val="00AF0DB5"/>
    <w:rsid w:val="00AF1F73"/>
    <w:rsid w:val="00AF2562"/>
    <w:rsid w:val="00AF3781"/>
    <w:rsid w:val="00AF3A1A"/>
    <w:rsid w:val="00AF41FF"/>
    <w:rsid w:val="00AF4885"/>
    <w:rsid w:val="00AF4BF7"/>
    <w:rsid w:val="00AF5055"/>
    <w:rsid w:val="00AF5282"/>
    <w:rsid w:val="00AF5C7A"/>
    <w:rsid w:val="00AF5F50"/>
    <w:rsid w:val="00AF6FA3"/>
    <w:rsid w:val="00AF72A9"/>
    <w:rsid w:val="00B02823"/>
    <w:rsid w:val="00B0301B"/>
    <w:rsid w:val="00B03952"/>
    <w:rsid w:val="00B06C20"/>
    <w:rsid w:val="00B10F68"/>
    <w:rsid w:val="00B13AA6"/>
    <w:rsid w:val="00B14DF5"/>
    <w:rsid w:val="00B171FA"/>
    <w:rsid w:val="00B17791"/>
    <w:rsid w:val="00B17860"/>
    <w:rsid w:val="00B17A21"/>
    <w:rsid w:val="00B211D6"/>
    <w:rsid w:val="00B2174B"/>
    <w:rsid w:val="00B21FF3"/>
    <w:rsid w:val="00B22892"/>
    <w:rsid w:val="00B231C3"/>
    <w:rsid w:val="00B27557"/>
    <w:rsid w:val="00B27F2E"/>
    <w:rsid w:val="00B3113E"/>
    <w:rsid w:val="00B33B8C"/>
    <w:rsid w:val="00B3412E"/>
    <w:rsid w:val="00B36299"/>
    <w:rsid w:val="00B405DD"/>
    <w:rsid w:val="00B406CA"/>
    <w:rsid w:val="00B40E95"/>
    <w:rsid w:val="00B416B8"/>
    <w:rsid w:val="00B41C95"/>
    <w:rsid w:val="00B465B2"/>
    <w:rsid w:val="00B46883"/>
    <w:rsid w:val="00B5212B"/>
    <w:rsid w:val="00B53A80"/>
    <w:rsid w:val="00B55ACA"/>
    <w:rsid w:val="00B56ABF"/>
    <w:rsid w:val="00B571E8"/>
    <w:rsid w:val="00B57552"/>
    <w:rsid w:val="00B5767C"/>
    <w:rsid w:val="00B60B8D"/>
    <w:rsid w:val="00B61C1D"/>
    <w:rsid w:val="00B627B0"/>
    <w:rsid w:val="00B65A85"/>
    <w:rsid w:val="00B665CC"/>
    <w:rsid w:val="00B66ACA"/>
    <w:rsid w:val="00B66CBD"/>
    <w:rsid w:val="00B67348"/>
    <w:rsid w:val="00B7156F"/>
    <w:rsid w:val="00B71AEC"/>
    <w:rsid w:val="00B7388C"/>
    <w:rsid w:val="00B73A6D"/>
    <w:rsid w:val="00B73B9C"/>
    <w:rsid w:val="00B73C84"/>
    <w:rsid w:val="00B74C84"/>
    <w:rsid w:val="00B76B41"/>
    <w:rsid w:val="00B7757A"/>
    <w:rsid w:val="00B821D1"/>
    <w:rsid w:val="00B82E60"/>
    <w:rsid w:val="00B83152"/>
    <w:rsid w:val="00B86154"/>
    <w:rsid w:val="00B86AD1"/>
    <w:rsid w:val="00B87B0C"/>
    <w:rsid w:val="00B90FBB"/>
    <w:rsid w:val="00B94610"/>
    <w:rsid w:val="00B9507B"/>
    <w:rsid w:val="00B956DF"/>
    <w:rsid w:val="00B95A06"/>
    <w:rsid w:val="00B95C22"/>
    <w:rsid w:val="00B96100"/>
    <w:rsid w:val="00B96CA9"/>
    <w:rsid w:val="00BA00EC"/>
    <w:rsid w:val="00BA0474"/>
    <w:rsid w:val="00BA0E51"/>
    <w:rsid w:val="00BA1FE6"/>
    <w:rsid w:val="00BA2DE3"/>
    <w:rsid w:val="00BA2E59"/>
    <w:rsid w:val="00BA6E4A"/>
    <w:rsid w:val="00BB00FA"/>
    <w:rsid w:val="00BB2DBF"/>
    <w:rsid w:val="00BB3D59"/>
    <w:rsid w:val="00BB4071"/>
    <w:rsid w:val="00BB4EA6"/>
    <w:rsid w:val="00BB7176"/>
    <w:rsid w:val="00BB763B"/>
    <w:rsid w:val="00BC43AB"/>
    <w:rsid w:val="00BC4804"/>
    <w:rsid w:val="00BC4879"/>
    <w:rsid w:val="00BC56DC"/>
    <w:rsid w:val="00BC7499"/>
    <w:rsid w:val="00BC7DD0"/>
    <w:rsid w:val="00BD0C67"/>
    <w:rsid w:val="00BD0EC4"/>
    <w:rsid w:val="00BD16DC"/>
    <w:rsid w:val="00BD25C4"/>
    <w:rsid w:val="00BD2CC1"/>
    <w:rsid w:val="00BD332A"/>
    <w:rsid w:val="00BD3606"/>
    <w:rsid w:val="00BD457D"/>
    <w:rsid w:val="00BD4906"/>
    <w:rsid w:val="00BE037C"/>
    <w:rsid w:val="00BE074B"/>
    <w:rsid w:val="00BE0981"/>
    <w:rsid w:val="00BE199F"/>
    <w:rsid w:val="00BE2312"/>
    <w:rsid w:val="00BE297A"/>
    <w:rsid w:val="00BE3643"/>
    <w:rsid w:val="00BE4157"/>
    <w:rsid w:val="00BE446D"/>
    <w:rsid w:val="00BE5477"/>
    <w:rsid w:val="00BE5BD0"/>
    <w:rsid w:val="00BE5BD3"/>
    <w:rsid w:val="00BE63C6"/>
    <w:rsid w:val="00BE6F81"/>
    <w:rsid w:val="00BE76AD"/>
    <w:rsid w:val="00BE7CB2"/>
    <w:rsid w:val="00BF1845"/>
    <w:rsid w:val="00BF1DC1"/>
    <w:rsid w:val="00BF49BE"/>
    <w:rsid w:val="00BF5D67"/>
    <w:rsid w:val="00BF63F0"/>
    <w:rsid w:val="00C00487"/>
    <w:rsid w:val="00C00D0D"/>
    <w:rsid w:val="00C0110B"/>
    <w:rsid w:val="00C02CEC"/>
    <w:rsid w:val="00C02E00"/>
    <w:rsid w:val="00C056DB"/>
    <w:rsid w:val="00C05B2E"/>
    <w:rsid w:val="00C1049D"/>
    <w:rsid w:val="00C104E4"/>
    <w:rsid w:val="00C10772"/>
    <w:rsid w:val="00C13E97"/>
    <w:rsid w:val="00C13FED"/>
    <w:rsid w:val="00C140C6"/>
    <w:rsid w:val="00C14220"/>
    <w:rsid w:val="00C146A2"/>
    <w:rsid w:val="00C1499B"/>
    <w:rsid w:val="00C15256"/>
    <w:rsid w:val="00C15809"/>
    <w:rsid w:val="00C173E3"/>
    <w:rsid w:val="00C22601"/>
    <w:rsid w:val="00C24759"/>
    <w:rsid w:val="00C24B8B"/>
    <w:rsid w:val="00C255DE"/>
    <w:rsid w:val="00C26E12"/>
    <w:rsid w:val="00C26F62"/>
    <w:rsid w:val="00C30134"/>
    <w:rsid w:val="00C32F01"/>
    <w:rsid w:val="00C34D12"/>
    <w:rsid w:val="00C361E8"/>
    <w:rsid w:val="00C363E9"/>
    <w:rsid w:val="00C36FF7"/>
    <w:rsid w:val="00C40EBD"/>
    <w:rsid w:val="00C41F55"/>
    <w:rsid w:val="00C425AA"/>
    <w:rsid w:val="00C431C8"/>
    <w:rsid w:val="00C43245"/>
    <w:rsid w:val="00C46293"/>
    <w:rsid w:val="00C465AF"/>
    <w:rsid w:val="00C467AF"/>
    <w:rsid w:val="00C46B3B"/>
    <w:rsid w:val="00C47A13"/>
    <w:rsid w:val="00C52EC4"/>
    <w:rsid w:val="00C53011"/>
    <w:rsid w:val="00C53A0A"/>
    <w:rsid w:val="00C53BC6"/>
    <w:rsid w:val="00C55BB2"/>
    <w:rsid w:val="00C55DF7"/>
    <w:rsid w:val="00C55E3F"/>
    <w:rsid w:val="00C55EA8"/>
    <w:rsid w:val="00C561B1"/>
    <w:rsid w:val="00C5755B"/>
    <w:rsid w:val="00C57A47"/>
    <w:rsid w:val="00C57C73"/>
    <w:rsid w:val="00C63ADA"/>
    <w:rsid w:val="00C649F5"/>
    <w:rsid w:val="00C64F8A"/>
    <w:rsid w:val="00C66422"/>
    <w:rsid w:val="00C668D2"/>
    <w:rsid w:val="00C66B05"/>
    <w:rsid w:val="00C66C04"/>
    <w:rsid w:val="00C67804"/>
    <w:rsid w:val="00C67E7E"/>
    <w:rsid w:val="00C71CBA"/>
    <w:rsid w:val="00C72BD5"/>
    <w:rsid w:val="00C72C63"/>
    <w:rsid w:val="00C73130"/>
    <w:rsid w:val="00C76CA7"/>
    <w:rsid w:val="00C771A3"/>
    <w:rsid w:val="00C77498"/>
    <w:rsid w:val="00C77B5F"/>
    <w:rsid w:val="00C77B6F"/>
    <w:rsid w:val="00C80680"/>
    <w:rsid w:val="00C82ED3"/>
    <w:rsid w:val="00C82F69"/>
    <w:rsid w:val="00C83114"/>
    <w:rsid w:val="00C8411F"/>
    <w:rsid w:val="00C85528"/>
    <w:rsid w:val="00C86B9A"/>
    <w:rsid w:val="00C87A51"/>
    <w:rsid w:val="00C87B32"/>
    <w:rsid w:val="00C87FE1"/>
    <w:rsid w:val="00C907BD"/>
    <w:rsid w:val="00C90E79"/>
    <w:rsid w:val="00C91895"/>
    <w:rsid w:val="00C91FA3"/>
    <w:rsid w:val="00C929E9"/>
    <w:rsid w:val="00C92AE2"/>
    <w:rsid w:val="00C93579"/>
    <w:rsid w:val="00C93759"/>
    <w:rsid w:val="00C93CF6"/>
    <w:rsid w:val="00C93DFC"/>
    <w:rsid w:val="00C942A0"/>
    <w:rsid w:val="00C9465F"/>
    <w:rsid w:val="00C9543C"/>
    <w:rsid w:val="00C9691C"/>
    <w:rsid w:val="00C9696D"/>
    <w:rsid w:val="00CA03DF"/>
    <w:rsid w:val="00CA10B2"/>
    <w:rsid w:val="00CA6830"/>
    <w:rsid w:val="00CA6A68"/>
    <w:rsid w:val="00CA7B99"/>
    <w:rsid w:val="00CB0DB5"/>
    <w:rsid w:val="00CB15F8"/>
    <w:rsid w:val="00CB23DC"/>
    <w:rsid w:val="00CB2C34"/>
    <w:rsid w:val="00CB3169"/>
    <w:rsid w:val="00CB32B6"/>
    <w:rsid w:val="00CB3D75"/>
    <w:rsid w:val="00CB3FAB"/>
    <w:rsid w:val="00CB5442"/>
    <w:rsid w:val="00CB5BB1"/>
    <w:rsid w:val="00CB7514"/>
    <w:rsid w:val="00CB79B5"/>
    <w:rsid w:val="00CC0FF9"/>
    <w:rsid w:val="00CC13C5"/>
    <w:rsid w:val="00CC19DE"/>
    <w:rsid w:val="00CC2F60"/>
    <w:rsid w:val="00CC3B47"/>
    <w:rsid w:val="00CC46E9"/>
    <w:rsid w:val="00CC5B0D"/>
    <w:rsid w:val="00CC6E98"/>
    <w:rsid w:val="00CC7D19"/>
    <w:rsid w:val="00CD0039"/>
    <w:rsid w:val="00CD04B2"/>
    <w:rsid w:val="00CD3E3C"/>
    <w:rsid w:val="00CD4025"/>
    <w:rsid w:val="00CD7557"/>
    <w:rsid w:val="00CE0134"/>
    <w:rsid w:val="00CE1C26"/>
    <w:rsid w:val="00CE2973"/>
    <w:rsid w:val="00CE2C21"/>
    <w:rsid w:val="00CE2F32"/>
    <w:rsid w:val="00CE47DB"/>
    <w:rsid w:val="00CE5F41"/>
    <w:rsid w:val="00CF1049"/>
    <w:rsid w:val="00CF1D18"/>
    <w:rsid w:val="00CF2177"/>
    <w:rsid w:val="00CF33F2"/>
    <w:rsid w:val="00CF35FD"/>
    <w:rsid w:val="00CF3899"/>
    <w:rsid w:val="00CF3AAE"/>
    <w:rsid w:val="00CF3DEB"/>
    <w:rsid w:val="00CF54D5"/>
    <w:rsid w:val="00CF5776"/>
    <w:rsid w:val="00CF5C1C"/>
    <w:rsid w:val="00CF62B5"/>
    <w:rsid w:val="00D01E52"/>
    <w:rsid w:val="00D02AF5"/>
    <w:rsid w:val="00D040CB"/>
    <w:rsid w:val="00D048EF"/>
    <w:rsid w:val="00D058EE"/>
    <w:rsid w:val="00D060D0"/>
    <w:rsid w:val="00D06C2C"/>
    <w:rsid w:val="00D07A11"/>
    <w:rsid w:val="00D1188E"/>
    <w:rsid w:val="00D12768"/>
    <w:rsid w:val="00D13169"/>
    <w:rsid w:val="00D13EAC"/>
    <w:rsid w:val="00D14EFC"/>
    <w:rsid w:val="00D16671"/>
    <w:rsid w:val="00D2025C"/>
    <w:rsid w:val="00D20932"/>
    <w:rsid w:val="00D20ECE"/>
    <w:rsid w:val="00D21843"/>
    <w:rsid w:val="00D2368A"/>
    <w:rsid w:val="00D24920"/>
    <w:rsid w:val="00D24E24"/>
    <w:rsid w:val="00D254F9"/>
    <w:rsid w:val="00D26C49"/>
    <w:rsid w:val="00D31BCD"/>
    <w:rsid w:val="00D32538"/>
    <w:rsid w:val="00D330FA"/>
    <w:rsid w:val="00D34962"/>
    <w:rsid w:val="00D3506A"/>
    <w:rsid w:val="00D3640E"/>
    <w:rsid w:val="00D366FF"/>
    <w:rsid w:val="00D37418"/>
    <w:rsid w:val="00D37968"/>
    <w:rsid w:val="00D37BA7"/>
    <w:rsid w:val="00D37D01"/>
    <w:rsid w:val="00D41A1D"/>
    <w:rsid w:val="00D42709"/>
    <w:rsid w:val="00D429AC"/>
    <w:rsid w:val="00D466CE"/>
    <w:rsid w:val="00D47B93"/>
    <w:rsid w:val="00D5069F"/>
    <w:rsid w:val="00D50BA9"/>
    <w:rsid w:val="00D55BC9"/>
    <w:rsid w:val="00D56443"/>
    <w:rsid w:val="00D5664C"/>
    <w:rsid w:val="00D60674"/>
    <w:rsid w:val="00D61249"/>
    <w:rsid w:val="00D63086"/>
    <w:rsid w:val="00D6598A"/>
    <w:rsid w:val="00D665D9"/>
    <w:rsid w:val="00D67336"/>
    <w:rsid w:val="00D67DD7"/>
    <w:rsid w:val="00D707DD"/>
    <w:rsid w:val="00D7153E"/>
    <w:rsid w:val="00D72143"/>
    <w:rsid w:val="00D722B0"/>
    <w:rsid w:val="00D72765"/>
    <w:rsid w:val="00D7283B"/>
    <w:rsid w:val="00D77984"/>
    <w:rsid w:val="00D77F61"/>
    <w:rsid w:val="00D8152A"/>
    <w:rsid w:val="00D816E6"/>
    <w:rsid w:val="00D83F01"/>
    <w:rsid w:val="00D84C96"/>
    <w:rsid w:val="00D87EBA"/>
    <w:rsid w:val="00D90056"/>
    <w:rsid w:val="00D905CC"/>
    <w:rsid w:val="00D91447"/>
    <w:rsid w:val="00D91E33"/>
    <w:rsid w:val="00D92657"/>
    <w:rsid w:val="00D93E69"/>
    <w:rsid w:val="00D94868"/>
    <w:rsid w:val="00D954B6"/>
    <w:rsid w:val="00D95CAE"/>
    <w:rsid w:val="00DA128F"/>
    <w:rsid w:val="00DA15A6"/>
    <w:rsid w:val="00DA347C"/>
    <w:rsid w:val="00DA3846"/>
    <w:rsid w:val="00DA4A37"/>
    <w:rsid w:val="00DA52C1"/>
    <w:rsid w:val="00DA651F"/>
    <w:rsid w:val="00DA670E"/>
    <w:rsid w:val="00DA7DF0"/>
    <w:rsid w:val="00DB2035"/>
    <w:rsid w:val="00DB57F4"/>
    <w:rsid w:val="00DB5A9F"/>
    <w:rsid w:val="00DB5CDB"/>
    <w:rsid w:val="00DC11B1"/>
    <w:rsid w:val="00DC122E"/>
    <w:rsid w:val="00DC2A48"/>
    <w:rsid w:val="00DC3242"/>
    <w:rsid w:val="00DC5110"/>
    <w:rsid w:val="00DC5777"/>
    <w:rsid w:val="00DC78C3"/>
    <w:rsid w:val="00DD1A99"/>
    <w:rsid w:val="00DD330F"/>
    <w:rsid w:val="00DD3B7D"/>
    <w:rsid w:val="00DD3CAD"/>
    <w:rsid w:val="00DD58EE"/>
    <w:rsid w:val="00DD6AD6"/>
    <w:rsid w:val="00DD78FA"/>
    <w:rsid w:val="00DD7D72"/>
    <w:rsid w:val="00DE011C"/>
    <w:rsid w:val="00DE0E82"/>
    <w:rsid w:val="00DE190F"/>
    <w:rsid w:val="00DE1E11"/>
    <w:rsid w:val="00DE3F62"/>
    <w:rsid w:val="00DE661F"/>
    <w:rsid w:val="00DE71B7"/>
    <w:rsid w:val="00DE7D94"/>
    <w:rsid w:val="00DE7E51"/>
    <w:rsid w:val="00DF03C7"/>
    <w:rsid w:val="00DF1615"/>
    <w:rsid w:val="00DF23F6"/>
    <w:rsid w:val="00DF3727"/>
    <w:rsid w:val="00DF40E4"/>
    <w:rsid w:val="00DF6B83"/>
    <w:rsid w:val="00DF767C"/>
    <w:rsid w:val="00E01215"/>
    <w:rsid w:val="00E01D3C"/>
    <w:rsid w:val="00E027F8"/>
    <w:rsid w:val="00E02FB2"/>
    <w:rsid w:val="00E058D7"/>
    <w:rsid w:val="00E07D9F"/>
    <w:rsid w:val="00E10358"/>
    <w:rsid w:val="00E10691"/>
    <w:rsid w:val="00E11A41"/>
    <w:rsid w:val="00E11D7C"/>
    <w:rsid w:val="00E1232E"/>
    <w:rsid w:val="00E12659"/>
    <w:rsid w:val="00E14692"/>
    <w:rsid w:val="00E15504"/>
    <w:rsid w:val="00E16AF6"/>
    <w:rsid w:val="00E20379"/>
    <w:rsid w:val="00E20AD7"/>
    <w:rsid w:val="00E21F82"/>
    <w:rsid w:val="00E23153"/>
    <w:rsid w:val="00E2403C"/>
    <w:rsid w:val="00E25FEC"/>
    <w:rsid w:val="00E30F5A"/>
    <w:rsid w:val="00E315D5"/>
    <w:rsid w:val="00E31BD6"/>
    <w:rsid w:val="00E321FF"/>
    <w:rsid w:val="00E33613"/>
    <w:rsid w:val="00E338DE"/>
    <w:rsid w:val="00E37415"/>
    <w:rsid w:val="00E41340"/>
    <w:rsid w:val="00E432A1"/>
    <w:rsid w:val="00E45719"/>
    <w:rsid w:val="00E476A5"/>
    <w:rsid w:val="00E477F1"/>
    <w:rsid w:val="00E47B90"/>
    <w:rsid w:val="00E50523"/>
    <w:rsid w:val="00E52DBB"/>
    <w:rsid w:val="00E532B3"/>
    <w:rsid w:val="00E5382C"/>
    <w:rsid w:val="00E54D6E"/>
    <w:rsid w:val="00E54D9B"/>
    <w:rsid w:val="00E56461"/>
    <w:rsid w:val="00E57068"/>
    <w:rsid w:val="00E57A08"/>
    <w:rsid w:val="00E60AF8"/>
    <w:rsid w:val="00E61706"/>
    <w:rsid w:val="00E62819"/>
    <w:rsid w:val="00E628D0"/>
    <w:rsid w:val="00E62AB7"/>
    <w:rsid w:val="00E631BB"/>
    <w:rsid w:val="00E661C6"/>
    <w:rsid w:val="00E707A7"/>
    <w:rsid w:val="00E71612"/>
    <w:rsid w:val="00E7196D"/>
    <w:rsid w:val="00E741F3"/>
    <w:rsid w:val="00E7566E"/>
    <w:rsid w:val="00E76345"/>
    <w:rsid w:val="00E76351"/>
    <w:rsid w:val="00E77DBF"/>
    <w:rsid w:val="00E80106"/>
    <w:rsid w:val="00E80BE9"/>
    <w:rsid w:val="00E81EB6"/>
    <w:rsid w:val="00E82A50"/>
    <w:rsid w:val="00E83076"/>
    <w:rsid w:val="00E8345F"/>
    <w:rsid w:val="00E8352B"/>
    <w:rsid w:val="00E83967"/>
    <w:rsid w:val="00E83A07"/>
    <w:rsid w:val="00E846F7"/>
    <w:rsid w:val="00E84F12"/>
    <w:rsid w:val="00E85E0E"/>
    <w:rsid w:val="00E86DE2"/>
    <w:rsid w:val="00E873E6"/>
    <w:rsid w:val="00E878AE"/>
    <w:rsid w:val="00E87A02"/>
    <w:rsid w:val="00E90785"/>
    <w:rsid w:val="00E91B00"/>
    <w:rsid w:val="00E9376A"/>
    <w:rsid w:val="00E93AF1"/>
    <w:rsid w:val="00E93D87"/>
    <w:rsid w:val="00E946A2"/>
    <w:rsid w:val="00E95408"/>
    <w:rsid w:val="00E965FE"/>
    <w:rsid w:val="00EA098B"/>
    <w:rsid w:val="00EA0AEC"/>
    <w:rsid w:val="00EA0F03"/>
    <w:rsid w:val="00EA1061"/>
    <w:rsid w:val="00EA1170"/>
    <w:rsid w:val="00EA17D6"/>
    <w:rsid w:val="00EA1DD4"/>
    <w:rsid w:val="00EA22C2"/>
    <w:rsid w:val="00EA37FC"/>
    <w:rsid w:val="00EA3B73"/>
    <w:rsid w:val="00EA3DE5"/>
    <w:rsid w:val="00EA4B71"/>
    <w:rsid w:val="00EA50E6"/>
    <w:rsid w:val="00EB18BC"/>
    <w:rsid w:val="00EB1ECA"/>
    <w:rsid w:val="00EB2535"/>
    <w:rsid w:val="00EB27D8"/>
    <w:rsid w:val="00EB3DA3"/>
    <w:rsid w:val="00EB5C25"/>
    <w:rsid w:val="00EB6C2B"/>
    <w:rsid w:val="00EB6F8E"/>
    <w:rsid w:val="00EB7209"/>
    <w:rsid w:val="00EB7F7A"/>
    <w:rsid w:val="00EC123F"/>
    <w:rsid w:val="00EC1334"/>
    <w:rsid w:val="00EC3396"/>
    <w:rsid w:val="00EC3F09"/>
    <w:rsid w:val="00EC500F"/>
    <w:rsid w:val="00EC6618"/>
    <w:rsid w:val="00EC6B4F"/>
    <w:rsid w:val="00EC7907"/>
    <w:rsid w:val="00ED0A1E"/>
    <w:rsid w:val="00ED1637"/>
    <w:rsid w:val="00ED1D0D"/>
    <w:rsid w:val="00ED20CE"/>
    <w:rsid w:val="00ED25D0"/>
    <w:rsid w:val="00ED37AF"/>
    <w:rsid w:val="00ED5295"/>
    <w:rsid w:val="00ED5C5B"/>
    <w:rsid w:val="00ED62D5"/>
    <w:rsid w:val="00ED6C88"/>
    <w:rsid w:val="00ED791C"/>
    <w:rsid w:val="00EE024A"/>
    <w:rsid w:val="00EE045A"/>
    <w:rsid w:val="00EE1411"/>
    <w:rsid w:val="00EE1797"/>
    <w:rsid w:val="00EE216E"/>
    <w:rsid w:val="00EE335C"/>
    <w:rsid w:val="00EE3A14"/>
    <w:rsid w:val="00EE44F8"/>
    <w:rsid w:val="00EF00DB"/>
    <w:rsid w:val="00EF04AF"/>
    <w:rsid w:val="00EF1773"/>
    <w:rsid w:val="00EF289A"/>
    <w:rsid w:val="00EF3C13"/>
    <w:rsid w:val="00EF4E12"/>
    <w:rsid w:val="00EF5300"/>
    <w:rsid w:val="00EF59AB"/>
    <w:rsid w:val="00EF643B"/>
    <w:rsid w:val="00EF795F"/>
    <w:rsid w:val="00F000B4"/>
    <w:rsid w:val="00F02085"/>
    <w:rsid w:val="00F0249F"/>
    <w:rsid w:val="00F028EE"/>
    <w:rsid w:val="00F03293"/>
    <w:rsid w:val="00F03CD9"/>
    <w:rsid w:val="00F05BAC"/>
    <w:rsid w:val="00F0667D"/>
    <w:rsid w:val="00F10C84"/>
    <w:rsid w:val="00F12B92"/>
    <w:rsid w:val="00F146A6"/>
    <w:rsid w:val="00F153FD"/>
    <w:rsid w:val="00F15E57"/>
    <w:rsid w:val="00F16D27"/>
    <w:rsid w:val="00F21417"/>
    <w:rsid w:val="00F222BB"/>
    <w:rsid w:val="00F2279C"/>
    <w:rsid w:val="00F22843"/>
    <w:rsid w:val="00F22CC9"/>
    <w:rsid w:val="00F231FC"/>
    <w:rsid w:val="00F23704"/>
    <w:rsid w:val="00F243DE"/>
    <w:rsid w:val="00F252E0"/>
    <w:rsid w:val="00F25AFF"/>
    <w:rsid w:val="00F2635C"/>
    <w:rsid w:val="00F26B67"/>
    <w:rsid w:val="00F27196"/>
    <w:rsid w:val="00F276BB"/>
    <w:rsid w:val="00F27A81"/>
    <w:rsid w:val="00F3070B"/>
    <w:rsid w:val="00F30CB4"/>
    <w:rsid w:val="00F31BCE"/>
    <w:rsid w:val="00F31E48"/>
    <w:rsid w:val="00F32D1C"/>
    <w:rsid w:val="00F34EFD"/>
    <w:rsid w:val="00F34F9B"/>
    <w:rsid w:val="00F3638B"/>
    <w:rsid w:val="00F373A9"/>
    <w:rsid w:val="00F37470"/>
    <w:rsid w:val="00F403C9"/>
    <w:rsid w:val="00F41560"/>
    <w:rsid w:val="00F4309B"/>
    <w:rsid w:val="00F43EE4"/>
    <w:rsid w:val="00F44590"/>
    <w:rsid w:val="00F4593E"/>
    <w:rsid w:val="00F479D5"/>
    <w:rsid w:val="00F51100"/>
    <w:rsid w:val="00F536E0"/>
    <w:rsid w:val="00F53BB0"/>
    <w:rsid w:val="00F56A94"/>
    <w:rsid w:val="00F57BD4"/>
    <w:rsid w:val="00F603A1"/>
    <w:rsid w:val="00F60A83"/>
    <w:rsid w:val="00F60B7D"/>
    <w:rsid w:val="00F60DEB"/>
    <w:rsid w:val="00F61553"/>
    <w:rsid w:val="00F61F43"/>
    <w:rsid w:val="00F63719"/>
    <w:rsid w:val="00F64208"/>
    <w:rsid w:val="00F64893"/>
    <w:rsid w:val="00F64E42"/>
    <w:rsid w:val="00F64E8C"/>
    <w:rsid w:val="00F6515E"/>
    <w:rsid w:val="00F677E9"/>
    <w:rsid w:val="00F70DCC"/>
    <w:rsid w:val="00F71431"/>
    <w:rsid w:val="00F71AFF"/>
    <w:rsid w:val="00F75E9E"/>
    <w:rsid w:val="00F768DF"/>
    <w:rsid w:val="00F76ADF"/>
    <w:rsid w:val="00F77517"/>
    <w:rsid w:val="00F813A6"/>
    <w:rsid w:val="00F814BD"/>
    <w:rsid w:val="00F81B1A"/>
    <w:rsid w:val="00F8583F"/>
    <w:rsid w:val="00F8649F"/>
    <w:rsid w:val="00F86948"/>
    <w:rsid w:val="00F915A0"/>
    <w:rsid w:val="00F92781"/>
    <w:rsid w:val="00F92880"/>
    <w:rsid w:val="00F93015"/>
    <w:rsid w:val="00F93BC2"/>
    <w:rsid w:val="00F94EA6"/>
    <w:rsid w:val="00F97F0A"/>
    <w:rsid w:val="00FA3C43"/>
    <w:rsid w:val="00FA45E7"/>
    <w:rsid w:val="00FA5AB9"/>
    <w:rsid w:val="00FA649A"/>
    <w:rsid w:val="00FA6B59"/>
    <w:rsid w:val="00FB1377"/>
    <w:rsid w:val="00FB18F3"/>
    <w:rsid w:val="00FB3272"/>
    <w:rsid w:val="00FB348D"/>
    <w:rsid w:val="00FB69B7"/>
    <w:rsid w:val="00FB729F"/>
    <w:rsid w:val="00FB7B75"/>
    <w:rsid w:val="00FC3F74"/>
    <w:rsid w:val="00FC6534"/>
    <w:rsid w:val="00FC77C4"/>
    <w:rsid w:val="00FC7FBE"/>
    <w:rsid w:val="00FD278F"/>
    <w:rsid w:val="00FD33C5"/>
    <w:rsid w:val="00FD3F5E"/>
    <w:rsid w:val="00FD717D"/>
    <w:rsid w:val="00FD7316"/>
    <w:rsid w:val="00FE0B82"/>
    <w:rsid w:val="00FE1D07"/>
    <w:rsid w:val="00FE1DE5"/>
    <w:rsid w:val="00FE254B"/>
    <w:rsid w:val="00FE272D"/>
    <w:rsid w:val="00FE2EB1"/>
    <w:rsid w:val="00FE37C8"/>
    <w:rsid w:val="00FE46B6"/>
    <w:rsid w:val="00FE5781"/>
    <w:rsid w:val="00FE5EDA"/>
    <w:rsid w:val="00FE637B"/>
    <w:rsid w:val="00FE7A51"/>
    <w:rsid w:val="00FF3084"/>
    <w:rsid w:val="00FF4D4A"/>
    <w:rsid w:val="00FF63E0"/>
    <w:rsid w:val="00FF69EE"/>
    <w:rsid w:val="00FF6B9D"/>
    <w:rsid w:val="00FF7493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F8A10"/>
  <w15:docId w15:val="{C057248A-8D44-4D29-BE36-DD5A7F37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F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DC78C3"/>
    <w:rPr>
      <w:rFonts w:ascii="GothamBook" w:hAnsi="GothamBook" w:hint="default"/>
      <w:b w:val="0"/>
      <w:bCs w:val="0"/>
      <w:i w:val="0"/>
      <w:iCs w:val="0"/>
      <w:color w:val="57585A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C78C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4025"/>
    <w:pPr>
      <w:ind w:left="720"/>
      <w:contextualSpacing/>
    </w:pPr>
  </w:style>
  <w:style w:type="table" w:styleId="Tabelacomgrade">
    <w:name w:val="Table Grid"/>
    <w:basedOn w:val="Tabelanormal"/>
    <w:uiPriority w:val="39"/>
    <w:rsid w:val="00B7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131613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32F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32F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32F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2F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2F5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F5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F6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63E0"/>
  </w:style>
  <w:style w:type="paragraph" w:styleId="Rodap">
    <w:name w:val="footer"/>
    <w:basedOn w:val="Normal"/>
    <w:link w:val="RodapChar"/>
    <w:uiPriority w:val="99"/>
    <w:unhideWhenUsed/>
    <w:rsid w:val="00FF6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63E0"/>
  </w:style>
  <w:style w:type="paragraph" w:styleId="Pr-formataoHTML">
    <w:name w:val="HTML Preformatted"/>
    <w:basedOn w:val="Normal"/>
    <w:link w:val="Pr-formataoHTMLChar"/>
    <w:uiPriority w:val="99"/>
    <w:unhideWhenUsed/>
    <w:rsid w:val="00F22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22CC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fontstyle31">
    <w:name w:val="fontstyle31"/>
    <w:basedOn w:val="Fontepargpadro"/>
    <w:rsid w:val="00596A1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74E08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BF1845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C1D96"/>
    <w:rPr>
      <w:b/>
      <w:bCs/>
      <w:i w:val="0"/>
      <w:iCs w:val="0"/>
    </w:rPr>
  </w:style>
  <w:style w:type="character" w:customStyle="1" w:styleId="st1">
    <w:name w:val="st1"/>
    <w:basedOn w:val="Fontepargpadro"/>
    <w:rsid w:val="004C1D96"/>
  </w:style>
  <w:style w:type="character" w:customStyle="1" w:styleId="apple-converted-space">
    <w:name w:val="apple-converted-space"/>
    <w:basedOn w:val="Fontepargpadro"/>
    <w:rsid w:val="00531970"/>
  </w:style>
  <w:style w:type="character" w:styleId="Meno">
    <w:name w:val="Mention"/>
    <w:basedOn w:val="Fontepargpadro"/>
    <w:uiPriority w:val="99"/>
    <w:semiHidden/>
    <w:unhideWhenUsed/>
    <w:rsid w:val="00311370"/>
    <w:rPr>
      <w:color w:val="2B579A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3E6C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wc.com.br/pt/quem-somos/pwc-brasil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DF01-A368-476F-8C22-2476CB37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19</Pages>
  <Words>9509</Words>
  <Characters>51349</Characters>
  <DocSecurity>0</DocSecurity>
  <Lines>427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2017-08-30T13:39:00Z</dcterms:created>
  <dcterms:modified xsi:type="dcterms:W3CDTF">2017-11-06T11:08:00Z</dcterms:modified>
</cp:coreProperties>
</file>