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D8C11" w14:textId="53DCA812" w:rsidR="00584B04" w:rsidRPr="00B06A71" w:rsidRDefault="00B06A71" w:rsidP="00692A7F">
      <w:pPr>
        <w:spacing w:after="120"/>
        <w:jc w:val="center"/>
        <w:rPr>
          <w:rFonts w:cs="Times New Roman"/>
          <w:b/>
          <w:caps/>
          <w:szCs w:val="24"/>
        </w:rPr>
      </w:pPr>
      <w:bookmarkStart w:id="0" w:name="_Toc384147985"/>
      <w:bookmarkStart w:id="1" w:name="_Toc442957878"/>
      <w:r>
        <w:rPr>
          <w:rFonts w:cs="Times New Roman"/>
          <w:b/>
          <w:szCs w:val="24"/>
        </w:rPr>
        <w:t>Panorama do Nível d</w:t>
      </w:r>
      <w:r w:rsidRPr="00B06A71">
        <w:rPr>
          <w:rFonts w:cs="Times New Roman"/>
          <w:b/>
          <w:szCs w:val="24"/>
        </w:rPr>
        <w:t>e</w:t>
      </w:r>
      <w:r w:rsidRPr="00B06A71">
        <w:rPr>
          <w:rFonts w:cs="Times New Roman"/>
          <w:b/>
          <w:i/>
          <w:szCs w:val="24"/>
        </w:rPr>
        <w:t xml:space="preserve"> Accountability</w:t>
      </w:r>
      <w:r>
        <w:rPr>
          <w:rFonts w:cs="Times New Roman"/>
          <w:b/>
          <w:szCs w:val="24"/>
        </w:rPr>
        <w:t xml:space="preserve"> das Unidades Gestoras de </w:t>
      </w:r>
      <w:r w:rsidR="00692A7F" w:rsidRPr="00692A7F">
        <w:rPr>
          <w:rFonts w:cs="Times New Roman"/>
          <w:b/>
          <w:szCs w:val="24"/>
        </w:rPr>
        <w:t>Regime Próprio de Previdência dos Servidores Públicos</w:t>
      </w:r>
      <w:r>
        <w:rPr>
          <w:rFonts w:cs="Times New Roman"/>
          <w:b/>
          <w:szCs w:val="24"/>
        </w:rPr>
        <w:t xml:space="preserve"> d</w:t>
      </w:r>
      <w:r w:rsidRPr="00B06A71">
        <w:rPr>
          <w:rFonts w:cs="Times New Roman"/>
          <w:b/>
          <w:szCs w:val="24"/>
        </w:rPr>
        <w:t>e Minas Gerais</w:t>
      </w:r>
    </w:p>
    <w:p w14:paraId="38E316F5" w14:textId="7AF47CEF" w:rsidR="00443F94" w:rsidRDefault="00771254" w:rsidP="00443F94">
      <w:pPr>
        <w:spacing w:after="120"/>
        <w:jc w:val="center"/>
        <w:rPr>
          <w:rFonts w:cs="Times New Roman"/>
          <w:b/>
          <w:szCs w:val="24"/>
        </w:rPr>
      </w:pPr>
      <w:r>
        <w:rPr>
          <w:rFonts w:cs="Times New Roman"/>
          <w:b/>
          <w:szCs w:val="24"/>
        </w:rPr>
        <w:t>Accountability Scenery in t</w:t>
      </w:r>
      <w:r w:rsidRPr="00771254">
        <w:rPr>
          <w:rFonts w:cs="Times New Roman"/>
          <w:b/>
          <w:szCs w:val="24"/>
        </w:rPr>
        <w:t>he S</w:t>
      </w:r>
      <w:r>
        <w:rPr>
          <w:rFonts w:cs="Times New Roman"/>
          <w:b/>
          <w:szCs w:val="24"/>
        </w:rPr>
        <w:t>pecial Social Security Schemes of Management Units o</w:t>
      </w:r>
      <w:r w:rsidRPr="00771254">
        <w:rPr>
          <w:rFonts w:cs="Times New Roman"/>
          <w:b/>
          <w:szCs w:val="24"/>
        </w:rPr>
        <w:t xml:space="preserve">f </w:t>
      </w:r>
      <w:r>
        <w:rPr>
          <w:rFonts w:cs="Times New Roman"/>
          <w:b/>
          <w:color w:val="000000"/>
          <w:szCs w:val="24"/>
          <w:lang w:val="en-US"/>
        </w:rPr>
        <w:t xml:space="preserve">Minas Gerais’s </w:t>
      </w:r>
      <w:r w:rsidRPr="00771254">
        <w:rPr>
          <w:rFonts w:cs="Times New Roman"/>
          <w:b/>
          <w:szCs w:val="24"/>
        </w:rPr>
        <w:t>Municipal Civil Servants</w:t>
      </w:r>
    </w:p>
    <w:p w14:paraId="4B8CF11F" w14:textId="77777777" w:rsidR="00443F94" w:rsidRDefault="00443F94" w:rsidP="00443F94">
      <w:pPr>
        <w:spacing w:after="120"/>
        <w:jc w:val="center"/>
        <w:rPr>
          <w:rFonts w:cs="Times New Roman"/>
          <w:b/>
          <w:szCs w:val="24"/>
        </w:rPr>
      </w:pPr>
    </w:p>
    <w:p w14:paraId="24F6A614" w14:textId="6922DF73" w:rsidR="00976D71" w:rsidRPr="006B37CE" w:rsidRDefault="00976D71" w:rsidP="00443F94">
      <w:pPr>
        <w:spacing w:after="0"/>
        <w:jc w:val="right"/>
        <w:rPr>
          <w:rFonts w:eastAsia="Times" w:cs="Times New Roman"/>
          <w:szCs w:val="24"/>
          <w:lang w:eastAsia="ar-SA"/>
        </w:rPr>
      </w:pPr>
      <w:r w:rsidRPr="006B37CE">
        <w:rPr>
          <w:rFonts w:eastAsia="Times" w:cs="Times New Roman"/>
          <w:szCs w:val="24"/>
          <w:lang w:eastAsia="ar-SA"/>
        </w:rPr>
        <w:t>João Paulo de Oliveira Louzano,</w:t>
      </w:r>
      <w:r w:rsidRPr="006B37CE">
        <w:rPr>
          <w:rStyle w:val="Refdenotaderodap"/>
          <w:rFonts w:cs="Times New Roman"/>
          <w:szCs w:val="24"/>
        </w:rPr>
        <w:t xml:space="preserve"> </w:t>
      </w:r>
      <w:r w:rsidRPr="006B37CE">
        <w:rPr>
          <w:rFonts w:cs="Times New Roman"/>
          <w:szCs w:val="24"/>
        </w:rPr>
        <w:t xml:space="preserve"> Doutorando em Administração da Universidade Federal de Viçosa (UFV), Professor </w:t>
      </w:r>
      <w:r w:rsidR="00443F94" w:rsidRPr="006B37CE">
        <w:rPr>
          <w:rFonts w:cs="Times New Roman"/>
          <w:szCs w:val="24"/>
        </w:rPr>
        <w:t>do Departamento de Ciências Contábeis da Universidade Federal dos Vales do Jequitinhonha e Mucuri (FACSAE/UFVJM).</w:t>
      </w:r>
      <w:r w:rsidRPr="006B37CE">
        <w:rPr>
          <w:rFonts w:cs="Times New Roman"/>
          <w:szCs w:val="24"/>
        </w:rPr>
        <w:t xml:space="preserve"> Endereço</w:t>
      </w:r>
      <w:r w:rsidR="00443F94" w:rsidRPr="006B37CE">
        <w:rPr>
          <w:rFonts w:cs="Times New Roman"/>
          <w:szCs w:val="24"/>
        </w:rPr>
        <w:t xml:space="preserve"> Rua do Cruzeiro, nº1 – Jardim São Paulo </w:t>
      </w:r>
      <w:r w:rsidRPr="006B37CE">
        <w:rPr>
          <w:rFonts w:cs="Times New Roman"/>
          <w:szCs w:val="24"/>
        </w:rPr>
        <w:t>– Teófilo Otoni, MG – MG, Brasil.  E-mail: jplouzano@</w:t>
      </w:r>
      <w:r w:rsidR="00443F94" w:rsidRPr="006B37CE">
        <w:rPr>
          <w:rFonts w:cs="Times New Roman"/>
          <w:szCs w:val="24"/>
        </w:rPr>
        <w:t>ufvjm.edu.br</w:t>
      </w:r>
    </w:p>
    <w:p w14:paraId="50B8EF28" w14:textId="77777777" w:rsidR="00976D71" w:rsidRPr="006B37CE" w:rsidRDefault="00976D71" w:rsidP="00443F94">
      <w:pPr>
        <w:spacing w:after="0"/>
        <w:jc w:val="right"/>
        <w:rPr>
          <w:rFonts w:eastAsia="Times" w:cs="Times New Roman"/>
          <w:szCs w:val="24"/>
          <w:lang w:eastAsia="ar-SA"/>
        </w:rPr>
      </w:pPr>
    </w:p>
    <w:p w14:paraId="254E028B" w14:textId="340D01BC" w:rsidR="00976D71" w:rsidRPr="006B37CE" w:rsidRDefault="00976D71" w:rsidP="00443F94">
      <w:pPr>
        <w:spacing w:after="0"/>
        <w:jc w:val="right"/>
        <w:rPr>
          <w:rFonts w:eastAsia="Times" w:cs="Times New Roman"/>
          <w:szCs w:val="24"/>
          <w:lang w:eastAsia="ar-SA"/>
        </w:rPr>
      </w:pPr>
      <w:r w:rsidRPr="006B37CE">
        <w:rPr>
          <w:rFonts w:eastAsia="Times" w:cs="Times New Roman"/>
          <w:szCs w:val="24"/>
          <w:lang w:eastAsia="ar-SA"/>
        </w:rPr>
        <w:t xml:space="preserve">Bruno Tavares, Doutor em Administração pela Universidade Federal de Lavras (PPGA/UFLA) Professor do Departamento de Administração e Contabilidade da Universidade Federal de Viçosa (DAD/UFV). Endereço Av. Peter Henry Rolfs s/nº Campus Universitário – Viçosa, MG – MG, </w:t>
      </w:r>
      <w:r w:rsidR="00443F94" w:rsidRPr="006B37CE">
        <w:rPr>
          <w:rFonts w:eastAsia="Times" w:cs="Times New Roman"/>
          <w:szCs w:val="24"/>
          <w:lang w:eastAsia="ar-SA"/>
        </w:rPr>
        <w:t>Brasil. E-mail: btavares@ufv.br</w:t>
      </w:r>
    </w:p>
    <w:p w14:paraId="5AA1CAFE" w14:textId="77777777" w:rsidR="00443F94" w:rsidRPr="006B37CE" w:rsidRDefault="00443F94" w:rsidP="00443F94">
      <w:pPr>
        <w:spacing w:after="0"/>
        <w:jc w:val="right"/>
        <w:rPr>
          <w:rFonts w:eastAsia="Times" w:cs="Times New Roman"/>
          <w:szCs w:val="24"/>
          <w:lang w:eastAsia="ar-SA"/>
        </w:rPr>
      </w:pPr>
    </w:p>
    <w:p w14:paraId="1822D6C8" w14:textId="249DAD5A" w:rsidR="00976D71" w:rsidRPr="006B37CE" w:rsidRDefault="00976D71" w:rsidP="00443F94">
      <w:pPr>
        <w:spacing w:after="0"/>
        <w:jc w:val="right"/>
        <w:rPr>
          <w:rFonts w:eastAsia="Times" w:cs="Times New Roman"/>
          <w:szCs w:val="24"/>
          <w:lang w:eastAsia="ar-SA"/>
        </w:rPr>
      </w:pPr>
      <w:r w:rsidRPr="006B37CE">
        <w:rPr>
          <w:rFonts w:eastAsia="Times" w:cs="Times New Roman"/>
          <w:szCs w:val="24"/>
          <w:lang w:eastAsia="ar-SA"/>
        </w:rPr>
        <w:t xml:space="preserve">Thiago de Melo Teixeira da Costa, Doutor em Economia Aplicada pela Universidade Federal de Viçosa (UFV).  Professor do Departamento de Administração e Contabilidade da Universidade Federal de Viçosa (DAD/UFV). Endereço Av. Peter Henry Rolfs s/nº Campus Universitário – Viçosa, MG – MG, Brasil. E-mail: </w:t>
      </w:r>
      <w:r w:rsidR="00443F94" w:rsidRPr="006B37CE">
        <w:rPr>
          <w:rFonts w:eastAsia="Times" w:cs="Times New Roman"/>
          <w:szCs w:val="24"/>
          <w:lang w:eastAsia="ar-SA"/>
        </w:rPr>
        <w:t>thiagocosta@ufv.br</w:t>
      </w:r>
      <w:bookmarkStart w:id="2" w:name="_GoBack"/>
      <w:bookmarkEnd w:id="2"/>
    </w:p>
    <w:p w14:paraId="1069C50D" w14:textId="77777777" w:rsidR="00443F94" w:rsidRPr="006B37CE" w:rsidRDefault="00443F94" w:rsidP="00443F94">
      <w:pPr>
        <w:spacing w:after="0"/>
        <w:jc w:val="right"/>
        <w:rPr>
          <w:rFonts w:eastAsia="Times" w:cs="Times New Roman"/>
          <w:szCs w:val="24"/>
          <w:lang w:eastAsia="ar-SA"/>
        </w:rPr>
      </w:pPr>
    </w:p>
    <w:p w14:paraId="597DD628" w14:textId="16DD0A5C" w:rsidR="00443F94" w:rsidRPr="006B37CE" w:rsidRDefault="00443F94" w:rsidP="00443F94">
      <w:pPr>
        <w:spacing w:after="0"/>
        <w:jc w:val="right"/>
        <w:rPr>
          <w:rFonts w:eastAsia="Times" w:cs="Times New Roman"/>
          <w:szCs w:val="24"/>
          <w:lang w:eastAsia="ar-SA"/>
        </w:rPr>
      </w:pPr>
      <w:r w:rsidRPr="006B37CE">
        <w:rPr>
          <w:rFonts w:eastAsia="Times" w:cs="Times New Roman"/>
          <w:szCs w:val="24"/>
          <w:lang w:eastAsia="ar-SA"/>
        </w:rPr>
        <w:t>Evandro Rodrigues de Faria, Doutor em Administração pela Universidade Federal de Minas Gerais (UFMG). Professor do Departamento de Administração e Contabilidade da Universidade Federal de Viçosa (DAD/UFV). Endereço Av. Peter Henry Rolfs s/nº Campus Universitário – Viçosa, MG – MG, Brasil. E-mail: evandroadm@ufv.br</w:t>
      </w:r>
    </w:p>
    <w:p w14:paraId="02B75084" w14:textId="77777777" w:rsidR="00443F94" w:rsidRDefault="00443F94" w:rsidP="00443F94">
      <w:pPr>
        <w:spacing w:after="0"/>
        <w:jc w:val="right"/>
        <w:rPr>
          <w:rFonts w:eastAsia="Times" w:cs="Times New Roman"/>
          <w:szCs w:val="24"/>
          <w:lang w:eastAsia="ar-SA"/>
        </w:rPr>
      </w:pPr>
    </w:p>
    <w:p w14:paraId="5462D8FB" w14:textId="77777777" w:rsidR="00443F94" w:rsidRDefault="00443F94" w:rsidP="00976D71">
      <w:pPr>
        <w:spacing w:after="120"/>
        <w:jc w:val="right"/>
        <w:rPr>
          <w:rFonts w:eastAsia="Times" w:cs="Times New Roman"/>
          <w:szCs w:val="24"/>
          <w:lang w:eastAsia="ar-SA"/>
        </w:rPr>
      </w:pPr>
    </w:p>
    <w:p w14:paraId="790AFCE3" w14:textId="77777777" w:rsidR="00443F94" w:rsidRDefault="00443F94" w:rsidP="00976D71">
      <w:pPr>
        <w:spacing w:after="120"/>
        <w:jc w:val="right"/>
        <w:rPr>
          <w:rFonts w:eastAsia="Times" w:cs="Times New Roman"/>
          <w:szCs w:val="24"/>
          <w:lang w:eastAsia="ar-SA"/>
        </w:rPr>
      </w:pPr>
    </w:p>
    <w:p w14:paraId="19945474" w14:textId="77777777" w:rsidR="00771254" w:rsidRDefault="00B06A71" w:rsidP="00B06A71">
      <w:pPr>
        <w:spacing w:after="0" w:line="360" w:lineRule="auto"/>
        <w:jc w:val="both"/>
        <w:rPr>
          <w:rFonts w:eastAsia="Times" w:cs="Times New Roman"/>
          <w:szCs w:val="24"/>
          <w:lang w:eastAsia="ar-SA"/>
        </w:rPr>
      </w:pPr>
      <w:r w:rsidRPr="00B06A71">
        <w:rPr>
          <w:rFonts w:eastAsia="Times" w:cs="Times New Roman"/>
          <w:b/>
          <w:szCs w:val="24"/>
          <w:lang w:eastAsia="ar-SA"/>
        </w:rPr>
        <w:t>RESUMO</w:t>
      </w:r>
    </w:p>
    <w:p w14:paraId="1B0AEDE1" w14:textId="48E72BE5" w:rsidR="00B06A71" w:rsidRPr="00B06A71" w:rsidRDefault="00B06A71" w:rsidP="00692A7F">
      <w:pPr>
        <w:spacing w:after="0"/>
        <w:jc w:val="both"/>
        <w:rPr>
          <w:rFonts w:eastAsia="Times" w:cs="Times New Roman"/>
          <w:szCs w:val="24"/>
          <w:lang w:eastAsia="ar-SA"/>
        </w:rPr>
      </w:pPr>
      <w:r w:rsidRPr="00B06A71">
        <w:rPr>
          <w:rFonts w:eastAsia="Times" w:cs="Times New Roman"/>
          <w:szCs w:val="24"/>
          <w:lang w:eastAsia="ar-SA"/>
        </w:rPr>
        <w:t>Este estudo teve por objetivo apresentar o panorama</w:t>
      </w:r>
      <w:r w:rsidR="0046404A">
        <w:rPr>
          <w:rFonts w:eastAsia="Times" w:cs="Times New Roman"/>
          <w:szCs w:val="24"/>
          <w:lang w:eastAsia="ar-SA"/>
        </w:rPr>
        <w:t xml:space="preserve"> da accountability normativa das unidades gestoras de </w:t>
      </w:r>
      <w:r w:rsidR="0046404A" w:rsidRPr="00B06A71">
        <w:rPr>
          <w:rFonts w:cs="Times New Roman"/>
          <w:szCs w:val="24"/>
        </w:rPr>
        <w:t>Regime Próprio de Previdência dos Servidores Públicos</w:t>
      </w:r>
      <w:r w:rsidR="0046404A">
        <w:rPr>
          <w:rFonts w:cs="Times New Roman"/>
          <w:szCs w:val="24"/>
        </w:rPr>
        <w:t xml:space="preserve"> </w:t>
      </w:r>
      <w:r w:rsidRPr="00B06A71">
        <w:rPr>
          <w:rFonts w:eastAsia="Times" w:cs="Times New Roman"/>
          <w:szCs w:val="24"/>
          <w:lang w:eastAsia="ar-SA"/>
        </w:rPr>
        <w:t>de Minas Gerais</w:t>
      </w:r>
      <w:r w:rsidR="0046404A">
        <w:rPr>
          <w:rFonts w:eastAsia="Times" w:cs="Times New Roman"/>
          <w:szCs w:val="24"/>
          <w:lang w:eastAsia="ar-SA"/>
        </w:rPr>
        <w:t xml:space="preserve"> (RPPS)</w:t>
      </w:r>
      <w:r w:rsidRPr="00B06A71">
        <w:rPr>
          <w:rFonts w:eastAsia="Times" w:cs="Times New Roman"/>
          <w:szCs w:val="24"/>
          <w:lang w:eastAsia="ar-SA"/>
        </w:rPr>
        <w:t xml:space="preserve"> e identificar variáveis do contexto institucional que influenciam as práticas de accountability das unidades gestoras. </w:t>
      </w:r>
      <w:r w:rsidR="0046404A" w:rsidRPr="00564591">
        <w:t xml:space="preserve">Para atendimento dos objetivos propostos, foram utilizadas técnicas de </w:t>
      </w:r>
      <w:r w:rsidR="0046404A">
        <w:t>a</w:t>
      </w:r>
      <w:r w:rsidR="0046404A" w:rsidRPr="00564591">
        <w:t xml:space="preserve">nálise </w:t>
      </w:r>
      <w:r w:rsidR="0046404A">
        <w:t>e</w:t>
      </w:r>
      <w:r w:rsidR="0046404A" w:rsidRPr="00564591">
        <w:t xml:space="preserve">xploratória de </w:t>
      </w:r>
      <w:r w:rsidR="0046404A">
        <w:t>d</w:t>
      </w:r>
      <w:r w:rsidR="0046404A" w:rsidRPr="00564591">
        <w:t xml:space="preserve">ados, para classificar e caracterizar os RPPS segundo a sua </w:t>
      </w:r>
      <w:r w:rsidR="0046404A">
        <w:rPr>
          <w:i/>
        </w:rPr>
        <w:t>accountability</w:t>
      </w:r>
      <w:r w:rsidR="0046404A" w:rsidRPr="00564591">
        <w:t xml:space="preserve">; </w:t>
      </w:r>
      <w:r w:rsidR="0046404A">
        <w:t>r</w:t>
      </w:r>
      <w:r w:rsidR="0046404A" w:rsidRPr="00564591">
        <w:t xml:space="preserve">egressão </w:t>
      </w:r>
      <w:r w:rsidR="0046404A">
        <w:t>l</w:t>
      </w:r>
      <w:r w:rsidR="0046404A" w:rsidRPr="00564591">
        <w:t xml:space="preserve">inear </w:t>
      </w:r>
      <w:r w:rsidR="0046404A">
        <w:t>m</w:t>
      </w:r>
      <w:r w:rsidR="0046404A" w:rsidRPr="00564591">
        <w:t xml:space="preserve">últipla, no intuito de identificar a influência de variáveis socioeconômicas e político-institucionais no nível de </w:t>
      </w:r>
      <w:r w:rsidR="0046404A">
        <w:rPr>
          <w:i/>
        </w:rPr>
        <w:t>accountability</w:t>
      </w:r>
      <w:r w:rsidR="0046404A" w:rsidRPr="00564591">
        <w:t xml:space="preserve"> dos RPPS</w:t>
      </w:r>
      <w:r w:rsidRPr="00B06A71">
        <w:rPr>
          <w:rFonts w:eastAsia="Times" w:cs="Times New Roman"/>
          <w:szCs w:val="24"/>
          <w:lang w:eastAsia="ar-SA"/>
        </w:rPr>
        <w:t>. Os resultados mostraram que os RPPS se encontram no extrato de Baixo e Médio accountability normativa e que apenas 30% cumprem mais do que 70% do que a lei determina. Foi constatado ainda, que o nível de accountability dos RPPS está relacionado com a) estruturas institucional mais desenvolvidas, b) Índice de desenvolvimento do município, c) a quantidade de recursos em posse do RPPS e d) número de acessos domiciliar a internet, indo ao encontro com as expectativas teóricas deste trabalho.</w:t>
      </w:r>
      <w:r w:rsidR="0046404A">
        <w:rPr>
          <w:rFonts w:eastAsia="Times" w:cs="Times New Roman"/>
          <w:szCs w:val="24"/>
          <w:lang w:eastAsia="ar-SA"/>
        </w:rPr>
        <w:t xml:space="preserve"> </w:t>
      </w:r>
      <w:r w:rsidR="0046404A" w:rsidRPr="00A03EE5">
        <w:t xml:space="preserve">O que permite inferir que instituições mais eficientes estão associadas a melhores indicadores de </w:t>
      </w:r>
      <w:r w:rsidR="0046404A" w:rsidRPr="00A03EE5">
        <w:rPr>
          <w:i/>
        </w:rPr>
        <w:t>accountability</w:t>
      </w:r>
      <w:r w:rsidR="0046404A" w:rsidRPr="00A03EE5">
        <w:t xml:space="preserve">, uma vez que, pelos pressupostos da </w:t>
      </w:r>
      <w:r w:rsidR="00692A7F">
        <w:t>Nova Economia Institucional</w:t>
      </w:r>
      <w:r w:rsidR="0046404A" w:rsidRPr="00A03EE5">
        <w:t xml:space="preserve"> maior desenvolvimento está associado a estrutura de governança (instituições de nível micro) mais desenvolvidas.</w:t>
      </w:r>
    </w:p>
    <w:p w14:paraId="0D54966D" w14:textId="77777777" w:rsidR="00B06A71" w:rsidRDefault="00B06A71" w:rsidP="00B06A71">
      <w:pPr>
        <w:spacing w:after="0" w:line="360" w:lineRule="auto"/>
        <w:jc w:val="both"/>
        <w:rPr>
          <w:rFonts w:eastAsia="Times" w:cs="Times New Roman"/>
          <w:szCs w:val="24"/>
          <w:lang w:eastAsia="ar-SA"/>
        </w:rPr>
      </w:pPr>
      <w:r w:rsidRPr="00B06A71">
        <w:rPr>
          <w:rFonts w:eastAsia="Times" w:cs="Times New Roman"/>
          <w:b/>
          <w:szCs w:val="24"/>
          <w:lang w:eastAsia="ar-SA"/>
        </w:rPr>
        <w:t>Palavras-chave:</w:t>
      </w:r>
      <w:r w:rsidRPr="00B06A71">
        <w:rPr>
          <w:rFonts w:eastAsia="Times" w:cs="Times New Roman"/>
          <w:szCs w:val="24"/>
          <w:lang w:eastAsia="ar-SA"/>
        </w:rPr>
        <w:t xml:space="preserve"> Accountability, Previdência, Nova Economia Institucional</w:t>
      </w:r>
    </w:p>
    <w:p w14:paraId="21258066" w14:textId="77777777" w:rsidR="00771254" w:rsidRDefault="00771254" w:rsidP="00B06A71">
      <w:pPr>
        <w:spacing w:after="0" w:line="360" w:lineRule="auto"/>
        <w:jc w:val="both"/>
        <w:rPr>
          <w:rFonts w:eastAsia="Times" w:cs="Times New Roman"/>
          <w:szCs w:val="24"/>
          <w:lang w:eastAsia="ar-SA"/>
        </w:rPr>
      </w:pPr>
    </w:p>
    <w:p w14:paraId="4145482B" w14:textId="348E70A8" w:rsidR="00771254" w:rsidRPr="00771254" w:rsidRDefault="00771254" w:rsidP="00B06A71">
      <w:pPr>
        <w:spacing w:after="0" w:line="360" w:lineRule="auto"/>
        <w:jc w:val="both"/>
        <w:rPr>
          <w:rFonts w:eastAsia="Times" w:cs="Times New Roman"/>
          <w:b/>
          <w:szCs w:val="24"/>
          <w:lang w:eastAsia="ar-SA"/>
        </w:rPr>
      </w:pPr>
      <w:r w:rsidRPr="00771254">
        <w:rPr>
          <w:rFonts w:eastAsia="Times" w:cs="Times New Roman"/>
          <w:b/>
          <w:szCs w:val="24"/>
          <w:lang w:eastAsia="ar-SA"/>
        </w:rPr>
        <w:lastRenderedPageBreak/>
        <w:t>ABSTRACT</w:t>
      </w:r>
    </w:p>
    <w:p w14:paraId="36BB91D0" w14:textId="5A532ADD" w:rsidR="00771254" w:rsidRPr="00B06A71" w:rsidRDefault="00771254" w:rsidP="00692A7F">
      <w:pPr>
        <w:spacing w:after="0"/>
        <w:jc w:val="both"/>
        <w:rPr>
          <w:rFonts w:eastAsia="Times" w:cs="Times New Roman"/>
          <w:szCs w:val="24"/>
          <w:lang w:eastAsia="ar-SA"/>
        </w:rPr>
      </w:pPr>
      <w:r w:rsidRPr="00564591">
        <w:rPr>
          <w:szCs w:val="24"/>
          <w:lang w:val="en-US"/>
        </w:rPr>
        <w:t xml:space="preserve">This study aimed to present an overview of the regulatory </w:t>
      </w:r>
      <w:r>
        <w:rPr>
          <w:szCs w:val="24"/>
          <w:lang w:val="en-US"/>
        </w:rPr>
        <w:t>accountability</w:t>
      </w:r>
      <w:r w:rsidRPr="00564591">
        <w:rPr>
          <w:szCs w:val="24"/>
          <w:lang w:val="en-US"/>
        </w:rPr>
        <w:t xml:space="preserve"> in </w:t>
      </w:r>
      <w:r w:rsidR="00692A7F" w:rsidRPr="00692A7F">
        <w:rPr>
          <w:szCs w:val="24"/>
          <w:lang w:val="en-US"/>
        </w:rPr>
        <w:t>the Special Social Security Schemes of Management Units of Minas Gerais’s Municipal Civil Servants</w:t>
      </w:r>
      <w:r>
        <w:rPr>
          <w:szCs w:val="24"/>
          <w:lang w:val="en-US"/>
        </w:rPr>
        <w:t xml:space="preserve"> and </w:t>
      </w:r>
      <w:r w:rsidRPr="00564591">
        <w:rPr>
          <w:szCs w:val="24"/>
          <w:lang w:val="en-US"/>
        </w:rPr>
        <w:t xml:space="preserve">identify institutional context variables that influence the </w:t>
      </w:r>
      <w:r>
        <w:rPr>
          <w:szCs w:val="24"/>
          <w:lang w:val="en-US"/>
        </w:rPr>
        <w:t>accountability</w:t>
      </w:r>
      <w:r w:rsidRPr="00564591">
        <w:rPr>
          <w:szCs w:val="24"/>
          <w:lang w:val="en-US"/>
        </w:rPr>
        <w:t xml:space="preserve"> pr</w:t>
      </w:r>
      <w:r>
        <w:rPr>
          <w:szCs w:val="24"/>
          <w:lang w:val="en-US"/>
        </w:rPr>
        <w:t xml:space="preserve">actices of management units. </w:t>
      </w:r>
      <w:r w:rsidR="00692A7F" w:rsidRPr="00692A7F">
        <w:rPr>
          <w:szCs w:val="24"/>
          <w:lang w:val="en-US"/>
        </w:rPr>
        <w:t>To meet the proposed objectives, the exploratory data analysis techniques were used to classify and characterize the RPPS according to their accountability. The multiple linear regression was applied in order to identify the influence of socioeconomic and political-institutional accountability at the level of the RPPS.</w:t>
      </w:r>
      <w:r>
        <w:rPr>
          <w:szCs w:val="24"/>
          <w:lang w:val="en-US"/>
        </w:rPr>
        <w:t xml:space="preserve"> </w:t>
      </w:r>
      <w:r w:rsidRPr="00564591">
        <w:rPr>
          <w:szCs w:val="24"/>
          <w:lang w:val="en-US"/>
        </w:rPr>
        <w:t>The results s</w:t>
      </w:r>
      <w:r>
        <w:rPr>
          <w:szCs w:val="24"/>
          <w:lang w:val="en-US"/>
        </w:rPr>
        <w:t xml:space="preserve">howed that most of Minas Gerais’s RPPS are </w:t>
      </w:r>
      <w:r w:rsidRPr="00941551">
        <w:rPr>
          <w:szCs w:val="24"/>
          <w:lang w:val="en-US"/>
        </w:rPr>
        <w:t xml:space="preserve">in the low and middle extract </w:t>
      </w:r>
      <w:r>
        <w:rPr>
          <w:szCs w:val="24"/>
          <w:lang w:val="en-US"/>
        </w:rPr>
        <w:t>of accountability</w:t>
      </w:r>
      <w:r w:rsidRPr="00941551">
        <w:rPr>
          <w:szCs w:val="24"/>
          <w:lang w:val="en-US"/>
        </w:rPr>
        <w:t xml:space="preserve"> rules</w:t>
      </w:r>
      <w:r>
        <w:rPr>
          <w:szCs w:val="24"/>
          <w:lang w:val="en-US"/>
        </w:rPr>
        <w:t>,</w:t>
      </w:r>
      <w:r w:rsidRPr="00564591">
        <w:rPr>
          <w:szCs w:val="24"/>
          <w:lang w:val="en-US"/>
        </w:rPr>
        <w:t xml:space="preserve"> and only 30% of RPPS meet more than 70% of what the law requires. It was further observed that the </w:t>
      </w:r>
      <w:r>
        <w:rPr>
          <w:szCs w:val="24"/>
          <w:lang w:val="en-US"/>
        </w:rPr>
        <w:t>accountability</w:t>
      </w:r>
      <w:r w:rsidRPr="00564591">
        <w:rPr>
          <w:szCs w:val="24"/>
          <w:lang w:val="en-US"/>
        </w:rPr>
        <w:t xml:space="preserve"> level of RPPS is related to a) more developed institutional structures, b) development index of the municipality, c) the amount of RPPS possession </w:t>
      </w:r>
      <w:r>
        <w:rPr>
          <w:szCs w:val="24"/>
          <w:lang w:val="en-US"/>
        </w:rPr>
        <w:t>of resources, and d) number of home i</w:t>
      </w:r>
      <w:r w:rsidRPr="00564591">
        <w:rPr>
          <w:szCs w:val="24"/>
          <w:lang w:val="en-US"/>
        </w:rPr>
        <w:t>nternet access</w:t>
      </w:r>
      <w:r>
        <w:rPr>
          <w:szCs w:val="24"/>
          <w:lang w:val="en-US"/>
        </w:rPr>
        <w:t>, thus, those results meet our theoretical expectations</w:t>
      </w:r>
      <w:r w:rsidRPr="00564591">
        <w:rPr>
          <w:szCs w:val="24"/>
          <w:lang w:val="en-US"/>
        </w:rPr>
        <w:t>.</w:t>
      </w:r>
      <w:r w:rsidR="00692A7F">
        <w:rPr>
          <w:szCs w:val="24"/>
          <w:lang w:val="en-US"/>
        </w:rPr>
        <w:t xml:space="preserve"> </w:t>
      </w:r>
      <w:r w:rsidR="00692A7F" w:rsidRPr="00692A7F">
        <w:rPr>
          <w:szCs w:val="24"/>
          <w:lang w:val="en-US"/>
        </w:rPr>
        <w:t>This demonstrates that institutions that are more efficient are associated with better indicators of accountability, since, under the assumptions of the New Institutional Economy, more development is associated with the more developed governance structure (micro level institutions).</w:t>
      </w:r>
    </w:p>
    <w:p w14:paraId="36093A36" w14:textId="5E3669C1" w:rsidR="00B06A71" w:rsidRPr="00B06A71" w:rsidRDefault="0046404A" w:rsidP="00771254">
      <w:pPr>
        <w:rPr>
          <w:rFonts w:cs="Times New Roman"/>
          <w:b/>
          <w:caps/>
          <w:szCs w:val="24"/>
        </w:rPr>
      </w:pPr>
      <w:r>
        <w:rPr>
          <w:rFonts w:cs="Times New Roman"/>
          <w:b/>
          <w:szCs w:val="24"/>
        </w:rPr>
        <w:t>K</w:t>
      </w:r>
      <w:r w:rsidR="00771254" w:rsidRPr="00771254">
        <w:rPr>
          <w:rFonts w:cs="Times New Roman"/>
          <w:b/>
          <w:szCs w:val="24"/>
        </w:rPr>
        <w:t>ey-words</w:t>
      </w:r>
      <w:r>
        <w:rPr>
          <w:rFonts w:cs="Times New Roman"/>
          <w:b/>
          <w:szCs w:val="24"/>
        </w:rPr>
        <w:t xml:space="preserve">: </w:t>
      </w:r>
      <w:r w:rsidRPr="0046404A">
        <w:rPr>
          <w:rFonts w:cs="Times New Roman"/>
          <w:szCs w:val="24"/>
        </w:rPr>
        <w:t>Accountability, Social Security, New Institutional Economics</w:t>
      </w:r>
    </w:p>
    <w:p w14:paraId="5D11C795" w14:textId="77777777" w:rsidR="009C5E4D" w:rsidRPr="00B06A71" w:rsidRDefault="009C5E4D" w:rsidP="00B17B54">
      <w:pPr>
        <w:pStyle w:val="Ttulo2"/>
        <w:numPr>
          <w:ilvl w:val="0"/>
          <w:numId w:val="1"/>
        </w:numPr>
        <w:spacing w:after="120"/>
        <w:ind w:left="357" w:hanging="357"/>
        <w:rPr>
          <w:rFonts w:ascii="Times New Roman" w:eastAsia="Times" w:hAnsi="Times New Roman" w:cs="Times New Roman"/>
          <w:szCs w:val="24"/>
          <w:lang w:eastAsia="ar-SA"/>
        </w:rPr>
      </w:pPr>
      <w:r w:rsidRPr="00B06A71">
        <w:rPr>
          <w:rFonts w:ascii="Times New Roman" w:eastAsia="Times" w:hAnsi="Times New Roman" w:cs="Times New Roman"/>
          <w:szCs w:val="24"/>
          <w:lang w:eastAsia="ar-SA"/>
        </w:rPr>
        <w:t>INTRODUÇÃO</w:t>
      </w:r>
      <w:bookmarkEnd w:id="0"/>
      <w:bookmarkEnd w:id="1"/>
      <w:r w:rsidRPr="00B06A71">
        <w:rPr>
          <w:rFonts w:ascii="Times New Roman" w:eastAsia="Times" w:hAnsi="Times New Roman" w:cs="Times New Roman"/>
          <w:szCs w:val="24"/>
          <w:lang w:eastAsia="ar-SA"/>
        </w:rPr>
        <w:t xml:space="preserve"> </w:t>
      </w:r>
    </w:p>
    <w:p w14:paraId="715CD3F3" w14:textId="01B6F7EA" w:rsidR="009C5E4D" w:rsidRPr="00B06A71" w:rsidRDefault="009C5E4D" w:rsidP="00B17B54">
      <w:pPr>
        <w:spacing w:after="0"/>
        <w:ind w:firstLine="709"/>
        <w:jc w:val="both"/>
        <w:rPr>
          <w:rFonts w:cs="Times New Roman"/>
          <w:szCs w:val="24"/>
        </w:rPr>
      </w:pPr>
      <w:r w:rsidRPr="00B06A71">
        <w:rPr>
          <w:rFonts w:cs="Times New Roman"/>
          <w:szCs w:val="24"/>
        </w:rPr>
        <w:t>O Regime Próprio de Previdência dos Servidores Públicos apresenta grande importância econômica e social para a sociedade brasileira</w:t>
      </w:r>
      <w:r w:rsidR="00B06A71" w:rsidRPr="00B06A71">
        <w:rPr>
          <w:rFonts w:cs="Times New Roman"/>
          <w:szCs w:val="24"/>
        </w:rPr>
        <w:t>.</w:t>
      </w:r>
      <w:r w:rsidRPr="00B06A71">
        <w:rPr>
          <w:rFonts w:cs="Times New Roman"/>
          <w:szCs w:val="24"/>
        </w:rPr>
        <w:t xml:space="preserve"> </w:t>
      </w:r>
      <w:r w:rsidR="00B06A71" w:rsidRPr="00B06A71">
        <w:rPr>
          <w:rFonts w:cs="Times New Roman"/>
          <w:szCs w:val="24"/>
        </w:rPr>
        <w:t>Segundo</w:t>
      </w:r>
      <w:r w:rsidRPr="00B06A71">
        <w:rPr>
          <w:rFonts w:cs="Times New Roman"/>
          <w:szCs w:val="24"/>
        </w:rPr>
        <w:t xml:space="preserve"> dados do </w:t>
      </w:r>
      <w:r w:rsidR="004845A8" w:rsidRPr="00B06A71">
        <w:rPr>
          <w:rFonts w:cs="Times New Roman"/>
          <w:szCs w:val="24"/>
        </w:rPr>
        <w:t>CADPREV 2014</w:t>
      </w:r>
      <w:r w:rsidRPr="00B06A71">
        <w:rPr>
          <w:rFonts w:cs="Times New Roman"/>
          <w:szCs w:val="24"/>
        </w:rPr>
        <w:t xml:space="preserve"> é formado por 2.051 RPPS que abrigam 7.708.721 pessoas entre ativos, inativos e pensionistas. Em conjunto os RPPS são responsáveis pela gestão de aproximadamente 175 bilhões de reais entre ativos, aplicações e disponibilidades financeiras. </w:t>
      </w:r>
    </w:p>
    <w:p w14:paraId="113C0B7D" w14:textId="77777777" w:rsidR="009C5E4D" w:rsidRPr="00B06A71" w:rsidRDefault="009C5E4D" w:rsidP="00B17B54">
      <w:pPr>
        <w:spacing w:after="0"/>
        <w:ind w:firstLine="709"/>
        <w:jc w:val="both"/>
        <w:rPr>
          <w:rFonts w:cs="Times New Roman"/>
          <w:color w:val="000000"/>
        </w:rPr>
      </w:pPr>
      <w:r w:rsidRPr="00B06A71">
        <w:rPr>
          <w:rFonts w:cs="Times New Roman"/>
          <w:color w:val="000000"/>
        </w:rPr>
        <w:t xml:space="preserve">Diante da </w:t>
      </w:r>
      <w:r w:rsidRPr="00B06A71">
        <w:rPr>
          <w:rFonts w:cs="Times New Roman"/>
          <w:szCs w:val="24"/>
        </w:rPr>
        <w:t xml:space="preserve">grande quantidade de recursos em posse e do número de beneficiários que fazem parte desse regime previdenciário, evidencia-se a importância de estabelecer maior controle sobre essas entidades. Neste aspecto, </w:t>
      </w:r>
      <w:r w:rsidRPr="00B06A71">
        <w:rPr>
          <w:rFonts w:cs="Times New Roman"/>
          <w:color w:val="000000"/>
        </w:rPr>
        <w:t xml:space="preserve">compreender a </w:t>
      </w:r>
      <w:r w:rsidRPr="00B06A71">
        <w:rPr>
          <w:rFonts w:cs="Times New Roman"/>
          <w:i/>
          <w:iCs/>
          <w:color w:val="000000"/>
        </w:rPr>
        <w:t xml:space="preserve">accountability </w:t>
      </w:r>
      <w:r w:rsidRPr="00B06A71">
        <w:rPr>
          <w:rFonts w:cs="Times New Roman"/>
          <w:color w:val="000000"/>
        </w:rPr>
        <w:t xml:space="preserve">na perspectiva do RPPS, principalmente no contexto municipal, reflete a relevância social e científica dessa análise, assim </w:t>
      </w:r>
      <w:r w:rsidRPr="00B06A71">
        <w:rPr>
          <w:rFonts w:cs="Times New Roman"/>
          <w:szCs w:val="24"/>
        </w:rPr>
        <w:t xml:space="preserve">torna-se importante dar continuidade a estudos já realizados sobre a temática, como o realizado por Martins (2015), que teve como objetivo </w:t>
      </w:r>
      <w:r w:rsidRPr="00B06A71">
        <w:rPr>
          <w:rFonts w:cs="Times New Roman"/>
          <w:color w:val="000000"/>
        </w:rPr>
        <w:t xml:space="preserve">identificar e avaliar o processo da </w:t>
      </w:r>
      <w:r w:rsidRPr="00B06A71">
        <w:rPr>
          <w:rFonts w:cs="Times New Roman"/>
          <w:i/>
          <w:color w:val="000000"/>
        </w:rPr>
        <w:t>accountability</w:t>
      </w:r>
      <w:r w:rsidRPr="00B06A71">
        <w:rPr>
          <w:rFonts w:cs="Times New Roman"/>
          <w:color w:val="000000"/>
        </w:rPr>
        <w:t xml:space="preserve"> nas unidades gestoras dos Regimes Próprios de Previdência dos Servidores municipais.</w:t>
      </w:r>
    </w:p>
    <w:p w14:paraId="479177C7" w14:textId="77777777" w:rsidR="009C5E4D" w:rsidRPr="00B06A71" w:rsidRDefault="009C5E4D" w:rsidP="00B17B54">
      <w:pPr>
        <w:spacing w:after="0"/>
        <w:ind w:firstLine="709"/>
        <w:jc w:val="both"/>
        <w:rPr>
          <w:rFonts w:cs="Times New Roman"/>
          <w:color w:val="000000"/>
          <w:szCs w:val="24"/>
        </w:rPr>
      </w:pPr>
      <w:r w:rsidRPr="00B06A71">
        <w:rPr>
          <w:rFonts w:cs="Times New Roman"/>
          <w:color w:val="000000"/>
          <w:szCs w:val="24"/>
        </w:rPr>
        <w:t xml:space="preserve">Segundo </w:t>
      </w:r>
      <w:r w:rsidRPr="00B06A71">
        <w:rPr>
          <w:rFonts w:cs="Times New Roman"/>
          <w:szCs w:val="24"/>
        </w:rPr>
        <w:t>Calazans et al (2013), os RPPS,</w:t>
      </w:r>
      <w:r w:rsidRPr="00B06A71">
        <w:rPr>
          <w:rFonts w:cs="Times New Roman"/>
          <w:color w:val="000000"/>
          <w:szCs w:val="24"/>
        </w:rPr>
        <w:t xml:space="preserve"> na maioria dos casos, se estruturam em organizações, habitualmente chamadas de “Instituto de Previdência”, e</w:t>
      </w:r>
      <w:r w:rsidRPr="00B06A71">
        <w:rPr>
          <w:rFonts w:cs="Times New Roman"/>
          <w:szCs w:val="24"/>
        </w:rPr>
        <w:t>ntretanto</w:t>
      </w:r>
      <w:r w:rsidRPr="00B06A71">
        <w:rPr>
          <w:rFonts w:cs="Times New Roman"/>
          <w:color w:val="000000"/>
          <w:szCs w:val="24"/>
        </w:rPr>
        <w:t xml:space="preserve"> estas organizações “</w:t>
      </w:r>
      <w:r w:rsidRPr="00B06A71">
        <w:rPr>
          <w:rFonts w:cs="Times New Roman"/>
          <w:i/>
          <w:color w:val="000000"/>
          <w:szCs w:val="24"/>
        </w:rPr>
        <w:t>realizam apenas parte das atividades que são de sua competência, deixando principalmente a gestão (concessão, pagamento e manutenção) das aposentadorias de seus servidores para os respectivos órgãos de pessoal</w:t>
      </w:r>
      <w:r w:rsidRPr="00B06A71">
        <w:rPr>
          <w:rFonts w:cs="Times New Roman"/>
          <w:color w:val="000000"/>
        </w:rPr>
        <w:t xml:space="preserve">” </w:t>
      </w:r>
      <w:r w:rsidRPr="00B06A71">
        <w:rPr>
          <w:rFonts w:cs="Times New Roman"/>
          <w:color w:val="000000"/>
          <w:szCs w:val="24"/>
        </w:rPr>
        <w:t>(</w:t>
      </w:r>
      <w:r w:rsidRPr="00B06A71">
        <w:rPr>
          <w:rFonts w:cs="Times New Roman"/>
          <w:szCs w:val="24"/>
        </w:rPr>
        <w:t>CALAZANS, et al, 2013,</w:t>
      </w:r>
      <w:r w:rsidRPr="00B06A71">
        <w:rPr>
          <w:rFonts w:cs="Times New Roman"/>
          <w:color w:val="000000"/>
          <w:szCs w:val="24"/>
        </w:rPr>
        <w:t xml:space="preserve"> p.10). Essa situação segundo os referenciados autores pode ocasionar problemas de transparência, descumprimento da legislação constitucional, como também a fragmentação das atividades do RPPS que pode afetar o controle, eficiência e eficácia da gestão do RPPS.</w:t>
      </w:r>
    </w:p>
    <w:p w14:paraId="12DC86C9" w14:textId="6DDECEF1" w:rsidR="000E2B76" w:rsidRPr="00B06A71" w:rsidRDefault="000E2B76" w:rsidP="00B17B54">
      <w:pPr>
        <w:spacing w:after="0"/>
        <w:ind w:firstLine="709"/>
        <w:jc w:val="both"/>
        <w:rPr>
          <w:rFonts w:cs="Times New Roman"/>
          <w:szCs w:val="24"/>
        </w:rPr>
      </w:pPr>
      <w:r w:rsidRPr="00B06A71">
        <w:rPr>
          <w:rFonts w:cs="Times New Roman"/>
          <w:szCs w:val="24"/>
        </w:rPr>
        <w:t xml:space="preserve">Com a promulgação da Constituição Federal de 1988 (CF/88) a previdência passou a ser uma importante ferramenta de política social do governo (NAJBERG e IKEDA, 1999) e ao mesmo tempo inseriu valores como a responsabilização e participação popular na função pública, além de instituir a obrigatoriedade dos órgãos administrativos em prestar contas do uso de recursos públicos. </w:t>
      </w:r>
    </w:p>
    <w:p w14:paraId="32ACDE11" w14:textId="77777777" w:rsidR="009C5E4D" w:rsidRPr="00B06A71" w:rsidRDefault="009C5E4D" w:rsidP="00B17B54">
      <w:pPr>
        <w:spacing w:after="0"/>
        <w:ind w:firstLine="709"/>
        <w:jc w:val="both"/>
        <w:rPr>
          <w:rFonts w:cs="Times New Roman"/>
          <w:szCs w:val="24"/>
        </w:rPr>
      </w:pPr>
      <w:r w:rsidRPr="00B06A71">
        <w:rPr>
          <w:rFonts w:cs="Times New Roman"/>
          <w:szCs w:val="24"/>
        </w:rPr>
        <w:t xml:space="preserve">Apesar de a CF 88 já exigir a observância do equilíbrio financeiro e atuarial, buscando criar condições viabilizadoras da sustentabilidade do sistema, a ausência de legislação e critérios específicos que garantissem a sustentabilidade do sistema acarretaram em </w:t>
      </w:r>
      <w:r w:rsidRPr="00B06A71">
        <w:rPr>
          <w:rFonts w:cs="Times New Roman"/>
          <w:szCs w:val="24"/>
        </w:rPr>
        <w:lastRenderedPageBreak/>
        <w:t>consideráveis déficits no regime. O equilíbrio só era alcançado com a transferência de recursos de outras áreas dos cofres públicos. Analisando os números do RPPS, no ano de 2001, segundo dados do Ministério da Previdência e Assistência Social (2002), os gastos com Beneficiários assistidos atingiram o montante de R$56,4 bilhões, enquanto que arrecadação liquida foi de apenas R$ 7,8 bilhões, gerando um déficit de R$ 48,6 bilhões, equivalente a 4,1% do PIB.</w:t>
      </w:r>
    </w:p>
    <w:p w14:paraId="2CD004AC" w14:textId="6F679FAE" w:rsidR="009C5E4D" w:rsidRDefault="009C5E4D" w:rsidP="00B17B54">
      <w:pPr>
        <w:spacing w:after="0"/>
        <w:ind w:firstLine="709"/>
        <w:jc w:val="both"/>
        <w:rPr>
          <w:szCs w:val="24"/>
        </w:rPr>
      </w:pPr>
      <w:r>
        <w:rPr>
          <w:szCs w:val="24"/>
        </w:rPr>
        <w:t xml:space="preserve">Em </w:t>
      </w:r>
      <w:r w:rsidR="00B06A71">
        <w:rPr>
          <w:szCs w:val="24"/>
        </w:rPr>
        <w:t>1998 em um contexto de</w:t>
      </w:r>
      <w:r w:rsidRPr="008A5D35">
        <w:rPr>
          <w:i/>
          <w:szCs w:val="24"/>
        </w:rPr>
        <w:t xml:space="preserve"> </w:t>
      </w:r>
      <w:r w:rsidR="00B06A71">
        <w:rPr>
          <w:i/>
          <w:szCs w:val="24"/>
        </w:rPr>
        <w:t>“</w:t>
      </w:r>
      <w:r w:rsidRPr="008A5D35">
        <w:rPr>
          <w:i/>
          <w:szCs w:val="24"/>
        </w:rPr>
        <w:t>reconstrução democrática, iniciou-se movimento nacional de estruturação e organização dos Regimes Próprios de Previdência Social (RPPS)</w:t>
      </w:r>
      <w:r>
        <w:rPr>
          <w:szCs w:val="24"/>
        </w:rPr>
        <w:t xml:space="preserve">” (CALAZANS, 2013, p. 93). Quando foi publicada </w:t>
      </w:r>
      <w:r w:rsidRPr="00F15513">
        <w:rPr>
          <w:szCs w:val="24"/>
        </w:rPr>
        <w:t xml:space="preserve">a EC </w:t>
      </w:r>
      <w:r>
        <w:rPr>
          <w:szCs w:val="24"/>
        </w:rPr>
        <w:t xml:space="preserve">nº </w:t>
      </w:r>
      <w:r w:rsidRPr="00F15513">
        <w:rPr>
          <w:szCs w:val="24"/>
        </w:rPr>
        <w:t>20/98</w:t>
      </w:r>
      <w:r>
        <w:rPr>
          <w:szCs w:val="24"/>
        </w:rPr>
        <w:t xml:space="preserve"> e a </w:t>
      </w:r>
      <w:r w:rsidRPr="001A706C">
        <w:rPr>
          <w:szCs w:val="24"/>
        </w:rPr>
        <w:t>L</w:t>
      </w:r>
      <w:r>
        <w:rPr>
          <w:szCs w:val="24"/>
        </w:rPr>
        <w:t xml:space="preserve">ei </w:t>
      </w:r>
      <w:r w:rsidRPr="001A706C">
        <w:rPr>
          <w:szCs w:val="24"/>
        </w:rPr>
        <w:t xml:space="preserve">Nº 9.717, </w:t>
      </w:r>
      <w:r>
        <w:rPr>
          <w:szCs w:val="24"/>
        </w:rPr>
        <w:t>de</w:t>
      </w:r>
      <w:r w:rsidRPr="001A706C">
        <w:rPr>
          <w:szCs w:val="24"/>
        </w:rPr>
        <w:t xml:space="preserve"> 27 </w:t>
      </w:r>
      <w:r>
        <w:rPr>
          <w:szCs w:val="24"/>
        </w:rPr>
        <w:t>de</w:t>
      </w:r>
      <w:r w:rsidRPr="001A706C">
        <w:rPr>
          <w:szCs w:val="24"/>
        </w:rPr>
        <w:t xml:space="preserve"> </w:t>
      </w:r>
      <w:r>
        <w:rPr>
          <w:szCs w:val="24"/>
        </w:rPr>
        <w:t>Novembro</w:t>
      </w:r>
      <w:r w:rsidRPr="001A706C">
        <w:rPr>
          <w:szCs w:val="24"/>
        </w:rPr>
        <w:t xml:space="preserve"> </w:t>
      </w:r>
      <w:r>
        <w:rPr>
          <w:szCs w:val="24"/>
        </w:rPr>
        <w:t>de</w:t>
      </w:r>
      <w:r w:rsidRPr="001A706C">
        <w:rPr>
          <w:szCs w:val="24"/>
        </w:rPr>
        <w:t xml:space="preserve"> 1998</w:t>
      </w:r>
      <w:r>
        <w:rPr>
          <w:szCs w:val="24"/>
        </w:rPr>
        <w:t xml:space="preserve"> (Lei geral do RPPS) que d</w:t>
      </w:r>
      <w:r w:rsidRPr="001A706C">
        <w:rPr>
          <w:szCs w:val="24"/>
        </w:rPr>
        <w:t xml:space="preserve">ispõe sobre </w:t>
      </w:r>
      <w:r>
        <w:rPr>
          <w:szCs w:val="24"/>
        </w:rPr>
        <w:t xml:space="preserve">as </w:t>
      </w:r>
      <w:r w:rsidRPr="001A706C">
        <w:rPr>
          <w:szCs w:val="24"/>
        </w:rPr>
        <w:t>regras gerais para a organização e o funcionamento dos regimes próprios de previdência social dos servidores públicos da União, dos Estados, do Distrito Federal e dos Municípios</w:t>
      </w:r>
      <w:r>
        <w:rPr>
          <w:szCs w:val="24"/>
        </w:rPr>
        <w:t>.</w:t>
      </w:r>
    </w:p>
    <w:p w14:paraId="435013CD" w14:textId="77777777" w:rsidR="009C5E4D" w:rsidRPr="00703B59" w:rsidRDefault="009C5E4D" w:rsidP="00B17B54">
      <w:pPr>
        <w:spacing w:after="0"/>
        <w:ind w:firstLine="709"/>
        <w:jc w:val="both"/>
        <w:rPr>
          <w:rFonts w:cs="Times New Roman"/>
          <w:szCs w:val="24"/>
        </w:rPr>
      </w:pPr>
      <w:r w:rsidRPr="00703B59">
        <w:rPr>
          <w:rFonts w:cs="Times New Roman"/>
          <w:szCs w:val="24"/>
        </w:rPr>
        <w:t>Nesse sentido, torna-se importante o estudo de mecanismos de co</w:t>
      </w:r>
      <w:r>
        <w:rPr>
          <w:rFonts w:cs="Times New Roman"/>
          <w:szCs w:val="24"/>
        </w:rPr>
        <w:t>ntrole da gestão da previdência. Nesse</w:t>
      </w:r>
      <w:r w:rsidRPr="00703B59">
        <w:rPr>
          <w:rFonts w:cs="Times New Roman"/>
          <w:szCs w:val="24"/>
        </w:rPr>
        <w:t xml:space="preserve"> cenário entra a </w:t>
      </w:r>
      <w:r w:rsidRPr="00C335E6">
        <w:rPr>
          <w:rFonts w:cs="Times New Roman"/>
          <w:i/>
          <w:szCs w:val="24"/>
        </w:rPr>
        <w:t>accountability</w:t>
      </w:r>
      <w:r w:rsidRPr="00703B59">
        <w:rPr>
          <w:rFonts w:cs="Times New Roman"/>
          <w:szCs w:val="24"/>
        </w:rPr>
        <w:t xml:space="preserve">, definida por Pinho e Sacramento (2008, p. 2) como </w:t>
      </w:r>
      <w:r w:rsidRPr="008A5D35">
        <w:rPr>
          <w:rFonts w:cs="Times New Roman"/>
          <w:i/>
          <w:szCs w:val="24"/>
        </w:rPr>
        <w:t>"a responsabilidade, a obrigação e a responsabilização de quem ocupa um cargo em prestar contas".</w:t>
      </w:r>
      <w:r w:rsidRPr="00703B59">
        <w:rPr>
          <w:rFonts w:cs="Times New Roman"/>
          <w:szCs w:val="24"/>
        </w:rPr>
        <w:t xml:space="preserve"> </w:t>
      </w:r>
    </w:p>
    <w:p w14:paraId="721466BA" w14:textId="2F3FF6CC" w:rsidR="009C5E4D" w:rsidRPr="00703B59" w:rsidRDefault="009C5E4D" w:rsidP="00B17B54">
      <w:pPr>
        <w:spacing w:after="0"/>
        <w:ind w:firstLine="709"/>
        <w:jc w:val="both"/>
        <w:rPr>
          <w:rFonts w:cs="Times New Roman"/>
          <w:szCs w:val="24"/>
        </w:rPr>
      </w:pPr>
      <w:r w:rsidRPr="00703B59">
        <w:rPr>
          <w:rFonts w:cs="Times New Roman"/>
          <w:szCs w:val="24"/>
        </w:rPr>
        <w:t xml:space="preserve">Segundo Schedler (1999), a </w:t>
      </w:r>
      <w:r w:rsidRPr="00C335E6">
        <w:rPr>
          <w:rFonts w:cs="Times New Roman"/>
          <w:i/>
          <w:szCs w:val="24"/>
        </w:rPr>
        <w:t>accountability</w:t>
      </w:r>
      <w:r w:rsidRPr="00703B59">
        <w:rPr>
          <w:rFonts w:cs="Times New Roman"/>
          <w:szCs w:val="24"/>
        </w:rPr>
        <w:t xml:space="preserve"> seria uma forma de cobrar respostas dos governantes. Ela ocorre porque existem carências nas informaçõe</w:t>
      </w:r>
      <w:r>
        <w:rPr>
          <w:rFonts w:cs="Times New Roman"/>
          <w:szCs w:val="24"/>
        </w:rPr>
        <w:t>s que são divulgadas ao público. Nesse</w:t>
      </w:r>
      <w:r w:rsidRPr="00703B59">
        <w:rPr>
          <w:rFonts w:cs="Times New Roman"/>
          <w:szCs w:val="24"/>
        </w:rPr>
        <w:t xml:space="preserve"> sentido </w:t>
      </w:r>
      <w:r>
        <w:rPr>
          <w:rFonts w:cs="Times New Roman"/>
          <w:szCs w:val="24"/>
        </w:rPr>
        <w:t>tem-se</w:t>
      </w:r>
      <w:r w:rsidRPr="00703B59">
        <w:rPr>
          <w:rFonts w:cs="Times New Roman"/>
          <w:szCs w:val="24"/>
        </w:rPr>
        <w:t xml:space="preserve"> a </w:t>
      </w:r>
      <w:r w:rsidRPr="00C335E6">
        <w:rPr>
          <w:rFonts w:cs="Times New Roman"/>
          <w:i/>
          <w:szCs w:val="24"/>
        </w:rPr>
        <w:t>accountability</w:t>
      </w:r>
      <w:r w:rsidRPr="00703B59">
        <w:rPr>
          <w:rFonts w:cs="Times New Roman"/>
          <w:szCs w:val="24"/>
        </w:rPr>
        <w:t xml:space="preserve"> como </w:t>
      </w:r>
      <w:r w:rsidRPr="00703B59">
        <w:rPr>
          <w:rFonts w:cs="Times New Roman"/>
          <w:i/>
          <w:szCs w:val="24"/>
        </w:rPr>
        <w:t>answerability</w:t>
      </w:r>
      <w:r w:rsidRPr="00703B59">
        <w:rPr>
          <w:rFonts w:cs="Times New Roman"/>
          <w:szCs w:val="24"/>
        </w:rPr>
        <w:t xml:space="preserve">, seu intuito é criar mais transparência em relação ao exercício do poder. Schedler (1999, p. 20) ainda completa. </w:t>
      </w:r>
      <w:r w:rsidRPr="008A5D35">
        <w:rPr>
          <w:rFonts w:cs="Times New Roman"/>
          <w:i/>
          <w:szCs w:val="24"/>
        </w:rPr>
        <w:t>“Se o exercício do poder fosse transparente, não haveria necessidade que alguém fosse accountable. A demanda por accountability (como answerability) origina-se da opacidade do poder.”</w:t>
      </w:r>
      <w:r w:rsidRPr="00703B59">
        <w:rPr>
          <w:sz w:val="16"/>
          <w:szCs w:val="16"/>
        </w:rPr>
        <w:t xml:space="preserve"> </w:t>
      </w:r>
    </w:p>
    <w:p w14:paraId="13B5E3CF" w14:textId="77777777" w:rsidR="00EB2AA5" w:rsidRDefault="009C5E4D" w:rsidP="00B17B54">
      <w:pPr>
        <w:spacing w:after="0"/>
        <w:ind w:firstLine="709"/>
        <w:jc w:val="both"/>
        <w:rPr>
          <w:rFonts w:cs="Times New Roman"/>
          <w:szCs w:val="24"/>
        </w:rPr>
      </w:pPr>
      <w:r>
        <w:rPr>
          <w:rFonts w:cs="Times New Roman"/>
          <w:szCs w:val="24"/>
        </w:rPr>
        <w:t xml:space="preserve">Segundo Felix e Silva (2009), </w:t>
      </w:r>
      <w:r w:rsidRPr="00703B59">
        <w:rPr>
          <w:rFonts w:cs="Times New Roman"/>
          <w:szCs w:val="24"/>
        </w:rPr>
        <w:t xml:space="preserve">o estudo da </w:t>
      </w:r>
      <w:r w:rsidRPr="00C335E6">
        <w:rPr>
          <w:rFonts w:cs="Times New Roman"/>
          <w:i/>
          <w:szCs w:val="24"/>
        </w:rPr>
        <w:t>accountability</w:t>
      </w:r>
      <w:r w:rsidRPr="00703B59">
        <w:rPr>
          <w:rFonts w:cs="Times New Roman"/>
          <w:szCs w:val="24"/>
        </w:rPr>
        <w:t xml:space="preserve"> </w:t>
      </w:r>
      <w:r>
        <w:rPr>
          <w:rFonts w:cs="Times New Roman"/>
          <w:szCs w:val="24"/>
        </w:rPr>
        <w:t>nos regimes de previdência</w:t>
      </w:r>
      <w:r w:rsidRPr="00703B59">
        <w:rPr>
          <w:rFonts w:cs="Times New Roman"/>
          <w:szCs w:val="24"/>
        </w:rPr>
        <w:t xml:space="preserve"> ganha papel de suma importância para a compreensão do funcionamento </w:t>
      </w:r>
      <w:r>
        <w:rPr>
          <w:rFonts w:cs="Times New Roman"/>
          <w:szCs w:val="24"/>
        </w:rPr>
        <w:t>da unidade gestora</w:t>
      </w:r>
      <w:r w:rsidRPr="00703B59">
        <w:rPr>
          <w:rFonts w:cs="Times New Roman"/>
          <w:szCs w:val="24"/>
        </w:rPr>
        <w:t xml:space="preserve">, bem como, das obrigações e direitos das partes interessadas que são de vital importância para a participação e sua corresponsabilidade na gestão dos recursos aportados ao regime. </w:t>
      </w:r>
    </w:p>
    <w:p w14:paraId="2D7C6A57" w14:textId="5BD14056" w:rsidR="000E2B76" w:rsidRDefault="009C5E4D" w:rsidP="00B17B54">
      <w:pPr>
        <w:spacing w:after="0"/>
        <w:ind w:firstLine="709"/>
        <w:jc w:val="both"/>
        <w:rPr>
          <w:rFonts w:cs="Times New Roman"/>
          <w:szCs w:val="24"/>
        </w:rPr>
      </w:pPr>
      <w:r>
        <w:rPr>
          <w:rFonts w:cs="Times New Roman"/>
          <w:szCs w:val="24"/>
        </w:rPr>
        <w:t xml:space="preserve">Com intuito de verificar </w:t>
      </w:r>
      <w:r w:rsidRPr="00703B59">
        <w:rPr>
          <w:rFonts w:cs="Times New Roman"/>
          <w:szCs w:val="24"/>
        </w:rPr>
        <w:t xml:space="preserve">como as práticas de </w:t>
      </w:r>
      <w:r w:rsidRPr="00C335E6">
        <w:rPr>
          <w:rFonts w:cs="Times New Roman"/>
          <w:i/>
          <w:szCs w:val="24"/>
        </w:rPr>
        <w:t>accountability</w:t>
      </w:r>
      <w:r w:rsidRPr="00703B59">
        <w:rPr>
          <w:rFonts w:cs="Times New Roman"/>
          <w:szCs w:val="24"/>
        </w:rPr>
        <w:t xml:space="preserve"> se manifestam em </w:t>
      </w:r>
      <w:r>
        <w:rPr>
          <w:rFonts w:cs="Times New Roman"/>
          <w:szCs w:val="24"/>
        </w:rPr>
        <w:t>unidades gestoras</w:t>
      </w:r>
      <w:r w:rsidRPr="00703B59">
        <w:rPr>
          <w:rFonts w:cs="Times New Roman"/>
          <w:szCs w:val="24"/>
        </w:rPr>
        <w:t xml:space="preserve"> de RPPS envolvidas por diferentes contextos </w:t>
      </w:r>
      <w:r>
        <w:rPr>
          <w:rFonts w:cs="Times New Roman"/>
          <w:szCs w:val="24"/>
        </w:rPr>
        <w:t>e utilizando-se da Nova Economia Institucional</w:t>
      </w:r>
      <w:r w:rsidR="000E2B76">
        <w:rPr>
          <w:rFonts w:cs="Times New Roman"/>
          <w:szCs w:val="24"/>
        </w:rPr>
        <w:t xml:space="preserve"> (NEI)</w:t>
      </w:r>
      <w:r>
        <w:rPr>
          <w:rFonts w:cs="Times New Roman"/>
          <w:szCs w:val="24"/>
        </w:rPr>
        <w:t>,</w:t>
      </w:r>
      <w:r w:rsidRPr="00703B59">
        <w:rPr>
          <w:rFonts w:cs="Times New Roman"/>
          <w:szCs w:val="24"/>
        </w:rPr>
        <w:t xml:space="preserve"> este </w:t>
      </w:r>
      <w:r>
        <w:rPr>
          <w:rFonts w:cs="Times New Roman"/>
          <w:szCs w:val="24"/>
        </w:rPr>
        <w:t>trabalho buscou</w:t>
      </w:r>
      <w:r w:rsidRPr="00703B59">
        <w:rPr>
          <w:rFonts w:cs="Times New Roman"/>
          <w:szCs w:val="24"/>
        </w:rPr>
        <w:t xml:space="preserve"> </w:t>
      </w:r>
      <w:r w:rsidRPr="00564591">
        <w:rPr>
          <w:rFonts w:cs="Times New Roman"/>
          <w:szCs w:val="24"/>
        </w:rPr>
        <w:t xml:space="preserve">apresentar o panorama da </w:t>
      </w:r>
      <w:r w:rsidRPr="00B06A71">
        <w:rPr>
          <w:rFonts w:cs="Times New Roman"/>
          <w:i/>
          <w:szCs w:val="24"/>
        </w:rPr>
        <w:t xml:space="preserve">accountability </w:t>
      </w:r>
      <w:r w:rsidRPr="00564591">
        <w:rPr>
          <w:rFonts w:cs="Times New Roman"/>
          <w:szCs w:val="24"/>
        </w:rPr>
        <w:t>norm</w:t>
      </w:r>
      <w:r>
        <w:rPr>
          <w:rFonts w:cs="Times New Roman"/>
          <w:szCs w:val="24"/>
        </w:rPr>
        <w:t xml:space="preserve">ativa no estado de Minas Gerais, </w:t>
      </w:r>
      <w:r w:rsidRPr="00C7792C">
        <w:rPr>
          <w:rFonts w:cs="Times New Roman"/>
          <w:szCs w:val="24"/>
        </w:rPr>
        <w:t xml:space="preserve">contemplando </w:t>
      </w:r>
      <w:r>
        <w:rPr>
          <w:rFonts w:cs="Times New Roman"/>
          <w:szCs w:val="24"/>
        </w:rPr>
        <w:t>as 212</w:t>
      </w:r>
      <w:r w:rsidRPr="00167125">
        <w:rPr>
          <w:rFonts w:cs="Times New Roman"/>
          <w:szCs w:val="24"/>
        </w:rPr>
        <w:t xml:space="preserve"> </w:t>
      </w:r>
      <w:r>
        <w:rPr>
          <w:rFonts w:cs="Times New Roman"/>
          <w:szCs w:val="24"/>
        </w:rPr>
        <w:t>unidades gestoras</w:t>
      </w:r>
      <w:r w:rsidR="003766BE">
        <w:rPr>
          <w:rFonts w:cs="Times New Roman"/>
          <w:szCs w:val="24"/>
        </w:rPr>
        <w:t xml:space="preserve"> de municípios</w:t>
      </w:r>
      <w:r>
        <w:rPr>
          <w:rFonts w:cs="Times New Roman"/>
          <w:szCs w:val="24"/>
        </w:rPr>
        <w:t xml:space="preserve"> de Minas Gerais </w:t>
      </w:r>
      <w:r w:rsidRPr="00DE2554">
        <w:rPr>
          <w:rFonts w:cs="Times New Roman"/>
          <w:szCs w:val="24"/>
        </w:rPr>
        <w:t>que oferecem a proteção previdenciária a seus servidores através do regime próprio</w:t>
      </w:r>
      <w:r>
        <w:rPr>
          <w:rFonts w:cs="Times New Roman"/>
          <w:szCs w:val="24"/>
        </w:rPr>
        <w:t xml:space="preserve">, </w:t>
      </w:r>
      <w:r w:rsidRPr="004D783A">
        <w:rPr>
          <w:rFonts w:cs="Times New Roman"/>
          <w:szCs w:val="24"/>
        </w:rPr>
        <w:t xml:space="preserve">por meio da aplicação do modelo de avaliação proposto por Martins (2015). Sendo assim, a seguinte </w:t>
      </w:r>
      <w:r>
        <w:rPr>
          <w:rFonts w:cs="Times New Roman"/>
          <w:szCs w:val="24"/>
        </w:rPr>
        <w:t xml:space="preserve">questão </w:t>
      </w:r>
      <w:r w:rsidRPr="004D783A">
        <w:rPr>
          <w:rFonts w:cs="Times New Roman"/>
          <w:szCs w:val="24"/>
        </w:rPr>
        <w:t xml:space="preserve">problema </w:t>
      </w:r>
      <w:r>
        <w:rPr>
          <w:rFonts w:cs="Times New Roman"/>
          <w:szCs w:val="24"/>
        </w:rPr>
        <w:t>é</w:t>
      </w:r>
      <w:r w:rsidRPr="004D783A">
        <w:rPr>
          <w:rFonts w:cs="Times New Roman"/>
          <w:szCs w:val="24"/>
        </w:rPr>
        <w:t xml:space="preserve"> levantada:</w:t>
      </w:r>
      <w:r w:rsidRPr="00C7792C">
        <w:rPr>
          <w:rFonts w:cs="Times New Roman"/>
          <w:szCs w:val="24"/>
        </w:rPr>
        <w:t xml:space="preserve"> </w:t>
      </w:r>
      <w:r w:rsidRPr="00564591">
        <w:rPr>
          <w:rFonts w:cs="Times New Roman"/>
          <w:b/>
          <w:szCs w:val="24"/>
        </w:rPr>
        <w:t>Qual o panorama</w:t>
      </w:r>
      <w:r w:rsidR="00BD45BE">
        <w:rPr>
          <w:rFonts w:cs="Times New Roman"/>
          <w:b/>
          <w:szCs w:val="24"/>
        </w:rPr>
        <w:t xml:space="preserve"> do nível</w:t>
      </w:r>
      <w:r w:rsidRPr="00564591">
        <w:rPr>
          <w:rFonts w:cs="Times New Roman"/>
          <w:b/>
          <w:szCs w:val="24"/>
        </w:rPr>
        <w:t xml:space="preserve"> d</w:t>
      </w:r>
      <w:r w:rsidR="00BD45BE">
        <w:rPr>
          <w:rFonts w:cs="Times New Roman"/>
          <w:b/>
          <w:szCs w:val="24"/>
        </w:rPr>
        <w:t>e</w:t>
      </w:r>
      <w:r w:rsidRPr="00564591">
        <w:rPr>
          <w:rFonts w:cs="Times New Roman"/>
          <w:b/>
          <w:szCs w:val="24"/>
        </w:rPr>
        <w:t xml:space="preserve"> </w:t>
      </w:r>
      <w:r w:rsidRPr="00564591">
        <w:rPr>
          <w:rFonts w:cs="Times New Roman"/>
          <w:b/>
          <w:i/>
          <w:szCs w:val="24"/>
        </w:rPr>
        <w:t>accountability</w:t>
      </w:r>
      <w:r w:rsidRPr="00564591">
        <w:rPr>
          <w:rFonts w:cs="Times New Roman"/>
          <w:b/>
          <w:szCs w:val="24"/>
        </w:rPr>
        <w:t xml:space="preserve"> dos RPPS do Estado de Minas Gerais? </w:t>
      </w:r>
      <w:r w:rsidRPr="00564591">
        <w:rPr>
          <w:rFonts w:cs="Times New Roman"/>
          <w:szCs w:val="24"/>
        </w:rPr>
        <w:t>O objetivo geral do trabalho é</w:t>
      </w:r>
      <w:r w:rsidRPr="00564591">
        <w:rPr>
          <w:rFonts w:cs="Times New Roman"/>
          <w:b/>
          <w:szCs w:val="24"/>
        </w:rPr>
        <w:t xml:space="preserve"> apresentar o panorama da </w:t>
      </w:r>
      <w:r w:rsidRPr="00B06A71">
        <w:rPr>
          <w:rFonts w:cs="Times New Roman"/>
          <w:b/>
          <w:i/>
          <w:szCs w:val="24"/>
        </w:rPr>
        <w:t>accountability</w:t>
      </w:r>
      <w:r w:rsidRPr="00564591">
        <w:rPr>
          <w:rFonts w:cs="Times New Roman"/>
          <w:b/>
          <w:szCs w:val="24"/>
        </w:rPr>
        <w:t xml:space="preserve"> normativa no estado de Minas Gerais</w:t>
      </w:r>
      <w:r w:rsidRPr="00564591">
        <w:rPr>
          <w:rFonts w:cs="Times New Roman"/>
          <w:szCs w:val="24"/>
        </w:rPr>
        <w:t xml:space="preserve">. Como objetivos específicos, pretendem-se: i) verificar o nível de </w:t>
      </w:r>
      <w:r w:rsidRPr="00564591">
        <w:rPr>
          <w:rFonts w:cs="Times New Roman"/>
          <w:i/>
          <w:szCs w:val="24"/>
        </w:rPr>
        <w:t>accountability</w:t>
      </w:r>
      <w:r w:rsidRPr="00564591">
        <w:rPr>
          <w:rFonts w:cs="Times New Roman"/>
          <w:szCs w:val="24"/>
        </w:rPr>
        <w:t xml:space="preserve"> normativa das unidades gestoras do RPPS de Minas Gerais; ii) identificar variáveis do contexto institucional que influenciam as práticas de </w:t>
      </w:r>
      <w:r w:rsidRPr="00564591">
        <w:rPr>
          <w:rFonts w:cs="Times New Roman"/>
          <w:i/>
          <w:szCs w:val="24"/>
        </w:rPr>
        <w:t>accountability</w:t>
      </w:r>
      <w:r w:rsidRPr="00564591">
        <w:rPr>
          <w:rFonts w:cs="Times New Roman"/>
          <w:szCs w:val="24"/>
        </w:rPr>
        <w:t xml:space="preserve"> das unidades gestoras</w:t>
      </w:r>
      <w:r>
        <w:rPr>
          <w:rFonts w:cs="Times New Roman"/>
          <w:szCs w:val="24"/>
        </w:rPr>
        <w:t>.</w:t>
      </w:r>
      <w:bookmarkStart w:id="3" w:name="_Toc442957884"/>
    </w:p>
    <w:p w14:paraId="7EAAA261" w14:textId="77777777" w:rsidR="000E2B76" w:rsidRPr="000E2B76" w:rsidRDefault="000E2B76" w:rsidP="000E2B76">
      <w:pPr>
        <w:spacing w:after="0" w:line="360" w:lineRule="auto"/>
        <w:ind w:firstLine="709"/>
        <w:jc w:val="both"/>
        <w:rPr>
          <w:rFonts w:cs="Times New Roman"/>
          <w:szCs w:val="24"/>
        </w:rPr>
      </w:pPr>
    </w:p>
    <w:p w14:paraId="4296B948" w14:textId="77777777" w:rsidR="00A6029C" w:rsidRPr="00A6029C" w:rsidRDefault="00A6029C" w:rsidP="00B17B54">
      <w:pPr>
        <w:pStyle w:val="Ttulo2"/>
        <w:numPr>
          <w:ilvl w:val="0"/>
          <w:numId w:val="1"/>
        </w:numPr>
        <w:spacing w:after="120"/>
        <w:ind w:left="357" w:hanging="357"/>
        <w:rPr>
          <w:rFonts w:ascii="Times New Roman" w:eastAsia="Times" w:hAnsi="Times New Roman" w:cs="Times New Roman"/>
          <w:caps/>
          <w:szCs w:val="24"/>
          <w:lang w:eastAsia="ar-SA"/>
        </w:rPr>
      </w:pPr>
      <w:r w:rsidRPr="00A6029C">
        <w:rPr>
          <w:rFonts w:ascii="Times New Roman" w:eastAsia="Times" w:hAnsi="Times New Roman" w:cs="Times New Roman"/>
          <w:caps/>
          <w:szCs w:val="24"/>
          <w:lang w:eastAsia="ar-SA"/>
        </w:rPr>
        <w:t>Regime Próprio de Previdência dos Servidores Públicos</w:t>
      </w:r>
      <w:bookmarkEnd w:id="3"/>
    </w:p>
    <w:p w14:paraId="2B4ED3AD" w14:textId="77777777" w:rsidR="009C5E4D" w:rsidRDefault="009C5E4D" w:rsidP="00B17B54">
      <w:pPr>
        <w:spacing w:after="0"/>
        <w:ind w:firstLine="709"/>
        <w:jc w:val="both"/>
        <w:rPr>
          <w:rFonts w:cs="Times New Roman"/>
          <w:szCs w:val="24"/>
        </w:rPr>
      </w:pPr>
      <w:r w:rsidRPr="00C7792C">
        <w:rPr>
          <w:rFonts w:cs="Times New Roman"/>
          <w:szCs w:val="24"/>
        </w:rPr>
        <w:t>O RPPS é dirigido aos servidores do quadro efetivo da União, Estados,</w:t>
      </w:r>
      <w:r>
        <w:rPr>
          <w:rFonts w:cs="Times New Roman"/>
          <w:szCs w:val="24"/>
        </w:rPr>
        <w:t xml:space="preserve"> Distrito Federal e Municípios,</w:t>
      </w:r>
      <w:r w:rsidRPr="00C7792C">
        <w:rPr>
          <w:rFonts w:cs="Times New Roman"/>
          <w:szCs w:val="24"/>
        </w:rPr>
        <w:t xml:space="preserve"> suas autarquias e fundações. Constitui-se de caráter contributivo e solidário e regulamentado pela lei nº 9.717/98 (BRASIL, 2014) mantém-se mediante contribuições do respectivo ente público, dos servidores ativos, inativos e pensionistas. (BRASIL, CF/1988, art. 40). Portanto, o RPPS é o regime de previdência, instituído no âmbito de cada ente federativo, que garante, por lei, aos servidores de cargo efetivo, pelo menos os benefícios de aposentadoria e pensão por morte, previstos no artigo 40 da Constituição Federal (BRASIL, 2014).</w:t>
      </w:r>
    </w:p>
    <w:p w14:paraId="0A1B697F" w14:textId="77777777" w:rsidR="009C5E4D" w:rsidRDefault="009C5E4D" w:rsidP="00B17B54">
      <w:pPr>
        <w:spacing w:after="0"/>
        <w:ind w:firstLine="709"/>
        <w:jc w:val="both"/>
        <w:rPr>
          <w:rFonts w:cs="Times New Roman"/>
          <w:szCs w:val="24"/>
        </w:rPr>
      </w:pPr>
      <w:r w:rsidRPr="007D1D87">
        <w:rPr>
          <w:rFonts w:cs="Times New Roman"/>
          <w:szCs w:val="24"/>
        </w:rPr>
        <w:lastRenderedPageBreak/>
        <w:t xml:space="preserve">Segundo Felix e Silva (2009) </w:t>
      </w:r>
      <w:r w:rsidRPr="008A5D35">
        <w:rPr>
          <w:rFonts w:cs="Times New Roman"/>
          <w:i/>
          <w:szCs w:val="24"/>
        </w:rPr>
        <w:t>"O RPPS é uma previdência de filiação obrigatória e contribuição compulsória, não permitindo aos seus contribuintes arguirem sua adesão",</w:t>
      </w:r>
      <w:r w:rsidRPr="007D1D87">
        <w:rPr>
          <w:rFonts w:cs="Times New Roman"/>
          <w:szCs w:val="24"/>
        </w:rPr>
        <w:t xml:space="preserve"> ou seja, enquanto os servidores mantiverem seus vínculos de trabalho, os questionamentos quanto a sua participação ao regime são impraticáveis. Como também os contratos e as regras que regem o regime por seguirem uma lógica </w:t>
      </w:r>
      <w:r w:rsidRPr="007D1D87">
        <w:rPr>
          <w:rFonts w:cs="Times New Roman"/>
          <w:i/>
          <w:szCs w:val="24"/>
        </w:rPr>
        <w:t xml:space="preserve">Top-down, </w:t>
      </w:r>
      <w:r w:rsidRPr="007D1D87">
        <w:rPr>
          <w:rFonts w:cs="Times New Roman"/>
          <w:szCs w:val="24"/>
        </w:rPr>
        <w:t>não permitem que os beneficiários e contribuintes participem de forma direta</w:t>
      </w:r>
      <w:r>
        <w:rPr>
          <w:rFonts w:cs="Times New Roman"/>
          <w:szCs w:val="24"/>
        </w:rPr>
        <w:t xml:space="preserve"> no processo de sua elaboração.</w:t>
      </w:r>
    </w:p>
    <w:p w14:paraId="58AAD1DA" w14:textId="77777777" w:rsidR="009C5E4D" w:rsidRPr="007D1D87" w:rsidRDefault="009C5E4D" w:rsidP="00B17B54">
      <w:pPr>
        <w:spacing w:after="0"/>
        <w:ind w:firstLine="709"/>
        <w:jc w:val="both"/>
        <w:rPr>
          <w:rFonts w:cs="Times New Roman"/>
          <w:color w:val="000000"/>
          <w:szCs w:val="24"/>
        </w:rPr>
      </w:pPr>
      <w:r w:rsidRPr="007D1D87">
        <w:rPr>
          <w:rFonts w:cs="Times New Roman"/>
          <w:color w:val="000000"/>
          <w:szCs w:val="24"/>
        </w:rPr>
        <w:t>De acordo com o disposto no artigo 40 da CF 88, a instituição de RPPS é uma decisão facultativa do ente público, que pode permanecer vinculado ao RGPS. Contudo, se instituído, o RPPS será de filiação obrigatória, admitindo a constituição de fundo integrado de bens, direitos e ativos, funcionando como um seguro para utilização nas situações de risco social (invalidez, doença, morte e reclusão) e benefícios programados (aposentadoria compulsória e aposentadoria programada).</w:t>
      </w:r>
    </w:p>
    <w:p w14:paraId="2C417230" w14:textId="77777777" w:rsidR="009C5E4D" w:rsidRPr="007D1D87" w:rsidRDefault="009C5E4D" w:rsidP="00B17B54">
      <w:pPr>
        <w:spacing w:after="0"/>
        <w:ind w:firstLine="709"/>
        <w:jc w:val="both"/>
        <w:rPr>
          <w:rFonts w:cs="Times New Roman"/>
          <w:color w:val="000000"/>
          <w:szCs w:val="24"/>
        </w:rPr>
      </w:pPr>
      <w:r w:rsidRPr="007D1D87">
        <w:rPr>
          <w:rFonts w:cs="Times New Roman"/>
          <w:color w:val="000000"/>
          <w:szCs w:val="24"/>
        </w:rPr>
        <w:t>De acordo com a CF 88 em seu artigo 40 em relação ao cri</w:t>
      </w:r>
      <w:r>
        <w:rPr>
          <w:rFonts w:cs="Times New Roman"/>
          <w:color w:val="000000"/>
          <w:szCs w:val="24"/>
        </w:rPr>
        <w:t xml:space="preserve">tério de financiamento dos RPPS. </w:t>
      </w:r>
      <w:r w:rsidRPr="007D1D87">
        <w:rPr>
          <w:rFonts w:cs="Times New Roman"/>
          <w:color w:val="000000"/>
          <w:szCs w:val="24"/>
        </w:rPr>
        <w:t>Este será de caráter contributivo e solidário, mediante contribuição patronal do respectivo ente público, e contribuições dos servidores ativos, inativos e pensionistas, observados critérios que preservem o equilíbrio financeiro e atuarial.</w:t>
      </w:r>
    </w:p>
    <w:p w14:paraId="65C654AE" w14:textId="7E0B9169" w:rsidR="009C5E4D" w:rsidRDefault="009C5E4D" w:rsidP="00B17B54">
      <w:pPr>
        <w:spacing w:after="0"/>
        <w:ind w:firstLine="709"/>
        <w:jc w:val="both"/>
        <w:rPr>
          <w:rFonts w:cs="Times New Roman"/>
          <w:color w:val="000000"/>
          <w:szCs w:val="24"/>
        </w:rPr>
      </w:pPr>
      <w:r w:rsidRPr="007D1D87">
        <w:rPr>
          <w:rFonts w:cs="Times New Roman"/>
          <w:color w:val="000000"/>
          <w:szCs w:val="24"/>
        </w:rPr>
        <w:t>O RPPS</w:t>
      </w:r>
      <w:r>
        <w:rPr>
          <w:rFonts w:cs="Times New Roman"/>
          <w:color w:val="000000"/>
          <w:szCs w:val="24"/>
        </w:rPr>
        <w:t>,</w:t>
      </w:r>
      <w:r w:rsidRPr="007D1D87">
        <w:rPr>
          <w:rFonts w:cs="Times New Roman"/>
          <w:color w:val="000000"/>
          <w:szCs w:val="24"/>
        </w:rPr>
        <w:t xml:space="preserve"> segundo o Ministério da Previdência Social (MPS)</w:t>
      </w:r>
      <w:r>
        <w:rPr>
          <w:rFonts w:cs="Times New Roman"/>
          <w:color w:val="000000"/>
          <w:szCs w:val="24"/>
        </w:rPr>
        <w:t>,</w:t>
      </w:r>
      <w:r w:rsidRPr="007D1D87">
        <w:rPr>
          <w:rFonts w:cs="Times New Roman"/>
          <w:color w:val="000000"/>
          <w:szCs w:val="24"/>
        </w:rPr>
        <w:t xml:space="preserve"> é disciplinado pela portaria MPS n◦ 402/2008, que dita os parâmetros e diretrizes gerais de s</w:t>
      </w:r>
      <w:r>
        <w:rPr>
          <w:rFonts w:cs="Times New Roman"/>
          <w:color w:val="000000"/>
          <w:szCs w:val="24"/>
        </w:rPr>
        <w:t xml:space="preserve">ua organização e funcionamento e subordinado </w:t>
      </w:r>
      <w:r w:rsidR="000E2B76">
        <w:rPr>
          <w:rFonts w:cs="Times New Roman"/>
          <w:color w:val="000000"/>
          <w:szCs w:val="24"/>
        </w:rPr>
        <w:t>à</w:t>
      </w:r>
      <w:r w:rsidRPr="007D1D87">
        <w:rPr>
          <w:rFonts w:cs="Times New Roman"/>
          <w:color w:val="000000"/>
          <w:szCs w:val="24"/>
        </w:rPr>
        <w:t xml:space="preserve"> Secretaria de Políticas de Previdência Social – SPS </w:t>
      </w:r>
      <w:r>
        <w:rPr>
          <w:rFonts w:cs="Times New Roman"/>
          <w:color w:val="000000"/>
          <w:szCs w:val="24"/>
        </w:rPr>
        <w:t xml:space="preserve">que </w:t>
      </w:r>
      <w:r w:rsidRPr="007D1D87">
        <w:rPr>
          <w:rFonts w:cs="Times New Roman"/>
          <w:color w:val="000000"/>
          <w:szCs w:val="24"/>
        </w:rPr>
        <w:t>é o órgão do Ministério da Previdência Social (MPS) responsável pela formulação da política de previdência social, pela supervisão de programas e ações das entidades vinculadas e pela proposição de normas gerais para organização e manutenção dos RPPS.</w:t>
      </w:r>
    </w:p>
    <w:p w14:paraId="04AB8EBA" w14:textId="77777777" w:rsidR="009C5E4D" w:rsidRDefault="009C5E4D" w:rsidP="00B17B54">
      <w:pPr>
        <w:spacing w:after="0"/>
        <w:ind w:firstLine="709"/>
        <w:jc w:val="both"/>
        <w:rPr>
          <w:rFonts w:cs="Times New Roman"/>
          <w:color w:val="000000"/>
          <w:szCs w:val="24"/>
        </w:rPr>
      </w:pPr>
      <w:r>
        <w:rPr>
          <w:rFonts w:cs="Times New Roman"/>
          <w:color w:val="000000"/>
          <w:szCs w:val="24"/>
        </w:rPr>
        <w:t xml:space="preserve">Segundo o artigo 40, § 20 da CF/88 </w:t>
      </w:r>
      <w:r w:rsidRPr="007D1D87">
        <w:rPr>
          <w:rFonts w:cs="Times New Roman"/>
          <w:szCs w:val="24"/>
        </w:rPr>
        <w:t xml:space="preserve">o </w:t>
      </w:r>
      <w:r>
        <w:rPr>
          <w:rFonts w:cs="Times New Roman"/>
          <w:szCs w:val="24"/>
        </w:rPr>
        <w:t>RPPS</w:t>
      </w:r>
      <w:r w:rsidRPr="007D1D87">
        <w:rPr>
          <w:rFonts w:cs="Times New Roman"/>
          <w:color w:val="000000"/>
          <w:szCs w:val="24"/>
        </w:rPr>
        <w:t xml:space="preserve"> deve ser administrado por unidade gestora</w:t>
      </w:r>
      <w:r>
        <w:rPr>
          <w:rFonts w:cs="Times New Roman"/>
          <w:color w:val="000000"/>
          <w:szCs w:val="24"/>
        </w:rPr>
        <w:t xml:space="preserve"> única</w:t>
      </w:r>
      <w:r w:rsidRPr="007D1D87">
        <w:rPr>
          <w:rFonts w:cs="Times New Roman"/>
          <w:color w:val="000000"/>
          <w:szCs w:val="24"/>
        </w:rPr>
        <w:t>, sob a forma de fundo, autarquia ou fun</w:t>
      </w:r>
      <w:r>
        <w:rPr>
          <w:rFonts w:cs="Times New Roman"/>
          <w:color w:val="000000"/>
          <w:szCs w:val="24"/>
        </w:rPr>
        <w:t>dação no âmbito do ente público conforme explicita o texto legal</w:t>
      </w:r>
      <w:r w:rsidRPr="007D1D87">
        <w:rPr>
          <w:rFonts w:cs="Times New Roman"/>
          <w:color w:val="000000"/>
          <w:szCs w:val="24"/>
        </w:rPr>
        <w:t xml:space="preserve"> </w:t>
      </w:r>
      <w:r w:rsidRPr="008A5D35">
        <w:rPr>
          <w:rFonts w:cs="Times New Roman"/>
          <w:i/>
          <w:color w:val="000000"/>
          <w:szCs w:val="24"/>
        </w:rPr>
        <w:t>“fica vedada a existência de mais de um regime próprio de previdência social para os servidores titulares de cargos efetivos, e de mais de uma unidade gestora do respectivo regime em cada ente”.</w:t>
      </w:r>
      <w:r>
        <w:rPr>
          <w:rFonts w:cs="Times New Roman"/>
          <w:color w:val="000000"/>
          <w:szCs w:val="24"/>
        </w:rPr>
        <w:t xml:space="preserve"> </w:t>
      </w:r>
    </w:p>
    <w:p w14:paraId="448F1E2E" w14:textId="77777777" w:rsidR="009C5E4D" w:rsidRPr="001E5A49" w:rsidRDefault="009C5E4D" w:rsidP="00B17B54">
      <w:pPr>
        <w:spacing w:after="0"/>
        <w:ind w:firstLine="709"/>
        <w:jc w:val="both"/>
        <w:rPr>
          <w:rFonts w:cs="Times New Roman"/>
          <w:color w:val="000000"/>
          <w:szCs w:val="24"/>
        </w:rPr>
      </w:pPr>
      <w:r w:rsidRPr="001E5A49">
        <w:rPr>
          <w:rFonts w:cs="Times New Roman"/>
          <w:color w:val="000000"/>
          <w:szCs w:val="24"/>
        </w:rPr>
        <w:t>Segundo a Portaria MPS nº 402, de 2008, entende-se por “unidade gestora”</w:t>
      </w:r>
    </w:p>
    <w:p w14:paraId="4185B5C9" w14:textId="77777777" w:rsidR="009C5E4D" w:rsidRDefault="009C5E4D" w:rsidP="008A5D35">
      <w:pPr>
        <w:spacing w:after="0"/>
        <w:ind w:left="2268"/>
        <w:jc w:val="both"/>
        <w:rPr>
          <w:rFonts w:cs="Times New Roman"/>
          <w:i/>
          <w:color w:val="000000"/>
          <w:sz w:val="22"/>
        </w:rPr>
      </w:pPr>
      <w:r w:rsidRPr="008A5D35">
        <w:rPr>
          <w:rFonts w:cs="Times New Roman"/>
          <w:i/>
          <w:color w:val="000000"/>
          <w:sz w:val="22"/>
        </w:rPr>
        <w:t>Art. 10 [...] § 1º A entidade ou órgão integrante da estrutura da Administração Pública de cada ente federativo, que tenha por finalidade a administração, o gerenciamento e a operacionalização do RPPS, incluindo a arrecadação e gestão de recursos e fundos previdenciários, a concessão, o pagamento e a manutenção dos benefícios.</w:t>
      </w:r>
    </w:p>
    <w:p w14:paraId="7222DDDB" w14:textId="77777777" w:rsidR="00B17B54" w:rsidRPr="008A5D35" w:rsidRDefault="00B17B54" w:rsidP="008A5D35">
      <w:pPr>
        <w:spacing w:after="0"/>
        <w:ind w:left="2268"/>
        <w:jc w:val="both"/>
        <w:rPr>
          <w:rFonts w:cs="Times New Roman"/>
          <w:i/>
          <w:color w:val="000000"/>
          <w:sz w:val="22"/>
        </w:rPr>
      </w:pPr>
    </w:p>
    <w:p w14:paraId="0BB4FB70" w14:textId="77777777" w:rsidR="009C5E4D" w:rsidRPr="003F01BC" w:rsidRDefault="009C5E4D" w:rsidP="00B17B54">
      <w:pPr>
        <w:spacing w:after="0"/>
        <w:ind w:firstLine="709"/>
        <w:jc w:val="both"/>
        <w:rPr>
          <w:rFonts w:cs="Times New Roman"/>
          <w:color w:val="000000"/>
          <w:sz w:val="22"/>
        </w:rPr>
      </w:pPr>
      <w:r w:rsidRPr="001E5A49">
        <w:rPr>
          <w:rFonts w:cs="Times New Roman"/>
          <w:color w:val="000000"/>
          <w:szCs w:val="24"/>
        </w:rPr>
        <w:t xml:space="preserve">Para que </w:t>
      </w:r>
      <w:r>
        <w:rPr>
          <w:rFonts w:cs="Times New Roman"/>
          <w:color w:val="000000"/>
          <w:szCs w:val="24"/>
        </w:rPr>
        <w:t>a entidade responsável pela gestão do RPPS seja considerada</w:t>
      </w:r>
      <w:r w:rsidRPr="001E5A49">
        <w:rPr>
          <w:rFonts w:cs="Times New Roman"/>
          <w:color w:val="000000"/>
          <w:szCs w:val="24"/>
        </w:rPr>
        <w:t xml:space="preserve"> “unidade gestora”, </w:t>
      </w:r>
      <w:r w:rsidR="0023349F">
        <w:rPr>
          <w:rFonts w:cs="Times New Roman"/>
          <w:color w:val="000000"/>
          <w:szCs w:val="24"/>
        </w:rPr>
        <w:t xml:space="preserve">segundo Portaria MPS nº 402, de 2008, </w:t>
      </w:r>
      <w:r w:rsidRPr="001E5A49">
        <w:rPr>
          <w:rFonts w:cs="Times New Roman"/>
          <w:color w:val="000000"/>
          <w:szCs w:val="24"/>
        </w:rPr>
        <w:t>a mesma deverá gerenciar, direta ou indiretamente, a concessão, pagamento e manutenção, no mínimo, das aposentadorias e pensões por morte concedidas a partir da vigência da EC 41 de todos os poderes e entidades do ente federado.</w:t>
      </w:r>
      <w:r>
        <w:rPr>
          <w:rFonts w:cs="Times New Roman"/>
          <w:color w:val="000000"/>
          <w:szCs w:val="24"/>
        </w:rPr>
        <w:t xml:space="preserve"> </w:t>
      </w:r>
    </w:p>
    <w:p w14:paraId="391EA8FE" w14:textId="77777777" w:rsidR="009C5E4D" w:rsidRDefault="009C5E4D" w:rsidP="00673650">
      <w:pPr>
        <w:spacing w:after="0" w:line="360" w:lineRule="auto"/>
        <w:ind w:firstLine="709"/>
        <w:jc w:val="both"/>
        <w:rPr>
          <w:rFonts w:cs="Times New Roman"/>
          <w:color w:val="000000"/>
          <w:szCs w:val="24"/>
        </w:rPr>
      </w:pPr>
    </w:p>
    <w:p w14:paraId="6845DFAE" w14:textId="77777777" w:rsidR="009C5E4D" w:rsidRPr="00C6065A" w:rsidRDefault="009C5E4D" w:rsidP="00B17B54">
      <w:pPr>
        <w:pStyle w:val="Ttulo2"/>
        <w:numPr>
          <w:ilvl w:val="0"/>
          <w:numId w:val="3"/>
        </w:numPr>
        <w:spacing w:after="120" w:line="240" w:lineRule="auto"/>
        <w:ind w:left="357" w:hanging="357"/>
        <w:rPr>
          <w:rFonts w:ascii="Times New Roman" w:eastAsia="Times" w:hAnsi="Times New Roman" w:cs="Times New Roman"/>
          <w:szCs w:val="24"/>
          <w:lang w:eastAsia="ar-SA"/>
        </w:rPr>
      </w:pPr>
      <w:bookmarkStart w:id="4" w:name="_Toc442957885"/>
      <w:r w:rsidRPr="00C7792C">
        <w:rPr>
          <w:rFonts w:ascii="Times New Roman" w:eastAsia="Times" w:hAnsi="Times New Roman" w:cs="Times New Roman"/>
          <w:szCs w:val="24"/>
          <w:lang w:eastAsia="ar-SA"/>
        </w:rPr>
        <w:t xml:space="preserve">FUNDAMENTAÇÃO </w:t>
      </w:r>
      <w:r w:rsidRPr="00DC7E79">
        <w:rPr>
          <w:rFonts w:ascii="Times New Roman" w:eastAsia="Times New Roman" w:hAnsi="Times New Roman" w:cs="Times New Roman"/>
          <w:szCs w:val="24"/>
        </w:rPr>
        <w:t>TEÓRICA</w:t>
      </w:r>
      <w:bookmarkEnd w:id="4"/>
      <w:r w:rsidRPr="00C7792C">
        <w:rPr>
          <w:rFonts w:ascii="Times New Roman" w:eastAsia="Times" w:hAnsi="Times New Roman" w:cs="Times New Roman"/>
          <w:szCs w:val="24"/>
          <w:lang w:eastAsia="ar-SA"/>
        </w:rPr>
        <w:t xml:space="preserve"> </w:t>
      </w:r>
    </w:p>
    <w:p w14:paraId="5BA2F405" w14:textId="77777777" w:rsidR="009C5E4D" w:rsidRPr="002A2CFF" w:rsidRDefault="009C5E4D" w:rsidP="00B17B54">
      <w:pPr>
        <w:pStyle w:val="Ttulo2"/>
        <w:numPr>
          <w:ilvl w:val="1"/>
          <w:numId w:val="3"/>
        </w:numPr>
        <w:spacing w:after="120" w:line="240" w:lineRule="auto"/>
        <w:ind w:left="0" w:firstLine="0"/>
        <w:rPr>
          <w:rFonts w:ascii="Times New Roman" w:hAnsi="Times New Roman" w:cs="Times New Roman"/>
          <w:i/>
          <w:szCs w:val="24"/>
        </w:rPr>
      </w:pPr>
      <w:bookmarkStart w:id="5" w:name="_Toc442957886"/>
      <w:r w:rsidRPr="00C335E6">
        <w:rPr>
          <w:rFonts w:ascii="Times New Roman" w:eastAsia="Times New Roman" w:hAnsi="Times New Roman" w:cs="Times New Roman"/>
          <w:i/>
          <w:szCs w:val="24"/>
        </w:rPr>
        <w:t>Accountability</w:t>
      </w:r>
      <w:bookmarkEnd w:id="5"/>
      <w:r w:rsidRPr="006B35D9">
        <w:rPr>
          <w:rFonts w:ascii="Times New Roman" w:hAnsi="Times New Roman" w:cs="Times New Roman"/>
          <w:i/>
          <w:szCs w:val="24"/>
        </w:rPr>
        <w:t xml:space="preserve"> </w:t>
      </w:r>
    </w:p>
    <w:p w14:paraId="15784D8B" w14:textId="77777777" w:rsidR="009C5E4D" w:rsidRPr="00C7792C" w:rsidRDefault="009C5E4D" w:rsidP="00B17B54">
      <w:pPr>
        <w:spacing w:after="0"/>
        <w:ind w:firstLine="709"/>
        <w:jc w:val="both"/>
        <w:rPr>
          <w:rFonts w:cs="Times New Roman"/>
          <w:szCs w:val="24"/>
        </w:rPr>
      </w:pPr>
      <w:r w:rsidRPr="00C7792C">
        <w:rPr>
          <w:rFonts w:cs="Times New Roman"/>
          <w:szCs w:val="24"/>
        </w:rPr>
        <w:t xml:space="preserve">A </w:t>
      </w:r>
      <w:r w:rsidRPr="00C335E6">
        <w:rPr>
          <w:rFonts w:cs="Times New Roman"/>
          <w:i/>
          <w:szCs w:val="24"/>
        </w:rPr>
        <w:t>accountability</w:t>
      </w:r>
      <w:r w:rsidRPr="000216A7">
        <w:rPr>
          <w:rFonts w:cs="Times New Roman"/>
          <w:szCs w:val="24"/>
        </w:rPr>
        <w:t xml:space="preserve"> </w:t>
      </w:r>
      <w:r w:rsidRPr="00C7792C">
        <w:rPr>
          <w:rFonts w:cs="Times New Roman"/>
          <w:szCs w:val="24"/>
        </w:rPr>
        <w:t>tem sido tratada como um dos temas em destaque nos estudos sobre ad</w:t>
      </w:r>
      <w:r>
        <w:rPr>
          <w:rFonts w:cs="Times New Roman"/>
          <w:szCs w:val="24"/>
        </w:rPr>
        <w:t>ministração pública democrática. Isso</w:t>
      </w:r>
      <w:r w:rsidRPr="00C7792C">
        <w:rPr>
          <w:rFonts w:cs="Times New Roman"/>
          <w:szCs w:val="24"/>
        </w:rPr>
        <w:t xml:space="preserve"> muito se deve ao fato de</w:t>
      </w:r>
      <w:r>
        <w:rPr>
          <w:rFonts w:cs="Times New Roman"/>
          <w:szCs w:val="24"/>
        </w:rPr>
        <w:t xml:space="preserve"> ela</w:t>
      </w:r>
      <w:r w:rsidRPr="00C7792C">
        <w:rPr>
          <w:rFonts w:cs="Times New Roman"/>
          <w:szCs w:val="24"/>
        </w:rPr>
        <w:t xml:space="preserve"> refletir a inquietação contínua em relação ao exercício do poder nas entidades públicas, de como manter o poder sobre controle, como evitar seu abuso, como submetê-lo a procedimentos e regras de condutas, A </w:t>
      </w:r>
      <w:r w:rsidRPr="00C335E6">
        <w:rPr>
          <w:rFonts w:cs="Times New Roman"/>
          <w:i/>
          <w:szCs w:val="24"/>
        </w:rPr>
        <w:t>accountability</w:t>
      </w:r>
      <w:r w:rsidRPr="000216A7">
        <w:rPr>
          <w:rFonts w:cs="Times New Roman"/>
          <w:szCs w:val="24"/>
        </w:rPr>
        <w:t xml:space="preserve"> </w:t>
      </w:r>
      <w:r w:rsidRPr="00C7792C">
        <w:rPr>
          <w:rFonts w:cs="Times New Roman"/>
          <w:szCs w:val="24"/>
        </w:rPr>
        <w:t xml:space="preserve">expressa </w:t>
      </w:r>
      <w:r>
        <w:rPr>
          <w:rFonts w:cs="Times New Roman"/>
          <w:szCs w:val="24"/>
        </w:rPr>
        <w:t>a</w:t>
      </w:r>
      <w:r w:rsidRPr="00C7792C">
        <w:rPr>
          <w:rFonts w:cs="Times New Roman"/>
          <w:szCs w:val="24"/>
        </w:rPr>
        <w:t xml:space="preserve"> preocupação de </w:t>
      </w:r>
      <w:r w:rsidRPr="000216A7">
        <w:rPr>
          <w:rFonts w:cs="Times New Roman"/>
          <w:szCs w:val="24"/>
        </w:rPr>
        <w:t>fiscalização</w:t>
      </w:r>
      <w:r w:rsidRPr="00C7792C">
        <w:rPr>
          <w:rFonts w:cs="Times New Roman"/>
          <w:szCs w:val="24"/>
        </w:rPr>
        <w:t>, de vigilância e restrições institucionais ao exercício do poder.</w:t>
      </w:r>
    </w:p>
    <w:p w14:paraId="43438C49" w14:textId="77777777" w:rsidR="009C5E4D" w:rsidRPr="00F348E4" w:rsidRDefault="009C5E4D" w:rsidP="00B17B54">
      <w:pPr>
        <w:spacing w:after="0"/>
        <w:ind w:firstLine="709"/>
        <w:jc w:val="both"/>
        <w:rPr>
          <w:rFonts w:cs="Times New Roman"/>
          <w:szCs w:val="24"/>
        </w:rPr>
      </w:pPr>
      <w:r>
        <w:rPr>
          <w:rFonts w:cs="Times New Roman"/>
          <w:szCs w:val="24"/>
        </w:rPr>
        <w:lastRenderedPageBreak/>
        <w:t>Diversos</w:t>
      </w:r>
      <w:r w:rsidRPr="00C7792C">
        <w:rPr>
          <w:rFonts w:cs="Times New Roman"/>
          <w:szCs w:val="24"/>
        </w:rPr>
        <w:t xml:space="preserve"> trabalhos no Brasil </w:t>
      </w:r>
      <w:r>
        <w:rPr>
          <w:rFonts w:cs="Times New Roman"/>
          <w:szCs w:val="24"/>
        </w:rPr>
        <w:t>tiveram</w:t>
      </w:r>
      <w:r w:rsidRPr="00C7792C">
        <w:rPr>
          <w:rFonts w:cs="Times New Roman"/>
          <w:szCs w:val="24"/>
        </w:rPr>
        <w:t xml:space="preserve"> como objeto de estudo a </w:t>
      </w:r>
      <w:r w:rsidRPr="00C335E6">
        <w:rPr>
          <w:rFonts w:cs="Times New Roman"/>
          <w:i/>
          <w:szCs w:val="24"/>
        </w:rPr>
        <w:t>accountability</w:t>
      </w:r>
      <w:r>
        <w:rPr>
          <w:rFonts w:cs="Times New Roman"/>
          <w:i/>
          <w:szCs w:val="24"/>
        </w:rPr>
        <w:t xml:space="preserve"> </w:t>
      </w:r>
      <w:r w:rsidRPr="00F348E4">
        <w:rPr>
          <w:rFonts w:cs="Times New Roman"/>
          <w:szCs w:val="24"/>
        </w:rPr>
        <w:t>(CAMPOS, 1990</w:t>
      </w:r>
      <w:r>
        <w:rPr>
          <w:rFonts w:cs="Times New Roman"/>
          <w:szCs w:val="24"/>
        </w:rPr>
        <w:t xml:space="preserve">; </w:t>
      </w:r>
      <w:r w:rsidRPr="00D3041E">
        <w:rPr>
          <w:rFonts w:cs="Times New Roman"/>
          <w:szCs w:val="24"/>
        </w:rPr>
        <w:t xml:space="preserve">O’DONNELL, </w:t>
      </w:r>
      <w:r>
        <w:rPr>
          <w:rFonts w:cs="Times New Roman"/>
          <w:szCs w:val="24"/>
        </w:rPr>
        <w:t xml:space="preserve">1991, 1998; TROSA, 2001). Entretanto </w:t>
      </w:r>
      <w:r w:rsidRPr="00C7792C">
        <w:rPr>
          <w:rFonts w:cs="Times New Roman"/>
          <w:szCs w:val="24"/>
        </w:rPr>
        <w:t xml:space="preserve">não existe uma terminologia em português que expresse o termo </w:t>
      </w:r>
      <w:r w:rsidRPr="00C335E6">
        <w:rPr>
          <w:rFonts w:cs="Times New Roman"/>
          <w:i/>
          <w:szCs w:val="24"/>
        </w:rPr>
        <w:t>accountability</w:t>
      </w:r>
      <w:r>
        <w:rPr>
          <w:rFonts w:cs="Times New Roman"/>
          <w:szCs w:val="24"/>
        </w:rPr>
        <w:t>.</w:t>
      </w:r>
      <w:r w:rsidRPr="00C7792C">
        <w:rPr>
          <w:rFonts w:cs="Times New Roman"/>
          <w:szCs w:val="24"/>
        </w:rPr>
        <w:t xml:space="preserve"> </w:t>
      </w:r>
      <w:r>
        <w:rPr>
          <w:rFonts w:cs="Times New Roman"/>
          <w:szCs w:val="24"/>
        </w:rPr>
        <w:t>D</w:t>
      </w:r>
      <w:r w:rsidRPr="00C7792C">
        <w:rPr>
          <w:rFonts w:cs="Times New Roman"/>
          <w:szCs w:val="24"/>
        </w:rPr>
        <w:t xml:space="preserve">esse modo, procura-se trabalhar com uma definição composta </w:t>
      </w:r>
      <w:r>
        <w:rPr>
          <w:rFonts w:cs="Times New Roman"/>
          <w:szCs w:val="24"/>
        </w:rPr>
        <w:t>do conceito de</w:t>
      </w:r>
      <w:r w:rsidRPr="00C7792C">
        <w:rPr>
          <w:rFonts w:cs="Times New Roman"/>
          <w:szCs w:val="24"/>
        </w:rPr>
        <w:t xml:space="preserve"> </w:t>
      </w:r>
      <w:r w:rsidRPr="00C335E6">
        <w:rPr>
          <w:rFonts w:cs="Times New Roman"/>
          <w:i/>
          <w:szCs w:val="24"/>
        </w:rPr>
        <w:t>accountability</w:t>
      </w:r>
      <w:r w:rsidRPr="000216A7">
        <w:rPr>
          <w:rFonts w:cs="Times New Roman"/>
          <w:szCs w:val="24"/>
        </w:rPr>
        <w:t>.</w:t>
      </w:r>
      <w:r w:rsidRPr="00C7792C">
        <w:rPr>
          <w:rFonts w:cs="Times New Roman"/>
          <w:szCs w:val="24"/>
        </w:rPr>
        <w:t xml:space="preserve"> </w:t>
      </w:r>
      <w:r>
        <w:rPr>
          <w:rFonts w:cs="Times New Roman"/>
          <w:szCs w:val="24"/>
        </w:rPr>
        <w:t>Segundo</w:t>
      </w:r>
      <w:r w:rsidRPr="00C7792C">
        <w:rPr>
          <w:rFonts w:cs="Times New Roman"/>
          <w:szCs w:val="24"/>
        </w:rPr>
        <w:t xml:space="preserve"> Pinho </w:t>
      </w:r>
      <w:r>
        <w:rPr>
          <w:rFonts w:cs="Times New Roman"/>
          <w:szCs w:val="24"/>
        </w:rPr>
        <w:t>e</w:t>
      </w:r>
      <w:r w:rsidRPr="00C7792C">
        <w:rPr>
          <w:rFonts w:cs="Times New Roman"/>
          <w:szCs w:val="24"/>
        </w:rPr>
        <w:t xml:space="preserve"> Sacramento (</w:t>
      </w:r>
      <w:r w:rsidRPr="00F348E4">
        <w:rPr>
          <w:rFonts w:cs="Times New Roman"/>
          <w:szCs w:val="24"/>
        </w:rPr>
        <w:t>2009, p.1358</w:t>
      </w:r>
      <w:r>
        <w:rPr>
          <w:rFonts w:cs="Times New Roman"/>
          <w:szCs w:val="24"/>
        </w:rPr>
        <w:t xml:space="preserve">) </w:t>
      </w:r>
      <w:r w:rsidRPr="00C335E6">
        <w:rPr>
          <w:rFonts w:cs="Times New Roman"/>
          <w:i/>
          <w:szCs w:val="24"/>
        </w:rPr>
        <w:t>accountability</w:t>
      </w:r>
      <w:r w:rsidRPr="00F348E4">
        <w:rPr>
          <w:rFonts w:cs="Times New Roman"/>
          <w:szCs w:val="24"/>
        </w:rPr>
        <w:t xml:space="preserve"> engloba</w:t>
      </w:r>
      <w:r>
        <w:t xml:space="preserve"> </w:t>
      </w:r>
      <w:r w:rsidRPr="008A5D35">
        <w:rPr>
          <w:rFonts w:cs="Times New Roman"/>
          <w:i/>
          <w:szCs w:val="24"/>
        </w:rPr>
        <w:t xml:space="preserve">“a responsabilidade, a obrigação e a responsabilização de quem ocupa um cargo em prestar contas segundo os parâmetros da lei, estando envolvida a possibilidade de ônus, o que seria a pena para o não cumprimento dessa diretiva”. </w:t>
      </w:r>
    </w:p>
    <w:p w14:paraId="1169AE9B" w14:textId="77777777" w:rsidR="009C5E4D" w:rsidRPr="00EB2BA9" w:rsidRDefault="009C5E4D" w:rsidP="00B17B54">
      <w:pPr>
        <w:spacing w:after="0"/>
        <w:ind w:firstLine="709"/>
        <w:jc w:val="both"/>
        <w:rPr>
          <w:rFonts w:cs="Times New Roman"/>
          <w:szCs w:val="24"/>
        </w:rPr>
      </w:pPr>
      <w:r w:rsidRPr="00EB2BA9">
        <w:rPr>
          <w:rFonts w:cs="Times New Roman"/>
          <w:szCs w:val="24"/>
        </w:rPr>
        <w:t>Segundo Gray e Jenkins citado por kluvers (2003. p. 58)</w:t>
      </w:r>
      <w:r>
        <w:rPr>
          <w:rFonts w:cs="Times New Roman"/>
          <w:szCs w:val="24"/>
        </w:rPr>
        <w:t xml:space="preserve">, </w:t>
      </w:r>
      <w:r w:rsidRPr="00C335E6">
        <w:rPr>
          <w:rFonts w:cs="Times New Roman"/>
          <w:i/>
          <w:szCs w:val="24"/>
        </w:rPr>
        <w:t>accountability</w:t>
      </w:r>
      <w:r w:rsidRPr="00EB2BA9">
        <w:rPr>
          <w:rFonts w:cs="Times New Roman"/>
          <w:szCs w:val="24"/>
        </w:rPr>
        <w:t xml:space="preserve"> é uma obrigação de se apresentar uma explicação e responder pela execução do exercício do poder para aqueles que confiaram essas responsabilidades. Albuquerque et al (2007) ainda complementa</w:t>
      </w:r>
      <w:r>
        <w:rPr>
          <w:rFonts w:cs="Times New Roman"/>
          <w:szCs w:val="24"/>
        </w:rPr>
        <w:t>m</w:t>
      </w:r>
      <w:r w:rsidRPr="00EB2BA9">
        <w:rPr>
          <w:rFonts w:cs="Times New Roman"/>
          <w:szCs w:val="24"/>
        </w:rPr>
        <w:t xml:space="preserve"> </w:t>
      </w:r>
      <w:r w:rsidRPr="008A5D35">
        <w:rPr>
          <w:rFonts w:cs="Times New Roman"/>
          <w:i/>
          <w:szCs w:val="24"/>
        </w:rPr>
        <w:t>"Accountability é um importante elemento de governança, que envolve responsabilidade por decisões e ações, frequentemente para prevenir o abuso de poder e outras formas de comportamento inapropriado por parte dos gestores."</w:t>
      </w:r>
    </w:p>
    <w:p w14:paraId="1E5C1ADF" w14:textId="77777777" w:rsidR="009C5E4D" w:rsidRPr="00EB2BA9" w:rsidRDefault="009C5E4D" w:rsidP="00B17B54">
      <w:pPr>
        <w:spacing w:after="0"/>
        <w:ind w:firstLine="709"/>
        <w:jc w:val="both"/>
        <w:rPr>
          <w:rFonts w:cs="Times New Roman"/>
          <w:szCs w:val="24"/>
        </w:rPr>
      </w:pPr>
      <w:r w:rsidRPr="00EB2BA9">
        <w:rPr>
          <w:rFonts w:cs="Times New Roman"/>
          <w:szCs w:val="24"/>
        </w:rPr>
        <w:t>Em sociedades democráticas é esperado</w:t>
      </w:r>
      <w:r>
        <w:rPr>
          <w:rFonts w:cs="Times New Roman"/>
          <w:szCs w:val="24"/>
        </w:rPr>
        <w:t>,</w:t>
      </w:r>
      <w:r w:rsidRPr="00EB2BA9">
        <w:rPr>
          <w:rFonts w:cs="Times New Roman"/>
          <w:szCs w:val="24"/>
        </w:rPr>
        <w:t xml:space="preserve"> como cita Cobari (2004)</w:t>
      </w:r>
      <w:r>
        <w:rPr>
          <w:rFonts w:cs="Times New Roman"/>
          <w:szCs w:val="24"/>
        </w:rPr>
        <w:t>,</w:t>
      </w:r>
      <w:r w:rsidRPr="00EB2BA9">
        <w:rPr>
          <w:rFonts w:cs="Times New Roman"/>
          <w:szCs w:val="24"/>
        </w:rPr>
        <w:t xml:space="preserve"> que os agentes tenham postura responsável em relação aos cidadãos, pois estes são podem ser considerados “proprietários do estado"; seu funcionamento e manutenção só se dão através do pagamento de impostos e contribuições efetuados pelos cidadãos. Poder-se-ia visualizar como uma espécie de troca de ativos como denominamos na NEI em que os cidadãos investem seus recursos e o governo os gerencia com o único objetivo de gerar benefícios para a própria</w:t>
      </w:r>
      <w:r>
        <w:rPr>
          <w:rFonts w:cs="Times New Roman"/>
          <w:szCs w:val="24"/>
        </w:rPr>
        <w:t xml:space="preserve"> sociedade. Como resultado</w:t>
      </w:r>
      <w:r w:rsidRPr="00EB2BA9">
        <w:rPr>
          <w:rFonts w:cs="Times New Roman"/>
          <w:szCs w:val="24"/>
        </w:rPr>
        <w:t>, tem-se a relação em que o cidadão é o mandante, o principal e o Estado é a delegação, seu agente.</w:t>
      </w:r>
    </w:p>
    <w:p w14:paraId="4E7F9715" w14:textId="7EE6AF5D" w:rsidR="009C5E4D" w:rsidRDefault="009C5E4D" w:rsidP="00B17B54">
      <w:pPr>
        <w:spacing w:after="0"/>
        <w:ind w:firstLine="709"/>
        <w:jc w:val="both"/>
        <w:rPr>
          <w:rFonts w:cs="Times New Roman"/>
          <w:szCs w:val="24"/>
        </w:rPr>
      </w:pPr>
      <w:r w:rsidRPr="00EB2BA9">
        <w:rPr>
          <w:rFonts w:cs="Times New Roman"/>
          <w:szCs w:val="24"/>
        </w:rPr>
        <w:t xml:space="preserve">Ainda segundo Cobari (2004), no processo de controle social, a </w:t>
      </w:r>
      <w:r w:rsidRPr="00C335E6">
        <w:rPr>
          <w:rFonts w:cs="Times New Roman"/>
          <w:i/>
          <w:szCs w:val="24"/>
        </w:rPr>
        <w:t>accountability</w:t>
      </w:r>
      <w:r w:rsidRPr="00EB2BA9">
        <w:rPr>
          <w:rFonts w:cs="Times New Roman"/>
          <w:szCs w:val="24"/>
        </w:rPr>
        <w:t xml:space="preserve"> desempenha papel de suma importância, uma vez que, só se pode controlar aquilo de que se tem efetivo conhecimento. Por isso, a qualidade e a tempestividade da informação são essenciais para que essa participação ativa da sociedade se efetive.</w:t>
      </w:r>
      <w:r>
        <w:rPr>
          <w:rFonts w:cs="Times New Roman"/>
          <w:szCs w:val="24"/>
        </w:rPr>
        <w:t xml:space="preserve"> </w:t>
      </w:r>
      <w:r w:rsidRPr="00EB2BA9">
        <w:rPr>
          <w:rFonts w:cs="Times New Roman"/>
          <w:szCs w:val="24"/>
        </w:rPr>
        <w:t>Para Albuquerque (2007)</w:t>
      </w:r>
      <w:r w:rsidR="004235B3">
        <w:rPr>
          <w:rFonts w:cs="Times New Roman"/>
          <w:szCs w:val="24"/>
        </w:rPr>
        <w:t>,</w:t>
      </w:r>
      <w:r w:rsidRPr="00EB2BA9">
        <w:rPr>
          <w:rFonts w:cs="Times New Roman"/>
          <w:szCs w:val="24"/>
        </w:rPr>
        <w:t xml:space="preserve"> a Assimetria informacional acaba contribuindo para o afastamento entre sociedade e governo.</w:t>
      </w:r>
    </w:p>
    <w:p w14:paraId="0FD3D1B4" w14:textId="1CD67736" w:rsidR="009C5E4D" w:rsidRPr="008A5D35" w:rsidRDefault="009C5E4D" w:rsidP="00B17B54">
      <w:pPr>
        <w:spacing w:after="0"/>
        <w:ind w:firstLine="709"/>
        <w:jc w:val="both"/>
        <w:rPr>
          <w:rFonts w:cs="Times New Roman"/>
          <w:i/>
          <w:szCs w:val="24"/>
        </w:rPr>
      </w:pPr>
      <w:r w:rsidRPr="00C7792C">
        <w:rPr>
          <w:rFonts w:cs="Times New Roman"/>
          <w:szCs w:val="24"/>
        </w:rPr>
        <w:t xml:space="preserve">Segundo Schedler (1999), a </w:t>
      </w:r>
      <w:r w:rsidRPr="00C335E6">
        <w:rPr>
          <w:rFonts w:cs="Times New Roman"/>
          <w:i/>
          <w:szCs w:val="24"/>
        </w:rPr>
        <w:t>accountability</w:t>
      </w:r>
      <w:r>
        <w:rPr>
          <w:rFonts w:cs="Times New Roman"/>
          <w:szCs w:val="24"/>
        </w:rPr>
        <w:t xml:space="preserve"> </w:t>
      </w:r>
      <w:r w:rsidRPr="00C7792C">
        <w:rPr>
          <w:rFonts w:cs="Times New Roman"/>
          <w:szCs w:val="24"/>
        </w:rPr>
        <w:t xml:space="preserve">seria uma forma de cobrar respostas dos governantes, ela decorre porque existem carências nas informações que são divulgadas ao público, nesse sentido temos a </w:t>
      </w:r>
      <w:r w:rsidRPr="00C335E6">
        <w:rPr>
          <w:rFonts w:cs="Times New Roman"/>
          <w:i/>
          <w:szCs w:val="24"/>
        </w:rPr>
        <w:t>accountability</w:t>
      </w:r>
      <w:r>
        <w:rPr>
          <w:rFonts w:cs="Times New Roman"/>
          <w:szCs w:val="24"/>
        </w:rPr>
        <w:t xml:space="preserve"> </w:t>
      </w:r>
      <w:r w:rsidRPr="00C7792C">
        <w:rPr>
          <w:rFonts w:cs="Times New Roman"/>
          <w:szCs w:val="24"/>
        </w:rPr>
        <w:t xml:space="preserve">como </w:t>
      </w:r>
      <w:r w:rsidRPr="006B35D9">
        <w:rPr>
          <w:rFonts w:cs="Times New Roman"/>
          <w:i/>
          <w:szCs w:val="24"/>
        </w:rPr>
        <w:t>answerability</w:t>
      </w:r>
      <w:r w:rsidRPr="000216A7">
        <w:rPr>
          <w:rFonts w:cs="Times New Roman"/>
          <w:szCs w:val="24"/>
        </w:rPr>
        <w:t xml:space="preserve">, </w:t>
      </w:r>
      <w:r w:rsidRPr="00C7792C">
        <w:rPr>
          <w:rFonts w:cs="Times New Roman"/>
          <w:szCs w:val="24"/>
        </w:rPr>
        <w:t>seu intuito</w:t>
      </w:r>
      <w:r w:rsidRPr="000216A7">
        <w:rPr>
          <w:rFonts w:cs="Times New Roman"/>
          <w:szCs w:val="24"/>
        </w:rPr>
        <w:t xml:space="preserve"> </w:t>
      </w:r>
      <w:r w:rsidRPr="00C7792C">
        <w:rPr>
          <w:rFonts w:cs="Times New Roman"/>
          <w:szCs w:val="24"/>
        </w:rPr>
        <w:t>é criar mais transparência em relação ao exercício do poder. Schedler (1999, p. 20) ainda completa</w:t>
      </w:r>
      <w:r w:rsidRPr="008A5D35">
        <w:rPr>
          <w:rFonts w:cs="Times New Roman"/>
          <w:i/>
          <w:szCs w:val="24"/>
        </w:rPr>
        <w:t xml:space="preserve">. “Se o exercício do poder fosse transparente, não haveria necessidade que alguém fosse accountable. A demanda por accountability (como answerability) origina-se da opacidade do </w:t>
      </w:r>
      <w:r w:rsidR="004235B3" w:rsidRPr="008A5D35">
        <w:rPr>
          <w:rFonts w:cs="Times New Roman"/>
          <w:i/>
          <w:szCs w:val="24"/>
        </w:rPr>
        <w:t>poder. ”</w:t>
      </w:r>
      <w:r w:rsidRPr="008A5D35">
        <w:rPr>
          <w:rFonts w:cs="Times New Roman"/>
          <w:i/>
          <w:szCs w:val="24"/>
        </w:rPr>
        <w:t xml:space="preserve"> </w:t>
      </w:r>
    </w:p>
    <w:p w14:paraId="4C20AE65" w14:textId="074898B2" w:rsidR="009C5E4D" w:rsidRDefault="009C5E4D" w:rsidP="00B17B54">
      <w:pPr>
        <w:spacing w:after="0"/>
        <w:ind w:firstLine="709"/>
        <w:jc w:val="both"/>
        <w:rPr>
          <w:rFonts w:cs="Times New Roman"/>
          <w:szCs w:val="24"/>
        </w:rPr>
      </w:pPr>
      <w:r w:rsidRPr="00400797">
        <w:rPr>
          <w:rFonts w:cs="Times New Roman"/>
          <w:szCs w:val="24"/>
        </w:rPr>
        <w:t>Para Meireles (2007)</w:t>
      </w:r>
      <w:r w:rsidR="004235B3">
        <w:rPr>
          <w:rFonts w:cs="Times New Roman"/>
          <w:szCs w:val="24"/>
        </w:rPr>
        <w:t>,</w:t>
      </w:r>
      <w:r w:rsidRPr="00400797">
        <w:rPr>
          <w:rFonts w:cs="Times New Roman"/>
          <w:szCs w:val="24"/>
        </w:rPr>
        <w:t xml:space="preserve"> é impreterível aceitar que a </w:t>
      </w:r>
      <w:r w:rsidRPr="00C335E6">
        <w:rPr>
          <w:rFonts w:cs="Times New Roman"/>
          <w:i/>
          <w:iCs/>
          <w:szCs w:val="24"/>
        </w:rPr>
        <w:t>accountability</w:t>
      </w:r>
      <w:r w:rsidRPr="00305185">
        <w:rPr>
          <w:rFonts w:cs="Times New Roman"/>
          <w:szCs w:val="24"/>
        </w:rPr>
        <w:t>,</w:t>
      </w:r>
      <w:r w:rsidRPr="00400797">
        <w:rPr>
          <w:rFonts w:cs="Times New Roman"/>
          <w:szCs w:val="24"/>
        </w:rPr>
        <w:t xml:space="preserve"> como outros processos dentro da Administração Pública</w:t>
      </w:r>
      <w:r>
        <w:rPr>
          <w:rFonts w:cs="Times New Roman"/>
          <w:szCs w:val="24"/>
        </w:rPr>
        <w:t>,</w:t>
      </w:r>
      <w:r w:rsidRPr="00400797">
        <w:rPr>
          <w:rFonts w:cs="Times New Roman"/>
          <w:szCs w:val="24"/>
        </w:rPr>
        <w:t xml:space="preserve"> </w:t>
      </w:r>
      <w:r>
        <w:rPr>
          <w:rFonts w:cs="Times New Roman"/>
          <w:szCs w:val="24"/>
        </w:rPr>
        <w:t>está</w:t>
      </w:r>
      <w:r w:rsidRPr="00400797">
        <w:rPr>
          <w:rFonts w:cs="Times New Roman"/>
          <w:szCs w:val="24"/>
        </w:rPr>
        <w:t xml:space="preserve"> subordinad</w:t>
      </w:r>
      <w:r>
        <w:rPr>
          <w:rFonts w:cs="Times New Roman"/>
          <w:szCs w:val="24"/>
        </w:rPr>
        <w:t>a</w:t>
      </w:r>
      <w:r w:rsidRPr="00400797">
        <w:rPr>
          <w:rFonts w:cs="Times New Roman"/>
          <w:szCs w:val="24"/>
        </w:rPr>
        <w:t xml:space="preserve"> ao estado de direito,</w:t>
      </w:r>
      <w:r>
        <w:rPr>
          <w:rFonts w:cs="Times New Roman"/>
          <w:szCs w:val="24"/>
        </w:rPr>
        <w:t xml:space="preserve"> e suas ações se</w:t>
      </w:r>
      <w:r w:rsidRPr="00400797">
        <w:rPr>
          <w:rFonts w:cs="Times New Roman"/>
          <w:szCs w:val="24"/>
        </w:rPr>
        <w:t xml:space="preserve"> subordina</w:t>
      </w:r>
      <w:r>
        <w:rPr>
          <w:rFonts w:cs="Times New Roman"/>
          <w:szCs w:val="24"/>
        </w:rPr>
        <w:t>m</w:t>
      </w:r>
      <w:r w:rsidRPr="00400797">
        <w:rPr>
          <w:rFonts w:cs="Times New Roman"/>
          <w:szCs w:val="24"/>
        </w:rPr>
        <w:t xml:space="preserve"> à lei. Ou seja, restringe a atuação em aquilo que é permitido por lei, de acordo com os meios e formas que por ela estabelecidos e segundo os interesses públicos. </w:t>
      </w:r>
    </w:p>
    <w:p w14:paraId="1CCF47E3" w14:textId="77777777" w:rsidR="009C5E4D" w:rsidRPr="00400797" w:rsidRDefault="009C5E4D" w:rsidP="00B17B54">
      <w:pPr>
        <w:spacing w:after="0"/>
        <w:ind w:firstLine="709"/>
        <w:jc w:val="both"/>
        <w:rPr>
          <w:rFonts w:cs="Times New Roman"/>
          <w:szCs w:val="24"/>
        </w:rPr>
      </w:pPr>
      <w:r>
        <w:rPr>
          <w:rFonts w:cs="Times New Roman"/>
          <w:szCs w:val="24"/>
        </w:rPr>
        <w:t>Qualquer</w:t>
      </w:r>
      <w:r w:rsidRPr="00400797">
        <w:rPr>
          <w:rFonts w:cs="Times New Roman"/>
          <w:szCs w:val="24"/>
        </w:rPr>
        <w:t xml:space="preserve"> que seja o aparat</w:t>
      </w:r>
      <w:r>
        <w:rPr>
          <w:rFonts w:cs="Times New Roman"/>
          <w:szCs w:val="24"/>
        </w:rPr>
        <w:t>o</w:t>
      </w:r>
      <w:r w:rsidRPr="00400797">
        <w:rPr>
          <w:rFonts w:cs="Times New Roman"/>
          <w:szCs w:val="24"/>
        </w:rPr>
        <w:t xml:space="preserve"> utilizado pelo </w:t>
      </w:r>
      <w:r>
        <w:rPr>
          <w:rFonts w:cs="Times New Roman"/>
          <w:szCs w:val="24"/>
        </w:rPr>
        <w:t>agente</w:t>
      </w:r>
      <w:r w:rsidRPr="00400797">
        <w:rPr>
          <w:rFonts w:cs="Times New Roman"/>
          <w:szCs w:val="24"/>
        </w:rPr>
        <w:t xml:space="preserve"> para promover a </w:t>
      </w:r>
      <w:r w:rsidRPr="00C335E6">
        <w:rPr>
          <w:rFonts w:cs="Times New Roman"/>
          <w:i/>
          <w:iCs/>
          <w:szCs w:val="24"/>
        </w:rPr>
        <w:t>accountability</w:t>
      </w:r>
      <w:r w:rsidRPr="00305185">
        <w:rPr>
          <w:rFonts w:cs="Times New Roman"/>
          <w:szCs w:val="24"/>
        </w:rPr>
        <w:t>,</w:t>
      </w:r>
      <w:r w:rsidRPr="00400797">
        <w:rPr>
          <w:rFonts w:cs="Times New Roman"/>
          <w:szCs w:val="24"/>
        </w:rPr>
        <w:t xml:space="preserve"> é necessário </w:t>
      </w:r>
      <w:r>
        <w:rPr>
          <w:rFonts w:cs="Times New Roman"/>
          <w:szCs w:val="24"/>
        </w:rPr>
        <w:t xml:space="preserve">que </w:t>
      </w:r>
      <w:r w:rsidRPr="00400797">
        <w:rPr>
          <w:rFonts w:cs="Times New Roman"/>
          <w:szCs w:val="24"/>
        </w:rPr>
        <w:t>este se enquadre nos limites do que a lei permite</w:t>
      </w:r>
      <w:r>
        <w:rPr>
          <w:rFonts w:cs="Times New Roman"/>
          <w:szCs w:val="24"/>
        </w:rPr>
        <w:t>,</w:t>
      </w:r>
      <w:r w:rsidRPr="00400797">
        <w:rPr>
          <w:rFonts w:cs="Times New Roman"/>
          <w:szCs w:val="24"/>
        </w:rPr>
        <w:t xml:space="preserve"> </w:t>
      </w:r>
      <w:r>
        <w:rPr>
          <w:rFonts w:cs="Times New Roman"/>
          <w:szCs w:val="24"/>
        </w:rPr>
        <w:t>deve-se ressaltar ainda</w:t>
      </w:r>
      <w:r w:rsidRPr="00400797">
        <w:rPr>
          <w:rFonts w:cs="Times New Roman"/>
          <w:szCs w:val="24"/>
        </w:rPr>
        <w:t xml:space="preserve"> que </w:t>
      </w:r>
      <w:r>
        <w:rPr>
          <w:rFonts w:cs="Times New Roman"/>
          <w:szCs w:val="24"/>
        </w:rPr>
        <w:t>tanto agente como principal podem ser entes</w:t>
      </w:r>
      <w:r w:rsidRPr="00400797">
        <w:rPr>
          <w:rFonts w:cs="Times New Roman"/>
          <w:szCs w:val="24"/>
        </w:rPr>
        <w:t xml:space="preserve"> públicos e integra</w:t>
      </w:r>
      <w:r>
        <w:rPr>
          <w:rFonts w:cs="Times New Roman"/>
          <w:szCs w:val="24"/>
        </w:rPr>
        <w:t>re</w:t>
      </w:r>
      <w:r w:rsidRPr="00400797">
        <w:rPr>
          <w:rFonts w:cs="Times New Roman"/>
          <w:szCs w:val="24"/>
        </w:rPr>
        <w:t>m o próprio Estado, subordinando-se, em consequência, às estritas determinações da lei.</w:t>
      </w:r>
      <w:r>
        <w:rPr>
          <w:rFonts w:cs="Times New Roman"/>
          <w:szCs w:val="24"/>
        </w:rPr>
        <w:t xml:space="preserve"> (ROCHA, 2013)</w:t>
      </w:r>
    </w:p>
    <w:p w14:paraId="57059838" w14:textId="77777777" w:rsidR="00A6029C" w:rsidRDefault="009C5E4D" w:rsidP="00B17B54">
      <w:pPr>
        <w:spacing w:after="0"/>
        <w:ind w:firstLine="709"/>
        <w:jc w:val="both"/>
        <w:rPr>
          <w:rFonts w:cs="Times New Roman"/>
          <w:szCs w:val="24"/>
        </w:rPr>
      </w:pPr>
      <w:r w:rsidRPr="00584045">
        <w:rPr>
          <w:rFonts w:cs="Times New Roman"/>
          <w:szCs w:val="24"/>
        </w:rPr>
        <w:t>Assim, como aponta Schedler (1999)</w:t>
      </w:r>
      <w:r>
        <w:rPr>
          <w:rFonts w:cs="Times New Roman"/>
          <w:szCs w:val="24"/>
        </w:rPr>
        <w:t>,</w:t>
      </w:r>
      <w:r w:rsidRPr="00584045">
        <w:rPr>
          <w:rFonts w:cs="Times New Roman"/>
          <w:szCs w:val="24"/>
        </w:rPr>
        <w:t xml:space="preserve"> é possível chegar a uma conclusão fundamental sobre a </w:t>
      </w:r>
      <w:r w:rsidRPr="00C335E6">
        <w:rPr>
          <w:rFonts w:cs="Times New Roman"/>
          <w:i/>
          <w:szCs w:val="24"/>
        </w:rPr>
        <w:t>accountability</w:t>
      </w:r>
      <w:r w:rsidRPr="00584045">
        <w:rPr>
          <w:rFonts w:cs="Times New Roman"/>
          <w:szCs w:val="24"/>
        </w:rPr>
        <w:t>: o necessário enquadramento de seu processo formal aos limites da lei. Schedler (1999) ainda distingue duas dimensões ao qual o termo acende: primeiro a obrigação dos agentes de informar ao público sobre suas atividades, ao exercício do poder e (</w:t>
      </w:r>
      <w:r w:rsidRPr="00C335E6">
        <w:rPr>
          <w:rFonts w:cs="Times New Roman"/>
          <w:i/>
          <w:szCs w:val="24"/>
        </w:rPr>
        <w:t>accountability</w:t>
      </w:r>
      <w:r w:rsidRPr="00584045">
        <w:rPr>
          <w:rFonts w:cs="Times New Roman"/>
          <w:szCs w:val="24"/>
        </w:rPr>
        <w:t xml:space="preserve"> como </w:t>
      </w:r>
      <w:r w:rsidRPr="00584045">
        <w:rPr>
          <w:rFonts w:cs="Times New Roman"/>
          <w:i/>
          <w:szCs w:val="24"/>
        </w:rPr>
        <w:t>answerability</w:t>
      </w:r>
      <w:r w:rsidRPr="00584045">
        <w:rPr>
          <w:rFonts w:cs="Times New Roman"/>
          <w:szCs w:val="24"/>
        </w:rPr>
        <w:t xml:space="preserve">); e segundo a capacidade dos mecanismos de controle de fazer cumprir a lei e aplicar sanções aos que violaram determinadas regras de conduta (mecanismos de </w:t>
      </w:r>
      <w:r w:rsidRPr="00584045">
        <w:rPr>
          <w:rFonts w:cs="Times New Roman"/>
          <w:i/>
          <w:szCs w:val="24"/>
        </w:rPr>
        <w:t>enforcement</w:t>
      </w:r>
      <w:r w:rsidRPr="00584045">
        <w:rPr>
          <w:rFonts w:cs="Times New Roman"/>
          <w:szCs w:val="24"/>
        </w:rPr>
        <w:t xml:space="preserve">). </w:t>
      </w:r>
    </w:p>
    <w:p w14:paraId="0CAD847F" w14:textId="77777777" w:rsidR="009C5E4D" w:rsidRDefault="009C5E4D" w:rsidP="00B17B54">
      <w:pPr>
        <w:spacing w:after="0"/>
        <w:ind w:firstLine="709"/>
        <w:jc w:val="both"/>
        <w:rPr>
          <w:rFonts w:cs="Times New Roman"/>
          <w:szCs w:val="24"/>
        </w:rPr>
      </w:pPr>
      <w:r w:rsidRPr="00493CA0">
        <w:rPr>
          <w:rFonts w:cs="Times New Roman"/>
          <w:szCs w:val="24"/>
        </w:rPr>
        <w:lastRenderedPageBreak/>
        <w:t>Partindo da proposição exposta por Schedler (1999)</w:t>
      </w:r>
      <w:r>
        <w:rPr>
          <w:rFonts w:cs="Times New Roman"/>
          <w:szCs w:val="24"/>
        </w:rPr>
        <w:t>,</w:t>
      </w:r>
      <w:r w:rsidRPr="00493CA0">
        <w:rPr>
          <w:rFonts w:cs="Times New Roman"/>
          <w:szCs w:val="24"/>
        </w:rPr>
        <w:t xml:space="preserve"> de que a demanda por </w:t>
      </w:r>
      <w:r w:rsidRPr="00C335E6">
        <w:rPr>
          <w:rFonts w:cs="Times New Roman"/>
          <w:i/>
          <w:szCs w:val="24"/>
        </w:rPr>
        <w:t>accountability</w:t>
      </w:r>
      <w:r w:rsidRPr="00493CA0">
        <w:rPr>
          <w:rFonts w:cs="Times New Roman"/>
          <w:szCs w:val="24"/>
        </w:rPr>
        <w:t xml:space="preserve"> só existe com a existência do poder e da necessidade de que este seja controlado, Schedler (1999, p. 14) identifica três formas básicas para prevenir do abuso do poder</w:t>
      </w:r>
      <w:r>
        <w:rPr>
          <w:rFonts w:cs="Times New Roman"/>
          <w:szCs w:val="24"/>
        </w:rPr>
        <w:t xml:space="preserve"> pelos agentes</w:t>
      </w:r>
      <w:r w:rsidRPr="00493CA0">
        <w:rPr>
          <w:rFonts w:cs="Times New Roman"/>
          <w:szCs w:val="24"/>
        </w:rPr>
        <w:t xml:space="preserve">: </w:t>
      </w:r>
      <w:r w:rsidRPr="008A5D35">
        <w:rPr>
          <w:rFonts w:cs="Times New Roman"/>
          <w:i/>
          <w:szCs w:val="24"/>
        </w:rPr>
        <w:t>“i) obrigar que o poder seja exercido de forma transparente (informação); ii) forçar que seus atos sejam justificados (justificação); e iii) sujeitar o detentor do poder a sanções (punição)”.</w:t>
      </w:r>
      <w:r w:rsidRPr="00493CA0">
        <w:rPr>
          <w:rFonts w:cs="Times New Roman"/>
          <w:szCs w:val="24"/>
        </w:rPr>
        <w:t xml:space="preserve"> </w:t>
      </w:r>
      <w:r>
        <w:rPr>
          <w:rFonts w:cs="Times New Roman"/>
          <w:szCs w:val="24"/>
        </w:rPr>
        <w:t xml:space="preserve">A </w:t>
      </w:r>
      <w:r w:rsidRPr="00493CA0">
        <w:rPr>
          <w:rFonts w:cs="Times New Roman"/>
          <w:szCs w:val="24"/>
        </w:rPr>
        <w:t xml:space="preserve">dimensão </w:t>
      </w:r>
      <w:r>
        <w:rPr>
          <w:rFonts w:cs="Times New Roman"/>
          <w:szCs w:val="24"/>
        </w:rPr>
        <w:t xml:space="preserve">informação e justificação </w:t>
      </w:r>
      <w:r w:rsidRPr="00493CA0">
        <w:rPr>
          <w:rFonts w:cs="Times New Roman"/>
          <w:szCs w:val="24"/>
        </w:rPr>
        <w:t>remete à capacidade de</w:t>
      </w:r>
      <w:r>
        <w:rPr>
          <w:rFonts w:cs="Times New Roman"/>
          <w:szCs w:val="24"/>
        </w:rPr>
        <w:t xml:space="preserve"> </w:t>
      </w:r>
      <w:r w:rsidRPr="00103803">
        <w:rPr>
          <w:rFonts w:cs="Times New Roman"/>
          <w:i/>
          <w:szCs w:val="24"/>
        </w:rPr>
        <w:t>answerability</w:t>
      </w:r>
      <w:r>
        <w:rPr>
          <w:rFonts w:cs="Times New Roman"/>
          <w:szCs w:val="24"/>
        </w:rPr>
        <w:t xml:space="preserve">, ou seja, a </w:t>
      </w:r>
      <w:r w:rsidRPr="00493CA0">
        <w:rPr>
          <w:rFonts w:cs="Times New Roman"/>
          <w:szCs w:val="24"/>
        </w:rPr>
        <w:t>capacidade de resposta dos oficiais públicos</w:t>
      </w:r>
      <w:r>
        <w:rPr>
          <w:rFonts w:cs="Times New Roman"/>
          <w:szCs w:val="24"/>
        </w:rPr>
        <w:t xml:space="preserve">, já a última dimensão remete à capacidade </w:t>
      </w:r>
      <w:r w:rsidRPr="00584045">
        <w:rPr>
          <w:rFonts w:cs="Times New Roman"/>
          <w:szCs w:val="24"/>
        </w:rPr>
        <w:t>de fazer cumprir a lei e aplicar sanções</w:t>
      </w:r>
      <w:r>
        <w:rPr>
          <w:rFonts w:cs="Times New Roman"/>
          <w:szCs w:val="24"/>
        </w:rPr>
        <w:t xml:space="preserve"> (</w:t>
      </w:r>
      <w:r w:rsidRPr="00493CA0">
        <w:rPr>
          <w:rFonts w:cs="Times New Roman"/>
          <w:i/>
          <w:szCs w:val="24"/>
        </w:rPr>
        <w:t>enforcement</w:t>
      </w:r>
      <w:r>
        <w:rPr>
          <w:rFonts w:cs="Times New Roman"/>
          <w:szCs w:val="24"/>
        </w:rPr>
        <w:t>).</w:t>
      </w:r>
    </w:p>
    <w:p w14:paraId="77C0C20B" w14:textId="77777777" w:rsidR="009C5E4D" w:rsidRDefault="009C5E4D" w:rsidP="00B17B54">
      <w:pPr>
        <w:spacing w:after="0"/>
        <w:ind w:firstLine="709"/>
        <w:jc w:val="both"/>
        <w:rPr>
          <w:rFonts w:cs="Times New Roman"/>
          <w:szCs w:val="24"/>
        </w:rPr>
      </w:pPr>
      <w:r w:rsidRPr="003D0A60">
        <w:rPr>
          <w:rFonts w:cs="Times New Roman"/>
          <w:szCs w:val="24"/>
        </w:rPr>
        <w:t>Analisando as dimensões propostas por Schedler (1999), é possível extrai</w:t>
      </w:r>
      <w:r>
        <w:rPr>
          <w:rFonts w:cs="Times New Roman"/>
          <w:szCs w:val="24"/>
        </w:rPr>
        <w:t>r</w:t>
      </w:r>
      <w:r w:rsidRPr="003D0A60">
        <w:rPr>
          <w:rFonts w:cs="Times New Roman"/>
          <w:szCs w:val="24"/>
        </w:rPr>
        <w:t xml:space="preserve"> um conjunto de valores que dizem respeito tanto à forma quanto à substância da </w:t>
      </w:r>
      <w:r w:rsidRPr="00C335E6">
        <w:rPr>
          <w:rFonts w:cs="Times New Roman"/>
          <w:i/>
          <w:szCs w:val="24"/>
        </w:rPr>
        <w:t>accountability</w:t>
      </w:r>
      <w:r w:rsidRPr="003D0A60">
        <w:rPr>
          <w:rFonts w:cs="Times New Roman"/>
          <w:szCs w:val="24"/>
        </w:rPr>
        <w:t xml:space="preserve">. Quando nos referimos a obrigação da </w:t>
      </w:r>
      <w:r>
        <w:rPr>
          <w:rFonts w:cs="Times New Roman"/>
          <w:szCs w:val="24"/>
        </w:rPr>
        <w:t xml:space="preserve">divulgação de </w:t>
      </w:r>
      <w:r w:rsidRPr="003D0A60">
        <w:rPr>
          <w:rFonts w:cs="Times New Roman"/>
          <w:szCs w:val="24"/>
        </w:rPr>
        <w:t>informação, levantamos dois tipos de questão: a primeira, diz respeito ao direito dos cidadãos de serem informados sobre as decisões e ações realizadas pelos agentes e a segunda, refere-se à necessidade dos agentes de explicar suas decisões. Neste sentido, a obrigação de informar (</w:t>
      </w:r>
      <w:r w:rsidRPr="006B35D9">
        <w:rPr>
          <w:rFonts w:cs="Times New Roman"/>
          <w:i/>
          <w:szCs w:val="24"/>
        </w:rPr>
        <w:t>answerability</w:t>
      </w:r>
      <w:r w:rsidRPr="003D0A60">
        <w:rPr>
          <w:rFonts w:cs="Times New Roman"/>
          <w:szCs w:val="24"/>
        </w:rPr>
        <w:t xml:space="preserve">) é um compromisso, uma forma dos governantes de atender às necessidades e interesses da sociedade, informando e justificando suas atividades, todavia dentro dos limites da lei e submetendo-se a sanções se não o fizer. </w:t>
      </w:r>
      <w:r>
        <w:rPr>
          <w:rFonts w:cs="Times New Roman"/>
          <w:szCs w:val="24"/>
        </w:rPr>
        <w:t>Em suma</w:t>
      </w:r>
      <w:r w:rsidRPr="003D0A60">
        <w:rPr>
          <w:rFonts w:cs="Times New Roman"/>
          <w:szCs w:val="24"/>
        </w:rPr>
        <w:t>, tem</w:t>
      </w:r>
      <w:r>
        <w:rPr>
          <w:rFonts w:cs="Times New Roman"/>
          <w:szCs w:val="24"/>
        </w:rPr>
        <w:t>-se</w:t>
      </w:r>
      <w:r w:rsidRPr="003D0A60">
        <w:rPr>
          <w:rFonts w:cs="Times New Roman"/>
          <w:szCs w:val="24"/>
        </w:rPr>
        <w:t xml:space="preserve"> aqui, </w:t>
      </w:r>
      <w:r>
        <w:rPr>
          <w:rFonts w:cs="Times New Roman"/>
          <w:szCs w:val="24"/>
        </w:rPr>
        <w:t>p</w:t>
      </w:r>
      <w:r w:rsidRPr="003D0A60">
        <w:rPr>
          <w:rFonts w:cs="Times New Roman"/>
          <w:szCs w:val="24"/>
        </w:rPr>
        <w:t>a</w:t>
      </w:r>
      <w:r>
        <w:rPr>
          <w:rFonts w:cs="Times New Roman"/>
          <w:szCs w:val="24"/>
        </w:rPr>
        <w:t>rte da</w:t>
      </w:r>
      <w:r w:rsidRPr="003D0A60">
        <w:rPr>
          <w:rFonts w:cs="Times New Roman"/>
          <w:szCs w:val="24"/>
        </w:rPr>
        <w:t xml:space="preserve"> substância da ação de governar: atender às necessidades e interesses da sociedade e cumprir a lei.</w:t>
      </w:r>
    </w:p>
    <w:p w14:paraId="38E10BE5" w14:textId="07169346" w:rsidR="009C5E4D" w:rsidRDefault="009C5E4D" w:rsidP="00B17B54">
      <w:pPr>
        <w:spacing w:after="0"/>
        <w:ind w:firstLine="709"/>
        <w:jc w:val="both"/>
        <w:rPr>
          <w:rFonts w:cs="Times New Roman"/>
          <w:szCs w:val="24"/>
        </w:rPr>
      </w:pPr>
      <w:bookmarkStart w:id="6" w:name="_Toc412555717"/>
      <w:bookmarkEnd w:id="6"/>
      <w:r>
        <w:rPr>
          <w:rFonts w:cs="Times New Roman"/>
          <w:szCs w:val="24"/>
        </w:rPr>
        <w:t>A</w:t>
      </w:r>
      <w:r w:rsidRPr="00C7792C">
        <w:rPr>
          <w:rFonts w:cs="Times New Roman"/>
          <w:szCs w:val="24"/>
        </w:rPr>
        <w:t xml:space="preserve"> </w:t>
      </w:r>
      <w:r w:rsidRPr="00C335E6">
        <w:rPr>
          <w:rFonts w:cs="Times New Roman"/>
          <w:i/>
          <w:szCs w:val="24"/>
        </w:rPr>
        <w:t>accountability</w:t>
      </w:r>
      <w:r>
        <w:rPr>
          <w:rFonts w:cs="Times New Roman"/>
          <w:szCs w:val="24"/>
        </w:rPr>
        <w:t>,</w:t>
      </w:r>
      <w:r w:rsidRPr="00C7792C">
        <w:rPr>
          <w:rFonts w:cs="Times New Roman"/>
          <w:szCs w:val="24"/>
        </w:rPr>
        <w:t xml:space="preserve"> segundo Graciliano </w:t>
      </w:r>
      <w:r w:rsidRPr="000216A7">
        <w:rPr>
          <w:rFonts w:cs="Times New Roman"/>
          <w:szCs w:val="24"/>
        </w:rPr>
        <w:t>et al</w:t>
      </w:r>
      <w:r w:rsidRPr="00C7792C">
        <w:rPr>
          <w:rFonts w:cs="Times New Roman"/>
          <w:szCs w:val="24"/>
        </w:rPr>
        <w:t>. (2010)</w:t>
      </w:r>
      <w:r w:rsidR="004235B3">
        <w:rPr>
          <w:rFonts w:cs="Times New Roman"/>
          <w:szCs w:val="24"/>
        </w:rPr>
        <w:t>,</w:t>
      </w:r>
      <w:r w:rsidRPr="00C7792C">
        <w:rPr>
          <w:rFonts w:cs="Times New Roman"/>
          <w:szCs w:val="24"/>
        </w:rPr>
        <w:t xml:space="preserve"> </w:t>
      </w:r>
      <w:r>
        <w:rPr>
          <w:rFonts w:cs="Times New Roman"/>
          <w:szCs w:val="24"/>
        </w:rPr>
        <w:t xml:space="preserve">é </w:t>
      </w:r>
      <w:r w:rsidRPr="00C7792C">
        <w:rPr>
          <w:rFonts w:cs="Times New Roman"/>
          <w:szCs w:val="24"/>
        </w:rPr>
        <w:t>condição essencial para que as informações relacionadas à atuação governamental estejam disponíveis para que todos tenham ciência de como os recursos estão sendo utilizados, se os programas e projetos governamentais são conduzidos de acordo com seus objetivos; e os serviços governamentais seguem os princípios da economia, da eficiência, da eficácia e da efetividade.</w:t>
      </w:r>
    </w:p>
    <w:p w14:paraId="7BDF638B" w14:textId="77777777" w:rsidR="002A2CFF" w:rsidRDefault="002A2CFF" w:rsidP="00B17B54">
      <w:pPr>
        <w:pStyle w:val="Ttulo2"/>
        <w:numPr>
          <w:ilvl w:val="1"/>
          <w:numId w:val="3"/>
        </w:numPr>
        <w:spacing w:after="120" w:line="240" w:lineRule="auto"/>
        <w:ind w:left="0" w:firstLine="0"/>
        <w:rPr>
          <w:rFonts w:ascii="Times New Roman" w:hAnsi="Times New Roman" w:cs="Times New Roman"/>
          <w:szCs w:val="24"/>
        </w:rPr>
      </w:pPr>
      <w:bookmarkStart w:id="7" w:name="_Toc442957892"/>
      <w:r w:rsidRPr="00C7792C">
        <w:rPr>
          <w:rFonts w:ascii="Times New Roman" w:hAnsi="Times New Roman" w:cs="Times New Roman"/>
          <w:szCs w:val="24"/>
        </w:rPr>
        <w:t xml:space="preserve">Nova </w:t>
      </w:r>
      <w:r w:rsidRPr="00DC7E79">
        <w:rPr>
          <w:rFonts w:ascii="Times New Roman" w:eastAsia="Times New Roman" w:hAnsi="Times New Roman" w:cs="Times New Roman"/>
          <w:szCs w:val="24"/>
        </w:rPr>
        <w:t>Economia</w:t>
      </w:r>
      <w:r w:rsidRPr="00C7792C">
        <w:rPr>
          <w:rFonts w:ascii="Times New Roman" w:hAnsi="Times New Roman" w:cs="Times New Roman"/>
          <w:szCs w:val="24"/>
        </w:rPr>
        <w:t xml:space="preserve"> Institucional</w:t>
      </w:r>
      <w:bookmarkEnd w:id="7"/>
    </w:p>
    <w:p w14:paraId="43FACDA6" w14:textId="77777777" w:rsidR="002A2CFF" w:rsidRPr="00C7792C" w:rsidRDefault="002A2CFF" w:rsidP="00B17B54">
      <w:pPr>
        <w:spacing w:after="0"/>
        <w:ind w:firstLine="709"/>
        <w:jc w:val="both"/>
        <w:rPr>
          <w:rFonts w:cs="Times New Roman"/>
          <w:szCs w:val="24"/>
        </w:rPr>
      </w:pPr>
      <w:r w:rsidRPr="004A2123">
        <w:rPr>
          <w:rFonts w:cs="Times New Roman"/>
          <w:szCs w:val="24"/>
        </w:rPr>
        <w:t xml:space="preserve">O termo “nova economia institucional" teve maior destaque e disseminação com os trabalhos Oliver Williamson (1979, 1985), entretanto, o trabalho seminal sobre a temática é atribuído a Coase (1937) </w:t>
      </w:r>
      <w:r>
        <w:rPr>
          <w:rFonts w:cs="Times New Roman"/>
          <w:i/>
          <w:szCs w:val="24"/>
        </w:rPr>
        <w:t xml:space="preserve">"the nature of the firm". </w:t>
      </w:r>
      <w:r>
        <w:rPr>
          <w:rFonts w:cs="Times New Roman"/>
          <w:szCs w:val="24"/>
        </w:rPr>
        <w:t xml:space="preserve">Neste </w:t>
      </w:r>
      <w:r w:rsidRPr="00C7792C">
        <w:rPr>
          <w:rFonts w:cs="Times New Roman"/>
          <w:szCs w:val="24"/>
        </w:rPr>
        <w:t>a firma deixa de ser apenas uma fonte de produção de bens e serviços, para se tornar a "firma contratual", as organizações passam então a serem vistas como expressão de valores sociais, destacando sua relação com o ambiente e papel das instituições nesse contexto.</w:t>
      </w:r>
    </w:p>
    <w:p w14:paraId="07B0206A" w14:textId="77777777" w:rsidR="00FC17D8" w:rsidRDefault="002A2CFF" w:rsidP="00B17B54">
      <w:pPr>
        <w:spacing w:after="0"/>
        <w:ind w:firstLine="709"/>
        <w:jc w:val="both"/>
        <w:rPr>
          <w:rFonts w:cs="Times New Roman"/>
          <w:szCs w:val="24"/>
        </w:rPr>
      </w:pPr>
      <w:r w:rsidRPr="00C7792C">
        <w:rPr>
          <w:rFonts w:cs="Times New Roman"/>
          <w:szCs w:val="24"/>
        </w:rPr>
        <w:t>A nova economia institucional se diferencia das teorias econômicas neoclássicas ao apreciar o comportamento das organizações e as características das transações e ao considerar que os agentes em suas transações têm racionalidade limitada, e são oportunistas. Nesse sentido os agentes se protegem por meio de salvaguardas contratuais (FIANI, 2011).</w:t>
      </w:r>
    </w:p>
    <w:p w14:paraId="0AD84473" w14:textId="77777777" w:rsidR="00FC17D8" w:rsidRDefault="00FC17D8" w:rsidP="00B17B54">
      <w:pPr>
        <w:spacing w:after="0"/>
        <w:ind w:firstLine="709"/>
        <w:jc w:val="both"/>
        <w:rPr>
          <w:rFonts w:cs="Times New Roman"/>
          <w:szCs w:val="24"/>
        </w:rPr>
      </w:pPr>
      <w:r w:rsidRPr="00C7792C">
        <w:rPr>
          <w:rFonts w:cs="Times New Roman"/>
          <w:szCs w:val="24"/>
        </w:rPr>
        <w:t>Os agentes são oportunistas no sentido de que se for de seu interesse desistirão das obrigações pactuadas se não houver restrições suficientemente fortes, ou seja, as organizações, os indivíduos criam mecanismos, regras para regularem e tornarem possíveis as suas inter-relações e prevenirem o</w:t>
      </w:r>
      <w:r>
        <w:rPr>
          <w:rFonts w:cs="Times New Roman"/>
          <w:szCs w:val="24"/>
        </w:rPr>
        <w:t>s comportamentos Oportunístico (BUENO, 20</w:t>
      </w:r>
      <w:r w:rsidR="0023349F">
        <w:rPr>
          <w:rFonts w:cs="Times New Roman"/>
          <w:szCs w:val="24"/>
        </w:rPr>
        <w:t>04</w:t>
      </w:r>
      <w:r>
        <w:rPr>
          <w:rFonts w:cs="Times New Roman"/>
          <w:szCs w:val="24"/>
        </w:rPr>
        <w:t>).</w:t>
      </w:r>
    </w:p>
    <w:p w14:paraId="25C69D43" w14:textId="77777777" w:rsidR="002A2CFF" w:rsidRDefault="002A2CFF" w:rsidP="00B17B54">
      <w:pPr>
        <w:tabs>
          <w:tab w:val="left" w:pos="2977"/>
        </w:tabs>
        <w:spacing w:after="0"/>
        <w:ind w:firstLine="709"/>
        <w:jc w:val="both"/>
        <w:rPr>
          <w:rFonts w:cs="Times New Roman"/>
          <w:szCs w:val="24"/>
        </w:rPr>
      </w:pPr>
      <w:r w:rsidRPr="00C7792C">
        <w:rPr>
          <w:rFonts w:cs="Times New Roman"/>
          <w:szCs w:val="24"/>
        </w:rPr>
        <w:t>A nova economia institucional tem como base ou como perspectiva teórica explicativa as instituições.</w:t>
      </w:r>
      <w:r>
        <w:rPr>
          <w:rFonts w:cs="Times New Roman"/>
          <w:szCs w:val="24"/>
        </w:rPr>
        <w:t xml:space="preserve"> </w:t>
      </w:r>
      <w:r w:rsidRPr="00C7792C">
        <w:rPr>
          <w:rFonts w:cs="Times New Roman"/>
          <w:szCs w:val="24"/>
        </w:rPr>
        <w:t>Instituições, que são genericamente definidas como os sistemas de regras e procedimentos, são constru</w:t>
      </w:r>
      <w:r>
        <w:rPr>
          <w:rFonts w:cs="Times New Roman"/>
          <w:szCs w:val="24"/>
        </w:rPr>
        <w:t>ídas e reproduzidas socialmente. A</w:t>
      </w:r>
      <w:r w:rsidRPr="00C7792C">
        <w:rPr>
          <w:rFonts w:cs="Times New Roman"/>
          <w:szCs w:val="24"/>
        </w:rPr>
        <w:t>s instituições, desse modo, funcionam como contexto (ambiente e estrutura), no qual os ato</w:t>
      </w:r>
      <w:r>
        <w:rPr>
          <w:rFonts w:cs="Times New Roman"/>
          <w:szCs w:val="24"/>
        </w:rPr>
        <w:t>res exercitam suas preferências (</w:t>
      </w:r>
      <w:r w:rsidRPr="00CF4C5D">
        <w:rPr>
          <w:rFonts w:cs="Times New Roman"/>
          <w:szCs w:val="24"/>
        </w:rPr>
        <w:t>BUEN</w:t>
      </w:r>
      <w:r>
        <w:rPr>
          <w:rFonts w:cs="Times New Roman"/>
          <w:szCs w:val="24"/>
        </w:rPr>
        <w:t>O, 2011).</w:t>
      </w:r>
    </w:p>
    <w:p w14:paraId="4F8BD0A1" w14:textId="77777777" w:rsidR="002A2CFF" w:rsidRPr="00CF4C5D" w:rsidRDefault="002A2CFF" w:rsidP="00B17B54">
      <w:pPr>
        <w:tabs>
          <w:tab w:val="left" w:pos="2977"/>
        </w:tabs>
        <w:spacing w:after="0"/>
        <w:ind w:firstLine="709"/>
        <w:jc w:val="both"/>
        <w:rPr>
          <w:rFonts w:cs="Times New Roman"/>
          <w:szCs w:val="24"/>
        </w:rPr>
      </w:pPr>
      <w:r w:rsidRPr="00CF4C5D">
        <w:rPr>
          <w:rFonts w:cs="Times New Roman"/>
          <w:szCs w:val="24"/>
        </w:rPr>
        <w:t xml:space="preserve">Ela parte da premissa de que </w:t>
      </w:r>
      <w:r w:rsidRPr="008A5D35">
        <w:rPr>
          <w:rFonts w:cs="Times New Roman"/>
          <w:i/>
          <w:szCs w:val="24"/>
        </w:rPr>
        <w:t>"os indivíduos desenvolvem regras comportamentais para contornar a incerteza inerente às interações humanas"</w:t>
      </w:r>
      <w:r w:rsidRPr="00CF4C5D">
        <w:rPr>
          <w:rFonts w:cs="Times New Roman"/>
          <w:szCs w:val="24"/>
        </w:rPr>
        <w:t xml:space="preserve"> (BUENO, 2011, p. 36).</w:t>
      </w:r>
      <w:r>
        <w:rPr>
          <w:rFonts w:cs="Times New Roman"/>
          <w:szCs w:val="24"/>
        </w:rPr>
        <w:t xml:space="preserve"> </w:t>
      </w:r>
      <w:r w:rsidRPr="00CF4C5D">
        <w:rPr>
          <w:rFonts w:cs="Times New Roman"/>
          <w:szCs w:val="24"/>
        </w:rPr>
        <w:t xml:space="preserve">Ou seja, os indivíduos e as organizações criam mecanismos, regras </w:t>
      </w:r>
      <w:r>
        <w:rPr>
          <w:rFonts w:cs="Times New Roman"/>
          <w:szCs w:val="24"/>
        </w:rPr>
        <w:t xml:space="preserve">(instituições) </w:t>
      </w:r>
      <w:r w:rsidRPr="00CF4C5D">
        <w:rPr>
          <w:rFonts w:cs="Times New Roman"/>
          <w:szCs w:val="24"/>
        </w:rPr>
        <w:t xml:space="preserve">para regularem e tornarem possíveis as suas inter-relações e prevenirem os comportamentos oportunístico. </w:t>
      </w:r>
      <w:r>
        <w:rPr>
          <w:rFonts w:cs="Times New Roman"/>
          <w:szCs w:val="24"/>
        </w:rPr>
        <w:t>As instituições c</w:t>
      </w:r>
      <w:r w:rsidRPr="00CF4C5D">
        <w:rPr>
          <w:rFonts w:cs="Times New Roman"/>
          <w:szCs w:val="24"/>
        </w:rPr>
        <w:t xml:space="preserve">ompreendem regras formais, regras informais e os mecanismos responsáveis pelo cumprimento destas regras, ou como explicita Bueno (2011, p.45), </w:t>
      </w:r>
      <w:r w:rsidRPr="008A5D35">
        <w:rPr>
          <w:rFonts w:cs="Times New Roman"/>
          <w:i/>
          <w:szCs w:val="24"/>
        </w:rPr>
        <w:t xml:space="preserve">"As instituições assim </w:t>
      </w:r>
      <w:r w:rsidRPr="008A5D35">
        <w:rPr>
          <w:rFonts w:cs="Times New Roman"/>
          <w:i/>
          <w:szCs w:val="24"/>
        </w:rPr>
        <w:lastRenderedPageBreak/>
        <w:t>podem ser entendidas como formas preestabelecidas e regulares de comportamentos que adotamos para tornar a vida em sociedade possível".</w:t>
      </w:r>
    </w:p>
    <w:p w14:paraId="41CFA0A8" w14:textId="77777777" w:rsidR="002A2CFF" w:rsidRPr="00907C82" w:rsidRDefault="002A2CFF" w:rsidP="00B17B54">
      <w:pPr>
        <w:spacing w:after="0"/>
        <w:ind w:firstLine="709"/>
        <w:jc w:val="both"/>
        <w:rPr>
          <w:rFonts w:cs="Times New Roman"/>
          <w:szCs w:val="24"/>
        </w:rPr>
      </w:pPr>
      <w:r w:rsidRPr="00CF4C5D">
        <w:rPr>
          <w:rFonts w:cs="Times New Roman"/>
          <w:szCs w:val="24"/>
        </w:rPr>
        <w:t xml:space="preserve">As regras sociais ao qual os seres humanos se submetem, segundo North (2006), foram criadas pelos esforços do próprio homem em tentar reduzir suas incertezas sociais. Ao voluntariamente limitar suas ações e as dos demais indivíduos por meio de normas, valores e procedimentos interativos que definem e determinam os códigos de conduta. North (2006) explica a importância das instituições para o aprimoramento das condições humanas ao introduzir graus de previsibilidade aos processos sociais e econômicos. </w:t>
      </w:r>
    </w:p>
    <w:p w14:paraId="555323A6" w14:textId="77777777" w:rsidR="002A2CFF" w:rsidRDefault="002A2CFF" w:rsidP="00B17B54">
      <w:pPr>
        <w:tabs>
          <w:tab w:val="left" w:pos="2977"/>
        </w:tabs>
        <w:spacing w:after="0"/>
        <w:ind w:firstLine="709"/>
        <w:jc w:val="both"/>
        <w:rPr>
          <w:rFonts w:cs="Times New Roman"/>
          <w:szCs w:val="24"/>
        </w:rPr>
      </w:pPr>
      <w:r w:rsidRPr="002C14D7">
        <w:rPr>
          <w:rFonts w:cs="Times New Roman"/>
          <w:szCs w:val="24"/>
        </w:rPr>
        <w:t>Instituições são normas construídas pelos indivíduos, que possibilitam não apenas as atividades econômicas, mas como também toda e qualquer tipo de interação social e política (NORTH 199</w:t>
      </w:r>
      <w:r w:rsidR="0023349F">
        <w:rPr>
          <w:rFonts w:cs="Times New Roman"/>
          <w:szCs w:val="24"/>
        </w:rPr>
        <w:t>0</w:t>
      </w:r>
      <w:r w:rsidRPr="002C14D7">
        <w:rPr>
          <w:rFonts w:cs="Times New Roman"/>
          <w:szCs w:val="24"/>
        </w:rPr>
        <w:t>). As instituições atuam como normas formais (constituições, leis e direitos de propriedade) como também como regras informais (sanções, tabus, costumes, tradições e códigos de conduta)</w:t>
      </w:r>
      <w:r>
        <w:rPr>
          <w:rFonts w:cs="Times New Roman"/>
          <w:szCs w:val="24"/>
        </w:rPr>
        <w:t>.</w:t>
      </w:r>
      <w:r w:rsidRPr="002C14D7">
        <w:rPr>
          <w:rFonts w:cs="Times New Roman"/>
          <w:szCs w:val="24"/>
        </w:rPr>
        <w:t xml:space="preserve"> </w:t>
      </w:r>
    </w:p>
    <w:p w14:paraId="718B703E" w14:textId="77777777" w:rsidR="00EB2AA5" w:rsidRDefault="002A2CFF" w:rsidP="00B17B54">
      <w:pPr>
        <w:tabs>
          <w:tab w:val="left" w:pos="2977"/>
        </w:tabs>
        <w:spacing w:after="0"/>
        <w:ind w:firstLine="709"/>
        <w:jc w:val="both"/>
        <w:rPr>
          <w:rFonts w:cs="Times New Roman"/>
          <w:szCs w:val="24"/>
        </w:rPr>
      </w:pPr>
      <w:r w:rsidRPr="002C14D7">
        <w:rPr>
          <w:rFonts w:cs="Times New Roman"/>
          <w:szCs w:val="24"/>
        </w:rPr>
        <w:t>North (199</w:t>
      </w:r>
      <w:r w:rsidR="0023349F">
        <w:rPr>
          <w:rFonts w:cs="Times New Roman"/>
          <w:szCs w:val="24"/>
        </w:rPr>
        <w:t>2</w:t>
      </w:r>
      <w:r w:rsidRPr="002C14D7">
        <w:rPr>
          <w:rFonts w:cs="Times New Roman"/>
          <w:szCs w:val="24"/>
        </w:rPr>
        <w:t>) ainda complementa</w:t>
      </w:r>
      <w:r>
        <w:rPr>
          <w:rFonts w:cs="Times New Roman"/>
          <w:szCs w:val="24"/>
        </w:rPr>
        <w:t>,</w:t>
      </w:r>
      <w:r w:rsidRPr="002C14D7">
        <w:rPr>
          <w:rFonts w:cs="Times New Roman"/>
          <w:szCs w:val="24"/>
        </w:rPr>
        <w:t xml:space="preserve"> as instituições são as "regras do jogo" que somadas aos mecanismos de controle </w:t>
      </w:r>
      <w:r w:rsidRPr="002C14D7">
        <w:rPr>
          <w:rFonts w:cs="Times New Roman"/>
          <w:i/>
          <w:szCs w:val="24"/>
        </w:rPr>
        <w:t>(enforcement)</w:t>
      </w:r>
      <w:r w:rsidRPr="002C14D7">
        <w:rPr>
          <w:rFonts w:cs="Times New Roman"/>
          <w:szCs w:val="24"/>
        </w:rPr>
        <w:t xml:space="preserve">, limitam e estruturam as relações das organizações e dos indivíduos </w:t>
      </w:r>
      <w:r w:rsidRPr="002C14D7">
        <w:rPr>
          <w:rFonts w:cs="Times New Roman"/>
          <w:i/>
          <w:szCs w:val="24"/>
        </w:rPr>
        <w:t>"social players"</w:t>
      </w:r>
      <w:r w:rsidRPr="002C14D7">
        <w:rPr>
          <w:rFonts w:cs="Times New Roman"/>
          <w:szCs w:val="24"/>
        </w:rPr>
        <w:t>.</w:t>
      </w:r>
      <w:r>
        <w:rPr>
          <w:rFonts w:cs="Times New Roman"/>
          <w:szCs w:val="24"/>
        </w:rPr>
        <w:t xml:space="preserve"> O conceito de instituições para a Nova Economia Institucional apresenta uma definição bastante ampla que procura cobrir</w:t>
      </w:r>
      <w:r w:rsidRPr="00ED73F8">
        <w:rPr>
          <w:rFonts w:cs="Times New Roman"/>
          <w:szCs w:val="24"/>
        </w:rPr>
        <w:t xml:space="preserve"> todo tipo de elementos sociais que funcionam como envoltório para a atividade econômica, social ou política. </w:t>
      </w:r>
      <w:bookmarkStart w:id="8" w:name="_Toc442957895"/>
    </w:p>
    <w:p w14:paraId="0D5DEBAB" w14:textId="77777777" w:rsidR="00EB2AA5" w:rsidRDefault="00EB2AA5" w:rsidP="00EB2AA5">
      <w:pPr>
        <w:tabs>
          <w:tab w:val="left" w:pos="2977"/>
        </w:tabs>
        <w:spacing w:after="0" w:line="360" w:lineRule="auto"/>
        <w:ind w:firstLine="709"/>
        <w:jc w:val="both"/>
        <w:rPr>
          <w:rFonts w:cs="Times New Roman"/>
          <w:szCs w:val="24"/>
        </w:rPr>
      </w:pPr>
    </w:p>
    <w:p w14:paraId="6726BD62" w14:textId="77777777" w:rsidR="002A2CFF" w:rsidRDefault="002A2CFF" w:rsidP="00B17B54">
      <w:pPr>
        <w:pStyle w:val="Ttulo2"/>
        <w:numPr>
          <w:ilvl w:val="1"/>
          <w:numId w:val="3"/>
        </w:numPr>
        <w:spacing w:after="120" w:line="240" w:lineRule="auto"/>
        <w:ind w:left="0" w:firstLine="0"/>
        <w:rPr>
          <w:rFonts w:ascii="Times New Roman" w:hAnsi="Times New Roman" w:cs="Times New Roman"/>
          <w:szCs w:val="24"/>
        </w:rPr>
      </w:pPr>
      <w:r>
        <w:rPr>
          <w:rFonts w:ascii="Times New Roman" w:hAnsi="Times New Roman" w:cs="Times New Roman"/>
          <w:szCs w:val="24"/>
        </w:rPr>
        <w:t xml:space="preserve">Instituições e </w:t>
      </w:r>
      <w:r w:rsidRPr="00C335E6">
        <w:rPr>
          <w:rFonts w:ascii="Times New Roman" w:hAnsi="Times New Roman" w:cs="Times New Roman"/>
          <w:i/>
          <w:szCs w:val="24"/>
        </w:rPr>
        <w:t>accountability</w:t>
      </w:r>
      <w:r>
        <w:rPr>
          <w:rFonts w:ascii="Times New Roman" w:hAnsi="Times New Roman" w:cs="Times New Roman"/>
          <w:szCs w:val="24"/>
        </w:rPr>
        <w:t xml:space="preserve"> nos RPPS</w:t>
      </w:r>
      <w:bookmarkEnd w:id="8"/>
    </w:p>
    <w:p w14:paraId="543C56A1" w14:textId="77777777" w:rsidR="002A2CFF" w:rsidRDefault="002A2CFF" w:rsidP="00B17B54">
      <w:pPr>
        <w:tabs>
          <w:tab w:val="left" w:pos="2977"/>
        </w:tabs>
        <w:spacing w:after="0"/>
        <w:ind w:firstLine="709"/>
        <w:jc w:val="both"/>
        <w:rPr>
          <w:rFonts w:cs="Times New Roman"/>
          <w:szCs w:val="24"/>
        </w:rPr>
      </w:pPr>
      <w:r w:rsidRPr="006A0A64">
        <w:rPr>
          <w:rFonts w:cs="Times New Roman"/>
          <w:szCs w:val="24"/>
        </w:rPr>
        <w:t xml:space="preserve">Existe uma relação de proximidade entre instituições e </w:t>
      </w:r>
      <w:r w:rsidRPr="00C335E6">
        <w:rPr>
          <w:rFonts w:cs="Times New Roman"/>
          <w:i/>
          <w:szCs w:val="24"/>
        </w:rPr>
        <w:t>accountability</w:t>
      </w:r>
      <w:r>
        <w:rPr>
          <w:rFonts w:cs="Times New Roman"/>
          <w:szCs w:val="24"/>
        </w:rPr>
        <w:t xml:space="preserve">. Assim como as instituições da NEI, a </w:t>
      </w:r>
      <w:r w:rsidRPr="00C335E6">
        <w:rPr>
          <w:rFonts w:cs="Times New Roman"/>
          <w:i/>
          <w:szCs w:val="24"/>
        </w:rPr>
        <w:t>accountability</w:t>
      </w:r>
      <w:r w:rsidRPr="00EB2BA9">
        <w:rPr>
          <w:rFonts w:cs="Times New Roman"/>
          <w:szCs w:val="24"/>
        </w:rPr>
        <w:t xml:space="preserve"> é um importante </w:t>
      </w:r>
      <w:r>
        <w:rPr>
          <w:rFonts w:cs="Times New Roman"/>
          <w:szCs w:val="24"/>
        </w:rPr>
        <w:t>mecanismo</w:t>
      </w:r>
      <w:r w:rsidRPr="00EB2BA9">
        <w:rPr>
          <w:rFonts w:cs="Times New Roman"/>
          <w:szCs w:val="24"/>
        </w:rPr>
        <w:t xml:space="preserve"> de governança, </w:t>
      </w:r>
      <w:r>
        <w:rPr>
          <w:rFonts w:cs="Times New Roman"/>
          <w:szCs w:val="24"/>
        </w:rPr>
        <w:t>utilizado</w:t>
      </w:r>
      <w:r w:rsidRPr="00EB2BA9">
        <w:rPr>
          <w:rFonts w:cs="Times New Roman"/>
          <w:szCs w:val="24"/>
        </w:rPr>
        <w:t xml:space="preserve"> para prevenir o abuso de poder e outras formas de comportamento </w:t>
      </w:r>
      <w:r w:rsidRPr="006A401A">
        <w:rPr>
          <w:rFonts w:cs="Times New Roman"/>
          <w:szCs w:val="24"/>
        </w:rPr>
        <w:t>oportunístico</w:t>
      </w:r>
      <w:r>
        <w:rPr>
          <w:rFonts w:cs="Times New Roman"/>
          <w:szCs w:val="24"/>
        </w:rPr>
        <w:t>.</w:t>
      </w:r>
      <w:r w:rsidRPr="00EB2BA9">
        <w:rPr>
          <w:rFonts w:cs="Times New Roman"/>
          <w:szCs w:val="24"/>
        </w:rPr>
        <w:t xml:space="preserve"> </w:t>
      </w:r>
      <w:r>
        <w:rPr>
          <w:rFonts w:cs="Times New Roman"/>
          <w:szCs w:val="24"/>
        </w:rPr>
        <w:t xml:space="preserve">A relação fica ainda mais evidente </w:t>
      </w:r>
      <w:r w:rsidRPr="006A0A64">
        <w:rPr>
          <w:rFonts w:cs="Times New Roman"/>
          <w:szCs w:val="24"/>
        </w:rPr>
        <w:t>a</w:t>
      </w:r>
      <w:r>
        <w:rPr>
          <w:rFonts w:cs="Times New Roman"/>
          <w:szCs w:val="24"/>
        </w:rPr>
        <w:t xml:space="preserve"> partir da concepção de Meireles (2007), que </w:t>
      </w:r>
      <w:r w:rsidRPr="006A0A64">
        <w:rPr>
          <w:rFonts w:cs="Times New Roman"/>
          <w:szCs w:val="24"/>
        </w:rPr>
        <w:t xml:space="preserve">a </w:t>
      </w:r>
      <w:r w:rsidRPr="00C335E6">
        <w:rPr>
          <w:rFonts w:cs="Times New Roman"/>
          <w:i/>
          <w:szCs w:val="24"/>
        </w:rPr>
        <w:t>accountability</w:t>
      </w:r>
      <w:r>
        <w:rPr>
          <w:rFonts w:cs="Times New Roman"/>
          <w:szCs w:val="24"/>
        </w:rPr>
        <w:t xml:space="preserve"> enquanto </w:t>
      </w:r>
      <w:r w:rsidRPr="00400797">
        <w:rPr>
          <w:rFonts w:cs="Times New Roman"/>
          <w:szCs w:val="24"/>
        </w:rPr>
        <w:t>processo</w:t>
      </w:r>
      <w:r>
        <w:rPr>
          <w:rFonts w:cs="Times New Roman"/>
          <w:szCs w:val="24"/>
        </w:rPr>
        <w:t xml:space="preserve"> social</w:t>
      </w:r>
      <w:r w:rsidRPr="00400797">
        <w:rPr>
          <w:rFonts w:cs="Times New Roman"/>
          <w:szCs w:val="24"/>
        </w:rPr>
        <w:t xml:space="preserve"> dentro da Administração Pública</w:t>
      </w:r>
      <w:r>
        <w:rPr>
          <w:rFonts w:cs="Times New Roman"/>
          <w:szCs w:val="24"/>
        </w:rPr>
        <w:t xml:space="preserve">, deve sempre estar amparada pela lei (instituições formais). </w:t>
      </w:r>
    </w:p>
    <w:p w14:paraId="29D44C43" w14:textId="77777777" w:rsidR="002A2CFF" w:rsidRDefault="002A2CFF" w:rsidP="00B17B54">
      <w:pPr>
        <w:spacing w:after="0"/>
        <w:ind w:firstLine="709"/>
        <w:jc w:val="both"/>
        <w:rPr>
          <w:rFonts w:cs="Times New Roman"/>
          <w:szCs w:val="24"/>
        </w:rPr>
      </w:pPr>
      <w:r>
        <w:rPr>
          <w:rFonts w:cs="Times New Roman"/>
          <w:szCs w:val="24"/>
        </w:rPr>
        <w:t xml:space="preserve">Na divisão de </w:t>
      </w:r>
      <w:r w:rsidRPr="00584045">
        <w:rPr>
          <w:rFonts w:cs="Times New Roman"/>
          <w:szCs w:val="24"/>
        </w:rPr>
        <w:t>Schedler (1999)</w:t>
      </w:r>
      <w:r>
        <w:rPr>
          <w:rFonts w:cs="Times New Roman"/>
          <w:szCs w:val="24"/>
        </w:rPr>
        <w:t>,</w:t>
      </w:r>
      <w:r w:rsidRPr="00584045">
        <w:rPr>
          <w:rFonts w:cs="Times New Roman"/>
          <w:szCs w:val="24"/>
        </w:rPr>
        <w:t xml:space="preserve"> </w:t>
      </w:r>
      <w:r>
        <w:rPr>
          <w:rFonts w:cs="Times New Roman"/>
          <w:szCs w:val="24"/>
        </w:rPr>
        <w:t xml:space="preserve">em </w:t>
      </w:r>
      <w:r w:rsidRPr="00C335E6">
        <w:rPr>
          <w:rFonts w:cs="Times New Roman"/>
          <w:i/>
          <w:szCs w:val="24"/>
        </w:rPr>
        <w:t>accountability</w:t>
      </w:r>
      <w:r>
        <w:rPr>
          <w:rFonts w:cs="Times New Roman"/>
          <w:szCs w:val="24"/>
        </w:rPr>
        <w:t xml:space="preserve">, como </w:t>
      </w:r>
      <w:r w:rsidRPr="00584045">
        <w:rPr>
          <w:rFonts w:cs="Times New Roman"/>
          <w:i/>
          <w:szCs w:val="24"/>
        </w:rPr>
        <w:t>answerability</w:t>
      </w:r>
      <w:r>
        <w:rPr>
          <w:rFonts w:cs="Times New Roman"/>
          <w:szCs w:val="24"/>
        </w:rPr>
        <w:t xml:space="preserve"> e </w:t>
      </w:r>
      <w:r w:rsidRPr="00584045">
        <w:rPr>
          <w:rFonts w:cs="Times New Roman"/>
          <w:szCs w:val="24"/>
        </w:rPr>
        <w:t xml:space="preserve">mecanismos de </w:t>
      </w:r>
      <w:r w:rsidRPr="00584045">
        <w:rPr>
          <w:rFonts w:cs="Times New Roman"/>
          <w:i/>
          <w:szCs w:val="24"/>
        </w:rPr>
        <w:t>enforcement</w:t>
      </w:r>
      <w:r>
        <w:rPr>
          <w:rFonts w:cs="Times New Roman"/>
          <w:szCs w:val="24"/>
        </w:rPr>
        <w:t>, pode-se visualizar mais um conceito relacionado a instituições,</w:t>
      </w:r>
      <w:r w:rsidRPr="00C26B28">
        <w:rPr>
          <w:rFonts w:cs="Times New Roman"/>
          <w:szCs w:val="24"/>
        </w:rPr>
        <w:t xml:space="preserve"> </w:t>
      </w:r>
      <w:r w:rsidRPr="00584045">
        <w:rPr>
          <w:rFonts w:cs="Times New Roman"/>
          <w:szCs w:val="24"/>
        </w:rPr>
        <w:t>a capacidade dos mecanismos de controle de fazer cumprir a lei e aplicar sanções aos que violaram determinadas regras de conduta</w:t>
      </w:r>
      <w:r>
        <w:rPr>
          <w:rFonts w:cs="Times New Roman"/>
          <w:szCs w:val="24"/>
        </w:rPr>
        <w:t xml:space="preserve"> (</w:t>
      </w:r>
      <w:r w:rsidRPr="00584045">
        <w:rPr>
          <w:rFonts w:cs="Times New Roman"/>
          <w:i/>
          <w:szCs w:val="24"/>
        </w:rPr>
        <w:t>enforcement</w:t>
      </w:r>
      <w:r>
        <w:rPr>
          <w:rFonts w:cs="Times New Roman"/>
          <w:szCs w:val="24"/>
        </w:rPr>
        <w:t xml:space="preserve">), ou seja, tem-se instituições para assegurar que as instituições da primeira dimensão (regras e normas que regulam a </w:t>
      </w:r>
      <w:r w:rsidRPr="00584045">
        <w:rPr>
          <w:rFonts w:cs="Times New Roman"/>
          <w:i/>
          <w:szCs w:val="24"/>
        </w:rPr>
        <w:t>answerability</w:t>
      </w:r>
      <w:r>
        <w:rPr>
          <w:rFonts w:cs="Times New Roman"/>
          <w:szCs w:val="24"/>
        </w:rPr>
        <w:t>) sejam cumpridas.</w:t>
      </w:r>
    </w:p>
    <w:p w14:paraId="507E5DC9" w14:textId="671BFF3A" w:rsidR="002A2CFF" w:rsidRDefault="002A2CFF" w:rsidP="00B17B54">
      <w:pPr>
        <w:spacing w:after="0"/>
        <w:ind w:firstLine="709"/>
        <w:jc w:val="both"/>
        <w:rPr>
          <w:rFonts w:cs="Times New Roman"/>
          <w:szCs w:val="24"/>
        </w:rPr>
      </w:pPr>
      <w:r>
        <w:rPr>
          <w:rFonts w:cs="Times New Roman"/>
          <w:szCs w:val="24"/>
        </w:rPr>
        <w:t xml:space="preserve">Aprofundando a análise, ao introduzir o RPPS na relação, instituições e </w:t>
      </w:r>
      <w:r w:rsidRPr="00C335E6">
        <w:rPr>
          <w:rFonts w:cs="Times New Roman"/>
          <w:i/>
          <w:szCs w:val="24"/>
        </w:rPr>
        <w:t>accountability</w:t>
      </w:r>
      <w:r>
        <w:rPr>
          <w:rFonts w:cs="Times New Roman"/>
          <w:szCs w:val="24"/>
        </w:rPr>
        <w:t xml:space="preserve">. </w:t>
      </w:r>
      <w:r w:rsidRPr="00EB2BA9">
        <w:rPr>
          <w:rFonts w:cs="Times New Roman"/>
          <w:szCs w:val="24"/>
        </w:rPr>
        <w:t xml:space="preserve">Poder-se-ia visualizar </w:t>
      </w:r>
      <w:r>
        <w:rPr>
          <w:rFonts w:cs="Times New Roman"/>
          <w:szCs w:val="24"/>
        </w:rPr>
        <w:t xml:space="preserve">a relação do RPPS com seus contribuintes e beneficiários </w:t>
      </w:r>
      <w:r w:rsidRPr="00EB2BA9">
        <w:rPr>
          <w:rFonts w:cs="Times New Roman"/>
          <w:szCs w:val="24"/>
        </w:rPr>
        <w:t xml:space="preserve">como uma </w:t>
      </w:r>
      <w:r w:rsidRPr="005228F8">
        <w:rPr>
          <w:rFonts w:cs="Times New Roman"/>
          <w:szCs w:val="24"/>
        </w:rPr>
        <w:t>relaç</w:t>
      </w:r>
      <w:r>
        <w:rPr>
          <w:rFonts w:cs="Times New Roman"/>
          <w:szCs w:val="24"/>
        </w:rPr>
        <w:t>ão</w:t>
      </w:r>
      <w:r w:rsidRPr="005228F8">
        <w:rPr>
          <w:rFonts w:cs="Times New Roman"/>
          <w:szCs w:val="24"/>
        </w:rPr>
        <w:t xml:space="preserve"> de delegação</w:t>
      </w:r>
      <w:r>
        <w:rPr>
          <w:rFonts w:cs="Times New Roman"/>
          <w:szCs w:val="24"/>
        </w:rPr>
        <w:t xml:space="preserve"> (</w:t>
      </w:r>
      <w:r w:rsidRPr="00861BC9">
        <w:rPr>
          <w:rFonts w:cs="Times New Roman"/>
        </w:rPr>
        <w:t>relação de agência)</w:t>
      </w:r>
      <w:r w:rsidR="00B17B54">
        <w:rPr>
          <w:rFonts w:cs="Times New Roman"/>
          <w:szCs w:val="24"/>
        </w:rPr>
        <w:t xml:space="preserve"> </w:t>
      </w:r>
      <w:r>
        <w:rPr>
          <w:rFonts w:cs="Times New Roman"/>
          <w:szCs w:val="24"/>
        </w:rPr>
        <w:t xml:space="preserve">como denominamos na NEI, onde o </w:t>
      </w:r>
      <w:r w:rsidRPr="005228F8">
        <w:rPr>
          <w:rFonts w:cs="Times New Roman"/>
          <w:szCs w:val="24"/>
        </w:rPr>
        <w:t>problema central</w:t>
      </w:r>
      <w:r>
        <w:rPr>
          <w:rFonts w:cs="Times New Roman"/>
          <w:szCs w:val="24"/>
        </w:rPr>
        <w:t xml:space="preserve"> reside no fato de que </w:t>
      </w:r>
      <w:r w:rsidRPr="005228F8">
        <w:rPr>
          <w:rFonts w:cs="Times New Roman"/>
          <w:szCs w:val="24"/>
        </w:rPr>
        <w:t>os objetivos do agente podem não coincidir com os do principal; este pode monitorar por algum meio o agente, mas essa alternativa é sempre custosa.</w:t>
      </w:r>
      <w:r>
        <w:rPr>
          <w:rFonts w:cs="Times New Roman"/>
          <w:szCs w:val="24"/>
        </w:rPr>
        <w:t xml:space="preserve"> </w:t>
      </w:r>
      <w:r w:rsidR="00B17B54" w:rsidRPr="00861BC9">
        <w:rPr>
          <w:rFonts w:cs="Times New Roman"/>
        </w:rPr>
        <w:t xml:space="preserve">A relação de agência pode ser definida </w:t>
      </w:r>
      <w:r w:rsidR="00B17B54">
        <w:rPr>
          <w:rFonts w:cs="Times New Roman"/>
        </w:rPr>
        <w:t xml:space="preserve">segundo </w:t>
      </w:r>
      <w:r w:rsidR="00B17B54" w:rsidRPr="00861BC9">
        <w:rPr>
          <w:rFonts w:cs="Times New Roman"/>
        </w:rPr>
        <w:t>Jense</w:t>
      </w:r>
      <w:r w:rsidR="00B17B54">
        <w:rPr>
          <w:rFonts w:cs="Times New Roman"/>
        </w:rPr>
        <w:t>n e Meckling</w:t>
      </w:r>
      <w:r w:rsidR="00B17B54" w:rsidRPr="00861BC9">
        <w:rPr>
          <w:rFonts w:cs="Times New Roman"/>
        </w:rPr>
        <w:t xml:space="preserve"> </w:t>
      </w:r>
      <w:r w:rsidR="00B17B54">
        <w:rPr>
          <w:rFonts w:cs="Times New Roman"/>
        </w:rPr>
        <w:t xml:space="preserve">(1976) </w:t>
      </w:r>
      <w:r w:rsidR="00B17B54" w:rsidRPr="00861BC9">
        <w:rPr>
          <w:rFonts w:cs="Times New Roman"/>
        </w:rPr>
        <w:t>como um contrato em que uma das partes, principal,</w:t>
      </w:r>
      <w:r w:rsidR="00B17B54">
        <w:rPr>
          <w:rFonts w:cs="Times New Roman"/>
        </w:rPr>
        <w:t xml:space="preserve"> </w:t>
      </w:r>
      <w:r w:rsidR="00B17B54" w:rsidRPr="00861BC9">
        <w:rPr>
          <w:rFonts w:cs="Times New Roman"/>
        </w:rPr>
        <w:t>delega autoridade para que a outra, agente, po</w:t>
      </w:r>
      <w:r w:rsidR="00B17B54">
        <w:rPr>
          <w:rFonts w:cs="Times New Roman"/>
        </w:rPr>
        <w:t>ssa tomar decisões em seu nome.</w:t>
      </w:r>
    </w:p>
    <w:p w14:paraId="1AE0D1BF" w14:textId="77777777" w:rsidR="002A2CFF" w:rsidRPr="00777F45" w:rsidRDefault="002A2CFF" w:rsidP="00B17B54">
      <w:pPr>
        <w:tabs>
          <w:tab w:val="left" w:pos="2977"/>
        </w:tabs>
        <w:spacing w:after="0"/>
        <w:ind w:firstLine="709"/>
        <w:jc w:val="both"/>
        <w:rPr>
          <w:rFonts w:cs="Times New Roman"/>
          <w:szCs w:val="24"/>
        </w:rPr>
      </w:pPr>
      <w:r>
        <w:rPr>
          <w:rFonts w:cs="Times New Roman"/>
          <w:szCs w:val="24"/>
        </w:rPr>
        <w:t xml:space="preserve">Como já mencionado, há uma estreita relação entre </w:t>
      </w:r>
      <w:r w:rsidRPr="00C335E6">
        <w:rPr>
          <w:rFonts w:cs="Times New Roman"/>
          <w:i/>
          <w:szCs w:val="24"/>
        </w:rPr>
        <w:t>accountability</w:t>
      </w:r>
      <w:r w:rsidRPr="00A3050C">
        <w:rPr>
          <w:rFonts w:cs="Times New Roman"/>
          <w:i/>
          <w:szCs w:val="24"/>
        </w:rPr>
        <w:t xml:space="preserve"> </w:t>
      </w:r>
      <w:r>
        <w:rPr>
          <w:rFonts w:cs="Times New Roman"/>
          <w:szCs w:val="24"/>
        </w:rPr>
        <w:t xml:space="preserve">e Instituições. Poder-se-ia dizer que sem as instituições a </w:t>
      </w:r>
      <w:r w:rsidRPr="00C335E6">
        <w:rPr>
          <w:rFonts w:cs="Times New Roman"/>
          <w:i/>
          <w:szCs w:val="24"/>
        </w:rPr>
        <w:t>accountability</w:t>
      </w:r>
      <w:r>
        <w:rPr>
          <w:rFonts w:cs="Times New Roman"/>
          <w:szCs w:val="24"/>
        </w:rPr>
        <w:t xml:space="preserve"> seria impraticável ou até mesmo não existiria. </w:t>
      </w:r>
      <w:r w:rsidRPr="00777F45">
        <w:rPr>
          <w:rFonts w:cs="Times New Roman"/>
          <w:szCs w:val="24"/>
        </w:rPr>
        <w:t xml:space="preserve">Apesar </w:t>
      </w:r>
      <w:r>
        <w:rPr>
          <w:rFonts w:cs="Times New Roman"/>
          <w:szCs w:val="24"/>
        </w:rPr>
        <w:t>dessa</w:t>
      </w:r>
      <w:r w:rsidRPr="00777F45">
        <w:rPr>
          <w:rFonts w:cs="Times New Roman"/>
          <w:szCs w:val="24"/>
        </w:rPr>
        <w:t xml:space="preserve"> aparente relação como aqui demonstrado, ainda são escassos os estudos envolvendo as duas temáticas, dos quais pode-se destacar os seguintes trabalhos:</w:t>
      </w:r>
    </w:p>
    <w:p w14:paraId="3DDB4B2D" w14:textId="77777777" w:rsidR="002A2CFF" w:rsidRPr="00777F45" w:rsidRDefault="002A2CFF" w:rsidP="00B17B54">
      <w:pPr>
        <w:tabs>
          <w:tab w:val="left" w:pos="2977"/>
        </w:tabs>
        <w:spacing w:after="0"/>
        <w:ind w:firstLine="709"/>
        <w:jc w:val="both"/>
        <w:rPr>
          <w:rFonts w:cs="Times New Roman"/>
          <w:szCs w:val="24"/>
        </w:rPr>
      </w:pPr>
      <w:r w:rsidRPr="00777F45">
        <w:rPr>
          <w:rFonts w:cs="Times New Roman"/>
          <w:szCs w:val="24"/>
        </w:rPr>
        <w:t xml:space="preserve">Girth (2014) que verificou a </w:t>
      </w:r>
      <w:r w:rsidRPr="00C335E6">
        <w:rPr>
          <w:rFonts w:cs="Times New Roman"/>
          <w:i/>
          <w:szCs w:val="24"/>
        </w:rPr>
        <w:t>accountability</w:t>
      </w:r>
      <w:r w:rsidRPr="00777F45">
        <w:rPr>
          <w:rFonts w:cs="Times New Roman"/>
          <w:szCs w:val="24"/>
        </w:rPr>
        <w:t xml:space="preserve"> em contratos entre governos locais e empreiteiros, através da análise das decisões dos gestores públicos ao realizarem sanções aos empreiteiros pelo desempenho não satisfatório. Apesar dos gestores públicos terem a sua posse poderosas ferramentas disponíveis, especialmente na forma de sanções, os resultados </w:t>
      </w:r>
      <w:r w:rsidRPr="00777F45">
        <w:rPr>
          <w:rFonts w:cs="Times New Roman"/>
          <w:szCs w:val="24"/>
        </w:rPr>
        <w:lastRenderedPageBreak/>
        <w:t>encontrados pelo autor apontam alguns fatores dificultadores a sua execução, especificamente a natureza onerosa do processo de sanção, a vontade de usar de bom senso, e por muita das vezes a dependência do contratante a organizações de baixo desempenho.</w:t>
      </w:r>
    </w:p>
    <w:p w14:paraId="20DFDF6E" w14:textId="77777777" w:rsidR="002A2CFF" w:rsidRPr="00777F45" w:rsidRDefault="002A2CFF" w:rsidP="00B17B54">
      <w:pPr>
        <w:tabs>
          <w:tab w:val="left" w:pos="2977"/>
        </w:tabs>
        <w:spacing w:after="0"/>
        <w:ind w:firstLine="709"/>
        <w:jc w:val="both"/>
        <w:rPr>
          <w:rFonts w:cs="Times New Roman"/>
          <w:szCs w:val="24"/>
        </w:rPr>
      </w:pPr>
      <w:r w:rsidRPr="00777F45">
        <w:rPr>
          <w:rFonts w:cs="Times New Roman"/>
          <w:szCs w:val="24"/>
        </w:rPr>
        <w:t xml:space="preserve">Romzek, Leroux e Blackmar (2012) que examinaram como as normas informais e atributos comportamentais facilitam as ações coletivas promovendo a </w:t>
      </w:r>
      <w:r w:rsidRPr="00C335E6">
        <w:rPr>
          <w:rFonts w:cs="Times New Roman"/>
          <w:i/>
          <w:szCs w:val="24"/>
        </w:rPr>
        <w:t>accountability</w:t>
      </w:r>
      <w:r w:rsidRPr="00777F45">
        <w:rPr>
          <w:rFonts w:cs="Times New Roman"/>
          <w:szCs w:val="24"/>
        </w:rPr>
        <w:t xml:space="preserve"> informal em redes de prestadores de serviços governamentais em Detroit, St. Louis, Cleveland e Kansas nos EUA. Com base em seus achados, os autores propõem uma teoria preliminar de </w:t>
      </w:r>
      <w:r w:rsidRPr="00C335E6">
        <w:rPr>
          <w:rFonts w:cs="Times New Roman"/>
          <w:i/>
          <w:szCs w:val="24"/>
        </w:rPr>
        <w:t>accountability</w:t>
      </w:r>
      <w:r w:rsidRPr="00777F45">
        <w:rPr>
          <w:rFonts w:cs="Times New Roman"/>
          <w:szCs w:val="24"/>
        </w:rPr>
        <w:t xml:space="preserve"> informal, ligando o sistema informal de recompensas, sanções, normas compartilhadas e comportamentos facilitadores, para promover e reforçar expectativas de comportamento que promovam a </w:t>
      </w:r>
      <w:r w:rsidRPr="00C335E6">
        <w:rPr>
          <w:rFonts w:cs="Times New Roman"/>
          <w:i/>
          <w:szCs w:val="24"/>
        </w:rPr>
        <w:t>accountability</w:t>
      </w:r>
      <w:r w:rsidRPr="00777F45">
        <w:rPr>
          <w:rFonts w:cs="Times New Roman"/>
          <w:szCs w:val="24"/>
        </w:rPr>
        <w:t xml:space="preserve"> informal para melhores resultados coletivos.</w:t>
      </w:r>
    </w:p>
    <w:p w14:paraId="478B4FE2" w14:textId="77777777" w:rsidR="002A2CFF" w:rsidRDefault="002A2CFF" w:rsidP="00B17B54">
      <w:pPr>
        <w:tabs>
          <w:tab w:val="left" w:pos="2977"/>
        </w:tabs>
        <w:spacing w:after="0"/>
        <w:ind w:firstLine="709"/>
        <w:jc w:val="both"/>
        <w:rPr>
          <w:rFonts w:cs="Times New Roman"/>
          <w:szCs w:val="24"/>
        </w:rPr>
      </w:pPr>
      <w:r w:rsidRPr="00777F45">
        <w:rPr>
          <w:rFonts w:cs="Times New Roman"/>
          <w:szCs w:val="24"/>
        </w:rPr>
        <w:t xml:space="preserve">No Brasil, trabalhos empíricos envolvendo </w:t>
      </w:r>
      <w:r w:rsidRPr="00C335E6">
        <w:rPr>
          <w:rFonts w:cs="Times New Roman"/>
          <w:i/>
          <w:szCs w:val="24"/>
        </w:rPr>
        <w:t>accountability</w:t>
      </w:r>
      <w:r w:rsidRPr="00777F45">
        <w:rPr>
          <w:rFonts w:cs="Times New Roman"/>
          <w:szCs w:val="24"/>
        </w:rPr>
        <w:t xml:space="preserve"> e instituições praticamente não existem, excetuando alguns trabalhos, como o de Taylor e Buranelli (2007)</w:t>
      </w:r>
      <w:r>
        <w:rPr>
          <w:rFonts w:cs="Times New Roman"/>
          <w:szCs w:val="24"/>
        </w:rPr>
        <w:t>,</w:t>
      </w:r>
      <w:r w:rsidRPr="00777F45">
        <w:rPr>
          <w:rFonts w:cs="Times New Roman"/>
          <w:szCs w:val="24"/>
        </w:rPr>
        <w:t xml:space="preserve"> que estudaram o processo de </w:t>
      </w:r>
      <w:r w:rsidRPr="00C335E6">
        <w:rPr>
          <w:rFonts w:cs="Times New Roman"/>
          <w:i/>
          <w:szCs w:val="24"/>
        </w:rPr>
        <w:t>accountability</w:t>
      </w:r>
      <w:r w:rsidRPr="00777F45">
        <w:rPr>
          <w:rFonts w:cs="Times New Roman"/>
          <w:szCs w:val="24"/>
        </w:rPr>
        <w:t xml:space="preserve"> em seis casos de destaque de corrupção no Brasil, os resultados obtidos pelos autores apontam que a debilidade do processo de </w:t>
      </w:r>
      <w:r w:rsidRPr="00C335E6">
        <w:rPr>
          <w:rFonts w:cs="Times New Roman"/>
          <w:i/>
          <w:szCs w:val="24"/>
        </w:rPr>
        <w:t>accountability</w:t>
      </w:r>
      <w:r w:rsidRPr="00777F45">
        <w:rPr>
          <w:rFonts w:cs="Times New Roman"/>
          <w:szCs w:val="24"/>
        </w:rPr>
        <w:t xml:space="preserve"> não se deve inteiramente a falta de instituições individuais de </w:t>
      </w:r>
      <w:r w:rsidRPr="00C335E6">
        <w:rPr>
          <w:rFonts w:cs="Times New Roman"/>
          <w:i/>
          <w:szCs w:val="24"/>
        </w:rPr>
        <w:t>accountability</w:t>
      </w:r>
      <w:r w:rsidRPr="00777F45">
        <w:rPr>
          <w:rFonts w:cs="Times New Roman"/>
          <w:szCs w:val="24"/>
        </w:rPr>
        <w:t xml:space="preserve">, mas sim pela independência de tais instituições em cada uma das fases da </w:t>
      </w:r>
      <w:r w:rsidRPr="00C335E6">
        <w:rPr>
          <w:rFonts w:cs="Times New Roman"/>
          <w:i/>
          <w:szCs w:val="24"/>
        </w:rPr>
        <w:t>accountability</w:t>
      </w:r>
      <w:r w:rsidRPr="00777F45">
        <w:rPr>
          <w:rFonts w:cs="Times New Roman"/>
          <w:szCs w:val="24"/>
        </w:rPr>
        <w:t xml:space="preserve">. Os achados sugerem que os arranjos institucionais influenciam no grau de confiança e </w:t>
      </w:r>
      <w:r w:rsidRPr="00C335E6">
        <w:rPr>
          <w:rFonts w:cs="Times New Roman"/>
          <w:i/>
          <w:szCs w:val="24"/>
        </w:rPr>
        <w:t>accountability</w:t>
      </w:r>
      <w:r>
        <w:rPr>
          <w:rFonts w:cs="Times New Roman"/>
          <w:szCs w:val="24"/>
        </w:rPr>
        <w:t>.</w:t>
      </w:r>
    </w:p>
    <w:p w14:paraId="46847189" w14:textId="77777777" w:rsidR="002A2CFF" w:rsidRDefault="002A2CFF" w:rsidP="00B17B54">
      <w:pPr>
        <w:spacing w:after="0"/>
        <w:ind w:firstLine="709"/>
        <w:jc w:val="both"/>
        <w:rPr>
          <w:rFonts w:cs="Times New Roman"/>
          <w:szCs w:val="24"/>
        </w:rPr>
      </w:pPr>
      <w:r>
        <w:rPr>
          <w:rFonts w:cs="Times New Roman"/>
          <w:szCs w:val="24"/>
        </w:rPr>
        <w:t>Na relação entre servidores e os RPPS, os</w:t>
      </w:r>
      <w:r w:rsidRPr="00EB2BA9">
        <w:rPr>
          <w:rFonts w:cs="Times New Roman"/>
          <w:szCs w:val="24"/>
        </w:rPr>
        <w:t xml:space="preserve"> cidadãos investem seus recursos </w:t>
      </w:r>
      <w:r>
        <w:rPr>
          <w:rFonts w:cs="Times New Roman"/>
          <w:szCs w:val="24"/>
        </w:rPr>
        <w:t>as unidades gestoras</w:t>
      </w:r>
      <w:r w:rsidRPr="00EB2BA9">
        <w:rPr>
          <w:rFonts w:cs="Times New Roman"/>
          <w:szCs w:val="24"/>
        </w:rPr>
        <w:t xml:space="preserve"> os gerencia com o objetivo de gerar benefícios para a própria sociedade. Como resultado disso, tem-se a relação em que o cidadão é o mandante, o principal e o </w:t>
      </w:r>
      <w:r>
        <w:rPr>
          <w:rFonts w:cs="Times New Roman"/>
          <w:szCs w:val="24"/>
        </w:rPr>
        <w:t>RPPS é a delegação, seu agente, c</w:t>
      </w:r>
      <w:r w:rsidRPr="008721FF">
        <w:rPr>
          <w:rFonts w:cs="Times New Roman"/>
          <w:szCs w:val="24"/>
        </w:rPr>
        <w:t xml:space="preserve">onforme </w:t>
      </w:r>
      <w:r>
        <w:rPr>
          <w:rFonts w:cs="Times New Roman"/>
          <w:szCs w:val="24"/>
        </w:rPr>
        <w:t>pode-se</w:t>
      </w:r>
      <w:r w:rsidRPr="008721FF">
        <w:rPr>
          <w:rFonts w:cs="Times New Roman"/>
          <w:szCs w:val="24"/>
        </w:rPr>
        <w:t xml:space="preserve"> visualizar na Figura </w:t>
      </w:r>
      <w:r w:rsidR="00EC537F">
        <w:rPr>
          <w:rFonts w:cs="Times New Roman"/>
          <w:szCs w:val="24"/>
        </w:rPr>
        <w:t>1</w:t>
      </w:r>
      <w:r w:rsidRPr="008721FF">
        <w:rPr>
          <w:rFonts w:cs="Times New Roman"/>
          <w:szCs w:val="24"/>
        </w:rPr>
        <w:t xml:space="preserve"> </w:t>
      </w:r>
      <w:r>
        <w:rPr>
          <w:rFonts w:cs="Times New Roman"/>
          <w:szCs w:val="24"/>
        </w:rPr>
        <w:t xml:space="preserve">que também retrata a influência das instituições na </w:t>
      </w:r>
      <w:r w:rsidRPr="00C335E6">
        <w:rPr>
          <w:rFonts w:cs="Times New Roman"/>
          <w:i/>
          <w:szCs w:val="24"/>
        </w:rPr>
        <w:t>accountability</w:t>
      </w:r>
      <w:r>
        <w:rPr>
          <w:rFonts w:cs="Times New Roman"/>
          <w:szCs w:val="24"/>
        </w:rPr>
        <w:t xml:space="preserve"> do RPPS.</w:t>
      </w:r>
      <w:r w:rsidRPr="0045112F">
        <w:rPr>
          <w:rFonts w:cs="Times New Roman"/>
          <w:szCs w:val="24"/>
        </w:rPr>
        <w:t xml:space="preserve"> </w:t>
      </w:r>
    </w:p>
    <w:p w14:paraId="35948D5F" w14:textId="77777777" w:rsidR="00443F94" w:rsidRDefault="00443F94" w:rsidP="00B17B54">
      <w:pPr>
        <w:spacing w:after="0"/>
        <w:ind w:firstLine="709"/>
        <w:jc w:val="both"/>
        <w:rPr>
          <w:rFonts w:cs="Times New Roman"/>
          <w:szCs w:val="24"/>
        </w:rPr>
      </w:pPr>
    </w:p>
    <w:p w14:paraId="620465D7" w14:textId="77777777" w:rsidR="002A2CFF" w:rsidRDefault="002A2CFF" w:rsidP="00C6065A">
      <w:pPr>
        <w:keepNext/>
        <w:spacing w:after="0"/>
        <w:jc w:val="both"/>
      </w:pPr>
      <w:r>
        <w:rPr>
          <w:rFonts w:cs="Times New Roman"/>
          <w:noProof/>
          <w:szCs w:val="24"/>
          <w:lang w:eastAsia="pt-BR"/>
        </w:rPr>
        <w:drawing>
          <wp:inline distT="0" distB="0" distL="0" distR="0" wp14:anchorId="165B50F6" wp14:editId="483DB539">
            <wp:extent cx="5705475" cy="3095625"/>
            <wp:effectExtent l="19050" t="19050" r="28575" b="285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7">
                      <a:extLst>
                        <a:ext uri="{28A0092B-C50C-407E-A947-70E740481C1C}">
                          <a14:useLocalDpi xmlns:a14="http://schemas.microsoft.com/office/drawing/2010/main" val="0"/>
                        </a:ext>
                      </a:extLst>
                    </a:blip>
                    <a:stretch>
                      <a:fillRect/>
                    </a:stretch>
                  </pic:blipFill>
                  <pic:spPr>
                    <a:xfrm>
                      <a:off x="0" y="0"/>
                      <a:ext cx="5705475" cy="3095625"/>
                    </a:xfrm>
                    <a:prstGeom prst="rect">
                      <a:avLst/>
                    </a:prstGeom>
                    <a:ln>
                      <a:solidFill>
                        <a:schemeClr val="tx1"/>
                      </a:solidFill>
                    </a:ln>
                  </pic:spPr>
                </pic:pic>
              </a:graphicData>
            </a:graphic>
          </wp:inline>
        </w:drawing>
      </w:r>
    </w:p>
    <w:p w14:paraId="5DC3D779" w14:textId="77777777" w:rsidR="002A2CFF" w:rsidRPr="00B17B54" w:rsidRDefault="002A2CFF" w:rsidP="00673650">
      <w:pPr>
        <w:spacing w:after="0"/>
        <w:rPr>
          <w:rFonts w:cs="Times New Roman"/>
          <w:sz w:val="20"/>
          <w:szCs w:val="20"/>
        </w:rPr>
      </w:pPr>
      <w:bookmarkStart w:id="9" w:name="_Toc442957910"/>
      <w:r w:rsidRPr="00B17B54">
        <w:rPr>
          <w:b/>
          <w:sz w:val="20"/>
          <w:szCs w:val="20"/>
        </w:rPr>
        <w:t xml:space="preserve">Figura </w:t>
      </w:r>
      <w:r w:rsidR="00EC537F" w:rsidRPr="00B17B54">
        <w:rPr>
          <w:b/>
          <w:sz w:val="20"/>
          <w:szCs w:val="20"/>
        </w:rPr>
        <w:t>1</w:t>
      </w:r>
      <w:r w:rsidRPr="00B17B54">
        <w:rPr>
          <w:sz w:val="20"/>
          <w:szCs w:val="20"/>
        </w:rPr>
        <w:t xml:space="preserve"> - Contexto Institucional da Unidade Gestora</w:t>
      </w:r>
      <w:bookmarkEnd w:id="9"/>
    </w:p>
    <w:p w14:paraId="3D2E2C27" w14:textId="5FDFFA2F" w:rsidR="002A2CFF" w:rsidRPr="00B17B54" w:rsidRDefault="002A2CFF" w:rsidP="00673650">
      <w:pPr>
        <w:tabs>
          <w:tab w:val="left" w:pos="2977"/>
        </w:tabs>
        <w:spacing w:after="0"/>
        <w:jc w:val="both"/>
        <w:rPr>
          <w:rFonts w:cs="Times New Roman"/>
          <w:sz w:val="20"/>
          <w:szCs w:val="20"/>
        </w:rPr>
      </w:pPr>
      <w:r w:rsidRPr="00B17B54">
        <w:rPr>
          <w:rFonts w:cs="Times New Roman"/>
          <w:sz w:val="20"/>
          <w:szCs w:val="20"/>
        </w:rPr>
        <w:t>Fonte: Elaborado pelo</w:t>
      </w:r>
      <w:r w:rsidR="000E2B76" w:rsidRPr="00B17B54">
        <w:rPr>
          <w:rFonts w:cs="Times New Roman"/>
          <w:sz w:val="20"/>
          <w:szCs w:val="20"/>
        </w:rPr>
        <w:t>s</w:t>
      </w:r>
      <w:r w:rsidRPr="00B17B54">
        <w:rPr>
          <w:rFonts w:cs="Times New Roman"/>
          <w:sz w:val="20"/>
          <w:szCs w:val="20"/>
        </w:rPr>
        <w:t xml:space="preserve"> autor</w:t>
      </w:r>
      <w:r w:rsidR="000E2B76" w:rsidRPr="00B17B54">
        <w:rPr>
          <w:rFonts w:cs="Times New Roman"/>
          <w:sz w:val="20"/>
          <w:szCs w:val="20"/>
        </w:rPr>
        <w:t>es</w:t>
      </w:r>
    </w:p>
    <w:p w14:paraId="2F609CED" w14:textId="77777777" w:rsidR="00CD037B" w:rsidRPr="00C140B6" w:rsidRDefault="00CD037B" w:rsidP="00673650">
      <w:pPr>
        <w:tabs>
          <w:tab w:val="left" w:pos="2977"/>
        </w:tabs>
        <w:spacing w:after="0"/>
        <w:jc w:val="both"/>
        <w:rPr>
          <w:rFonts w:cs="Times New Roman"/>
          <w:sz w:val="22"/>
        </w:rPr>
      </w:pPr>
    </w:p>
    <w:p w14:paraId="2870F1E3" w14:textId="28D438C7" w:rsidR="002A2CFF" w:rsidRDefault="002A2CFF" w:rsidP="00B17B54">
      <w:pPr>
        <w:tabs>
          <w:tab w:val="left" w:pos="2977"/>
        </w:tabs>
        <w:spacing w:after="0"/>
        <w:ind w:firstLine="709"/>
        <w:jc w:val="both"/>
        <w:rPr>
          <w:rFonts w:cs="Times New Roman"/>
          <w:szCs w:val="24"/>
        </w:rPr>
      </w:pPr>
      <w:r>
        <w:rPr>
          <w:rFonts w:cs="Times New Roman"/>
          <w:szCs w:val="24"/>
        </w:rPr>
        <w:t xml:space="preserve">Conforme pode-se visualizar na figura </w:t>
      </w:r>
      <w:r w:rsidR="00EC537F">
        <w:rPr>
          <w:rFonts w:cs="Times New Roman"/>
          <w:szCs w:val="24"/>
        </w:rPr>
        <w:t>1</w:t>
      </w:r>
      <w:r>
        <w:rPr>
          <w:rFonts w:cs="Times New Roman"/>
          <w:szCs w:val="24"/>
        </w:rPr>
        <w:t xml:space="preserve">, a </w:t>
      </w:r>
      <w:r w:rsidRPr="00C335E6">
        <w:rPr>
          <w:rFonts w:cs="Times New Roman"/>
          <w:i/>
          <w:szCs w:val="24"/>
        </w:rPr>
        <w:t>accountability</w:t>
      </w:r>
      <w:r>
        <w:rPr>
          <w:rFonts w:cs="Times New Roman"/>
          <w:szCs w:val="24"/>
        </w:rPr>
        <w:t xml:space="preserve"> nos RPPS está subordinada as instituições tanto de nível macro como micro, ou seja, as formas e mecanismos de </w:t>
      </w:r>
      <w:r w:rsidRPr="00C335E6">
        <w:rPr>
          <w:rFonts w:cs="Times New Roman"/>
          <w:i/>
          <w:szCs w:val="24"/>
        </w:rPr>
        <w:t>accountability</w:t>
      </w:r>
      <w:r>
        <w:rPr>
          <w:rFonts w:cs="Times New Roman"/>
          <w:i/>
          <w:szCs w:val="24"/>
        </w:rPr>
        <w:t xml:space="preserve"> </w:t>
      </w:r>
      <w:r w:rsidRPr="00A3050C">
        <w:rPr>
          <w:rFonts w:cs="Times New Roman"/>
          <w:szCs w:val="24"/>
        </w:rPr>
        <w:t xml:space="preserve">dependem </w:t>
      </w:r>
      <w:r>
        <w:rPr>
          <w:rFonts w:cs="Times New Roman"/>
          <w:szCs w:val="24"/>
        </w:rPr>
        <w:t xml:space="preserve">principalmente de como são estruturadas essas instituições. </w:t>
      </w:r>
    </w:p>
    <w:p w14:paraId="0FFC5760" w14:textId="77777777" w:rsidR="002A2CFF" w:rsidRDefault="002A2CFF" w:rsidP="00B17B54">
      <w:pPr>
        <w:tabs>
          <w:tab w:val="left" w:pos="2977"/>
        </w:tabs>
        <w:spacing w:after="0"/>
        <w:ind w:firstLine="709"/>
        <w:jc w:val="both"/>
        <w:rPr>
          <w:rFonts w:cs="Times New Roman"/>
          <w:szCs w:val="24"/>
        </w:rPr>
      </w:pPr>
      <w:r>
        <w:rPr>
          <w:rFonts w:cs="Times New Roman"/>
          <w:szCs w:val="24"/>
        </w:rPr>
        <w:t xml:space="preserve"> O Ambiente Institucional, além da influência direta nas práticas de </w:t>
      </w:r>
      <w:r w:rsidRPr="00C335E6">
        <w:rPr>
          <w:rFonts w:cs="Times New Roman"/>
          <w:i/>
          <w:szCs w:val="24"/>
        </w:rPr>
        <w:t>accountability</w:t>
      </w:r>
      <w:r>
        <w:rPr>
          <w:rFonts w:cs="Times New Roman"/>
          <w:szCs w:val="24"/>
        </w:rPr>
        <w:t xml:space="preserve">, também apresenta um efeito indireto, por condicionar a atuação das instituições de nível micro (Estrutura de governança). </w:t>
      </w:r>
    </w:p>
    <w:p w14:paraId="5EB0C368" w14:textId="77777777" w:rsidR="002A2CFF" w:rsidRDefault="002A2CFF" w:rsidP="00B17B54">
      <w:pPr>
        <w:tabs>
          <w:tab w:val="left" w:pos="2977"/>
        </w:tabs>
        <w:spacing w:after="0"/>
        <w:ind w:firstLine="709"/>
        <w:jc w:val="both"/>
        <w:rPr>
          <w:rFonts w:cs="Times New Roman"/>
          <w:szCs w:val="24"/>
        </w:rPr>
      </w:pPr>
      <w:r>
        <w:rPr>
          <w:rFonts w:cs="Times New Roman"/>
          <w:szCs w:val="24"/>
        </w:rPr>
        <w:lastRenderedPageBreak/>
        <w:t xml:space="preserve">O Ambiente Institucional afeta a todos RPPS e mudanças em suas instituições carecem de ações instrumentais e de um período superior de tempo, o foco de análise se concentra nas Estruturas de Governança, que apesar de estar condicionadas a instituições de níveis macro, apresentam um certo grau de liberdade na criação de suas instituições. Sendo assim, é passível que um RPPS apresente níveis de </w:t>
      </w:r>
      <w:r w:rsidRPr="00C335E6">
        <w:rPr>
          <w:rFonts w:cs="Times New Roman"/>
          <w:i/>
          <w:szCs w:val="24"/>
        </w:rPr>
        <w:t>accountability</w:t>
      </w:r>
      <w:r>
        <w:rPr>
          <w:rFonts w:cs="Times New Roman"/>
          <w:szCs w:val="24"/>
        </w:rPr>
        <w:t xml:space="preserve"> diferente de outros devido a sua estrutura de Governança diferenciada.</w:t>
      </w:r>
    </w:p>
    <w:p w14:paraId="3E455C33" w14:textId="77777777" w:rsidR="002A2CFF" w:rsidRDefault="002A2CFF" w:rsidP="00B17B54">
      <w:pPr>
        <w:tabs>
          <w:tab w:val="left" w:pos="2977"/>
        </w:tabs>
        <w:spacing w:after="0"/>
        <w:ind w:firstLine="709"/>
        <w:jc w:val="both"/>
        <w:rPr>
          <w:rFonts w:cs="Times New Roman"/>
          <w:szCs w:val="24"/>
        </w:rPr>
      </w:pPr>
      <w:r>
        <w:rPr>
          <w:rFonts w:cs="Times New Roman"/>
          <w:szCs w:val="24"/>
        </w:rPr>
        <w:t xml:space="preserve">Devido a diversidade dos atributos comportamentais dos contribuintes, beneficiários e principalmente dos atores governamentais, as instituições de nível micro podem sofrer variações de um RPPS para outro, afetando assim suas características de </w:t>
      </w:r>
      <w:r w:rsidRPr="00C335E6">
        <w:rPr>
          <w:rFonts w:cs="Times New Roman"/>
          <w:i/>
          <w:szCs w:val="24"/>
        </w:rPr>
        <w:t>accountability</w:t>
      </w:r>
      <w:r>
        <w:rPr>
          <w:rFonts w:cs="Times New Roman"/>
          <w:szCs w:val="24"/>
        </w:rPr>
        <w:t>.</w:t>
      </w:r>
    </w:p>
    <w:p w14:paraId="05EEEE31" w14:textId="77777777" w:rsidR="002A2CFF" w:rsidRDefault="002A2CFF" w:rsidP="00B17B54">
      <w:pPr>
        <w:spacing w:after="0"/>
        <w:ind w:firstLine="709"/>
        <w:jc w:val="both"/>
        <w:rPr>
          <w:rFonts w:cs="Times New Roman"/>
          <w:szCs w:val="24"/>
        </w:rPr>
      </w:pPr>
      <w:r>
        <w:rPr>
          <w:rFonts w:cs="Times New Roman"/>
          <w:szCs w:val="24"/>
        </w:rPr>
        <w:t xml:space="preserve">Conforme já mencionado, o </w:t>
      </w:r>
      <w:r w:rsidRPr="007F1F9B">
        <w:rPr>
          <w:rFonts w:cs="Times New Roman"/>
          <w:szCs w:val="24"/>
        </w:rPr>
        <w:t xml:space="preserve">RPPS </w:t>
      </w:r>
      <w:r>
        <w:rPr>
          <w:rFonts w:cs="Times New Roman"/>
          <w:szCs w:val="24"/>
        </w:rPr>
        <w:t xml:space="preserve">segue uma lógica </w:t>
      </w:r>
      <w:r w:rsidRPr="007F1F9B">
        <w:rPr>
          <w:rFonts w:cs="Times New Roman"/>
          <w:szCs w:val="24"/>
        </w:rPr>
        <w:t xml:space="preserve">de filiação obrigatória e contribuição compulsória, não permitindo aos seus </w:t>
      </w:r>
      <w:r>
        <w:rPr>
          <w:rFonts w:cs="Times New Roman"/>
          <w:szCs w:val="24"/>
        </w:rPr>
        <w:t>participantes</w:t>
      </w:r>
      <w:r w:rsidRPr="007F1F9B">
        <w:rPr>
          <w:rFonts w:cs="Times New Roman"/>
          <w:szCs w:val="24"/>
        </w:rPr>
        <w:t xml:space="preserve"> </w:t>
      </w:r>
      <w:r>
        <w:rPr>
          <w:rFonts w:cs="Times New Roman"/>
          <w:szCs w:val="24"/>
        </w:rPr>
        <w:t>tenham escolha em relação a sua</w:t>
      </w:r>
      <w:r w:rsidRPr="007F1F9B">
        <w:rPr>
          <w:rFonts w:cs="Times New Roman"/>
          <w:szCs w:val="24"/>
        </w:rPr>
        <w:t xml:space="preserve"> adesão, ou seja, enquanto os servidores mantiverem seus vínculos de trabalho, os questionamentos quanto a sua participação ao regime são impraticáveis. Como também os contratos e as regras que regem o regime por seguirem uma lógica </w:t>
      </w:r>
      <w:r w:rsidRPr="007F1F9B">
        <w:rPr>
          <w:rFonts w:cs="Times New Roman"/>
          <w:i/>
          <w:szCs w:val="24"/>
        </w:rPr>
        <w:t xml:space="preserve">Top-down, </w:t>
      </w:r>
      <w:r w:rsidRPr="007F1F9B">
        <w:rPr>
          <w:rFonts w:cs="Times New Roman"/>
          <w:szCs w:val="24"/>
        </w:rPr>
        <w:t>não permitem que os beneficiários e contribuintes participem de forma direta no processo de sua elaboração.</w:t>
      </w:r>
      <w:r>
        <w:rPr>
          <w:rFonts w:cs="Times New Roman"/>
          <w:szCs w:val="24"/>
        </w:rPr>
        <w:t xml:space="preserve"> Assim, ao funcionário em exército no serviço público, só resta acatar sua adesão. </w:t>
      </w:r>
    </w:p>
    <w:p w14:paraId="3A34833A" w14:textId="77777777" w:rsidR="002A2CFF" w:rsidRDefault="002A2CFF" w:rsidP="00B17B54">
      <w:pPr>
        <w:spacing w:after="0"/>
        <w:ind w:firstLine="709"/>
        <w:jc w:val="both"/>
        <w:rPr>
          <w:rFonts w:cs="Times New Roman"/>
          <w:szCs w:val="24"/>
        </w:rPr>
      </w:pPr>
      <w:r>
        <w:rPr>
          <w:rFonts w:cs="Times New Roman"/>
          <w:szCs w:val="24"/>
        </w:rPr>
        <w:t xml:space="preserve">Devido a diversidade dos atributos comportamentais dos contribuintes, como o desinteresse nas informações, a racionalidade limitada em conjunto com a incerteza atrelada a previdência, proporcionam a assimetria informacional, e leva a emergir um ambiente propício ao oportunismo no RPPS, conforme pode-se visualizar na Figura </w:t>
      </w:r>
      <w:r w:rsidR="00EC537F">
        <w:rPr>
          <w:rFonts w:cs="Times New Roman"/>
          <w:szCs w:val="24"/>
        </w:rPr>
        <w:t>2</w:t>
      </w:r>
      <w:r>
        <w:rPr>
          <w:rFonts w:cs="Times New Roman"/>
          <w:szCs w:val="24"/>
        </w:rPr>
        <w:t>.</w:t>
      </w:r>
    </w:p>
    <w:p w14:paraId="1F00478F" w14:textId="77777777" w:rsidR="00443F94" w:rsidRDefault="00443F94" w:rsidP="00B17B54">
      <w:pPr>
        <w:spacing w:after="0"/>
        <w:ind w:firstLine="709"/>
        <w:jc w:val="both"/>
        <w:rPr>
          <w:rFonts w:cs="Times New Roman"/>
          <w:szCs w:val="24"/>
        </w:rPr>
      </w:pPr>
    </w:p>
    <w:p w14:paraId="0B9B0F1B" w14:textId="77777777" w:rsidR="002A2CFF" w:rsidRDefault="002A2CFF" w:rsidP="00C6065A">
      <w:pPr>
        <w:keepNext/>
        <w:spacing w:after="0"/>
        <w:jc w:val="both"/>
      </w:pPr>
      <w:r>
        <w:rPr>
          <w:rFonts w:cs="Times New Roman"/>
          <w:noProof/>
          <w:szCs w:val="24"/>
          <w:lang w:eastAsia="pt-BR"/>
        </w:rPr>
        <w:drawing>
          <wp:inline distT="0" distB="0" distL="0" distR="0" wp14:anchorId="025E2CF8" wp14:editId="71EFD0BA">
            <wp:extent cx="5760085" cy="3480191"/>
            <wp:effectExtent l="19050" t="19050" r="12065" b="2540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8">
                      <a:extLst>
                        <a:ext uri="{28A0092B-C50C-407E-A947-70E740481C1C}">
                          <a14:useLocalDpi xmlns:a14="http://schemas.microsoft.com/office/drawing/2010/main" val="0"/>
                        </a:ext>
                      </a:extLst>
                    </a:blip>
                    <a:stretch>
                      <a:fillRect/>
                    </a:stretch>
                  </pic:blipFill>
                  <pic:spPr>
                    <a:xfrm>
                      <a:off x="0" y="0"/>
                      <a:ext cx="5760085" cy="3480191"/>
                    </a:xfrm>
                    <a:prstGeom prst="rect">
                      <a:avLst/>
                    </a:prstGeom>
                    <a:ln>
                      <a:solidFill>
                        <a:schemeClr val="tx1"/>
                      </a:solidFill>
                    </a:ln>
                  </pic:spPr>
                </pic:pic>
              </a:graphicData>
            </a:graphic>
          </wp:inline>
        </w:drawing>
      </w:r>
    </w:p>
    <w:p w14:paraId="569F39C7" w14:textId="77777777" w:rsidR="002A2CFF" w:rsidRPr="00B17B54" w:rsidRDefault="002A2CFF" w:rsidP="004845A8">
      <w:pPr>
        <w:spacing w:after="0"/>
        <w:rPr>
          <w:rFonts w:cs="Times New Roman"/>
          <w:sz w:val="20"/>
          <w:szCs w:val="20"/>
        </w:rPr>
      </w:pPr>
      <w:bookmarkStart w:id="10" w:name="_Toc442957911"/>
      <w:r w:rsidRPr="00B17B54">
        <w:rPr>
          <w:b/>
          <w:sz w:val="20"/>
          <w:szCs w:val="20"/>
        </w:rPr>
        <w:t xml:space="preserve">Figura </w:t>
      </w:r>
      <w:r w:rsidR="00EC537F" w:rsidRPr="00B17B54">
        <w:rPr>
          <w:b/>
          <w:sz w:val="20"/>
          <w:szCs w:val="20"/>
        </w:rPr>
        <w:t>2</w:t>
      </w:r>
      <w:r w:rsidRPr="00B17B54">
        <w:rPr>
          <w:b/>
          <w:sz w:val="20"/>
          <w:szCs w:val="20"/>
        </w:rPr>
        <w:t xml:space="preserve"> </w:t>
      </w:r>
      <w:r w:rsidRPr="00B17B54">
        <w:rPr>
          <w:sz w:val="20"/>
          <w:szCs w:val="20"/>
        </w:rPr>
        <w:t xml:space="preserve">- Relação Contexto Institucional e </w:t>
      </w:r>
      <w:r w:rsidRPr="00B17B54">
        <w:rPr>
          <w:i/>
          <w:sz w:val="20"/>
          <w:szCs w:val="20"/>
        </w:rPr>
        <w:t>accountability</w:t>
      </w:r>
      <w:bookmarkEnd w:id="10"/>
    </w:p>
    <w:p w14:paraId="35785F42" w14:textId="0E97D635" w:rsidR="002A2CFF" w:rsidRPr="00B17B54" w:rsidRDefault="002A2CFF" w:rsidP="004845A8">
      <w:pPr>
        <w:tabs>
          <w:tab w:val="left" w:pos="2977"/>
        </w:tabs>
        <w:spacing w:after="0"/>
        <w:jc w:val="both"/>
        <w:rPr>
          <w:rFonts w:cs="Times New Roman"/>
          <w:sz w:val="20"/>
          <w:szCs w:val="20"/>
        </w:rPr>
      </w:pPr>
      <w:r w:rsidRPr="00B17B54">
        <w:rPr>
          <w:rFonts w:cs="Times New Roman"/>
          <w:sz w:val="20"/>
          <w:szCs w:val="20"/>
        </w:rPr>
        <w:t>Fonte: Elaborado pelo</w:t>
      </w:r>
      <w:r w:rsidR="000E2B76" w:rsidRPr="00B17B54">
        <w:rPr>
          <w:rFonts w:cs="Times New Roman"/>
          <w:sz w:val="20"/>
          <w:szCs w:val="20"/>
        </w:rPr>
        <w:t>s</w:t>
      </w:r>
      <w:r w:rsidRPr="00B17B54">
        <w:rPr>
          <w:rFonts w:cs="Times New Roman"/>
          <w:sz w:val="20"/>
          <w:szCs w:val="20"/>
        </w:rPr>
        <w:t xml:space="preserve"> autor</w:t>
      </w:r>
      <w:r w:rsidR="000E2B76" w:rsidRPr="00B17B54">
        <w:rPr>
          <w:rFonts w:cs="Times New Roman"/>
          <w:sz w:val="20"/>
          <w:szCs w:val="20"/>
        </w:rPr>
        <w:t>es</w:t>
      </w:r>
    </w:p>
    <w:p w14:paraId="65EB4A41" w14:textId="77777777" w:rsidR="002A2CFF" w:rsidRDefault="002A2CFF" w:rsidP="00673650">
      <w:pPr>
        <w:tabs>
          <w:tab w:val="left" w:pos="2977"/>
        </w:tabs>
        <w:spacing w:after="0" w:line="360" w:lineRule="auto"/>
        <w:jc w:val="both"/>
        <w:rPr>
          <w:rFonts w:cs="Times New Roman"/>
          <w:szCs w:val="24"/>
        </w:rPr>
      </w:pPr>
    </w:p>
    <w:p w14:paraId="0E8C934E" w14:textId="77777777" w:rsidR="002A2CFF" w:rsidRDefault="002A2CFF" w:rsidP="00B17B54">
      <w:pPr>
        <w:tabs>
          <w:tab w:val="left" w:pos="2977"/>
        </w:tabs>
        <w:spacing w:after="0"/>
        <w:ind w:firstLine="709"/>
        <w:jc w:val="both"/>
        <w:rPr>
          <w:rFonts w:cs="Times New Roman"/>
          <w:szCs w:val="24"/>
        </w:rPr>
      </w:pPr>
      <w:r>
        <w:rPr>
          <w:rFonts w:cs="Times New Roman"/>
          <w:szCs w:val="24"/>
        </w:rPr>
        <w:t xml:space="preserve">A </w:t>
      </w:r>
      <w:r w:rsidRPr="00A154E9">
        <w:rPr>
          <w:rFonts w:cs="Times New Roman"/>
          <w:szCs w:val="24"/>
        </w:rPr>
        <w:t>racionalidade limitada</w:t>
      </w:r>
      <w:r>
        <w:rPr>
          <w:rFonts w:cs="Times New Roman"/>
          <w:szCs w:val="24"/>
        </w:rPr>
        <w:t xml:space="preserve"> propicia a assimetria informacional</w:t>
      </w:r>
      <w:r w:rsidRPr="00A154E9">
        <w:rPr>
          <w:rFonts w:cs="Times New Roman"/>
          <w:szCs w:val="24"/>
        </w:rPr>
        <w:t>, no sentido de que os agentes possuem uma capacidade limitada para conseguir e processar informações, de modo que não são capazes de prever, avaliar e escolher de entre as diferentes opções que se lhe apresentam de f</w:t>
      </w:r>
      <w:r>
        <w:rPr>
          <w:rFonts w:cs="Times New Roman"/>
          <w:szCs w:val="24"/>
        </w:rPr>
        <w:t xml:space="preserve">orma ótima, rápida e sem custos. </w:t>
      </w:r>
    </w:p>
    <w:p w14:paraId="41FBDC32" w14:textId="77777777" w:rsidR="002A2CFF" w:rsidRDefault="002A2CFF" w:rsidP="00B17B54">
      <w:pPr>
        <w:tabs>
          <w:tab w:val="left" w:pos="2977"/>
        </w:tabs>
        <w:spacing w:after="0"/>
        <w:ind w:firstLine="709"/>
        <w:jc w:val="both"/>
        <w:rPr>
          <w:rFonts w:cs="Times New Roman"/>
          <w:szCs w:val="24"/>
        </w:rPr>
      </w:pPr>
      <w:r>
        <w:rPr>
          <w:rFonts w:cs="Times New Roman"/>
          <w:szCs w:val="24"/>
        </w:rPr>
        <w:t xml:space="preserve">No caso do RPPS, muita das vezes os contribuintes e beneficiários não possuem conhecimento sobre previdência, principalmente se tratando do RPPS, seja por dificuldade de </w:t>
      </w:r>
      <w:r>
        <w:rPr>
          <w:rFonts w:cs="Times New Roman"/>
          <w:szCs w:val="24"/>
        </w:rPr>
        <w:lastRenderedPageBreak/>
        <w:t xml:space="preserve">acesso e assimilação das informações ou mesmo por fatores relacionado a falta de tempo e interesse nessas informações. Consequentemente pela falta de informação dos indivíduos, esses não se sentem capazes de participar ou de cobrar do principal, criando assim, um círculo de auto reforço na assimetria informacional. </w:t>
      </w:r>
    </w:p>
    <w:p w14:paraId="763B413A" w14:textId="77777777" w:rsidR="002A2CFF" w:rsidRDefault="002A2CFF" w:rsidP="00B17B54">
      <w:pPr>
        <w:tabs>
          <w:tab w:val="left" w:pos="2977"/>
        </w:tabs>
        <w:spacing w:after="0"/>
        <w:ind w:firstLine="709"/>
        <w:jc w:val="both"/>
        <w:rPr>
          <w:rFonts w:cs="Times New Roman"/>
          <w:szCs w:val="24"/>
        </w:rPr>
      </w:pPr>
      <w:r w:rsidRPr="000A44AE">
        <w:rPr>
          <w:rFonts w:cs="Times New Roman"/>
          <w:szCs w:val="24"/>
        </w:rPr>
        <w:t>A incerteza relaciona-se com a imprevisibilidade</w:t>
      </w:r>
      <w:r>
        <w:rPr>
          <w:rFonts w:cs="Times New Roman"/>
          <w:szCs w:val="24"/>
        </w:rPr>
        <w:t>.</w:t>
      </w:r>
      <w:r w:rsidRPr="000A44AE">
        <w:rPr>
          <w:rFonts w:cs="Times New Roman"/>
          <w:szCs w:val="24"/>
        </w:rPr>
        <w:t xml:space="preserve"> De forma a não permitir que se calcule precisamente o que acontecerá no futuro, não há condições de prever todas as formas de contingência que podem ocorrer ao longo do tempo. Deve-se ressaltar a</w:t>
      </w:r>
      <w:r>
        <w:rPr>
          <w:rFonts w:cs="Times New Roman"/>
          <w:szCs w:val="24"/>
        </w:rPr>
        <w:t>inda a</w:t>
      </w:r>
      <w:r w:rsidRPr="000A44AE">
        <w:rPr>
          <w:rFonts w:cs="Times New Roman"/>
          <w:szCs w:val="24"/>
        </w:rPr>
        <w:t xml:space="preserve"> diferença conceitual </w:t>
      </w:r>
      <w:r>
        <w:rPr>
          <w:rFonts w:cs="Times New Roman"/>
          <w:szCs w:val="24"/>
        </w:rPr>
        <w:t xml:space="preserve">de incerteza </w:t>
      </w:r>
      <w:r w:rsidRPr="000A44AE">
        <w:rPr>
          <w:rFonts w:cs="Times New Roman"/>
          <w:szCs w:val="24"/>
        </w:rPr>
        <w:t>com o risco.</w:t>
      </w:r>
      <w:r>
        <w:rPr>
          <w:rFonts w:cs="Times New Roman"/>
          <w:szCs w:val="24"/>
        </w:rPr>
        <w:t xml:space="preserve"> </w:t>
      </w:r>
      <w:r w:rsidRPr="000A44AE">
        <w:rPr>
          <w:rFonts w:cs="Times New Roman"/>
          <w:szCs w:val="24"/>
        </w:rPr>
        <w:t>O risco pode ser me</w:t>
      </w:r>
      <w:r>
        <w:rPr>
          <w:rFonts w:cs="Times New Roman"/>
          <w:szCs w:val="24"/>
        </w:rPr>
        <w:t>nsurado e incorporado</w:t>
      </w:r>
      <w:r w:rsidRPr="000A44AE">
        <w:rPr>
          <w:rFonts w:cs="Times New Roman"/>
          <w:szCs w:val="24"/>
        </w:rPr>
        <w:t>, o que não ocorre quando existe a incerteza, uma vez que não se conhece a distribuiçã</w:t>
      </w:r>
      <w:r>
        <w:rPr>
          <w:rFonts w:cs="Times New Roman"/>
          <w:szCs w:val="24"/>
        </w:rPr>
        <w:t>o de probabilidades do fenômeno ocorrer. Como exemplo da atuação da incerteza no âmbito do RPPS, temos o comportamento dos indivíduos e de variáveis macroeconômicas que podem influenciar diretamente no funcionamento do sistema.</w:t>
      </w:r>
    </w:p>
    <w:p w14:paraId="5A4250D2" w14:textId="77777777" w:rsidR="002A2CFF" w:rsidRDefault="002A2CFF" w:rsidP="00B17B54">
      <w:pPr>
        <w:tabs>
          <w:tab w:val="left" w:pos="2977"/>
        </w:tabs>
        <w:spacing w:after="0"/>
        <w:ind w:firstLine="709"/>
        <w:jc w:val="both"/>
        <w:rPr>
          <w:rFonts w:cs="Times New Roman"/>
          <w:szCs w:val="24"/>
        </w:rPr>
      </w:pPr>
      <w:r w:rsidRPr="00A154E9">
        <w:rPr>
          <w:rFonts w:cs="Times New Roman"/>
          <w:szCs w:val="24"/>
        </w:rPr>
        <w:t xml:space="preserve">Devido às incertezas </w:t>
      </w:r>
      <w:r>
        <w:rPr>
          <w:rFonts w:cs="Times New Roman"/>
          <w:szCs w:val="24"/>
        </w:rPr>
        <w:t>do ambiente</w:t>
      </w:r>
      <w:r w:rsidRPr="00A154E9">
        <w:rPr>
          <w:rFonts w:cs="Times New Roman"/>
          <w:szCs w:val="24"/>
        </w:rPr>
        <w:t>, bem como da eventualidade de nos confrontarmos com comportamentos oportunistas</w:t>
      </w:r>
      <w:r>
        <w:rPr>
          <w:rFonts w:cs="Times New Roman"/>
          <w:szCs w:val="24"/>
        </w:rPr>
        <w:t xml:space="preserve"> ou</w:t>
      </w:r>
      <w:r w:rsidRPr="00A154E9">
        <w:rPr>
          <w:rFonts w:cs="Times New Roman"/>
          <w:szCs w:val="24"/>
        </w:rPr>
        <w:t xml:space="preserve"> mesmo pela própria racionalidade limitada, as informações subjacentes relevantes podem ser conhecidas por uma ou mais pessoas, mas, inevitavelmente, não serão conhecidas por </w:t>
      </w:r>
      <w:r>
        <w:rPr>
          <w:rFonts w:cs="Times New Roman"/>
          <w:szCs w:val="24"/>
        </w:rPr>
        <w:t>todos os envolvidos no processo (assimetria informacional)</w:t>
      </w:r>
      <w:r w:rsidRPr="00A154E9">
        <w:rPr>
          <w:rFonts w:cs="Times New Roman"/>
          <w:szCs w:val="24"/>
        </w:rPr>
        <w:t xml:space="preserve"> sem a incursão em algum custo de transação </w:t>
      </w:r>
      <w:r>
        <w:rPr>
          <w:rFonts w:cs="Times New Roman"/>
          <w:szCs w:val="24"/>
        </w:rPr>
        <w:t xml:space="preserve">pelos indivíduos (WILLIAMSON, 2000). </w:t>
      </w:r>
    </w:p>
    <w:p w14:paraId="3D2360C8" w14:textId="43EBAC47" w:rsidR="002A2CFF" w:rsidRDefault="002A2CFF" w:rsidP="00B17B54">
      <w:pPr>
        <w:tabs>
          <w:tab w:val="left" w:pos="2977"/>
        </w:tabs>
        <w:spacing w:after="0"/>
        <w:ind w:firstLine="709"/>
        <w:jc w:val="both"/>
        <w:rPr>
          <w:rFonts w:cs="Times New Roman"/>
          <w:szCs w:val="24"/>
        </w:rPr>
      </w:pPr>
      <w:r w:rsidRPr="00B13764">
        <w:rPr>
          <w:rFonts w:cs="Times New Roman"/>
          <w:szCs w:val="24"/>
        </w:rPr>
        <w:t>A existência de assimetria informacional</w:t>
      </w:r>
      <w:r w:rsidR="005269FC" w:rsidRPr="00B13764">
        <w:rPr>
          <w:rFonts w:cs="Times New Roman"/>
          <w:szCs w:val="24"/>
        </w:rPr>
        <w:t xml:space="preserve"> tende</w:t>
      </w:r>
      <w:r w:rsidRPr="00B13764">
        <w:rPr>
          <w:rFonts w:cs="Times New Roman"/>
          <w:szCs w:val="24"/>
        </w:rPr>
        <w:t xml:space="preserve"> a propiciar a ocorrência de conflitos de interesse, como também a possibilidade de comportamento oportunista do agente, que consiste na busca do interesse próprio com intenção de favorecer-se, ainda que para isso seja necessário prejudicar o outro, nesse caso especifico os contribuintes e beneficiários. </w:t>
      </w:r>
    </w:p>
    <w:p w14:paraId="11449FFE" w14:textId="77777777" w:rsidR="002A2CFF" w:rsidRDefault="002A2CFF" w:rsidP="00B17B54">
      <w:pPr>
        <w:tabs>
          <w:tab w:val="left" w:pos="2977"/>
        </w:tabs>
        <w:spacing w:after="0"/>
        <w:ind w:firstLine="709"/>
        <w:jc w:val="both"/>
        <w:rPr>
          <w:rFonts w:cs="Times New Roman"/>
          <w:szCs w:val="24"/>
        </w:rPr>
      </w:pPr>
      <w:r w:rsidRPr="00A5535A">
        <w:rPr>
          <w:rFonts w:cs="Times New Roman"/>
          <w:szCs w:val="24"/>
        </w:rPr>
        <w:t>Caso não houvesse racionalidade limitada, nem ambiente de incerteza, os potenciais problemas contratuais poderiam ser solucionados simplesmente mediante planejamento adequado; do mesmo modo que comportamento oportunista, se resolveria pelo cumprimento de promessas e a especificidade d</w:t>
      </w:r>
      <w:r>
        <w:rPr>
          <w:rFonts w:cs="Times New Roman"/>
          <w:szCs w:val="24"/>
        </w:rPr>
        <w:t>e ativos pelo arbítrio a adesão</w:t>
      </w:r>
      <w:r w:rsidRPr="00A5535A">
        <w:rPr>
          <w:rFonts w:cs="Times New Roman"/>
          <w:szCs w:val="24"/>
        </w:rPr>
        <w:t>. En</w:t>
      </w:r>
      <w:r>
        <w:rPr>
          <w:rFonts w:cs="Times New Roman"/>
          <w:szCs w:val="24"/>
        </w:rPr>
        <w:t>tretanto essa não é a realidade. R</w:t>
      </w:r>
      <w:r w:rsidRPr="00A5535A">
        <w:rPr>
          <w:rFonts w:cs="Times New Roman"/>
          <w:szCs w:val="24"/>
        </w:rPr>
        <w:t xml:space="preserve">egras específicas que </w:t>
      </w:r>
      <w:r>
        <w:rPr>
          <w:rFonts w:cs="Times New Roman"/>
          <w:szCs w:val="24"/>
        </w:rPr>
        <w:t>dirijam</w:t>
      </w:r>
      <w:r w:rsidRPr="00A5535A">
        <w:rPr>
          <w:rFonts w:cs="Times New Roman"/>
          <w:szCs w:val="24"/>
        </w:rPr>
        <w:t xml:space="preserve"> as relações ainda fazem-se necessárias, instituições são necessárias para introduzir graus de previsibilidade aos processos sociais e econômicos e garantir a continuidade da relação</w:t>
      </w:r>
      <w:r>
        <w:rPr>
          <w:rFonts w:cs="Times New Roman"/>
          <w:szCs w:val="24"/>
        </w:rPr>
        <w:t>.</w:t>
      </w:r>
      <w:r w:rsidRPr="00A5535A">
        <w:rPr>
          <w:rFonts w:cs="Times New Roman"/>
          <w:szCs w:val="24"/>
        </w:rPr>
        <w:t xml:space="preserve"> </w:t>
      </w:r>
    </w:p>
    <w:p w14:paraId="10BA83C1" w14:textId="77777777" w:rsidR="002A2CFF" w:rsidRDefault="002A2CFF" w:rsidP="00B17B54">
      <w:pPr>
        <w:tabs>
          <w:tab w:val="left" w:pos="2977"/>
        </w:tabs>
        <w:spacing w:after="0"/>
        <w:ind w:firstLine="709"/>
        <w:jc w:val="both"/>
        <w:rPr>
          <w:rFonts w:cs="Times New Roman"/>
          <w:szCs w:val="24"/>
        </w:rPr>
      </w:pPr>
      <w:r w:rsidRPr="00B13764">
        <w:rPr>
          <w:rFonts w:cs="Times New Roman"/>
          <w:szCs w:val="24"/>
        </w:rPr>
        <w:t>A soma resultante da racionalidade limitada, comportamento</w:t>
      </w:r>
      <w:r>
        <w:rPr>
          <w:rFonts w:cs="Times New Roman"/>
          <w:szCs w:val="24"/>
        </w:rPr>
        <w:t xml:space="preserve"> oportunista, especificidade de </w:t>
      </w:r>
      <w:r w:rsidRPr="00B13764">
        <w:rPr>
          <w:rFonts w:cs="Times New Roman"/>
          <w:szCs w:val="24"/>
        </w:rPr>
        <w:t xml:space="preserve">ativos e incerteza também constituem a justificativa para a busca de instituições, e consequentemente o desenvolvimento de </w:t>
      </w:r>
      <w:r>
        <w:rPr>
          <w:rFonts w:cs="Times New Roman"/>
          <w:szCs w:val="24"/>
        </w:rPr>
        <w:t>uma estrutura de</w:t>
      </w:r>
      <w:r w:rsidRPr="00B13764">
        <w:rPr>
          <w:rFonts w:cs="Times New Roman"/>
          <w:szCs w:val="24"/>
        </w:rPr>
        <w:t xml:space="preserve"> </w:t>
      </w:r>
      <w:r>
        <w:rPr>
          <w:rFonts w:cs="Times New Roman"/>
          <w:szCs w:val="24"/>
        </w:rPr>
        <w:t>governança</w:t>
      </w:r>
      <w:r w:rsidRPr="00B13764">
        <w:rPr>
          <w:rFonts w:cs="Times New Roman"/>
          <w:szCs w:val="24"/>
        </w:rPr>
        <w:t xml:space="preserve"> que </w:t>
      </w:r>
      <w:r>
        <w:rPr>
          <w:rFonts w:cs="Times New Roman"/>
          <w:szCs w:val="24"/>
        </w:rPr>
        <w:t xml:space="preserve">possa </w:t>
      </w:r>
      <w:r w:rsidRPr="00015425">
        <w:rPr>
          <w:rFonts w:cs="Times New Roman"/>
          <w:szCs w:val="24"/>
        </w:rPr>
        <w:t>estabelecer</w:t>
      </w:r>
      <w:r>
        <w:rPr>
          <w:rFonts w:cs="Times New Roman"/>
          <w:szCs w:val="24"/>
        </w:rPr>
        <w:t xml:space="preserve"> um sistema de incentivos </w:t>
      </w:r>
      <w:r w:rsidRPr="00015425">
        <w:rPr>
          <w:rFonts w:cs="Times New Roman"/>
          <w:szCs w:val="24"/>
        </w:rPr>
        <w:t>e</w:t>
      </w:r>
      <w:r w:rsidRPr="00015425">
        <w:rPr>
          <w:rFonts w:cs="Times New Roman"/>
          <w:i/>
          <w:szCs w:val="24"/>
        </w:rPr>
        <w:t xml:space="preserve"> enforcement</w:t>
      </w:r>
      <w:r>
        <w:rPr>
          <w:rFonts w:cs="Times New Roman"/>
          <w:szCs w:val="24"/>
        </w:rPr>
        <w:t xml:space="preserve"> para </w:t>
      </w:r>
      <w:r w:rsidRPr="00015425">
        <w:rPr>
          <w:rFonts w:cs="Times New Roman"/>
          <w:szCs w:val="24"/>
        </w:rPr>
        <w:t>desencorajar oportunism</w:t>
      </w:r>
      <w:r>
        <w:rPr>
          <w:rFonts w:cs="Times New Roman"/>
          <w:szCs w:val="24"/>
        </w:rPr>
        <w:t>o do agente e, ao mesmo tempo,</w:t>
      </w:r>
      <w:r w:rsidRPr="00015425">
        <w:rPr>
          <w:rFonts w:cs="Times New Roman"/>
          <w:szCs w:val="24"/>
        </w:rPr>
        <w:t xml:space="preserve"> encorajar um comportamento pró-interesses do principal</w:t>
      </w:r>
      <w:r>
        <w:rPr>
          <w:rFonts w:cs="Times New Roman"/>
          <w:szCs w:val="24"/>
        </w:rPr>
        <w:t>.</w:t>
      </w:r>
    </w:p>
    <w:p w14:paraId="5E5D4A98" w14:textId="433CF42A" w:rsidR="002A2CFF" w:rsidRDefault="002A2CFF" w:rsidP="00B17B54">
      <w:pPr>
        <w:tabs>
          <w:tab w:val="left" w:pos="2977"/>
        </w:tabs>
        <w:spacing w:after="0"/>
        <w:ind w:firstLine="709"/>
        <w:jc w:val="both"/>
        <w:rPr>
          <w:rFonts w:cs="Times New Roman"/>
          <w:szCs w:val="24"/>
        </w:rPr>
      </w:pPr>
      <w:r>
        <w:rPr>
          <w:rFonts w:cs="Times New Roman"/>
          <w:szCs w:val="24"/>
        </w:rPr>
        <w:t>A elevada complexidade da temática</w:t>
      </w:r>
      <w:r w:rsidR="005269FC">
        <w:rPr>
          <w:rFonts w:cs="Times New Roman"/>
          <w:szCs w:val="24"/>
        </w:rPr>
        <w:t>,</w:t>
      </w:r>
      <w:r>
        <w:rPr>
          <w:rFonts w:cs="Times New Roman"/>
          <w:szCs w:val="24"/>
        </w:rPr>
        <w:t xml:space="preserve"> sem a existência de regras, aumenta o risco do </w:t>
      </w:r>
      <w:r w:rsidR="005269FC">
        <w:rPr>
          <w:rFonts w:cs="Times New Roman"/>
          <w:szCs w:val="24"/>
        </w:rPr>
        <w:t xml:space="preserve">mau </w:t>
      </w:r>
      <w:r>
        <w:rPr>
          <w:rFonts w:cs="Times New Roman"/>
          <w:szCs w:val="24"/>
        </w:rPr>
        <w:t xml:space="preserve">uso dos recursos por parte dos gestores. A </w:t>
      </w:r>
      <w:r w:rsidRPr="002D73D2">
        <w:rPr>
          <w:rFonts w:cs="Times New Roman"/>
          <w:i/>
          <w:szCs w:val="24"/>
        </w:rPr>
        <w:t xml:space="preserve">accountability </w:t>
      </w:r>
      <w:r>
        <w:rPr>
          <w:rFonts w:cs="Times New Roman"/>
          <w:szCs w:val="24"/>
        </w:rPr>
        <w:t xml:space="preserve">reduz o risco e pode ser influenciada pelos contratos e normas sociais </w:t>
      </w:r>
      <w:r w:rsidRPr="00B13764">
        <w:rPr>
          <w:rFonts w:cs="Times New Roman"/>
          <w:szCs w:val="24"/>
        </w:rPr>
        <w:t xml:space="preserve">que </w:t>
      </w:r>
      <w:r>
        <w:rPr>
          <w:rFonts w:cs="Times New Roman"/>
          <w:szCs w:val="24"/>
        </w:rPr>
        <w:t xml:space="preserve">possa </w:t>
      </w:r>
      <w:r w:rsidRPr="00015425">
        <w:rPr>
          <w:rFonts w:cs="Times New Roman"/>
          <w:szCs w:val="24"/>
        </w:rPr>
        <w:t>estabelecer</w:t>
      </w:r>
      <w:r>
        <w:rPr>
          <w:rFonts w:cs="Times New Roman"/>
          <w:szCs w:val="24"/>
        </w:rPr>
        <w:t xml:space="preserve"> um sistema de incentivos </w:t>
      </w:r>
      <w:r w:rsidRPr="00015425">
        <w:rPr>
          <w:rFonts w:cs="Times New Roman"/>
          <w:szCs w:val="24"/>
        </w:rPr>
        <w:t>e</w:t>
      </w:r>
      <w:r w:rsidRPr="00015425">
        <w:rPr>
          <w:rFonts w:cs="Times New Roman"/>
          <w:i/>
          <w:szCs w:val="24"/>
        </w:rPr>
        <w:t xml:space="preserve"> enforcement</w:t>
      </w:r>
      <w:r>
        <w:rPr>
          <w:rFonts w:cs="Times New Roman"/>
          <w:szCs w:val="24"/>
        </w:rPr>
        <w:t xml:space="preserve"> para</w:t>
      </w:r>
      <w:r w:rsidRPr="00015425">
        <w:rPr>
          <w:rFonts w:cs="Times New Roman"/>
          <w:szCs w:val="24"/>
        </w:rPr>
        <w:t xml:space="preserve"> encorajar um comportamento pró-interesses do principal</w:t>
      </w:r>
      <w:r>
        <w:rPr>
          <w:rFonts w:cs="Times New Roman"/>
          <w:szCs w:val="24"/>
        </w:rPr>
        <w:t xml:space="preserve"> (servidores) </w:t>
      </w:r>
      <w:r>
        <w:rPr>
          <w:rFonts w:cs="Times New Roman"/>
          <w:color w:val="231F20"/>
          <w:szCs w:val="24"/>
        </w:rPr>
        <w:t>de modo</w:t>
      </w:r>
      <w:r w:rsidRPr="001D1C18">
        <w:rPr>
          <w:rFonts w:cs="Times New Roman"/>
          <w:color w:val="231F20"/>
          <w:szCs w:val="24"/>
        </w:rPr>
        <w:t xml:space="preserve"> que os agentes, agindo racionalmente em seu próprio interesse, também agiriam </w:t>
      </w:r>
      <w:r>
        <w:rPr>
          <w:rFonts w:cs="Times New Roman"/>
          <w:color w:val="231F20"/>
          <w:szCs w:val="24"/>
        </w:rPr>
        <w:t xml:space="preserve">no sentido do interesse público, </w:t>
      </w:r>
      <w:r>
        <w:rPr>
          <w:rFonts w:cs="Times New Roman"/>
          <w:szCs w:val="24"/>
        </w:rPr>
        <w:t xml:space="preserve">corroborando com o desenvolvimento da </w:t>
      </w:r>
      <w:r w:rsidRPr="00C335E6">
        <w:rPr>
          <w:rFonts w:cs="Times New Roman"/>
          <w:i/>
          <w:szCs w:val="24"/>
        </w:rPr>
        <w:t>accountability</w:t>
      </w:r>
      <w:r>
        <w:rPr>
          <w:rFonts w:cs="Times New Roman"/>
          <w:szCs w:val="24"/>
        </w:rPr>
        <w:t xml:space="preserve"> substantiva.</w:t>
      </w:r>
    </w:p>
    <w:p w14:paraId="3C038DFF" w14:textId="77777777" w:rsidR="00C93102" w:rsidRDefault="00C93102" w:rsidP="00673650">
      <w:pPr>
        <w:tabs>
          <w:tab w:val="left" w:pos="2977"/>
        </w:tabs>
        <w:spacing w:after="0" w:line="360" w:lineRule="auto"/>
        <w:ind w:firstLine="709"/>
        <w:jc w:val="both"/>
        <w:rPr>
          <w:rFonts w:cs="Times New Roman"/>
          <w:szCs w:val="24"/>
        </w:rPr>
      </w:pPr>
    </w:p>
    <w:p w14:paraId="6F6B553D" w14:textId="77777777" w:rsidR="00F2141F" w:rsidRPr="00055C33" w:rsidRDefault="00C93102" w:rsidP="00B17B54">
      <w:pPr>
        <w:pStyle w:val="Ttulo2"/>
        <w:numPr>
          <w:ilvl w:val="0"/>
          <w:numId w:val="3"/>
        </w:numPr>
        <w:spacing w:after="120" w:line="240" w:lineRule="auto"/>
        <w:ind w:left="357" w:hanging="357"/>
        <w:rPr>
          <w:rFonts w:ascii="Times New Roman" w:hAnsi="Times New Roman" w:cs="Times New Roman"/>
        </w:rPr>
      </w:pPr>
      <w:bookmarkStart w:id="11" w:name="_Toc442957896"/>
      <w:r w:rsidRPr="00161BC7">
        <w:rPr>
          <w:rFonts w:ascii="Times New Roman" w:eastAsia="Times New Roman" w:hAnsi="Times New Roman" w:cs="Times New Roman"/>
          <w:szCs w:val="24"/>
        </w:rPr>
        <w:t>PRODECIMENTOS</w:t>
      </w:r>
      <w:r w:rsidRPr="00161BC7">
        <w:rPr>
          <w:rFonts w:ascii="Times New Roman" w:hAnsi="Times New Roman" w:cs="Times New Roman"/>
        </w:rPr>
        <w:t xml:space="preserve"> METODOLÓGICOS</w:t>
      </w:r>
      <w:bookmarkEnd w:id="11"/>
    </w:p>
    <w:p w14:paraId="03B1EAB1" w14:textId="77777777" w:rsidR="00EC537F" w:rsidRDefault="00C93102" w:rsidP="00B17B54">
      <w:pPr>
        <w:pStyle w:val="Ttulo2"/>
        <w:numPr>
          <w:ilvl w:val="1"/>
          <w:numId w:val="3"/>
        </w:numPr>
        <w:spacing w:after="120" w:line="240" w:lineRule="auto"/>
        <w:ind w:left="0" w:firstLine="0"/>
        <w:rPr>
          <w:rFonts w:ascii="Times New Roman" w:hAnsi="Times New Roman" w:cs="Times New Roman"/>
          <w:szCs w:val="24"/>
        </w:rPr>
      </w:pPr>
      <w:bookmarkStart w:id="12" w:name="_Toc442957897"/>
      <w:r>
        <w:rPr>
          <w:rFonts w:ascii="Times New Roman" w:eastAsia="Times New Roman" w:hAnsi="Times New Roman" w:cs="Times New Roman"/>
          <w:szCs w:val="24"/>
        </w:rPr>
        <w:t>Seleção</w:t>
      </w:r>
      <w:r w:rsidR="00EC537F">
        <w:rPr>
          <w:rFonts w:ascii="Times New Roman" w:hAnsi="Times New Roman" w:cs="Times New Roman"/>
          <w:szCs w:val="24"/>
        </w:rPr>
        <w:t xml:space="preserve"> das unidades de análise</w:t>
      </w:r>
      <w:bookmarkEnd w:id="12"/>
    </w:p>
    <w:p w14:paraId="5B854092" w14:textId="77777777" w:rsidR="00EC537F" w:rsidRDefault="00EC537F" w:rsidP="00B17B54">
      <w:pPr>
        <w:spacing w:after="0"/>
        <w:ind w:firstLine="709"/>
        <w:jc w:val="both"/>
        <w:rPr>
          <w:rFonts w:cs="Times New Roman"/>
          <w:szCs w:val="24"/>
        </w:rPr>
      </w:pPr>
      <w:r w:rsidRPr="00DE2554">
        <w:rPr>
          <w:rFonts w:cs="Times New Roman"/>
          <w:szCs w:val="24"/>
        </w:rPr>
        <w:t xml:space="preserve">Para alcance dos objetivos deste trabalho </w:t>
      </w:r>
      <w:r>
        <w:rPr>
          <w:rFonts w:cs="Times New Roman"/>
          <w:szCs w:val="24"/>
        </w:rPr>
        <w:t>foi</w:t>
      </w:r>
      <w:r w:rsidRPr="00DE2554">
        <w:rPr>
          <w:rFonts w:cs="Times New Roman"/>
          <w:szCs w:val="24"/>
        </w:rPr>
        <w:t xml:space="preserve"> utilizado o instrumento avaliação de </w:t>
      </w:r>
      <w:r w:rsidRPr="00C335E6">
        <w:rPr>
          <w:rFonts w:cs="Times New Roman"/>
          <w:i/>
          <w:szCs w:val="24"/>
        </w:rPr>
        <w:t>accountability</w:t>
      </w:r>
      <w:r w:rsidRPr="00DE2554">
        <w:rPr>
          <w:rFonts w:cs="Times New Roman"/>
          <w:szCs w:val="24"/>
        </w:rPr>
        <w:t xml:space="preserve"> propost</w:t>
      </w:r>
      <w:r>
        <w:rPr>
          <w:rFonts w:cs="Times New Roman"/>
          <w:szCs w:val="24"/>
        </w:rPr>
        <w:t>o</w:t>
      </w:r>
      <w:r w:rsidRPr="00DE2554">
        <w:rPr>
          <w:rFonts w:cs="Times New Roman"/>
          <w:szCs w:val="24"/>
        </w:rPr>
        <w:t xml:space="preserve"> por Martins (2015), com intuito de </w:t>
      </w:r>
      <w:r>
        <w:rPr>
          <w:rFonts w:cs="Times New Roman"/>
          <w:szCs w:val="24"/>
        </w:rPr>
        <w:t>traçar o panorama da</w:t>
      </w:r>
      <w:r w:rsidRPr="00DE2554">
        <w:rPr>
          <w:rFonts w:cs="Times New Roman"/>
          <w:szCs w:val="24"/>
        </w:rPr>
        <w:t xml:space="preserve"> </w:t>
      </w:r>
      <w:r w:rsidRPr="00C335E6">
        <w:rPr>
          <w:rFonts w:cs="Times New Roman"/>
          <w:i/>
          <w:szCs w:val="24"/>
        </w:rPr>
        <w:t>accountability</w:t>
      </w:r>
      <w:r w:rsidRPr="00DE2554">
        <w:rPr>
          <w:rFonts w:cs="Times New Roman"/>
          <w:szCs w:val="24"/>
        </w:rPr>
        <w:t xml:space="preserve"> normativa dos RPPS do estado de Minas Gerias (MINAS GERAIS, 2014), contemplando as 21</w:t>
      </w:r>
      <w:r>
        <w:rPr>
          <w:rFonts w:cs="Times New Roman"/>
          <w:szCs w:val="24"/>
        </w:rPr>
        <w:t>2</w:t>
      </w:r>
      <w:r w:rsidRPr="00DE2554">
        <w:rPr>
          <w:rFonts w:cs="Times New Roman"/>
          <w:szCs w:val="24"/>
        </w:rPr>
        <w:t xml:space="preserve"> unidades gestoras que oferecem a proteção previdenciária a seus s</w:t>
      </w:r>
      <w:r>
        <w:rPr>
          <w:rFonts w:cs="Times New Roman"/>
          <w:szCs w:val="24"/>
        </w:rPr>
        <w:t>egurados</w:t>
      </w:r>
      <w:r w:rsidRPr="00DE2554">
        <w:rPr>
          <w:rFonts w:cs="Times New Roman"/>
          <w:szCs w:val="24"/>
        </w:rPr>
        <w:t xml:space="preserve"> através do regime próprio</w:t>
      </w:r>
      <w:r>
        <w:rPr>
          <w:rFonts w:cs="Times New Roman"/>
          <w:szCs w:val="24"/>
        </w:rPr>
        <w:t xml:space="preserve"> (Figura </w:t>
      </w:r>
      <w:r w:rsidR="00C93102">
        <w:rPr>
          <w:rFonts w:cs="Times New Roman"/>
          <w:szCs w:val="24"/>
        </w:rPr>
        <w:t>3</w:t>
      </w:r>
      <w:r>
        <w:rPr>
          <w:rFonts w:cs="Times New Roman"/>
          <w:szCs w:val="24"/>
        </w:rPr>
        <w:t>)</w:t>
      </w:r>
      <w:r w:rsidR="00C93102">
        <w:rPr>
          <w:rFonts w:cs="Times New Roman"/>
          <w:szCs w:val="24"/>
        </w:rPr>
        <w:t>.</w:t>
      </w:r>
    </w:p>
    <w:p w14:paraId="220B0AB1" w14:textId="77777777" w:rsidR="00C93102" w:rsidRDefault="00C93102" w:rsidP="00673650">
      <w:pPr>
        <w:spacing w:after="0" w:line="360" w:lineRule="auto"/>
        <w:ind w:firstLine="709"/>
        <w:jc w:val="both"/>
        <w:rPr>
          <w:rFonts w:cs="Times New Roman"/>
          <w:szCs w:val="24"/>
        </w:rPr>
      </w:pPr>
    </w:p>
    <w:p w14:paraId="1CA5E020" w14:textId="77777777" w:rsidR="00EC537F" w:rsidRDefault="00EC537F" w:rsidP="00B17B54">
      <w:pPr>
        <w:keepNext/>
        <w:spacing w:after="0"/>
        <w:jc w:val="both"/>
      </w:pPr>
      <w:r>
        <w:rPr>
          <w:noProof/>
          <w:lang w:eastAsia="pt-BR"/>
        </w:rPr>
        <w:drawing>
          <wp:inline distT="0" distB="0" distL="0" distR="0" wp14:anchorId="182756FA" wp14:editId="0371EF88">
            <wp:extent cx="5092099" cy="28575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PPS (2).jpg"/>
                    <pic:cNvPicPr/>
                  </pic:nvPicPr>
                  <pic:blipFill>
                    <a:blip r:embed="rId9">
                      <a:extLst>
                        <a:ext uri="{28A0092B-C50C-407E-A947-70E740481C1C}">
                          <a14:useLocalDpi xmlns:a14="http://schemas.microsoft.com/office/drawing/2010/main" val="0"/>
                        </a:ext>
                      </a:extLst>
                    </a:blip>
                    <a:stretch>
                      <a:fillRect/>
                    </a:stretch>
                  </pic:blipFill>
                  <pic:spPr>
                    <a:xfrm>
                      <a:off x="0" y="0"/>
                      <a:ext cx="5155743" cy="2893215"/>
                    </a:xfrm>
                    <a:prstGeom prst="rect">
                      <a:avLst/>
                    </a:prstGeom>
                  </pic:spPr>
                </pic:pic>
              </a:graphicData>
            </a:graphic>
          </wp:inline>
        </w:drawing>
      </w:r>
    </w:p>
    <w:p w14:paraId="2293EB77" w14:textId="77777777" w:rsidR="00EC537F" w:rsidRPr="00B17B54" w:rsidRDefault="00EC537F" w:rsidP="004845A8">
      <w:pPr>
        <w:spacing w:after="0"/>
        <w:rPr>
          <w:rFonts w:cs="Times New Roman"/>
          <w:sz w:val="20"/>
          <w:szCs w:val="20"/>
        </w:rPr>
      </w:pPr>
      <w:bookmarkStart w:id="13" w:name="_Toc442957912"/>
      <w:r w:rsidRPr="00B17B54">
        <w:rPr>
          <w:b/>
          <w:sz w:val="20"/>
          <w:szCs w:val="20"/>
        </w:rPr>
        <w:t xml:space="preserve">Figura </w:t>
      </w:r>
      <w:r w:rsidR="00C93102" w:rsidRPr="00B17B54">
        <w:rPr>
          <w:b/>
          <w:sz w:val="20"/>
          <w:szCs w:val="20"/>
        </w:rPr>
        <w:t>3</w:t>
      </w:r>
      <w:r w:rsidRPr="00B17B54">
        <w:rPr>
          <w:sz w:val="20"/>
          <w:szCs w:val="20"/>
        </w:rPr>
        <w:t xml:space="preserve"> - Municípios com RPPS em Minas Gerais</w:t>
      </w:r>
      <w:bookmarkEnd w:id="13"/>
    </w:p>
    <w:p w14:paraId="1FBD04C8" w14:textId="3BDBFE98" w:rsidR="00EC537F" w:rsidRPr="00B17B54" w:rsidRDefault="00EC537F" w:rsidP="004845A8">
      <w:pPr>
        <w:tabs>
          <w:tab w:val="left" w:pos="2977"/>
        </w:tabs>
        <w:spacing w:after="0"/>
        <w:jc w:val="both"/>
        <w:rPr>
          <w:rFonts w:cs="Times New Roman"/>
          <w:sz w:val="20"/>
          <w:szCs w:val="20"/>
        </w:rPr>
      </w:pPr>
      <w:r w:rsidRPr="00B17B54">
        <w:rPr>
          <w:rFonts w:cs="Times New Roman"/>
          <w:sz w:val="20"/>
          <w:szCs w:val="20"/>
        </w:rPr>
        <w:t>Fonte: Elaborado pelo</w:t>
      </w:r>
      <w:r w:rsidR="000E2B76" w:rsidRPr="00B17B54">
        <w:rPr>
          <w:rFonts w:cs="Times New Roman"/>
          <w:sz w:val="20"/>
          <w:szCs w:val="20"/>
        </w:rPr>
        <w:t>s</w:t>
      </w:r>
      <w:r w:rsidRPr="00B17B54">
        <w:rPr>
          <w:rFonts w:cs="Times New Roman"/>
          <w:sz w:val="20"/>
          <w:szCs w:val="20"/>
        </w:rPr>
        <w:t xml:space="preserve"> autor</w:t>
      </w:r>
      <w:r w:rsidR="000E2B76" w:rsidRPr="00B17B54">
        <w:rPr>
          <w:rFonts w:cs="Times New Roman"/>
          <w:sz w:val="20"/>
          <w:szCs w:val="20"/>
        </w:rPr>
        <w:t>es</w:t>
      </w:r>
      <w:r w:rsidRPr="00B17B54">
        <w:rPr>
          <w:rFonts w:cs="Times New Roman"/>
          <w:sz w:val="20"/>
          <w:szCs w:val="20"/>
        </w:rPr>
        <w:t xml:space="preserve"> </w:t>
      </w:r>
    </w:p>
    <w:p w14:paraId="43FA9891" w14:textId="77777777" w:rsidR="00EC537F" w:rsidRDefault="00EC537F" w:rsidP="00B17B54">
      <w:pPr>
        <w:pStyle w:val="Normal1"/>
        <w:ind w:firstLine="709"/>
        <w:jc w:val="both"/>
      </w:pPr>
      <w:bookmarkStart w:id="14" w:name="_Toc365923007"/>
      <w:r w:rsidRPr="00DC0001">
        <w:t>A seleção das entidades especificas como unidades de análise, foi determinada pelo interesse em comparar como as características de suas estruturas (sua forma, Fundo</w:t>
      </w:r>
      <w:r w:rsidR="00C93102">
        <w:t xml:space="preserve"> ou</w:t>
      </w:r>
      <w:r w:rsidRPr="00DC0001">
        <w:t xml:space="preserve"> Instituto) podem influenciar na promoção, realização, enfim, no exercício da </w:t>
      </w:r>
      <w:r w:rsidRPr="00C335E6">
        <w:rPr>
          <w:i/>
        </w:rPr>
        <w:t>accountability</w:t>
      </w:r>
      <w:r w:rsidRPr="00DC0001">
        <w:t>. Embora estas unidades estejam subordinadas ao mesmo conjunto de macro instituições (RPPS, Leis etc.) elas podem apresentar, por hipótese, estruturas de governança distintas, ou seja, há um certo grau de liberdade dentro dos limites previstos pelas instituições superiores em suas instituições de nível micro e por consequência no exercício de suas atividades.</w:t>
      </w:r>
    </w:p>
    <w:p w14:paraId="7FBBB8CE" w14:textId="77777777" w:rsidR="00EB2AA5" w:rsidRDefault="00EB2AA5" w:rsidP="00673650">
      <w:pPr>
        <w:pStyle w:val="Normal1"/>
        <w:spacing w:line="360" w:lineRule="auto"/>
        <w:ind w:firstLine="709"/>
        <w:jc w:val="both"/>
      </w:pPr>
    </w:p>
    <w:p w14:paraId="5FADB7A3" w14:textId="77777777" w:rsidR="00EC537F" w:rsidRDefault="00EC537F" w:rsidP="00B17B54">
      <w:pPr>
        <w:pStyle w:val="Ttulo2"/>
        <w:numPr>
          <w:ilvl w:val="1"/>
          <w:numId w:val="3"/>
        </w:numPr>
        <w:spacing w:after="120" w:line="240" w:lineRule="auto"/>
        <w:ind w:left="0" w:firstLine="0"/>
        <w:rPr>
          <w:rFonts w:ascii="Times New Roman" w:eastAsia="Times New Roman" w:hAnsi="Times New Roman" w:cs="Times New Roman"/>
          <w:szCs w:val="24"/>
        </w:rPr>
      </w:pPr>
      <w:bookmarkStart w:id="15" w:name="_Toc442957898"/>
      <w:r w:rsidRPr="00DC7E79">
        <w:rPr>
          <w:rFonts w:ascii="Times New Roman" w:eastAsia="Times New Roman" w:hAnsi="Times New Roman" w:cs="Times New Roman"/>
          <w:szCs w:val="24"/>
        </w:rPr>
        <w:t>Coleta</w:t>
      </w:r>
      <w:r w:rsidRPr="00B777B6">
        <w:rPr>
          <w:rFonts w:ascii="Times New Roman" w:eastAsia="Times New Roman" w:hAnsi="Times New Roman" w:cs="Times New Roman"/>
          <w:szCs w:val="24"/>
        </w:rPr>
        <w:t xml:space="preserve"> </w:t>
      </w:r>
      <w:bookmarkEnd w:id="14"/>
      <w:r w:rsidRPr="00B777B6">
        <w:rPr>
          <w:rFonts w:ascii="Times New Roman" w:eastAsia="Times New Roman" w:hAnsi="Times New Roman" w:cs="Times New Roman"/>
          <w:szCs w:val="24"/>
        </w:rPr>
        <w:t xml:space="preserve">e </w:t>
      </w:r>
      <w:bookmarkStart w:id="16" w:name="_Toc365923009"/>
      <w:r w:rsidRPr="00B777B6">
        <w:rPr>
          <w:rFonts w:ascii="Times New Roman" w:eastAsia="Times New Roman" w:hAnsi="Times New Roman" w:cs="Times New Roman"/>
          <w:szCs w:val="24"/>
        </w:rPr>
        <w:t>análise dos Dados</w:t>
      </w:r>
      <w:bookmarkEnd w:id="15"/>
      <w:bookmarkEnd w:id="16"/>
    </w:p>
    <w:p w14:paraId="266ACB59" w14:textId="77777777" w:rsidR="00EC537F" w:rsidRDefault="00EC537F" w:rsidP="00B17B54">
      <w:pPr>
        <w:pStyle w:val="Normal1"/>
        <w:ind w:firstLine="709"/>
        <w:jc w:val="both"/>
      </w:pPr>
      <w:r>
        <w:t>Para alcance do objetivo I e II o</w:t>
      </w:r>
      <w:r w:rsidRPr="00C7792C">
        <w:t>s dados</w:t>
      </w:r>
      <w:r>
        <w:t xml:space="preserve"> dos 212 RPPS foram</w:t>
      </w:r>
      <w:r w:rsidRPr="00C7792C">
        <w:t xml:space="preserve"> coletados por meio da aplicação do </w:t>
      </w:r>
      <w:r>
        <w:t>Inventario Normativo do RPPS adaptado de Martins (2</w:t>
      </w:r>
      <w:r w:rsidR="00C93102">
        <w:t>015</w:t>
      </w:r>
      <w:r>
        <w:t xml:space="preserve">), </w:t>
      </w:r>
      <w:r w:rsidRPr="00C7792C">
        <w:t xml:space="preserve">que consiste na verificação da existência </w:t>
      </w:r>
      <w:r>
        <w:t>de</w:t>
      </w:r>
      <w:r w:rsidRPr="00C7792C">
        <w:t xml:space="preserve"> práticas necessárias </w:t>
      </w:r>
      <w:r>
        <w:t xml:space="preserve">segundo a legislação </w:t>
      </w:r>
      <w:r w:rsidRPr="00C7792C">
        <w:t xml:space="preserve">para a promoção da </w:t>
      </w:r>
      <w:r w:rsidRPr="00C335E6">
        <w:rPr>
          <w:i/>
        </w:rPr>
        <w:t>accountability</w:t>
      </w:r>
      <w:r>
        <w:t xml:space="preserve">, momento este, em que foi verificado a partir da análise de documentos e de meio de circulação de informação das entidades, a presença ou ausência de práticas e </w:t>
      </w:r>
      <w:r w:rsidRPr="00400797">
        <w:t>aparat</w:t>
      </w:r>
      <w:r>
        <w:t>os</w:t>
      </w:r>
      <w:r w:rsidRPr="00400797">
        <w:t xml:space="preserve"> utilizado</w:t>
      </w:r>
      <w:r>
        <w:t>s</w:t>
      </w:r>
      <w:r w:rsidRPr="00400797">
        <w:t xml:space="preserve"> para promover a </w:t>
      </w:r>
      <w:r w:rsidRPr="00C335E6">
        <w:rPr>
          <w:i/>
          <w:iCs/>
        </w:rPr>
        <w:t>accountability</w:t>
      </w:r>
      <w:r>
        <w:t xml:space="preserve">. </w:t>
      </w:r>
    </w:p>
    <w:p w14:paraId="6A07D4B8" w14:textId="46F7E757" w:rsidR="00EC537F" w:rsidRPr="00B81A1E" w:rsidRDefault="00EC537F" w:rsidP="00B17B54">
      <w:pPr>
        <w:pStyle w:val="Normal1"/>
        <w:ind w:firstLine="709"/>
        <w:jc w:val="both"/>
        <w:rPr>
          <w:iCs/>
        </w:rPr>
      </w:pPr>
      <w:r>
        <w:t>O inventario proposto por Martins (2015) em sua integra é composto por 174 itens, divididos em estrutura mínima (14), informação transparente</w:t>
      </w:r>
      <w:r w:rsidR="000E2B76">
        <w:t xml:space="preserve"> </w:t>
      </w:r>
      <w:r>
        <w:t>(47), participação</w:t>
      </w:r>
      <w:r w:rsidR="000E2B76">
        <w:t xml:space="preserve"> </w:t>
      </w:r>
      <w:r>
        <w:t>(4), mecanismo de controle</w:t>
      </w:r>
      <w:r w:rsidR="000E2B76">
        <w:t xml:space="preserve"> </w:t>
      </w:r>
      <w:r>
        <w:t>(99) e sanções</w:t>
      </w:r>
      <w:r w:rsidR="000E2B76">
        <w:t xml:space="preserve"> </w:t>
      </w:r>
      <w:r>
        <w:t>(10). Por sua vez, o inventario utilizado (adaptado) foi composto de 128 itens com a seguinte distribuição: estrutura mínima</w:t>
      </w:r>
      <w:r w:rsidR="000E2B76">
        <w:t xml:space="preserve"> </w:t>
      </w:r>
      <w:r>
        <w:t>(14), informação transparente</w:t>
      </w:r>
      <w:r w:rsidR="000E2B76">
        <w:t xml:space="preserve"> </w:t>
      </w:r>
      <w:r>
        <w:t>(38), participação</w:t>
      </w:r>
      <w:r w:rsidR="000E2B76">
        <w:t xml:space="preserve"> </w:t>
      </w:r>
      <w:r>
        <w:t>(3), mecanismo de controle</w:t>
      </w:r>
      <w:r w:rsidR="000E2B76">
        <w:t xml:space="preserve"> </w:t>
      </w:r>
      <w:r>
        <w:t>(66) e sanções</w:t>
      </w:r>
      <w:r w:rsidR="000E2B76">
        <w:t xml:space="preserve"> </w:t>
      </w:r>
      <w:r>
        <w:t>(7). O uso do Inventario adaptado é justificado devido a impossibilidade de avaliar alguns dos itens para todos os RPPS de posse de somente fontes secundarias de informações.</w:t>
      </w:r>
    </w:p>
    <w:p w14:paraId="49788A4F" w14:textId="77777777" w:rsidR="00EC537F" w:rsidRDefault="00EC537F" w:rsidP="00B17B54">
      <w:pPr>
        <w:pStyle w:val="Normal1"/>
        <w:ind w:firstLine="709"/>
        <w:jc w:val="both"/>
        <w:rPr>
          <w:iCs/>
        </w:rPr>
      </w:pPr>
      <w:r w:rsidRPr="007E4277">
        <w:rPr>
          <w:iCs/>
        </w:rPr>
        <w:t>Para</w:t>
      </w:r>
      <w:r>
        <w:rPr>
          <w:iCs/>
        </w:rPr>
        <w:t xml:space="preserve"> construção do Índice de </w:t>
      </w:r>
      <w:r w:rsidRPr="00B06A71">
        <w:rPr>
          <w:i/>
          <w:iCs/>
        </w:rPr>
        <w:t>accountability</w:t>
      </w:r>
      <w:r>
        <w:rPr>
          <w:iCs/>
        </w:rPr>
        <w:t xml:space="preserve"> e consequentemente</w:t>
      </w:r>
      <w:r w:rsidRPr="007E4277">
        <w:rPr>
          <w:iCs/>
        </w:rPr>
        <w:t xml:space="preserve"> traçar o panorama da </w:t>
      </w:r>
      <w:r w:rsidRPr="00B06A71">
        <w:rPr>
          <w:i/>
          <w:iCs/>
        </w:rPr>
        <w:t>accountability</w:t>
      </w:r>
      <w:r w:rsidRPr="007E4277">
        <w:rPr>
          <w:iCs/>
        </w:rPr>
        <w:t xml:space="preserve"> nos RPPS de Minas Gerais </w:t>
      </w:r>
      <w:r>
        <w:rPr>
          <w:iCs/>
        </w:rPr>
        <w:t>foi realizado o exame</w:t>
      </w:r>
      <w:r w:rsidRPr="007E4277">
        <w:rPr>
          <w:iCs/>
        </w:rPr>
        <w:t xml:space="preserve"> do certificado de regularidade previdenciária</w:t>
      </w:r>
      <w:r>
        <w:rPr>
          <w:iCs/>
        </w:rPr>
        <w:t>,</w:t>
      </w:r>
      <w:r w:rsidRPr="007E4277">
        <w:rPr>
          <w:iCs/>
        </w:rPr>
        <w:t xml:space="preserve"> bem como de demonstrativos contábeis, atuariais e financeiros. Foram feitas também buscas no conselho nacional de justiça,</w:t>
      </w:r>
      <w:r>
        <w:rPr>
          <w:iCs/>
        </w:rPr>
        <w:t xml:space="preserve"> </w:t>
      </w:r>
      <w:r w:rsidRPr="007E4277">
        <w:rPr>
          <w:iCs/>
        </w:rPr>
        <w:t>no tribunal de contas da união</w:t>
      </w:r>
      <w:r>
        <w:rPr>
          <w:iCs/>
        </w:rPr>
        <w:t>, tribunais regionais</w:t>
      </w:r>
      <w:r w:rsidRPr="007E4277">
        <w:rPr>
          <w:iCs/>
        </w:rPr>
        <w:t xml:space="preserve"> e no site da previdência social para saber da situação jurídica das unidades gestoras assim como de sua situação com o sistema de seguridade social. </w:t>
      </w:r>
    </w:p>
    <w:p w14:paraId="305ECF05" w14:textId="146FB6F8" w:rsidR="00EC537F" w:rsidRPr="007E4277" w:rsidRDefault="00EC537F" w:rsidP="00B17B54">
      <w:pPr>
        <w:pStyle w:val="Normal1"/>
        <w:ind w:firstLine="709"/>
        <w:jc w:val="both"/>
        <w:rPr>
          <w:iCs/>
        </w:rPr>
      </w:pPr>
      <w:r>
        <w:rPr>
          <w:iCs/>
        </w:rPr>
        <w:t xml:space="preserve">Na construção do índice de </w:t>
      </w:r>
      <w:r w:rsidRPr="00B06A71">
        <w:rPr>
          <w:i/>
          <w:iCs/>
        </w:rPr>
        <w:t>accountability</w:t>
      </w:r>
      <w:r>
        <w:rPr>
          <w:iCs/>
        </w:rPr>
        <w:t xml:space="preserve"> foi verificad</w:t>
      </w:r>
      <w:r w:rsidR="005269FC">
        <w:rPr>
          <w:iCs/>
        </w:rPr>
        <w:t>o</w:t>
      </w:r>
      <w:r>
        <w:rPr>
          <w:iCs/>
        </w:rPr>
        <w:t xml:space="preserve"> o percentual de itens atendidos pelos RPPS do total possível (critérios não exibíveis a determinados RPPS não </w:t>
      </w:r>
      <w:r>
        <w:rPr>
          <w:iCs/>
        </w:rPr>
        <w:lastRenderedPageBreak/>
        <w:t>foram considerados no cálculo desse percentual) para cada um dos constructos. Para o cálculo do índice geral foi verificado a quantidade total de itens atendidos em relação ao total de itens exigíveis ao RPPS, optou-se por não atribuir pesos diferentes para nenhuma das dimensões como também não foi atribuído graus diferenciados de importância para cada item analisado nas dimensões.</w:t>
      </w:r>
    </w:p>
    <w:p w14:paraId="4038AFE2" w14:textId="77777777" w:rsidR="00EC537F" w:rsidRPr="007E4277" w:rsidRDefault="00EC537F" w:rsidP="00B17B54">
      <w:pPr>
        <w:pStyle w:val="Normal1"/>
        <w:ind w:firstLine="709"/>
        <w:jc w:val="both"/>
        <w:rPr>
          <w:iCs/>
        </w:rPr>
      </w:pPr>
      <w:r w:rsidRPr="007E4277">
        <w:rPr>
          <w:iCs/>
        </w:rPr>
        <w:t>As informações adquiridas foram usadas para responder o inventario normativo que é dividido em 5 grandes campos, Estrutura mínima, Informação Transparente, Participação e Interação, Mecanismos de Controle e Sanção.</w:t>
      </w:r>
    </w:p>
    <w:p w14:paraId="59C04C5D" w14:textId="77777777" w:rsidR="00EC537F" w:rsidRDefault="00EC537F" w:rsidP="00B17B54">
      <w:pPr>
        <w:pStyle w:val="Normal1"/>
        <w:ind w:firstLine="709"/>
        <w:jc w:val="both"/>
        <w:rPr>
          <w:iCs/>
        </w:rPr>
      </w:pPr>
      <w:r w:rsidRPr="007E4277">
        <w:rPr>
          <w:iCs/>
        </w:rPr>
        <w:t xml:space="preserve">Como é de se esperar, no que se diz a Estrutura mínima, é o mínimo que uma unidade gestora precisa para atender as normas da </w:t>
      </w:r>
      <w:r w:rsidRPr="007E4277">
        <w:rPr>
          <w:i/>
          <w:iCs/>
        </w:rPr>
        <w:t>accountability</w:t>
      </w:r>
      <w:r w:rsidRPr="007E4277">
        <w:rPr>
          <w:iCs/>
        </w:rPr>
        <w:t xml:space="preserve"> logo qualquer aspecto irregular no campo analisado compromete o cumprimento das normas dos outros campos assim como compromete o nível de accountability do RPPS. </w:t>
      </w:r>
    </w:p>
    <w:p w14:paraId="413E6EC4" w14:textId="77777777" w:rsidR="00EC537F" w:rsidRDefault="00EC537F" w:rsidP="00B17B54">
      <w:pPr>
        <w:pStyle w:val="Normal1"/>
        <w:ind w:firstLine="709"/>
        <w:jc w:val="both"/>
        <w:rPr>
          <w:iCs/>
        </w:rPr>
      </w:pPr>
      <w:r w:rsidRPr="007E4277">
        <w:rPr>
          <w:iCs/>
        </w:rPr>
        <w:t>No que se diz a info</w:t>
      </w:r>
      <w:r w:rsidR="008A5D35">
        <w:rPr>
          <w:iCs/>
        </w:rPr>
        <w:t xml:space="preserve">rmação transparente, significa </w:t>
      </w:r>
      <w:r w:rsidRPr="007E4277">
        <w:rPr>
          <w:iCs/>
        </w:rPr>
        <w:t xml:space="preserve">divulgar informações justificando as decisões e prestando conta dos atos de forma tempestiva, confiável e inteligível. </w:t>
      </w:r>
    </w:p>
    <w:p w14:paraId="132C2D06" w14:textId="77777777" w:rsidR="00EC537F" w:rsidRDefault="00EC537F" w:rsidP="00B17B54">
      <w:pPr>
        <w:pStyle w:val="Normal1"/>
        <w:ind w:firstLine="709"/>
        <w:jc w:val="both"/>
        <w:rPr>
          <w:iCs/>
        </w:rPr>
      </w:pPr>
      <w:r w:rsidRPr="007E4277">
        <w:rPr>
          <w:iCs/>
        </w:rPr>
        <w:t xml:space="preserve">Participação e interação refere-se às possibilidades de envolver os segurados na implementação e execução das políticas públicas de forma que seja permitido o exercício do controle social na verificação de condutas responsáveis do agente público. </w:t>
      </w:r>
    </w:p>
    <w:p w14:paraId="20C7EE29" w14:textId="77777777" w:rsidR="00EC537F" w:rsidRPr="007E4277" w:rsidRDefault="00EC537F" w:rsidP="00B17B54">
      <w:pPr>
        <w:pStyle w:val="Normal1"/>
        <w:ind w:firstLine="709"/>
        <w:jc w:val="both"/>
        <w:rPr>
          <w:iCs/>
        </w:rPr>
      </w:pPr>
      <w:r w:rsidRPr="007E4277">
        <w:rPr>
          <w:iCs/>
        </w:rPr>
        <w:t>Mecanismos de Controle são mecanismos institucionalizados que permitem a fiscalização do exercício da função pública no âmbito da própria entidade/órgão (interno) ou externamente como um poder-dever dos agentes responsáveis pe</w:t>
      </w:r>
      <w:r w:rsidR="00F2141F">
        <w:rPr>
          <w:iCs/>
        </w:rPr>
        <w:t xml:space="preserve">la realização desses controles. </w:t>
      </w:r>
      <w:r>
        <w:rPr>
          <w:iCs/>
        </w:rPr>
        <w:t xml:space="preserve">E por fim, </w:t>
      </w:r>
      <w:r w:rsidRPr="007E4277">
        <w:rPr>
          <w:iCs/>
        </w:rPr>
        <w:t xml:space="preserve">Sanção </w:t>
      </w:r>
      <w:r>
        <w:rPr>
          <w:iCs/>
        </w:rPr>
        <w:t>diz respeito a</w:t>
      </w:r>
      <w:r w:rsidRPr="007E4277">
        <w:rPr>
          <w:iCs/>
        </w:rPr>
        <w:t>o campo concernente as consequências jurídicas das condutas praticadas no exercício da função pública que visam garantir a atuação da Admi</w:t>
      </w:r>
      <w:r>
        <w:rPr>
          <w:iCs/>
        </w:rPr>
        <w:t>nistração Pública segundo a lei</w:t>
      </w:r>
      <w:r w:rsidRPr="007E4277">
        <w:rPr>
          <w:iCs/>
        </w:rPr>
        <w:t>.</w:t>
      </w:r>
    </w:p>
    <w:p w14:paraId="31087077" w14:textId="77777777" w:rsidR="00EC537F" w:rsidRDefault="00EC537F" w:rsidP="00B17B54">
      <w:pPr>
        <w:pStyle w:val="Normal1"/>
        <w:ind w:firstLine="709"/>
        <w:jc w:val="both"/>
      </w:pPr>
      <w:r>
        <w:t xml:space="preserve">Na descrição dos dados, foram utilizados recursos proporcionados da análise exploratória de dados (AED) </w:t>
      </w:r>
      <w:r w:rsidR="00C93102">
        <w:t>e q</w:t>
      </w:r>
      <w:r>
        <w:t>uanto ao método de análise para atendimento ao objetivo especifico II, optou-se pela utilização do Modelo de Regressão Múltipla (MRM), que, segundo Pestana e Gageiro (2008, p. 588)</w:t>
      </w:r>
      <w:r w:rsidRPr="008A5D35">
        <w:rPr>
          <w:i/>
        </w:rPr>
        <w:t xml:space="preserve"> “é uma técnica estatística, descritiva e inferencial, que permite a análise da relação entre uma variável dependente (Y) e um conjunto de variáveis independentes (X’s)”. </w:t>
      </w:r>
    </w:p>
    <w:p w14:paraId="2BCF4958" w14:textId="77777777" w:rsidR="00055C33" w:rsidRDefault="00EC537F" w:rsidP="00B17B54">
      <w:pPr>
        <w:pStyle w:val="Normal1"/>
        <w:ind w:firstLine="709"/>
        <w:jc w:val="both"/>
      </w:pPr>
      <w:r w:rsidRPr="00904337">
        <w:t xml:space="preserve">Assim, para operacionalização do MRM neste trabalho, foi utilizado como variável dependente o Índice de </w:t>
      </w:r>
      <w:r w:rsidRPr="00C335E6">
        <w:rPr>
          <w:i/>
        </w:rPr>
        <w:t>accountability</w:t>
      </w:r>
      <w:r w:rsidRPr="00904337">
        <w:t xml:space="preserve"> normativa dos RPPS de Minas Gerais e como explicativas as variáveis socioeconômicas e políticos-institucionais, no intuito de verificar como essas variáveis podem explicar o nível de </w:t>
      </w:r>
      <w:r w:rsidRPr="00C335E6">
        <w:rPr>
          <w:i/>
        </w:rPr>
        <w:t>accountability</w:t>
      </w:r>
      <w:r w:rsidRPr="00904337">
        <w:t xml:space="preserve"> das unidades gestoras de Minas Gerais.</w:t>
      </w:r>
      <w:r>
        <w:t xml:space="preserve"> </w:t>
      </w:r>
      <w:r w:rsidRPr="00472235">
        <w:t>A relação das variáveis utilizadas para essa análise é evidenciada pelo</w:t>
      </w:r>
      <w:r>
        <w:t xml:space="preserve"> Quadro </w:t>
      </w:r>
      <w:r w:rsidR="00C93102">
        <w:t>1</w:t>
      </w:r>
      <w:r>
        <w:t>.</w:t>
      </w:r>
    </w:p>
    <w:p w14:paraId="2E62D140" w14:textId="77777777" w:rsidR="00594C4A" w:rsidRDefault="00594C4A" w:rsidP="00B17B54">
      <w:pPr>
        <w:pStyle w:val="Normal1"/>
        <w:ind w:firstLine="709"/>
        <w:jc w:val="both"/>
      </w:pPr>
    </w:p>
    <w:p w14:paraId="1DE176F2" w14:textId="77777777" w:rsidR="00594C4A" w:rsidRPr="00594C4A" w:rsidRDefault="00594C4A" w:rsidP="00594C4A">
      <w:pPr>
        <w:spacing w:after="0"/>
        <w:rPr>
          <w:sz w:val="20"/>
          <w:szCs w:val="20"/>
        </w:rPr>
      </w:pPr>
      <w:bookmarkStart w:id="17" w:name="_Toc442957926"/>
      <w:r w:rsidRPr="00594C4A">
        <w:rPr>
          <w:b/>
          <w:sz w:val="20"/>
          <w:szCs w:val="20"/>
        </w:rPr>
        <w:t>Quadro 1</w:t>
      </w:r>
      <w:r w:rsidRPr="00594C4A">
        <w:rPr>
          <w:sz w:val="20"/>
          <w:szCs w:val="20"/>
        </w:rPr>
        <w:t xml:space="preserve"> - Variáveis utilizadas no MRM</w:t>
      </w:r>
      <w:bookmarkEnd w:id="17"/>
    </w:p>
    <w:tbl>
      <w:tblPr>
        <w:tblStyle w:val="Tabelacomgrade"/>
        <w:tblW w:w="4942" w:type="pct"/>
        <w:tblInd w:w="108" w:type="dxa"/>
        <w:tblLook w:val="04A0" w:firstRow="1" w:lastRow="0" w:firstColumn="1" w:lastColumn="0" w:noHBand="0" w:noVBand="1"/>
      </w:tblPr>
      <w:tblGrid>
        <w:gridCol w:w="2388"/>
        <w:gridCol w:w="1687"/>
        <w:gridCol w:w="5104"/>
      </w:tblGrid>
      <w:tr w:rsidR="00EC537F" w14:paraId="6CED3162" w14:textId="77777777" w:rsidTr="00594C4A">
        <w:tc>
          <w:tcPr>
            <w:tcW w:w="1301" w:type="pct"/>
          </w:tcPr>
          <w:p w14:paraId="4A3D6CB7" w14:textId="77777777" w:rsidR="00EC537F" w:rsidRPr="00D03416" w:rsidRDefault="00EC537F" w:rsidP="00055C33">
            <w:pPr>
              <w:pStyle w:val="Normal1"/>
              <w:jc w:val="center"/>
              <w:rPr>
                <w:b/>
                <w:sz w:val="22"/>
                <w:szCs w:val="22"/>
              </w:rPr>
            </w:pPr>
            <w:r w:rsidRPr="00D03416">
              <w:rPr>
                <w:b/>
                <w:sz w:val="22"/>
                <w:szCs w:val="22"/>
              </w:rPr>
              <w:t>Tipo de Variável</w:t>
            </w:r>
          </w:p>
        </w:tc>
        <w:tc>
          <w:tcPr>
            <w:tcW w:w="919" w:type="pct"/>
          </w:tcPr>
          <w:p w14:paraId="318087B7" w14:textId="77777777" w:rsidR="00EC537F" w:rsidRPr="00D03416" w:rsidRDefault="00EC537F" w:rsidP="00055C33">
            <w:pPr>
              <w:pStyle w:val="Normal1"/>
              <w:jc w:val="center"/>
              <w:rPr>
                <w:b/>
                <w:sz w:val="22"/>
                <w:szCs w:val="22"/>
              </w:rPr>
            </w:pPr>
            <w:r w:rsidRPr="00D03416">
              <w:rPr>
                <w:b/>
                <w:bCs/>
                <w:sz w:val="22"/>
                <w:szCs w:val="22"/>
              </w:rPr>
              <w:t>Código</w:t>
            </w:r>
          </w:p>
        </w:tc>
        <w:tc>
          <w:tcPr>
            <w:tcW w:w="2779" w:type="pct"/>
          </w:tcPr>
          <w:p w14:paraId="2AE34C27" w14:textId="77777777" w:rsidR="00EC537F" w:rsidRPr="00D03416" w:rsidRDefault="00EC537F" w:rsidP="00055C33">
            <w:pPr>
              <w:pStyle w:val="Normal1"/>
              <w:jc w:val="center"/>
              <w:rPr>
                <w:b/>
                <w:sz w:val="22"/>
                <w:szCs w:val="22"/>
              </w:rPr>
            </w:pPr>
            <w:r w:rsidRPr="00D03416">
              <w:rPr>
                <w:b/>
                <w:bCs/>
                <w:sz w:val="22"/>
                <w:szCs w:val="22"/>
              </w:rPr>
              <w:t>Indicador</w:t>
            </w:r>
          </w:p>
        </w:tc>
      </w:tr>
      <w:tr w:rsidR="00EC537F" w14:paraId="15B26D61" w14:textId="77777777" w:rsidTr="00594C4A">
        <w:tc>
          <w:tcPr>
            <w:tcW w:w="1301" w:type="pct"/>
            <w:vAlign w:val="center"/>
          </w:tcPr>
          <w:p w14:paraId="628C65CD" w14:textId="77777777" w:rsidR="00EC537F" w:rsidRPr="00D31DFC" w:rsidRDefault="00EC537F" w:rsidP="00055C33">
            <w:pPr>
              <w:pStyle w:val="Normal1"/>
              <w:jc w:val="center"/>
              <w:rPr>
                <w:sz w:val="22"/>
                <w:szCs w:val="22"/>
              </w:rPr>
            </w:pPr>
            <w:r w:rsidRPr="00D31DFC">
              <w:rPr>
                <w:sz w:val="22"/>
                <w:szCs w:val="22"/>
              </w:rPr>
              <w:t>Dependente</w:t>
            </w:r>
          </w:p>
        </w:tc>
        <w:tc>
          <w:tcPr>
            <w:tcW w:w="919" w:type="pct"/>
            <w:vAlign w:val="center"/>
          </w:tcPr>
          <w:p w14:paraId="3F2A4436" w14:textId="77777777" w:rsidR="00EC537F" w:rsidRPr="00D31DFC" w:rsidRDefault="00EC537F" w:rsidP="00055C33">
            <w:pPr>
              <w:pStyle w:val="Normal1"/>
              <w:jc w:val="center"/>
              <w:rPr>
                <w:sz w:val="22"/>
                <w:szCs w:val="22"/>
              </w:rPr>
            </w:pPr>
            <w:r w:rsidRPr="00D31DFC">
              <w:rPr>
                <w:sz w:val="22"/>
                <w:szCs w:val="22"/>
              </w:rPr>
              <w:t>IACN</w:t>
            </w:r>
          </w:p>
        </w:tc>
        <w:tc>
          <w:tcPr>
            <w:tcW w:w="2779" w:type="pct"/>
            <w:vAlign w:val="center"/>
          </w:tcPr>
          <w:p w14:paraId="5387A42E" w14:textId="77777777" w:rsidR="00EC537F" w:rsidRPr="00D31DFC" w:rsidRDefault="00EC537F" w:rsidP="00055C33">
            <w:pPr>
              <w:pStyle w:val="Normal1"/>
              <w:rPr>
                <w:sz w:val="22"/>
                <w:szCs w:val="22"/>
              </w:rPr>
            </w:pPr>
            <w:r w:rsidRPr="00D31DFC">
              <w:rPr>
                <w:sz w:val="22"/>
                <w:szCs w:val="22"/>
              </w:rPr>
              <w:t xml:space="preserve">Índice de </w:t>
            </w:r>
            <w:r w:rsidRPr="00C335E6">
              <w:rPr>
                <w:i/>
                <w:sz w:val="22"/>
                <w:szCs w:val="22"/>
              </w:rPr>
              <w:t>accountability</w:t>
            </w:r>
            <w:r w:rsidRPr="00D31DFC">
              <w:rPr>
                <w:sz w:val="22"/>
                <w:szCs w:val="22"/>
              </w:rPr>
              <w:t xml:space="preserve"> normativa dos RPPS</w:t>
            </w:r>
          </w:p>
        </w:tc>
      </w:tr>
      <w:tr w:rsidR="00EC537F" w14:paraId="2B307CC9" w14:textId="77777777" w:rsidTr="00594C4A">
        <w:tc>
          <w:tcPr>
            <w:tcW w:w="1301" w:type="pct"/>
            <w:vMerge w:val="restart"/>
            <w:vAlign w:val="center"/>
          </w:tcPr>
          <w:p w14:paraId="791ACE98" w14:textId="77777777" w:rsidR="00EC537F" w:rsidRPr="00D31DFC" w:rsidRDefault="00EC537F" w:rsidP="00055C33">
            <w:pPr>
              <w:pStyle w:val="Normal1"/>
              <w:jc w:val="center"/>
              <w:rPr>
                <w:sz w:val="22"/>
                <w:szCs w:val="22"/>
              </w:rPr>
            </w:pPr>
            <w:r w:rsidRPr="00D31DFC">
              <w:rPr>
                <w:sz w:val="22"/>
                <w:szCs w:val="22"/>
              </w:rPr>
              <w:t>Explicativas</w:t>
            </w:r>
          </w:p>
        </w:tc>
        <w:tc>
          <w:tcPr>
            <w:tcW w:w="919" w:type="pct"/>
            <w:vAlign w:val="center"/>
          </w:tcPr>
          <w:p w14:paraId="14748B71" w14:textId="77777777" w:rsidR="00EC537F" w:rsidRPr="00D31DFC" w:rsidRDefault="00EC537F" w:rsidP="00055C33">
            <w:pPr>
              <w:pStyle w:val="Normal1"/>
              <w:jc w:val="center"/>
              <w:rPr>
                <w:sz w:val="22"/>
                <w:szCs w:val="22"/>
              </w:rPr>
            </w:pPr>
            <w:r>
              <w:rPr>
                <w:sz w:val="22"/>
                <w:szCs w:val="22"/>
              </w:rPr>
              <w:t xml:space="preserve">IFDM </w:t>
            </w:r>
          </w:p>
        </w:tc>
        <w:tc>
          <w:tcPr>
            <w:tcW w:w="2779" w:type="pct"/>
            <w:vAlign w:val="center"/>
          </w:tcPr>
          <w:p w14:paraId="56162905" w14:textId="77777777" w:rsidR="00EC537F" w:rsidRPr="00D31DFC" w:rsidRDefault="00EC537F" w:rsidP="00055C33">
            <w:pPr>
              <w:pStyle w:val="Normal1"/>
              <w:rPr>
                <w:sz w:val="22"/>
                <w:szCs w:val="22"/>
              </w:rPr>
            </w:pPr>
            <w:r>
              <w:rPr>
                <w:sz w:val="22"/>
                <w:szCs w:val="22"/>
              </w:rPr>
              <w:t>Índice FIRJAN de Desenvolvimento Municipal</w:t>
            </w:r>
          </w:p>
        </w:tc>
      </w:tr>
      <w:tr w:rsidR="00EC537F" w14:paraId="292C45A2" w14:textId="77777777" w:rsidTr="00594C4A">
        <w:tc>
          <w:tcPr>
            <w:tcW w:w="1301" w:type="pct"/>
            <w:vMerge/>
            <w:vAlign w:val="center"/>
          </w:tcPr>
          <w:p w14:paraId="7E2FE7EF" w14:textId="77777777" w:rsidR="00EC537F" w:rsidRPr="00D31DFC" w:rsidRDefault="00EC537F" w:rsidP="00055C33">
            <w:pPr>
              <w:pStyle w:val="Normal1"/>
              <w:jc w:val="center"/>
              <w:rPr>
                <w:sz w:val="22"/>
                <w:szCs w:val="22"/>
              </w:rPr>
            </w:pPr>
          </w:p>
        </w:tc>
        <w:tc>
          <w:tcPr>
            <w:tcW w:w="919" w:type="pct"/>
            <w:vAlign w:val="center"/>
          </w:tcPr>
          <w:p w14:paraId="0EE1AF84" w14:textId="77777777" w:rsidR="00EC537F" w:rsidRPr="00D31DFC" w:rsidRDefault="00EC537F" w:rsidP="00055C33">
            <w:pPr>
              <w:pStyle w:val="Normal1"/>
              <w:jc w:val="center"/>
              <w:rPr>
                <w:sz w:val="22"/>
                <w:szCs w:val="22"/>
              </w:rPr>
            </w:pPr>
            <w:r>
              <w:rPr>
                <w:sz w:val="22"/>
                <w:szCs w:val="22"/>
              </w:rPr>
              <w:t>LnREC</w:t>
            </w:r>
          </w:p>
        </w:tc>
        <w:tc>
          <w:tcPr>
            <w:tcW w:w="2779" w:type="pct"/>
            <w:vAlign w:val="center"/>
          </w:tcPr>
          <w:p w14:paraId="03171FD1" w14:textId="77777777" w:rsidR="00EC537F" w:rsidRPr="00D31DFC" w:rsidRDefault="00EC537F" w:rsidP="00055C33">
            <w:pPr>
              <w:pStyle w:val="Normal1"/>
              <w:rPr>
                <w:sz w:val="22"/>
                <w:szCs w:val="22"/>
              </w:rPr>
            </w:pPr>
            <w:r>
              <w:rPr>
                <w:sz w:val="22"/>
                <w:szCs w:val="22"/>
              </w:rPr>
              <w:t>Logaritmo da Quantidade de recursos em posse do RPPS</w:t>
            </w:r>
          </w:p>
        </w:tc>
      </w:tr>
      <w:tr w:rsidR="00EC537F" w14:paraId="402EB7B8" w14:textId="77777777" w:rsidTr="00594C4A">
        <w:tc>
          <w:tcPr>
            <w:tcW w:w="1301" w:type="pct"/>
            <w:vMerge/>
            <w:vAlign w:val="center"/>
          </w:tcPr>
          <w:p w14:paraId="22780DE1" w14:textId="77777777" w:rsidR="00EC537F" w:rsidRPr="00D31DFC" w:rsidRDefault="00EC537F" w:rsidP="00055C33">
            <w:pPr>
              <w:pStyle w:val="Normal1"/>
              <w:jc w:val="center"/>
              <w:rPr>
                <w:sz w:val="22"/>
                <w:szCs w:val="22"/>
              </w:rPr>
            </w:pPr>
          </w:p>
        </w:tc>
        <w:tc>
          <w:tcPr>
            <w:tcW w:w="919" w:type="pct"/>
            <w:vAlign w:val="center"/>
          </w:tcPr>
          <w:p w14:paraId="72B939CA" w14:textId="77777777" w:rsidR="00EC537F" w:rsidRPr="00D31DFC" w:rsidRDefault="00EC537F" w:rsidP="00055C33">
            <w:pPr>
              <w:pStyle w:val="Normal1"/>
              <w:jc w:val="center"/>
              <w:rPr>
                <w:sz w:val="22"/>
                <w:szCs w:val="22"/>
              </w:rPr>
            </w:pPr>
            <w:r>
              <w:rPr>
                <w:sz w:val="22"/>
                <w:szCs w:val="22"/>
              </w:rPr>
              <w:t>ESTRU</w:t>
            </w:r>
          </w:p>
        </w:tc>
        <w:tc>
          <w:tcPr>
            <w:tcW w:w="2779" w:type="pct"/>
            <w:vAlign w:val="center"/>
          </w:tcPr>
          <w:p w14:paraId="46EAFE68" w14:textId="77777777" w:rsidR="00EC537F" w:rsidRDefault="00EC537F" w:rsidP="00055C33">
            <w:pPr>
              <w:pStyle w:val="Normal1"/>
              <w:rPr>
                <w:sz w:val="22"/>
                <w:szCs w:val="22"/>
              </w:rPr>
            </w:pPr>
            <w:r>
              <w:rPr>
                <w:sz w:val="22"/>
                <w:szCs w:val="22"/>
              </w:rPr>
              <w:t>Estrutura institucional mínima do RPPS</w:t>
            </w:r>
          </w:p>
        </w:tc>
      </w:tr>
      <w:tr w:rsidR="00EC537F" w14:paraId="76811CD6" w14:textId="77777777" w:rsidTr="00594C4A">
        <w:tc>
          <w:tcPr>
            <w:tcW w:w="1301" w:type="pct"/>
            <w:vMerge/>
            <w:vAlign w:val="center"/>
          </w:tcPr>
          <w:p w14:paraId="5B4AE2D0" w14:textId="77777777" w:rsidR="00EC537F" w:rsidRPr="00D31DFC" w:rsidRDefault="00EC537F" w:rsidP="00055C33">
            <w:pPr>
              <w:pStyle w:val="Normal1"/>
              <w:jc w:val="center"/>
              <w:rPr>
                <w:sz w:val="22"/>
                <w:szCs w:val="22"/>
              </w:rPr>
            </w:pPr>
          </w:p>
        </w:tc>
        <w:tc>
          <w:tcPr>
            <w:tcW w:w="919" w:type="pct"/>
            <w:vAlign w:val="center"/>
          </w:tcPr>
          <w:p w14:paraId="62EC1EA7" w14:textId="77777777" w:rsidR="00EC537F" w:rsidRPr="00D31DFC" w:rsidRDefault="00EC537F" w:rsidP="00055C33">
            <w:pPr>
              <w:pStyle w:val="Normal1"/>
              <w:jc w:val="center"/>
              <w:rPr>
                <w:sz w:val="22"/>
                <w:szCs w:val="22"/>
              </w:rPr>
            </w:pPr>
            <w:r>
              <w:rPr>
                <w:sz w:val="22"/>
                <w:szCs w:val="22"/>
              </w:rPr>
              <w:t>CONSE</w:t>
            </w:r>
          </w:p>
        </w:tc>
        <w:tc>
          <w:tcPr>
            <w:tcW w:w="2779" w:type="pct"/>
            <w:vAlign w:val="center"/>
          </w:tcPr>
          <w:p w14:paraId="1760C563" w14:textId="77777777" w:rsidR="00EC537F" w:rsidRPr="00D31DFC" w:rsidRDefault="00EC537F" w:rsidP="00055C33">
            <w:pPr>
              <w:pStyle w:val="Normal1"/>
              <w:rPr>
                <w:sz w:val="22"/>
                <w:szCs w:val="22"/>
              </w:rPr>
            </w:pPr>
            <w:r>
              <w:rPr>
                <w:sz w:val="22"/>
                <w:szCs w:val="22"/>
              </w:rPr>
              <w:t xml:space="preserve">Número de conselhos atuantes no município </w:t>
            </w:r>
          </w:p>
        </w:tc>
      </w:tr>
      <w:tr w:rsidR="00EC537F" w14:paraId="20A61B8B" w14:textId="77777777" w:rsidTr="00594C4A">
        <w:tc>
          <w:tcPr>
            <w:tcW w:w="1301" w:type="pct"/>
            <w:vMerge/>
            <w:vAlign w:val="center"/>
          </w:tcPr>
          <w:p w14:paraId="523C2E95" w14:textId="77777777" w:rsidR="00EC537F" w:rsidRPr="00D31DFC" w:rsidRDefault="00EC537F" w:rsidP="00055C33">
            <w:pPr>
              <w:pStyle w:val="Normal1"/>
              <w:jc w:val="center"/>
              <w:rPr>
                <w:sz w:val="22"/>
                <w:szCs w:val="22"/>
              </w:rPr>
            </w:pPr>
          </w:p>
        </w:tc>
        <w:tc>
          <w:tcPr>
            <w:tcW w:w="919" w:type="pct"/>
            <w:vAlign w:val="center"/>
          </w:tcPr>
          <w:p w14:paraId="69D3F93F" w14:textId="77777777" w:rsidR="00EC537F" w:rsidRPr="00D31DFC" w:rsidRDefault="00EC537F" w:rsidP="00055C33">
            <w:pPr>
              <w:pStyle w:val="Normal1"/>
              <w:jc w:val="center"/>
              <w:rPr>
                <w:sz w:val="22"/>
                <w:szCs w:val="22"/>
              </w:rPr>
            </w:pPr>
            <w:r>
              <w:rPr>
                <w:sz w:val="22"/>
                <w:szCs w:val="22"/>
              </w:rPr>
              <w:t>INTER</w:t>
            </w:r>
          </w:p>
        </w:tc>
        <w:tc>
          <w:tcPr>
            <w:tcW w:w="2779" w:type="pct"/>
            <w:vAlign w:val="center"/>
          </w:tcPr>
          <w:p w14:paraId="040DCE0B" w14:textId="77777777" w:rsidR="00EC537F" w:rsidRPr="00D31DFC" w:rsidRDefault="00EC537F" w:rsidP="00055C33">
            <w:pPr>
              <w:pStyle w:val="Normal1"/>
              <w:rPr>
                <w:sz w:val="22"/>
                <w:szCs w:val="22"/>
              </w:rPr>
            </w:pPr>
            <w:r w:rsidRPr="00576FA6">
              <w:rPr>
                <w:sz w:val="22"/>
                <w:szCs w:val="22"/>
              </w:rPr>
              <w:t>Acesso domiciliar a internet</w:t>
            </w:r>
          </w:p>
        </w:tc>
      </w:tr>
      <w:tr w:rsidR="00EC537F" w14:paraId="459AF755" w14:textId="77777777" w:rsidTr="00594C4A">
        <w:tc>
          <w:tcPr>
            <w:tcW w:w="1301" w:type="pct"/>
            <w:vMerge/>
            <w:vAlign w:val="center"/>
          </w:tcPr>
          <w:p w14:paraId="1F7B6908" w14:textId="77777777" w:rsidR="00EC537F" w:rsidRPr="00D31DFC" w:rsidRDefault="00EC537F" w:rsidP="00055C33">
            <w:pPr>
              <w:pStyle w:val="Normal1"/>
              <w:jc w:val="center"/>
              <w:rPr>
                <w:sz w:val="22"/>
                <w:szCs w:val="22"/>
              </w:rPr>
            </w:pPr>
          </w:p>
        </w:tc>
        <w:tc>
          <w:tcPr>
            <w:tcW w:w="919" w:type="pct"/>
            <w:vAlign w:val="center"/>
          </w:tcPr>
          <w:p w14:paraId="5C7920F6" w14:textId="77777777" w:rsidR="00EC537F" w:rsidRDefault="00EC537F" w:rsidP="00055C33">
            <w:pPr>
              <w:pStyle w:val="Normal1"/>
              <w:jc w:val="center"/>
              <w:rPr>
                <w:sz w:val="22"/>
                <w:szCs w:val="22"/>
              </w:rPr>
            </w:pPr>
            <w:r>
              <w:rPr>
                <w:sz w:val="22"/>
                <w:szCs w:val="22"/>
              </w:rPr>
              <w:t>NATJU</w:t>
            </w:r>
          </w:p>
        </w:tc>
        <w:tc>
          <w:tcPr>
            <w:tcW w:w="2779" w:type="pct"/>
            <w:vAlign w:val="center"/>
          </w:tcPr>
          <w:p w14:paraId="2DF25B07" w14:textId="77777777" w:rsidR="00EC537F" w:rsidRDefault="00EC537F" w:rsidP="00055C33">
            <w:pPr>
              <w:pStyle w:val="Normal1"/>
              <w:keepNext/>
              <w:rPr>
                <w:sz w:val="22"/>
                <w:szCs w:val="22"/>
              </w:rPr>
            </w:pPr>
            <w:r>
              <w:rPr>
                <w:sz w:val="22"/>
                <w:szCs w:val="22"/>
              </w:rPr>
              <w:t xml:space="preserve">Natureza jurídica do RPPS (Variável </w:t>
            </w:r>
            <w:r>
              <w:rPr>
                <w:i/>
                <w:iCs/>
                <w:sz w:val="22"/>
                <w:szCs w:val="22"/>
              </w:rPr>
              <w:t>dummy)</w:t>
            </w:r>
          </w:p>
        </w:tc>
      </w:tr>
    </w:tbl>
    <w:p w14:paraId="14ED51FB" w14:textId="6B969114" w:rsidR="00F2141F" w:rsidRPr="00594C4A" w:rsidRDefault="00EC537F" w:rsidP="00C6065A">
      <w:pPr>
        <w:autoSpaceDE w:val="0"/>
        <w:autoSpaceDN w:val="0"/>
        <w:adjustRightInd w:val="0"/>
        <w:spacing w:after="0"/>
        <w:rPr>
          <w:iCs/>
          <w:sz w:val="20"/>
          <w:szCs w:val="20"/>
        </w:rPr>
      </w:pPr>
      <w:r w:rsidRPr="00594C4A">
        <w:rPr>
          <w:iCs/>
          <w:sz w:val="20"/>
          <w:szCs w:val="20"/>
        </w:rPr>
        <w:t>Fonte: Elaborado pelo</w:t>
      </w:r>
      <w:r w:rsidR="00AF05BE" w:rsidRPr="00594C4A">
        <w:rPr>
          <w:iCs/>
          <w:sz w:val="20"/>
          <w:szCs w:val="20"/>
        </w:rPr>
        <w:t>s</w:t>
      </w:r>
      <w:r w:rsidRPr="00594C4A">
        <w:rPr>
          <w:iCs/>
          <w:sz w:val="20"/>
          <w:szCs w:val="20"/>
        </w:rPr>
        <w:t xml:space="preserve"> autor</w:t>
      </w:r>
      <w:r w:rsidR="00AF05BE" w:rsidRPr="00594C4A">
        <w:rPr>
          <w:iCs/>
          <w:sz w:val="20"/>
          <w:szCs w:val="20"/>
        </w:rPr>
        <w:t>es</w:t>
      </w:r>
    </w:p>
    <w:p w14:paraId="6F6EBBC9" w14:textId="77777777" w:rsidR="00C6065A" w:rsidRPr="00C6065A" w:rsidRDefault="00C6065A" w:rsidP="00C6065A">
      <w:pPr>
        <w:autoSpaceDE w:val="0"/>
        <w:autoSpaceDN w:val="0"/>
        <w:adjustRightInd w:val="0"/>
        <w:spacing w:after="0"/>
        <w:rPr>
          <w:iCs/>
          <w:sz w:val="22"/>
        </w:rPr>
      </w:pPr>
    </w:p>
    <w:p w14:paraId="0626F14E" w14:textId="77777777" w:rsidR="00EC537F" w:rsidRPr="00594C4A" w:rsidRDefault="00EC537F" w:rsidP="00594C4A">
      <w:pPr>
        <w:pStyle w:val="Normal1"/>
        <w:ind w:firstLine="709"/>
        <w:jc w:val="both"/>
      </w:pPr>
      <w:r w:rsidRPr="00594C4A">
        <w:t>Assim, a expressão geral do modelo é dada pela equação:</w:t>
      </w:r>
    </w:p>
    <w:p w14:paraId="1F03E460" w14:textId="77777777" w:rsidR="00EC537F" w:rsidRPr="00594C4A" w:rsidRDefault="00EC537F" w:rsidP="00594C4A">
      <w:pPr>
        <w:pStyle w:val="Normal1"/>
        <w:ind w:firstLine="709"/>
        <w:jc w:val="both"/>
      </w:pPr>
      <m:oMathPara>
        <m:oMath>
          <m:r>
            <m:rPr>
              <m:sty m:val="p"/>
            </m:rPr>
            <w:rPr>
              <w:rFonts w:ascii="Cambria Math" w:hAnsi="Cambria Math"/>
            </w:rPr>
            <m:t>IACN= α+</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w:rPr>
                      <w:rFonts w:ascii="Cambria Math" w:hAnsi="Cambria Math"/>
                    </w:rPr>
                    <m:t>1</m:t>
                  </m:r>
                </m:sub>
              </m:sSub>
            </m:e>
          </m:acc>
          <m:r>
            <m:rPr>
              <m:sty m:val="p"/>
            </m:rPr>
            <w:rPr>
              <w:rFonts w:ascii="Cambria Math" w:hAnsi="Cambria Math"/>
            </w:rPr>
            <m:t>IFDM+</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w:rPr>
                      <w:rFonts w:ascii="Cambria Math" w:hAnsi="Cambria Math"/>
                    </w:rPr>
                    <m:t>2</m:t>
                  </m:r>
                </m:sub>
              </m:sSub>
            </m:e>
          </m:acc>
          <m:r>
            <m:rPr>
              <m:sty m:val="p"/>
            </m:rPr>
            <w:rPr>
              <w:rFonts w:ascii="Cambria Math" w:hAnsi="Cambria Math"/>
            </w:rPr>
            <m:t>LnREC+</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w:rPr>
                      <w:rFonts w:ascii="Cambria Math" w:hAnsi="Cambria Math"/>
                    </w:rPr>
                    <m:t>3</m:t>
                  </m:r>
                </m:sub>
              </m:sSub>
            </m:e>
          </m:acc>
          <m:r>
            <m:rPr>
              <m:sty m:val="p"/>
            </m:rPr>
            <w:rPr>
              <w:rFonts w:ascii="Cambria Math" w:hAnsi="Cambria Math"/>
            </w:rPr>
            <m:t>INTER+</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w:rPr>
                      <w:rFonts w:ascii="Cambria Math" w:hAnsi="Cambria Math"/>
                    </w:rPr>
                    <m:t>4</m:t>
                  </m:r>
                </m:sub>
              </m:sSub>
            </m:e>
          </m:acc>
          <m:r>
            <m:rPr>
              <m:sty m:val="p"/>
            </m:rPr>
            <w:rPr>
              <w:rFonts w:ascii="Cambria Math" w:hAnsi="Cambria Math"/>
            </w:rPr>
            <m:t>CONSE+</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w:rPr>
                      <w:rFonts w:ascii="Cambria Math" w:hAnsi="Cambria Math"/>
                    </w:rPr>
                    <m:t>5</m:t>
                  </m:r>
                </m:sub>
              </m:sSub>
            </m:e>
          </m:acc>
          <m:r>
            <m:rPr>
              <m:sty m:val="p"/>
            </m:rPr>
            <w:rPr>
              <w:rFonts w:ascii="Cambria Math" w:hAnsi="Cambria Math"/>
            </w:rPr>
            <m:t>ESTRU+</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w:rPr>
                      <w:rFonts w:ascii="Cambria Math" w:hAnsi="Cambria Math"/>
                    </w:rPr>
                    <m:t>6</m:t>
                  </m:r>
                </m:sub>
              </m:sSub>
            </m:e>
          </m:acc>
          <m:r>
            <m:rPr>
              <m:sty m:val="p"/>
            </m:rPr>
            <w:rPr>
              <w:rFonts w:ascii="Cambria Math" w:hAnsi="Cambria Math"/>
            </w:rPr>
            <m:t>NATU+</m:t>
          </m:r>
          <m:sSub>
            <m:sSubPr>
              <m:ctrlPr>
                <w:rPr>
                  <w:rFonts w:ascii="Cambria Math" w:hAnsi="Cambria Math"/>
                </w:rPr>
              </m:ctrlPr>
            </m:sSubPr>
            <m:e>
              <m:r>
                <m:rPr>
                  <m:sty m:val="p"/>
                </m:rPr>
                <w:rPr>
                  <w:rFonts w:ascii="Cambria Math" w:hAnsi="Cambria Math"/>
                </w:rPr>
                <m:t>ε</m:t>
              </m:r>
            </m:e>
            <m:sub>
              <m:r>
                <w:rPr>
                  <w:rFonts w:ascii="Cambria Math" w:hAnsi="Cambria Math"/>
                </w:rPr>
                <m:t>1</m:t>
              </m:r>
            </m:sub>
          </m:sSub>
        </m:oMath>
      </m:oMathPara>
    </w:p>
    <w:p w14:paraId="735D02B3" w14:textId="77777777" w:rsidR="00EC537F" w:rsidRPr="00594C4A" w:rsidRDefault="00EC537F" w:rsidP="00594C4A">
      <w:pPr>
        <w:pStyle w:val="Normal1"/>
        <w:ind w:firstLine="709"/>
        <w:jc w:val="both"/>
      </w:pPr>
      <w:r w:rsidRPr="00594C4A">
        <w:t>Em que:</w:t>
      </w:r>
    </w:p>
    <w:p w14:paraId="523D8656" w14:textId="2B2ED9BE" w:rsidR="00EC537F" w:rsidRPr="00594C4A" w:rsidRDefault="00594C4A" w:rsidP="00594C4A">
      <w:pPr>
        <w:pStyle w:val="Normal1"/>
        <w:ind w:firstLine="709"/>
        <w:jc w:val="both"/>
      </w:pPr>
      <w:r>
        <w:lastRenderedPageBreak/>
        <w:t xml:space="preserve">α é a </w:t>
      </w:r>
      <w:r w:rsidR="00EC537F" w:rsidRPr="00594C4A">
        <w:t xml:space="preserve">constante ou intercepção da reta com o eixo dos </w:t>
      </w:r>
      <w:r w:rsidR="00EC537F" w:rsidRPr="00594C4A">
        <w:rPr>
          <w:i/>
          <w:iCs/>
        </w:rPr>
        <w:t>Y</w:t>
      </w:r>
    </w:p>
    <w:p w14:paraId="1D576E15" w14:textId="1FD504BD" w:rsidR="00EC537F" w:rsidRPr="00594C4A" w:rsidRDefault="00594C4A" w:rsidP="00594C4A">
      <w:pPr>
        <w:pStyle w:val="Normal1"/>
        <w:ind w:firstLine="709"/>
        <w:jc w:val="both"/>
      </w:pPr>
      <w:r>
        <w:t>β é a</w:t>
      </w:r>
      <w:r w:rsidR="00EC537F" w:rsidRPr="00594C4A">
        <w:t xml:space="preserve"> inclinação da reta</w:t>
      </w:r>
    </w:p>
    <w:p w14:paraId="3E26D121" w14:textId="56AC69EB" w:rsidR="00EC537F" w:rsidRPr="00594C4A" w:rsidRDefault="00EC537F" w:rsidP="00594C4A">
      <w:pPr>
        <w:pStyle w:val="Normal1"/>
        <w:ind w:firstLine="709"/>
        <w:jc w:val="both"/>
      </w:pPr>
      <w:r w:rsidRPr="00594C4A">
        <w:t>ε</w:t>
      </w:r>
      <w:r w:rsidRPr="00594C4A">
        <w:rPr>
          <w:i/>
          <w:iCs/>
        </w:rPr>
        <w:t xml:space="preserve">i </w:t>
      </w:r>
      <w:r w:rsidR="00594C4A">
        <w:t xml:space="preserve"> é o </w:t>
      </w:r>
      <w:r w:rsidRPr="00594C4A">
        <w:t>variável aleatória residual</w:t>
      </w:r>
    </w:p>
    <w:p w14:paraId="7231ACFC" w14:textId="77777777" w:rsidR="00EC537F" w:rsidRPr="009E790C" w:rsidRDefault="00EC537F" w:rsidP="00673650">
      <w:pPr>
        <w:pStyle w:val="Normal1"/>
        <w:spacing w:line="360" w:lineRule="auto"/>
        <w:jc w:val="both"/>
      </w:pPr>
    </w:p>
    <w:p w14:paraId="76C6431E" w14:textId="77777777" w:rsidR="00EC537F" w:rsidRDefault="00EC537F" w:rsidP="00594C4A">
      <w:pPr>
        <w:pStyle w:val="Normal1"/>
        <w:ind w:firstLine="709"/>
        <w:jc w:val="both"/>
      </w:pPr>
      <w:r w:rsidRPr="00B5131F">
        <w:t xml:space="preserve">Espera-se que </w:t>
      </w:r>
      <w:r>
        <w:t xml:space="preserve">o </w:t>
      </w:r>
      <w:r w:rsidRPr="00B5131F">
        <w:t>Índice FIRJAN de Desenvolvimento Municipal</w:t>
      </w:r>
      <w:r>
        <w:t xml:space="preserve"> </w:t>
      </w:r>
      <w:r w:rsidRPr="00B5131F">
        <w:t xml:space="preserve">influencie positivamente o Índice de </w:t>
      </w:r>
      <w:r w:rsidRPr="00C335E6">
        <w:rPr>
          <w:i/>
        </w:rPr>
        <w:t>accountability</w:t>
      </w:r>
      <w:r>
        <w:t xml:space="preserve"> normativa </w:t>
      </w:r>
      <w:r w:rsidRPr="00B5131F">
        <w:t>dos RPPS</w:t>
      </w:r>
      <w:r>
        <w:t xml:space="preserve">, deve-se ressaltar que o objetivo de utilizar o IFDM não se restringiu a verificar o efeito do desenvolvimento no nível de </w:t>
      </w:r>
      <w:r w:rsidRPr="00C335E6">
        <w:rPr>
          <w:i/>
        </w:rPr>
        <w:t>accountability</w:t>
      </w:r>
      <w:r>
        <w:t xml:space="preserve"> do RPPS, afim também de verificar o efeito das instituições, o IFDM foi utilizado também como proxy de desenvolvimento institucional, uma vez que, pelos pressupostos básicos da Nova Economia Institucional, instituições mais eficientes estão associados a melhores indicadores de desenvolvimento (NORTH, 1990).</w:t>
      </w:r>
    </w:p>
    <w:p w14:paraId="2F09D49B" w14:textId="77777777" w:rsidR="00EC537F" w:rsidRDefault="00EC537F" w:rsidP="00594C4A">
      <w:pPr>
        <w:pStyle w:val="Normal1"/>
        <w:ind w:firstLine="709"/>
        <w:jc w:val="both"/>
      </w:pPr>
      <w:r w:rsidRPr="00F60875">
        <w:t>A varável Quantidade de recursos em posse do RPPS</w:t>
      </w:r>
      <w:r>
        <w:t xml:space="preserve"> foi utilizada na forma de logaritmo natural, no intuito de padronizar os dados e, desta forma, melhorar o ajustamento e não influenciar os resultados. </w:t>
      </w:r>
      <w:r w:rsidRPr="000F3792">
        <w:t xml:space="preserve">Espera-se que em unidades que trabalhem com maiores quantidades de recursos apresentem aparatos de </w:t>
      </w:r>
      <w:r w:rsidRPr="00C335E6">
        <w:rPr>
          <w:i/>
        </w:rPr>
        <w:t>accountability</w:t>
      </w:r>
      <w:r w:rsidRPr="000F3792">
        <w:t xml:space="preserve"> mais desenvolvidos.</w:t>
      </w:r>
      <w:r>
        <w:t xml:space="preserve"> </w:t>
      </w:r>
      <w:r w:rsidRPr="000F3792">
        <w:t>Uma vez que, devido aos grandes valores e seu consequente número maior de interessados os mecanismos de informação, controle e fiscalizaç</w:t>
      </w:r>
      <w:r>
        <w:t>ão tendem a ser mais eficientes (OSTROM, 2000).</w:t>
      </w:r>
      <w:r>
        <w:tab/>
      </w:r>
    </w:p>
    <w:p w14:paraId="272DF7C8" w14:textId="77777777" w:rsidR="00EC537F" w:rsidRDefault="00EC537F" w:rsidP="00594C4A">
      <w:pPr>
        <w:pStyle w:val="Normal1"/>
        <w:ind w:firstLine="709"/>
        <w:jc w:val="both"/>
        <w:rPr>
          <w:rFonts w:eastAsia="Calibri"/>
        </w:rPr>
      </w:pPr>
      <w:r>
        <w:t xml:space="preserve">A variável estrutura mínima </w:t>
      </w:r>
      <w:r>
        <w:rPr>
          <w:rFonts w:eastAsia="Calibri"/>
        </w:rPr>
        <w:t>é importante pois</w:t>
      </w:r>
      <w:r>
        <w:t xml:space="preserve"> atesta o atendimento de todas as exigências mínimas dispostas nas Leis nº 9.717/</w:t>
      </w:r>
      <w:r w:rsidRPr="00A25810">
        <w:t>1998</w:t>
      </w:r>
      <w:r>
        <w:t>, 10.887/2204 e da portaria MPS nº 402/2008 referentes a sua estrutura e forma de atuação</w:t>
      </w:r>
      <w:r>
        <w:rPr>
          <w:rFonts w:eastAsia="Calibri"/>
        </w:rPr>
        <w:t xml:space="preserve">, o que é um grande passo para a presença de bons indicadores de </w:t>
      </w:r>
      <w:r w:rsidRPr="00C335E6">
        <w:rPr>
          <w:rFonts w:eastAsia="Calibri"/>
          <w:i/>
        </w:rPr>
        <w:t>accountability</w:t>
      </w:r>
      <w:r>
        <w:rPr>
          <w:rFonts w:eastAsia="Calibri"/>
          <w:i/>
        </w:rPr>
        <w:t xml:space="preserve">, </w:t>
      </w:r>
      <w:r w:rsidRPr="00924494">
        <w:rPr>
          <w:rFonts w:eastAsia="Calibri"/>
        </w:rPr>
        <w:t>espera-se que em</w:t>
      </w:r>
      <w:r>
        <w:rPr>
          <w:rFonts w:eastAsia="Calibri"/>
        </w:rPr>
        <w:t xml:space="preserve"> RPPS com melhores estruturas apresentem melhores indicadores de </w:t>
      </w:r>
      <w:r w:rsidRPr="00C335E6">
        <w:rPr>
          <w:rFonts w:eastAsia="Calibri"/>
          <w:i/>
        </w:rPr>
        <w:t>accountability</w:t>
      </w:r>
      <w:r>
        <w:rPr>
          <w:rFonts w:eastAsia="Calibri"/>
        </w:rPr>
        <w:t xml:space="preserve"> normativa. </w:t>
      </w:r>
    </w:p>
    <w:p w14:paraId="29877359" w14:textId="5BF4E623" w:rsidR="00EC537F" w:rsidRDefault="00EC537F" w:rsidP="00594C4A">
      <w:pPr>
        <w:pStyle w:val="Normal1"/>
        <w:ind w:firstLine="709"/>
        <w:jc w:val="both"/>
      </w:pPr>
      <w:r w:rsidRPr="00512801">
        <w:t xml:space="preserve">O uso </w:t>
      </w:r>
      <w:r w:rsidR="000E2B76" w:rsidRPr="00512801">
        <w:t>do varável acesso domiciliar</w:t>
      </w:r>
      <w:r w:rsidRPr="00512801">
        <w:t xml:space="preserve"> a internet e número de conselhos atuantes no município teve como objetivo verificar a facilidade de acesso (OSTROM, 2000) dos Segurados a esses dois importantes instrumentos de </w:t>
      </w:r>
      <w:r w:rsidRPr="00512801">
        <w:rPr>
          <w:i/>
        </w:rPr>
        <w:t>accountability</w:t>
      </w:r>
      <w:r w:rsidRPr="00512801">
        <w:t>. Espera-se que essas variáveis também afete</w:t>
      </w:r>
      <w:r w:rsidR="000E2B76">
        <w:t>m</w:t>
      </w:r>
      <w:r w:rsidRPr="00512801">
        <w:t xml:space="preserve"> positivamente o Índice de </w:t>
      </w:r>
      <w:r w:rsidRPr="00512801">
        <w:rPr>
          <w:i/>
        </w:rPr>
        <w:t>accountability</w:t>
      </w:r>
      <w:r w:rsidRPr="00512801">
        <w:t xml:space="preserve"> normativa dos RPPS.</w:t>
      </w:r>
      <w:r>
        <w:t xml:space="preserve"> Com a maior facilidade de acesso à internet </w:t>
      </w:r>
      <w:r w:rsidR="008A41F0">
        <w:t>os segurados têm</w:t>
      </w:r>
      <w:r>
        <w:t xml:space="preserve"> a possibilidade de adquirir informações até então distantes para eles, a internet é um excelente mecanismo de propagação da informação em tempo real e facilitador da comunicação entre administrados e administração, diminuindo assim a assimetria informacional e consequentemente possibilitando maior </w:t>
      </w:r>
      <w:r w:rsidRPr="00792DF0">
        <w:t>controle social</w:t>
      </w:r>
      <w:r>
        <w:t xml:space="preserve">, </w:t>
      </w:r>
      <w:r w:rsidRPr="00F41FA4">
        <w:t xml:space="preserve">melhorando a transparência das contas públicas e incentivando a promoção do exercício da </w:t>
      </w:r>
      <w:r w:rsidRPr="00C335E6">
        <w:rPr>
          <w:i/>
        </w:rPr>
        <w:t>accountability</w:t>
      </w:r>
      <w:r w:rsidRPr="00F41FA4">
        <w:t xml:space="preserve"> </w:t>
      </w:r>
      <w:r>
        <w:t>do RPPS.</w:t>
      </w:r>
    </w:p>
    <w:p w14:paraId="4C60DFF1" w14:textId="77777777" w:rsidR="00EC537F" w:rsidRDefault="00EC537F" w:rsidP="00594C4A">
      <w:pPr>
        <w:pStyle w:val="Normal1"/>
        <w:ind w:firstLine="709"/>
        <w:jc w:val="both"/>
      </w:pPr>
      <w:r>
        <w:t xml:space="preserve">O número de conselhos atuantes do município foi utilizado como </w:t>
      </w:r>
      <w:r w:rsidRPr="00B06A71">
        <w:rPr>
          <w:i/>
        </w:rPr>
        <w:t>proxy</w:t>
      </w:r>
      <w:r>
        <w:t xml:space="preserve"> de capital social, espera-se que em municípios que tenham maior número de conselhos atuantes seja em virtude do maior engajamento cívico e político da população, assim espera-se também que haja maior participação no acompanhamento da gestão do RPPS incentivando a promoção da </w:t>
      </w:r>
      <w:r w:rsidRPr="00B06A71">
        <w:rPr>
          <w:i/>
        </w:rPr>
        <w:t>accountability</w:t>
      </w:r>
      <w:r>
        <w:t xml:space="preserve">. </w:t>
      </w:r>
    </w:p>
    <w:p w14:paraId="3B7C0CBF" w14:textId="77777777" w:rsidR="00EC537F" w:rsidRDefault="00EC537F" w:rsidP="00594C4A">
      <w:pPr>
        <w:pStyle w:val="Normal1"/>
        <w:ind w:firstLine="709"/>
        <w:jc w:val="both"/>
        <w:rPr>
          <w:i/>
        </w:rPr>
      </w:pPr>
      <w:r>
        <w:t xml:space="preserve"> Por fim, a </w:t>
      </w:r>
      <w:r w:rsidRPr="00D82093">
        <w:t xml:space="preserve">Variável </w:t>
      </w:r>
      <w:r w:rsidRPr="00B06A71">
        <w:rPr>
          <w:i/>
        </w:rPr>
        <w:t>dummy</w:t>
      </w:r>
      <w:r>
        <w:t xml:space="preserve"> natureza jurídica do RPPS foi utilizada com intuito </w:t>
      </w:r>
      <w:r w:rsidRPr="00D82093">
        <w:t>de verificar a influência</w:t>
      </w:r>
      <w:r>
        <w:t xml:space="preserve"> da forma organizacional permitida por lei a qual o RPPS está estruturado (fundo ou instituto) no nível de </w:t>
      </w:r>
      <w:r w:rsidRPr="00C335E6">
        <w:rPr>
          <w:i/>
        </w:rPr>
        <w:t>accountability</w:t>
      </w:r>
      <w:r w:rsidRPr="00323E2A">
        <w:rPr>
          <w:i/>
        </w:rPr>
        <w:t>.</w:t>
      </w:r>
    </w:p>
    <w:p w14:paraId="2101E051" w14:textId="77777777" w:rsidR="00EC537F" w:rsidRDefault="00EC537F" w:rsidP="00673650">
      <w:pPr>
        <w:pStyle w:val="Normal1"/>
        <w:spacing w:line="360" w:lineRule="auto"/>
        <w:ind w:firstLine="709"/>
        <w:jc w:val="both"/>
        <w:rPr>
          <w:i/>
        </w:rPr>
      </w:pPr>
    </w:p>
    <w:p w14:paraId="6007509A" w14:textId="77777777" w:rsidR="00C93102" w:rsidRPr="00055C33" w:rsidRDefault="00EC537F" w:rsidP="00594C4A">
      <w:pPr>
        <w:pStyle w:val="Ttulo2"/>
        <w:numPr>
          <w:ilvl w:val="0"/>
          <w:numId w:val="3"/>
        </w:numPr>
        <w:spacing w:after="120" w:line="240" w:lineRule="auto"/>
        <w:ind w:left="357" w:hanging="357"/>
        <w:rPr>
          <w:rFonts w:ascii="Times New Roman" w:eastAsia="Times New Roman" w:hAnsi="Times New Roman" w:cs="Times New Roman"/>
          <w:caps/>
          <w:szCs w:val="24"/>
        </w:rPr>
      </w:pPr>
      <w:bookmarkStart w:id="18" w:name="_Toc442957899"/>
      <w:r w:rsidRPr="007C1F56">
        <w:rPr>
          <w:rFonts w:ascii="Times New Roman" w:eastAsia="Times New Roman" w:hAnsi="Times New Roman" w:cs="Times New Roman"/>
          <w:caps/>
          <w:szCs w:val="24"/>
        </w:rPr>
        <w:t>RESULTADOS E DISCUSSÃO</w:t>
      </w:r>
      <w:bookmarkEnd w:id="18"/>
    </w:p>
    <w:p w14:paraId="13AC013C" w14:textId="77777777" w:rsidR="00EC537F" w:rsidRDefault="00EC537F" w:rsidP="00594C4A">
      <w:pPr>
        <w:pStyle w:val="Ttulo2"/>
        <w:numPr>
          <w:ilvl w:val="1"/>
          <w:numId w:val="3"/>
        </w:numPr>
        <w:spacing w:after="120" w:line="240" w:lineRule="auto"/>
        <w:ind w:left="0" w:firstLine="0"/>
        <w:rPr>
          <w:rFonts w:ascii="Times New Roman" w:eastAsia="Times New Roman" w:hAnsi="Times New Roman" w:cs="Times New Roman"/>
          <w:szCs w:val="24"/>
        </w:rPr>
      </w:pPr>
      <w:bookmarkStart w:id="19" w:name="_Toc442957900"/>
      <w:r w:rsidRPr="00470560">
        <w:rPr>
          <w:rFonts w:ascii="Times New Roman" w:eastAsia="Times New Roman" w:hAnsi="Times New Roman" w:cs="Times New Roman"/>
          <w:szCs w:val="24"/>
        </w:rPr>
        <w:t xml:space="preserve">Panorama da </w:t>
      </w:r>
      <w:r w:rsidRPr="00C335E6">
        <w:rPr>
          <w:rFonts w:ascii="Times New Roman" w:eastAsia="Times New Roman" w:hAnsi="Times New Roman" w:cs="Times New Roman"/>
          <w:i/>
          <w:szCs w:val="24"/>
        </w:rPr>
        <w:t>accountability</w:t>
      </w:r>
      <w:r>
        <w:rPr>
          <w:rFonts w:ascii="Times New Roman" w:eastAsia="Times New Roman" w:hAnsi="Times New Roman" w:cs="Times New Roman"/>
          <w:i/>
          <w:szCs w:val="24"/>
        </w:rPr>
        <w:t xml:space="preserve"> </w:t>
      </w:r>
      <w:r w:rsidRPr="00A30C6A">
        <w:rPr>
          <w:rFonts w:ascii="Times New Roman" w:eastAsia="Times New Roman" w:hAnsi="Times New Roman" w:cs="Times New Roman"/>
          <w:szCs w:val="24"/>
        </w:rPr>
        <w:t>normativa</w:t>
      </w:r>
      <w:r w:rsidRPr="00470560">
        <w:rPr>
          <w:rFonts w:ascii="Times New Roman" w:eastAsia="Times New Roman" w:hAnsi="Times New Roman" w:cs="Times New Roman"/>
          <w:szCs w:val="24"/>
        </w:rPr>
        <w:t xml:space="preserve"> </w:t>
      </w:r>
      <w:r>
        <w:rPr>
          <w:rFonts w:ascii="Times New Roman" w:eastAsia="Times New Roman" w:hAnsi="Times New Roman" w:cs="Times New Roman"/>
          <w:szCs w:val="24"/>
        </w:rPr>
        <w:t>nos RPPS de</w:t>
      </w:r>
      <w:r w:rsidRPr="00470560">
        <w:rPr>
          <w:rFonts w:ascii="Times New Roman" w:eastAsia="Times New Roman" w:hAnsi="Times New Roman" w:cs="Times New Roman"/>
          <w:szCs w:val="24"/>
        </w:rPr>
        <w:t xml:space="preserve"> Minas Gerais</w:t>
      </w:r>
      <w:bookmarkEnd w:id="19"/>
      <w:r w:rsidRPr="00470560">
        <w:rPr>
          <w:rFonts w:ascii="Times New Roman" w:eastAsia="Times New Roman" w:hAnsi="Times New Roman" w:cs="Times New Roman"/>
          <w:szCs w:val="24"/>
        </w:rPr>
        <w:t xml:space="preserve"> </w:t>
      </w:r>
    </w:p>
    <w:p w14:paraId="48B813BE" w14:textId="77777777" w:rsidR="00EC537F" w:rsidRDefault="00EC537F" w:rsidP="00594C4A">
      <w:pPr>
        <w:tabs>
          <w:tab w:val="left" w:pos="2010"/>
        </w:tabs>
        <w:spacing w:after="0"/>
        <w:ind w:firstLine="709"/>
        <w:jc w:val="both"/>
      </w:pPr>
      <w:r>
        <w:rPr>
          <w:rFonts w:cs="Times New Roman"/>
          <w:szCs w:val="24"/>
        </w:rPr>
        <w:t>C</w:t>
      </w:r>
      <w:r w:rsidRPr="00DE2554">
        <w:rPr>
          <w:rFonts w:cs="Times New Roman"/>
          <w:szCs w:val="24"/>
        </w:rPr>
        <w:t xml:space="preserve">om </w:t>
      </w:r>
      <w:r>
        <w:t>o</w:t>
      </w:r>
      <w:r w:rsidRPr="00984FFB">
        <w:t xml:space="preserve"> </w:t>
      </w:r>
      <w:r>
        <w:t>objetivo</w:t>
      </w:r>
      <w:r w:rsidRPr="00984FFB">
        <w:t xml:space="preserve"> de conhecer o comportamento </w:t>
      </w:r>
      <w:r>
        <w:t xml:space="preserve">dos achados, </w:t>
      </w:r>
      <w:r w:rsidRPr="00984FFB">
        <w:t>foi realizada a A</w:t>
      </w:r>
      <w:r>
        <w:t xml:space="preserve">nálise Exploratória das variáveis que compõe o índice de </w:t>
      </w:r>
      <w:r w:rsidRPr="00C335E6">
        <w:rPr>
          <w:i/>
        </w:rPr>
        <w:t>accountability</w:t>
      </w:r>
      <w:r>
        <w:t xml:space="preserve"> </w:t>
      </w:r>
      <w:r>
        <w:rPr>
          <w:color w:val="000000"/>
        </w:rPr>
        <w:t>com relação às medidas de centro, distribuição e dispersã</w:t>
      </w:r>
      <w:r>
        <w:t>o, os r</w:t>
      </w:r>
      <w:r w:rsidRPr="00984FFB">
        <w:t>esultados dessas medidas estatísticas são apresentados na Tabela 1:</w:t>
      </w:r>
    </w:p>
    <w:p w14:paraId="58DA3BA9" w14:textId="77777777" w:rsidR="00EC537F" w:rsidRPr="00594C4A" w:rsidRDefault="00EC537F" w:rsidP="00CD037B">
      <w:pPr>
        <w:spacing w:after="0"/>
        <w:rPr>
          <w:sz w:val="20"/>
          <w:szCs w:val="20"/>
        </w:rPr>
      </w:pPr>
      <w:bookmarkStart w:id="20" w:name="_Toc442957930"/>
      <w:r w:rsidRPr="00594C4A">
        <w:rPr>
          <w:b/>
          <w:sz w:val="20"/>
          <w:szCs w:val="20"/>
        </w:rPr>
        <w:lastRenderedPageBreak/>
        <w:t xml:space="preserve">Tabela </w:t>
      </w:r>
      <w:r w:rsidRPr="00594C4A">
        <w:rPr>
          <w:b/>
          <w:sz w:val="20"/>
          <w:szCs w:val="20"/>
        </w:rPr>
        <w:fldChar w:fldCharType="begin"/>
      </w:r>
      <w:r w:rsidRPr="00594C4A">
        <w:rPr>
          <w:b/>
          <w:sz w:val="20"/>
          <w:szCs w:val="20"/>
        </w:rPr>
        <w:instrText xml:space="preserve"> SEQ Tabela \* ARABIC </w:instrText>
      </w:r>
      <w:r w:rsidRPr="00594C4A">
        <w:rPr>
          <w:b/>
          <w:sz w:val="20"/>
          <w:szCs w:val="20"/>
        </w:rPr>
        <w:fldChar w:fldCharType="separate"/>
      </w:r>
      <w:r w:rsidRPr="00594C4A">
        <w:rPr>
          <w:b/>
          <w:noProof/>
          <w:sz w:val="20"/>
          <w:szCs w:val="20"/>
        </w:rPr>
        <w:t>1</w:t>
      </w:r>
      <w:r w:rsidRPr="00594C4A">
        <w:rPr>
          <w:b/>
          <w:sz w:val="20"/>
          <w:szCs w:val="20"/>
        </w:rPr>
        <w:fldChar w:fldCharType="end"/>
      </w:r>
      <w:r w:rsidRPr="00594C4A">
        <w:rPr>
          <w:sz w:val="20"/>
          <w:szCs w:val="20"/>
        </w:rPr>
        <w:t xml:space="preserve"> - Estatísticas Descritivas </w:t>
      </w:r>
      <w:r w:rsidRPr="00594C4A">
        <w:rPr>
          <w:i/>
          <w:sz w:val="20"/>
          <w:szCs w:val="20"/>
        </w:rPr>
        <w:t>accountability</w:t>
      </w:r>
      <w:r w:rsidRPr="00594C4A">
        <w:rPr>
          <w:sz w:val="20"/>
          <w:szCs w:val="20"/>
        </w:rPr>
        <w:t xml:space="preserve"> normativa em Minas Gerais</w:t>
      </w:r>
      <w:bookmarkEnd w:id="20"/>
    </w:p>
    <w:tbl>
      <w:tblPr>
        <w:tblStyle w:val="TabelaSimples21"/>
        <w:tblW w:w="5000" w:type="pct"/>
        <w:tblBorders>
          <w:top w:val="single" w:sz="8" w:space="0" w:color="7F7F7F" w:themeColor="text1" w:themeTint="80"/>
          <w:bottom w:val="single" w:sz="8" w:space="0" w:color="7F7F7F" w:themeColor="text1" w:themeTint="80"/>
        </w:tblBorders>
        <w:tblLook w:val="04A0" w:firstRow="1" w:lastRow="0" w:firstColumn="1" w:lastColumn="0" w:noHBand="0" w:noVBand="1"/>
      </w:tblPr>
      <w:tblGrid>
        <w:gridCol w:w="1536"/>
        <w:gridCol w:w="895"/>
        <w:gridCol w:w="936"/>
        <w:gridCol w:w="964"/>
        <w:gridCol w:w="839"/>
        <w:gridCol w:w="1649"/>
        <w:gridCol w:w="1308"/>
        <w:gridCol w:w="1160"/>
      </w:tblGrid>
      <w:tr w:rsidR="00EC537F" w:rsidRPr="004E4790" w14:paraId="20CF2092" w14:textId="77777777" w:rsidTr="00EC537F">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single" w:sz="8" w:space="0" w:color="7F7F7F" w:themeColor="text1" w:themeTint="80"/>
              <w:bottom w:val="single" w:sz="4" w:space="0" w:color="auto"/>
            </w:tcBorders>
            <w:vAlign w:val="center"/>
            <w:hideMark/>
          </w:tcPr>
          <w:p w14:paraId="472FA1DA" w14:textId="77777777" w:rsidR="00EC537F" w:rsidRPr="00594C4A" w:rsidRDefault="00EC537F" w:rsidP="00CD037B">
            <w:pPr>
              <w:spacing w:after="0"/>
              <w:rPr>
                <w:rFonts w:cs="Times New Roman"/>
                <w:sz w:val="22"/>
              </w:rPr>
            </w:pPr>
            <w:r w:rsidRPr="00594C4A">
              <w:rPr>
                <w:rFonts w:cs="Times New Roman"/>
                <w:sz w:val="22"/>
              </w:rPr>
              <w:t>Variável</w:t>
            </w:r>
          </w:p>
        </w:tc>
        <w:tc>
          <w:tcPr>
            <w:tcW w:w="464" w:type="pct"/>
            <w:tcBorders>
              <w:top w:val="single" w:sz="8" w:space="0" w:color="7F7F7F" w:themeColor="text1" w:themeTint="80"/>
              <w:bottom w:val="single" w:sz="4" w:space="0" w:color="auto"/>
            </w:tcBorders>
            <w:vAlign w:val="center"/>
            <w:hideMark/>
          </w:tcPr>
          <w:p w14:paraId="096111C6"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Min</w:t>
            </w:r>
          </w:p>
        </w:tc>
        <w:tc>
          <w:tcPr>
            <w:tcW w:w="507" w:type="pct"/>
            <w:tcBorders>
              <w:top w:val="single" w:sz="8" w:space="0" w:color="7F7F7F" w:themeColor="text1" w:themeTint="80"/>
              <w:bottom w:val="single" w:sz="4" w:space="0" w:color="auto"/>
            </w:tcBorders>
            <w:vAlign w:val="center"/>
            <w:hideMark/>
          </w:tcPr>
          <w:p w14:paraId="6BF389C8"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Max</w:t>
            </w:r>
          </w:p>
        </w:tc>
        <w:tc>
          <w:tcPr>
            <w:tcW w:w="522" w:type="pct"/>
            <w:tcBorders>
              <w:top w:val="single" w:sz="8" w:space="0" w:color="7F7F7F" w:themeColor="text1" w:themeTint="80"/>
              <w:bottom w:val="single" w:sz="4" w:space="0" w:color="auto"/>
            </w:tcBorders>
            <w:vAlign w:val="center"/>
            <w:hideMark/>
          </w:tcPr>
          <w:p w14:paraId="78F9A7FA"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Media</w:t>
            </w:r>
          </w:p>
        </w:tc>
        <w:tc>
          <w:tcPr>
            <w:tcW w:w="455" w:type="pct"/>
            <w:tcBorders>
              <w:top w:val="single" w:sz="8" w:space="0" w:color="7F7F7F" w:themeColor="text1" w:themeTint="80"/>
              <w:bottom w:val="single" w:sz="4" w:space="0" w:color="auto"/>
            </w:tcBorders>
            <w:vAlign w:val="center"/>
            <w:hideMark/>
          </w:tcPr>
          <w:p w14:paraId="1CAE186F"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Moda</w:t>
            </w:r>
          </w:p>
        </w:tc>
        <w:tc>
          <w:tcPr>
            <w:tcW w:w="891" w:type="pct"/>
            <w:tcBorders>
              <w:top w:val="single" w:sz="8" w:space="0" w:color="7F7F7F" w:themeColor="text1" w:themeTint="80"/>
              <w:bottom w:val="single" w:sz="4" w:space="0" w:color="auto"/>
            </w:tcBorders>
            <w:vAlign w:val="center"/>
            <w:hideMark/>
          </w:tcPr>
          <w:p w14:paraId="5DEC227B"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Desvio Padrão</w:t>
            </w:r>
          </w:p>
        </w:tc>
        <w:tc>
          <w:tcPr>
            <w:tcW w:w="707" w:type="pct"/>
            <w:tcBorders>
              <w:top w:val="single" w:sz="8" w:space="0" w:color="7F7F7F" w:themeColor="text1" w:themeTint="80"/>
              <w:bottom w:val="single" w:sz="4" w:space="0" w:color="auto"/>
            </w:tcBorders>
            <w:vAlign w:val="center"/>
            <w:hideMark/>
          </w:tcPr>
          <w:p w14:paraId="46F39F73"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Assimetria</w:t>
            </w:r>
          </w:p>
        </w:tc>
        <w:tc>
          <w:tcPr>
            <w:tcW w:w="627" w:type="pct"/>
            <w:tcBorders>
              <w:top w:val="single" w:sz="8" w:space="0" w:color="7F7F7F" w:themeColor="text1" w:themeTint="80"/>
              <w:bottom w:val="single" w:sz="4" w:space="0" w:color="auto"/>
            </w:tcBorders>
            <w:vAlign w:val="center"/>
            <w:hideMark/>
          </w:tcPr>
          <w:p w14:paraId="0B38E5A8"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Curtose</w:t>
            </w:r>
          </w:p>
        </w:tc>
      </w:tr>
      <w:tr w:rsidR="00EC537F" w:rsidRPr="004E4790" w14:paraId="214B7CA8" w14:textId="77777777" w:rsidTr="00EC537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single" w:sz="4" w:space="0" w:color="auto"/>
              <w:left w:val="nil"/>
              <w:bottom w:val="nil"/>
              <w:right w:val="nil"/>
            </w:tcBorders>
            <w:vAlign w:val="center"/>
          </w:tcPr>
          <w:p w14:paraId="45213FE7" w14:textId="77777777" w:rsidR="00EC537F" w:rsidRPr="00594C4A" w:rsidRDefault="00EC537F" w:rsidP="00CD037B">
            <w:pPr>
              <w:spacing w:after="0"/>
              <w:rPr>
                <w:rFonts w:cs="Times New Roman"/>
                <w:b w:val="0"/>
                <w:sz w:val="22"/>
              </w:rPr>
            </w:pPr>
            <w:r w:rsidRPr="00594C4A">
              <w:rPr>
                <w:rFonts w:cs="Times New Roman"/>
                <w:b w:val="0"/>
                <w:sz w:val="22"/>
              </w:rPr>
              <w:t>Informação Transparente</w:t>
            </w:r>
          </w:p>
        </w:tc>
        <w:tc>
          <w:tcPr>
            <w:tcW w:w="464" w:type="pct"/>
            <w:tcBorders>
              <w:top w:val="single" w:sz="4" w:space="0" w:color="auto"/>
              <w:left w:val="nil"/>
              <w:bottom w:val="nil"/>
              <w:right w:val="nil"/>
            </w:tcBorders>
            <w:vAlign w:val="center"/>
          </w:tcPr>
          <w:p w14:paraId="279D69F8"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2,63%</w:t>
            </w:r>
          </w:p>
        </w:tc>
        <w:tc>
          <w:tcPr>
            <w:tcW w:w="507" w:type="pct"/>
            <w:tcBorders>
              <w:top w:val="single" w:sz="4" w:space="0" w:color="auto"/>
              <w:left w:val="nil"/>
              <w:bottom w:val="nil"/>
              <w:right w:val="nil"/>
            </w:tcBorders>
            <w:vAlign w:val="center"/>
          </w:tcPr>
          <w:p w14:paraId="5CF71BE5"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97,37%</w:t>
            </w:r>
          </w:p>
        </w:tc>
        <w:tc>
          <w:tcPr>
            <w:tcW w:w="522" w:type="pct"/>
            <w:tcBorders>
              <w:top w:val="single" w:sz="4" w:space="0" w:color="auto"/>
              <w:left w:val="nil"/>
              <w:bottom w:val="nil"/>
              <w:right w:val="nil"/>
            </w:tcBorders>
            <w:vAlign w:val="center"/>
          </w:tcPr>
          <w:p w14:paraId="0EF60101"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33,86%</w:t>
            </w:r>
          </w:p>
        </w:tc>
        <w:tc>
          <w:tcPr>
            <w:tcW w:w="455" w:type="pct"/>
            <w:tcBorders>
              <w:top w:val="single" w:sz="4" w:space="0" w:color="auto"/>
              <w:left w:val="nil"/>
              <w:bottom w:val="nil"/>
              <w:right w:val="nil"/>
            </w:tcBorders>
            <w:vAlign w:val="center"/>
          </w:tcPr>
          <w:p w14:paraId="0E912A8E"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29%</w:t>
            </w:r>
          </w:p>
        </w:tc>
        <w:tc>
          <w:tcPr>
            <w:tcW w:w="891" w:type="pct"/>
            <w:tcBorders>
              <w:top w:val="single" w:sz="4" w:space="0" w:color="auto"/>
              <w:left w:val="nil"/>
              <w:bottom w:val="nil"/>
              <w:right w:val="nil"/>
            </w:tcBorders>
            <w:vAlign w:val="center"/>
          </w:tcPr>
          <w:p w14:paraId="721A3CFC"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14,90%</w:t>
            </w:r>
          </w:p>
        </w:tc>
        <w:tc>
          <w:tcPr>
            <w:tcW w:w="707" w:type="pct"/>
            <w:tcBorders>
              <w:top w:val="single" w:sz="4" w:space="0" w:color="auto"/>
              <w:left w:val="nil"/>
              <w:bottom w:val="nil"/>
              <w:right w:val="nil"/>
            </w:tcBorders>
            <w:vAlign w:val="center"/>
          </w:tcPr>
          <w:p w14:paraId="73A2809C"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1,938</w:t>
            </w:r>
          </w:p>
        </w:tc>
        <w:tc>
          <w:tcPr>
            <w:tcW w:w="627" w:type="pct"/>
            <w:tcBorders>
              <w:top w:val="single" w:sz="4" w:space="0" w:color="auto"/>
              <w:left w:val="nil"/>
              <w:bottom w:val="nil"/>
              <w:right w:val="nil"/>
            </w:tcBorders>
            <w:vAlign w:val="center"/>
          </w:tcPr>
          <w:p w14:paraId="3C2CE49F"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4,301</w:t>
            </w:r>
          </w:p>
        </w:tc>
      </w:tr>
      <w:tr w:rsidR="00EC537F" w:rsidRPr="004E4790" w14:paraId="2CCE3B75" w14:textId="77777777" w:rsidTr="00EC537F">
        <w:trPr>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nil"/>
              <w:left w:val="nil"/>
              <w:bottom w:val="nil"/>
              <w:right w:val="nil"/>
            </w:tcBorders>
            <w:vAlign w:val="center"/>
          </w:tcPr>
          <w:p w14:paraId="67FA0B27" w14:textId="77777777" w:rsidR="00EC537F" w:rsidRPr="00594C4A" w:rsidRDefault="00EC537F" w:rsidP="00CD037B">
            <w:pPr>
              <w:spacing w:after="0"/>
              <w:rPr>
                <w:rFonts w:cs="Times New Roman"/>
                <w:b w:val="0"/>
                <w:sz w:val="22"/>
              </w:rPr>
            </w:pPr>
            <w:r w:rsidRPr="00594C4A">
              <w:rPr>
                <w:rFonts w:cs="Times New Roman"/>
                <w:b w:val="0"/>
                <w:sz w:val="22"/>
              </w:rPr>
              <w:t>Participação e Interação</w:t>
            </w:r>
          </w:p>
        </w:tc>
        <w:tc>
          <w:tcPr>
            <w:tcW w:w="464" w:type="pct"/>
            <w:tcBorders>
              <w:top w:val="nil"/>
              <w:left w:val="nil"/>
              <w:bottom w:val="nil"/>
              <w:right w:val="nil"/>
            </w:tcBorders>
            <w:vAlign w:val="center"/>
          </w:tcPr>
          <w:p w14:paraId="7E8AB400"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w:t>
            </w:r>
          </w:p>
        </w:tc>
        <w:tc>
          <w:tcPr>
            <w:tcW w:w="507" w:type="pct"/>
            <w:tcBorders>
              <w:top w:val="nil"/>
              <w:left w:val="nil"/>
              <w:bottom w:val="nil"/>
              <w:right w:val="nil"/>
            </w:tcBorders>
            <w:vAlign w:val="center"/>
          </w:tcPr>
          <w:p w14:paraId="2A28663A"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100%</w:t>
            </w:r>
          </w:p>
        </w:tc>
        <w:tc>
          <w:tcPr>
            <w:tcW w:w="522" w:type="pct"/>
            <w:tcBorders>
              <w:top w:val="nil"/>
              <w:left w:val="nil"/>
              <w:bottom w:val="nil"/>
              <w:right w:val="nil"/>
            </w:tcBorders>
            <w:vAlign w:val="center"/>
          </w:tcPr>
          <w:p w14:paraId="6AE68D38"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95,73%</w:t>
            </w:r>
          </w:p>
        </w:tc>
        <w:tc>
          <w:tcPr>
            <w:tcW w:w="455" w:type="pct"/>
            <w:tcBorders>
              <w:top w:val="nil"/>
              <w:left w:val="nil"/>
              <w:bottom w:val="nil"/>
              <w:right w:val="nil"/>
            </w:tcBorders>
            <w:vAlign w:val="center"/>
          </w:tcPr>
          <w:p w14:paraId="29C4887E"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100%</w:t>
            </w:r>
          </w:p>
        </w:tc>
        <w:tc>
          <w:tcPr>
            <w:tcW w:w="891" w:type="pct"/>
            <w:tcBorders>
              <w:top w:val="nil"/>
              <w:left w:val="nil"/>
              <w:bottom w:val="nil"/>
              <w:right w:val="nil"/>
            </w:tcBorders>
            <w:vAlign w:val="center"/>
          </w:tcPr>
          <w:p w14:paraId="73B51A05"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20,26%</w:t>
            </w:r>
          </w:p>
        </w:tc>
        <w:tc>
          <w:tcPr>
            <w:tcW w:w="707" w:type="pct"/>
            <w:tcBorders>
              <w:top w:val="nil"/>
              <w:left w:val="nil"/>
              <w:bottom w:val="nil"/>
              <w:right w:val="nil"/>
            </w:tcBorders>
            <w:vAlign w:val="center"/>
          </w:tcPr>
          <w:p w14:paraId="05B42044"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-4,559</w:t>
            </w:r>
          </w:p>
        </w:tc>
        <w:tc>
          <w:tcPr>
            <w:tcW w:w="627" w:type="pct"/>
            <w:tcBorders>
              <w:top w:val="nil"/>
              <w:left w:val="nil"/>
              <w:bottom w:val="nil"/>
              <w:right w:val="nil"/>
            </w:tcBorders>
            <w:vAlign w:val="center"/>
          </w:tcPr>
          <w:p w14:paraId="6A467A49"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18,964</w:t>
            </w:r>
          </w:p>
        </w:tc>
      </w:tr>
      <w:tr w:rsidR="00EC537F" w:rsidRPr="004E4790" w14:paraId="09DD46E6" w14:textId="77777777" w:rsidTr="00EC537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nil"/>
              <w:left w:val="nil"/>
              <w:bottom w:val="nil"/>
              <w:right w:val="nil"/>
            </w:tcBorders>
            <w:vAlign w:val="center"/>
          </w:tcPr>
          <w:p w14:paraId="7ECBB16C" w14:textId="77777777" w:rsidR="00EC537F" w:rsidRPr="00594C4A" w:rsidRDefault="00EC537F" w:rsidP="00CD037B">
            <w:pPr>
              <w:spacing w:after="0"/>
              <w:rPr>
                <w:rFonts w:cs="Times New Roman"/>
                <w:b w:val="0"/>
                <w:sz w:val="22"/>
              </w:rPr>
            </w:pPr>
            <w:r w:rsidRPr="00594C4A">
              <w:rPr>
                <w:rFonts w:cs="Times New Roman"/>
                <w:b w:val="0"/>
                <w:sz w:val="22"/>
              </w:rPr>
              <w:t>Mecanismos de Controle</w:t>
            </w:r>
          </w:p>
        </w:tc>
        <w:tc>
          <w:tcPr>
            <w:tcW w:w="464" w:type="pct"/>
            <w:tcBorders>
              <w:top w:val="nil"/>
              <w:left w:val="nil"/>
              <w:bottom w:val="nil"/>
              <w:right w:val="nil"/>
            </w:tcBorders>
            <w:vAlign w:val="center"/>
          </w:tcPr>
          <w:p w14:paraId="676265BB"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17,65%</w:t>
            </w:r>
          </w:p>
        </w:tc>
        <w:tc>
          <w:tcPr>
            <w:tcW w:w="507" w:type="pct"/>
            <w:tcBorders>
              <w:top w:val="nil"/>
              <w:left w:val="nil"/>
              <w:bottom w:val="nil"/>
              <w:right w:val="nil"/>
            </w:tcBorders>
            <w:vAlign w:val="center"/>
          </w:tcPr>
          <w:p w14:paraId="44E5AD8C"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95,59%</w:t>
            </w:r>
          </w:p>
        </w:tc>
        <w:tc>
          <w:tcPr>
            <w:tcW w:w="522" w:type="pct"/>
            <w:tcBorders>
              <w:top w:val="nil"/>
              <w:left w:val="nil"/>
              <w:bottom w:val="nil"/>
              <w:right w:val="nil"/>
            </w:tcBorders>
            <w:vAlign w:val="center"/>
          </w:tcPr>
          <w:p w14:paraId="3A3F9BF1"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71,50%</w:t>
            </w:r>
          </w:p>
        </w:tc>
        <w:tc>
          <w:tcPr>
            <w:tcW w:w="455" w:type="pct"/>
            <w:tcBorders>
              <w:top w:val="nil"/>
              <w:left w:val="nil"/>
              <w:bottom w:val="nil"/>
              <w:right w:val="nil"/>
            </w:tcBorders>
            <w:vAlign w:val="center"/>
          </w:tcPr>
          <w:p w14:paraId="354E3C5A"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87%</w:t>
            </w:r>
          </w:p>
        </w:tc>
        <w:tc>
          <w:tcPr>
            <w:tcW w:w="891" w:type="pct"/>
            <w:tcBorders>
              <w:top w:val="nil"/>
              <w:left w:val="nil"/>
              <w:bottom w:val="nil"/>
              <w:right w:val="nil"/>
            </w:tcBorders>
            <w:vAlign w:val="center"/>
          </w:tcPr>
          <w:p w14:paraId="156E0D55"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19,73%</w:t>
            </w:r>
          </w:p>
        </w:tc>
        <w:tc>
          <w:tcPr>
            <w:tcW w:w="707" w:type="pct"/>
            <w:tcBorders>
              <w:top w:val="nil"/>
              <w:left w:val="nil"/>
              <w:bottom w:val="nil"/>
              <w:right w:val="nil"/>
            </w:tcBorders>
            <w:vAlign w:val="center"/>
          </w:tcPr>
          <w:p w14:paraId="3A02380B"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-0,444</w:t>
            </w:r>
          </w:p>
        </w:tc>
        <w:tc>
          <w:tcPr>
            <w:tcW w:w="627" w:type="pct"/>
            <w:tcBorders>
              <w:top w:val="nil"/>
              <w:left w:val="nil"/>
              <w:bottom w:val="nil"/>
              <w:right w:val="nil"/>
            </w:tcBorders>
            <w:vAlign w:val="center"/>
          </w:tcPr>
          <w:p w14:paraId="022CC063"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-1,420</w:t>
            </w:r>
          </w:p>
        </w:tc>
      </w:tr>
      <w:tr w:rsidR="00EC537F" w:rsidRPr="004E4790" w14:paraId="38A752D4" w14:textId="77777777" w:rsidTr="00EC537F">
        <w:trPr>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nil"/>
              <w:left w:val="nil"/>
              <w:bottom w:val="nil"/>
              <w:right w:val="nil"/>
            </w:tcBorders>
            <w:vAlign w:val="center"/>
          </w:tcPr>
          <w:p w14:paraId="08F58A20" w14:textId="77777777" w:rsidR="00EC537F" w:rsidRPr="00594C4A" w:rsidRDefault="00EC537F" w:rsidP="00CD037B">
            <w:pPr>
              <w:spacing w:after="0"/>
              <w:rPr>
                <w:rFonts w:cs="Times New Roman"/>
                <w:b w:val="0"/>
                <w:sz w:val="22"/>
              </w:rPr>
            </w:pPr>
            <w:r w:rsidRPr="00594C4A">
              <w:rPr>
                <w:rFonts w:cs="Times New Roman"/>
                <w:b w:val="0"/>
                <w:sz w:val="22"/>
              </w:rPr>
              <w:t>Sanção</w:t>
            </w:r>
          </w:p>
        </w:tc>
        <w:tc>
          <w:tcPr>
            <w:tcW w:w="464" w:type="pct"/>
            <w:tcBorders>
              <w:top w:val="nil"/>
              <w:left w:val="nil"/>
              <w:bottom w:val="nil"/>
              <w:right w:val="nil"/>
            </w:tcBorders>
            <w:vAlign w:val="center"/>
          </w:tcPr>
          <w:p w14:paraId="4EC0AA4F"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86%</w:t>
            </w:r>
          </w:p>
        </w:tc>
        <w:tc>
          <w:tcPr>
            <w:tcW w:w="507" w:type="pct"/>
            <w:tcBorders>
              <w:top w:val="nil"/>
              <w:left w:val="nil"/>
              <w:bottom w:val="nil"/>
              <w:right w:val="nil"/>
            </w:tcBorders>
            <w:vAlign w:val="center"/>
          </w:tcPr>
          <w:p w14:paraId="5052683A"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100%</w:t>
            </w:r>
          </w:p>
        </w:tc>
        <w:tc>
          <w:tcPr>
            <w:tcW w:w="522" w:type="pct"/>
            <w:tcBorders>
              <w:top w:val="nil"/>
              <w:left w:val="nil"/>
              <w:bottom w:val="nil"/>
              <w:right w:val="nil"/>
            </w:tcBorders>
            <w:vAlign w:val="center"/>
          </w:tcPr>
          <w:p w14:paraId="04754F9E"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97,16%</w:t>
            </w:r>
          </w:p>
        </w:tc>
        <w:tc>
          <w:tcPr>
            <w:tcW w:w="455" w:type="pct"/>
            <w:tcBorders>
              <w:top w:val="nil"/>
              <w:left w:val="nil"/>
              <w:bottom w:val="nil"/>
              <w:right w:val="nil"/>
            </w:tcBorders>
            <w:vAlign w:val="center"/>
          </w:tcPr>
          <w:p w14:paraId="237C0C02"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100%</w:t>
            </w:r>
          </w:p>
        </w:tc>
        <w:tc>
          <w:tcPr>
            <w:tcW w:w="891" w:type="pct"/>
            <w:tcBorders>
              <w:top w:val="nil"/>
              <w:left w:val="nil"/>
              <w:bottom w:val="nil"/>
              <w:right w:val="nil"/>
            </w:tcBorders>
            <w:vAlign w:val="center"/>
          </w:tcPr>
          <w:p w14:paraId="68E577A0"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5,72%</w:t>
            </w:r>
          </w:p>
        </w:tc>
        <w:tc>
          <w:tcPr>
            <w:tcW w:w="707" w:type="pct"/>
            <w:tcBorders>
              <w:top w:val="nil"/>
              <w:left w:val="nil"/>
              <w:bottom w:val="nil"/>
              <w:right w:val="nil"/>
            </w:tcBorders>
            <w:vAlign w:val="center"/>
          </w:tcPr>
          <w:p w14:paraId="462B193B"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-1,518</w:t>
            </w:r>
          </w:p>
        </w:tc>
        <w:tc>
          <w:tcPr>
            <w:tcW w:w="627" w:type="pct"/>
            <w:tcBorders>
              <w:top w:val="nil"/>
              <w:left w:val="nil"/>
              <w:bottom w:val="nil"/>
              <w:right w:val="nil"/>
            </w:tcBorders>
            <w:vAlign w:val="center"/>
          </w:tcPr>
          <w:p w14:paraId="7E73B9AE"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0,308</w:t>
            </w:r>
          </w:p>
        </w:tc>
      </w:tr>
      <w:tr w:rsidR="00EC537F" w:rsidRPr="004E4790" w14:paraId="7923F053" w14:textId="77777777" w:rsidTr="00EC537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nil"/>
              <w:left w:val="nil"/>
              <w:bottom w:val="nil"/>
              <w:right w:val="nil"/>
            </w:tcBorders>
            <w:vAlign w:val="center"/>
          </w:tcPr>
          <w:p w14:paraId="06216A5B" w14:textId="77777777" w:rsidR="00EC537F" w:rsidRPr="00594C4A" w:rsidRDefault="00EC537F" w:rsidP="00CD037B">
            <w:pPr>
              <w:spacing w:after="0"/>
              <w:rPr>
                <w:rFonts w:cs="Times New Roman"/>
                <w:sz w:val="22"/>
              </w:rPr>
            </w:pPr>
            <w:r w:rsidRPr="00594C4A">
              <w:rPr>
                <w:rFonts w:cs="Times New Roman"/>
                <w:sz w:val="22"/>
              </w:rPr>
              <w:t xml:space="preserve">Índice de </w:t>
            </w:r>
            <w:r w:rsidRPr="00594C4A">
              <w:rPr>
                <w:rFonts w:cs="Times New Roman"/>
                <w:i/>
                <w:sz w:val="22"/>
              </w:rPr>
              <w:t>Accountability</w:t>
            </w:r>
          </w:p>
        </w:tc>
        <w:tc>
          <w:tcPr>
            <w:tcW w:w="464" w:type="pct"/>
            <w:tcBorders>
              <w:top w:val="nil"/>
              <w:left w:val="nil"/>
              <w:bottom w:val="nil"/>
              <w:right w:val="nil"/>
            </w:tcBorders>
            <w:vAlign w:val="center"/>
          </w:tcPr>
          <w:p w14:paraId="4AF9E8A5"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26,72%</w:t>
            </w:r>
          </w:p>
        </w:tc>
        <w:tc>
          <w:tcPr>
            <w:tcW w:w="507" w:type="pct"/>
            <w:tcBorders>
              <w:top w:val="nil"/>
              <w:left w:val="nil"/>
              <w:bottom w:val="nil"/>
              <w:right w:val="nil"/>
            </w:tcBorders>
            <w:vAlign w:val="center"/>
          </w:tcPr>
          <w:p w14:paraId="705ED5A2"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94,83%</w:t>
            </w:r>
          </w:p>
        </w:tc>
        <w:tc>
          <w:tcPr>
            <w:tcW w:w="522" w:type="pct"/>
            <w:tcBorders>
              <w:top w:val="nil"/>
              <w:left w:val="nil"/>
              <w:bottom w:val="nil"/>
              <w:right w:val="nil"/>
            </w:tcBorders>
            <w:vAlign w:val="center"/>
          </w:tcPr>
          <w:p w14:paraId="0136A3F0"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61,33%</w:t>
            </w:r>
          </w:p>
        </w:tc>
        <w:tc>
          <w:tcPr>
            <w:tcW w:w="455" w:type="pct"/>
            <w:tcBorders>
              <w:top w:val="nil"/>
              <w:left w:val="nil"/>
              <w:bottom w:val="nil"/>
              <w:right w:val="nil"/>
            </w:tcBorders>
            <w:vAlign w:val="center"/>
          </w:tcPr>
          <w:p w14:paraId="283BD9DF"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70%</w:t>
            </w:r>
          </w:p>
        </w:tc>
        <w:tc>
          <w:tcPr>
            <w:tcW w:w="891" w:type="pct"/>
            <w:tcBorders>
              <w:top w:val="nil"/>
              <w:left w:val="nil"/>
              <w:bottom w:val="nil"/>
              <w:right w:val="nil"/>
            </w:tcBorders>
            <w:vAlign w:val="center"/>
          </w:tcPr>
          <w:p w14:paraId="1B2215E2"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14,10%</w:t>
            </w:r>
          </w:p>
        </w:tc>
        <w:tc>
          <w:tcPr>
            <w:tcW w:w="707" w:type="pct"/>
            <w:tcBorders>
              <w:top w:val="nil"/>
              <w:left w:val="nil"/>
              <w:bottom w:val="nil"/>
              <w:right w:val="nil"/>
            </w:tcBorders>
            <w:vAlign w:val="center"/>
          </w:tcPr>
          <w:p w14:paraId="05AE443A"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-0,193</w:t>
            </w:r>
          </w:p>
        </w:tc>
        <w:tc>
          <w:tcPr>
            <w:tcW w:w="627" w:type="pct"/>
            <w:tcBorders>
              <w:top w:val="nil"/>
              <w:left w:val="nil"/>
              <w:bottom w:val="nil"/>
              <w:right w:val="nil"/>
            </w:tcBorders>
            <w:vAlign w:val="center"/>
          </w:tcPr>
          <w:p w14:paraId="097C1AFC"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-0,820</w:t>
            </w:r>
          </w:p>
        </w:tc>
      </w:tr>
      <w:tr w:rsidR="00EC537F" w:rsidRPr="004E4790" w14:paraId="55FDE67B" w14:textId="77777777" w:rsidTr="00EC537F">
        <w:trPr>
          <w:trHeight w:val="562"/>
        </w:trPr>
        <w:tc>
          <w:tcPr>
            <w:cnfStyle w:val="001000000000" w:firstRow="0" w:lastRow="0" w:firstColumn="1" w:lastColumn="0" w:oddVBand="0" w:evenVBand="0" w:oddHBand="0" w:evenHBand="0" w:firstRowFirstColumn="0" w:firstRowLastColumn="0" w:lastRowFirstColumn="0" w:lastRowLastColumn="0"/>
            <w:tcW w:w="827" w:type="pct"/>
            <w:tcBorders>
              <w:top w:val="nil"/>
              <w:left w:val="nil"/>
              <w:bottom w:val="single" w:sz="4" w:space="0" w:color="auto"/>
              <w:right w:val="nil"/>
            </w:tcBorders>
            <w:vAlign w:val="center"/>
            <w:hideMark/>
          </w:tcPr>
          <w:p w14:paraId="72C7A03D" w14:textId="77777777" w:rsidR="00EC537F" w:rsidRPr="00594C4A" w:rsidRDefault="00EC537F" w:rsidP="00CD037B">
            <w:pPr>
              <w:spacing w:after="0"/>
              <w:rPr>
                <w:rFonts w:cs="Times New Roman"/>
                <w:sz w:val="22"/>
              </w:rPr>
            </w:pPr>
            <w:r w:rsidRPr="00594C4A">
              <w:rPr>
                <w:rFonts w:cs="Times New Roman"/>
                <w:sz w:val="22"/>
              </w:rPr>
              <w:t>Estrutura Mínima</w:t>
            </w:r>
          </w:p>
        </w:tc>
        <w:tc>
          <w:tcPr>
            <w:tcW w:w="464" w:type="pct"/>
            <w:tcBorders>
              <w:top w:val="nil"/>
              <w:left w:val="nil"/>
              <w:bottom w:val="single" w:sz="4" w:space="0" w:color="auto"/>
              <w:right w:val="nil"/>
            </w:tcBorders>
            <w:vAlign w:val="center"/>
            <w:hideMark/>
          </w:tcPr>
          <w:p w14:paraId="6F5B44F6"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w:t>
            </w:r>
          </w:p>
        </w:tc>
        <w:tc>
          <w:tcPr>
            <w:tcW w:w="507" w:type="pct"/>
            <w:tcBorders>
              <w:top w:val="nil"/>
              <w:left w:val="nil"/>
              <w:bottom w:val="single" w:sz="4" w:space="0" w:color="auto"/>
              <w:right w:val="nil"/>
            </w:tcBorders>
            <w:vAlign w:val="center"/>
            <w:hideMark/>
          </w:tcPr>
          <w:p w14:paraId="1B717480"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100%</w:t>
            </w:r>
          </w:p>
        </w:tc>
        <w:tc>
          <w:tcPr>
            <w:tcW w:w="522" w:type="pct"/>
            <w:tcBorders>
              <w:top w:val="nil"/>
              <w:left w:val="nil"/>
              <w:bottom w:val="single" w:sz="4" w:space="0" w:color="auto"/>
              <w:right w:val="nil"/>
            </w:tcBorders>
            <w:vAlign w:val="center"/>
            <w:hideMark/>
          </w:tcPr>
          <w:p w14:paraId="6A8F11F6"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94,21%</w:t>
            </w:r>
          </w:p>
        </w:tc>
        <w:tc>
          <w:tcPr>
            <w:tcW w:w="455" w:type="pct"/>
            <w:tcBorders>
              <w:top w:val="nil"/>
              <w:left w:val="nil"/>
              <w:bottom w:val="single" w:sz="4" w:space="0" w:color="auto"/>
              <w:right w:val="nil"/>
            </w:tcBorders>
            <w:vAlign w:val="center"/>
            <w:hideMark/>
          </w:tcPr>
          <w:p w14:paraId="0DB104CE"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100%</w:t>
            </w:r>
          </w:p>
        </w:tc>
        <w:tc>
          <w:tcPr>
            <w:tcW w:w="891" w:type="pct"/>
            <w:tcBorders>
              <w:top w:val="nil"/>
              <w:left w:val="nil"/>
              <w:bottom w:val="single" w:sz="4" w:space="0" w:color="auto"/>
              <w:right w:val="nil"/>
            </w:tcBorders>
            <w:vAlign w:val="center"/>
            <w:hideMark/>
          </w:tcPr>
          <w:p w14:paraId="5B11FEAB"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17,90%</w:t>
            </w:r>
          </w:p>
        </w:tc>
        <w:tc>
          <w:tcPr>
            <w:tcW w:w="707" w:type="pct"/>
            <w:tcBorders>
              <w:top w:val="nil"/>
              <w:left w:val="nil"/>
              <w:bottom w:val="single" w:sz="4" w:space="0" w:color="auto"/>
              <w:right w:val="nil"/>
            </w:tcBorders>
            <w:vAlign w:val="center"/>
            <w:hideMark/>
          </w:tcPr>
          <w:p w14:paraId="5C63C9ED"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-4,893</w:t>
            </w:r>
          </w:p>
        </w:tc>
        <w:tc>
          <w:tcPr>
            <w:tcW w:w="627" w:type="pct"/>
            <w:tcBorders>
              <w:top w:val="nil"/>
              <w:left w:val="nil"/>
              <w:bottom w:val="single" w:sz="4" w:space="0" w:color="auto"/>
              <w:right w:val="nil"/>
            </w:tcBorders>
            <w:vAlign w:val="center"/>
            <w:hideMark/>
          </w:tcPr>
          <w:p w14:paraId="7B4660D6"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23,305</w:t>
            </w:r>
          </w:p>
        </w:tc>
      </w:tr>
    </w:tbl>
    <w:p w14:paraId="087FD687" w14:textId="7C099427" w:rsidR="00EC537F" w:rsidRPr="00594C4A" w:rsidRDefault="00EC537F" w:rsidP="00673650">
      <w:pPr>
        <w:spacing w:line="360" w:lineRule="auto"/>
        <w:rPr>
          <w:rFonts w:cs="Times New Roman"/>
          <w:sz w:val="20"/>
          <w:szCs w:val="20"/>
        </w:rPr>
      </w:pPr>
      <w:r w:rsidRPr="00594C4A">
        <w:rPr>
          <w:rFonts w:cs="Times New Roman"/>
          <w:sz w:val="20"/>
          <w:szCs w:val="20"/>
        </w:rPr>
        <w:t>Fonte: Elaborado pelo</w:t>
      </w:r>
      <w:r w:rsidR="000E2B76" w:rsidRPr="00594C4A">
        <w:rPr>
          <w:rFonts w:cs="Times New Roman"/>
          <w:sz w:val="20"/>
          <w:szCs w:val="20"/>
        </w:rPr>
        <w:t>s</w:t>
      </w:r>
      <w:r w:rsidRPr="00594C4A">
        <w:rPr>
          <w:rFonts w:cs="Times New Roman"/>
          <w:sz w:val="20"/>
          <w:szCs w:val="20"/>
        </w:rPr>
        <w:t xml:space="preserve"> autor</w:t>
      </w:r>
      <w:r w:rsidR="000E2B76" w:rsidRPr="00594C4A">
        <w:rPr>
          <w:rFonts w:cs="Times New Roman"/>
          <w:sz w:val="20"/>
          <w:szCs w:val="20"/>
        </w:rPr>
        <w:t>es</w:t>
      </w:r>
      <w:r w:rsidRPr="00594C4A">
        <w:rPr>
          <w:rFonts w:cs="Times New Roman"/>
          <w:sz w:val="20"/>
          <w:szCs w:val="20"/>
        </w:rPr>
        <w:t>.</w:t>
      </w:r>
    </w:p>
    <w:p w14:paraId="2B55A45A" w14:textId="0D6E7DBD" w:rsidR="00EC537F" w:rsidRDefault="00EC537F" w:rsidP="00594C4A">
      <w:pPr>
        <w:spacing w:after="0"/>
        <w:ind w:firstLine="709"/>
        <w:jc w:val="both"/>
        <w:rPr>
          <w:rFonts w:eastAsia="Calibri"/>
        </w:rPr>
      </w:pPr>
      <w:r>
        <w:rPr>
          <w:rFonts w:eastAsia="Calibri"/>
        </w:rPr>
        <w:t xml:space="preserve">A variável Informação Transparente pode assumir valores entre 0 e 100%, </w:t>
      </w:r>
      <w:r>
        <w:rPr>
          <w:color w:val="000000"/>
        </w:rPr>
        <w:t>O valor mínimo observado foi de 2,63% em Barbacena e o valor máximo de 97,37% nos municípios de Belo Horizonte e Viçosa. A média obtida foi de 33,86% e com um desvio padrão de 14,9% em comparação com a média, o que demonstra que a grande parte dos RPPS se enc</w:t>
      </w:r>
      <w:r w:rsidR="000E2B76">
        <w:rPr>
          <w:color w:val="000000"/>
        </w:rPr>
        <w:t>ontram na faixa inferior a 50%.</w:t>
      </w:r>
    </w:p>
    <w:p w14:paraId="0F8EEA17" w14:textId="77777777" w:rsidR="00EC537F" w:rsidRDefault="00EC537F" w:rsidP="00594C4A">
      <w:pPr>
        <w:spacing w:after="0"/>
        <w:ind w:firstLine="709"/>
        <w:jc w:val="both"/>
        <w:rPr>
          <w:color w:val="000000"/>
        </w:rPr>
      </w:pPr>
      <w:r>
        <w:rPr>
          <w:rFonts w:eastAsia="Calibri"/>
        </w:rPr>
        <w:t xml:space="preserve">Quanto ao item participação e interação, a média dos RPPS Mineiros é de 95,73% com moda 100% e desvio padrão de 20,26%, com a </w:t>
      </w:r>
      <w:r w:rsidRPr="00A540BC">
        <w:rPr>
          <w:rFonts w:eastAsia="Calibri"/>
        </w:rPr>
        <w:t>assimetri</w:t>
      </w:r>
      <w:r>
        <w:rPr>
          <w:rFonts w:eastAsia="Calibri"/>
        </w:rPr>
        <w:t>a</w:t>
      </w:r>
      <w:r w:rsidRPr="00A540BC">
        <w:rPr>
          <w:rFonts w:eastAsia="Calibri"/>
        </w:rPr>
        <w:t xml:space="preserve"> à esquerda</w:t>
      </w:r>
      <w:r>
        <w:rPr>
          <w:rFonts w:eastAsia="Calibri"/>
        </w:rPr>
        <w:t xml:space="preserve"> e </w:t>
      </w:r>
      <w:r w:rsidRPr="00A540BC">
        <w:rPr>
          <w:rFonts w:eastAsia="Calibri"/>
        </w:rPr>
        <w:t>distribuição leptocúrtica</w:t>
      </w:r>
      <w:r>
        <w:rPr>
          <w:rFonts w:eastAsia="Calibri"/>
        </w:rPr>
        <w:t xml:space="preserve">, ou seja, a grande parte dos RPPS está concentrada acima da faixa de 80% nesse indicador, </w:t>
      </w:r>
      <w:r>
        <w:rPr>
          <w:color w:val="000000"/>
        </w:rPr>
        <w:t xml:space="preserve">Vários RPPS obtiveram valores extremos, ausência de participação ou sua totalidade. </w:t>
      </w:r>
    </w:p>
    <w:p w14:paraId="78B71C37" w14:textId="6081C21A" w:rsidR="00EC537F" w:rsidRDefault="00EC537F" w:rsidP="00594C4A">
      <w:pPr>
        <w:spacing w:after="0"/>
        <w:ind w:firstLine="709"/>
        <w:jc w:val="both"/>
        <w:rPr>
          <w:color w:val="000000"/>
        </w:rPr>
      </w:pPr>
      <w:r>
        <w:rPr>
          <w:rFonts w:eastAsia="Calibri"/>
        </w:rPr>
        <w:t xml:space="preserve">O </w:t>
      </w:r>
      <w:r w:rsidRPr="00911D3C">
        <w:rPr>
          <w:rFonts w:eastAsia="Calibri"/>
          <w:i/>
        </w:rPr>
        <w:t>constructo</w:t>
      </w:r>
      <w:r>
        <w:rPr>
          <w:rFonts w:eastAsia="Calibri"/>
        </w:rPr>
        <w:t xml:space="preserve"> Mecanismo de Controle também pode assumir valores entre 0 e 100%, </w:t>
      </w:r>
      <w:r>
        <w:rPr>
          <w:color w:val="000000"/>
        </w:rPr>
        <w:t>O valor mínimo observado foi de 17,65% em Betim e o valor máximo de 95,59% nos municípios de Sarzedo e Uberlândia. A média obtida foi de 71</w:t>
      </w:r>
      <w:r w:rsidR="000E2B76">
        <w:rPr>
          <w:color w:val="000000"/>
        </w:rPr>
        <w:t>,50% e desvio padrão de 19,76%.</w:t>
      </w:r>
    </w:p>
    <w:p w14:paraId="23C25C19" w14:textId="77777777" w:rsidR="00EC537F" w:rsidRPr="00F73632" w:rsidRDefault="00EC537F" w:rsidP="00594C4A">
      <w:pPr>
        <w:spacing w:after="0"/>
        <w:ind w:firstLine="709"/>
        <w:jc w:val="both"/>
        <w:rPr>
          <w:rFonts w:eastAsia="Calibri"/>
        </w:rPr>
      </w:pPr>
      <w:r>
        <w:rPr>
          <w:color w:val="000000"/>
        </w:rPr>
        <w:t>Quanto ao item sanção, a grande maioria dos RPPS obtiveram 100% dos itens de forma positiva, a média foi de 97,16% e a moda de 100%, o desvio foi de 5,02% o que demonstra que não há grande discrepância entre os RPPS, o que pode ser traduzido na não aplicação de sanções ao RPPS.</w:t>
      </w:r>
    </w:p>
    <w:p w14:paraId="7253F722" w14:textId="6D004652" w:rsidR="00EC537F" w:rsidRDefault="00EC537F" w:rsidP="00594C4A">
      <w:pPr>
        <w:spacing w:after="0"/>
        <w:ind w:firstLine="709"/>
        <w:jc w:val="both"/>
        <w:rPr>
          <w:color w:val="000000"/>
        </w:rPr>
      </w:pPr>
      <w:r>
        <w:rPr>
          <w:rFonts w:eastAsia="Calibri"/>
        </w:rPr>
        <w:t xml:space="preserve">O índice de </w:t>
      </w:r>
      <w:r w:rsidRPr="00C335E6">
        <w:rPr>
          <w:rFonts w:eastAsia="Calibri"/>
          <w:i/>
        </w:rPr>
        <w:t>accountability</w:t>
      </w:r>
      <w:r>
        <w:rPr>
          <w:rFonts w:eastAsia="Calibri"/>
        </w:rPr>
        <w:t xml:space="preserve"> normativa dos</w:t>
      </w:r>
      <w:r w:rsidRPr="00DD7A78">
        <w:rPr>
          <w:rFonts w:eastAsia="Calibri"/>
        </w:rPr>
        <w:t xml:space="preserve"> </w:t>
      </w:r>
      <w:r>
        <w:rPr>
          <w:rFonts w:eastAsia="Calibri"/>
        </w:rPr>
        <w:t xml:space="preserve">RPPS é composto pelos </w:t>
      </w:r>
      <w:r w:rsidRPr="00911D3C">
        <w:rPr>
          <w:rFonts w:eastAsia="Calibri"/>
          <w:i/>
        </w:rPr>
        <w:t>constructo</w:t>
      </w:r>
      <w:r>
        <w:rPr>
          <w:rFonts w:eastAsia="Calibri"/>
        </w:rPr>
        <w:t>s Informação Transparente,</w:t>
      </w:r>
      <w:r w:rsidRPr="00DD7A78">
        <w:rPr>
          <w:rFonts w:eastAsia="Calibri"/>
        </w:rPr>
        <w:t xml:space="preserve"> </w:t>
      </w:r>
      <w:r>
        <w:rPr>
          <w:rFonts w:eastAsia="Calibri"/>
        </w:rPr>
        <w:t xml:space="preserve">Participação e Interação, Mecanismos de Controle e </w:t>
      </w:r>
      <w:r w:rsidRPr="003C4B46">
        <w:rPr>
          <w:rFonts w:eastAsia="Calibri"/>
        </w:rPr>
        <w:t>Sanção</w:t>
      </w:r>
      <w:r>
        <w:rPr>
          <w:rFonts w:eastAsia="Calibri"/>
        </w:rPr>
        <w:t xml:space="preserve">, e pode assumir valores entre 0 e 100%, </w:t>
      </w:r>
      <w:r>
        <w:rPr>
          <w:color w:val="000000"/>
        </w:rPr>
        <w:t xml:space="preserve">O valor mínimo observado foi de 26,72% em São Sebastião do Paraiso e o valor máximo de 94,83% nos municípios de Belo Horizonte e Viçosa. O valor do desvio padrão de 14,1% em comparação com a média de 61,33% demonstra que não há grande discrepância entre os RPPS com relação à </w:t>
      </w:r>
      <w:r w:rsidRPr="00C335E6">
        <w:rPr>
          <w:i/>
          <w:color w:val="000000"/>
        </w:rPr>
        <w:t>accountability</w:t>
      </w:r>
      <w:r>
        <w:rPr>
          <w:color w:val="000000"/>
        </w:rPr>
        <w:t xml:space="preserve"> normativa</w:t>
      </w:r>
      <w:r w:rsidR="00E2762E">
        <w:rPr>
          <w:color w:val="000000"/>
        </w:rPr>
        <w:t>.</w:t>
      </w:r>
      <w:r>
        <w:rPr>
          <w:color w:val="000000"/>
        </w:rPr>
        <w:t xml:space="preserve"> </w:t>
      </w:r>
    </w:p>
    <w:p w14:paraId="1A3CBB34" w14:textId="77777777" w:rsidR="00EC537F" w:rsidRDefault="00EC537F" w:rsidP="00594C4A">
      <w:pPr>
        <w:spacing w:after="0"/>
        <w:ind w:firstLine="709"/>
        <w:jc w:val="both"/>
        <w:rPr>
          <w:color w:val="000000"/>
        </w:rPr>
      </w:pPr>
      <w:r>
        <w:rPr>
          <w:rFonts w:eastAsia="Calibri"/>
        </w:rPr>
        <w:t xml:space="preserve">Apesar de não fazer parte do </w:t>
      </w:r>
      <w:r w:rsidRPr="00911D3C">
        <w:rPr>
          <w:rFonts w:eastAsia="Calibri"/>
          <w:i/>
        </w:rPr>
        <w:t>constructo</w:t>
      </w:r>
      <w:r>
        <w:rPr>
          <w:rFonts w:eastAsia="Calibri"/>
        </w:rPr>
        <w:t xml:space="preserve"> que compõe o Índice de </w:t>
      </w:r>
      <w:r w:rsidRPr="00C335E6">
        <w:rPr>
          <w:rFonts w:eastAsia="Calibri"/>
          <w:i/>
        </w:rPr>
        <w:t>accountability</w:t>
      </w:r>
      <w:r>
        <w:rPr>
          <w:rFonts w:eastAsia="Calibri"/>
        </w:rPr>
        <w:t xml:space="preserve"> normativa, a variável Estrutura Mínima é importante pois</w:t>
      </w:r>
      <w:r>
        <w:rPr>
          <w:rFonts w:cs="Times New Roman"/>
          <w:szCs w:val="24"/>
        </w:rPr>
        <w:t xml:space="preserve"> atesta o atendimento de todas as exigências mínimas dispostas nas Leis nº 9.717/</w:t>
      </w:r>
      <w:r w:rsidRPr="00A25810">
        <w:rPr>
          <w:rFonts w:cs="Times New Roman"/>
          <w:szCs w:val="24"/>
        </w:rPr>
        <w:t>1998</w:t>
      </w:r>
      <w:r>
        <w:rPr>
          <w:rFonts w:cs="Times New Roman"/>
          <w:szCs w:val="24"/>
        </w:rPr>
        <w:t>, 10.887/2204 e da portaria MPS nº 402/2008 referentes a sua estrutura e forma de atuação</w:t>
      </w:r>
      <w:r>
        <w:rPr>
          <w:rFonts w:eastAsia="Calibri"/>
        </w:rPr>
        <w:t xml:space="preserve">, o que é um grande passo para a presença de bons indicadores de </w:t>
      </w:r>
      <w:r w:rsidRPr="00C335E6">
        <w:rPr>
          <w:rFonts w:eastAsia="Calibri"/>
          <w:i/>
        </w:rPr>
        <w:t>accountability</w:t>
      </w:r>
      <w:r>
        <w:rPr>
          <w:rFonts w:eastAsia="Calibri"/>
        </w:rPr>
        <w:t xml:space="preserve">, a média dessa variável foi de 94,21% com moda 100% e desvio padrão de 17,90%, com a </w:t>
      </w:r>
      <w:r w:rsidRPr="00A540BC">
        <w:rPr>
          <w:rFonts w:eastAsia="Calibri"/>
        </w:rPr>
        <w:t>assimetri</w:t>
      </w:r>
      <w:r>
        <w:rPr>
          <w:rFonts w:eastAsia="Calibri"/>
        </w:rPr>
        <w:t>a</w:t>
      </w:r>
      <w:r w:rsidRPr="00A540BC">
        <w:rPr>
          <w:rFonts w:eastAsia="Calibri"/>
        </w:rPr>
        <w:t xml:space="preserve"> à esquerda</w:t>
      </w:r>
      <w:r>
        <w:rPr>
          <w:rFonts w:eastAsia="Calibri"/>
        </w:rPr>
        <w:t xml:space="preserve"> e </w:t>
      </w:r>
      <w:r w:rsidRPr="00A540BC">
        <w:rPr>
          <w:rFonts w:eastAsia="Calibri"/>
        </w:rPr>
        <w:t>distribuição leptocúrtica</w:t>
      </w:r>
      <w:r>
        <w:rPr>
          <w:rFonts w:eastAsia="Calibri"/>
        </w:rPr>
        <w:t>, ou seja, a grande parte dos RPPS está concentrada acima da faixa de 75% nesse indicador.</w:t>
      </w:r>
      <w:r>
        <w:rPr>
          <w:color w:val="000000"/>
        </w:rPr>
        <w:t xml:space="preserve"> </w:t>
      </w:r>
    </w:p>
    <w:p w14:paraId="2A425D30" w14:textId="339F652B" w:rsidR="00C6065A" w:rsidRDefault="00EC537F" w:rsidP="00594C4A">
      <w:pPr>
        <w:spacing w:after="0"/>
        <w:ind w:firstLine="709"/>
        <w:jc w:val="both"/>
        <w:rPr>
          <w:color w:val="000000"/>
        </w:rPr>
      </w:pPr>
      <w:r>
        <w:rPr>
          <w:color w:val="000000"/>
        </w:rPr>
        <w:lastRenderedPageBreak/>
        <w:t xml:space="preserve">Com intuito de realizar a síntese dos resultados obtidos e de hierarquizar os RPPS quanto à seu índice de </w:t>
      </w:r>
      <w:r w:rsidRPr="00C335E6">
        <w:rPr>
          <w:i/>
          <w:color w:val="000000"/>
        </w:rPr>
        <w:t>accountability</w:t>
      </w:r>
      <w:r>
        <w:rPr>
          <w:color w:val="000000"/>
        </w:rPr>
        <w:t xml:space="preserve">, foi realizado o agrupamento dos RPPS em grupos, como a distribuição não segue uma distribuição normal, não foi utilizado como critério de classificação o desvio padrão em torno da média, Sendo as faixas definidas pelo agrupamento visual em faixas e outros critérios subjetivos, dando origem a cinco estratos de Nível de </w:t>
      </w:r>
      <w:r w:rsidRPr="00C335E6">
        <w:rPr>
          <w:i/>
          <w:color w:val="000000"/>
        </w:rPr>
        <w:t>accountability</w:t>
      </w:r>
      <w:r>
        <w:rPr>
          <w:i/>
          <w:color w:val="000000"/>
        </w:rPr>
        <w:t xml:space="preserve">, </w:t>
      </w:r>
      <w:r>
        <w:rPr>
          <w:color w:val="000000"/>
        </w:rPr>
        <w:t xml:space="preserve">conforme pode-se visualizar na Tabela 2. </w:t>
      </w:r>
    </w:p>
    <w:p w14:paraId="64C46F92" w14:textId="77777777" w:rsidR="00594C4A" w:rsidRPr="000E2B76" w:rsidRDefault="00594C4A" w:rsidP="00594C4A">
      <w:pPr>
        <w:spacing w:after="0"/>
        <w:ind w:firstLine="709"/>
        <w:jc w:val="both"/>
        <w:rPr>
          <w:color w:val="000000"/>
        </w:rPr>
      </w:pPr>
    </w:p>
    <w:p w14:paraId="4EFDB57B" w14:textId="77777777" w:rsidR="00EC537F" w:rsidRPr="00594C4A" w:rsidRDefault="00EC537F" w:rsidP="00CD037B">
      <w:pPr>
        <w:spacing w:after="0"/>
        <w:rPr>
          <w:sz w:val="20"/>
          <w:szCs w:val="20"/>
        </w:rPr>
      </w:pPr>
      <w:bookmarkStart w:id="21" w:name="_Toc442957931"/>
      <w:r w:rsidRPr="00594C4A">
        <w:rPr>
          <w:b/>
          <w:sz w:val="20"/>
          <w:szCs w:val="20"/>
        </w:rPr>
        <w:t xml:space="preserve">Tabela </w:t>
      </w:r>
      <w:r w:rsidRPr="00594C4A">
        <w:rPr>
          <w:b/>
          <w:sz w:val="20"/>
          <w:szCs w:val="20"/>
        </w:rPr>
        <w:fldChar w:fldCharType="begin"/>
      </w:r>
      <w:r w:rsidRPr="00594C4A">
        <w:rPr>
          <w:b/>
          <w:sz w:val="20"/>
          <w:szCs w:val="20"/>
        </w:rPr>
        <w:instrText xml:space="preserve"> SEQ Tabela \* ARABIC </w:instrText>
      </w:r>
      <w:r w:rsidRPr="00594C4A">
        <w:rPr>
          <w:b/>
          <w:sz w:val="20"/>
          <w:szCs w:val="20"/>
        </w:rPr>
        <w:fldChar w:fldCharType="separate"/>
      </w:r>
      <w:r w:rsidRPr="00594C4A">
        <w:rPr>
          <w:b/>
          <w:noProof/>
          <w:sz w:val="20"/>
          <w:szCs w:val="20"/>
        </w:rPr>
        <w:t>2</w:t>
      </w:r>
      <w:r w:rsidRPr="00594C4A">
        <w:rPr>
          <w:b/>
          <w:sz w:val="20"/>
          <w:szCs w:val="20"/>
        </w:rPr>
        <w:fldChar w:fldCharType="end"/>
      </w:r>
      <w:r w:rsidRPr="00594C4A">
        <w:rPr>
          <w:sz w:val="20"/>
          <w:szCs w:val="20"/>
        </w:rPr>
        <w:t xml:space="preserve"> - Índice de </w:t>
      </w:r>
      <w:r w:rsidRPr="00594C4A">
        <w:rPr>
          <w:i/>
          <w:sz w:val="20"/>
          <w:szCs w:val="20"/>
        </w:rPr>
        <w:t>accountability</w:t>
      </w:r>
      <w:r w:rsidRPr="00594C4A">
        <w:rPr>
          <w:sz w:val="20"/>
          <w:szCs w:val="20"/>
        </w:rPr>
        <w:t xml:space="preserve"> normativa agrupado</w:t>
      </w:r>
      <w:bookmarkEnd w:id="21"/>
    </w:p>
    <w:tbl>
      <w:tblPr>
        <w:tblStyle w:val="Tabelacomgrade"/>
        <w:tblW w:w="5002" w:type="pct"/>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447"/>
        <w:gridCol w:w="2282"/>
        <w:gridCol w:w="2282"/>
        <w:gridCol w:w="2280"/>
      </w:tblGrid>
      <w:tr w:rsidR="00EC537F" w14:paraId="55E1E7D7" w14:textId="77777777" w:rsidTr="00EC537F">
        <w:tc>
          <w:tcPr>
            <w:tcW w:w="1317" w:type="pct"/>
            <w:tcBorders>
              <w:top w:val="single" w:sz="8" w:space="0" w:color="000000" w:themeColor="text1"/>
              <w:bottom w:val="single" w:sz="8" w:space="0" w:color="000000" w:themeColor="text1"/>
            </w:tcBorders>
          </w:tcPr>
          <w:p w14:paraId="76280E9D" w14:textId="77777777" w:rsidR="00EC537F" w:rsidRPr="00477C43" w:rsidRDefault="00EC537F" w:rsidP="00CD037B">
            <w:pPr>
              <w:spacing w:after="0"/>
              <w:rPr>
                <w:b/>
                <w:sz w:val="22"/>
              </w:rPr>
            </w:pPr>
            <w:r w:rsidRPr="00477C43">
              <w:rPr>
                <w:b/>
                <w:sz w:val="22"/>
              </w:rPr>
              <w:t xml:space="preserve">Nível de </w:t>
            </w:r>
            <w:r w:rsidRPr="00C335E6">
              <w:rPr>
                <w:b/>
                <w:i/>
                <w:sz w:val="22"/>
              </w:rPr>
              <w:t>Accountability</w:t>
            </w:r>
          </w:p>
        </w:tc>
        <w:tc>
          <w:tcPr>
            <w:tcW w:w="1228" w:type="pct"/>
            <w:tcBorders>
              <w:top w:val="single" w:sz="8" w:space="0" w:color="000000" w:themeColor="text1"/>
              <w:bottom w:val="single" w:sz="8" w:space="0" w:color="000000" w:themeColor="text1"/>
            </w:tcBorders>
          </w:tcPr>
          <w:p w14:paraId="79C5A28E" w14:textId="77777777" w:rsidR="00EC537F" w:rsidRPr="00477C43" w:rsidRDefault="00EC537F" w:rsidP="00CD037B">
            <w:pPr>
              <w:spacing w:after="0"/>
              <w:jc w:val="center"/>
              <w:rPr>
                <w:b/>
                <w:sz w:val="22"/>
              </w:rPr>
            </w:pPr>
            <w:r w:rsidRPr="00477C43">
              <w:rPr>
                <w:b/>
                <w:sz w:val="22"/>
              </w:rPr>
              <w:t>Escala de Classificação</w:t>
            </w:r>
          </w:p>
        </w:tc>
        <w:tc>
          <w:tcPr>
            <w:tcW w:w="1228" w:type="pct"/>
            <w:tcBorders>
              <w:top w:val="single" w:sz="8" w:space="0" w:color="000000" w:themeColor="text1"/>
              <w:bottom w:val="single" w:sz="8" w:space="0" w:color="000000" w:themeColor="text1"/>
            </w:tcBorders>
          </w:tcPr>
          <w:p w14:paraId="2DFA15CD" w14:textId="77777777" w:rsidR="00EC537F" w:rsidRPr="00477C43" w:rsidRDefault="00EC537F" w:rsidP="00CD037B">
            <w:pPr>
              <w:spacing w:after="0"/>
              <w:jc w:val="center"/>
              <w:rPr>
                <w:b/>
                <w:sz w:val="22"/>
              </w:rPr>
            </w:pPr>
            <w:r w:rsidRPr="00477C43">
              <w:rPr>
                <w:b/>
                <w:sz w:val="22"/>
              </w:rPr>
              <w:t>RPPS</w:t>
            </w:r>
          </w:p>
        </w:tc>
        <w:tc>
          <w:tcPr>
            <w:tcW w:w="1227" w:type="pct"/>
            <w:tcBorders>
              <w:top w:val="single" w:sz="8" w:space="0" w:color="000000" w:themeColor="text1"/>
              <w:bottom w:val="single" w:sz="8" w:space="0" w:color="000000" w:themeColor="text1"/>
            </w:tcBorders>
          </w:tcPr>
          <w:p w14:paraId="6E2328D2" w14:textId="77777777" w:rsidR="00EC537F" w:rsidRPr="00477C43" w:rsidRDefault="00EC537F" w:rsidP="00CD037B">
            <w:pPr>
              <w:spacing w:after="0"/>
              <w:jc w:val="center"/>
              <w:rPr>
                <w:b/>
                <w:sz w:val="22"/>
              </w:rPr>
            </w:pPr>
            <w:r w:rsidRPr="00477C43">
              <w:rPr>
                <w:b/>
                <w:sz w:val="22"/>
              </w:rPr>
              <w:t>Participação Percentual</w:t>
            </w:r>
          </w:p>
        </w:tc>
      </w:tr>
      <w:tr w:rsidR="00EC537F" w14:paraId="2D6CA42D" w14:textId="77777777" w:rsidTr="00EC537F">
        <w:tc>
          <w:tcPr>
            <w:tcW w:w="1317" w:type="pct"/>
            <w:tcBorders>
              <w:top w:val="single" w:sz="8" w:space="0" w:color="000000" w:themeColor="text1"/>
            </w:tcBorders>
          </w:tcPr>
          <w:p w14:paraId="5687FE24" w14:textId="77777777" w:rsidR="00EC537F" w:rsidRPr="00477C43" w:rsidRDefault="00EC537F" w:rsidP="00CD037B">
            <w:pPr>
              <w:spacing w:after="0"/>
              <w:rPr>
                <w:sz w:val="22"/>
              </w:rPr>
            </w:pPr>
            <w:r w:rsidRPr="00477C43">
              <w:rPr>
                <w:sz w:val="22"/>
              </w:rPr>
              <w:t>Muito Baixo</w:t>
            </w:r>
          </w:p>
        </w:tc>
        <w:tc>
          <w:tcPr>
            <w:tcW w:w="1228" w:type="pct"/>
            <w:tcBorders>
              <w:top w:val="single" w:sz="8" w:space="0" w:color="000000" w:themeColor="text1"/>
            </w:tcBorders>
          </w:tcPr>
          <w:p w14:paraId="3A2D9F84" w14:textId="77777777" w:rsidR="00EC537F" w:rsidRPr="00477C43" w:rsidRDefault="00EC537F" w:rsidP="00CD037B">
            <w:pPr>
              <w:spacing w:after="0"/>
              <w:jc w:val="center"/>
              <w:rPr>
                <w:sz w:val="22"/>
              </w:rPr>
            </w:pPr>
            <w:r w:rsidRPr="00477C43">
              <w:rPr>
                <w:sz w:val="22"/>
              </w:rPr>
              <w:t>Abaixo de 30%</w:t>
            </w:r>
          </w:p>
        </w:tc>
        <w:tc>
          <w:tcPr>
            <w:tcW w:w="1228" w:type="pct"/>
            <w:tcBorders>
              <w:top w:val="single" w:sz="8" w:space="0" w:color="000000" w:themeColor="text1"/>
            </w:tcBorders>
          </w:tcPr>
          <w:p w14:paraId="034D6F23" w14:textId="77777777" w:rsidR="00EC537F" w:rsidRPr="00477C43" w:rsidRDefault="00EC537F" w:rsidP="00CD037B">
            <w:pPr>
              <w:spacing w:after="0"/>
              <w:jc w:val="center"/>
              <w:rPr>
                <w:sz w:val="22"/>
              </w:rPr>
            </w:pPr>
            <w:r w:rsidRPr="00477C43">
              <w:rPr>
                <w:sz w:val="22"/>
              </w:rPr>
              <w:t>4</w:t>
            </w:r>
          </w:p>
        </w:tc>
        <w:tc>
          <w:tcPr>
            <w:tcW w:w="1228" w:type="pct"/>
            <w:tcBorders>
              <w:top w:val="single" w:sz="8" w:space="0" w:color="000000" w:themeColor="text1"/>
            </w:tcBorders>
          </w:tcPr>
          <w:p w14:paraId="4CAD3F92" w14:textId="77777777" w:rsidR="00EC537F" w:rsidRPr="00477C43" w:rsidRDefault="00EC537F" w:rsidP="00CD037B">
            <w:pPr>
              <w:spacing w:after="0"/>
              <w:jc w:val="center"/>
              <w:rPr>
                <w:sz w:val="22"/>
              </w:rPr>
            </w:pPr>
            <w:r w:rsidRPr="00477C43">
              <w:rPr>
                <w:sz w:val="22"/>
              </w:rPr>
              <w:t>1,9%</w:t>
            </w:r>
          </w:p>
        </w:tc>
      </w:tr>
      <w:tr w:rsidR="00EC537F" w14:paraId="533994BA" w14:textId="77777777" w:rsidTr="00EC537F">
        <w:tc>
          <w:tcPr>
            <w:tcW w:w="1317" w:type="pct"/>
          </w:tcPr>
          <w:p w14:paraId="3BE31E8D" w14:textId="77777777" w:rsidR="00EC537F" w:rsidRPr="00477C43" w:rsidRDefault="00EC537F" w:rsidP="00CD037B">
            <w:pPr>
              <w:spacing w:after="0"/>
              <w:rPr>
                <w:sz w:val="22"/>
              </w:rPr>
            </w:pPr>
            <w:r w:rsidRPr="00477C43">
              <w:rPr>
                <w:sz w:val="22"/>
              </w:rPr>
              <w:t>Baixo</w:t>
            </w:r>
          </w:p>
        </w:tc>
        <w:tc>
          <w:tcPr>
            <w:tcW w:w="1228" w:type="pct"/>
          </w:tcPr>
          <w:p w14:paraId="1317D6A6" w14:textId="77777777" w:rsidR="00EC537F" w:rsidRPr="00477C43" w:rsidRDefault="00EC537F" w:rsidP="00CD037B">
            <w:pPr>
              <w:spacing w:after="0"/>
              <w:jc w:val="center"/>
              <w:rPr>
                <w:sz w:val="22"/>
              </w:rPr>
            </w:pPr>
            <w:r w:rsidRPr="00477C43">
              <w:rPr>
                <w:sz w:val="22"/>
              </w:rPr>
              <w:t>Entre 30% e 50%</w:t>
            </w:r>
          </w:p>
        </w:tc>
        <w:tc>
          <w:tcPr>
            <w:tcW w:w="1228" w:type="pct"/>
          </w:tcPr>
          <w:p w14:paraId="14926677" w14:textId="77777777" w:rsidR="00EC537F" w:rsidRPr="00477C43" w:rsidRDefault="00EC537F" w:rsidP="00CD037B">
            <w:pPr>
              <w:spacing w:after="0"/>
              <w:jc w:val="center"/>
              <w:rPr>
                <w:sz w:val="22"/>
              </w:rPr>
            </w:pPr>
            <w:r w:rsidRPr="00477C43">
              <w:rPr>
                <w:sz w:val="22"/>
              </w:rPr>
              <w:t>70</w:t>
            </w:r>
          </w:p>
        </w:tc>
        <w:tc>
          <w:tcPr>
            <w:tcW w:w="1227" w:type="pct"/>
          </w:tcPr>
          <w:p w14:paraId="4F7193A2" w14:textId="77777777" w:rsidR="00EC537F" w:rsidRPr="00477C43" w:rsidRDefault="00EC537F" w:rsidP="00CD037B">
            <w:pPr>
              <w:spacing w:after="0"/>
              <w:jc w:val="center"/>
              <w:rPr>
                <w:sz w:val="22"/>
              </w:rPr>
            </w:pPr>
            <w:r w:rsidRPr="00477C43">
              <w:rPr>
                <w:sz w:val="22"/>
              </w:rPr>
              <w:t>33,0%</w:t>
            </w:r>
          </w:p>
        </w:tc>
      </w:tr>
      <w:tr w:rsidR="00EC537F" w14:paraId="0A140998" w14:textId="77777777" w:rsidTr="00EC537F">
        <w:tc>
          <w:tcPr>
            <w:tcW w:w="1317" w:type="pct"/>
          </w:tcPr>
          <w:p w14:paraId="630B8C78" w14:textId="77777777" w:rsidR="00EC537F" w:rsidRPr="00477C43" w:rsidRDefault="00EC537F" w:rsidP="00CD037B">
            <w:pPr>
              <w:spacing w:after="0"/>
              <w:rPr>
                <w:sz w:val="22"/>
              </w:rPr>
            </w:pPr>
            <w:r w:rsidRPr="00477C43">
              <w:rPr>
                <w:sz w:val="22"/>
              </w:rPr>
              <w:t>Médio</w:t>
            </w:r>
          </w:p>
        </w:tc>
        <w:tc>
          <w:tcPr>
            <w:tcW w:w="1228" w:type="pct"/>
          </w:tcPr>
          <w:p w14:paraId="4D18BCD2" w14:textId="77777777" w:rsidR="00EC537F" w:rsidRPr="00477C43" w:rsidRDefault="00EC537F" w:rsidP="00CD037B">
            <w:pPr>
              <w:spacing w:after="0"/>
              <w:jc w:val="center"/>
              <w:rPr>
                <w:sz w:val="22"/>
              </w:rPr>
            </w:pPr>
            <w:r w:rsidRPr="00477C43">
              <w:rPr>
                <w:sz w:val="22"/>
              </w:rPr>
              <w:t>Entre 50% e 70%</w:t>
            </w:r>
          </w:p>
        </w:tc>
        <w:tc>
          <w:tcPr>
            <w:tcW w:w="1228" w:type="pct"/>
          </w:tcPr>
          <w:p w14:paraId="4910AD57" w14:textId="77777777" w:rsidR="00EC537F" w:rsidRPr="00477C43" w:rsidRDefault="00EC537F" w:rsidP="00CD037B">
            <w:pPr>
              <w:spacing w:after="0"/>
              <w:jc w:val="center"/>
              <w:rPr>
                <w:sz w:val="22"/>
              </w:rPr>
            </w:pPr>
            <w:r w:rsidRPr="00477C43">
              <w:rPr>
                <w:sz w:val="22"/>
              </w:rPr>
              <w:t>75</w:t>
            </w:r>
          </w:p>
        </w:tc>
        <w:tc>
          <w:tcPr>
            <w:tcW w:w="1227" w:type="pct"/>
          </w:tcPr>
          <w:p w14:paraId="1FD6AF69" w14:textId="77777777" w:rsidR="00EC537F" w:rsidRPr="00477C43" w:rsidRDefault="00EC537F" w:rsidP="00CD037B">
            <w:pPr>
              <w:spacing w:after="0"/>
              <w:jc w:val="center"/>
              <w:rPr>
                <w:sz w:val="22"/>
              </w:rPr>
            </w:pPr>
            <w:r w:rsidRPr="00477C43">
              <w:rPr>
                <w:sz w:val="22"/>
              </w:rPr>
              <w:t>35,4%</w:t>
            </w:r>
          </w:p>
        </w:tc>
      </w:tr>
      <w:tr w:rsidR="00EC537F" w14:paraId="58077480" w14:textId="77777777" w:rsidTr="00EC537F">
        <w:tc>
          <w:tcPr>
            <w:tcW w:w="1317" w:type="pct"/>
          </w:tcPr>
          <w:p w14:paraId="3DC0B368" w14:textId="77777777" w:rsidR="00EC537F" w:rsidRPr="00477C43" w:rsidRDefault="00EC537F" w:rsidP="00CD037B">
            <w:pPr>
              <w:spacing w:after="0"/>
              <w:rPr>
                <w:sz w:val="22"/>
              </w:rPr>
            </w:pPr>
            <w:r w:rsidRPr="00477C43">
              <w:rPr>
                <w:sz w:val="22"/>
              </w:rPr>
              <w:t>Alto</w:t>
            </w:r>
          </w:p>
        </w:tc>
        <w:tc>
          <w:tcPr>
            <w:tcW w:w="1228" w:type="pct"/>
          </w:tcPr>
          <w:p w14:paraId="24AF768C" w14:textId="77777777" w:rsidR="00EC537F" w:rsidRPr="00477C43" w:rsidRDefault="00EC537F" w:rsidP="00CD037B">
            <w:pPr>
              <w:spacing w:after="0"/>
              <w:jc w:val="center"/>
              <w:rPr>
                <w:sz w:val="22"/>
              </w:rPr>
            </w:pPr>
            <w:r w:rsidRPr="00477C43">
              <w:rPr>
                <w:sz w:val="22"/>
              </w:rPr>
              <w:t>Entre 70% e 90%</w:t>
            </w:r>
          </w:p>
        </w:tc>
        <w:tc>
          <w:tcPr>
            <w:tcW w:w="1228" w:type="pct"/>
          </w:tcPr>
          <w:p w14:paraId="7A63A38F" w14:textId="77777777" w:rsidR="00EC537F" w:rsidRPr="00477C43" w:rsidRDefault="00EC537F" w:rsidP="00CD037B">
            <w:pPr>
              <w:spacing w:after="0"/>
              <w:jc w:val="center"/>
              <w:rPr>
                <w:sz w:val="22"/>
              </w:rPr>
            </w:pPr>
            <w:r w:rsidRPr="00477C43">
              <w:rPr>
                <w:sz w:val="22"/>
              </w:rPr>
              <w:t>61</w:t>
            </w:r>
          </w:p>
        </w:tc>
        <w:tc>
          <w:tcPr>
            <w:tcW w:w="1227" w:type="pct"/>
          </w:tcPr>
          <w:p w14:paraId="5B86A8D2" w14:textId="77777777" w:rsidR="00EC537F" w:rsidRPr="00477C43" w:rsidRDefault="00EC537F" w:rsidP="00CD037B">
            <w:pPr>
              <w:spacing w:after="0"/>
              <w:jc w:val="center"/>
              <w:rPr>
                <w:sz w:val="22"/>
              </w:rPr>
            </w:pPr>
            <w:r w:rsidRPr="00477C43">
              <w:rPr>
                <w:sz w:val="22"/>
              </w:rPr>
              <w:t>28,8%</w:t>
            </w:r>
          </w:p>
        </w:tc>
      </w:tr>
      <w:tr w:rsidR="00EC537F" w14:paraId="7264A09F" w14:textId="77777777" w:rsidTr="00EC537F">
        <w:tc>
          <w:tcPr>
            <w:tcW w:w="1317" w:type="pct"/>
          </w:tcPr>
          <w:p w14:paraId="310D4823" w14:textId="77777777" w:rsidR="00EC537F" w:rsidRPr="00477C43" w:rsidRDefault="00EC537F" w:rsidP="00CD037B">
            <w:pPr>
              <w:spacing w:after="0"/>
              <w:rPr>
                <w:sz w:val="22"/>
              </w:rPr>
            </w:pPr>
            <w:r w:rsidRPr="00477C43">
              <w:rPr>
                <w:sz w:val="22"/>
              </w:rPr>
              <w:t>Muito Alto</w:t>
            </w:r>
          </w:p>
        </w:tc>
        <w:tc>
          <w:tcPr>
            <w:tcW w:w="1228" w:type="pct"/>
          </w:tcPr>
          <w:p w14:paraId="6595474C" w14:textId="77777777" w:rsidR="00EC537F" w:rsidRPr="00477C43" w:rsidRDefault="00EC537F" w:rsidP="00CD037B">
            <w:pPr>
              <w:spacing w:after="0"/>
              <w:jc w:val="center"/>
              <w:rPr>
                <w:sz w:val="22"/>
              </w:rPr>
            </w:pPr>
            <w:r w:rsidRPr="00477C43">
              <w:rPr>
                <w:sz w:val="22"/>
              </w:rPr>
              <w:t>Acima de 90%</w:t>
            </w:r>
          </w:p>
        </w:tc>
        <w:tc>
          <w:tcPr>
            <w:tcW w:w="1228" w:type="pct"/>
          </w:tcPr>
          <w:p w14:paraId="2ADD0D9F" w14:textId="77777777" w:rsidR="00EC537F" w:rsidRPr="00477C43" w:rsidRDefault="00EC537F" w:rsidP="00CD037B">
            <w:pPr>
              <w:spacing w:after="0"/>
              <w:jc w:val="center"/>
              <w:rPr>
                <w:sz w:val="22"/>
              </w:rPr>
            </w:pPr>
            <w:r w:rsidRPr="00477C43">
              <w:rPr>
                <w:sz w:val="22"/>
              </w:rPr>
              <w:t>2</w:t>
            </w:r>
          </w:p>
        </w:tc>
        <w:tc>
          <w:tcPr>
            <w:tcW w:w="1227" w:type="pct"/>
          </w:tcPr>
          <w:p w14:paraId="7D604C86" w14:textId="77777777" w:rsidR="00EC537F" w:rsidRPr="00477C43" w:rsidRDefault="00EC537F" w:rsidP="00CD037B">
            <w:pPr>
              <w:spacing w:after="0"/>
              <w:jc w:val="center"/>
              <w:rPr>
                <w:sz w:val="22"/>
              </w:rPr>
            </w:pPr>
            <w:r w:rsidRPr="00477C43">
              <w:rPr>
                <w:sz w:val="22"/>
              </w:rPr>
              <w:t>0,9%</w:t>
            </w:r>
          </w:p>
        </w:tc>
      </w:tr>
    </w:tbl>
    <w:p w14:paraId="1972DBFD" w14:textId="5B81D480" w:rsidR="00EC537F" w:rsidRPr="00594C4A" w:rsidRDefault="00EC537F" w:rsidP="00673650">
      <w:pPr>
        <w:spacing w:line="360" w:lineRule="auto"/>
        <w:rPr>
          <w:rFonts w:cs="Times New Roman"/>
          <w:sz w:val="20"/>
          <w:szCs w:val="20"/>
        </w:rPr>
      </w:pPr>
      <w:r w:rsidRPr="00594C4A">
        <w:rPr>
          <w:rFonts w:cs="Times New Roman"/>
          <w:sz w:val="20"/>
          <w:szCs w:val="20"/>
        </w:rPr>
        <w:t>Fonte: Elaborado pelo</w:t>
      </w:r>
      <w:r w:rsidR="000E2B76" w:rsidRPr="00594C4A">
        <w:rPr>
          <w:rFonts w:cs="Times New Roman"/>
          <w:sz w:val="20"/>
          <w:szCs w:val="20"/>
        </w:rPr>
        <w:t>s</w:t>
      </w:r>
      <w:r w:rsidRPr="00594C4A">
        <w:rPr>
          <w:rFonts w:cs="Times New Roman"/>
          <w:sz w:val="20"/>
          <w:szCs w:val="20"/>
        </w:rPr>
        <w:t xml:space="preserve"> autor</w:t>
      </w:r>
      <w:r w:rsidR="000E2B76" w:rsidRPr="00594C4A">
        <w:rPr>
          <w:rFonts w:cs="Times New Roman"/>
          <w:sz w:val="20"/>
          <w:szCs w:val="20"/>
        </w:rPr>
        <w:t>es</w:t>
      </w:r>
      <w:r w:rsidRPr="00594C4A">
        <w:rPr>
          <w:rFonts w:cs="Times New Roman"/>
          <w:sz w:val="20"/>
          <w:szCs w:val="20"/>
        </w:rPr>
        <w:t>.</w:t>
      </w:r>
    </w:p>
    <w:p w14:paraId="666E45DC" w14:textId="699EC29F" w:rsidR="00EC537F" w:rsidRDefault="00EC537F" w:rsidP="00594C4A">
      <w:pPr>
        <w:spacing w:after="0"/>
        <w:ind w:firstLine="709"/>
        <w:jc w:val="both"/>
        <w:rPr>
          <w:color w:val="000000"/>
        </w:rPr>
      </w:pPr>
      <w:r>
        <w:rPr>
          <w:color w:val="000000"/>
        </w:rPr>
        <w:t xml:space="preserve">Observa-se que a maior parte dos RPPS se encontram no estrato de Baixo </w:t>
      </w:r>
      <w:r w:rsidR="00E2762E">
        <w:rPr>
          <w:color w:val="000000"/>
        </w:rPr>
        <w:t>e</w:t>
      </w:r>
      <w:r>
        <w:rPr>
          <w:color w:val="000000"/>
        </w:rPr>
        <w:t xml:space="preserve"> Médio </w:t>
      </w:r>
      <w:r w:rsidRPr="00C335E6">
        <w:rPr>
          <w:i/>
          <w:color w:val="000000"/>
        </w:rPr>
        <w:t>accountability</w:t>
      </w:r>
      <w:r>
        <w:rPr>
          <w:color w:val="000000"/>
        </w:rPr>
        <w:t xml:space="preserve"> que representam 33% e 35,4% respectivamente, deve-se destacar também que apenas os RPPS de Belo Horizonte e Viçosa foram classificados como Muito Alto, alcançando indicadores superiores a 90%, o destaque negativo vai para os RPPS dos municípios de Montes Claros, Morada Nova, Pequi e </w:t>
      </w:r>
      <w:r w:rsidRPr="00A52F03">
        <w:rPr>
          <w:color w:val="000000"/>
        </w:rPr>
        <w:t>São Sebastião do Paraíso</w:t>
      </w:r>
      <w:r>
        <w:rPr>
          <w:color w:val="000000"/>
        </w:rPr>
        <w:t xml:space="preserve"> que ficaram abaixo dos 30% , poder-se-ia dizer que a </w:t>
      </w:r>
      <w:r w:rsidRPr="00C335E6">
        <w:rPr>
          <w:i/>
          <w:color w:val="000000"/>
        </w:rPr>
        <w:t>accountability</w:t>
      </w:r>
      <w:r>
        <w:rPr>
          <w:color w:val="000000"/>
        </w:rPr>
        <w:t xml:space="preserve"> praticamente não existe nesses RPPS. </w:t>
      </w:r>
    </w:p>
    <w:p w14:paraId="2F7AF7AB" w14:textId="77777777" w:rsidR="00EC537F" w:rsidRDefault="00EC537F" w:rsidP="00594C4A">
      <w:pPr>
        <w:spacing w:after="0"/>
        <w:ind w:firstLine="709"/>
        <w:jc w:val="both"/>
        <w:rPr>
          <w:color w:val="000000"/>
        </w:rPr>
      </w:pPr>
      <w:r>
        <w:rPr>
          <w:color w:val="000000"/>
        </w:rPr>
        <w:t xml:space="preserve">Quanto à distribuição espacial dos RPPS, o cenário observado pela Figura </w:t>
      </w:r>
      <w:r w:rsidR="00C93102">
        <w:rPr>
          <w:color w:val="000000"/>
        </w:rPr>
        <w:t>4</w:t>
      </w:r>
      <w:r>
        <w:rPr>
          <w:color w:val="000000"/>
        </w:rPr>
        <w:t xml:space="preserve"> retrata a grande diversidade de </w:t>
      </w:r>
      <w:r w:rsidRPr="00C335E6">
        <w:rPr>
          <w:i/>
          <w:color w:val="000000"/>
        </w:rPr>
        <w:t>accountability</w:t>
      </w:r>
      <w:r>
        <w:rPr>
          <w:color w:val="000000"/>
        </w:rPr>
        <w:t xml:space="preserve"> existente no Estado em função de questões territoriais, bem como aquelas relacionadas com as desigualdades regionais vinculadas ao grau de desenvolvimento econômico. </w:t>
      </w:r>
    </w:p>
    <w:p w14:paraId="4181562E" w14:textId="77777777" w:rsidR="00594C4A" w:rsidRDefault="00594C4A" w:rsidP="00594C4A">
      <w:pPr>
        <w:spacing w:after="0"/>
        <w:ind w:firstLine="709"/>
        <w:jc w:val="both"/>
        <w:rPr>
          <w:color w:val="000000"/>
        </w:rPr>
      </w:pPr>
    </w:p>
    <w:p w14:paraId="1B7C206F" w14:textId="77777777" w:rsidR="00EC537F" w:rsidRDefault="00EC537F" w:rsidP="00673650">
      <w:pPr>
        <w:keepNext/>
        <w:spacing w:after="0" w:line="360" w:lineRule="auto"/>
        <w:jc w:val="both"/>
      </w:pPr>
      <w:r>
        <w:rPr>
          <w:noProof/>
          <w:color w:val="000000"/>
          <w:lang w:eastAsia="pt-BR"/>
        </w:rPr>
        <w:drawing>
          <wp:inline distT="0" distB="0" distL="0" distR="0" wp14:anchorId="1B74EBB2" wp14:editId="6F82CDAC">
            <wp:extent cx="5760085" cy="33147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pps3.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3314700"/>
                    </a:xfrm>
                    <a:prstGeom prst="rect">
                      <a:avLst/>
                    </a:prstGeom>
                  </pic:spPr>
                </pic:pic>
              </a:graphicData>
            </a:graphic>
          </wp:inline>
        </w:drawing>
      </w:r>
    </w:p>
    <w:p w14:paraId="03F4F67A" w14:textId="77777777" w:rsidR="00EC537F" w:rsidRPr="00594C4A" w:rsidRDefault="00EC537F" w:rsidP="00CD037B">
      <w:pPr>
        <w:spacing w:after="0"/>
        <w:rPr>
          <w:sz w:val="20"/>
          <w:szCs w:val="20"/>
        </w:rPr>
      </w:pPr>
      <w:bookmarkStart w:id="22" w:name="_Toc442957913"/>
      <w:r w:rsidRPr="00594C4A">
        <w:rPr>
          <w:b/>
          <w:sz w:val="20"/>
          <w:szCs w:val="20"/>
        </w:rPr>
        <w:t xml:space="preserve">Figura </w:t>
      </w:r>
      <w:r w:rsidR="00C93102" w:rsidRPr="00594C4A">
        <w:rPr>
          <w:b/>
          <w:sz w:val="20"/>
          <w:szCs w:val="20"/>
        </w:rPr>
        <w:t>4</w:t>
      </w:r>
      <w:r w:rsidRPr="00594C4A">
        <w:rPr>
          <w:sz w:val="20"/>
          <w:szCs w:val="20"/>
        </w:rPr>
        <w:t xml:space="preserve"> - Mapa da </w:t>
      </w:r>
      <w:r w:rsidRPr="00594C4A">
        <w:rPr>
          <w:i/>
          <w:sz w:val="20"/>
          <w:szCs w:val="20"/>
        </w:rPr>
        <w:t>accountability</w:t>
      </w:r>
      <w:r w:rsidRPr="00594C4A">
        <w:rPr>
          <w:sz w:val="20"/>
          <w:szCs w:val="20"/>
        </w:rPr>
        <w:t xml:space="preserve"> em Minas Gerais</w:t>
      </w:r>
      <w:bookmarkEnd w:id="22"/>
    </w:p>
    <w:p w14:paraId="67A069FA" w14:textId="166B8B41" w:rsidR="00EC537F" w:rsidRPr="00594C4A" w:rsidRDefault="00EC537F" w:rsidP="00CD037B">
      <w:pPr>
        <w:spacing w:after="0"/>
        <w:rPr>
          <w:sz w:val="20"/>
          <w:szCs w:val="20"/>
        </w:rPr>
      </w:pPr>
      <w:r w:rsidRPr="00594C4A">
        <w:rPr>
          <w:sz w:val="20"/>
          <w:szCs w:val="20"/>
        </w:rPr>
        <w:t>Fonte: Elaborado pelo</w:t>
      </w:r>
      <w:r w:rsidR="000E2B76" w:rsidRPr="00594C4A">
        <w:rPr>
          <w:sz w:val="20"/>
          <w:szCs w:val="20"/>
        </w:rPr>
        <w:t>s</w:t>
      </w:r>
      <w:r w:rsidRPr="00594C4A">
        <w:rPr>
          <w:sz w:val="20"/>
          <w:szCs w:val="20"/>
        </w:rPr>
        <w:t xml:space="preserve"> Autor</w:t>
      </w:r>
      <w:r w:rsidR="000E2B76" w:rsidRPr="00594C4A">
        <w:rPr>
          <w:sz w:val="20"/>
          <w:szCs w:val="20"/>
        </w:rPr>
        <w:t>es</w:t>
      </w:r>
    </w:p>
    <w:p w14:paraId="100E9CDA" w14:textId="77777777" w:rsidR="00CD037B" w:rsidRPr="003F01BC" w:rsidRDefault="00CD037B" w:rsidP="00CD037B">
      <w:pPr>
        <w:spacing w:after="0"/>
        <w:rPr>
          <w:color w:val="000000"/>
          <w:sz w:val="22"/>
        </w:rPr>
      </w:pPr>
    </w:p>
    <w:p w14:paraId="1BA4026E" w14:textId="77777777" w:rsidR="00EC537F" w:rsidRPr="00594C4A" w:rsidRDefault="00EC537F" w:rsidP="00594C4A">
      <w:pPr>
        <w:spacing w:after="0"/>
        <w:ind w:firstLine="709"/>
        <w:jc w:val="both"/>
        <w:rPr>
          <w:rFonts w:cs="Times New Roman"/>
          <w:iCs/>
          <w:color w:val="231F20"/>
          <w:szCs w:val="24"/>
        </w:rPr>
      </w:pPr>
      <w:r w:rsidRPr="00594C4A">
        <w:rPr>
          <w:color w:val="000000"/>
          <w:szCs w:val="24"/>
        </w:rPr>
        <w:lastRenderedPageBreak/>
        <w:t xml:space="preserve">O panorama da </w:t>
      </w:r>
      <w:r w:rsidRPr="00594C4A">
        <w:rPr>
          <w:i/>
          <w:color w:val="000000"/>
          <w:szCs w:val="24"/>
        </w:rPr>
        <w:t>accountability</w:t>
      </w:r>
      <w:r w:rsidRPr="00594C4A">
        <w:rPr>
          <w:color w:val="000000"/>
          <w:szCs w:val="24"/>
        </w:rPr>
        <w:t xml:space="preserve"> dos RPPS em Minas Gerais não é dos mais animadores, uma vez que o inventario normativo apenas verifica a </w:t>
      </w:r>
      <w:r w:rsidRPr="00594C4A">
        <w:rPr>
          <w:iCs/>
          <w:szCs w:val="24"/>
        </w:rPr>
        <w:t xml:space="preserve">Dimensão formal da </w:t>
      </w:r>
      <w:r w:rsidRPr="00594C4A">
        <w:rPr>
          <w:i/>
          <w:iCs/>
          <w:szCs w:val="24"/>
        </w:rPr>
        <w:t>accountability</w:t>
      </w:r>
      <w:r w:rsidRPr="00594C4A">
        <w:rPr>
          <w:iCs/>
          <w:szCs w:val="24"/>
        </w:rPr>
        <w:t xml:space="preserve">, e mesmo assim, apenas 30% dos RPPS cumprem mais do que 70% do que a lei determina. Deve-se ressaltar que a </w:t>
      </w:r>
      <w:r w:rsidRPr="00594C4A">
        <w:rPr>
          <w:i/>
          <w:iCs/>
          <w:szCs w:val="24"/>
        </w:rPr>
        <w:t>accountability</w:t>
      </w:r>
      <w:r w:rsidRPr="00594C4A">
        <w:rPr>
          <w:iCs/>
          <w:szCs w:val="24"/>
        </w:rPr>
        <w:t xml:space="preserve"> não se limita a </w:t>
      </w:r>
      <w:r w:rsidRPr="00594C4A">
        <w:rPr>
          <w:rFonts w:cs="Times New Roman"/>
          <w:color w:val="231F20"/>
          <w:szCs w:val="24"/>
        </w:rPr>
        <w:t xml:space="preserve">verificar se o agente age de acordo com a lei, ou seja, se os aspectos formais que envolvem todo aparato de </w:t>
      </w:r>
      <w:r w:rsidRPr="00594C4A">
        <w:rPr>
          <w:rFonts w:cs="Times New Roman"/>
          <w:i/>
          <w:iCs/>
          <w:color w:val="231F20"/>
          <w:szCs w:val="24"/>
        </w:rPr>
        <w:t xml:space="preserve">accountability </w:t>
      </w:r>
      <w:r w:rsidRPr="00594C4A">
        <w:rPr>
          <w:rFonts w:cs="Times New Roman"/>
          <w:color w:val="231F20"/>
          <w:szCs w:val="24"/>
        </w:rPr>
        <w:t xml:space="preserve">são atendidos, é preciso também verificar de que maneira o agente público vem desempenhando suas atividades e como tem respondido às necessidades e interesses da sociedade (Dimensão substantiva da </w:t>
      </w:r>
      <w:r w:rsidRPr="00594C4A">
        <w:rPr>
          <w:rFonts w:cs="Times New Roman"/>
          <w:i/>
          <w:iCs/>
          <w:color w:val="231F20"/>
          <w:szCs w:val="24"/>
        </w:rPr>
        <w:t>accountability</w:t>
      </w:r>
      <w:r w:rsidRPr="00594C4A">
        <w:rPr>
          <w:rFonts w:cs="Times New Roman"/>
          <w:iCs/>
          <w:color w:val="231F20"/>
          <w:szCs w:val="24"/>
        </w:rPr>
        <w:t>)</w:t>
      </w:r>
      <w:r w:rsidRPr="00594C4A">
        <w:rPr>
          <w:rFonts w:cs="Times New Roman"/>
          <w:i/>
          <w:iCs/>
          <w:color w:val="231F20"/>
          <w:szCs w:val="24"/>
        </w:rPr>
        <w:t xml:space="preserve">, </w:t>
      </w:r>
      <w:r w:rsidRPr="00594C4A">
        <w:rPr>
          <w:rFonts w:cs="Times New Roman"/>
          <w:iCs/>
          <w:color w:val="231F20"/>
          <w:szCs w:val="24"/>
        </w:rPr>
        <w:t>contudo, este trabalho não tem esse objetivo, limitando-se apenas a Dimensão Formal.</w:t>
      </w:r>
    </w:p>
    <w:p w14:paraId="79B15ABA" w14:textId="77777777" w:rsidR="00EC537F" w:rsidRDefault="00EC537F" w:rsidP="00594C4A">
      <w:pPr>
        <w:spacing w:after="0"/>
        <w:ind w:firstLine="709"/>
        <w:jc w:val="both"/>
        <w:rPr>
          <w:color w:val="000000"/>
          <w:szCs w:val="24"/>
        </w:rPr>
      </w:pPr>
      <w:r w:rsidRPr="00594C4A">
        <w:rPr>
          <w:szCs w:val="24"/>
        </w:rPr>
        <w:t xml:space="preserve">Para predição do comportamento do índice de </w:t>
      </w:r>
      <w:r w:rsidRPr="00594C4A">
        <w:rPr>
          <w:i/>
          <w:szCs w:val="24"/>
        </w:rPr>
        <w:t>accountability</w:t>
      </w:r>
      <w:r w:rsidRPr="00594C4A">
        <w:rPr>
          <w:szCs w:val="24"/>
        </w:rPr>
        <w:t xml:space="preserve"> normativa dos RPPS em Minas gerais, em função de variáveis socioeconômicas e políticos-institucionais, utilizou-se do Modelo de Regressão Múltipla (MRM). No</w:t>
      </w:r>
      <w:r w:rsidRPr="00594C4A">
        <w:rPr>
          <w:color w:val="000000"/>
          <w:szCs w:val="24"/>
        </w:rPr>
        <w:t xml:space="preserve"> intuito de conhecer o comportamento das variáveis utilizadas no modelo de regressão que permitam uma visão geral de sua adequação para o modelo estimado, foi realizada a Análise Exploratória dos dados, os resultados dessas medidas estatísticas são apresentados na Tabela </w:t>
      </w:r>
      <w:r w:rsidR="00CD037B" w:rsidRPr="00594C4A">
        <w:rPr>
          <w:color w:val="000000"/>
          <w:szCs w:val="24"/>
        </w:rPr>
        <w:t>3</w:t>
      </w:r>
      <w:r w:rsidRPr="00594C4A">
        <w:rPr>
          <w:color w:val="000000"/>
          <w:szCs w:val="24"/>
        </w:rPr>
        <w:t>.</w:t>
      </w:r>
    </w:p>
    <w:p w14:paraId="5153EF4E" w14:textId="77777777" w:rsidR="00594C4A" w:rsidRDefault="00594C4A" w:rsidP="00594C4A">
      <w:pPr>
        <w:spacing w:after="0"/>
        <w:ind w:firstLine="709"/>
        <w:jc w:val="both"/>
        <w:rPr>
          <w:color w:val="000000"/>
          <w:szCs w:val="24"/>
        </w:rPr>
      </w:pPr>
    </w:p>
    <w:p w14:paraId="23F28E67" w14:textId="77777777" w:rsidR="00EC537F" w:rsidRPr="00594C4A" w:rsidRDefault="00EC537F" w:rsidP="00CD037B">
      <w:pPr>
        <w:spacing w:after="0"/>
        <w:rPr>
          <w:sz w:val="20"/>
          <w:szCs w:val="20"/>
        </w:rPr>
      </w:pPr>
      <w:bookmarkStart w:id="23" w:name="_Toc442957932"/>
      <w:r w:rsidRPr="00594C4A">
        <w:rPr>
          <w:b/>
          <w:sz w:val="20"/>
          <w:szCs w:val="20"/>
        </w:rPr>
        <w:t xml:space="preserve">Tabela </w:t>
      </w:r>
      <w:r w:rsidR="00CD037B" w:rsidRPr="00594C4A">
        <w:rPr>
          <w:b/>
          <w:sz w:val="20"/>
          <w:szCs w:val="20"/>
        </w:rPr>
        <w:t>3</w:t>
      </w:r>
      <w:r w:rsidRPr="00594C4A">
        <w:rPr>
          <w:sz w:val="20"/>
          <w:szCs w:val="20"/>
        </w:rPr>
        <w:t xml:space="preserve"> - Estatísticas descritivas das variáveis do modelo</w:t>
      </w:r>
      <w:bookmarkEnd w:id="23"/>
    </w:p>
    <w:tbl>
      <w:tblPr>
        <w:tblStyle w:val="TabelaSimples21"/>
        <w:tblW w:w="5000" w:type="pct"/>
        <w:tblBorders>
          <w:top w:val="single" w:sz="8" w:space="0" w:color="7F7F7F" w:themeColor="text1" w:themeTint="80"/>
          <w:bottom w:val="single" w:sz="8" w:space="0" w:color="7F7F7F" w:themeColor="text1" w:themeTint="80"/>
        </w:tblBorders>
        <w:tblLook w:val="04A0" w:firstRow="1" w:lastRow="0" w:firstColumn="1" w:lastColumn="0" w:noHBand="0" w:noVBand="1"/>
      </w:tblPr>
      <w:tblGrid>
        <w:gridCol w:w="1726"/>
        <w:gridCol w:w="1007"/>
        <w:gridCol w:w="1018"/>
        <w:gridCol w:w="1048"/>
        <w:gridCol w:w="1798"/>
        <w:gridCol w:w="1425"/>
        <w:gridCol w:w="1265"/>
      </w:tblGrid>
      <w:tr w:rsidR="00EC537F" w:rsidRPr="004E4790" w14:paraId="2A3E36A2" w14:textId="77777777" w:rsidTr="00D87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tcBorders>
              <w:top w:val="single" w:sz="8" w:space="0" w:color="7F7F7F" w:themeColor="text1" w:themeTint="80"/>
              <w:bottom w:val="single" w:sz="4" w:space="0" w:color="auto"/>
            </w:tcBorders>
            <w:vAlign w:val="center"/>
            <w:hideMark/>
          </w:tcPr>
          <w:p w14:paraId="2B4DD093" w14:textId="77777777" w:rsidR="00EC537F" w:rsidRPr="00594C4A" w:rsidRDefault="00EC537F" w:rsidP="00CD037B">
            <w:pPr>
              <w:spacing w:after="0"/>
              <w:jc w:val="center"/>
              <w:rPr>
                <w:rFonts w:cs="Times New Roman"/>
                <w:sz w:val="22"/>
              </w:rPr>
            </w:pPr>
            <w:r w:rsidRPr="00594C4A">
              <w:rPr>
                <w:rFonts w:cs="Times New Roman"/>
                <w:sz w:val="22"/>
              </w:rPr>
              <w:t>Variável</w:t>
            </w:r>
          </w:p>
        </w:tc>
        <w:tc>
          <w:tcPr>
            <w:tcW w:w="542" w:type="pct"/>
            <w:tcBorders>
              <w:top w:val="single" w:sz="8" w:space="0" w:color="7F7F7F" w:themeColor="text1" w:themeTint="80"/>
              <w:bottom w:val="single" w:sz="4" w:space="0" w:color="auto"/>
            </w:tcBorders>
            <w:vAlign w:val="center"/>
            <w:hideMark/>
          </w:tcPr>
          <w:p w14:paraId="634751FF"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Min</w:t>
            </w:r>
          </w:p>
        </w:tc>
        <w:tc>
          <w:tcPr>
            <w:tcW w:w="548" w:type="pct"/>
            <w:tcBorders>
              <w:top w:val="single" w:sz="8" w:space="0" w:color="7F7F7F" w:themeColor="text1" w:themeTint="80"/>
              <w:bottom w:val="single" w:sz="4" w:space="0" w:color="auto"/>
            </w:tcBorders>
            <w:vAlign w:val="center"/>
            <w:hideMark/>
          </w:tcPr>
          <w:p w14:paraId="42217F20"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Max</w:t>
            </w:r>
          </w:p>
        </w:tc>
        <w:tc>
          <w:tcPr>
            <w:tcW w:w="564" w:type="pct"/>
            <w:tcBorders>
              <w:top w:val="single" w:sz="8" w:space="0" w:color="7F7F7F" w:themeColor="text1" w:themeTint="80"/>
              <w:bottom w:val="single" w:sz="4" w:space="0" w:color="auto"/>
            </w:tcBorders>
            <w:vAlign w:val="center"/>
            <w:hideMark/>
          </w:tcPr>
          <w:p w14:paraId="1A16C026"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Media</w:t>
            </w:r>
          </w:p>
        </w:tc>
        <w:tc>
          <w:tcPr>
            <w:tcW w:w="968" w:type="pct"/>
            <w:tcBorders>
              <w:top w:val="single" w:sz="8" w:space="0" w:color="7F7F7F" w:themeColor="text1" w:themeTint="80"/>
              <w:bottom w:val="single" w:sz="4" w:space="0" w:color="auto"/>
            </w:tcBorders>
            <w:vAlign w:val="center"/>
            <w:hideMark/>
          </w:tcPr>
          <w:p w14:paraId="75D63D41"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Desvio Padrão</w:t>
            </w:r>
          </w:p>
        </w:tc>
        <w:tc>
          <w:tcPr>
            <w:tcW w:w="767" w:type="pct"/>
            <w:tcBorders>
              <w:top w:val="single" w:sz="8" w:space="0" w:color="7F7F7F" w:themeColor="text1" w:themeTint="80"/>
              <w:bottom w:val="single" w:sz="4" w:space="0" w:color="auto"/>
            </w:tcBorders>
            <w:vAlign w:val="center"/>
            <w:hideMark/>
          </w:tcPr>
          <w:p w14:paraId="36F8E372"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Assimetria</w:t>
            </w:r>
          </w:p>
        </w:tc>
        <w:tc>
          <w:tcPr>
            <w:tcW w:w="681" w:type="pct"/>
            <w:tcBorders>
              <w:top w:val="single" w:sz="8" w:space="0" w:color="7F7F7F" w:themeColor="text1" w:themeTint="80"/>
              <w:bottom w:val="single" w:sz="4" w:space="0" w:color="auto"/>
            </w:tcBorders>
            <w:vAlign w:val="center"/>
            <w:hideMark/>
          </w:tcPr>
          <w:p w14:paraId="053A5792" w14:textId="77777777" w:rsidR="00EC537F" w:rsidRPr="00594C4A" w:rsidRDefault="00EC537F" w:rsidP="00CD037B">
            <w:pPr>
              <w:spacing w:after="0"/>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Curtose</w:t>
            </w:r>
          </w:p>
        </w:tc>
      </w:tr>
      <w:tr w:rsidR="00EC537F" w:rsidRPr="004E4790" w14:paraId="029B4D3D" w14:textId="77777777" w:rsidTr="00D87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tcBorders>
              <w:top w:val="single" w:sz="4" w:space="0" w:color="auto"/>
              <w:left w:val="nil"/>
              <w:bottom w:val="nil"/>
              <w:right w:val="nil"/>
            </w:tcBorders>
            <w:vAlign w:val="center"/>
          </w:tcPr>
          <w:p w14:paraId="2FC2C057" w14:textId="77777777" w:rsidR="00EC537F" w:rsidRPr="00594C4A" w:rsidRDefault="00EC537F" w:rsidP="00CD037B">
            <w:pPr>
              <w:pStyle w:val="Normal1"/>
              <w:jc w:val="center"/>
              <w:rPr>
                <w:sz w:val="22"/>
                <w:szCs w:val="22"/>
              </w:rPr>
            </w:pPr>
            <w:r w:rsidRPr="00594C4A">
              <w:rPr>
                <w:sz w:val="22"/>
                <w:szCs w:val="22"/>
              </w:rPr>
              <w:t>IACN</w:t>
            </w:r>
          </w:p>
        </w:tc>
        <w:tc>
          <w:tcPr>
            <w:tcW w:w="542" w:type="pct"/>
            <w:tcBorders>
              <w:top w:val="single" w:sz="4" w:space="0" w:color="auto"/>
              <w:left w:val="nil"/>
              <w:bottom w:val="nil"/>
              <w:right w:val="nil"/>
            </w:tcBorders>
            <w:vAlign w:val="center"/>
          </w:tcPr>
          <w:p w14:paraId="5D599B20"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0,27</w:t>
            </w:r>
          </w:p>
        </w:tc>
        <w:tc>
          <w:tcPr>
            <w:tcW w:w="548" w:type="pct"/>
            <w:tcBorders>
              <w:top w:val="single" w:sz="4" w:space="0" w:color="auto"/>
              <w:left w:val="nil"/>
              <w:bottom w:val="nil"/>
              <w:right w:val="nil"/>
            </w:tcBorders>
            <w:vAlign w:val="center"/>
          </w:tcPr>
          <w:p w14:paraId="51A10C71"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0,95</w:t>
            </w:r>
          </w:p>
        </w:tc>
        <w:tc>
          <w:tcPr>
            <w:tcW w:w="564" w:type="pct"/>
            <w:tcBorders>
              <w:top w:val="single" w:sz="4" w:space="0" w:color="auto"/>
              <w:left w:val="nil"/>
              <w:bottom w:val="nil"/>
              <w:right w:val="nil"/>
            </w:tcBorders>
            <w:vAlign w:val="center"/>
          </w:tcPr>
          <w:p w14:paraId="2A672185"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0,6133</w:t>
            </w:r>
          </w:p>
        </w:tc>
        <w:tc>
          <w:tcPr>
            <w:tcW w:w="968" w:type="pct"/>
            <w:tcBorders>
              <w:top w:val="single" w:sz="4" w:space="0" w:color="auto"/>
              <w:left w:val="nil"/>
              <w:bottom w:val="nil"/>
              <w:right w:val="nil"/>
            </w:tcBorders>
            <w:vAlign w:val="center"/>
          </w:tcPr>
          <w:p w14:paraId="517DB652"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0,1410</w:t>
            </w:r>
          </w:p>
        </w:tc>
        <w:tc>
          <w:tcPr>
            <w:tcW w:w="767" w:type="pct"/>
            <w:tcBorders>
              <w:top w:val="single" w:sz="4" w:space="0" w:color="auto"/>
              <w:left w:val="nil"/>
              <w:bottom w:val="nil"/>
              <w:right w:val="nil"/>
            </w:tcBorders>
            <w:vAlign w:val="center"/>
          </w:tcPr>
          <w:p w14:paraId="5EC83ACF"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-0,193</w:t>
            </w:r>
          </w:p>
        </w:tc>
        <w:tc>
          <w:tcPr>
            <w:tcW w:w="681" w:type="pct"/>
            <w:tcBorders>
              <w:top w:val="single" w:sz="4" w:space="0" w:color="auto"/>
              <w:left w:val="nil"/>
              <w:bottom w:val="nil"/>
              <w:right w:val="nil"/>
            </w:tcBorders>
            <w:vAlign w:val="center"/>
          </w:tcPr>
          <w:p w14:paraId="4284FAEE"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-0,820</w:t>
            </w:r>
          </w:p>
        </w:tc>
      </w:tr>
      <w:tr w:rsidR="00EC537F" w:rsidRPr="004E4790" w14:paraId="4857F1CB" w14:textId="77777777" w:rsidTr="00D877C6">
        <w:tc>
          <w:tcPr>
            <w:cnfStyle w:val="001000000000" w:firstRow="0" w:lastRow="0" w:firstColumn="1" w:lastColumn="0" w:oddVBand="0" w:evenVBand="0" w:oddHBand="0" w:evenHBand="0" w:firstRowFirstColumn="0" w:firstRowLastColumn="0" w:lastRowFirstColumn="0" w:lastRowLastColumn="0"/>
            <w:tcW w:w="930" w:type="pct"/>
            <w:tcBorders>
              <w:top w:val="nil"/>
              <w:left w:val="nil"/>
              <w:bottom w:val="nil"/>
              <w:right w:val="nil"/>
            </w:tcBorders>
            <w:vAlign w:val="center"/>
          </w:tcPr>
          <w:p w14:paraId="1AEEC94C" w14:textId="77777777" w:rsidR="00EC537F" w:rsidRPr="00594C4A" w:rsidRDefault="00EC537F" w:rsidP="00CD037B">
            <w:pPr>
              <w:pStyle w:val="Normal1"/>
              <w:jc w:val="center"/>
              <w:rPr>
                <w:sz w:val="22"/>
                <w:szCs w:val="22"/>
              </w:rPr>
            </w:pPr>
            <w:r w:rsidRPr="00594C4A">
              <w:rPr>
                <w:sz w:val="22"/>
                <w:szCs w:val="22"/>
              </w:rPr>
              <w:t xml:space="preserve">IFDM </w:t>
            </w:r>
          </w:p>
        </w:tc>
        <w:tc>
          <w:tcPr>
            <w:tcW w:w="542" w:type="pct"/>
            <w:tcBorders>
              <w:top w:val="nil"/>
              <w:left w:val="nil"/>
              <w:bottom w:val="nil"/>
              <w:right w:val="nil"/>
            </w:tcBorders>
            <w:vAlign w:val="center"/>
          </w:tcPr>
          <w:p w14:paraId="55AD1B90"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0,00</w:t>
            </w:r>
          </w:p>
        </w:tc>
        <w:tc>
          <w:tcPr>
            <w:tcW w:w="548" w:type="pct"/>
            <w:tcBorders>
              <w:top w:val="nil"/>
              <w:left w:val="nil"/>
              <w:bottom w:val="nil"/>
              <w:right w:val="nil"/>
            </w:tcBorders>
            <w:vAlign w:val="center"/>
          </w:tcPr>
          <w:p w14:paraId="6D074192"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0,91</w:t>
            </w:r>
          </w:p>
        </w:tc>
        <w:tc>
          <w:tcPr>
            <w:tcW w:w="564" w:type="pct"/>
            <w:tcBorders>
              <w:top w:val="nil"/>
              <w:left w:val="nil"/>
              <w:bottom w:val="nil"/>
              <w:right w:val="nil"/>
            </w:tcBorders>
            <w:vAlign w:val="center"/>
          </w:tcPr>
          <w:p w14:paraId="4A6B6B36"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0,6943</w:t>
            </w:r>
          </w:p>
        </w:tc>
        <w:tc>
          <w:tcPr>
            <w:tcW w:w="968" w:type="pct"/>
            <w:tcBorders>
              <w:top w:val="nil"/>
              <w:left w:val="nil"/>
              <w:bottom w:val="nil"/>
              <w:right w:val="nil"/>
            </w:tcBorders>
            <w:vAlign w:val="center"/>
          </w:tcPr>
          <w:p w14:paraId="15FCC31F"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0,1073</w:t>
            </w:r>
          </w:p>
        </w:tc>
        <w:tc>
          <w:tcPr>
            <w:tcW w:w="767" w:type="pct"/>
            <w:tcBorders>
              <w:top w:val="nil"/>
              <w:left w:val="nil"/>
              <w:bottom w:val="nil"/>
              <w:right w:val="nil"/>
            </w:tcBorders>
            <w:vAlign w:val="center"/>
          </w:tcPr>
          <w:p w14:paraId="1CD64133"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-2,596</w:t>
            </w:r>
          </w:p>
        </w:tc>
        <w:tc>
          <w:tcPr>
            <w:tcW w:w="681" w:type="pct"/>
            <w:tcBorders>
              <w:top w:val="nil"/>
              <w:left w:val="nil"/>
              <w:bottom w:val="nil"/>
              <w:right w:val="nil"/>
            </w:tcBorders>
            <w:vAlign w:val="center"/>
          </w:tcPr>
          <w:p w14:paraId="628FF933"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15,014</w:t>
            </w:r>
          </w:p>
        </w:tc>
      </w:tr>
      <w:tr w:rsidR="00EC537F" w:rsidRPr="004E4790" w14:paraId="03EEF3F1" w14:textId="77777777" w:rsidTr="00D87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tcBorders>
              <w:top w:val="nil"/>
              <w:left w:val="nil"/>
              <w:bottom w:val="nil"/>
              <w:right w:val="nil"/>
            </w:tcBorders>
            <w:vAlign w:val="center"/>
          </w:tcPr>
          <w:p w14:paraId="70E3D189" w14:textId="77777777" w:rsidR="00EC537F" w:rsidRPr="00594C4A" w:rsidRDefault="00EC537F" w:rsidP="00CD037B">
            <w:pPr>
              <w:pStyle w:val="Normal1"/>
              <w:jc w:val="center"/>
              <w:rPr>
                <w:sz w:val="22"/>
                <w:szCs w:val="22"/>
              </w:rPr>
            </w:pPr>
            <w:r w:rsidRPr="00594C4A">
              <w:rPr>
                <w:sz w:val="22"/>
                <w:szCs w:val="22"/>
              </w:rPr>
              <w:t>LnREC</w:t>
            </w:r>
          </w:p>
        </w:tc>
        <w:tc>
          <w:tcPr>
            <w:tcW w:w="542" w:type="pct"/>
            <w:tcBorders>
              <w:top w:val="nil"/>
              <w:left w:val="nil"/>
              <w:bottom w:val="nil"/>
              <w:right w:val="nil"/>
            </w:tcBorders>
            <w:vAlign w:val="center"/>
          </w:tcPr>
          <w:p w14:paraId="6EEA57F9"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3,93</w:t>
            </w:r>
          </w:p>
        </w:tc>
        <w:tc>
          <w:tcPr>
            <w:tcW w:w="548" w:type="pct"/>
            <w:tcBorders>
              <w:top w:val="nil"/>
              <w:left w:val="nil"/>
              <w:bottom w:val="nil"/>
              <w:right w:val="nil"/>
            </w:tcBorders>
            <w:vAlign w:val="center"/>
          </w:tcPr>
          <w:p w14:paraId="2F3DD82E"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8,90</w:t>
            </w:r>
          </w:p>
        </w:tc>
        <w:tc>
          <w:tcPr>
            <w:tcW w:w="564" w:type="pct"/>
            <w:tcBorders>
              <w:top w:val="nil"/>
              <w:left w:val="nil"/>
              <w:bottom w:val="nil"/>
              <w:right w:val="nil"/>
            </w:tcBorders>
            <w:vAlign w:val="center"/>
          </w:tcPr>
          <w:p w14:paraId="729B25C3"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6,8606</w:t>
            </w:r>
          </w:p>
        </w:tc>
        <w:tc>
          <w:tcPr>
            <w:tcW w:w="968" w:type="pct"/>
            <w:tcBorders>
              <w:top w:val="nil"/>
              <w:left w:val="nil"/>
              <w:bottom w:val="nil"/>
              <w:right w:val="nil"/>
            </w:tcBorders>
            <w:vAlign w:val="center"/>
          </w:tcPr>
          <w:p w14:paraId="4504ADDD"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0,8173</w:t>
            </w:r>
          </w:p>
        </w:tc>
        <w:tc>
          <w:tcPr>
            <w:tcW w:w="767" w:type="pct"/>
            <w:tcBorders>
              <w:top w:val="nil"/>
              <w:left w:val="nil"/>
              <w:bottom w:val="nil"/>
              <w:right w:val="nil"/>
            </w:tcBorders>
            <w:vAlign w:val="center"/>
          </w:tcPr>
          <w:p w14:paraId="5F8ED338"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-0,992</w:t>
            </w:r>
          </w:p>
        </w:tc>
        <w:tc>
          <w:tcPr>
            <w:tcW w:w="681" w:type="pct"/>
            <w:tcBorders>
              <w:top w:val="nil"/>
              <w:left w:val="nil"/>
              <w:bottom w:val="nil"/>
              <w:right w:val="nil"/>
            </w:tcBorders>
            <w:vAlign w:val="center"/>
          </w:tcPr>
          <w:p w14:paraId="054A06AE"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2,209</w:t>
            </w:r>
          </w:p>
        </w:tc>
      </w:tr>
      <w:tr w:rsidR="00EC537F" w:rsidRPr="004E4790" w14:paraId="2E6D7861" w14:textId="77777777" w:rsidTr="00D877C6">
        <w:tc>
          <w:tcPr>
            <w:cnfStyle w:val="001000000000" w:firstRow="0" w:lastRow="0" w:firstColumn="1" w:lastColumn="0" w:oddVBand="0" w:evenVBand="0" w:oddHBand="0" w:evenHBand="0" w:firstRowFirstColumn="0" w:firstRowLastColumn="0" w:lastRowFirstColumn="0" w:lastRowLastColumn="0"/>
            <w:tcW w:w="930" w:type="pct"/>
            <w:tcBorders>
              <w:top w:val="nil"/>
              <w:left w:val="nil"/>
              <w:bottom w:val="nil"/>
              <w:right w:val="nil"/>
            </w:tcBorders>
            <w:vAlign w:val="center"/>
          </w:tcPr>
          <w:p w14:paraId="011116E8" w14:textId="77777777" w:rsidR="00EC537F" w:rsidRPr="00594C4A" w:rsidRDefault="00EC537F" w:rsidP="00CD037B">
            <w:pPr>
              <w:pStyle w:val="Normal1"/>
              <w:jc w:val="center"/>
              <w:rPr>
                <w:sz w:val="22"/>
                <w:szCs w:val="22"/>
              </w:rPr>
            </w:pPr>
            <w:r w:rsidRPr="00594C4A">
              <w:rPr>
                <w:sz w:val="22"/>
                <w:szCs w:val="22"/>
              </w:rPr>
              <w:t>ESTRU</w:t>
            </w:r>
          </w:p>
        </w:tc>
        <w:tc>
          <w:tcPr>
            <w:tcW w:w="542" w:type="pct"/>
            <w:tcBorders>
              <w:top w:val="nil"/>
              <w:left w:val="nil"/>
              <w:bottom w:val="nil"/>
              <w:right w:val="nil"/>
            </w:tcBorders>
            <w:vAlign w:val="center"/>
          </w:tcPr>
          <w:p w14:paraId="07A87829"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0,00</w:t>
            </w:r>
          </w:p>
        </w:tc>
        <w:tc>
          <w:tcPr>
            <w:tcW w:w="548" w:type="pct"/>
            <w:tcBorders>
              <w:top w:val="nil"/>
              <w:left w:val="nil"/>
              <w:bottom w:val="nil"/>
              <w:right w:val="nil"/>
            </w:tcBorders>
            <w:vAlign w:val="center"/>
          </w:tcPr>
          <w:p w14:paraId="65166102"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1,0</w:t>
            </w:r>
          </w:p>
        </w:tc>
        <w:tc>
          <w:tcPr>
            <w:tcW w:w="564" w:type="pct"/>
            <w:tcBorders>
              <w:top w:val="nil"/>
              <w:left w:val="nil"/>
              <w:bottom w:val="nil"/>
              <w:right w:val="nil"/>
            </w:tcBorders>
            <w:vAlign w:val="center"/>
          </w:tcPr>
          <w:p w14:paraId="26948433"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0,9421</w:t>
            </w:r>
          </w:p>
        </w:tc>
        <w:tc>
          <w:tcPr>
            <w:tcW w:w="968" w:type="pct"/>
            <w:tcBorders>
              <w:top w:val="nil"/>
              <w:left w:val="nil"/>
              <w:bottom w:val="nil"/>
              <w:right w:val="nil"/>
            </w:tcBorders>
            <w:vAlign w:val="center"/>
          </w:tcPr>
          <w:p w14:paraId="2AA05B11"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0,1789</w:t>
            </w:r>
          </w:p>
        </w:tc>
        <w:tc>
          <w:tcPr>
            <w:tcW w:w="767" w:type="pct"/>
            <w:tcBorders>
              <w:top w:val="nil"/>
              <w:left w:val="nil"/>
              <w:bottom w:val="nil"/>
              <w:right w:val="nil"/>
            </w:tcBorders>
            <w:vAlign w:val="center"/>
          </w:tcPr>
          <w:p w14:paraId="64D25A0A"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-4,893</w:t>
            </w:r>
          </w:p>
        </w:tc>
        <w:tc>
          <w:tcPr>
            <w:tcW w:w="681" w:type="pct"/>
            <w:tcBorders>
              <w:top w:val="nil"/>
              <w:left w:val="nil"/>
              <w:bottom w:val="nil"/>
              <w:right w:val="nil"/>
            </w:tcBorders>
            <w:vAlign w:val="center"/>
          </w:tcPr>
          <w:p w14:paraId="74D51AAE"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23,305</w:t>
            </w:r>
          </w:p>
        </w:tc>
      </w:tr>
      <w:tr w:rsidR="00EC537F" w:rsidRPr="004E4790" w14:paraId="7221A27C" w14:textId="77777777" w:rsidTr="00D87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tcBorders>
              <w:top w:val="nil"/>
              <w:left w:val="nil"/>
              <w:bottom w:val="nil"/>
              <w:right w:val="nil"/>
            </w:tcBorders>
            <w:vAlign w:val="center"/>
          </w:tcPr>
          <w:p w14:paraId="38AFDBC2" w14:textId="77777777" w:rsidR="00EC537F" w:rsidRPr="00594C4A" w:rsidRDefault="00EC537F" w:rsidP="00CD037B">
            <w:pPr>
              <w:pStyle w:val="Normal1"/>
              <w:jc w:val="center"/>
              <w:rPr>
                <w:sz w:val="22"/>
                <w:szCs w:val="22"/>
              </w:rPr>
            </w:pPr>
            <w:r w:rsidRPr="00594C4A">
              <w:rPr>
                <w:sz w:val="22"/>
                <w:szCs w:val="22"/>
              </w:rPr>
              <w:t>CONSE</w:t>
            </w:r>
          </w:p>
        </w:tc>
        <w:tc>
          <w:tcPr>
            <w:tcW w:w="542" w:type="pct"/>
            <w:tcBorders>
              <w:top w:val="nil"/>
              <w:left w:val="nil"/>
              <w:bottom w:val="nil"/>
              <w:right w:val="nil"/>
            </w:tcBorders>
            <w:vAlign w:val="center"/>
          </w:tcPr>
          <w:p w14:paraId="4D8E75FF"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1,0</w:t>
            </w:r>
          </w:p>
        </w:tc>
        <w:tc>
          <w:tcPr>
            <w:tcW w:w="548" w:type="pct"/>
            <w:tcBorders>
              <w:top w:val="nil"/>
              <w:left w:val="nil"/>
              <w:bottom w:val="nil"/>
              <w:right w:val="nil"/>
            </w:tcBorders>
            <w:vAlign w:val="center"/>
          </w:tcPr>
          <w:p w14:paraId="6D518D47"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17</w:t>
            </w:r>
          </w:p>
        </w:tc>
        <w:tc>
          <w:tcPr>
            <w:tcW w:w="564" w:type="pct"/>
            <w:tcBorders>
              <w:top w:val="nil"/>
              <w:left w:val="nil"/>
              <w:bottom w:val="nil"/>
              <w:right w:val="nil"/>
            </w:tcBorders>
            <w:vAlign w:val="center"/>
          </w:tcPr>
          <w:p w14:paraId="6CA5CE3B"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8,4408</w:t>
            </w:r>
          </w:p>
        </w:tc>
        <w:tc>
          <w:tcPr>
            <w:tcW w:w="968" w:type="pct"/>
            <w:tcBorders>
              <w:top w:val="nil"/>
              <w:left w:val="nil"/>
              <w:bottom w:val="nil"/>
              <w:right w:val="nil"/>
            </w:tcBorders>
            <w:vAlign w:val="center"/>
          </w:tcPr>
          <w:p w14:paraId="2FE5ADF0"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2,4023</w:t>
            </w:r>
          </w:p>
        </w:tc>
        <w:tc>
          <w:tcPr>
            <w:tcW w:w="767" w:type="pct"/>
            <w:tcBorders>
              <w:top w:val="nil"/>
              <w:left w:val="nil"/>
              <w:bottom w:val="nil"/>
              <w:right w:val="nil"/>
            </w:tcBorders>
            <w:vAlign w:val="center"/>
          </w:tcPr>
          <w:p w14:paraId="194E9772"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,540</w:t>
            </w:r>
          </w:p>
        </w:tc>
        <w:tc>
          <w:tcPr>
            <w:tcW w:w="681" w:type="pct"/>
            <w:tcBorders>
              <w:top w:val="nil"/>
              <w:left w:val="nil"/>
              <w:bottom w:val="nil"/>
              <w:right w:val="nil"/>
            </w:tcBorders>
            <w:vAlign w:val="center"/>
          </w:tcPr>
          <w:p w14:paraId="7714C049"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1,270</w:t>
            </w:r>
          </w:p>
        </w:tc>
      </w:tr>
      <w:tr w:rsidR="00EC537F" w:rsidRPr="004E4790" w14:paraId="2AD9E044" w14:textId="77777777" w:rsidTr="00D877C6">
        <w:tc>
          <w:tcPr>
            <w:cnfStyle w:val="001000000000" w:firstRow="0" w:lastRow="0" w:firstColumn="1" w:lastColumn="0" w:oddVBand="0" w:evenVBand="0" w:oddHBand="0" w:evenHBand="0" w:firstRowFirstColumn="0" w:firstRowLastColumn="0" w:lastRowFirstColumn="0" w:lastRowLastColumn="0"/>
            <w:tcW w:w="930" w:type="pct"/>
            <w:tcBorders>
              <w:top w:val="nil"/>
              <w:left w:val="nil"/>
              <w:bottom w:val="nil"/>
              <w:right w:val="nil"/>
            </w:tcBorders>
            <w:vAlign w:val="center"/>
            <w:hideMark/>
          </w:tcPr>
          <w:p w14:paraId="0F635387" w14:textId="77777777" w:rsidR="00EC537F" w:rsidRPr="00594C4A" w:rsidRDefault="00EC537F" w:rsidP="00CD037B">
            <w:pPr>
              <w:pStyle w:val="Normal1"/>
              <w:jc w:val="center"/>
              <w:rPr>
                <w:sz w:val="22"/>
                <w:szCs w:val="22"/>
              </w:rPr>
            </w:pPr>
            <w:r w:rsidRPr="00594C4A">
              <w:rPr>
                <w:sz w:val="22"/>
                <w:szCs w:val="22"/>
              </w:rPr>
              <w:t>INTER</w:t>
            </w:r>
          </w:p>
        </w:tc>
        <w:tc>
          <w:tcPr>
            <w:tcW w:w="542" w:type="pct"/>
            <w:tcBorders>
              <w:top w:val="nil"/>
              <w:left w:val="nil"/>
              <w:bottom w:val="nil"/>
              <w:right w:val="nil"/>
            </w:tcBorders>
            <w:vAlign w:val="center"/>
          </w:tcPr>
          <w:p w14:paraId="70882BD8"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0,00</w:t>
            </w:r>
          </w:p>
        </w:tc>
        <w:tc>
          <w:tcPr>
            <w:tcW w:w="548" w:type="pct"/>
            <w:tcBorders>
              <w:top w:val="nil"/>
              <w:left w:val="nil"/>
              <w:bottom w:val="nil"/>
              <w:right w:val="nil"/>
            </w:tcBorders>
            <w:vAlign w:val="center"/>
          </w:tcPr>
          <w:p w14:paraId="3306FA73"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198,04</w:t>
            </w:r>
          </w:p>
        </w:tc>
        <w:tc>
          <w:tcPr>
            <w:tcW w:w="564" w:type="pct"/>
            <w:tcBorders>
              <w:top w:val="nil"/>
              <w:left w:val="nil"/>
              <w:bottom w:val="nil"/>
              <w:right w:val="nil"/>
            </w:tcBorders>
            <w:vAlign w:val="center"/>
          </w:tcPr>
          <w:p w14:paraId="2DC2E6B8"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11,522</w:t>
            </w:r>
          </w:p>
        </w:tc>
        <w:tc>
          <w:tcPr>
            <w:tcW w:w="968" w:type="pct"/>
            <w:tcBorders>
              <w:top w:val="nil"/>
              <w:left w:val="nil"/>
              <w:bottom w:val="nil"/>
              <w:right w:val="nil"/>
            </w:tcBorders>
            <w:vAlign w:val="center"/>
          </w:tcPr>
          <w:p w14:paraId="2919EBA0"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17,4492</w:t>
            </w:r>
          </w:p>
        </w:tc>
        <w:tc>
          <w:tcPr>
            <w:tcW w:w="767" w:type="pct"/>
            <w:tcBorders>
              <w:top w:val="nil"/>
              <w:left w:val="nil"/>
              <w:bottom w:val="nil"/>
              <w:right w:val="nil"/>
            </w:tcBorders>
            <w:vAlign w:val="center"/>
          </w:tcPr>
          <w:p w14:paraId="6271173D"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6,479</w:t>
            </w:r>
          </w:p>
        </w:tc>
        <w:tc>
          <w:tcPr>
            <w:tcW w:w="681" w:type="pct"/>
            <w:tcBorders>
              <w:top w:val="nil"/>
              <w:left w:val="nil"/>
              <w:bottom w:val="nil"/>
              <w:right w:val="nil"/>
            </w:tcBorders>
            <w:vAlign w:val="center"/>
          </w:tcPr>
          <w:p w14:paraId="27956F41" w14:textId="77777777" w:rsidR="00EC537F" w:rsidRPr="00594C4A" w:rsidRDefault="00EC537F" w:rsidP="00CD037B">
            <w:pP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594C4A">
              <w:rPr>
                <w:rFonts w:cs="Times New Roman"/>
                <w:sz w:val="22"/>
              </w:rPr>
              <w:t>63,266</w:t>
            </w:r>
          </w:p>
        </w:tc>
      </w:tr>
      <w:tr w:rsidR="00EC537F" w:rsidRPr="004E4790" w14:paraId="5BE302DF" w14:textId="77777777" w:rsidTr="00D87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tcBorders>
              <w:top w:val="nil"/>
              <w:left w:val="nil"/>
              <w:bottom w:val="single" w:sz="4" w:space="0" w:color="auto"/>
              <w:right w:val="nil"/>
            </w:tcBorders>
            <w:vAlign w:val="center"/>
          </w:tcPr>
          <w:p w14:paraId="037D4768" w14:textId="77777777" w:rsidR="00EC537F" w:rsidRPr="00594C4A" w:rsidRDefault="00EC537F" w:rsidP="00CD037B">
            <w:pPr>
              <w:pStyle w:val="Normal1"/>
              <w:jc w:val="center"/>
              <w:rPr>
                <w:sz w:val="22"/>
                <w:szCs w:val="22"/>
              </w:rPr>
            </w:pPr>
            <w:r w:rsidRPr="00594C4A">
              <w:rPr>
                <w:sz w:val="22"/>
                <w:szCs w:val="22"/>
              </w:rPr>
              <w:t>NATJU</w:t>
            </w:r>
          </w:p>
        </w:tc>
        <w:tc>
          <w:tcPr>
            <w:tcW w:w="542" w:type="pct"/>
            <w:tcBorders>
              <w:top w:val="nil"/>
              <w:left w:val="nil"/>
              <w:bottom w:val="single" w:sz="4" w:space="0" w:color="auto"/>
              <w:right w:val="nil"/>
            </w:tcBorders>
            <w:vAlign w:val="center"/>
          </w:tcPr>
          <w:p w14:paraId="782904D2"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0,00</w:t>
            </w:r>
          </w:p>
        </w:tc>
        <w:tc>
          <w:tcPr>
            <w:tcW w:w="548" w:type="pct"/>
            <w:tcBorders>
              <w:top w:val="nil"/>
              <w:left w:val="nil"/>
              <w:bottom w:val="single" w:sz="4" w:space="0" w:color="auto"/>
              <w:right w:val="nil"/>
            </w:tcBorders>
            <w:vAlign w:val="center"/>
          </w:tcPr>
          <w:p w14:paraId="58AAD44A"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1,00</w:t>
            </w:r>
          </w:p>
        </w:tc>
        <w:tc>
          <w:tcPr>
            <w:tcW w:w="564" w:type="pct"/>
            <w:tcBorders>
              <w:top w:val="nil"/>
              <w:left w:val="nil"/>
              <w:bottom w:val="single" w:sz="4" w:space="0" w:color="auto"/>
              <w:right w:val="nil"/>
            </w:tcBorders>
            <w:vAlign w:val="center"/>
          </w:tcPr>
          <w:p w14:paraId="2C9EF938"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0,1564</w:t>
            </w:r>
          </w:p>
        </w:tc>
        <w:tc>
          <w:tcPr>
            <w:tcW w:w="968" w:type="pct"/>
            <w:tcBorders>
              <w:top w:val="nil"/>
              <w:left w:val="nil"/>
              <w:bottom w:val="single" w:sz="4" w:space="0" w:color="auto"/>
              <w:right w:val="nil"/>
            </w:tcBorders>
            <w:vAlign w:val="center"/>
          </w:tcPr>
          <w:p w14:paraId="69CBA71E"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0,36410</w:t>
            </w:r>
          </w:p>
        </w:tc>
        <w:tc>
          <w:tcPr>
            <w:tcW w:w="767" w:type="pct"/>
            <w:tcBorders>
              <w:top w:val="nil"/>
              <w:left w:val="nil"/>
              <w:bottom w:val="single" w:sz="4" w:space="0" w:color="auto"/>
              <w:right w:val="nil"/>
            </w:tcBorders>
            <w:vAlign w:val="center"/>
          </w:tcPr>
          <w:p w14:paraId="44D71891"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1,905</w:t>
            </w:r>
          </w:p>
        </w:tc>
        <w:tc>
          <w:tcPr>
            <w:tcW w:w="681" w:type="pct"/>
            <w:tcBorders>
              <w:top w:val="nil"/>
              <w:left w:val="nil"/>
              <w:bottom w:val="single" w:sz="4" w:space="0" w:color="auto"/>
              <w:right w:val="nil"/>
            </w:tcBorders>
            <w:vAlign w:val="center"/>
          </w:tcPr>
          <w:p w14:paraId="0AD65762" w14:textId="77777777" w:rsidR="00EC537F" w:rsidRPr="00594C4A" w:rsidRDefault="00EC537F" w:rsidP="00CD037B">
            <w:pPr>
              <w:spacing w:after="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594C4A">
              <w:rPr>
                <w:rFonts w:cs="Times New Roman"/>
                <w:sz w:val="22"/>
              </w:rPr>
              <w:t>1,646</w:t>
            </w:r>
          </w:p>
        </w:tc>
      </w:tr>
    </w:tbl>
    <w:p w14:paraId="2EF20EA9" w14:textId="1F5993D9" w:rsidR="00EC537F" w:rsidRPr="00594C4A" w:rsidRDefault="00EC537F" w:rsidP="00CD037B">
      <w:pPr>
        <w:spacing w:after="0"/>
        <w:rPr>
          <w:sz w:val="20"/>
          <w:szCs w:val="20"/>
        </w:rPr>
      </w:pPr>
      <w:r w:rsidRPr="00594C4A">
        <w:rPr>
          <w:sz w:val="20"/>
          <w:szCs w:val="20"/>
        </w:rPr>
        <w:t>Fonte: Elaborado pelo</w:t>
      </w:r>
      <w:r w:rsidR="000E2B76" w:rsidRPr="00594C4A">
        <w:rPr>
          <w:sz w:val="20"/>
          <w:szCs w:val="20"/>
        </w:rPr>
        <w:t>s</w:t>
      </w:r>
      <w:r w:rsidRPr="00594C4A">
        <w:rPr>
          <w:sz w:val="20"/>
          <w:szCs w:val="20"/>
        </w:rPr>
        <w:t xml:space="preserve"> autor</w:t>
      </w:r>
      <w:r w:rsidR="000E2B76" w:rsidRPr="00594C4A">
        <w:rPr>
          <w:sz w:val="20"/>
          <w:szCs w:val="20"/>
        </w:rPr>
        <w:t>es</w:t>
      </w:r>
    </w:p>
    <w:p w14:paraId="17294795" w14:textId="77777777" w:rsidR="00D877C6" w:rsidRPr="00EA31E6" w:rsidRDefault="00D877C6" w:rsidP="00594C4A">
      <w:pPr>
        <w:spacing w:after="0"/>
        <w:ind w:firstLine="709"/>
        <w:jc w:val="both"/>
        <w:rPr>
          <w:sz w:val="22"/>
        </w:rPr>
      </w:pPr>
    </w:p>
    <w:p w14:paraId="25ABDEF8" w14:textId="0A9D3218" w:rsidR="00EC537F" w:rsidRDefault="00EC537F" w:rsidP="00594C4A">
      <w:pPr>
        <w:spacing w:after="0"/>
        <w:ind w:firstLine="709"/>
        <w:jc w:val="both"/>
        <w:rPr>
          <w:color w:val="000000"/>
        </w:rPr>
      </w:pPr>
      <w:r>
        <w:rPr>
          <w:rFonts w:ascii="TimesNewRoman" w:hAnsi="TimesNewRoman"/>
          <w:color w:val="000000"/>
        </w:rPr>
        <w:t xml:space="preserve">Analisando os modelos de regressão considerando </w:t>
      </w:r>
      <w:r>
        <w:t>í</w:t>
      </w:r>
      <w:r w:rsidRPr="00B5131F">
        <w:t xml:space="preserve">ndice de </w:t>
      </w:r>
      <w:r w:rsidRPr="00C335E6">
        <w:rPr>
          <w:i/>
        </w:rPr>
        <w:t>accountability</w:t>
      </w:r>
      <w:r>
        <w:t xml:space="preserve"> normativa </w:t>
      </w:r>
      <w:r w:rsidRPr="00B5131F">
        <w:t>dos RPPS</w:t>
      </w:r>
      <w:r>
        <w:rPr>
          <w:rFonts w:ascii="TimesNewRoman" w:hAnsi="TimesNewRoman"/>
          <w:color w:val="000000"/>
        </w:rPr>
        <w:t xml:space="preserve"> como variável dependente e com todas as variáveis independentes, pelo método Stepwise, foi obtido um modelo com as seguintes variáveis independentes: Constante, Estrutura institucional mínima, </w:t>
      </w:r>
      <w:r w:rsidRPr="00A21292">
        <w:rPr>
          <w:rFonts w:ascii="TimesNewRoman" w:hAnsi="TimesNewRoman"/>
          <w:color w:val="000000"/>
        </w:rPr>
        <w:t>Índice FIRJ</w:t>
      </w:r>
      <w:r>
        <w:rPr>
          <w:rFonts w:ascii="TimesNewRoman" w:hAnsi="TimesNewRoman"/>
          <w:color w:val="000000"/>
        </w:rPr>
        <w:t xml:space="preserve">AN de Desenvolvimento Municipal, </w:t>
      </w:r>
      <w:r w:rsidRPr="00A21292">
        <w:rPr>
          <w:rFonts w:ascii="TimesNewRoman" w:hAnsi="TimesNewRoman"/>
          <w:color w:val="000000"/>
        </w:rPr>
        <w:t>Logaritmo da Quantidade de recursos em posse do RPPS</w:t>
      </w:r>
      <w:r>
        <w:rPr>
          <w:rFonts w:ascii="TimesNewRoman" w:hAnsi="TimesNewRoman"/>
          <w:color w:val="000000"/>
        </w:rPr>
        <w:t xml:space="preserve"> </w:t>
      </w:r>
      <w:r w:rsidRPr="00723260">
        <w:rPr>
          <w:rFonts w:cs="Times New Roman"/>
          <w:color w:val="000000"/>
          <w:szCs w:val="24"/>
        </w:rPr>
        <w:t xml:space="preserve">e </w:t>
      </w:r>
      <w:r w:rsidRPr="00723260">
        <w:rPr>
          <w:rFonts w:cs="Times New Roman"/>
          <w:szCs w:val="24"/>
        </w:rPr>
        <w:t>Acesso domiciliar a internet</w:t>
      </w:r>
      <w:r>
        <w:rPr>
          <w:sz w:val="22"/>
        </w:rPr>
        <w:t xml:space="preserve">. </w:t>
      </w:r>
      <w:r>
        <w:rPr>
          <w:rFonts w:ascii="TimesNewRoman" w:hAnsi="TimesNewRoman"/>
          <w:color w:val="000000"/>
        </w:rPr>
        <w:t xml:space="preserve">O modelo mostra-se com um coeficiente de determinação ajustado de 0,429, o que evidencia que as variáveis independentes explicam 42,9% do </w:t>
      </w:r>
      <w:r>
        <w:t>í</w:t>
      </w:r>
      <w:r w:rsidRPr="00B5131F">
        <w:t xml:space="preserve">ndice de </w:t>
      </w:r>
      <w:r w:rsidRPr="00C335E6">
        <w:rPr>
          <w:i/>
        </w:rPr>
        <w:t>accountability</w:t>
      </w:r>
      <w:r>
        <w:t xml:space="preserve"> normativa</w:t>
      </w:r>
      <w:r>
        <w:rPr>
          <w:rFonts w:ascii="TimesNewRoman" w:hAnsi="TimesNewRoman"/>
          <w:color w:val="000000"/>
        </w:rPr>
        <w:t>. Pela estatística do teste Durbin</w:t>
      </w:r>
      <w:r w:rsidRPr="00A21292">
        <w:rPr>
          <w:rFonts w:ascii="TimesNewRoman" w:hAnsi="TimesNewRoman"/>
          <w:color w:val="000000"/>
        </w:rPr>
        <w:t>-Watson</w:t>
      </w:r>
      <w:r>
        <w:rPr>
          <w:rFonts w:ascii="TimesNewRoman" w:hAnsi="TimesNewRoman"/>
          <w:color w:val="000000"/>
        </w:rPr>
        <w:t xml:space="preserve"> (Tabela 6) foi verificada</w:t>
      </w:r>
      <w:r>
        <w:rPr>
          <w:color w:val="000000"/>
        </w:rPr>
        <w:t xml:space="preserve"> a ausência d</w:t>
      </w:r>
      <w:r w:rsidR="00E50FB1">
        <w:rPr>
          <w:color w:val="000000"/>
        </w:rPr>
        <w:t>e</w:t>
      </w:r>
      <w:r>
        <w:rPr>
          <w:color w:val="000000"/>
        </w:rPr>
        <w:t xml:space="preserve"> auto correlação dos resíduos. Cuja hipótese HO (a ser rejeitada) é de auto correlação ou covariância, como o valor obtido foi próximo de 2, não existe auto correlação dos resíduos.</w:t>
      </w:r>
    </w:p>
    <w:p w14:paraId="4D95A0A4" w14:textId="77777777" w:rsidR="00EC537F" w:rsidRDefault="00EC537F" w:rsidP="00594C4A">
      <w:pPr>
        <w:spacing w:after="0"/>
        <w:ind w:firstLine="709"/>
        <w:jc w:val="both"/>
        <w:rPr>
          <w:rFonts w:cs="Times New Roman"/>
          <w:color w:val="000000"/>
        </w:rPr>
      </w:pPr>
      <w:r w:rsidRPr="00723260">
        <w:rPr>
          <w:rFonts w:cs="Times New Roman"/>
          <w:color w:val="000000"/>
        </w:rPr>
        <w:t>No teste ANOVA, o modelo apresentou-se com a rejeição da hipótese nula dos coeficientes das variáveis independentes em conjunto serem iguais a zero, com um valor do teste F igual a 39,911, equivalendo a um valor Sig de 0,000.</w:t>
      </w:r>
    </w:p>
    <w:p w14:paraId="3127CCF7" w14:textId="77777777" w:rsidR="00B06A71" w:rsidRDefault="009113FB" w:rsidP="00594C4A">
      <w:pPr>
        <w:autoSpaceDE w:val="0"/>
        <w:autoSpaceDN w:val="0"/>
        <w:adjustRightInd w:val="0"/>
        <w:spacing w:after="0"/>
        <w:ind w:firstLine="709"/>
        <w:jc w:val="both"/>
      </w:pPr>
      <w:r w:rsidRPr="00C42C51">
        <w:t xml:space="preserve">É importante ainda analisar o diagnóstico de colinearidade, o qual indica se há correlações entre as variáveis, sob pena de incorrer em problemas na estimação dos parâmetros do modelo. Segundo Hair </w:t>
      </w:r>
      <w:r w:rsidRPr="00BC0A12">
        <w:t>et al.</w:t>
      </w:r>
      <w:r>
        <w:rPr>
          <w:i/>
          <w:iCs/>
        </w:rPr>
        <w:t xml:space="preserve"> </w:t>
      </w:r>
      <w:r w:rsidRPr="00C42C51">
        <w:t xml:space="preserve">(2005) quando as variáveis são multicolineares fornecem informações semelhantes para explicar e prever determinado fenômeno. O impacto da multicolinearidade é reduzir o poder preditivo de qualquer variável independente na medida em que ela é associada com as demais variáveis. </w:t>
      </w:r>
      <w:r>
        <w:t xml:space="preserve">Os resultados do do teste </w:t>
      </w:r>
      <w:r w:rsidRPr="00B06A71">
        <w:rPr>
          <w:i/>
        </w:rPr>
        <w:t>Tolerance</w:t>
      </w:r>
      <w:r>
        <w:t xml:space="preserve"> foram entre 0,821 e 0,905 e os do teste VIF foram entre 1,105 e 1,218, </w:t>
      </w:r>
      <w:r w:rsidR="00D63F65" w:rsidRPr="00C42C51">
        <w:t>suger</w:t>
      </w:r>
      <w:r w:rsidR="00D63F65">
        <w:t>indo</w:t>
      </w:r>
      <w:r w:rsidR="00D63F65" w:rsidRPr="00C42C51">
        <w:t xml:space="preserve"> a ausência de multicolinearidade</w:t>
      </w:r>
      <w:r w:rsidR="00D63F65">
        <w:t>.</w:t>
      </w:r>
    </w:p>
    <w:p w14:paraId="00409789" w14:textId="5EEEE004" w:rsidR="00F2141F" w:rsidRDefault="00EC537F" w:rsidP="00594C4A">
      <w:pPr>
        <w:autoSpaceDE w:val="0"/>
        <w:autoSpaceDN w:val="0"/>
        <w:adjustRightInd w:val="0"/>
        <w:spacing w:after="0"/>
        <w:ind w:firstLine="709"/>
        <w:jc w:val="both"/>
        <w:rPr>
          <w:color w:val="000000"/>
        </w:rPr>
      </w:pPr>
      <w:r w:rsidRPr="00723260">
        <w:rPr>
          <w:rFonts w:cs="Times New Roman"/>
          <w:color w:val="000000"/>
        </w:rPr>
        <w:t xml:space="preserve">A Tabela 7 apresenta os coeficientes padronizados, coeficientes, erro padrão, valor do teste t e valor p para os parâmetros estimados. A coluna </w:t>
      </w:r>
      <w:r w:rsidRPr="00723260">
        <w:rPr>
          <w:rFonts w:cs="Times New Roman"/>
          <w:bCs/>
          <w:color w:val="000000"/>
        </w:rPr>
        <w:t xml:space="preserve">Beta </w:t>
      </w:r>
      <w:r w:rsidRPr="00723260">
        <w:rPr>
          <w:rFonts w:cs="Times New Roman"/>
          <w:color w:val="000000"/>
        </w:rPr>
        <w:t xml:space="preserve">indica os coeficientes da regressão caso todas as variáveis independentes tivessem sido padronizadas, com média zero </w:t>
      </w:r>
      <w:r w:rsidRPr="00723260">
        <w:rPr>
          <w:rFonts w:cs="Times New Roman"/>
          <w:color w:val="000000"/>
        </w:rPr>
        <w:lastRenderedPageBreak/>
        <w:t>e desvio padrão um, o que permite a comparação da influência de cada variável in</w:t>
      </w:r>
      <w:r>
        <w:rPr>
          <w:rFonts w:cs="Times New Roman"/>
          <w:color w:val="000000"/>
        </w:rPr>
        <w:t xml:space="preserve">dependente na previsão nível de </w:t>
      </w:r>
      <w:r w:rsidRPr="00C335E6">
        <w:rPr>
          <w:rFonts w:cs="Times New Roman"/>
          <w:i/>
          <w:color w:val="000000"/>
        </w:rPr>
        <w:t>accountability</w:t>
      </w:r>
      <w:r>
        <w:rPr>
          <w:rFonts w:cs="Times New Roman"/>
          <w:color w:val="000000"/>
        </w:rPr>
        <w:t>, a</w:t>
      </w:r>
      <w:r w:rsidRPr="00723260">
        <w:rPr>
          <w:rFonts w:cs="Times New Roman"/>
          <w:color w:val="000000"/>
        </w:rPr>
        <w:t xml:space="preserve"> coluna </w:t>
      </w:r>
      <w:r w:rsidRPr="00723260">
        <w:rPr>
          <w:rFonts w:cs="Times New Roman"/>
          <w:bCs/>
          <w:color w:val="000000"/>
        </w:rPr>
        <w:t xml:space="preserve">B </w:t>
      </w:r>
      <w:r w:rsidRPr="00723260">
        <w:rPr>
          <w:rFonts w:cs="Times New Roman"/>
          <w:color w:val="000000"/>
        </w:rPr>
        <w:t>indica os coeficientes estimados sem a padronização das variáveis e a coluna seguinte o seu erro padrão</w:t>
      </w:r>
      <w:r>
        <w:rPr>
          <w:rFonts w:cs="Times New Roman"/>
          <w:color w:val="000000"/>
        </w:rPr>
        <w:t xml:space="preserve">, a coluna t mostra o </w:t>
      </w:r>
      <w:r>
        <w:rPr>
          <w:color w:val="000000"/>
        </w:rPr>
        <w:t>valor da estatística t para o teste da hipótese nula que o parâmetro estimado é igual a zero e a última coluna</w:t>
      </w:r>
      <w:r w:rsidRPr="00723260">
        <w:rPr>
          <w:color w:val="000000"/>
        </w:rPr>
        <w:t xml:space="preserve"> </w:t>
      </w:r>
      <w:r>
        <w:rPr>
          <w:color w:val="000000"/>
        </w:rPr>
        <w:t>mostra o nível de significância ao qual a hipótese nula que o parâmetro estimado é igual a zero é rejeitada.</w:t>
      </w:r>
    </w:p>
    <w:p w14:paraId="2B31D184" w14:textId="77777777" w:rsidR="00594C4A" w:rsidRDefault="00594C4A" w:rsidP="00594C4A">
      <w:pPr>
        <w:autoSpaceDE w:val="0"/>
        <w:autoSpaceDN w:val="0"/>
        <w:adjustRightInd w:val="0"/>
        <w:spacing w:after="0"/>
        <w:ind w:firstLine="709"/>
        <w:jc w:val="both"/>
        <w:rPr>
          <w:color w:val="000000"/>
        </w:rPr>
      </w:pPr>
    </w:p>
    <w:p w14:paraId="49022215" w14:textId="77777777" w:rsidR="00EC537F" w:rsidRPr="00594C4A" w:rsidRDefault="00EC537F" w:rsidP="00CD037B">
      <w:pPr>
        <w:spacing w:after="0"/>
        <w:rPr>
          <w:sz w:val="20"/>
          <w:szCs w:val="20"/>
        </w:rPr>
      </w:pPr>
      <w:bookmarkStart w:id="24" w:name="_Toc442957934"/>
      <w:r w:rsidRPr="00594C4A">
        <w:rPr>
          <w:b/>
          <w:sz w:val="20"/>
          <w:szCs w:val="20"/>
        </w:rPr>
        <w:t xml:space="preserve">Tabela </w:t>
      </w:r>
      <w:r w:rsidR="00CD037B" w:rsidRPr="00594C4A">
        <w:rPr>
          <w:b/>
          <w:sz w:val="20"/>
          <w:szCs w:val="20"/>
        </w:rPr>
        <w:t>4</w:t>
      </w:r>
      <w:r w:rsidRPr="00594C4A">
        <w:rPr>
          <w:sz w:val="20"/>
          <w:szCs w:val="20"/>
        </w:rPr>
        <w:t xml:space="preserve"> - Parâmetros estimados do modelo</w:t>
      </w:r>
      <w:bookmarkEnd w:id="24"/>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1148"/>
        <w:gridCol w:w="1736"/>
        <w:gridCol w:w="1343"/>
        <w:gridCol w:w="1346"/>
        <w:gridCol w:w="1542"/>
        <w:gridCol w:w="980"/>
        <w:gridCol w:w="976"/>
      </w:tblGrid>
      <w:tr w:rsidR="00EC537F" w:rsidRPr="00DB4583" w14:paraId="3491D3DA" w14:textId="77777777" w:rsidTr="00EC537F">
        <w:trPr>
          <w:cantSplit/>
        </w:trPr>
        <w:tc>
          <w:tcPr>
            <w:tcW w:w="1590" w:type="pct"/>
            <w:gridSpan w:val="2"/>
            <w:vMerge w:val="restart"/>
            <w:tcBorders>
              <w:top w:val="single" w:sz="8" w:space="0" w:color="000000"/>
              <w:left w:val="nil"/>
              <w:bottom w:val="single" w:sz="8" w:space="0" w:color="000000"/>
              <w:right w:val="nil"/>
            </w:tcBorders>
            <w:shd w:val="clear" w:color="auto" w:fill="FFFFFF"/>
          </w:tcPr>
          <w:p w14:paraId="71E26C20" w14:textId="77777777" w:rsidR="00EC537F" w:rsidRPr="00594C4A" w:rsidRDefault="00EC537F" w:rsidP="00CD037B">
            <w:pPr>
              <w:spacing w:after="0"/>
              <w:jc w:val="center"/>
              <w:rPr>
                <w:sz w:val="22"/>
              </w:rPr>
            </w:pPr>
            <w:r w:rsidRPr="00594C4A">
              <w:rPr>
                <w:sz w:val="22"/>
              </w:rPr>
              <w:t>Modelo</w:t>
            </w:r>
          </w:p>
        </w:tc>
        <w:tc>
          <w:tcPr>
            <w:tcW w:w="1482" w:type="pct"/>
            <w:gridSpan w:val="2"/>
            <w:tcBorders>
              <w:top w:val="single" w:sz="8" w:space="0" w:color="000000"/>
              <w:left w:val="nil"/>
              <w:bottom w:val="single" w:sz="8" w:space="0" w:color="000000"/>
              <w:right w:val="nil"/>
            </w:tcBorders>
            <w:shd w:val="clear" w:color="auto" w:fill="FFFFFF"/>
          </w:tcPr>
          <w:p w14:paraId="165AF074" w14:textId="174C63EF" w:rsidR="00EC537F" w:rsidRPr="00594C4A" w:rsidRDefault="000E2B76" w:rsidP="00CD037B">
            <w:pPr>
              <w:spacing w:after="0"/>
              <w:jc w:val="center"/>
              <w:rPr>
                <w:sz w:val="22"/>
              </w:rPr>
            </w:pPr>
            <w:r w:rsidRPr="00594C4A">
              <w:rPr>
                <w:sz w:val="22"/>
              </w:rPr>
              <w:t>Coeficientes não padronizados</w:t>
            </w:r>
          </w:p>
        </w:tc>
        <w:tc>
          <w:tcPr>
            <w:tcW w:w="850" w:type="pct"/>
            <w:tcBorders>
              <w:top w:val="single" w:sz="8" w:space="0" w:color="000000"/>
              <w:left w:val="nil"/>
              <w:bottom w:val="single" w:sz="8" w:space="0" w:color="000000"/>
              <w:right w:val="nil"/>
            </w:tcBorders>
            <w:shd w:val="clear" w:color="auto" w:fill="FFFFFF"/>
          </w:tcPr>
          <w:p w14:paraId="39C74A1D" w14:textId="64DC62D3" w:rsidR="00EC537F" w:rsidRPr="00594C4A" w:rsidRDefault="000E2B76" w:rsidP="00CD037B">
            <w:pPr>
              <w:spacing w:after="0"/>
              <w:jc w:val="center"/>
              <w:rPr>
                <w:sz w:val="22"/>
              </w:rPr>
            </w:pPr>
            <w:r w:rsidRPr="00594C4A">
              <w:rPr>
                <w:sz w:val="22"/>
              </w:rPr>
              <w:t>Coeficientes padronizados</w:t>
            </w:r>
          </w:p>
        </w:tc>
        <w:tc>
          <w:tcPr>
            <w:tcW w:w="540" w:type="pct"/>
            <w:vMerge w:val="restart"/>
            <w:tcBorders>
              <w:top w:val="single" w:sz="8" w:space="0" w:color="000000"/>
              <w:left w:val="nil"/>
              <w:bottom w:val="single" w:sz="8" w:space="0" w:color="000000"/>
              <w:right w:val="nil"/>
            </w:tcBorders>
            <w:shd w:val="clear" w:color="auto" w:fill="FFFFFF"/>
          </w:tcPr>
          <w:p w14:paraId="2D730850" w14:textId="77777777" w:rsidR="00EC537F" w:rsidRPr="00594C4A" w:rsidRDefault="00EC537F" w:rsidP="00CD037B">
            <w:pPr>
              <w:spacing w:after="0"/>
              <w:jc w:val="center"/>
              <w:rPr>
                <w:sz w:val="22"/>
              </w:rPr>
            </w:pPr>
            <w:r w:rsidRPr="00594C4A">
              <w:rPr>
                <w:sz w:val="22"/>
              </w:rPr>
              <w:t>t</w:t>
            </w:r>
          </w:p>
        </w:tc>
        <w:tc>
          <w:tcPr>
            <w:tcW w:w="538" w:type="pct"/>
            <w:vMerge w:val="restart"/>
            <w:tcBorders>
              <w:top w:val="single" w:sz="8" w:space="0" w:color="000000"/>
              <w:left w:val="nil"/>
              <w:bottom w:val="single" w:sz="8" w:space="0" w:color="000000"/>
              <w:right w:val="nil"/>
            </w:tcBorders>
            <w:shd w:val="clear" w:color="auto" w:fill="FFFFFF"/>
          </w:tcPr>
          <w:p w14:paraId="3112AD5F" w14:textId="77777777" w:rsidR="00EC537F" w:rsidRPr="00594C4A" w:rsidRDefault="00EC537F" w:rsidP="00CD037B">
            <w:pPr>
              <w:spacing w:after="0"/>
              <w:jc w:val="center"/>
              <w:rPr>
                <w:sz w:val="22"/>
              </w:rPr>
            </w:pPr>
            <w:r w:rsidRPr="00594C4A">
              <w:rPr>
                <w:sz w:val="22"/>
              </w:rPr>
              <w:t>Sig.</w:t>
            </w:r>
          </w:p>
        </w:tc>
      </w:tr>
      <w:tr w:rsidR="00EC537F" w:rsidRPr="00DB4583" w14:paraId="2E4CAF29" w14:textId="77777777" w:rsidTr="00EC537F">
        <w:trPr>
          <w:cantSplit/>
        </w:trPr>
        <w:tc>
          <w:tcPr>
            <w:tcW w:w="1590" w:type="pct"/>
            <w:gridSpan w:val="2"/>
            <w:vMerge/>
            <w:tcBorders>
              <w:top w:val="single" w:sz="8" w:space="0" w:color="000000"/>
              <w:left w:val="nil"/>
              <w:bottom w:val="single" w:sz="8" w:space="0" w:color="000000"/>
              <w:right w:val="nil"/>
            </w:tcBorders>
            <w:shd w:val="clear" w:color="auto" w:fill="FFFFFF"/>
          </w:tcPr>
          <w:p w14:paraId="597930D4" w14:textId="77777777" w:rsidR="00EC537F" w:rsidRPr="00594C4A" w:rsidRDefault="00EC537F" w:rsidP="00CD037B">
            <w:pPr>
              <w:spacing w:after="0"/>
              <w:rPr>
                <w:sz w:val="22"/>
              </w:rPr>
            </w:pPr>
          </w:p>
        </w:tc>
        <w:tc>
          <w:tcPr>
            <w:tcW w:w="740" w:type="pct"/>
            <w:tcBorders>
              <w:top w:val="single" w:sz="8" w:space="0" w:color="000000"/>
              <w:left w:val="nil"/>
              <w:bottom w:val="single" w:sz="8" w:space="0" w:color="000000"/>
              <w:right w:val="nil"/>
            </w:tcBorders>
            <w:shd w:val="clear" w:color="auto" w:fill="FFFFFF"/>
          </w:tcPr>
          <w:p w14:paraId="19531EAB" w14:textId="77777777" w:rsidR="00EC537F" w:rsidRPr="00594C4A" w:rsidRDefault="00EC537F" w:rsidP="00CD037B">
            <w:pPr>
              <w:spacing w:after="0"/>
              <w:jc w:val="center"/>
              <w:rPr>
                <w:sz w:val="22"/>
              </w:rPr>
            </w:pPr>
            <w:r w:rsidRPr="00594C4A">
              <w:rPr>
                <w:sz w:val="22"/>
              </w:rPr>
              <w:t>B</w:t>
            </w:r>
          </w:p>
        </w:tc>
        <w:tc>
          <w:tcPr>
            <w:tcW w:w="742" w:type="pct"/>
            <w:tcBorders>
              <w:top w:val="single" w:sz="8" w:space="0" w:color="000000"/>
              <w:left w:val="nil"/>
              <w:bottom w:val="single" w:sz="8" w:space="0" w:color="000000"/>
              <w:right w:val="nil"/>
            </w:tcBorders>
            <w:shd w:val="clear" w:color="auto" w:fill="FFFFFF"/>
          </w:tcPr>
          <w:p w14:paraId="24CC3DF2" w14:textId="77777777" w:rsidR="00EC537F" w:rsidRPr="00594C4A" w:rsidRDefault="00EC537F" w:rsidP="00CD037B">
            <w:pPr>
              <w:spacing w:after="0"/>
              <w:jc w:val="center"/>
              <w:rPr>
                <w:sz w:val="22"/>
              </w:rPr>
            </w:pPr>
            <w:r w:rsidRPr="00594C4A">
              <w:rPr>
                <w:sz w:val="22"/>
              </w:rPr>
              <w:t>Erro padrão</w:t>
            </w:r>
          </w:p>
        </w:tc>
        <w:tc>
          <w:tcPr>
            <w:tcW w:w="850" w:type="pct"/>
            <w:tcBorders>
              <w:top w:val="single" w:sz="8" w:space="0" w:color="000000"/>
              <w:left w:val="nil"/>
              <w:bottom w:val="single" w:sz="8" w:space="0" w:color="000000"/>
              <w:right w:val="nil"/>
            </w:tcBorders>
            <w:shd w:val="clear" w:color="auto" w:fill="FFFFFF"/>
          </w:tcPr>
          <w:p w14:paraId="4A712CC1" w14:textId="77777777" w:rsidR="00EC537F" w:rsidRPr="00594C4A" w:rsidRDefault="00EC537F" w:rsidP="00CD037B">
            <w:pPr>
              <w:spacing w:after="0"/>
              <w:jc w:val="center"/>
              <w:rPr>
                <w:sz w:val="22"/>
              </w:rPr>
            </w:pPr>
            <w:r w:rsidRPr="00594C4A">
              <w:rPr>
                <w:sz w:val="22"/>
              </w:rPr>
              <w:t>Beta</w:t>
            </w:r>
          </w:p>
        </w:tc>
        <w:tc>
          <w:tcPr>
            <w:tcW w:w="540" w:type="pct"/>
            <w:vMerge/>
            <w:tcBorders>
              <w:top w:val="single" w:sz="8" w:space="0" w:color="000000"/>
              <w:left w:val="nil"/>
              <w:bottom w:val="single" w:sz="8" w:space="0" w:color="000000"/>
              <w:right w:val="nil"/>
            </w:tcBorders>
            <w:shd w:val="clear" w:color="auto" w:fill="FFFFFF"/>
          </w:tcPr>
          <w:p w14:paraId="72CEB8A9" w14:textId="77777777" w:rsidR="00EC537F" w:rsidRPr="00594C4A" w:rsidRDefault="00EC537F" w:rsidP="00CD037B">
            <w:pPr>
              <w:spacing w:after="0"/>
              <w:rPr>
                <w:sz w:val="22"/>
              </w:rPr>
            </w:pPr>
          </w:p>
        </w:tc>
        <w:tc>
          <w:tcPr>
            <w:tcW w:w="538" w:type="pct"/>
            <w:vMerge/>
            <w:tcBorders>
              <w:top w:val="single" w:sz="8" w:space="0" w:color="000000"/>
              <w:left w:val="nil"/>
              <w:bottom w:val="single" w:sz="8" w:space="0" w:color="000000"/>
              <w:right w:val="nil"/>
            </w:tcBorders>
            <w:shd w:val="clear" w:color="auto" w:fill="FFFFFF"/>
          </w:tcPr>
          <w:p w14:paraId="7F8F0F58" w14:textId="77777777" w:rsidR="00EC537F" w:rsidRPr="00594C4A" w:rsidRDefault="00EC537F" w:rsidP="00CD037B">
            <w:pPr>
              <w:spacing w:after="0"/>
              <w:rPr>
                <w:sz w:val="22"/>
              </w:rPr>
            </w:pPr>
          </w:p>
        </w:tc>
      </w:tr>
      <w:tr w:rsidR="00EC537F" w:rsidRPr="00DB4583" w14:paraId="4955CFAC" w14:textId="77777777" w:rsidTr="00EC537F">
        <w:trPr>
          <w:cantSplit/>
        </w:trPr>
        <w:tc>
          <w:tcPr>
            <w:tcW w:w="633" w:type="pct"/>
            <w:tcBorders>
              <w:top w:val="single" w:sz="8" w:space="0" w:color="000000"/>
              <w:left w:val="nil"/>
              <w:bottom w:val="nil"/>
              <w:right w:val="nil"/>
            </w:tcBorders>
            <w:shd w:val="clear" w:color="auto" w:fill="FFFFFF"/>
            <w:vAlign w:val="center"/>
          </w:tcPr>
          <w:p w14:paraId="4EE88C0A" w14:textId="77777777" w:rsidR="00EC537F" w:rsidRPr="00594C4A" w:rsidRDefault="00EC537F" w:rsidP="00CD037B">
            <w:pPr>
              <w:spacing w:after="0"/>
              <w:rPr>
                <w:sz w:val="22"/>
              </w:rPr>
            </w:pPr>
            <w:r w:rsidRPr="00594C4A">
              <w:rPr>
                <w:sz w:val="22"/>
              </w:rPr>
              <w:t>(Constant)</w:t>
            </w:r>
          </w:p>
        </w:tc>
        <w:tc>
          <w:tcPr>
            <w:tcW w:w="957" w:type="pct"/>
            <w:tcBorders>
              <w:top w:val="single" w:sz="8" w:space="0" w:color="000000"/>
              <w:left w:val="nil"/>
              <w:bottom w:val="nil"/>
              <w:right w:val="nil"/>
            </w:tcBorders>
            <w:shd w:val="clear" w:color="auto" w:fill="FFFFFF"/>
            <w:vAlign w:val="center"/>
          </w:tcPr>
          <w:p w14:paraId="4A5134CC" w14:textId="77777777" w:rsidR="00EC537F" w:rsidRPr="00594C4A" w:rsidRDefault="00EC537F" w:rsidP="00CD037B">
            <w:pPr>
              <w:spacing w:after="0"/>
              <w:rPr>
                <w:sz w:val="22"/>
              </w:rPr>
            </w:pPr>
          </w:p>
        </w:tc>
        <w:tc>
          <w:tcPr>
            <w:tcW w:w="740" w:type="pct"/>
            <w:tcBorders>
              <w:top w:val="single" w:sz="8" w:space="0" w:color="000000"/>
              <w:left w:val="nil"/>
              <w:bottom w:val="nil"/>
              <w:right w:val="nil"/>
            </w:tcBorders>
            <w:shd w:val="clear" w:color="auto" w:fill="FFFFFF"/>
            <w:vAlign w:val="center"/>
          </w:tcPr>
          <w:p w14:paraId="286355CB" w14:textId="77777777" w:rsidR="00EC537F" w:rsidRPr="00594C4A" w:rsidRDefault="00EC537F" w:rsidP="00CD037B">
            <w:pPr>
              <w:spacing w:after="0"/>
              <w:jc w:val="center"/>
              <w:rPr>
                <w:sz w:val="22"/>
              </w:rPr>
            </w:pPr>
            <w:r w:rsidRPr="00594C4A">
              <w:rPr>
                <w:sz w:val="22"/>
              </w:rPr>
              <w:t>-,274</w:t>
            </w:r>
          </w:p>
        </w:tc>
        <w:tc>
          <w:tcPr>
            <w:tcW w:w="742" w:type="pct"/>
            <w:tcBorders>
              <w:top w:val="single" w:sz="8" w:space="0" w:color="000000"/>
              <w:left w:val="nil"/>
              <w:bottom w:val="nil"/>
              <w:right w:val="nil"/>
            </w:tcBorders>
            <w:shd w:val="clear" w:color="auto" w:fill="FFFFFF"/>
            <w:vAlign w:val="center"/>
          </w:tcPr>
          <w:p w14:paraId="05DF24DE" w14:textId="77777777" w:rsidR="00EC537F" w:rsidRPr="00594C4A" w:rsidRDefault="00EC537F" w:rsidP="00CD037B">
            <w:pPr>
              <w:spacing w:after="0"/>
              <w:jc w:val="center"/>
              <w:rPr>
                <w:sz w:val="22"/>
              </w:rPr>
            </w:pPr>
            <w:r w:rsidRPr="00594C4A">
              <w:rPr>
                <w:sz w:val="22"/>
              </w:rPr>
              <w:t>,083</w:t>
            </w:r>
          </w:p>
        </w:tc>
        <w:tc>
          <w:tcPr>
            <w:tcW w:w="850" w:type="pct"/>
            <w:tcBorders>
              <w:top w:val="single" w:sz="8" w:space="0" w:color="000000"/>
              <w:left w:val="nil"/>
              <w:bottom w:val="nil"/>
              <w:right w:val="nil"/>
            </w:tcBorders>
            <w:shd w:val="clear" w:color="auto" w:fill="FFFFFF"/>
          </w:tcPr>
          <w:p w14:paraId="5C95FD23" w14:textId="77777777" w:rsidR="00EC537F" w:rsidRPr="00594C4A" w:rsidRDefault="00EC537F" w:rsidP="00CD037B">
            <w:pPr>
              <w:spacing w:after="0"/>
              <w:jc w:val="center"/>
              <w:rPr>
                <w:sz w:val="22"/>
              </w:rPr>
            </w:pPr>
          </w:p>
        </w:tc>
        <w:tc>
          <w:tcPr>
            <w:tcW w:w="540" w:type="pct"/>
            <w:tcBorders>
              <w:top w:val="single" w:sz="8" w:space="0" w:color="000000"/>
              <w:left w:val="nil"/>
              <w:bottom w:val="nil"/>
              <w:right w:val="nil"/>
            </w:tcBorders>
            <w:shd w:val="clear" w:color="auto" w:fill="FFFFFF"/>
            <w:vAlign w:val="center"/>
          </w:tcPr>
          <w:p w14:paraId="011D132B" w14:textId="77777777" w:rsidR="00EC537F" w:rsidRPr="00594C4A" w:rsidRDefault="00EC537F" w:rsidP="00CD037B">
            <w:pPr>
              <w:spacing w:after="0"/>
              <w:jc w:val="center"/>
              <w:rPr>
                <w:sz w:val="22"/>
              </w:rPr>
            </w:pPr>
            <w:r w:rsidRPr="00594C4A">
              <w:rPr>
                <w:sz w:val="22"/>
              </w:rPr>
              <w:t>-3,307</w:t>
            </w:r>
          </w:p>
        </w:tc>
        <w:tc>
          <w:tcPr>
            <w:tcW w:w="538" w:type="pct"/>
            <w:tcBorders>
              <w:top w:val="single" w:sz="8" w:space="0" w:color="000000"/>
              <w:left w:val="nil"/>
              <w:bottom w:val="nil"/>
              <w:right w:val="nil"/>
            </w:tcBorders>
            <w:shd w:val="clear" w:color="auto" w:fill="FFFFFF"/>
            <w:vAlign w:val="center"/>
          </w:tcPr>
          <w:p w14:paraId="5374F7DE" w14:textId="77777777" w:rsidR="00EC537F" w:rsidRPr="00594C4A" w:rsidRDefault="00EC537F" w:rsidP="00CD037B">
            <w:pPr>
              <w:spacing w:after="0"/>
              <w:jc w:val="center"/>
              <w:rPr>
                <w:sz w:val="22"/>
              </w:rPr>
            </w:pPr>
            <w:r w:rsidRPr="00594C4A">
              <w:rPr>
                <w:sz w:val="22"/>
              </w:rPr>
              <w:t>,001</w:t>
            </w:r>
          </w:p>
        </w:tc>
      </w:tr>
      <w:tr w:rsidR="00EC537F" w:rsidRPr="00DB4583" w14:paraId="4C9AC9BC" w14:textId="77777777" w:rsidTr="00EC537F">
        <w:trPr>
          <w:cantSplit/>
        </w:trPr>
        <w:tc>
          <w:tcPr>
            <w:tcW w:w="1590" w:type="pct"/>
            <w:gridSpan w:val="2"/>
            <w:tcBorders>
              <w:top w:val="nil"/>
              <w:left w:val="nil"/>
              <w:bottom w:val="nil"/>
              <w:right w:val="nil"/>
            </w:tcBorders>
            <w:shd w:val="clear" w:color="auto" w:fill="FFFFFF"/>
            <w:vAlign w:val="center"/>
          </w:tcPr>
          <w:p w14:paraId="7C0CDE7C" w14:textId="77777777" w:rsidR="00EC537F" w:rsidRPr="00594C4A" w:rsidRDefault="00EC537F" w:rsidP="00CD037B">
            <w:pPr>
              <w:spacing w:after="0"/>
              <w:rPr>
                <w:sz w:val="22"/>
              </w:rPr>
            </w:pPr>
            <w:r w:rsidRPr="00594C4A">
              <w:rPr>
                <w:sz w:val="22"/>
              </w:rPr>
              <w:t>Estrutura institucional Mínima</w:t>
            </w:r>
          </w:p>
        </w:tc>
        <w:tc>
          <w:tcPr>
            <w:tcW w:w="740" w:type="pct"/>
            <w:tcBorders>
              <w:top w:val="nil"/>
              <w:left w:val="nil"/>
              <w:bottom w:val="nil"/>
              <w:right w:val="nil"/>
            </w:tcBorders>
            <w:shd w:val="clear" w:color="auto" w:fill="FFFFFF"/>
            <w:vAlign w:val="center"/>
          </w:tcPr>
          <w:p w14:paraId="14C0358F" w14:textId="77777777" w:rsidR="00EC537F" w:rsidRPr="00594C4A" w:rsidRDefault="00EC537F" w:rsidP="00CD037B">
            <w:pPr>
              <w:spacing w:after="0"/>
              <w:jc w:val="center"/>
              <w:rPr>
                <w:sz w:val="22"/>
              </w:rPr>
            </w:pPr>
            <w:r w:rsidRPr="00594C4A">
              <w:rPr>
                <w:sz w:val="22"/>
              </w:rPr>
              <w:t>,396</w:t>
            </w:r>
          </w:p>
        </w:tc>
        <w:tc>
          <w:tcPr>
            <w:tcW w:w="742" w:type="pct"/>
            <w:tcBorders>
              <w:top w:val="nil"/>
              <w:left w:val="nil"/>
              <w:bottom w:val="nil"/>
              <w:right w:val="nil"/>
            </w:tcBorders>
            <w:shd w:val="clear" w:color="auto" w:fill="FFFFFF"/>
            <w:vAlign w:val="center"/>
          </w:tcPr>
          <w:p w14:paraId="2CD361D4" w14:textId="77777777" w:rsidR="00EC537F" w:rsidRPr="00594C4A" w:rsidRDefault="00EC537F" w:rsidP="00CD037B">
            <w:pPr>
              <w:spacing w:after="0"/>
              <w:jc w:val="center"/>
              <w:rPr>
                <w:sz w:val="22"/>
              </w:rPr>
            </w:pPr>
            <w:r w:rsidRPr="00594C4A">
              <w:rPr>
                <w:sz w:val="22"/>
              </w:rPr>
              <w:t>,041</w:t>
            </w:r>
          </w:p>
        </w:tc>
        <w:tc>
          <w:tcPr>
            <w:tcW w:w="850" w:type="pct"/>
            <w:tcBorders>
              <w:top w:val="nil"/>
              <w:left w:val="nil"/>
              <w:bottom w:val="nil"/>
              <w:right w:val="nil"/>
            </w:tcBorders>
            <w:shd w:val="clear" w:color="auto" w:fill="FFFFFF"/>
            <w:vAlign w:val="center"/>
          </w:tcPr>
          <w:p w14:paraId="445CC24E" w14:textId="77777777" w:rsidR="00EC537F" w:rsidRPr="00594C4A" w:rsidRDefault="00EC537F" w:rsidP="00CD037B">
            <w:pPr>
              <w:spacing w:after="0"/>
              <w:jc w:val="center"/>
              <w:rPr>
                <w:sz w:val="22"/>
              </w:rPr>
            </w:pPr>
            <w:r w:rsidRPr="00594C4A">
              <w:rPr>
                <w:sz w:val="22"/>
              </w:rPr>
              <w:t>,513</w:t>
            </w:r>
          </w:p>
        </w:tc>
        <w:tc>
          <w:tcPr>
            <w:tcW w:w="540" w:type="pct"/>
            <w:tcBorders>
              <w:top w:val="nil"/>
              <w:left w:val="nil"/>
              <w:bottom w:val="nil"/>
              <w:right w:val="nil"/>
            </w:tcBorders>
            <w:shd w:val="clear" w:color="auto" w:fill="FFFFFF"/>
            <w:vAlign w:val="center"/>
          </w:tcPr>
          <w:p w14:paraId="3596FE55" w14:textId="77777777" w:rsidR="00EC537F" w:rsidRPr="00594C4A" w:rsidRDefault="00EC537F" w:rsidP="00CD037B">
            <w:pPr>
              <w:spacing w:after="0"/>
              <w:jc w:val="center"/>
              <w:rPr>
                <w:sz w:val="22"/>
              </w:rPr>
            </w:pPr>
            <w:r w:rsidRPr="00594C4A">
              <w:rPr>
                <w:sz w:val="22"/>
              </w:rPr>
              <w:t>9,758</w:t>
            </w:r>
          </w:p>
        </w:tc>
        <w:tc>
          <w:tcPr>
            <w:tcW w:w="538" w:type="pct"/>
            <w:tcBorders>
              <w:top w:val="nil"/>
              <w:left w:val="nil"/>
              <w:bottom w:val="nil"/>
              <w:right w:val="nil"/>
            </w:tcBorders>
            <w:shd w:val="clear" w:color="auto" w:fill="FFFFFF"/>
            <w:vAlign w:val="center"/>
          </w:tcPr>
          <w:p w14:paraId="7CA7CE1B" w14:textId="77777777" w:rsidR="00EC537F" w:rsidRPr="00594C4A" w:rsidRDefault="00EC537F" w:rsidP="00CD037B">
            <w:pPr>
              <w:spacing w:after="0"/>
              <w:jc w:val="center"/>
              <w:rPr>
                <w:sz w:val="22"/>
              </w:rPr>
            </w:pPr>
            <w:r w:rsidRPr="00594C4A">
              <w:rPr>
                <w:sz w:val="22"/>
              </w:rPr>
              <w:t>,000</w:t>
            </w:r>
          </w:p>
        </w:tc>
      </w:tr>
      <w:tr w:rsidR="00EC537F" w:rsidRPr="00DB4583" w14:paraId="696DD9EC" w14:textId="77777777" w:rsidTr="00EC537F">
        <w:trPr>
          <w:cantSplit/>
        </w:trPr>
        <w:tc>
          <w:tcPr>
            <w:tcW w:w="1590" w:type="pct"/>
            <w:gridSpan w:val="2"/>
            <w:tcBorders>
              <w:top w:val="nil"/>
              <w:left w:val="nil"/>
              <w:bottom w:val="nil"/>
              <w:right w:val="nil"/>
            </w:tcBorders>
            <w:shd w:val="clear" w:color="auto" w:fill="FFFFFF"/>
            <w:vAlign w:val="center"/>
          </w:tcPr>
          <w:p w14:paraId="693A08BC" w14:textId="77777777" w:rsidR="00EC537F" w:rsidRPr="00594C4A" w:rsidRDefault="00EC537F" w:rsidP="00CD037B">
            <w:pPr>
              <w:spacing w:after="0"/>
              <w:rPr>
                <w:sz w:val="22"/>
              </w:rPr>
            </w:pPr>
            <w:r w:rsidRPr="00594C4A">
              <w:rPr>
                <w:sz w:val="22"/>
              </w:rPr>
              <w:t>LnRecursos</w:t>
            </w:r>
          </w:p>
        </w:tc>
        <w:tc>
          <w:tcPr>
            <w:tcW w:w="740" w:type="pct"/>
            <w:tcBorders>
              <w:top w:val="nil"/>
              <w:left w:val="nil"/>
              <w:bottom w:val="nil"/>
              <w:right w:val="nil"/>
            </w:tcBorders>
            <w:shd w:val="clear" w:color="auto" w:fill="FFFFFF"/>
            <w:vAlign w:val="center"/>
          </w:tcPr>
          <w:p w14:paraId="726E1386" w14:textId="77777777" w:rsidR="00EC537F" w:rsidRPr="00594C4A" w:rsidRDefault="00EC537F" w:rsidP="00CD037B">
            <w:pPr>
              <w:spacing w:after="0"/>
              <w:jc w:val="center"/>
              <w:rPr>
                <w:sz w:val="22"/>
              </w:rPr>
            </w:pPr>
            <w:r w:rsidRPr="00594C4A">
              <w:rPr>
                <w:sz w:val="22"/>
              </w:rPr>
              <w:t>,055</w:t>
            </w:r>
          </w:p>
        </w:tc>
        <w:tc>
          <w:tcPr>
            <w:tcW w:w="742" w:type="pct"/>
            <w:tcBorders>
              <w:top w:val="nil"/>
              <w:left w:val="nil"/>
              <w:bottom w:val="nil"/>
              <w:right w:val="nil"/>
            </w:tcBorders>
            <w:shd w:val="clear" w:color="auto" w:fill="FFFFFF"/>
            <w:vAlign w:val="center"/>
          </w:tcPr>
          <w:p w14:paraId="03EFE5DB" w14:textId="77777777" w:rsidR="00EC537F" w:rsidRPr="00594C4A" w:rsidRDefault="00EC537F" w:rsidP="00CD037B">
            <w:pPr>
              <w:spacing w:after="0"/>
              <w:jc w:val="center"/>
              <w:rPr>
                <w:sz w:val="22"/>
              </w:rPr>
            </w:pPr>
            <w:r w:rsidRPr="00594C4A">
              <w:rPr>
                <w:sz w:val="22"/>
              </w:rPr>
              <w:t>,009</w:t>
            </w:r>
          </w:p>
        </w:tc>
        <w:tc>
          <w:tcPr>
            <w:tcW w:w="850" w:type="pct"/>
            <w:tcBorders>
              <w:top w:val="nil"/>
              <w:left w:val="nil"/>
              <w:bottom w:val="nil"/>
              <w:right w:val="nil"/>
            </w:tcBorders>
            <w:shd w:val="clear" w:color="auto" w:fill="FFFFFF"/>
            <w:vAlign w:val="center"/>
          </w:tcPr>
          <w:p w14:paraId="2551C4DF" w14:textId="77777777" w:rsidR="00EC537F" w:rsidRPr="00594C4A" w:rsidRDefault="00EC537F" w:rsidP="00CD037B">
            <w:pPr>
              <w:spacing w:after="0"/>
              <w:jc w:val="center"/>
              <w:rPr>
                <w:sz w:val="22"/>
              </w:rPr>
            </w:pPr>
            <w:r w:rsidRPr="00594C4A">
              <w:rPr>
                <w:sz w:val="22"/>
              </w:rPr>
              <w:t>,321</w:t>
            </w:r>
          </w:p>
        </w:tc>
        <w:tc>
          <w:tcPr>
            <w:tcW w:w="540" w:type="pct"/>
            <w:tcBorders>
              <w:top w:val="nil"/>
              <w:left w:val="nil"/>
              <w:bottom w:val="nil"/>
              <w:right w:val="nil"/>
            </w:tcBorders>
            <w:shd w:val="clear" w:color="auto" w:fill="FFFFFF"/>
            <w:vAlign w:val="center"/>
          </w:tcPr>
          <w:p w14:paraId="4CFA6F56" w14:textId="77777777" w:rsidR="00EC537F" w:rsidRPr="00594C4A" w:rsidRDefault="00EC537F" w:rsidP="00CD037B">
            <w:pPr>
              <w:spacing w:after="0"/>
              <w:jc w:val="center"/>
              <w:rPr>
                <w:sz w:val="22"/>
              </w:rPr>
            </w:pPr>
            <w:r w:rsidRPr="00594C4A">
              <w:rPr>
                <w:sz w:val="22"/>
              </w:rPr>
              <w:t>5,856</w:t>
            </w:r>
          </w:p>
        </w:tc>
        <w:tc>
          <w:tcPr>
            <w:tcW w:w="538" w:type="pct"/>
            <w:tcBorders>
              <w:top w:val="nil"/>
              <w:left w:val="nil"/>
              <w:bottom w:val="nil"/>
              <w:right w:val="nil"/>
            </w:tcBorders>
            <w:shd w:val="clear" w:color="auto" w:fill="FFFFFF"/>
            <w:vAlign w:val="center"/>
          </w:tcPr>
          <w:p w14:paraId="3E8E054B" w14:textId="77777777" w:rsidR="00EC537F" w:rsidRPr="00594C4A" w:rsidRDefault="00EC537F" w:rsidP="00CD037B">
            <w:pPr>
              <w:spacing w:after="0"/>
              <w:jc w:val="center"/>
              <w:rPr>
                <w:sz w:val="22"/>
              </w:rPr>
            </w:pPr>
            <w:r w:rsidRPr="00594C4A">
              <w:rPr>
                <w:sz w:val="22"/>
              </w:rPr>
              <w:t>,000</w:t>
            </w:r>
          </w:p>
        </w:tc>
      </w:tr>
      <w:tr w:rsidR="00EC537F" w:rsidRPr="00DB4583" w14:paraId="144CA6F3" w14:textId="77777777" w:rsidTr="00EC537F">
        <w:trPr>
          <w:cantSplit/>
        </w:trPr>
        <w:tc>
          <w:tcPr>
            <w:tcW w:w="1590" w:type="pct"/>
            <w:gridSpan w:val="2"/>
            <w:tcBorders>
              <w:top w:val="nil"/>
              <w:left w:val="nil"/>
              <w:bottom w:val="nil"/>
              <w:right w:val="nil"/>
            </w:tcBorders>
            <w:shd w:val="clear" w:color="auto" w:fill="FFFFFF"/>
            <w:vAlign w:val="center"/>
          </w:tcPr>
          <w:p w14:paraId="364E1E1C" w14:textId="77777777" w:rsidR="00EC537F" w:rsidRPr="00594C4A" w:rsidRDefault="00EC537F" w:rsidP="00CD037B">
            <w:pPr>
              <w:spacing w:after="0"/>
              <w:rPr>
                <w:sz w:val="22"/>
              </w:rPr>
            </w:pPr>
            <w:r w:rsidRPr="00594C4A">
              <w:rPr>
                <w:sz w:val="22"/>
              </w:rPr>
              <w:t>IFDM</w:t>
            </w:r>
          </w:p>
        </w:tc>
        <w:tc>
          <w:tcPr>
            <w:tcW w:w="740" w:type="pct"/>
            <w:tcBorders>
              <w:top w:val="nil"/>
              <w:left w:val="nil"/>
              <w:bottom w:val="nil"/>
              <w:right w:val="nil"/>
            </w:tcBorders>
            <w:shd w:val="clear" w:color="auto" w:fill="FFFFFF"/>
            <w:vAlign w:val="center"/>
          </w:tcPr>
          <w:p w14:paraId="6DE5D6CF" w14:textId="77777777" w:rsidR="00EC537F" w:rsidRPr="00594C4A" w:rsidRDefault="00EC537F" w:rsidP="00CD037B">
            <w:pPr>
              <w:spacing w:after="0"/>
              <w:jc w:val="center"/>
              <w:rPr>
                <w:sz w:val="22"/>
              </w:rPr>
            </w:pPr>
            <w:r w:rsidRPr="00594C4A">
              <w:rPr>
                <w:sz w:val="22"/>
              </w:rPr>
              <w:t>,188</w:t>
            </w:r>
          </w:p>
        </w:tc>
        <w:tc>
          <w:tcPr>
            <w:tcW w:w="742" w:type="pct"/>
            <w:tcBorders>
              <w:top w:val="nil"/>
              <w:left w:val="nil"/>
              <w:bottom w:val="nil"/>
              <w:right w:val="nil"/>
            </w:tcBorders>
            <w:shd w:val="clear" w:color="auto" w:fill="FFFFFF"/>
            <w:vAlign w:val="center"/>
          </w:tcPr>
          <w:p w14:paraId="256EBDB5" w14:textId="77777777" w:rsidR="00EC537F" w:rsidRPr="00594C4A" w:rsidRDefault="00EC537F" w:rsidP="00CD037B">
            <w:pPr>
              <w:spacing w:after="0"/>
              <w:jc w:val="center"/>
              <w:rPr>
                <w:sz w:val="22"/>
              </w:rPr>
            </w:pPr>
            <w:r w:rsidRPr="00594C4A">
              <w:rPr>
                <w:sz w:val="22"/>
              </w:rPr>
              <w:t>,074</w:t>
            </w:r>
          </w:p>
        </w:tc>
        <w:tc>
          <w:tcPr>
            <w:tcW w:w="850" w:type="pct"/>
            <w:tcBorders>
              <w:top w:val="nil"/>
              <w:left w:val="nil"/>
              <w:bottom w:val="nil"/>
              <w:right w:val="nil"/>
            </w:tcBorders>
            <w:shd w:val="clear" w:color="auto" w:fill="FFFFFF"/>
            <w:vAlign w:val="center"/>
          </w:tcPr>
          <w:p w14:paraId="2470A1FF" w14:textId="77777777" w:rsidR="00EC537F" w:rsidRPr="00594C4A" w:rsidRDefault="00EC537F" w:rsidP="00CD037B">
            <w:pPr>
              <w:spacing w:after="0"/>
              <w:jc w:val="center"/>
              <w:rPr>
                <w:sz w:val="22"/>
              </w:rPr>
            </w:pPr>
            <w:r w:rsidRPr="00594C4A">
              <w:rPr>
                <w:sz w:val="22"/>
              </w:rPr>
              <w:t>,145</w:t>
            </w:r>
          </w:p>
        </w:tc>
        <w:tc>
          <w:tcPr>
            <w:tcW w:w="540" w:type="pct"/>
            <w:tcBorders>
              <w:top w:val="nil"/>
              <w:left w:val="nil"/>
              <w:bottom w:val="nil"/>
              <w:right w:val="nil"/>
            </w:tcBorders>
            <w:shd w:val="clear" w:color="auto" w:fill="FFFFFF"/>
            <w:vAlign w:val="center"/>
          </w:tcPr>
          <w:p w14:paraId="100373EE" w14:textId="77777777" w:rsidR="00EC537F" w:rsidRPr="00594C4A" w:rsidRDefault="00EC537F" w:rsidP="00CD037B">
            <w:pPr>
              <w:spacing w:after="0"/>
              <w:jc w:val="center"/>
              <w:rPr>
                <w:sz w:val="22"/>
              </w:rPr>
            </w:pPr>
            <w:r w:rsidRPr="00594C4A">
              <w:rPr>
                <w:sz w:val="22"/>
              </w:rPr>
              <w:t>2,527</w:t>
            </w:r>
          </w:p>
        </w:tc>
        <w:tc>
          <w:tcPr>
            <w:tcW w:w="538" w:type="pct"/>
            <w:tcBorders>
              <w:top w:val="nil"/>
              <w:left w:val="nil"/>
              <w:bottom w:val="nil"/>
              <w:right w:val="nil"/>
            </w:tcBorders>
            <w:shd w:val="clear" w:color="auto" w:fill="FFFFFF"/>
            <w:vAlign w:val="center"/>
          </w:tcPr>
          <w:p w14:paraId="6F831F17" w14:textId="77777777" w:rsidR="00EC537F" w:rsidRPr="00594C4A" w:rsidRDefault="00EC537F" w:rsidP="00CD037B">
            <w:pPr>
              <w:spacing w:after="0"/>
              <w:jc w:val="center"/>
              <w:rPr>
                <w:sz w:val="22"/>
              </w:rPr>
            </w:pPr>
            <w:r w:rsidRPr="00594C4A">
              <w:rPr>
                <w:sz w:val="22"/>
              </w:rPr>
              <w:t>,012</w:t>
            </w:r>
          </w:p>
        </w:tc>
      </w:tr>
      <w:tr w:rsidR="00EC537F" w:rsidRPr="00DB4583" w14:paraId="31D17B22" w14:textId="77777777" w:rsidTr="00EC537F">
        <w:trPr>
          <w:cantSplit/>
        </w:trPr>
        <w:tc>
          <w:tcPr>
            <w:tcW w:w="1590" w:type="pct"/>
            <w:gridSpan w:val="2"/>
            <w:tcBorders>
              <w:top w:val="nil"/>
              <w:left w:val="nil"/>
              <w:bottom w:val="single" w:sz="8" w:space="0" w:color="000000"/>
              <w:right w:val="nil"/>
            </w:tcBorders>
            <w:shd w:val="clear" w:color="auto" w:fill="FFFFFF"/>
            <w:vAlign w:val="center"/>
          </w:tcPr>
          <w:p w14:paraId="5BAD79D7" w14:textId="77777777" w:rsidR="00EC537F" w:rsidRPr="00594C4A" w:rsidRDefault="00EC537F" w:rsidP="00CD037B">
            <w:pPr>
              <w:spacing w:after="0"/>
              <w:rPr>
                <w:sz w:val="22"/>
              </w:rPr>
            </w:pPr>
            <w:r w:rsidRPr="00594C4A">
              <w:rPr>
                <w:sz w:val="22"/>
              </w:rPr>
              <w:t>Acesso domiciliar a internet</w:t>
            </w:r>
          </w:p>
        </w:tc>
        <w:tc>
          <w:tcPr>
            <w:tcW w:w="740" w:type="pct"/>
            <w:tcBorders>
              <w:top w:val="nil"/>
              <w:left w:val="nil"/>
              <w:bottom w:val="single" w:sz="8" w:space="0" w:color="000000"/>
              <w:right w:val="nil"/>
            </w:tcBorders>
            <w:shd w:val="clear" w:color="auto" w:fill="FFFFFF"/>
            <w:vAlign w:val="center"/>
          </w:tcPr>
          <w:p w14:paraId="29280479" w14:textId="77777777" w:rsidR="00EC537F" w:rsidRPr="00594C4A" w:rsidRDefault="00EC537F" w:rsidP="00CD037B">
            <w:pPr>
              <w:spacing w:after="0"/>
              <w:jc w:val="center"/>
              <w:rPr>
                <w:sz w:val="22"/>
              </w:rPr>
            </w:pPr>
            <w:r w:rsidRPr="00594C4A">
              <w:rPr>
                <w:sz w:val="22"/>
              </w:rPr>
              <w:t>,001</w:t>
            </w:r>
          </w:p>
        </w:tc>
        <w:tc>
          <w:tcPr>
            <w:tcW w:w="742" w:type="pct"/>
            <w:tcBorders>
              <w:top w:val="nil"/>
              <w:left w:val="nil"/>
              <w:bottom w:val="single" w:sz="8" w:space="0" w:color="000000"/>
              <w:right w:val="nil"/>
            </w:tcBorders>
            <w:shd w:val="clear" w:color="auto" w:fill="FFFFFF"/>
            <w:vAlign w:val="center"/>
          </w:tcPr>
          <w:p w14:paraId="7F4067DA" w14:textId="77777777" w:rsidR="00EC537F" w:rsidRPr="00594C4A" w:rsidRDefault="00EC537F" w:rsidP="00CD037B">
            <w:pPr>
              <w:spacing w:after="0"/>
              <w:jc w:val="center"/>
              <w:rPr>
                <w:sz w:val="22"/>
              </w:rPr>
            </w:pPr>
            <w:r w:rsidRPr="00594C4A">
              <w:rPr>
                <w:sz w:val="22"/>
              </w:rPr>
              <w:t>,000</w:t>
            </w:r>
          </w:p>
        </w:tc>
        <w:tc>
          <w:tcPr>
            <w:tcW w:w="850" w:type="pct"/>
            <w:tcBorders>
              <w:top w:val="nil"/>
              <w:left w:val="nil"/>
              <w:bottom w:val="single" w:sz="8" w:space="0" w:color="000000"/>
              <w:right w:val="nil"/>
            </w:tcBorders>
            <w:shd w:val="clear" w:color="auto" w:fill="FFFFFF"/>
            <w:vAlign w:val="center"/>
          </w:tcPr>
          <w:p w14:paraId="64DD047D" w14:textId="77777777" w:rsidR="00EC537F" w:rsidRPr="00594C4A" w:rsidRDefault="00EC537F" w:rsidP="00CD037B">
            <w:pPr>
              <w:spacing w:after="0"/>
              <w:jc w:val="center"/>
              <w:rPr>
                <w:sz w:val="22"/>
              </w:rPr>
            </w:pPr>
            <w:r w:rsidRPr="00594C4A">
              <w:rPr>
                <w:sz w:val="22"/>
              </w:rPr>
              <w:t>,126</w:t>
            </w:r>
          </w:p>
        </w:tc>
        <w:tc>
          <w:tcPr>
            <w:tcW w:w="540" w:type="pct"/>
            <w:tcBorders>
              <w:top w:val="nil"/>
              <w:left w:val="nil"/>
              <w:bottom w:val="single" w:sz="8" w:space="0" w:color="000000"/>
              <w:right w:val="nil"/>
            </w:tcBorders>
            <w:shd w:val="clear" w:color="auto" w:fill="FFFFFF"/>
            <w:vAlign w:val="center"/>
          </w:tcPr>
          <w:p w14:paraId="0E0217A4" w14:textId="77777777" w:rsidR="00EC537F" w:rsidRPr="00594C4A" w:rsidRDefault="00EC537F" w:rsidP="00CD037B">
            <w:pPr>
              <w:spacing w:after="0"/>
              <w:jc w:val="center"/>
              <w:rPr>
                <w:sz w:val="22"/>
              </w:rPr>
            </w:pPr>
            <w:r w:rsidRPr="00594C4A">
              <w:rPr>
                <w:sz w:val="22"/>
              </w:rPr>
              <w:t>2,228</w:t>
            </w:r>
          </w:p>
        </w:tc>
        <w:tc>
          <w:tcPr>
            <w:tcW w:w="538" w:type="pct"/>
            <w:tcBorders>
              <w:top w:val="nil"/>
              <w:left w:val="nil"/>
              <w:bottom w:val="single" w:sz="8" w:space="0" w:color="000000"/>
              <w:right w:val="nil"/>
            </w:tcBorders>
            <w:shd w:val="clear" w:color="auto" w:fill="FFFFFF"/>
            <w:vAlign w:val="center"/>
          </w:tcPr>
          <w:p w14:paraId="01519518" w14:textId="77777777" w:rsidR="00EC537F" w:rsidRPr="00594C4A" w:rsidRDefault="00EC537F" w:rsidP="00CD037B">
            <w:pPr>
              <w:spacing w:after="0"/>
              <w:jc w:val="center"/>
              <w:rPr>
                <w:sz w:val="22"/>
              </w:rPr>
            </w:pPr>
            <w:r w:rsidRPr="00594C4A">
              <w:rPr>
                <w:sz w:val="22"/>
              </w:rPr>
              <w:t>,027</w:t>
            </w:r>
          </w:p>
        </w:tc>
      </w:tr>
    </w:tbl>
    <w:p w14:paraId="4C6D90C8" w14:textId="20DBDB65" w:rsidR="00EC537F" w:rsidRPr="00594C4A" w:rsidRDefault="00EC537F" w:rsidP="00673650">
      <w:pPr>
        <w:spacing w:line="360" w:lineRule="auto"/>
        <w:rPr>
          <w:sz w:val="20"/>
          <w:szCs w:val="20"/>
        </w:rPr>
      </w:pPr>
      <w:r w:rsidRPr="00594C4A">
        <w:rPr>
          <w:sz w:val="20"/>
          <w:szCs w:val="20"/>
        </w:rPr>
        <w:t>Fonte: Elaborado pelo</w:t>
      </w:r>
      <w:r w:rsidR="000E2B76" w:rsidRPr="00594C4A">
        <w:rPr>
          <w:sz w:val="20"/>
          <w:szCs w:val="20"/>
        </w:rPr>
        <w:t>s</w:t>
      </w:r>
      <w:r w:rsidRPr="00594C4A">
        <w:rPr>
          <w:sz w:val="20"/>
          <w:szCs w:val="20"/>
        </w:rPr>
        <w:t xml:space="preserve"> autor</w:t>
      </w:r>
      <w:r w:rsidR="000E2B76" w:rsidRPr="00594C4A">
        <w:rPr>
          <w:sz w:val="20"/>
          <w:szCs w:val="20"/>
        </w:rPr>
        <w:t>es</w:t>
      </w:r>
    </w:p>
    <w:p w14:paraId="22582E4C" w14:textId="77777777" w:rsidR="00EC537F" w:rsidRPr="00D20AFF" w:rsidRDefault="00EC537F" w:rsidP="00594C4A">
      <w:pPr>
        <w:pStyle w:val="Normal1"/>
        <w:ind w:firstLine="709"/>
        <w:jc w:val="both"/>
      </w:pPr>
      <w:r>
        <w:t xml:space="preserve">As variáveis número de conselhos atuantes e natureza jurídica do RPPS, não se apresentaram estatisticamente significante em nenhum dos modelos testados para explicar variações no nível de </w:t>
      </w:r>
      <w:r w:rsidRPr="00C335E6">
        <w:rPr>
          <w:i/>
        </w:rPr>
        <w:t>accountability</w:t>
      </w:r>
      <w:r>
        <w:t>, sendo excluídas automaticamente do modelo.</w:t>
      </w:r>
    </w:p>
    <w:p w14:paraId="2BF4EF7B" w14:textId="77777777" w:rsidR="00EC537F" w:rsidRDefault="00EC537F" w:rsidP="00594C4A">
      <w:pPr>
        <w:pStyle w:val="PargrafodaLista"/>
        <w:spacing w:after="0"/>
        <w:ind w:left="0" w:firstLine="709"/>
        <w:jc w:val="both"/>
        <w:rPr>
          <w:color w:val="000000"/>
        </w:rPr>
      </w:pPr>
      <w:r>
        <w:rPr>
          <w:color w:val="000000"/>
        </w:rPr>
        <w:t xml:space="preserve">Os resultados indicam que todas as demais variáveis explicativas testadas apresentaram-se estatisticamente significativas para indicar os efeitos das variações no nível de </w:t>
      </w:r>
      <w:r w:rsidRPr="00C335E6">
        <w:rPr>
          <w:i/>
          <w:color w:val="000000"/>
        </w:rPr>
        <w:t>accountability</w:t>
      </w:r>
      <w:r>
        <w:rPr>
          <w:color w:val="000000"/>
        </w:rPr>
        <w:t xml:space="preserve"> dos RPPS. </w:t>
      </w:r>
    </w:p>
    <w:p w14:paraId="6E93FB4D" w14:textId="77777777" w:rsidR="00EC537F" w:rsidRDefault="00EC537F" w:rsidP="00594C4A">
      <w:pPr>
        <w:pStyle w:val="PargrafodaLista"/>
        <w:spacing w:after="0"/>
        <w:ind w:left="0" w:firstLine="709"/>
        <w:jc w:val="both"/>
        <w:rPr>
          <w:rFonts w:cs="Times New Roman"/>
          <w:szCs w:val="24"/>
        </w:rPr>
      </w:pPr>
      <w:r>
        <w:rPr>
          <w:color w:val="000000"/>
        </w:rPr>
        <w:t xml:space="preserve">Deste modo, percebe-se que o nível de </w:t>
      </w:r>
      <w:r w:rsidRPr="00C335E6">
        <w:rPr>
          <w:i/>
          <w:color w:val="000000"/>
        </w:rPr>
        <w:t>accountability</w:t>
      </w:r>
      <w:r>
        <w:rPr>
          <w:color w:val="000000"/>
        </w:rPr>
        <w:t xml:space="preserve"> dos RPPS está relacionado com estruturas institucional mais desenvolvidas, indo ao encontro com as expectativas teóricas deste trabalho, </w:t>
      </w:r>
      <w:r>
        <w:rPr>
          <w:rFonts w:cs="Times New Roman"/>
          <w:szCs w:val="24"/>
        </w:rPr>
        <w:t>uma vez que, a ausência dessa estrutura mínima desencadeia uma série de outras irregularidades na gestão do RPPS.</w:t>
      </w:r>
    </w:p>
    <w:p w14:paraId="3E1CACF6" w14:textId="77777777" w:rsidR="00EC537F" w:rsidRDefault="00EC537F" w:rsidP="00594C4A">
      <w:pPr>
        <w:pStyle w:val="PargrafodaLista"/>
        <w:spacing w:after="0"/>
        <w:ind w:left="0" w:firstLine="709"/>
        <w:jc w:val="both"/>
      </w:pPr>
      <w:r>
        <w:rPr>
          <w:rFonts w:eastAsia="Calibri"/>
        </w:rPr>
        <w:t xml:space="preserve">A variável quantidade de recursos em posse do RPPS, também foi ao encontro com a expectativa inicial, de que </w:t>
      </w:r>
      <w:r w:rsidRPr="000F3792">
        <w:t xml:space="preserve">unidades que </w:t>
      </w:r>
      <w:r>
        <w:t>possuem</w:t>
      </w:r>
      <w:r w:rsidRPr="000F3792">
        <w:t xml:space="preserve"> maiores quantidades de recursos apresentem aparatos de </w:t>
      </w:r>
      <w:r w:rsidRPr="00C335E6">
        <w:rPr>
          <w:i/>
        </w:rPr>
        <w:t>accountability</w:t>
      </w:r>
      <w:r w:rsidRPr="000F3792">
        <w:t xml:space="preserve"> mais desenvolvidos.</w:t>
      </w:r>
      <w:r>
        <w:t xml:space="preserve"> </w:t>
      </w:r>
      <w:r w:rsidRPr="000F3792">
        <w:t>Uma vez que, devido aos grandes valores e seu consequente número maior de interessados os mecanismos de informação, controle e fiscalização tendem a ser mais eficientes</w:t>
      </w:r>
      <w:r>
        <w:t xml:space="preserve">, Neste sentido, a disponibilidade de recursos, é determinante para melhores práticas de </w:t>
      </w:r>
      <w:r w:rsidRPr="00C335E6">
        <w:rPr>
          <w:i/>
        </w:rPr>
        <w:t>accountability</w:t>
      </w:r>
      <w:r>
        <w:rPr>
          <w:i/>
        </w:rPr>
        <w:t>,</w:t>
      </w:r>
      <w:r>
        <w:t xml:space="preserve"> por exemplo, a falta de recursos, pode ser um empecilho para a manutenção de sitio eletrônico próprio, devido aos custos de manutenção e de pessoal para gerenciamento, impossibilitando assim, o acesso a informação de maneira ágil e pratica aos Segurado.</w:t>
      </w:r>
    </w:p>
    <w:p w14:paraId="6D243A19" w14:textId="77777777" w:rsidR="00EC537F" w:rsidRDefault="00EC537F" w:rsidP="00594C4A">
      <w:pPr>
        <w:pStyle w:val="Normal1"/>
        <w:ind w:firstLine="709"/>
        <w:jc w:val="both"/>
      </w:pPr>
      <w:r>
        <w:t xml:space="preserve">Quanto a variável IFDM os achados vão ao encontro com o trabalho de Bellver e Kaufmann (2005) e Ribeiro e </w:t>
      </w:r>
      <w:r w:rsidRPr="00AD5AF9">
        <w:t>Zuccolotto</w:t>
      </w:r>
      <w:r>
        <w:t xml:space="preserve"> (2013) em que a transparência (um dos principais elementos da </w:t>
      </w:r>
      <w:r w:rsidRPr="00C335E6">
        <w:rPr>
          <w:i/>
        </w:rPr>
        <w:t>accountability</w:t>
      </w:r>
      <w:r>
        <w:t xml:space="preserve">) está associada a </w:t>
      </w:r>
      <w:r w:rsidRPr="00AD5AF9">
        <w:t>melhores indicadores de desenvolvimento socioeconômico</w:t>
      </w:r>
      <w:r>
        <w:t xml:space="preserve">, de modo complementar, pode-se inferir ainda, que instituições mais eficientes estão associados a melhores indicadores de </w:t>
      </w:r>
      <w:r w:rsidRPr="00C335E6">
        <w:rPr>
          <w:i/>
        </w:rPr>
        <w:t>accountability</w:t>
      </w:r>
      <w:r>
        <w:t>, uma vez que, pelos pressupostos da NEI maior desenvolvimento está associado a estrutura de governança (instituições de nível micro) mais desenvolvidas.</w:t>
      </w:r>
    </w:p>
    <w:p w14:paraId="21D5BE08" w14:textId="4B977E83" w:rsidR="00EC537F" w:rsidRDefault="00EC537F" w:rsidP="00594C4A">
      <w:pPr>
        <w:pStyle w:val="Normal1"/>
        <w:ind w:firstLine="709"/>
        <w:jc w:val="both"/>
      </w:pPr>
      <w:r>
        <w:t xml:space="preserve">O número de acessos domiciliar a internet também afeta </w:t>
      </w:r>
      <w:r w:rsidRPr="00B5131F">
        <w:t xml:space="preserve">positivamente o Índice de </w:t>
      </w:r>
      <w:r w:rsidRPr="00C335E6">
        <w:rPr>
          <w:i/>
        </w:rPr>
        <w:t>accountability</w:t>
      </w:r>
      <w:r>
        <w:t xml:space="preserve"> normativa </w:t>
      </w:r>
      <w:r w:rsidRPr="00B5131F">
        <w:t>dos RPPS</w:t>
      </w:r>
      <w:r>
        <w:t xml:space="preserve">. O acesso à rede mundial de computadores tem se mostrado uma excelente </w:t>
      </w:r>
      <w:r w:rsidRPr="00F41FA4">
        <w:t xml:space="preserve">ferramenta de </w:t>
      </w:r>
      <w:r w:rsidRPr="00792DF0">
        <w:t>controle social</w:t>
      </w:r>
      <w:r>
        <w:t xml:space="preserve">, </w:t>
      </w:r>
      <w:r w:rsidRPr="00F41FA4">
        <w:t xml:space="preserve">melhorando a transparência das contas públicas e incentivando a promoção do exercício da </w:t>
      </w:r>
      <w:r w:rsidRPr="00C335E6">
        <w:rPr>
          <w:i/>
        </w:rPr>
        <w:t>accountability</w:t>
      </w:r>
      <w:r w:rsidRPr="00F41FA4">
        <w:t xml:space="preserve"> pelos </w:t>
      </w:r>
      <w:r>
        <w:t>Segurado.</w:t>
      </w:r>
    </w:p>
    <w:p w14:paraId="1FE7F095" w14:textId="77777777" w:rsidR="00EC537F" w:rsidRDefault="00EC537F" w:rsidP="00594C4A">
      <w:pPr>
        <w:pStyle w:val="Normal1"/>
        <w:ind w:firstLine="709"/>
        <w:jc w:val="both"/>
      </w:pPr>
      <w:r>
        <w:t xml:space="preserve">Assim, os resultados permitem inferir que o nível de </w:t>
      </w:r>
      <w:r w:rsidRPr="00C335E6">
        <w:rPr>
          <w:i/>
        </w:rPr>
        <w:t>accountability</w:t>
      </w:r>
      <w:r>
        <w:t xml:space="preserve"> está associado ao contexto institucional ao qual o RPPS este inserido. Contudo deve-se ressaltar que o modelo testado apresentou baixo poder de explicação, apenas 42,9%, sendo assim, outras variáveis </w:t>
      </w:r>
      <w:r>
        <w:lastRenderedPageBreak/>
        <w:t xml:space="preserve">institucionais, como por exemplo nível de capital social, capacitação técnica dos servidores do RPPS, podem explicar variações no nível de </w:t>
      </w:r>
      <w:r w:rsidRPr="00C335E6">
        <w:rPr>
          <w:i/>
        </w:rPr>
        <w:t>accountability</w:t>
      </w:r>
      <w:r>
        <w:t>, entretanto devido a limitações de disponibilidade não foi possível utilizar essas variáveis.</w:t>
      </w:r>
    </w:p>
    <w:p w14:paraId="20053609" w14:textId="77777777" w:rsidR="00C93102" w:rsidRDefault="00C93102" w:rsidP="00673650">
      <w:pPr>
        <w:pStyle w:val="Normal1"/>
        <w:spacing w:line="360" w:lineRule="auto"/>
        <w:ind w:firstLine="709"/>
        <w:jc w:val="both"/>
      </w:pPr>
    </w:p>
    <w:p w14:paraId="02F6A9B3" w14:textId="77777777" w:rsidR="00C93102" w:rsidRDefault="00C93102" w:rsidP="00594C4A">
      <w:pPr>
        <w:pStyle w:val="Ttulo2"/>
        <w:numPr>
          <w:ilvl w:val="0"/>
          <w:numId w:val="3"/>
        </w:numPr>
        <w:spacing w:after="120" w:line="240" w:lineRule="auto"/>
        <w:ind w:left="357" w:hanging="357"/>
        <w:rPr>
          <w:rFonts w:ascii="Times New Roman" w:eastAsia="Times New Roman" w:hAnsi="Times New Roman" w:cs="Times New Roman"/>
          <w:caps/>
          <w:szCs w:val="24"/>
        </w:rPr>
      </w:pPr>
      <w:bookmarkStart w:id="25" w:name="_Toc442957908"/>
      <w:r w:rsidRPr="003335D9">
        <w:rPr>
          <w:rFonts w:ascii="Times New Roman" w:eastAsia="Times New Roman" w:hAnsi="Times New Roman" w:cs="Times New Roman"/>
          <w:caps/>
          <w:szCs w:val="24"/>
        </w:rPr>
        <w:t>Considerações Finais</w:t>
      </w:r>
      <w:bookmarkEnd w:id="25"/>
    </w:p>
    <w:p w14:paraId="4BD8F4DE" w14:textId="77777777" w:rsidR="00C93102" w:rsidRPr="00A03EE5" w:rsidRDefault="00C93102" w:rsidP="00594C4A">
      <w:pPr>
        <w:spacing w:after="0"/>
        <w:ind w:firstLine="709"/>
        <w:jc w:val="both"/>
        <w:rPr>
          <w:rFonts w:cs="Times New Roman"/>
          <w:iCs/>
          <w:szCs w:val="24"/>
        </w:rPr>
      </w:pPr>
      <w:r w:rsidRPr="00A03EE5">
        <w:rPr>
          <w:rFonts w:cs="Times New Roman"/>
          <w:color w:val="000000"/>
          <w:szCs w:val="24"/>
        </w:rPr>
        <w:t xml:space="preserve">Os resultados obtidos mostraram que a maior parte dos RPPS mineiros se encontram no estrato de Baixo é Médio </w:t>
      </w:r>
      <w:r w:rsidRPr="00A03EE5">
        <w:rPr>
          <w:rFonts w:cs="Times New Roman"/>
          <w:i/>
          <w:color w:val="000000"/>
          <w:szCs w:val="24"/>
        </w:rPr>
        <w:t>accountability</w:t>
      </w:r>
      <w:r w:rsidRPr="00A03EE5">
        <w:rPr>
          <w:rFonts w:cs="Times New Roman"/>
          <w:color w:val="000000"/>
          <w:szCs w:val="24"/>
        </w:rPr>
        <w:t xml:space="preserve"> normativa, quase 70% dos RPPS se encontram nessa faixa, </w:t>
      </w:r>
      <w:r w:rsidRPr="00A03EE5">
        <w:rPr>
          <w:rFonts w:cs="Times New Roman"/>
          <w:color w:val="231F20"/>
          <w:szCs w:val="24"/>
        </w:rPr>
        <w:t xml:space="preserve">ou seja os referidos RPPS, na maioria das vezes não agem de acordo com o que a lei determina, respeitando os limites dos procedimentos legais que envolvem obrigatoriamente todo aparato de </w:t>
      </w:r>
      <w:r w:rsidRPr="00A03EE5">
        <w:rPr>
          <w:rFonts w:cs="Times New Roman"/>
          <w:i/>
          <w:iCs/>
          <w:color w:val="231F20"/>
          <w:szCs w:val="24"/>
        </w:rPr>
        <w:t>accountability</w:t>
      </w:r>
      <w:r w:rsidRPr="00A03EE5">
        <w:rPr>
          <w:rFonts w:cs="Times New Roman"/>
          <w:color w:val="000000"/>
          <w:szCs w:val="24"/>
        </w:rPr>
        <w:t xml:space="preserve">, o que evidencia que o panorama da </w:t>
      </w:r>
      <w:r w:rsidRPr="00A03EE5">
        <w:rPr>
          <w:rFonts w:cs="Times New Roman"/>
          <w:i/>
          <w:color w:val="000000"/>
          <w:szCs w:val="24"/>
        </w:rPr>
        <w:t>accountability</w:t>
      </w:r>
      <w:r w:rsidRPr="00A03EE5">
        <w:rPr>
          <w:rFonts w:cs="Times New Roman"/>
          <w:color w:val="000000"/>
          <w:szCs w:val="24"/>
        </w:rPr>
        <w:t xml:space="preserve"> dos RPPS em Minas Gerais não é dos mais animadores, uma vez que o inventario normativo apenas verifica a </w:t>
      </w:r>
      <w:r w:rsidRPr="00A03EE5">
        <w:rPr>
          <w:rFonts w:cs="Times New Roman"/>
          <w:iCs/>
          <w:szCs w:val="24"/>
        </w:rPr>
        <w:t xml:space="preserve">Dimensão formal da </w:t>
      </w:r>
      <w:r w:rsidRPr="00A03EE5">
        <w:rPr>
          <w:rFonts w:cs="Times New Roman"/>
          <w:i/>
          <w:iCs/>
          <w:szCs w:val="24"/>
        </w:rPr>
        <w:t>accountability</w:t>
      </w:r>
      <w:r w:rsidRPr="00A03EE5">
        <w:rPr>
          <w:rFonts w:cs="Times New Roman"/>
          <w:iCs/>
          <w:szCs w:val="24"/>
        </w:rPr>
        <w:t xml:space="preserve">, e mesmo assim, apenas 30% dos RPPS cumprem mais do que 70% do que a lei determina. </w:t>
      </w:r>
    </w:p>
    <w:p w14:paraId="5D36D55F" w14:textId="77777777" w:rsidR="00C93102" w:rsidRPr="00A03EE5" w:rsidRDefault="00C93102" w:rsidP="00594C4A">
      <w:pPr>
        <w:spacing w:after="0"/>
        <w:ind w:firstLine="709"/>
        <w:jc w:val="both"/>
        <w:rPr>
          <w:rFonts w:cs="Times New Roman"/>
          <w:iCs/>
          <w:color w:val="231F20"/>
          <w:szCs w:val="24"/>
        </w:rPr>
      </w:pPr>
      <w:r w:rsidRPr="00A03EE5">
        <w:rPr>
          <w:rFonts w:cs="Times New Roman"/>
          <w:iCs/>
          <w:szCs w:val="24"/>
        </w:rPr>
        <w:t xml:space="preserve">Deve-se ressaltar que a </w:t>
      </w:r>
      <w:r w:rsidRPr="00A03EE5">
        <w:rPr>
          <w:rFonts w:cs="Times New Roman"/>
          <w:i/>
          <w:iCs/>
          <w:szCs w:val="24"/>
        </w:rPr>
        <w:t>accountability</w:t>
      </w:r>
      <w:r w:rsidRPr="00A03EE5">
        <w:rPr>
          <w:rFonts w:cs="Times New Roman"/>
          <w:iCs/>
          <w:szCs w:val="24"/>
        </w:rPr>
        <w:t xml:space="preserve"> não se limita a </w:t>
      </w:r>
      <w:r w:rsidRPr="00A03EE5">
        <w:rPr>
          <w:rFonts w:cs="Times New Roman"/>
          <w:color w:val="231F20"/>
          <w:szCs w:val="24"/>
        </w:rPr>
        <w:t xml:space="preserve">verificar se o agente age de acordo com a lei, ou seja, se os aspectos formais que envolvem todo aparato de </w:t>
      </w:r>
      <w:r w:rsidRPr="00A03EE5">
        <w:rPr>
          <w:rFonts w:cs="Times New Roman"/>
          <w:i/>
          <w:iCs/>
          <w:color w:val="231F20"/>
          <w:szCs w:val="24"/>
        </w:rPr>
        <w:t xml:space="preserve">accountability </w:t>
      </w:r>
      <w:r w:rsidRPr="00A03EE5">
        <w:rPr>
          <w:rFonts w:cs="Times New Roman"/>
          <w:color w:val="231F20"/>
          <w:szCs w:val="24"/>
        </w:rPr>
        <w:t xml:space="preserve">são atendidos, é preciso também verificar de que maneira o agente público vem desempenhando suas atividades e como tem respondido às necessidades e interesses da sociedade (Dimensão substantiva da </w:t>
      </w:r>
      <w:r w:rsidRPr="00A03EE5">
        <w:rPr>
          <w:rFonts w:cs="Times New Roman"/>
          <w:i/>
          <w:iCs/>
          <w:color w:val="231F20"/>
          <w:szCs w:val="24"/>
        </w:rPr>
        <w:t>accountability</w:t>
      </w:r>
      <w:r w:rsidRPr="00A03EE5">
        <w:rPr>
          <w:rFonts w:cs="Times New Roman"/>
          <w:iCs/>
          <w:color w:val="231F20"/>
          <w:szCs w:val="24"/>
        </w:rPr>
        <w:t>)</w:t>
      </w:r>
    </w:p>
    <w:p w14:paraId="1BA47D7F" w14:textId="77777777" w:rsidR="00C93102" w:rsidRDefault="00C93102" w:rsidP="00594C4A">
      <w:pPr>
        <w:pStyle w:val="Normal1"/>
        <w:ind w:firstLine="709"/>
        <w:jc w:val="both"/>
      </w:pPr>
      <w:r w:rsidRPr="00A03EE5">
        <w:t xml:space="preserve">Foi constatado, ainda, que o nível de </w:t>
      </w:r>
      <w:r w:rsidRPr="00A03EE5">
        <w:rPr>
          <w:i/>
        </w:rPr>
        <w:t>accountability</w:t>
      </w:r>
      <w:r w:rsidRPr="00A03EE5">
        <w:t xml:space="preserve"> dos RPPS está relacionado com estruturas institucional mais desenvolvidas, indo </w:t>
      </w:r>
      <w:r>
        <w:t>ao encontro</w:t>
      </w:r>
      <w:r w:rsidRPr="00A03EE5">
        <w:t xml:space="preserve"> com as expectativas teóricas deste trabalho, uma vez que, a ausência dessa estrutura mínima desencadeia uma série de outras irregularidades na gestão do RPPS.</w:t>
      </w:r>
      <w:r>
        <w:t xml:space="preserve"> </w:t>
      </w:r>
    </w:p>
    <w:p w14:paraId="106F3EC4" w14:textId="77DA3DCA" w:rsidR="00C93102" w:rsidRDefault="00C93102" w:rsidP="00594C4A">
      <w:pPr>
        <w:pStyle w:val="Normal1"/>
        <w:ind w:firstLine="709"/>
        <w:jc w:val="both"/>
      </w:pPr>
      <w:r w:rsidRPr="00A03EE5">
        <w:t xml:space="preserve">Identificou-se </w:t>
      </w:r>
      <w:r>
        <w:t xml:space="preserve">também que as variáveis </w:t>
      </w:r>
      <w:r>
        <w:rPr>
          <w:rFonts w:eastAsia="Calibri"/>
        </w:rPr>
        <w:t xml:space="preserve">quantidade de recursos em posse do RPPS e o </w:t>
      </w:r>
      <w:r>
        <w:t xml:space="preserve">número de acessos domiciliar </w:t>
      </w:r>
      <w:r w:rsidR="00E50FB1">
        <w:t>à</w:t>
      </w:r>
      <w:r>
        <w:t xml:space="preserve"> internet também afetam </w:t>
      </w:r>
      <w:r w:rsidRPr="00B5131F">
        <w:t xml:space="preserve">positivamente o Índice de </w:t>
      </w:r>
      <w:r w:rsidRPr="00C335E6">
        <w:rPr>
          <w:i/>
        </w:rPr>
        <w:t>accountability</w:t>
      </w:r>
      <w:r>
        <w:t xml:space="preserve"> normativa </w:t>
      </w:r>
      <w:r w:rsidRPr="00B5131F">
        <w:t>dos RPPS</w:t>
      </w:r>
      <w:r>
        <w:t>, assim como</w:t>
      </w:r>
      <w:r w:rsidRPr="00A03EE5">
        <w:t xml:space="preserve"> </w:t>
      </w:r>
      <w:r>
        <w:t>o IFDM</w:t>
      </w:r>
      <w:r w:rsidRPr="00A03EE5">
        <w:t xml:space="preserve">, o que nos permite inferir que instituições mais eficientes estão </w:t>
      </w:r>
      <w:r w:rsidR="00B06A71" w:rsidRPr="00A03EE5">
        <w:t>associadas</w:t>
      </w:r>
      <w:r w:rsidRPr="00A03EE5">
        <w:t xml:space="preserve"> a melhores indicadores de </w:t>
      </w:r>
      <w:r w:rsidRPr="00A03EE5">
        <w:rPr>
          <w:i/>
        </w:rPr>
        <w:t>accountability</w:t>
      </w:r>
      <w:r w:rsidRPr="00A03EE5">
        <w:t>, uma vez que, pelos pressupostos da NEI maior desenvolvimento está associado a estrutura de governança (instituições de nível micro) mais desenvolvidas.</w:t>
      </w:r>
      <w:r>
        <w:t xml:space="preserve"> </w:t>
      </w:r>
    </w:p>
    <w:p w14:paraId="16C79F93" w14:textId="77777777" w:rsidR="00C93102" w:rsidRDefault="00C93102" w:rsidP="00594C4A">
      <w:pPr>
        <w:pStyle w:val="Normal1"/>
        <w:ind w:firstLine="709"/>
        <w:jc w:val="both"/>
      </w:pPr>
      <w:r>
        <w:t xml:space="preserve">A partir dos dados achados desse trabalho e da significância do tema abordado, recomenda-se ampliar esta pesquisa para outros RPPS, bem como para outros estados brasileiros, com objetivo de verificar se os achados de Minas Gerais, são comuns aos RPPS de outros estados. Sugere-se ainda a análise dos efeitos das </w:t>
      </w:r>
      <w:r w:rsidRPr="00904337">
        <w:t>variáveis socioeconômicas e políticos-institucionais</w:t>
      </w:r>
      <w:r>
        <w:t xml:space="preserve"> no</w:t>
      </w:r>
      <w:r w:rsidRPr="00904337">
        <w:t xml:space="preserve"> nível de </w:t>
      </w:r>
      <w:r w:rsidRPr="00C335E6">
        <w:rPr>
          <w:i/>
        </w:rPr>
        <w:t>accountability</w:t>
      </w:r>
      <w:r w:rsidRPr="00904337">
        <w:t xml:space="preserve"> das unidades gestoras de Minas Gerais</w:t>
      </w:r>
      <w:r>
        <w:t xml:space="preserve"> em perspectiva temporal, a fim de verificar mudanças no índice e suas possíveis associações com essas variáveis.</w:t>
      </w:r>
    </w:p>
    <w:p w14:paraId="0A815650" w14:textId="77777777" w:rsidR="00B06A71" w:rsidRDefault="00B06A71" w:rsidP="00594C4A">
      <w:pPr>
        <w:pStyle w:val="Normal1"/>
        <w:spacing w:line="360" w:lineRule="auto"/>
        <w:jc w:val="both"/>
      </w:pPr>
    </w:p>
    <w:p w14:paraId="1ED8EC25" w14:textId="168DFF88" w:rsidR="00B06A71" w:rsidRPr="00594C4A" w:rsidRDefault="00FB7C0C" w:rsidP="00FB7C0C">
      <w:pPr>
        <w:pStyle w:val="Ttulo2"/>
        <w:numPr>
          <w:ilvl w:val="0"/>
          <w:numId w:val="3"/>
        </w:numPr>
        <w:spacing w:after="120" w:line="240" w:lineRule="auto"/>
        <w:ind w:left="357" w:hanging="357"/>
        <w:rPr>
          <w:rFonts w:ascii="Times New Roman" w:eastAsia="Times New Roman" w:hAnsi="Times New Roman" w:cs="Times New Roman"/>
          <w:caps/>
          <w:szCs w:val="24"/>
        </w:rPr>
      </w:pPr>
      <w:r w:rsidRPr="00594C4A">
        <w:rPr>
          <w:rFonts w:ascii="Times New Roman" w:eastAsia="Times New Roman" w:hAnsi="Times New Roman" w:cs="Times New Roman"/>
          <w:caps/>
          <w:szCs w:val="24"/>
        </w:rPr>
        <w:t>Referências bibliográficas</w:t>
      </w:r>
    </w:p>
    <w:p w14:paraId="6631F9A7" w14:textId="77777777" w:rsidR="00D568DE" w:rsidRPr="00701CF7" w:rsidRDefault="00DA10AC" w:rsidP="00594C4A">
      <w:pPr>
        <w:spacing w:after="240"/>
        <w:rPr>
          <w:rFonts w:eastAsiaTheme="majorEastAsia" w:cs="Times New Roman"/>
          <w:bCs/>
          <w:szCs w:val="26"/>
        </w:rPr>
      </w:pPr>
      <w:r w:rsidRPr="00DA10AC">
        <w:rPr>
          <w:rFonts w:eastAsiaTheme="majorEastAsia" w:cs="Times New Roman"/>
          <w:bCs/>
          <w:szCs w:val="26"/>
        </w:rPr>
        <w:t xml:space="preserve">ALBUQUERQUE, J. H., ANDRADE, C. S. D., MONTEIRO, G. B., &amp; RIBEIRO, J. C. (2007). </w:t>
      </w:r>
      <w:r w:rsidR="00D856C0">
        <w:rPr>
          <w:rFonts w:eastAsiaTheme="majorEastAsia" w:cs="Times New Roman"/>
          <w:bCs/>
          <w:szCs w:val="26"/>
        </w:rPr>
        <w:t>“</w:t>
      </w:r>
      <w:r w:rsidRPr="00DA10AC">
        <w:rPr>
          <w:rFonts w:eastAsiaTheme="majorEastAsia" w:cs="Times New Roman"/>
          <w:bCs/>
          <w:szCs w:val="26"/>
        </w:rPr>
        <w:t>Um estudo sob a óptica da teoria do agenciamento sobre a accountability e a relação Estado-sociedade</w:t>
      </w:r>
      <w:r w:rsidR="00D856C0">
        <w:rPr>
          <w:rFonts w:eastAsiaTheme="majorEastAsia" w:cs="Times New Roman"/>
          <w:bCs/>
          <w:szCs w:val="26"/>
        </w:rPr>
        <w:t>”</w:t>
      </w:r>
      <w:r w:rsidRPr="00DA10AC">
        <w:rPr>
          <w:rFonts w:eastAsiaTheme="majorEastAsia" w:cs="Times New Roman"/>
          <w:bCs/>
          <w:szCs w:val="26"/>
        </w:rPr>
        <w:t>. In Congresso USP de Controladoria e Contabilidade (Vol. 7, pp. 26-39).</w:t>
      </w:r>
    </w:p>
    <w:p w14:paraId="264373B2" w14:textId="77777777" w:rsidR="00D568DE" w:rsidRPr="00701CF7" w:rsidRDefault="00D568DE" w:rsidP="00594C4A">
      <w:pPr>
        <w:spacing w:after="240"/>
        <w:rPr>
          <w:rFonts w:cs="Times New Roman"/>
          <w:szCs w:val="24"/>
        </w:rPr>
      </w:pPr>
      <w:r w:rsidRPr="00701CF7">
        <w:rPr>
          <w:rFonts w:cs="Times New Roman"/>
          <w:szCs w:val="24"/>
        </w:rPr>
        <w:t xml:space="preserve">BRASIL. </w:t>
      </w:r>
      <w:r w:rsidR="00DA10AC">
        <w:rPr>
          <w:rFonts w:cs="Times New Roman"/>
          <w:szCs w:val="24"/>
        </w:rPr>
        <w:t xml:space="preserve"> (2014). </w:t>
      </w:r>
      <w:r w:rsidRPr="00701CF7">
        <w:rPr>
          <w:rFonts w:cs="Times New Roman"/>
          <w:b/>
          <w:szCs w:val="24"/>
        </w:rPr>
        <w:t xml:space="preserve">A Previdência. </w:t>
      </w:r>
      <w:r w:rsidRPr="00701CF7">
        <w:rPr>
          <w:rFonts w:cs="Times New Roman"/>
          <w:szCs w:val="24"/>
        </w:rPr>
        <w:t>Site da previdência &lt;http://www.previdencia.gov.br/&gt; Acesso em 05 jun. 2014.</w:t>
      </w:r>
    </w:p>
    <w:p w14:paraId="04BA3DC6" w14:textId="68A28616" w:rsidR="00D568DE" w:rsidRPr="00701CF7" w:rsidRDefault="00D568DE" w:rsidP="00594C4A">
      <w:pPr>
        <w:spacing w:after="240"/>
        <w:rPr>
          <w:rFonts w:cs="Times New Roman"/>
          <w:szCs w:val="24"/>
        </w:rPr>
      </w:pPr>
      <w:r w:rsidRPr="00701CF7">
        <w:rPr>
          <w:rFonts w:cs="Times New Roman"/>
          <w:szCs w:val="24"/>
        </w:rPr>
        <w:t>_________.</w:t>
      </w:r>
      <w:r w:rsidRPr="00701CF7">
        <w:rPr>
          <w:rFonts w:cs="Times New Roman"/>
          <w:b/>
          <w:szCs w:val="24"/>
        </w:rPr>
        <w:t>Constituição Federal de 1988</w:t>
      </w:r>
      <w:r w:rsidRPr="00701CF7">
        <w:rPr>
          <w:rFonts w:cs="Times New Roman"/>
          <w:szCs w:val="24"/>
        </w:rPr>
        <w:t>. Disponível em:&lt; http://www.planalto.gov.br/ccivil_03/constituicao/constituicaocompilado.htm&gt;. Acesso em 05 jun. 2014.</w:t>
      </w:r>
    </w:p>
    <w:p w14:paraId="77E07AB1" w14:textId="77777777" w:rsidR="00D568DE" w:rsidRPr="00701CF7" w:rsidRDefault="00D568DE" w:rsidP="00594C4A">
      <w:pPr>
        <w:spacing w:after="240"/>
        <w:rPr>
          <w:rFonts w:cs="Times New Roman"/>
          <w:szCs w:val="24"/>
        </w:rPr>
      </w:pPr>
      <w:r w:rsidRPr="00701CF7">
        <w:rPr>
          <w:rFonts w:cs="Times New Roman"/>
          <w:szCs w:val="24"/>
        </w:rPr>
        <w:lastRenderedPageBreak/>
        <w:t xml:space="preserve">_________. </w:t>
      </w:r>
      <w:r w:rsidRPr="00701CF7">
        <w:rPr>
          <w:rFonts w:cs="Times New Roman"/>
          <w:b/>
          <w:bCs/>
          <w:szCs w:val="24"/>
        </w:rPr>
        <w:t>Lei nº 9.717, de 27 de novembro de 1998</w:t>
      </w:r>
      <w:r w:rsidRPr="00701CF7">
        <w:rPr>
          <w:rFonts w:cs="Times New Roman"/>
          <w:szCs w:val="24"/>
        </w:rPr>
        <w:t>. Dispõe sobre regras gerais para a organização e o funcionamento dos regimes próprios de previdência social dos servidores públicos da União, dos Estados, do Distrito Federal e dos Municípios, dos militares dos Estados e do Distrito Federal e dá outras providências. 1998a. Disponível em: &lt;http://www.planalto.gov.br/ccivil_03/leis/L9717.htm&gt;. Acesso em: 05 jun. 2014.</w:t>
      </w:r>
    </w:p>
    <w:p w14:paraId="79CFC71E" w14:textId="77777777" w:rsidR="00D568DE" w:rsidRPr="00701CF7" w:rsidRDefault="00D568DE" w:rsidP="00594C4A">
      <w:pPr>
        <w:spacing w:after="240"/>
        <w:rPr>
          <w:rFonts w:cs="Times New Roman"/>
          <w:szCs w:val="24"/>
        </w:rPr>
      </w:pPr>
      <w:r w:rsidRPr="00701CF7">
        <w:rPr>
          <w:rFonts w:cs="Times New Roman"/>
          <w:szCs w:val="24"/>
        </w:rPr>
        <w:t xml:space="preserve">_________. </w:t>
      </w:r>
      <w:r w:rsidRPr="00701CF7">
        <w:rPr>
          <w:rFonts w:cs="Times New Roman"/>
          <w:b/>
          <w:bCs/>
          <w:szCs w:val="24"/>
        </w:rPr>
        <w:t>Portaria MPS nº 402, de 10 de dezembro de 2008</w:t>
      </w:r>
      <w:r w:rsidRPr="00701CF7">
        <w:rPr>
          <w:rFonts w:cs="Times New Roman"/>
          <w:bCs/>
          <w:szCs w:val="24"/>
        </w:rPr>
        <w:t>. Disciplina os parâmetros e as diretrizes gerais para organização e funcionamento dos regimes próprios de previdência social dos servidores públicos ocupantes de cargos efetivos da União, dos Estados, do Distrito Federal e dos Municípios, em cumprimento das Leis nº 9.717, de 1998 e nº 10.887, de 2004. 2008a. Republicado. Disponível em: &lt;http://www3.dataprev.gov.br/sislex/index.asp&gt;. Acesso em: 03 jan. 2012.</w:t>
      </w:r>
    </w:p>
    <w:p w14:paraId="3316BC9D" w14:textId="77777777" w:rsidR="00DA10AC" w:rsidRDefault="00DA10AC" w:rsidP="00594C4A">
      <w:pPr>
        <w:spacing w:after="240"/>
        <w:rPr>
          <w:rFonts w:cs="Times New Roman"/>
          <w:szCs w:val="24"/>
        </w:rPr>
      </w:pPr>
      <w:r w:rsidRPr="00DA10AC">
        <w:rPr>
          <w:rFonts w:cs="Times New Roman"/>
          <w:caps/>
          <w:szCs w:val="24"/>
        </w:rPr>
        <w:t>Bueno</w:t>
      </w:r>
      <w:r w:rsidRPr="00DA10AC">
        <w:rPr>
          <w:rFonts w:cs="Times New Roman"/>
          <w:szCs w:val="24"/>
        </w:rPr>
        <w:t xml:space="preserve">, N. P. (2004). </w:t>
      </w:r>
      <w:r w:rsidR="00D856C0">
        <w:rPr>
          <w:rFonts w:cs="Times New Roman"/>
          <w:szCs w:val="24"/>
        </w:rPr>
        <w:t>“</w:t>
      </w:r>
      <w:r w:rsidRPr="00DA10AC">
        <w:rPr>
          <w:rFonts w:cs="Times New Roman"/>
          <w:szCs w:val="24"/>
        </w:rPr>
        <w:t>Lógica da ação coletiva, instituições e crescimento econômico: uma resenha temática sobre a nova economia institucional</w:t>
      </w:r>
      <w:r w:rsidR="00D856C0">
        <w:rPr>
          <w:rFonts w:cs="Times New Roman"/>
          <w:szCs w:val="24"/>
        </w:rPr>
        <w:t>”</w:t>
      </w:r>
      <w:r w:rsidRPr="00DA10AC">
        <w:rPr>
          <w:rFonts w:cs="Times New Roman"/>
          <w:szCs w:val="24"/>
        </w:rPr>
        <w:t xml:space="preserve">. Revista EconomiA, 5(2), 361-420. </w:t>
      </w:r>
    </w:p>
    <w:p w14:paraId="0A4EB079" w14:textId="77777777" w:rsidR="00D568DE" w:rsidRPr="00701CF7" w:rsidRDefault="00D568DE" w:rsidP="00594C4A">
      <w:pPr>
        <w:spacing w:after="240"/>
        <w:rPr>
          <w:rFonts w:cs="Times New Roman"/>
          <w:szCs w:val="24"/>
        </w:rPr>
      </w:pPr>
      <w:r w:rsidRPr="00DA10AC">
        <w:rPr>
          <w:rFonts w:cs="Times New Roman"/>
          <w:caps/>
          <w:szCs w:val="24"/>
        </w:rPr>
        <w:t>B</w:t>
      </w:r>
      <w:r w:rsidR="00DA10AC" w:rsidRPr="00DA10AC">
        <w:rPr>
          <w:rFonts w:cs="Times New Roman"/>
          <w:caps/>
          <w:szCs w:val="24"/>
        </w:rPr>
        <w:t>ueno</w:t>
      </w:r>
      <w:r w:rsidRPr="00701CF7">
        <w:rPr>
          <w:rFonts w:cs="Times New Roman"/>
          <w:szCs w:val="24"/>
        </w:rPr>
        <w:t>, N. P.</w:t>
      </w:r>
      <w:r w:rsidR="00DA10AC">
        <w:rPr>
          <w:rFonts w:cs="Times New Roman"/>
          <w:szCs w:val="24"/>
        </w:rPr>
        <w:t xml:space="preserve"> (2011).</w:t>
      </w:r>
      <w:r w:rsidRPr="00701CF7">
        <w:rPr>
          <w:rFonts w:cs="Times New Roman"/>
          <w:szCs w:val="24"/>
        </w:rPr>
        <w:t xml:space="preserve"> </w:t>
      </w:r>
      <w:r w:rsidRPr="00CC51E5">
        <w:rPr>
          <w:rFonts w:cs="Times New Roman"/>
          <w:i/>
          <w:szCs w:val="24"/>
        </w:rPr>
        <w:t>Introdução à dinâmica de sistemas com aplicações para economia</w:t>
      </w:r>
      <w:r w:rsidRPr="00701CF7">
        <w:rPr>
          <w:rFonts w:cs="Times New Roman"/>
          <w:szCs w:val="24"/>
        </w:rPr>
        <w:t>. Viçosa: Editora UFV</w:t>
      </w:r>
      <w:r w:rsidR="00DA10AC">
        <w:rPr>
          <w:rFonts w:cs="Times New Roman"/>
          <w:szCs w:val="24"/>
        </w:rPr>
        <w:t>.</w:t>
      </w:r>
    </w:p>
    <w:p w14:paraId="07D4D8D8" w14:textId="77777777" w:rsidR="00D568DE" w:rsidRPr="00701CF7" w:rsidRDefault="00DA10AC" w:rsidP="00594C4A">
      <w:pPr>
        <w:spacing w:after="240"/>
        <w:rPr>
          <w:rFonts w:cs="Times New Roman"/>
          <w:szCs w:val="24"/>
        </w:rPr>
      </w:pPr>
      <w:r w:rsidRPr="00DA10AC">
        <w:rPr>
          <w:rFonts w:cs="Times New Roman"/>
          <w:caps/>
          <w:szCs w:val="24"/>
        </w:rPr>
        <w:t>Calazans</w:t>
      </w:r>
      <w:r w:rsidRPr="00DA10AC">
        <w:rPr>
          <w:rFonts w:cs="Times New Roman"/>
          <w:szCs w:val="24"/>
        </w:rPr>
        <w:t xml:space="preserve">, F. F. (2013). </w:t>
      </w:r>
      <w:r w:rsidR="00D856C0">
        <w:rPr>
          <w:rFonts w:cs="Times New Roman"/>
          <w:szCs w:val="24"/>
        </w:rPr>
        <w:t>“</w:t>
      </w:r>
      <w:r w:rsidRPr="00DA10AC">
        <w:rPr>
          <w:rFonts w:cs="Times New Roman"/>
          <w:szCs w:val="24"/>
        </w:rPr>
        <w:t>A IMPORTÂNCIA DA ENTIDADE GESTORA ÚNICA NOS REGIMES PRÓPRIOS DE PREVIDÊNCIA SOCIAL: o caso dos estados membros da federação</w:t>
      </w:r>
      <w:r w:rsidR="00D856C0">
        <w:rPr>
          <w:rFonts w:cs="Times New Roman"/>
          <w:szCs w:val="24"/>
        </w:rPr>
        <w:t>”</w:t>
      </w:r>
      <w:r w:rsidRPr="00DA10AC">
        <w:rPr>
          <w:rFonts w:cs="Times New Roman"/>
          <w:szCs w:val="24"/>
        </w:rPr>
        <w:t>. Revista de Administração Pública, 47(2).</w:t>
      </w:r>
    </w:p>
    <w:p w14:paraId="0B8F8381" w14:textId="77777777" w:rsidR="00DA10AC" w:rsidRDefault="00CC51E5" w:rsidP="00594C4A">
      <w:pPr>
        <w:spacing w:after="240"/>
        <w:rPr>
          <w:rFonts w:cs="Times New Roman"/>
          <w:szCs w:val="24"/>
        </w:rPr>
      </w:pPr>
      <w:r w:rsidRPr="00DA10AC">
        <w:rPr>
          <w:rFonts w:cs="Times New Roman"/>
          <w:caps/>
          <w:szCs w:val="24"/>
        </w:rPr>
        <w:t>Calazans</w:t>
      </w:r>
      <w:r w:rsidRPr="00DA10AC">
        <w:rPr>
          <w:rFonts w:cs="Times New Roman"/>
          <w:szCs w:val="24"/>
        </w:rPr>
        <w:t>, F. F</w:t>
      </w:r>
      <w:r w:rsidR="00DA10AC" w:rsidRPr="00DA10AC">
        <w:rPr>
          <w:rFonts w:cs="Times New Roman"/>
          <w:szCs w:val="24"/>
        </w:rPr>
        <w:t xml:space="preserve">. (2013). </w:t>
      </w:r>
      <w:r w:rsidR="00D856C0">
        <w:rPr>
          <w:rFonts w:cs="Times New Roman"/>
          <w:szCs w:val="24"/>
        </w:rPr>
        <w:t>“</w:t>
      </w:r>
      <w:r w:rsidR="00DA10AC" w:rsidRPr="00DA10AC">
        <w:rPr>
          <w:rFonts w:cs="Times New Roman"/>
          <w:szCs w:val="24"/>
        </w:rPr>
        <w:t>Participação popular na gestão dos regimes de previdência dos servidores públicos</w:t>
      </w:r>
      <w:r w:rsidR="00D856C0">
        <w:rPr>
          <w:rFonts w:cs="Times New Roman"/>
          <w:szCs w:val="24"/>
        </w:rPr>
        <w:t>”</w:t>
      </w:r>
      <w:r w:rsidR="00DA10AC" w:rsidRPr="00DA10AC">
        <w:rPr>
          <w:rFonts w:cs="Times New Roman"/>
          <w:szCs w:val="24"/>
        </w:rPr>
        <w:t xml:space="preserve">. Revista do TCE-PE, 20(20), 92-106. </w:t>
      </w:r>
    </w:p>
    <w:p w14:paraId="1BB4A5B6" w14:textId="77777777" w:rsidR="00D568DE" w:rsidRPr="00701CF7" w:rsidRDefault="00CC51E5" w:rsidP="00594C4A">
      <w:pPr>
        <w:spacing w:after="240"/>
        <w:rPr>
          <w:rFonts w:cs="Times New Roman"/>
          <w:szCs w:val="24"/>
        </w:rPr>
      </w:pPr>
      <w:r>
        <w:rPr>
          <w:rFonts w:cs="Times New Roman"/>
          <w:szCs w:val="24"/>
        </w:rPr>
        <w:t>CAMPOS</w:t>
      </w:r>
      <w:r w:rsidRPr="00CC51E5">
        <w:rPr>
          <w:rFonts w:cs="Times New Roman"/>
          <w:szCs w:val="24"/>
        </w:rPr>
        <w:t xml:space="preserve">, A. M. (1990). </w:t>
      </w:r>
      <w:r w:rsidR="00D856C0">
        <w:rPr>
          <w:rFonts w:cs="Times New Roman"/>
          <w:szCs w:val="24"/>
        </w:rPr>
        <w:t>“</w:t>
      </w:r>
      <w:r w:rsidRPr="00CC51E5">
        <w:rPr>
          <w:rFonts w:cs="Times New Roman"/>
          <w:szCs w:val="24"/>
        </w:rPr>
        <w:t>Accountability: quando poderemos traduzi-la para o português</w:t>
      </w:r>
      <w:r w:rsidR="00D856C0">
        <w:rPr>
          <w:rFonts w:cs="Times New Roman"/>
          <w:szCs w:val="24"/>
        </w:rPr>
        <w:t>”</w:t>
      </w:r>
      <w:r w:rsidRPr="00CC51E5">
        <w:rPr>
          <w:rFonts w:cs="Times New Roman"/>
          <w:szCs w:val="24"/>
        </w:rPr>
        <w:t>. Revista de administração pública, 24(2), 30-50.</w:t>
      </w:r>
    </w:p>
    <w:p w14:paraId="7C45F348" w14:textId="77777777" w:rsidR="00CC51E5" w:rsidRPr="000E2B76" w:rsidRDefault="00CC51E5" w:rsidP="00594C4A">
      <w:pPr>
        <w:spacing w:after="240"/>
        <w:rPr>
          <w:rFonts w:cs="Times New Roman"/>
          <w:szCs w:val="24"/>
          <w:lang w:val="en-US"/>
        </w:rPr>
      </w:pPr>
      <w:r w:rsidRPr="000E2B76">
        <w:rPr>
          <w:rFonts w:cs="Times New Roman"/>
          <w:szCs w:val="24"/>
        </w:rPr>
        <w:t xml:space="preserve">COASE, R. H. (1960). </w:t>
      </w:r>
      <w:r w:rsidR="00D856C0" w:rsidRPr="000E2B76">
        <w:rPr>
          <w:rFonts w:cs="Times New Roman"/>
          <w:szCs w:val="24"/>
        </w:rPr>
        <w:t>“</w:t>
      </w:r>
      <w:r w:rsidRPr="000E2B76">
        <w:rPr>
          <w:rFonts w:cs="Times New Roman"/>
          <w:szCs w:val="24"/>
        </w:rPr>
        <w:t>The problem of social cost</w:t>
      </w:r>
      <w:r w:rsidR="00D856C0" w:rsidRPr="000E2B76">
        <w:rPr>
          <w:rFonts w:cs="Times New Roman"/>
          <w:szCs w:val="24"/>
        </w:rPr>
        <w:t>”</w:t>
      </w:r>
      <w:r w:rsidRPr="000E2B76">
        <w:rPr>
          <w:rFonts w:cs="Times New Roman"/>
          <w:szCs w:val="24"/>
        </w:rPr>
        <w:t xml:space="preserve"> (pp. 87-137). </w:t>
      </w:r>
      <w:r w:rsidRPr="000E2B76">
        <w:rPr>
          <w:rFonts w:cs="Times New Roman"/>
          <w:szCs w:val="24"/>
          <w:lang w:val="en-US"/>
        </w:rPr>
        <w:t xml:space="preserve">Palgrave Macmillan UK. </w:t>
      </w:r>
    </w:p>
    <w:p w14:paraId="22930BE4" w14:textId="77777777" w:rsidR="00CC51E5" w:rsidRPr="00CC51E5" w:rsidRDefault="00CC51E5" w:rsidP="00594C4A">
      <w:pPr>
        <w:spacing w:after="240"/>
        <w:rPr>
          <w:rFonts w:cs="Times New Roman"/>
          <w:szCs w:val="24"/>
          <w:shd w:val="clear" w:color="auto" w:fill="FFFFFF"/>
        </w:rPr>
      </w:pPr>
      <w:r w:rsidRPr="000E2B76">
        <w:rPr>
          <w:rFonts w:cs="Times New Roman"/>
          <w:szCs w:val="24"/>
          <w:shd w:val="clear" w:color="auto" w:fill="FFFFFF"/>
          <w:lang w:val="en-US"/>
        </w:rPr>
        <w:t xml:space="preserve">CORBARI, E. C. (2014). </w:t>
      </w:r>
      <w:r w:rsidR="00D856C0">
        <w:rPr>
          <w:rFonts w:cs="Times New Roman"/>
          <w:szCs w:val="24"/>
          <w:shd w:val="clear" w:color="auto" w:fill="FFFFFF"/>
        </w:rPr>
        <w:t>“</w:t>
      </w:r>
      <w:r w:rsidRPr="00CC51E5">
        <w:rPr>
          <w:rFonts w:cs="Times New Roman"/>
          <w:szCs w:val="24"/>
          <w:shd w:val="clear" w:color="auto" w:fill="FFFFFF"/>
        </w:rPr>
        <w:t>Accountability e controle social: desafio à construção da cidadania</w:t>
      </w:r>
      <w:r w:rsidR="00D856C0">
        <w:rPr>
          <w:rFonts w:cs="Times New Roman"/>
          <w:szCs w:val="24"/>
          <w:shd w:val="clear" w:color="auto" w:fill="FFFFFF"/>
        </w:rPr>
        <w:t>”</w:t>
      </w:r>
      <w:r w:rsidRPr="00CC51E5">
        <w:rPr>
          <w:rFonts w:cs="Times New Roman"/>
          <w:szCs w:val="24"/>
          <w:shd w:val="clear" w:color="auto" w:fill="FFFFFF"/>
        </w:rPr>
        <w:t xml:space="preserve">. Negócios, 1(2). </w:t>
      </w:r>
    </w:p>
    <w:p w14:paraId="7E3BF1AE" w14:textId="77777777" w:rsidR="00D568DE" w:rsidRPr="00701CF7" w:rsidRDefault="00D568DE" w:rsidP="00594C4A">
      <w:pPr>
        <w:spacing w:after="240"/>
        <w:rPr>
          <w:rFonts w:cs="Times New Roman"/>
          <w:color w:val="000000" w:themeColor="text1"/>
          <w:szCs w:val="24"/>
          <w:shd w:val="clear" w:color="auto" w:fill="FFFFFF"/>
        </w:rPr>
      </w:pPr>
      <w:r w:rsidRPr="00701CF7">
        <w:rPr>
          <w:rFonts w:cs="Times New Roman"/>
          <w:color w:val="000000" w:themeColor="text1"/>
          <w:szCs w:val="24"/>
          <w:shd w:val="clear" w:color="auto" w:fill="FFFFFF"/>
        </w:rPr>
        <w:t xml:space="preserve">FÉLIX, C. L.; SILVA, L. M. </w:t>
      </w:r>
      <w:r w:rsidR="00CC51E5">
        <w:rPr>
          <w:rFonts w:cs="Times New Roman"/>
          <w:color w:val="000000" w:themeColor="text1"/>
          <w:szCs w:val="24"/>
          <w:shd w:val="clear" w:color="auto" w:fill="FFFFFF"/>
        </w:rPr>
        <w:t xml:space="preserve">D. </w:t>
      </w:r>
      <w:r w:rsidR="00CC51E5" w:rsidRPr="00CC51E5">
        <w:rPr>
          <w:rFonts w:cs="Times New Roman"/>
          <w:color w:val="000000" w:themeColor="text1"/>
          <w:szCs w:val="24"/>
          <w:shd w:val="clear" w:color="auto" w:fill="FFFFFF"/>
        </w:rPr>
        <w:t xml:space="preserve">(2009). </w:t>
      </w:r>
      <w:r w:rsidR="00D856C0">
        <w:rPr>
          <w:rFonts w:cs="Times New Roman"/>
          <w:color w:val="000000" w:themeColor="text1"/>
          <w:szCs w:val="24"/>
          <w:shd w:val="clear" w:color="auto" w:fill="FFFFFF"/>
        </w:rPr>
        <w:t>“</w:t>
      </w:r>
      <w:r w:rsidR="00CC51E5" w:rsidRPr="00CC51E5">
        <w:rPr>
          <w:rFonts w:cs="Times New Roman"/>
          <w:color w:val="000000" w:themeColor="text1"/>
          <w:szCs w:val="24"/>
          <w:shd w:val="clear" w:color="auto" w:fill="FFFFFF"/>
        </w:rPr>
        <w:t>Regime Próprio de Previdência e Assistência Social: Uma Análise do Grau de Conhecimento que o Servidor Público do Município do Rio de Janeiro Detém em Relação às Informações Gerenciais do Regime Previdenciário Mun</w:t>
      </w:r>
      <w:r w:rsidR="00CC51E5">
        <w:rPr>
          <w:rFonts w:cs="Times New Roman"/>
          <w:color w:val="000000" w:themeColor="text1"/>
          <w:szCs w:val="24"/>
          <w:shd w:val="clear" w:color="auto" w:fill="FFFFFF"/>
        </w:rPr>
        <w:t>icipal</w:t>
      </w:r>
      <w:r w:rsidR="00D856C0">
        <w:rPr>
          <w:rFonts w:cs="Times New Roman"/>
          <w:color w:val="000000" w:themeColor="text1"/>
          <w:szCs w:val="24"/>
          <w:shd w:val="clear" w:color="auto" w:fill="FFFFFF"/>
        </w:rPr>
        <w:t>”</w:t>
      </w:r>
      <w:r w:rsidR="00CC51E5">
        <w:rPr>
          <w:rFonts w:cs="Times New Roman"/>
          <w:color w:val="000000" w:themeColor="text1"/>
          <w:szCs w:val="24"/>
          <w:shd w:val="clear" w:color="auto" w:fill="FFFFFF"/>
        </w:rPr>
        <w:t>. Pensar Contábil, 11(44)</w:t>
      </w:r>
      <w:r w:rsidRPr="00701CF7">
        <w:rPr>
          <w:rFonts w:cs="Times New Roman"/>
          <w:color w:val="000000" w:themeColor="text1"/>
          <w:szCs w:val="24"/>
          <w:shd w:val="clear" w:color="auto" w:fill="FFFFFF"/>
        </w:rPr>
        <w:t>.</w:t>
      </w:r>
    </w:p>
    <w:p w14:paraId="5CB3A7D4" w14:textId="77777777" w:rsidR="00CC51E5" w:rsidRPr="00CC51E5" w:rsidRDefault="00D568DE" w:rsidP="00594C4A">
      <w:pPr>
        <w:spacing w:after="240"/>
        <w:rPr>
          <w:rFonts w:cs="Times New Roman"/>
          <w:szCs w:val="24"/>
        </w:rPr>
      </w:pPr>
      <w:r w:rsidRPr="00CC51E5">
        <w:rPr>
          <w:rFonts w:cs="Times New Roman"/>
          <w:caps/>
          <w:szCs w:val="24"/>
        </w:rPr>
        <w:t>Fernandes, R. Gremaud</w:t>
      </w:r>
      <w:r w:rsidRPr="00CC51E5">
        <w:rPr>
          <w:rFonts w:cs="Times New Roman"/>
          <w:szCs w:val="24"/>
        </w:rPr>
        <w:t xml:space="preserve">, A. </w:t>
      </w:r>
      <w:r w:rsidR="00CC51E5" w:rsidRPr="00CC51E5">
        <w:rPr>
          <w:rFonts w:cs="Times New Roman"/>
          <w:szCs w:val="24"/>
        </w:rPr>
        <w:t>P.</w:t>
      </w:r>
      <w:r w:rsidRPr="00CC51E5">
        <w:rPr>
          <w:rFonts w:cs="Times New Roman"/>
          <w:szCs w:val="24"/>
        </w:rPr>
        <w:t xml:space="preserve"> </w:t>
      </w:r>
      <w:r w:rsidR="00CC51E5" w:rsidRPr="00CC51E5">
        <w:rPr>
          <w:rFonts w:cs="Times New Roman"/>
          <w:szCs w:val="24"/>
        </w:rPr>
        <w:t xml:space="preserve">(2004). </w:t>
      </w:r>
      <w:r w:rsidR="00D856C0">
        <w:rPr>
          <w:rFonts w:cs="Times New Roman"/>
          <w:szCs w:val="24"/>
        </w:rPr>
        <w:t>“</w:t>
      </w:r>
      <w:r w:rsidR="00CC51E5" w:rsidRPr="00CC51E5">
        <w:rPr>
          <w:rFonts w:cs="Times New Roman"/>
          <w:szCs w:val="24"/>
        </w:rPr>
        <w:t>Regime de previdência dos servidores públicos: equilíbrio financeiro e justiça atuarial</w:t>
      </w:r>
      <w:r w:rsidR="00D856C0">
        <w:rPr>
          <w:rFonts w:cs="Times New Roman"/>
          <w:szCs w:val="24"/>
        </w:rPr>
        <w:t>”</w:t>
      </w:r>
      <w:r w:rsidR="00CC51E5" w:rsidRPr="00CC51E5">
        <w:rPr>
          <w:rFonts w:cs="Times New Roman"/>
          <w:szCs w:val="24"/>
        </w:rPr>
        <w:t>. En</w:t>
      </w:r>
      <w:r w:rsidR="00CC51E5">
        <w:rPr>
          <w:rFonts w:cs="Times New Roman"/>
          <w:szCs w:val="24"/>
        </w:rPr>
        <w:t>contro</w:t>
      </w:r>
      <w:r w:rsidR="00CC51E5" w:rsidRPr="00CC51E5">
        <w:rPr>
          <w:rFonts w:cs="Times New Roman"/>
          <w:szCs w:val="24"/>
        </w:rPr>
        <w:t xml:space="preserve"> </w:t>
      </w:r>
      <w:r w:rsidR="00CC51E5">
        <w:rPr>
          <w:rFonts w:cs="Times New Roman"/>
          <w:szCs w:val="24"/>
        </w:rPr>
        <w:t>nacional</w:t>
      </w:r>
      <w:r w:rsidR="00CC51E5" w:rsidRPr="00CC51E5">
        <w:rPr>
          <w:rFonts w:cs="Times New Roman"/>
          <w:szCs w:val="24"/>
        </w:rPr>
        <w:t xml:space="preserve"> </w:t>
      </w:r>
      <w:r w:rsidR="00CC51E5">
        <w:rPr>
          <w:rFonts w:cs="Times New Roman"/>
          <w:szCs w:val="24"/>
        </w:rPr>
        <w:t>de economia</w:t>
      </w:r>
      <w:r w:rsidR="00CC51E5" w:rsidRPr="00CC51E5">
        <w:rPr>
          <w:rFonts w:cs="Times New Roman"/>
          <w:szCs w:val="24"/>
        </w:rPr>
        <w:t xml:space="preserve">, 32. </w:t>
      </w:r>
    </w:p>
    <w:p w14:paraId="733A6786" w14:textId="77777777" w:rsidR="00D568DE" w:rsidRPr="00CC51E5" w:rsidRDefault="00D568DE" w:rsidP="00594C4A">
      <w:pPr>
        <w:spacing w:after="240"/>
        <w:rPr>
          <w:rFonts w:cs="Times New Roman"/>
          <w:szCs w:val="24"/>
          <w:lang w:val="en-US"/>
        </w:rPr>
      </w:pPr>
      <w:r w:rsidRPr="00CC51E5">
        <w:rPr>
          <w:rFonts w:cs="Times New Roman"/>
          <w:szCs w:val="24"/>
        </w:rPr>
        <w:t xml:space="preserve">FIANI, R. </w:t>
      </w:r>
      <w:r w:rsidR="00CC51E5" w:rsidRPr="00CC51E5">
        <w:rPr>
          <w:rFonts w:cs="Times New Roman"/>
          <w:szCs w:val="24"/>
        </w:rPr>
        <w:t xml:space="preserve">(2011). </w:t>
      </w:r>
      <w:r w:rsidR="00CC51E5" w:rsidRPr="00CC51E5">
        <w:rPr>
          <w:rFonts w:cs="Times New Roman"/>
          <w:i/>
          <w:szCs w:val="24"/>
        </w:rPr>
        <w:t>Cooperação e conflito: instituições e desenvolvimento econômico</w:t>
      </w:r>
      <w:r w:rsidR="00CC51E5" w:rsidRPr="00CC51E5">
        <w:rPr>
          <w:rFonts w:cs="Times New Roman"/>
          <w:szCs w:val="24"/>
        </w:rPr>
        <w:t xml:space="preserve">. </w:t>
      </w:r>
      <w:r w:rsidRPr="00CC51E5">
        <w:rPr>
          <w:rFonts w:cs="Times New Roman"/>
          <w:szCs w:val="24"/>
          <w:lang w:val="en-US"/>
        </w:rPr>
        <w:t>Rio de Janeiro, RJ: Elsevier.</w:t>
      </w:r>
    </w:p>
    <w:p w14:paraId="22A27505" w14:textId="77777777" w:rsidR="00D568DE" w:rsidRPr="00701CF7" w:rsidRDefault="00D568DE" w:rsidP="00594C4A">
      <w:pPr>
        <w:spacing w:after="240"/>
        <w:rPr>
          <w:rFonts w:cs="Times New Roman"/>
          <w:szCs w:val="24"/>
          <w:lang w:val="en-US"/>
        </w:rPr>
      </w:pPr>
      <w:r w:rsidRPr="00701CF7">
        <w:rPr>
          <w:rFonts w:cs="Times New Roman"/>
          <w:szCs w:val="24"/>
          <w:lang w:val="en-US"/>
        </w:rPr>
        <w:t xml:space="preserve">GIRTH, A. M. </w:t>
      </w:r>
      <w:r w:rsidR="00CC51E5" w:rsidRPr="00CC51E5">
        <w:rPr>
          <w:rFonts w:cs="Times New Roman"/>
          <w:szCs w:val="24"/>
          <w:lang w:val="en-US"/>
        </w:rPr>
        <w:t xml:space="preserve">(2014). </w:t>
      </w:r>
      <w:r w:rsidR="00D856C0">
        <w:rPr>
          <w:rFonts w:cs="Times New Roman"/>
          <w:szCs w:val="24"/>
          <w:lang w:val="en-US"/>
        </w:rPr>
        <w:t>“</w:t>
      </w:r>
      <w:r w:rsidR="00CC51E5" w:rsidRPr="00CC51E5">
        <w:rPr>
          <w:rFonts w:cs="Times New Roman"/>
          <w:szCs w:val="24"/>
          <w:lang w:val="en-US"/>
        </w:rPr>
        <w:t>A closer look at contract accountability: Exploring the determinants of sanctions for unsatisfactory contract performance</w:t>
      </w:r>
      <w:r w:rsidR="00D856C0">
        <w:rPr>
          <w:rFonts w:cs="Times New Roman"/>
          <w:szCs w:val="24"/>
          <w:lang w:val="en-US"/>
        </w:rPr>
        <w:t>”</w:t>
      </w:r>
      <w:r w:rsidR="00CC51E5" w:rsidRPr="00CC51E5">
        <w:rPr>
          <w:rFonts w:cs="Times New Roman"/>
          <w:szCs w:val="24"/>
          <w:lang w:val="en-US"/>
        </w:rPr>
        <w:t>. Journal of Public Administration Research and Theory, 24(2), 317-348.</w:t>
      </w:r>
    </w:p>
    <w:p w14:paraId="4D7005AD" w14:textId="77777777" w:rsidR="00CC51E5" w:rsidRDefault="00CC51E5" w:rsidP="00594C4A">
      <w:pPr>
        <w:spacing w:after="240"/>
        <w:rPr>
          <w:rFonts w:cs="Times New Roman"/>
          <w:szCs w:val="24"/>
          <w:lang w:val="en-US"/>
        </w:rPr>
      </w:pPr>
      <w:r w:rsidRPr="000E2B76">
        <w:rPr>
          <w:rFonts w:cs="Times New Roman"/>
          <w:caps/>
          <w:szCs w:val="24"/>
          <w:lang w:val="en-US"/>
        </w:rPr>
        <w:t>Graciliano</w:t>
      </w:r>
      <w:r w:rsidRPr="000E2B76">
        <w:rPr>
          <w:rFonts w:cs="Times New Roman"/>
          <w:szCs w:val="24"/>
          <w:lang w:val="en-US"/>
        </w:rPr>
        <w:t xml:space="preserve">, E. A., </w:t>
      </w:r>
      <w:r w:rsidRPr="000E2B76">
        <w:rPr>
          <w:rFonts w:cs="Times New Roman"/>
          <w:caps/>
          <w:szCs w:val="24"/>
          <w:lang w:val="en-US"/>
        </w:rPr>
        <w:t>Moreira Filho</w:t>
      </w:r>
      <w:r w:rsidRPr="000E2B76">
        <w:rPr>
          <w:rFonts w:cs="Times New Roman"/>
          <w:szCs w:val="24"/>
          <w:lang w:val="en-US"/>
        </w:rPr>
        <w:t xml:space="preserve">, J. C., </w:t>
      </w:r>
      <w:r w:rsidRPr="000E2B76">
        <w:rPr>
          <w:rFonts w:cs="Times New Roman"/>
          <w:caps/>
          <w:szCs w:val="24"/>
          <w:lang w:val="en-US"/>
        </w:rPr>
        <w:t>Nunes</w:t>
      </w:r>
      <w:r w:rsidRPr="000E2B76">
        <w:rPr>
          <w:rFonts w:cs="Times New Roman"/>
          <w:szCs w:val="24"/>
          <w:lang w:val="en-US"/>
        </w:rPr>
        <w:t xml:space="preserve">, A. D. P., </w:t>
      </w:r>
      <w:r w:rsidRPr="000E2B76">
        <w:rPr>
          <w:rFonts w:cs="Times New Roman"/>
          <w:caps/>
          <w:szCs w:val="24"/>
          <w:lang w:val="en-US"/>
        </w:rPr>
        <w:t>Pontes</w:t>
      </w:r>
      <w:r w:rsidRPr="000E2B76">
        <w:rPr>
          <w:rFonts w:cs="Times New Roman"/>
          <w:szCs w:val="24"/>
          <w:lang w:val="en-US"/>
        </w:rPr>
        <w:t xml:space="preserve">, F. C. D. M., &amp; </w:t>
      </w:r>
      <w:r w:rsidRPr="000E2B76">
        <w:rPr>
          <w:rFonts w:cs="Times New Roman"/>
          <w:caps/>
          <w:szCs w:val="24"/>
          <w:lang w:val="en-US"/>
        </w:rPr>
        <w:t>Zampa</w:t>
      </w:r>
      <w:r w:rsidRPr="000E2B76">
        <w:rPr>
          <w:rFonts w:cs="Times New Roman"/>
          <w:szCs w:val="24"/>
          <w:lang w:val="en-US"/>
        </w:rPr>
        <w:t xml:space="preserve">, F. F. (2010). </w:t>
      </w:r>
      <w:r w:rsidR="00D856C0">
        <w:rPr>
          <w:rFonts w:cs="Times New Roman"/>
          <w:szCs w:val="24"/>
        </w:rPr>
        <w:t>“</w:t>
      </w:r>
      <w:r w:rsidRPr="00CC51E5">
        <w:rPr>
          <w:rFonts w:cs="Times New Roman"/>
          <w:szCs w:val="24"/>
        </w:rPr>
        <w:t>Accountability na administração pública federal: contribuição das auditorias operacionais do TCU</w:t>
      </w:r>
      <w:r w:rsidR="00D856C0">
        <w:rPr>
          <w:rFonts w:cs="Times New Roman"/>
          <w:szCs w:val="24"/>
        </w:rPr>
        <w:t>”</w:t>
      </w:r>
      <w:r w:rsidRPr="00CC51E5">
        <w:rPr>
          <w:rFonts w:cs="Times New Roman"/>
          <w:szCs w:val="24"/>
        </w:rPr>
        <w:t xml:space="preserve">. </w:t>
      </w:r>
      <w:r w:rsidRPr="00CC51E5">
        <w:rPr>
          <w:rFonts w:cs="Times New Roman"/>
          <w:szCs w:val="24"/>
          <w:lang w:val="en-US"/>
        </w:rPr>
        <w:t xml:space="preserve">Pensar Contábil, 12(47). </w:t>
      </w:r>
    </w:p>
    <w:p w14:paraId="5D9694EA" w14:textId="77777777" w:rsidR="00D568DE" w:rsidRPr="00701CF7" w:rsidRDefault="00D568DE" w:rsidP="00594C4A">
      <w:pPr>
        <w:spacing w:after="240"/>
        <w:rPr>
          <w:rFonts w:cs="Times New Roman"/>
          <w:szCs w:val="24"/>
          <w:lang w:val="en-US"/>
        </w:rPr>
      </w:pPr>
      <w:r w:rsidRPr="00701CF7">
        <w:rPr>
          <w:rFonts w:cs="Times New Roman"/>
          <w:szCs w:val="24"/>
          <w:lang w:val="en-US"/>
        </w:rPr>
        <w:lastRenderedPageBreak/>
        <w:t xml:space="preserve">JENSEN, M.; MECKING, W. </w:t>
      </w:r>
      <w:r w:rsidR="00CC51E5" w:rsidRPr="00CC51E5">
        <w:rPr>
          <w:rFonts w:cs="Times New Roman"/>
          <w:szCs w:val="24"/>
          <w:lang w:val="en-US"/>
        </w:rPr>
        <w:t xml:space="preserve">(1976). </w:t>
      </w:r>
      <w:r w:rsidR="00E36A67">
        <w:rPr>
          <w:rFonts w:cs="Times New Roman"/>
          <w:szCs w:val="24"/>
          <w:lang w:val="en-US"/>
        </w:rPr>
        <w:t>“</w:t>
      </w:r>
      <w:r w:rsidR="00CC51E5" w:rsidRPr="00CC51E5">
        <w:rPr>
          <w:rFonts w:cs="Times New Roman"/>
          <w:szCs w:val="24"/>
          <w:lang w:val="en-US"/>
        </w:rPr>
        <w:t>Theory of the firm: Managerial behavior, agency costs and ownership structure</w:t>
      </w:r>
      <w:r w:rsidR="00E36A67">
        <w:rPr>
          <w:rFonts w:cs="Times New Roman"/>
          <w:szCs w:val="24"/>
          <w:lang w:val="en-US"/>
        </w:rPr>
        <w:t>”</w:t>
      </w:r>
      <w:r w:rsidR="00CC51E5" w:rsidRPr="00CC51E5">
        <w:rPr>
          <w:rFonts w:cs="Times New Roman"/>
          <w:szCs w:val="24"/>
          <w:lang w:val="en-US"/>
        </w:rPr>
        <w:t>. Journal of financial economics, 3(4), 305-360.</w:t>
      </w:r>
    </w:p>
    <w:p w14:paraId="74DBB164" w14:textId="77777777" w:rsidR="00D568DE" w:rsidRPr="000E2B76" w:rsidRDefault="00D568DE" w:rsidP="00594C4A">
      <w:pPr>
        <w:spacing w:after="240"/>
        <w:rPr>
          <w:rFonts w:cs="Times New Roman"/>
          <w:color w:val="222222"/>
          <w:szCs w:val="24"/>
          <w:shd w:val="clear" w:color="auto" w:fill="FFFFFF"/>
        </w:rPr>
      </w:pPr>
      <w:r w:rsidRPr="00E36A67">
        <w:rPr>
          <w:rFonts w:cs="Times New Roman"/>
          <w:color w:val="222222"/>
          <w:szCs w:val="24"/>
          <w:shd w:val="clear" w:color="auto" w:fill="FFFFFF"/>
          <w:lang w:val="en-US"/>
        </w:rPr>
        <w:t xml:space="preserve">KLUVERS, R. </w:t>
      </w:r>
      <w:r w:rsidR="00E36A67" w:rsidRPr="00E36A67">
        <w:rPr>
          <w:rFonts w:cs="Times New Roman"/>
          <w:color w:val="222222"/>
          <w:szCs w:val="24"/>
          <w:shd w:val="clear" w:color="auto" w:fill="FFFFFF"/>
          <w:lang w:val="en-US"/>
        </w:rPr>
        <w:t xml:space="preserve">(2003). </w:t>
      </w:r>
      <w:r w:rsidR="00E36A67">
        <w:rPr>
          <w:rFonts w:cs="Times New Roman"/>
          <w:color w:val="222222"/>
          <w:szCs w:val="24"/>
          <w:shd w:val="clear" w:color="auto" w:fill="FFFFFF"/>
          <w:lang w:val="en-US"/>
        </w:rPr>
        <w:t>“</w:t>
      </w:r>
      <w:r w:rsidR="00E36A67" w:rsidRPr="00E36A67">
        <w:rPr>
          <w:rFonts w:cs="Times New Roman"/>
          <w:color w:val="222222"/>
          <w:szCs w:val="24"/>
          <w:shd w:val="clear" w:color="auto" w:fill="FFFFFF"/>
          <w:lang w:val="en-US"/>
        </w:rPr>
        <w:t>Accountability for performance in local government</w:t>
      </w:r>
      <w:r w:rsidR="00E36A67">
        <w:rPr>
          <w:rFonts w:cs="Times New Roman"/>
          <w:color w:val="222222"/>
          <w:szCs w:val="24"/>
          <w:shd w:val="clear" w:color="auto" w:fill="FFFFFF"/>
          <w:lang w:val="en-US"/>
        </w:rPr>
        <w:t>”</w:t>
      </w:r>
      <w:r w:rsidR="00E36A67" w:rsidRPr="00E36A67">
        <w:rPr>
          <w:rFonts w:cs="Times New Roman"/>
          <w:color w:val="222222"/>
          <w:szCs w:val="24"/>
          <w:shd w:val="clear" w:color="auto" w:fill="FFFFFF"/>
          <w:lang w:val="en-US"/>
        </w:rPr>
        <w:t xml:space="preserve">. </w:t>
      </w:r>
      <w:r w:rsidR="00E36A67" w:rsidRPr="000E2B76">
        <w:rPr>
          <w:rFonts w:cs="Times New Roman"/>
          <w:color w:val="222222"/>
          <w:szCs w:val="24"/>
          <w:shd w:val="clear" w:color="auto" w:fill="FFFFFF"/>
        </w:rPr>
        <w:t>Australian Journal of Public Administration, 62(1), 57-69.</w:t>
      </w:r>
    </w:p>
    <w:p w14:paraId="2B31481C" w14:textId="77777777" w:rsidR="00E36A67" w:rsidRPr="00701CF7" w:rsidRDefault="00D568DE" w:rsidP="00594C4A">
      <w:pPr>
        <w:spacing w:after="240"/>
        <w:rPr>
          <w:rFonts w:cs="Times New Roman"/>
          <w:szCs w:val="24"/>
        </w:rPr>
      </w:pPr>
      <w:r w:rsidRPr="00701CF7">
        <w:rPr>
          <w:rFonts w:cs="Times New Roman"/>
          <w:szCs w:val="24"/>
        </w:rPr>
        <w:t>MARTINS. F. J. DE O.</w:t>
      </w:r>
      <w:r w:rsidR="00E36A67">
        <w:rPr>
          <w:rFonts w:cs="Times New Roman"/>
          <w:szCs w:val="24"/>
        </w:rPr>
        <w:t xml:space="preserve"> (2015)</w:t>
      </w:r>
      <w:r w:rsidRPr="00701CF7">
        <w:rPr>
          <w:rFonts w:cs="Times New Roman"/>
          <w:szCs w:val="24"/>
        </w:rPr>
        <w:t xml:space="preserve"> </w:t>
      </w:r>
      <w:r w:rsidRPr="00E36A67">
        <w:rPr>
          <w:rFonts w:cs="Times New Roman"/>
          <w:i/>
          <w:szCs w:val="24"/>
        </w:rPr>
        <w:t>Accountability</w:t>
      </w:r>
      <w:r w:rsidRPr="00E36A67">
        <w:rPr>
          <w:rFonts w:cs="Times New Roman"/>
          <w:szCs w:val="24"/>
        </w:rPr>
        <w:t xml:space="preserve"> no regime próprio de previdência dos servidores públicos municipais: análise do IPREVI - Viçosa/MG</w:t>
      </w:r>
      <w:r w:rsidRPr="00701CF7">
        <w:rPr>
          <w:rFonts w:cs="Times New Roman"/>
          <w:b/>
          <w:szCs w:val="24"/>
        </w:rPr>
        <w:t xml:space="preserve">. </w:t>
      </w:r>
      <w:r w:rsidRPr="00701CF7">
        <w:rPr>
          <w:rFonts w:cs="Times New Roman"/>
          <w:szCs w:val="24"/>
        </w:rPr>
        <w:t>Dissertação d</w:t>
      </w:r>
      <w:r w:rsidR="00E36A67">
        <w:rPr>
          <w:rFonts w:cs="Times New Roman"/>
          <w:szCs w:val="24"/>
        </w:rPr>
        <w:t>e</w:t>
      </w:r>
      <w:r w:rsidRPr="00701CF7">
        <w:rPr>
          <w:rFonts w:cs="Times New Roman"/>
          <w:szCs w:val="24"/>
        </w:rPr>
        <w:t xml:space="preserve"> Mestrado em </w:t>
      </w:r>
    </w:p>
    <w:p w14:paraId="1CA81A8A" w14:textId="77777777" w:rsidR="00D568DE" w:rsidRPr="00701CF7" w:rsidRDefault="00D568DE" w:rsidP="00594C4A">
      <w:pPr>
        <w:spacing w:after="240"/>
        <w:rPr>
          <w:rFonts w:cs="Times New Roman"/>
          <w:szCs w:val="24"/>
        </w:rPr>
      </w:pPr>
      <w:r w:rsidRPr="00701CF7">
        <w:rPr>
          <w:rFonts w:cs="Times New Roman"/>
          <w:szCs w:val="24"/>
        </w:rPr>
        <w:t>MEIRELLES, H. L.</w:t>
      </w:r>
      <w:r w:rsidR="00E36A67">
        <w:rPr>
          <w:rFonts w:cs="Times New Roman"/>
          <w:szCs w:val="24"/>
        </w:rPr>
        <w:t xml:space="preserve"> (2007) </w:t>
      </w:r>
      <w:r w:rsidR="00E36A67" w:rsidRPr="00D856C0">
        <w:rPr>
          <w:rFonts w:cs="Times New Roman"/>
          <w:i/>
          <w:szCs w:val="24"/>
        </w:rPr>
        <w:t>Direito</w:t>
      </w:r>
      <w:r w:rsidRPr="00D856C0">
        <w:rPr>
          <w:rFonts w:cs="Times New Roman"/>
          <w:b/>
          <w:i/>
          <w:szCs w:val="24"/>
        </w:rPr>
        <w:t xml:space="preserve"> </w:t>
      </w:r>
      <w:r w:rsidRPr="00D856C0">
        <w:rPr>
          <w:rFonts w:cs="Times New Roman"/>
          <w:i/>
          <w:szCs w:val="24"/>
        </w:rPr>
        <w:t>administrativo brasileiro</w:t>
      </w:r>
      <w:r w:rsidR="00E36A67">
        <w:rPr>
          <w:rFonts w:cs="Times New Roman"/>
          <w:szCs w:val="24"/>
        </w:rPr>
        <w:t>. 33. ed. São Paulo: Malheiros.</w:t>
      </w:r>
    </w:p>
    <w:p w14:paraId="780ED4BB" w14:textId="77777777" w:rsidR="00D568DE" w:rsidRPr="00701CF7" w:rsidRDefault="00D568DE" w:rsidP="00594C4A">
      <w:pPr>
        <w:spacing w:after="240"/>
        <w:rPr>
          <w:rFonts w:cs="Times New Roman"/>
          <w:szCs w:val="24"/>
        </w:rPr>
      </w:pPr>
      <w:r w:rsidRPr="00701CF7">
        <w:rPr>
          <w:rFonts w:cs="Times New Roman"/>
          <w:caps/>
          <w:szCs w:val="24"/>
        </w:rPr>
        <w:t>Minas Gerais</w:t>
      </w:r>
      <w:r w:rsidRPr="00701CF7">
        <w:rPr>
          <w:rFonts w:cs="Times New Roman"/>
          <w:szCs w:val="24"/>
        </w:rPr>
        <w:t>.</w:t>
      </w:r>
      <w:r w:rsidR="00E36A67">
        <w:rPr>
          <w:rFonts w:cs="Times New Roman"/>
          <w:szCs w:val="24"/>
        </w:rPr>
        <w:t xml:space="preserve"> (2014)</w:t>
      </w:r>
      <w:r w:rsidRPr="00701CF7">
        <w:rPr>
          <w:rFonts w:cs="Times New Roman"/>
          <w:szCs w:val="24"/>
        </w:rPr>
        <w:t xml:space="preserve"> </w:t>
      </w:r>
      <w:r w:rsidRPr="00D856C0">
        <w:rPr>
          <w:rFonts w:cs="Times New Roman"/>
          <w:szCs w:val="24"/>
        </w:rPr>
        <w:t>Meso e Microrregiões Estado de Minas Gerais.</w:t>
      </w:r>
      <w:r w:rsidRPr="00701CF7">
        <w:rPr>
          <w:rFonts w:cs="Times New Roman"/>
          <w:b/>
          <w:szCs w:val="24"/>
        </w:rPr>
        <w:t xml:space="preserve"> </w:t>
      </w:r>
      <w:r w:rsidRPr="00701CF7">
        <w:rPr>
          <w:rFonts w:cs="Times New Roman"/>
          <w:szCs w:val="24"/>
        </w:rPr>
        <w:t>Disponível em</w:t>
      </w:r>
      <w:r w:rsidRPr="00701CF7">
        <w:rPr>
          <w:rFonts w:cs="Times New Roman"/>
          <w:b/>
          <w:szCs w:val="24"/>
        </w:rPr>
        <w:t>:</w:t>
      </w:r>
      <w:r w:rsidRPr="00701CF7">
        <w:rPr>
          <w:rFonts w:cs="Times New Roman"/>
          <w:szCs w:val="24"/>
        </w:rPr>
        <w:t xml:space="preserve">&lt; http://www.mg.gov.br/governomg/ecp/files.do?evento=download&amp;urlArqPlc=ligminas_09_2_04_listamesomicro.pdf &gt; </w:t>
      </w:r>
      <w:r w:rsidRPr="00701CF7">
        <w:rPr>
          <w:rFonts w:cs="Times New Roman"/>
          <w:color w:val="000000"/>
          <w:szCs w:val="24"/>
          <w:shd w:val="clear" w:color="auto" w:fill="FFFFFF"/>
        </w:rPr>
        <w:t xml:space="preserve">Aceso em </w:t>
      </w:r>
      <w:r w:rsidRPr="00701CF7">
        <w:rPr>
          <w:rFonts w:cs="Times New Roman"/>
          <w:szCs w:val="24"/>
        </w:rPr>
        <w:t>05 jun. 2014.</w:t>
      </w:r>
    </w:p>
    <w:p w14:paraId="6C03F767" w14:textId="77777777" w:rsidR="00D568DE" w:rsidRPr="00D856C0" w:rsidRDefault="00D568DE" w:rsidP="00594C4A">
      <w:pPr>
        <w:spacing w:after="240"/>
        <w:rPr>
          <w:rFonts w:cs="Times New Roman"/>
          <w:szCs w:val="24"/>
        </w:rPr>
      </w:pPr>
      <w:r w:rsidRPr="00701CF7">
        <w:rPr>
          <w:rFonts w:cs="Times New Roman"/>
          <w:caps/>
          <w:szCs w:val="24"/>
        </w:rPr>
        <w:t>Ministério da Previdência e Assistência Social</w:t>
      </w:r>
      <w:r w:rsidR="00E36A67">
        <w:rPr>
          <w:rFonts w:cs="Times New Roman"/>
          <w:szCs w:val="24"/>
        </w:rPr>
        <w:t xml:space="preserve"> (2002).</w:t>
      </w:r>
      <w:r w:rsidRPr="00701CF7">
        <w:rPr>
          <w:rFonts w:cs="Times New Roman"/>
          <w:szCs w:val="24"/>
        </w:rPr>
        <w:t xml:space="preserve"> </w:t>
      </w:r>
      <w:r w:rsidRPr="00D856C0">
        <w:rPr>
          <w:rFonts w:cs="Times New Roman"/>
          <w:szCs w:val="24"/>
        </w:rPr>
        <w:t>Livro Branco da Previdência Social, Brasília, MPAS</w:t>
      </w:r>
      <w:r w:rsidR="00E36A67" w:rsidRPr="00D856C0">
        <w:rPr>
          <w:rFonts w:cs="Times New Roman"/>
          <w:szCs w:val="24"/>
        </w:rPr>
        <w:t>.</w:t>
      </w:r>
    </w:p>
    <w:p w14:paraId="6F3712CA" w14:textId="77777777" w:rsidR="00D568DE" w:rsidRPr="000E2B76" w:rsidRDefault="00D568DE" w:rsidP="00594C4A">
      <w:pPr>
        <w:spacing w:after="240"/>
        <w:rPr>
          <w:rFonts w:cs="Times New Roman"/>
          <w:szCs w:val="24"/>
          <w:lang w:val="en-US"/>
        </w:rPr>
      </w:pPr>
      <w:r w:rsidRPr="00E36A67">
        <w:rPr>
          <w:rFonts w:cs="Times New Roman"/>
          <w:szCs w:val="24"/>
        </w:rPr>
        <w:t xml:space="preserve">NAJBERG, S. e IKEDA, M. </w:t>
      </w:r>
      <w:r w:rsidR="00E36A67" w:rsidRPr="00E36A67">
        <w:rPr>
          <w:rFonts w:cs="Times New Roman"/>
          <w:szCs w:val="24"/>
        </w:rPr>
        <w:t xml:space="preserve">(1999). Previdência no Brasil: desafios e limites. </w:t>
      </w:r>
      <w:r w:rsidR="00E36A67" w:rsidRPr="000E2B76">
        <w:rPr>
          <w:rFonts w:cs="Times New Roman"/>
          <w:szCs w:val="24"/>
          <w:lang w:val="en-US"/>
        </w:rPr>
        <w:t>A economia brasileira nos anos, 90(1), 261-290.</w:t>
      </w:r>
    </w:p>
    <w:p w14:paraId="2ED8D0A3" w14:textId="77777777" w:rsidR="00D568DE" w:rsidRPr="00E36A67" w:rsidRDefault="00D568DE" w:rsidP="00594C4A">
      <w:pPr>
        <w:spacing w:after="240"/>
        <w:rPr>
          <w:rFonts w:cs="Times New Roman"/>
          <w:szCs w:val="24"/>
          <w:lang w:val="en-US"/>
        </w:rPr>
      </w:pPr>
      <w:r w:rsidRPr="00E36A67">
        <w:rPr>
          <w:rFonts w:cs="Times New Roman"/>
          <w:szCs w:val="24"/>
          <w:lang w:val="en-US"/>
        </w:rPr>
        <w:t>NORTH, D. C. </w:t>
      </w:r>
      <w:r w:rsidR="00E36A67" w:rsidRPr="00E36A67">
        <w:rPr>
          <w:rFonts w:cs="Times New Roman"/>
          <w:bCs/>
          <w:szCs w:val="24"/>
          <w:lang w:val="en-US"/>
        </w:rPr>
        <w:t xml:space="preserve"> (1990). </w:t>
      </w:r>
      <w:r w:rsidR="00E36A67" w:rsidRPr="00E36A67">
        <w:rPr>
          <w:rFonts w:cs="Times New Roman"/>
          <w:bCs/>
          <w:i/>
          <w:szCs w:val="24"/>
          <w:lang w:val="en-US"/>
        </w:rPr>
        <w:t>Institutions, institutional change and economic performance.</w:t>
      </w:r>
      <w:r w:rsidR="00E36A67" w:rsidRPr="00E36A67">
        <w:rPr>
          <w:rFonts w:cs="Times New Roman"/>
          <w:bCs/>
          <w:szCs w:val="24"/>
          <w:lang w:val="en-US"/>
        </w:rPr>
        <w:t xml:space="preserve"> Cambridge university press.</w:t>
      </w:r>
    </w:p>
    <w:p w14:paraId="4EC8BD6E" w14:textId="77777777" w:rsidR="00D568DE" w:rsidRPr="00E36A67" w:rsidRDefault="00D568DE" w:rsidP="00594C4A">
      <w:pPr>
        <w:spacing w:after="240"/>
        <w:rPr>
          <w:rFonts w:cs="Times New Roman"/>
          <w:szCs w:val="24"/>
          <w:lang w:val="en-US"/>
        </w:rPr>
      </w:pPr>
      <w:r w:rsidRPr="00E36A67">
        <w:rPr>
          <w:rFonts w:cs="Times New Roman"/>
          <w:szCs w:val="24"/>
          <w:lang w:val="en-US"/>
        </w:rPr>
        <w:t>NORTH, D. C. </w:t>
      </w:r>
      <w:r w:rsidR="00E36A67" w:rsidRPr="00E36A67">
        <w:rPr>
          <w:rFonts w:cs="Times New Roman"/>
          <w:bCs/>
          <w:szCs w:val="24"/>
          <w:lang w:val="en-US"/>
        </w:rPr>
        <w:t xml:space="preserve"> (1992). </w:t>
      </w:r>
      <w:r w:rsidR="00E36A67" w:rsidRPr="00E36A67">
        <w:rPr>
          <w:rFonts w:cs="Times New Roman"/>
          <w:bCs/>
          <w:i/>
          <w:szCs w:val="24"/>
          <w:lang w:val="en-US"/>
        </w:rPr>
        <w:t>Transaction costs, institutions, and economic performance</w:t>
      </w:r>
      <w:r w:rsidR="00E36A67" w:rsidRPr="00E36A67">
        <w:rPr>
          <w:rFonts w:cs="Times New Roman"/>
          <w:bCs/>
          <w:szCs w:val="24"/>
          <w:lang w:val="en-US"/>
        </w:rPr>
        <w:t xml:space="preserve"> (pp. 13-15). San Francisco, CA: ICS Press</w:t>
      </w:r>
      <w:r w:rsidRPr="00E36A67">
        <w:rPr>
          <w:rFonts w:cs="Times New Roman"/>
          <w:szCs w:val="24"/>
          <w:lang w:val="en-US"/>
        </w:rPr>
        <w:t>.</w:t>
      </w:r>
    </w:p>
    <w:p w14:paraId="0617F1FE" w14:textId="77777777" w:rsidR="00E36A67" w:rsidRPr="000E2B76" w:rsidRDefault="00D568DE" w:rsidP="00594C4A">
      <w:pPr>
        <w:spacing w:after="240"/>
        <w:rPr>
          <w:rFonts w:cs="Times New Roman"/>
          <w:bCs/>
          <w:szCs w:val="24"/>
        </w:rPr>
      </w:pPr>
      <w:r w:rsidRPr="00E36A67">
        <w:rPr>
          <w:rFonts w:cs="Times New Roman"/>
          <w:szCs w:val="24"/>
          <w:lang w:val="en-US"/>
        </w:rPr>
        <w:t>NORTH, D. C. </w:t>
      </w:r>
      <w:r w:rsidR="00E36A67" w:rsidRPr="00E36A67">
        <w:rPr>
          <w:rFonts w:cs="Times New Roman"/>
          <w:bCs/>
          <w:szCs w:val="24"/>
          <w:lang w:val="en-US"/>
        </w:rPr>
        <w:t xml:space="preserve"> (2006). </w:t>
      </w:r>
      <w:r w:rsidR="00E36A67" w:rsidRPr="00E36A67">
        <w:rPr>
          <w:rFonts w:cs="Times New Roman"/>
          <w:bCs/>
          <w:i/>
          <w:szCs w:val="24"/>
          <w:lang w:val="en-US"/>
        </w:rPr>
        <w:t>Understanding the process of economic change</w:t>
      </w:r>
      <w:r w:rsidR="00E36A67" w:rsidRPr="00E36A67">
        <w:rPr>
          <w:rFonts w:cs="Times New Roman"/>
          <w:bCs/>
          <w:szCs w:val="24"/>
          <w:lang w:val="en-US"/>
        </w:rPr>
        <w:t xml:space="preserve">. </w:t>
      </w:r>
      <w:r w:rsidR="00E36A67" w:rsidRPr="000E2B76">
        <w:rPr>
          <w:rFonts w:cs="Times New Roman"/>
          <w:bCs/>
          <w:szCs w:val="24"/>
        </w:rPr>
        <w:t xml:space="preserve">Academic Foundation. </w:t>
      </w:r>
    </w:p>
    <w:p w14:paraId="5FAB4642" w14:textId="77777777" w:rsidR="00E36A67" w:rsidRPr="000E2B76" w:rsidRDefault="00D568DE" w:rsidP="00594C4A">
      <w:pPr>
        <w:spacing w:after="240"/>
        <w:rPr>
          <w:rFonts w:cs="Times New Roman"/>
          <w:szCs w:val="24"/>
        </w:rPr>
      </w:pPr>
      <w:r w:rsidRPr="000E2B76">
        <w:rPr>
          <w:rFonts w:cs="Times New Roman"/>
          <w:szCs w:val="24"/>
        </w:rPr>
        <w:t xml:space="preserve">O’DONNELL, G. </w:t>
      </w:r>
      <w:r w:rsidR="00E36A67" w:rsidRPr="000E2B76">
        <w:rPr>
          <w:rFonts w:cs="Times New Roman"/>
          <w:szCs w:val="24"/>
        </w:rPr>
        <w:t>(1991). “Democracia delegativa”’. Novos estudos, 31, 25-40.</w:t>
      </w:r>
    </w:p>
    <w:p w14:paraId="48B33987" w14:textId="77777777" w:rsidR="00D568DE" w:rsidRPr="000E2B76" w:rsidRDefault="00D568DE" w:rsidP="00594C4A">
      <w:pPr>
        <w:spacing w:after="240"/>
        <w:rPr>
          <w:rFonts w:cs="Times New Roman"/>
          <w:szCs w:val="24"/>
        </w:rPr>
      </w:pPr>
      <w:r w:rsidRPr="000E2B76">
        <w:rPr>
          <w:rFonts w:cs="Times New Roman"/>
          <w:szCs w:val="24"/>
        </w:rPr>
        <w:t xml:space="preserve">OSTROM, E. </w:t>
      </w:r>
      <w:r w:rsidR="00E36A67" w:rsidRPr="000E2B76">
        <w:rPr>
          <w:rFonts w:cs="Times New Roman"/>
          <w:szCs w:val="24"/>
        </w:rPr>
        <w:t xml:space="preserve">(2014). </w:t>
      </w:r>
      <w:r w:rsidR="00E36A67">
        <w:rPr>
          <w:rFonts w:cs="Times New Roman"/>
          <w:szCs w:val="24"/>
          <w:lang w:val="en-US"/>
        </w:rPr>
        <w:t>“</w:t>
      </w:r>
      <w:r w:rsidR="00E36A67" w:rsidRPr="00E36A67">
        <w:rPr>
          <w:rFonts w:cs="Times New Roman"/>
          <w:szCs w:val="24"/>
          <w:lang w:val="en-US"/>
        </w:rPr>
        <w:t>Collective action and the evolution of social norms</w:t>
      </w:r>
      <w:r w:rsidR="00E36A67">
        <w:rPr>
          <w:rFonts w:cs="Times New Roman"/>
          <w:szCs w:val="24"/>
          <w:lang w:val="en-US"/>
        </w:rPr>
        <w:t>”</w:t>
      </w:r>
      <w:r w:rsidR="00E36A67" w:rsidRPr="00E36A67">
        <w:rPr>
          <w:rFonts w:cs="Times New Roman"/>
          <w:szCs w:val="24"/>
          <w:lang w:val="en-US"/>
        </w:rPr>
        <w:t xml:space="preserve">. </w:t>
      </w:r>
      <w:r w:rsidR="00E36A67" w:rsidRPr="000E2B76">
        <w:rPr>
          <w:rFonts w:cs="Times New Roman"/>
          <w:szCs w:val="24"/>
        </w:rPr>
        <w:t>Journal of Natural Resources Policy Research, 6(4), 235-252.</w:t>
      </w:r>
    </w:p>
    <w:p w14:paraId="1EB2CAEF" w14:textId="77777777" w:rsidR="000C09DF" w:rsidRPr="000C09DF" w:rsidRDefault="00D568DE" w:rsidP="00594C4A">
      <w:pPr>
        <w:spacing w:after="240"/>
        <w:rPr>
          <w:rFonts w:cs="Times New Roman"/>
          <w:i/>
          <w:iCs/>
          <w:color w:val="222222"/>
          <w:szCs w:val="24"/>
          <w:shd w:val="clear" w:color="auto" w:fill="FFFFFF"/>
        </w:rPr>
      </w:pPr>
      <w:r w:rsidRPr="000C09DF">
        <w:rPr>
          <w:rFonts w:cs="Times New Roman"/>
          <w:szCs w:val="24"/>
        </w:rPr>
        <w:t>PESTANA, Maria Helena; GAGEIRO, João Nunes. </w:t>
      </w:r>
      <w:r w:rsidR="000C09DF" w:rsidRPr="000C09DF">
        <w:rPr>
          <w:rFonts w:cs="Times New Roman"/>
          <w:bCs/>
          <w:szCs w:val="24"/>
        </w:rPr>
        <w:t xml:space="preserve"> (2003).</w:t>
      </w:r>
      <w:r w:rsidR="000C09DF">
        <w:rPr>
          <w:rFonts w:cs="Times New Roman"/>
          <w:bCs/>
          <w:szCs w:val="24"/>
        </w:rPr>
        <w:t xml:space="preserve"> </w:t>
      </w:r>
      <w:r w:rsidR="000C09DF" w:rsidRPr="000C09DF">
        <w:rPr>
          <w:rFonts w:cs="Times New Roman"/>
          <w:bCs/>
          <w:i/>
          <w:szCs w:val="24"/>
        </w:rPr>
        <w:t>Análise de dados para ciências sociais: a complementaridade do SPSS</w:t>
      </w:r>
      <w:r w:rsidR="000C09DF" w:rsidRPr="000C09DF">
        <w:rPr>
          <w:rFonts w:cs="Times New Roman"/>
          <w:bCs/>
          <w:szCs w:val="24"/>
        </w:rPr>
        <w:t>.</w:t>
      </w:r>
      <w:r w:rsidR="000C09DF" w:rsidRPr="000C09DF">
        <w:rPr>
          <w:rFonts w:cs="Times New Roman"/>
          <w:i/>
          <w:iCs/>
          <w:color w:val="222222"/>
          <w:szCs w:val="24"/>
          <w:shd w:val="clear" w:color="auto" w:fill="FFFFFF"/>
        </w:rPr>
        <w:t xml:space="preserve"> </w:t>
      </w:r>
      <w:r w:rsidR="000C09DF" w:rsidRPr="000C09DF">
        <w:rPr>
          <w:rFonts w:cs="Times New Roman"/>
          <w:iCs/>
          <w:color w:val="222222"/>
          <w:szCs w:val="24"/>
          <w:shd w:val="clear" w:color="auto" w:fill="FFFFFF"/>
        </w:rPr>
        <w:t>Lisboa: Edições Sílabo,</w:t>
      </w:r>
      <w:r w:rsidR="000C09DF" w:rsidRPr="000C09DF">
        <w:rPr>
          <w:rFonts w:cs="Times New Roman"/>
          <w:i/>
          <w:iCs/>
          <w:color w:val="222222"/>
          <w:szCs w:val="24"/>
          <w:shd w:val="clear" w:color="auto" w:fill="FFFFFF"/>
        </w:rPr>
        <w:t xml:space="preserve"> </w:t>
      </w:r>
    </w:p>
    <w:p w14:paraId="4C1FF2F6" w14:textId="77777777" w:rsidR="00D568DE" w:rsidRPr="000C09DF" w:rsidRDefault="00D568DE" w:rsidP="00594C4A">
      <w:pPr>
        <w:spacing w:after="240"/>
        <w:rPr>
          <w:rFonts w:cs="Times New Roman"/>
          <w:szCs w:val="24"/>
        </w:rPr>
      </w:pPr>
      <w:r w:rsidRPr="000C09DF">
        <w:rPr>
          <w:rFonts w:cs="Times New Roman"/>
          <w:szCs w:val="24"/>
        </w:rPr>
        <w:t xml:space="preserve">PINHO, J. A. </w:t>
      </w:r>
      <w:r w:rsidR="000C09DF" w:rsidRPr="000C09DF">
        <w:rPr>
          <w:rFonts w:cs="Times New Roman"/>
          <w:szCs w:val="24"/>
        </w:rPr>
        <w:t>G.;</w:t>
      </w:r>
      <w:r w:rsidRPr="000C09DF">
        <w:rPr>
          <w:rFonts w:cs="Times New Roman"/>
          <w:szCs w:val="24"/>
        </w:rPr>
        <w:t xml:space="preserve"> SACRAMENTO, A. R. S. </w:t>
      </w:r>
      <w:r w:rsidR="000C09DF" w:rsidRPr="000C09DF">
        <w:rPr>
          <w:rFonts w:cs="Times New Roman"/>
          <w:szCs w:val="24"/>
        </w:rPr>
        <w:t xml:space="preserve">(2009). </w:t>
      </w:r>
      <w:r w:rsidR="000C09DF">
        <w:rPr>
          <w:rFonts w:cs="Times New Roman"/>
          <w:szCs w:val="24"/>
        </w:rPr>
        <w:t>“</w:t>
      </w:r>
      <w:r w:rsidR="000C09DF" w:rsidRPr="000C09DF">
        <w:rPr>
          <w:rFonts w:cs="Times New Roman"/>
          <w:szCs w:val="24"/>
        </w:rPr>
        <w:t>Accountability: já podemos traduzi-la para o português?</w:t>
      </w:r>
      <w:r w:rsidR="000C09DF">
        <w:rPr>
          <w:rFonts w:cs="Times New Roman"/>
          <w:szCs w:val="24"/>
        </w:rPr>
        <w:t>”</w:t>
      </w:r>
      <w:r w:rsidR="000C09DF" w:rsidRPr="000C09DF">
        <w:rPr>
          <w:rFonts w:cs="Times New Roman"/>
          <w:szCs w:val="24"/>
        </w:rPr>
        <w:t>. Revista de Administração Pública, 43(6), 1343-1368.</w:t>
      </w:r>
      <w:r w:rsidRPr="000C09DF">
        <w:rPr>
          <w:rFonts w:cs="Times New Roman"/>
          <w:szCs w:val="24"/>
        </w:rPr>
        <w:t xml:space="preserve"> </w:t>
      </w:r>
    </w:p>
    <w:p w14:paraId="00B8B3CB" w14:textId="77777777" w:rsidR="00D568DE" w:rsidRPr="000C09DF" w:rsidRDefault="00D568DE" w:rsidP="00594C4A">
      <w:pPr>
        <w:spacing w:after="240"/>
        <w:rPr>
          <w:rFonts w:cs="Times New Roman"/>
          <w:color w:val="222222"/>
          <w:szCs w:val="24"/>
          <w:shd w:val="clear" w:color="auto" w:fill="FFFFFF"/>
        </w:rPr>
      </w:pPr>
      <w:r w:rsidRPr="00701CF7">
        <w:rPr>
          <w:rFonts w:cs="Times New Roman"/>
          <w:color w:val="222222"/>
          <w:szCs w:val="24"/>
          <w:shd w:val="clear" w:color="auto" w:fill="FFFFFF"/>
        </w:rPr>
        <w:t xml:space="preserve">ROCHA, A. C. </w:t>
      </w:r>
      <w:r w:rsidR="000C09DF" w:rsidRPr="000C09DF">
        <w:rPr>
          <w:rFonts w:cs="Times New Roman"/>
          <w:color w:val="222222"/>
          <w:szCs w:val="24"/>
          <w:shd w:val="clear" w:color="auto" w:fill="FFFFFF"/>
        </w:rPr>
        <w:t xml:space="preserve">(2013). </w:t>
      </w:r>
      <w:r w:rsidR="000C09DF">
        <w:rPr>
          <w:rFonts w:cs="Times New Roman"/>
          <w:color w:val="222222"/>
          <w:szCs w:val="24"/>
          <w:shd w:val="clear" w:color="auto" w:fill="FFFFFF"/>
        </w:rPr>
        <w:t>“</w:t>
      </w:r>
      <w:r w:rsidR="000C09DF" w:rsidRPr="000C09DF">
        <w:rPr>
          <w:rFonts w:cs="Times New Roman"/>
          <w:color w:val="222222"/>
          <w:szCs w:val="24"/>
          <w:shd w:val="clear" w:color="auto" w:fill="FFFFFF"/>
        </w:rPr>
        <w:t>A realização da accountability em pareceres prévios do Tribunal de Contas de Santa Catarina</w:t>
      </w:r>
      <w:r w:rsidR="000C09DF">
        <w:rPr>
          <w:rFonts w:cs="Times New Roman"/>
          <w:color w:val="222222"/>
          <w:szCs w:val="24"/>
          <w:shd w:val="clear" w:color="auto" w:fill="FFFFFF"/>
        </w:rPr>
        <w:t>”</w:t>
      </w:r>
      <w:r w:rsidR="000C09DF" w:rsidRPr="000C09DF">
        <w:rPr>
          <w:rFonts w:cs="Times New Roman"/>
          <w:color w:val="222222"/>
          <w:szCs w:val="24"/>
          <w:shd w:val="clear" w:color="auto" w:fill="FFFFFF"/>
        </w:rPr>
        <w:t>. Revista de Administração Pública, 47(4), 901-926.</w:t>
      </w:r>
    </w:p>
    <w:p w14:paraId="48D61FDA" w14:textId="77777777" w:rsidR="000C09DF" w:rsidRDefault="00D568DE" w:rsidP="00594C4A">
      <w:pPr>
        <w:spacing w:after="240"/>
        <w:rPr>
          <w:rFonts w:cs="Times New Roman"/>
          <w:szCs w:val="24"/>
          <w:lang w:val="en-US"/>
        </w:rPr>
      </w:pPr>
      <w:r w:rsidRPr="000E2B76">
        <w:rPr>
          <w:rFonts w:cs="Times New Roman"/>
          <w:szCs w:val="24"/>
        </w:rPr>
        <w:t xml:space="preserve">ROMZEK, Barbara S.; LEROUX, Kelly; BLACKMAR, Jeannette M. </w:t>
      </w:r>
      <w:r w:rsidR="000C09DF" w:rsidRPr="000E2B76">
        <w:rPr>
          <w:rFonts w:cs="Times New Roman"/>
          <w:szCs w:val="24"/>
        </w:rPr>
        <w:t xml:space="preserve">(2012). </w:t>
      </w:r>
      <w:r w:rsidR="00D856C0">
        <w:rPr>
          <w:rFonts w:cs="Times New Roman"/>
          <w:szCs w:val="24"/>
          <w:lang w:val="en-US"/>
        </w:rPr>
        <w:t>“</w:t>
      </w:r>
      <w:r w:rsidR="000C09DF" w:rsidRPr="000C09DF">
        <w:rPr>
          <w:rFonts w:cs="Times New Roman"/>
          <w:szCs w:val="24"/>
          <w:lang w:val="en-US"/>
        </w:rPr>
        <w:t>A preliminary theory of informal accountability among network organizational actors</w:t>
      </w:r>
      <w:r w:rsidR="00D856C0">
        <w:rPr>
          <w:rFonts w:cs="Times New Roman"/>
          <w:szCs w:val="24"/>
          <w:lang w:val="en-US"/>
        </w:rPr>
        <w:t>”</w:t>
      </w:r>
      <w:r w:rsidR="000C09DF" w:rsidRPr="000C09DF">
        <w:rPr>
          <w:rFonts w:cs="Times New Roman"/>
          <w:szCs w:val="24"/>
          <w:lang w:val="en-US"/>
        </w:rPr>
        <w:t xml:space="preserve">. Public Administration Review, 72(3), 442-453. </w:t>
      </w:r>
    </w:p>
    <w:p w14:paraId="5990D55F" w14:textId="77777777" w:rsidR="00D568DE" w:rsidRDefault="00D568DE" w:rsidP="00594C4A">
      <w:pPr>
        <w:spacing w:after="240"/>
        <w:rPr>
          <w:rFonts w:cs="Times New Roman"/>
          <w:szCs w:val="24"/>
          <w:lang w:val="en-US"/>
        </w:rPr>
      </w:pPr>
      <w:r w:rsidRPr="00701CF7">
        <w:rPr>
          <w:rFonts w:cs="Times New Roman"/>
          <w:caps/>
          <w:szCs w:val="24"/>
          <w:lang w:val="en-US"/>
        </w:rPr>
        <w:t>Schedler,</w:t>
      </w:r>
      <w:r w:rsidRPr="00701CF7">
        <w:rPr>
          <w:rFonts w:cs="Times New Roman"/>
          <w:szCs w:val="24"/>
          <w:lang w:val="en-US"/>
        </w:rPr>
        <w:t xml:space="preserve"> A. (1999). Conceptualizing </w:t>
      </w:r>
      <w:r w:rsidR="008B0A07" w:rsidRPr="00D856C0">
        <w:rPr>
          <w:rFonts w:cs="Times New Roman"/>
          <w:szCs w:val="24"/>
          <w:lang w:val="en-US"/>
        </w:rPr>
        <w:t>Accountability</w:t>
      </w:r>
      <w:r w:rsidR="008B0A07" w:rsidRPr="00701CF7">
        <w:rPr>
          <w:rFonts w:cs="Times New Roman"/>
          <w:szCs w:val="24"/>
          <w:lang w:val="en-US"/>
        </w:rPr>
        <w:t xml:space="preserve">. </w:t>
      </w:r>
      <w:r w:rsidRPr="00701CF7">
        <w:rPr>
          <w:rFonts w:cs="Times New Roman"/>
          <w:szCs w:val="24"/>
          <w:lang w:val="en-US"/>
        </w:rPr>
        <w:t xml:space="preserve">In: A. Schedler, L. Diamond, &amp; M. Plattner, (Ed.) Self­Restraining State – </w:t>
      </w:r>
      <w:r w:rsidRPr="00D856C0">
        <w:rPr>
          <w:rFonts w:cs="Times New Roman"/>
          <w:i/>
          <w:szCs w:val="24"/>
          <w:lang w:val="en-US"/>
        </w:rPr>
        <w:t>Power and Accountability in New Democracies. Boulder</w:t>
      </w:r>
      <w:r w:rsidRPr="00D568DE">
        <w:rPr>
          <w:rFonts w:cs="Times New Roman"/>
          <w:b/>
          <w:szCs w:val="24"/>
          <w:lang w:val="en-US"/>
        </w:rPr>
        <w:t>:</w:t>
      </w:r>
      <w:r w:rsidRPr="00D568DE">
        <w:rPr>
          <w:rFonts w:cs="Times New Roman"/>
          <w:szCs w:val="24"/>
          <w:lang w:val="en-US"/>
        </w:rPr>
        <w:t xml:space="preserve"> Lynne Rienner Publishers.</w:t>
      </w:r>
    </w:p>
    <w:p w14:paraId="24568763" w14:textId="77777777" w:rsidR="000C09DF" w:rsidRDefault="00D568DE" w:rsidP="00594C4A">
      <w:pPr>
        <w:spacing w:after="240"/>
        <w:rPr>
          <w:rFonts w:cs="Times New Roman"/>
          <w:szCs w:val="24"/>
        </w:rPr>
      </w:pPr>
      <w:r w:rsidRPr="00701CF7">
        <w:rPr>
          <w:rFonts w:cs="Times New Roman"/>
          <w:szCs w:val="24"/>
          <w:lang w:val="en-US"/>
        </w:rPr>
        <w:lastRenderedPageBreak/>
        <w:t xml:space="preserve">TAYLOR, Matthew M.; BURANELLI, Vinícius C. </w:t>
      </w:r>
      <w:r w:rsidR="000C09DF" w:rsidRPr="000C09DF">
        <w:rPr>
          <w:rFonts w:cs="Times New Roman"/>
          <w:szCs w:val="24"/>
          <w:lang w:val="en-US"/>
        </w:rPr>
        <w:t xml:space="preserve">(2007). </w:t>
      </w:r>
      <w:r w:rsidR="000C09DF">
        <w:rPr>
          <w:rFonts w:cs="Times New Roman"/>
          <w:szCs w:val="24"/>
          <w:lang w:val="en-US"/>
        </w:rPr>
        <w:t>“</w:t>
      </w:r>
      <w:r w:rsidR="000C09DF" w:rsidRPr="000C09DF">
        <w:rPr>
          <w:rFonts w:cs="Times New Roman"/>
          <w:szCs w:val="24"/>
          <w:lang w:val="en-US"/>
        </w:rPr>
        <w:t>Ending up in pizza: accountability as a problem of institutional arrangement in Brazil</w:t>
      </w:r>
      <w:r w:rsidR="000C09DF">
        <w:rPr>
          <w:rFonts w:cs="Times New Roman"/>
          <w:szCs w:val="24"/>
          <w:lang w:val="en-US"/>
        </w:rPr>
        <w:t>”</w:t>
      </w:r>
      <w:r w:rsidR="000C09DF" w:rsidRPr="000C09DF">
        <w:rPr>
          <w:rFonts w:cs="Times New Roman"/>
          <w:szCs w:val="24"/>
          <w:lang w:val="en-US"/>
        </w:rPr>
        <w:t xml:space="preserve">. </w:t>
      </w:r>
      <w:r w:rsidR="000C09DF" w:rsidRPr="000C09DF">
        <w:rPr>
          <w:rFonts w:cs="Times New Roman"/>
          <w:szCs w:val="24"/>
        </w:rPr>
        <w:t xml:space="preserve">Latin American Politics and Society, 49(1), 59-87. </w:t>
      </w:r>
    </w:p>
    <w:p w14:paraId="2694ADB1" w14:textId="77777777" w:rsidR="000C09DF" w:rsidRPr="000C09DF" w:rsidRDefault="00D568DE" w:rsidP="00594C4A">
      <w:pPr>
        <w:spacing w:after="240"/>
        <w:rPr>
          <w:rFonts w:cs="Times New Roman"/>
          <w:szCs w:val="24"/>
          <w:lang w:val="en-US"/>
        </w:rPr>
      </w:pPr>
      <w:r w:rsidRPr="000C09DF">
        <w:rPr>
          <w:rFonts w:cs="Times New Roman"/>
          <w:szCs w:val="24"/>
        </w:rPr>
        <w:t xml:space="preserve">TROSA, S. </w:t>
      </w:r>
      <w:r w:rsidR="000C09DF" w:rsidRPr="000C09DF">
        <w:rPr>
          <w:rFonts w:cs="Times New Roman"/>
          <w:szCs w:val="24"/>
        </w:rPr>
        <w:t xml:space="preserve">(2001). </w:t>
      </w:r>
      <w:r w:rsidR="000C09DF" w:rsidRPr="000C09DF">
        <w:rPr>
          <w:rFonts w:cs="Times New Roman"/>
          <w:i/>
          <w:szCs w:val="24"/>
        </w:rPr>
        <w:t>Gestão pública por resultados: quando o Estado se compromete</w:t>
      </w:r>
      <w:r w:rsidR="000C09DF" w:rsidRPr="000C09DF">
        <w:rPr>
          <w:rFonts w:cs="Times New Roman"/>
          <w:szCs w:val="24"/>
        </w:rPr>
        <w:t xml:space="preserve">. </w:t>
      </w:r>
      <w:r w:rsidR="000C09DF" w:rsidRPr="000C09DF">
        <w:rPr>
          <w:rFonts w:cs="Times New Roman"/>
          <w:szCs w:val="24"/>
          <w:lang w:val="en-US"/>
        </w:rPr>
        <w:t xml:space="preserve">Revan. </w:t>
      </w:r>
    </w:p>
    <w:p w14:paraId="30D83924" w14:textId="77777777" w:rsidR="00D568DE" w:rsidRPr="00701CF7" w:rsidRDefault="00D568DE" w:rsidP="00594C4A">
      <w:pPr>
        <w:spacing w:after="240"/>
        <w:rPr>
          <w:rFonts w:cs="Times New Roman"/>
          <w:szCs w:val="24"/>
          <w:lang w:val="en-US"/>
        </w:rPr>
      </w:pPr>
      <w:r w:rsidRPr="00701CF7">
        <w:rPr>
          <w:rFonts w:cs="Times New Roman"/>
          <w:szCs w:val="24"/>
          <w:lang w:val="en-US"/>
        </w:rPr>
        <w:t xml:space="preserve">WILLIAMSON, O. E. </w:t>
      </w:r>
      <w:r w:rsidR="000C09DF" w:rsidRPr="000C09DF">
        <w:rPr>
          <w:rFonts w:cs="Times New Roman"/>
          <w:szCs w:val="24"/>
          <w:lang w:val="en-US"/>
        </w:rPr>
        <w:t xml:space="preserve">(1979). </w:t>
      </w:r>
      <w:r w:rsidR="000C09DF">
        <w:rPr>
          <w:rFonts w:cs="Times New Roman"/>
          <w:szCs w:val="24"/>
          <w:lang w:val="en-US"/>
        </w:rPr>
        <w:t>“</w:t>
      </w:r>
      <w:r w:rsidR="000C09DF" w:rsidRPr="000C09DF">
        <w:rPr>
          <w:rFonts w:cs="Times New Roman"/>
          <w:szCs w:val="24"/>
          <w:lang w:val="en-US"/>
        </w:rPr>
        <w:t>Transaction-cost economics: the governance of contractual relations</w:t>
      </w:r>
      <w:r w:rsidR="000C09DF">
        <w:rPr>
          <w:rFonts w:cs="Times New Roman"/>
          <w:szCs w:val="24"/>
          <w:lang w:val="en-US"/>
        </w:rPr>
        <w:t>”</w:t>
      </w:r>
      <w:r w:rsidR="000C09DF" w:rsidRPr="000C09DF">
        <w:rPr>
          <w:rFonts w:cs="Times New Roman"/>
          <w:szCs w:val="24"/>
          <w:lang w:val="en-US"/>
        </w:rPr>
        <w:t>. The journal of law &amp; economics, 22(2), 233-261.</w:t>
      </w:r>
    </w:p>
    <w:p w14:paraId="7214EBBF" w14:textId="77777777" w:rsidR="00D568DE" w:rsidRPr="000C09DF" w:rsidRDefault="00D568DE" w:rsidP="00594C4A">
      <w:pPr>
        <w:spacing w:after="240"/>
        <w:rPr>
          <w:rFonts w:cs="Times New Roman"/>
          <w:szCs w:val="24"/>
          <w:lang w:val="en-US"/>
        </w:rPr>
      </w:pPr>
      <w:r w:rsidRPr="000C09DF">
        <w:rPr>
          <w:rFonts w:cs="Times New Roman"/>
          <w:szCs w:val="24"/>
          <w:lang w:val="en-US"/>
        </w:rPr>
        <w:t xml:space="preserve">WILLIAMSON, O. E. </w:t>
      </w:r>
      <w:r w:rsidR="000C09DF" w:rsidRPr="000C09DF">
        <w:rPr>
          <w:rFonts w:cs="Times New Roman"/>
          <w:szCs w:val="24"/>
          <w:lang w:val="en-US"/>
        </w:rPr>
        <w:t xml:space="preserve">(1985). </w:t>
      </w:r>
      <w:r w:rsidR="000C09DF" w:rsidRPr="000C09DF">
        <w:rPr>
          <w:rFonts w:cs="Times New Roman"/>
          <w:i/>
          <w:szCs w:val="24"/>
          <w:lang w:val="en-US"/>
        </w:rPr>
        <w:t>The Economic Institutions of Capitalism Firms Markets Relational Contracting</w:t>
      </w:r>
      <w:r w:rsidR="000C09DF" w:rsidRPr="000C09DF">
        <w:rPr>
          <w:rFonts w:cs="Times New Roman"/>
          <w:szCs w:val="24"/>
          <w:lang w:val="en-US"/>
        </w:rPr>
        <w:t>. New York: The Free Press.</w:t>
      </w:r>
    </w:p>
    <w:p w14:paraId="27A4FE24" w14:textId="77777777" w:rsidR="009C5E4D" w:rsidRPr="00FB7C0C" w:rsidRDefault="00D568DE" w:rsidP="00594C4A">
      <w:pPr>
        <w:pStyle w:val="Normal1"/>
        <w:spacing w:after="240"/>
        <w:rPr>
          <w:lang w:val="en-US"/>
        </w:rPr>
      </w:pPr>
      <w:r w:rsidRPr="00701CF7">
        <w:rPr>
          <w:lang w:val="en-US"/>
        </w:rPr>
        <w:t xml:space="preserve">WILLIAMSON, </w:t>
      </w:r>
      <w:r w:rsidR="00D856C0">
        <w:rPr>
          <w:lang w:val="en-US"/>
        </w:rPr>
        <w:t xml:space="preserve">O. E. </w:t>
      </w:r>
      <w:r w:rsidR="00D856C0" w:rsidRPr="00D856C0">
        <w:rPr>
          <w:lang w:val="en-US"/>
        </w:rPr>
        <w:t xml:space="preserve">(2000). </w:t>
      </w:r>
      <w:r w:rsidR="00D856C0">
        <w:rPr>
          <w:lang w:val="en-US"/>
        </w:rPr>
        <w:t>“</w:t>
      </w:r>
      <w:r w:rsidR="00D856C0" w:rsidRPr="00D856C0">
        <w:rPr>
          <w:lang w:val="en-US"/>
        </w:rPr>
        <w:t>The new institutional economics: taking stock, looking ahead</w:t>
      </w:r>
      <w:r w:rsidR="00D856C0">
        <w:rPr>
          <w:lang w:val="en-US"/>
        </w:rPr>
        <w:t>”</w:t>
      </w:r>
      <w:r w:rsidR="00D856C0" w:rsidRPr="00D856C0">
        <w:rPr>
          <w:lang w:val="en-US"/>
        </w:rPr>
        <w:t>. Journal of economic literature, 38(3), 595-613.</w:t>
      </w:r>
    </w:p>
    <w:p w14:paraId="7FB67960" w14:textId="77777777" w:rsidR="00263FF8" w:rsidRPr="00FB7C0C" w:rsidRDefault="00263FF8">
      <w:pPr>
        <w:rPr>
          <w:lang w:val="en-US"/>
        </w:rPr>
      </w:pPr>
    </w:p>
    <w:sectPr w:rsidR="00263FF8" w:rsidRPr="00FB7C0C" w:rsidSect="00692A7F">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2DF4" w14:textId="77777777" w:rsidR="00801D09" w:rsidRDefault="00801D09" w:rsidP="009C5E4D">
      <w:pPr>
        <w:spacing w:after="0"/>
      </w:pPr>
      <w:r>
        <w:separator/>
      </w:r>
    </w:p>
  </w:endnote>
  <w:endnote w:type="continuationSeparator" w:id="0">
    <w:p w14:paraId="1761F403" w14:textId="77777777" w:rsidR="00801D09" w:rsidRDefault="00801D09" w:rsidP="009C5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731994"/>
      <w:docPartObj>
        <w:docPartGallery w:val="Page Numbers (Bottom of Page)"/>
        <w:docPartUnique/>
      </w:docPartObj>
    </w:sdtPr>
    <w:sdtEndPr>
      <w:rPr>
        <w:sz w:val="20"/>
        <w:szCs w:val="20"/>
      </w:rPr>
    </w:sdtEndPr>
    <w:sdtContent>
      <w:p w14:paraId="61DC10F3" w14:textId="0BF4DA10" w:rsidR="00692A7F" w:rsidRPr="00692A7F" w:rsidRDefault="00692A7F">
        <w:pPr>
          <w:pStyle w:val="Rodap"/>
          <w:jc w:val="right"/>
          <w:rPr>
            <w:sz w:val="20"/>
            <w:szCs w:val="20"/>
          </w:rPr>
        </w:pPr>
        <w:r w:rsidRPr="00692A7F">
          <w:rPr>
            <w:sz w:val="20"/>
            <w:szCs w:val="20"/>
          </w:rPr>
          <w:fldChar w:fldCharType="begin"/>
        </w:r>
        <w:r w:rsidRPr="00692A7F">
          <w:rPr>
            <w:sz w:val="20"/>
            <w:szCs w:val="20"/>
          </w:rPr>
          <w:instrText>PAGE   \* MERGEFORMAT</w:instrText>
        </w:r>
        <w:r w:rsidRPr="00692A7F">
          <w:rPr>
            <w:sz w:val="20"/>
            <w:szCs w:val="20"/>
          </w:rPr>
          <w:fldChar w:fldCharType="separate"/>
        </w:r>
        <w:r w:rsidR="006B37CE">
          <w:rPr>
            <w:noProof/>
            <w:sz w:val="20"/>
            <w:szCs w:val="20"/>
          </w:rPr>
          <w:t>1</w:t>
        </w:r>
        <w:r w:rsidRPr="00692A7F">
          <w:rPr>
            <w:sz w:val="20"/>
            <w:szCs w:val="20"/>
          </w:rPr>
          <w:fldChar w:fldCharType="end"/>
        </w:r>
      </w:p>
    </w:sdtContent>
  </w:sdt>
  <w:p w14:paraId="59DB6D2B" w14:textId="77777777" w:rsidR="00692A7F" w:rsidRDefault="00692A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F7568" w14:textId="77777777" w:rsidR="00801D09" w:rsidRDefault="00801D09" w:rsidP="009C5E4D">
      <w:pPr>
        <w:spacing w:after="0"/>
      </w:pPr>
      <w:r>
        <w:separator/>
      </w:r>
    </w:p>
  </w:footnote>
  <w:footnote w:type="continuationSeparator" w:id="0">
    <w:p w14:paraId="5D950F6D" w14:textId="77777777" w:rsidR="00801D09" w:rsidRDefault="00801D09" w:rsidP="009C5E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1607B"/>
    <w:multiLevelType w:val="multilevel"/>
    <w:tmpl w:val="AF7808D4"/>
    <w:lvl w:ilvl="0">
      <w:start w:val="3"/>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768265A"/>
    <w:multiLevelType w:val="multilevel"/>
    <w:tmpl w:val="D6760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4F7155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F23EB4"/>
    <w:multiLevelType w:val="hybridMultilevel"/>
    <w:tmpl w:val="F5D8F9C8"/>
    <w:lvl w:ilvl="0" w:tplc="04160001">
      <w:start w:val="1"/>
      <w:numFmt w:val="bullet"/>
      <w:lvlText w:val=""/>
      <w:lvlJc w:val="left"/>
      <w:pPr>
        <w:ind w:left="380" w:hanging="360"/>
      </w:pPr>
      <w:rPr>
        <w:rFonts w:ascii="Symbol" w:hAnsi="Symbol" w:hint="default"/>
      </w:rPr>
    </w:lvl>
    <w:lvl w:ilvl="1" w:tplc="04160003" w:tentative="1">
      <w:start w:val="1"/>
      <w:numFmt w:val="bullet"/>
      <w:lvlText w:val="o"/>
      <w:lvlJc w:val="left"/>
      <w:pPr>
        <w:ind w:left="1100" w:hanging="360"/>
      </w:pPr>
      <w:rPr>
        <w:rFonts w:ascii="Courier New" w:hAnsi="Courier New" w:cs="Courier New" w:hint="default"/>
      </w:rPr>
    </w:lvl>
    <w:lvl w:ilvl="2" w:tplc="04160005" w:tentative="1">
      <w:start w:val="1"/>
      <w:numFmt w:val="bullet"/>
      <w:lvlText w:val=""/>
      <w:lvlJc w:val="left"/>
      <w:pPr>
        <w:ind w:left="1820" w:hanging="360"/>
      </w:pPr>
      <w:rPr>
        <w:rFonts w:ascii="Wingdings" w:hAnsi="Wingdings" w:hint="default"/>
      </w:rPr>
    </w:lvl>
    <w:lvl w:ilvl="3" w:tplc="04160001" w:tentative="1">
      <w:start w:val="1"/>
      <w:numFmt w:val="bullet"/>
      <w:lvlText w:val=""/>
      <w:lvlJc w:val="left"/>
      <w:pPr>
        <w:ind w:left="2540" w:hanging="360"/>
      </w:pPr>
      <w:rPr>
        <w:rFonts w:ascii="Symbol" w:hAnsi="Symbol" w:hint="default"/>
      </w:rPr>
    </w:lvl>
    <w:lvl w:ilvl="4" w:tplc="04160003" w:tentative="1">
      <w:start w:val="1"/>
      <w:numFmt w:val="bullet"/>
      <w:lvlText w:val="o"/>
      <w:lvlJc w:val="left"/>
      <w:pPr>
        <w:ind w:left="3260" w:hanging="360"/>
      </w:pPr>
      <w:rPr>
        <w:rFonts w:ascii="Courier New" w:hAnsi="Courier New" w:cs="Courier New" w:hint="default"/>
      </w:rPr>
    </w:lvl>
    <w:lvl w:ilvl="5" w:tplc="04160005" w:tentative="1">
      <w:start w:val="1"/>
      <w:numFmt w:val="bullet"/>
      <w:lvlText w:val=""/>
      <w:lvlJc w:val="left"/>
      <w:pPr>
        <w:ind w:left="3980" w:hanging="360"/>
      </w:pPr>
      <w:rPr>
        <w:rFonts w:ascii="Wingdings" w:hAnsi="Wingdings" w:hint="default"/>
      </w:rPr>
    </w:lvl>
    <w:lvl w:ilvl="6" w:tplc="04160001" w:tentative="1">
      <w:start w:val="1"/>
      <w:numFmt w:val="bullet"/>
      <w:lvlText w:val=""/>
      <w:lvlJc w:val="left"/>
      <w:pPr>
        <w:ind w:left="4700" w:hanging="360"/>
      </w:pPr>
      <w:rPr>
        <w:rFonts w:ascii="Symbol" w:hAnsi="Symbol" w:hint="default"/>
      </w:rPr>
    </w:lvl>
    <w:lvl w:ilvl="7" w:tplc="04160003" w:tentative="1">
      <w:start w:val="1"/>
      <w:numFmt w:val="bullet"/>
      <w:lvlText w:val="o"/>
      <w:lvlJc w:val="left"/>
      <w:pPr>
        <w:ind w:left="5420" w:hanging="360"/>
      </w:pPr>
      <w:rPr>
        <w:rFonts w:ascii="Courier New" w:hAnsi="Courier New" w:cs="Courier New" w:hint="default"/>
      </w:rPr>
    </w:lvl>
    <w:lvl w:ilvl="8" w:tplc="04160005" w:tentative="1">
      <w:start w:val="1"/>
      <w:numFmt w:val="bullet"/>
      <w:lvlText w:val=""/>
      <w:lvlJc w:val="left"/>
      <w:pPr>
        <w:ind w:left="61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53"/>
    <w:rsid w:val="000339F1"/>
    <w:rsid w:val="00055C33"/>
    <w:rsid w:val="000C09DF"/>
    <w:rsid w:val="000D519E"/>
    <w:rsid w:val="000E2B76"/>
    <w:rsid w:val="001B173E"/>
    <w:rsid w:val="0023349F"/>
    <w:rsid w:val="00245FFE"/>
    <w:rsid w:val="00263FF8"/>
    <w:rsid w:val="002A2CFF"/>
    <w:rsid w:val="002A42C3"/>
    <w:rsid w:val="002B5A02"/>
    <w:rsid w:val="003766BE"/>
    <w:rsid w:val="003C6E12"/>
    <w:rsid w:val="003F43AD"/>
    <w:rsid w:val="004235B3"/>
    <w:rsid w:val="004434B7"/>
    <w:rsid w:val="00443F94"/>
    <w:rsid w:val="0046404A"/>
    <w:rsid w:val="004845A8"/>
    <w:rsid w:val="0048520B"/>
    <w:rsid w:val="005269FC"/>
    <w:rsid w:val="00584B04"/>
    <w:rsid w:val="00594C4A"/>
    <w:rsid w:val="005C3865"/>
    <w:rsid w:val="00673650"/>
    <w:rsid w:val="00692A7F"/>
    <w:rsid w:val="006B37CE"/>
    <w:rsid w:val="007056A7"/>
    <w:rsid w:val="00771254"/>
    <w:rsid w:val="00771A82"/>
    <w:rsid w:val="00801D09"/>
    <w:rsid w:val="008A41F0"/>
    <w:rsid w:val="008A5D35"/>
    <w:rsid w:val="008B0A07"/>
    <w:rsid w:val="008C0153"/>
    <w:rsid w:val="008C64A9"/>
    <w:rsid w:val="008E1ABF"/>
    <w:rsid w:val="00900A7B"/>
    <w:rsid w:val="009113FB"/>
    <w:rsid w:val="00956C75"/>
    <w:rsid w:val="00976D71"/>
    <w:rsid w:val="009B2C1E"/>
    <w:rsid w:val="009C5E4D"/>
    <w:rsid w:val="009F0CA9"/>
    <w:rsid w:val="00A074CA"/>
    <w:rsid w:val="00A6029C"/>
    <w:rsid w:val="00AA754E"/>
    <w:rsid w:val="00AF05BE"/>
    <w:rsid w:val="00B03353"/>
    <w:rsid w:val="00B06A71"/>
    <w:rsid w:val="00B17B54"/>
    <w:rsid w:val="00B7717C"/>
    <w:rsid w:val="00BD4106"/>
    <w:rsid w:val="00BD45BE"/>
    <w:rsid w:val="00C6065A"/>
    <w:rsid w:val="00C93102"/>
    <w:rsid w:val="00CC51E5"/>
    <w:rsid w:val="00CD037B"/>
    <w:rsid w:val="00CF478E"/>
    <w:rsid w:val="00D568DE"/>
    <w:rsid w:val="00D63F65"/>
    <w:rsid w:val="00D856C0"/>
    <w:rsid w:val="00D877C6"/>
    <w:rsid w:val="00DA10AC"/>
    <w:rsid w:val="00E14E52"/>
    <w:rsid w:val="00E2762E"/>
    <w:rsid w:val="00E36A67"/>
    <w:rsid w:val="00E50FB1"/>
    <w:rsid w:val="00EB2AA5"/>
    <w:rsid w:val="00EC537F"/>
    <w:rsid w:val="00F2141F"/>
    <w:rsid w:val="00FB7C0C"/>
    <w:rsid w:val="00FC1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C32C"/>
  <w15:docId w15:val="{A113D701-D945-4553-AFF7-A9F92359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4D"/>
    <w:pPr>
      <w:spacing w:after="200" w:line="240" w:lineRule="auto"/>
    </w:pPr>
    <w:rPr>
      <w:rFonts w:ascii="Times New Roman" w:hAnsi="Times New Roman"/>
      <w:sz w:val="24"/>
    </w:rPr>
  </w:style>
  <w:style w:type="paragraph" w:styleId="Ttulo2">
    <w:name w:val="heading 2"/>
    <w:aliases w:val="Título &quot;1&quot;"/>
    <w:basedOn w:val="Normal"/>
    <w:next w:val="Normal"/>
    <w:link w:val="Ttulo2Char"/>
    <w:uiPriority w:val="9"/>
    <w:unhideWhenUsed/>
    <w:qFormat/>
    <w:rsid w:val="009C5E4D"/>
    <w:pPr>
      <w:keepNext/>
      <w:keepLines/>
      <w:spacing w:after="0" w:line="360" w:lineRule="auto"/>
      <w:outlineLvl w:val="1"/>
    </w:pPr>
    <w:rPr>
      <w:rFonts w:ascii="Arial" w:eastAsiaTheme="majorEastAsia" w:hAnsi="Arial" w:cstheme="majorBidi"/>
      <w:b/>
      <w:bCs/>
      <w:szCs w:val="26"/>
    </w:rPr>
  </w:style>
  <w:style w:type="paragraph" w:styleId="Ttulo3">
    <w:name w:val="heading 3"/>
    <w:aliases w:val="Título &quot;2&quot;"/>
    <w:basedOn w:val="Normal"/>
    <w:next w:val="Normal"/>
    <w:link w:val="Ttulo3Char"/>
    <w:autoRedefine/>
    <w:uiPriority w:val="9"/>
    <w:unhideWhenUsed/>
    <w:qFormat/>
    <w:rsid w:val="009C5E4D"/>
    <w:pPr>
      <w:keepNext/>
      <w:keepLines/>
      <w:numPr>
        <w:ilvl w:val="2"/>
        <w:numId w:val="2"/>
      </w:numPr>
      <w:spacing w:before="200" w:after="0" w:line="360" w:lineRule="auto"/>
      <w:outlineLvl w:val="2"/>
    </w:pPr>
    <w:rPr>
      <w:rFonts w:eastAsiaTheme="majorEastAsia" w:cstheme="majorBidi"/>
      <w:b/>
      <w:bCs/>
    </w:rPr>
  </w:style>
  <w:style w:type="paragraph" w:styleId="Ttulo4">
    <w:name w:val="heading 4"/>
    <w:basedOn w:val="Normal"/>
    <w:next w:val="Normal"/>
    <w:link w:val="Ttulo4Char"/>
    <w:uiPriority w:val="9"/>
    <w:semiHidden/>
    <w:unhideWhenUsed/>
    <w:qFormat/>
    <w:rsid w:val="009C5E4D"/>
    <w:pPr>
      <w:keepNext/>
      <w:keepLines/>
      <w:numPr>
        <w:ilvl w:val="3"/>
        <w:numId w:val="2"/>
      </w:numPr>
      <w:spacing w:before="200" w:after="0" w:line="360" w:lineRule="auto"/>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9C5E4D"/>
    <w:pPr>
      <w:keepNext/>
      <w:keepLines/>
      <w:numPr>
        <w:ilvl w:val="4"/>
        <w:numId w:val="2"/>
      </w:numPr>
      <w:spacing w:before="200" w:after="0" w:line="360" w:lineRule="auto"/>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9C5E4D"/>
    <w:pPr>
      <w:keepNext/>
      <w:keepLines/>
      <w:numPr>
        <w:ilvl w:val="5"/>
        <w:numId w:val="2"/>
      </w:numPr>
      <w:spacing w:before="200" w:after="0" w:line="360"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semiHidden/>
    <w:unhideWhenUsed/>
    <w:qFormat/>
    <w:rsid w:val="009C5E4D"/>
    <w:pPr>
      <w:keepNext/>
      <w:keepLines/>
      <w:numPr>
        <w:ilvl w:val="6"/>
        <w:numId w:val="2"/>
      </w:numPr>
      <w:spacing w:before="200" w:after="0" w:line="36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C5E4D"/>
    <w:pPr>
      <w:keepNext/>
      <w:keepLines/>
      <w:numPr>
        <w:ilvl w:val="7"/>
        <w:numId w:val="2"/>
      </w:numPr>
      <w:spacing w:before="200" w:after="0" w:line="36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C5E4D"/>
    <w:pPr>
      <w:keepNext/>
      <w:keepLines/>
      <w:numPr>
        <w:ilvl w:val="8"/>
        <w:numId w:val="2"/>
      </w:numPr>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Título &quot;1&quot; Char"/>
    <w:basedOn w:val="Fontepargpadro"/>
    <w:link w:val="Ttulo2"/>
    <w:uiPriority w:val="9"/>
    <w:rsid w:val="009C5E4D"/>
    <w:rPr>
      <w:rFonts w:ascii="Arial" w:eastAsiaTheme="majorEastAsia" w:hAnsi="Arial" w:cstheme="majorBidi"/>
      <w:b/>
      <w:bCs/>
      <w:sz w:val="24"/>
      <w:szCs w:val="26"/>
    </w:rPr>
  </w:style>
  <w:style w:type="paragraph" w:styleId="Textodenotaderodap">
    <w:name w:val="footnote text"/>
    <w:basedOn w:val="Normal"/>
    <w:link w:val="TextodenotaderodapChar"/>
    <w:uiPriority w:val="99"/>
    <w:semiHidden/>
    <w:unhideWhenUsed/>
    <w:rsid w:val="009C5E4D"/>
    <w:pPr>
      <w:spacing w:after="0"/>
    </w:pPr>
    <w:rPr>
      <w:sz w:val="20"/>
      <w:szCs w:val="20"/>
    </w:rPr>
  </w:style>
  <w:style w:type="character" w:customStyle="1" w:styleId="TextodenotaderodapChar">
    <w:name w:val="Texto de nota de rodapé Char"/>
    <w:basedOn w:val="Fontepargpadro"/>
    <w:link w:val="Textodenotaderodap"/>
    <w:uiPriority w:val="99"/>
    <w:semiHidden/>
    <w:rsid w:val="009C5E4D"/>
    <w:rPr>
      <w:rFonts w:ascii="Times New Roman" w:hAnsi="Times New Roman"/>
      <w:sz w:val="20"/>
      <w:szCs w:val="20"/>
    </w:rPr>
  </w:style>
  <w:style w:type="character" w:styleId="Refdenotaderodap">
    <w:name w:val="footnote reference"/>
    <w:basedOn w:val="Fontepargpadro"/>
    <w:uiPriority w:val="99"/>
    <w:semiHidden/>
    <w:unhideWhenUsed/>
    <w:rsid w:val="009C5E4D"/>
    <w:rPr>
      <w:vertAlign w:val="superscript"/>
    </w:rPr>
  </w:style>
  <w:style w:type="character" w:customStyle="1" w:styleId="Ttulo3Char">
    <w:name w:val="Título 3 Char"/>
    <w:aliases w:val="Título &quot;2&quot; Char"/>
    <w:basedOn w:val="Fontepargpadro"/>
    <w:link w:val="Ttulo3"/>
    <w:uiPriority w:val="9"/>
    <w:rsid w:val="009C5E4D"/>
    <w:rPr>
      <w:rFonts w:ascii="Times New Roman" w:eastAsiaTheme="majorEastAsia" w:hAnsi="Times New Roman" w:cstheme="majorBidi"/>
      <w:b/>
      <w:bCs/>
      <w:sz w:val="24"/>
    </w:rPr>
  </w:style>
  <w:style w:type="character" w:customStyle="1" w:styleId="Ttulo4Char">
    <w:name w:val="Título 4 Char"/>
    <w:basedOn w:val="Fontepargpadro"/>
    <w:link w:val="Ttulo4"/>
    <w:uiPriority w:val="9"/>
    <w:semiHidden/>
    <w:rsid w:val="009C5E4D"/>
    <w:rPr>
      <w:rFonts w:asciiTheme="majorHAnsi" w:eastAsiaTheme="majorEastAsia" w:hAnsiTheme="majorHAnsi" w:cstheme="majorBidi"/>
      <w:b/>
      <w:bCs/>
      <w:i/>
      <w:iCs/>
      <w:color w:val="5B9BD5" w:themeColor="accent1"/>
      <w:sz w:val="24"/>
    </w:rPr>
  </w:style>
  <w:style w:type="character" w:customStyle="1" w:styleId="Ttulo5Char">
    <w:name w:val="Título 5 Char"/>
    <w:basedOn w:val="Fontepargpadro"/>
    <w:link w:val="Ttulo5"/>
    <w:uiPriority w:val="9"/>
    <w:semiHidden/>
    <w:rsid w:val="009C5E4D"/>
    <w:rPr>
      <w:rFonts w:asciiTheme="majorHAnsi" w:eastAsiaTheme="majorEastAsia" w:hAnsiTheme="majorHAnsi" w:cstheme="majorBidi"/>
      <w:color w:val="1F4D78" w:themeColor="accent1" w:themeShade="7F"/>
      <w:sz w:val="24"/>
    </w:rPr>
  </w:style>
  <w:style w:type="character" w:customStyle="1" w:styleId="Ttulo6Char">
    <w:name w:val="Título 6 Char"/>
    <w:basedOn w:val="Fontepargpadro"/>
    <w:link w:val="Ttulo6"/>
    <w:rsid w:val="009C5E4D"/>
    <w:rPr>
      <w:rFonts w:asciiTheme="majorHAnsi" w:eastAsiaTheme="majorEastAsia" w:hAnsiTheme="majorHAnsi" w:cstheme="majorBidi"/>
      <w:i/>
      <w:iCs/>
      <w:color w:val="1F4D78" w:themeColor="accent1" w:themeShade="7F"/>
      <w:sz w:val="24"/>
    </w:rPr>
  </w:style>
  <w:style w:type="character" w:customStyle="1" w:styleId="Ttulo7Char">
    <w:name w:val="Título 7 Char"/>
    <w:basedOn w:val="Fontepargpadro"/>
    <w:link w:val="Ttulo7"/>
    <w:uiPriority w:val="9"/>
    <w:semiHidden/>
    <w:rsid w:val="009C5E4D"/>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9C5E4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9C5E4D"/>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Fontepargpadro"/>
    <w:rsid w:val="009C5E4D"/>
  </w:style>
  <w:style w:type="paragraph" w:styleId="PargrafodaLista">
    <w:name w:val="List Paragraph"/>
    <w:basedOn w:val="Normal"/>
    <w:uiPriority w:val="34"/>
    <w:qFormat/>
    <w:rsid w:val="009C5E4D"/>
    <w:pPr>
      <w:ind w:left="720"/>
      <w:contextualSpacing/>
    </w:pPr>
  </w:style>
  <w:style w:type="table" w:styleId="Tabelacomgrade">
    <w:name w:val="Table Grid"/>
    <w:basedOn w:val="Tabelanormal"/>
    <w:uiPriority w:val="59"/>
    <w:rsid w:val="009C5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EC537F"/>
    <w:pPr>
      <w:suppressAutoHyphens/>
      <w:autoSpaceDE w:val="0"/>
      <w:spacing w:after="0" w:line="240" w:lineRule="auto"/>
    </w:pPr>
    <w:rPr>
      <w:rFonts w:ascii="Times New Roman" w:eastAsia="Times New Roman" w:hAnsi="Times New Roman" w:cs="Times New Roman"/>
      <w:color w:val="000000"/>
      <w:sz w:val="24"/>
      <w:szCs w:val="24"/>
      <w:lang w:eastAsia="zh-CN"/>
    </w:rPr>
  </w:style>
  <w:style w:type="table" w:customStyle="1" w:styleId="TabelaSimples21">
    <w:name w:val="Tabela Simples 21"/>
    <w:basedOn w:val="Tabelanormal"/>
    <w:uiPriority w:val="42"/>
    <w:rsid w:val="00EC53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AA754E"/>
    <w:rPr>
      <w:color w:val="0563C1" w:themeColor="hyperlink"/>
      <w:u w:val="single"/>
    </w:rPr>
  </w:style>
  <w:style w:type="character" w:styleId="Refdecomentrio">
    <w:name w:val="annotation reference"/>
    <w:basedOn w:val="Fontepargpadro"/>
    <w:uiPriority w:val="99"/>
    <w:semiHidden/>
    <w:unhideWhenUsed/>
    <w:rsid w:val="003F43AD"/>
    <w:rPr>
      <w:sz w:val="16"/>
      <w:szCs w:val="16"/>
    </w:rPr>
  </w:style>
  <w:style w:type="paragraph" w:styleId="Textodecomentrio">
    <w:name w:val="annotation text"/>
    <w:basedOn w:val="Normal"/>
    <w:link w:val="TextodecomentrioChar"/>
    <w:uiPriority w:val="99"/>
    <w:semiHidden/>
    <w:unhideWhenUsed/>
    <w:rsid w:val="003F43AD"/>
    <w:rPr>
      <w:sz w:val="20"/>
      <w:szCs w:val="20"/>
    </w:rPr>
  </w:style>
  <w:style w:type="character" w:customStyle="1" w:styleId="TextodecomentrioChar">
    <w:name w:val="Texto de comentário Char"/>
    <w:basedOn w:val="Fontepargpadro"/>
    <w:link w:val="Textodecomentrio"/>
    <w:uiPriority w:val="99"/>
    <w:semiHidden/>
    <w:rsid w:val="003F43AD"/>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F43AD"/>
    <w:rPr>
      <w:b/>
      <w:bCs/>
    </w:rPr>
  </w:style>
  <w:style w:type="character" w:customStyle="1" w:styleId="AssuntodocomentrioChar">
    <w:name w:val="Assunto do comentário Char"/>
    <w:basedOn w:val="TextodecomentrioChar"/>
    <w:link w:val="Assuntodocomentrio"/>
    <w:uiPriority w:val="99"/>
    <w:semiHidden/>
    <w:rsid w:val="003F43AD"/>
    <w:rPr>
      <w:rFonts w:ascii="Times New Roman" w:hAnsi="Times New Roman"/>
      <w:b/>
      <w:bCs/>
      <w:sz w:val="20"/>
      <w:szCs w:val="20"/>
    </w:rPr>
  </w:style>
  <w:style w:type="paragraph" w:styleId="Textodebalo">
    <w:name w:val="Balloon Text"/>
    <w:basedOn w:val="Normal"/>
    <w:link w:val="TextodebaloChar"/>
    <w:uiPriority w:val="99"/>
    <w:semiHidden/>
    <w:unhideWhenUsed/>
    <w:rsid w:val="003F43AD"/>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43AD"/>
    <w:rPr>
      <w:rFonts w:ascii="Segoe UI" w:hAnsi="Segoe UI" w:cs="Segoe UI"/>
      <w:sz w:val="18"/>
      <w:szCs w:val="18"/>
    </w:rPr>
  </w:style>
  <w:style w:type="paragraph" w:styleId="Cabealho">
    <w:name w:val="header"/>
    <w:basedOn w:val="Normal"/>
    <w:link w:val="CabealhoChar"/>
    <w:uiPriority w:val="99"/>
    <w:unhideWhenUsed/>
    <w:rsid w:val="00692A7F"/>
    <w:pPr>
      <w:tabs>
        <w:tab w:val="center" w:pos="4252"/>
        <w:tab w:val="right" w:pos="8504"/>
      </w:tabs>
      <w:spacing w:after="0"/>
    </w:pPr>
  </w:style>
  <w:style w:type="character" w:customStyle="1" w:styleId="CabealhoChar">
    <w:name w:val="Cabeçalho Char"/>
    <w:basedOn w:val="Fontepargpadro"/>
    <w:link w:val="Cabealho"/>
    <w:uiPriority w:val="99"/>
    <w:rsid w:val="00692A7F"/>
    <w:rPr>
      <w:rFonts w:ascii="Times New Roman" w:hAnsi="Times New Roman"/>
      <w:sz w:val="24"/>
    </w:rPr>
  </w:style>
  <w:style w:type="paragraph" w:styleId="Rodap">
    <w:name w:val="footer"/>
    <w:basedOn w:val="Normal"/>
    <w:link w:val="RodapChar"/>
    <w:uiPriority w:val="99"/>
    <w:unhideWhenUsed/>
    <w:rsid w:val="00692A7F"/>
    <w:pPr>
      <w:tabs>
        <w:tab w:val="center" w:pos="4252"/>
        <w:tab w:val="right" w:pos="8504"/>
      </w:tabs>
      <w:spacing w:after="0"/>
    </w:pPr>
  </w:style>
  <w:style w:type="character" w:customStyle="1" w:styleId="RodapChar">
    <w:name w:val="Rodapé Char"/>
    <w:basedOn w:val="Fontepargpadro"/>
    <w:link w:val="Rodap"/>
    <w:uiPriority w:val="99"/>
    <w:rsid w:val="00692A7F"/>
    <w:rPr>
      <w:rFonts w:ascii="Times New Roman" w:hAnsi="Times New Roman"/>
      <w:sz w:val="24"/>
    </w:rPr>
  </w:style>
  <w:style w:type="character" w:customStyle="1" w:styleId="fontstyle01">
    <w:name w:val="fontstyle01"/>
    <w:basedOn w:val="Fontepargpadro"/>
    <w:rsid w:val="00976D71"/>
    <w:rPr>
      <w:rFonts w:ascii="Georgia" w:hAnsi="Georgi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8921">
      <w:bodyDiv w:val="1"/>
      <w:marLeft w:val="0"/>
      <w:marRight w:val="0"/>
      <w:marTop w:val="0"/>
      <w:marBottom w:val="0"/>
      <w:divBdr>
        <w:top w:val="none" w:sz="0" w:space="0" w:color="auto"/>
        <w:left w:val="none" w:sz="0" w:space="0" w:color="auto"/>
        <w:bottom w:val="none" w:sz="0" w:space="0" w:color="auto"/>
        <w:right w:val="none" w:sz="0" w:space="0" w:color="auto"/>
      </w:divBdr>
      <w:divsChild>
        <w:div w:id="614679170">
          <w:marLeft w:val="0"/>
          <w:marRight w:val="0"/>
          <w:marTop w:val="0"/>
          <w:marBottom w:val="0"/>
          <w:divBdr>
            <w:top w:val="none" w:sz="0" w:space="0" w:color="auto"/>
            <w:left w:val="none" w:sz="0" w:space="0" w:color="auto"/>
            <w:bottom w:val="none" w:sz="0" w:space="0" w:color="auto"/>
            <w:right w:val="none" w:sz="0" w:space="0" w:color="auto"/>
          </w:divBdr>
          <w:divsChild>
            <w:div w:id="1149056752">
              <w:marLeft w:val="0"/>
              <w:marRight w:val="60"/>
              <w:marTop w:val="0"/>
              <w:marBottom w:val="0"/>
              <w:divBdr>
                <w:top w:val="none" w:sz="0" w:space="0" w:color="auto"/>
                <w:left w:val="none" w:sz="0" w:space="0" w:color="auto"/>
                <w:bottom w:val="none" w:sz="0" w:space="0" w:color="auto"/>
                <w:right w:val="none" w:sz="0" w:space="0" w:color="auto"/>
              </w:divBdr>
              <w:divsChild>
                <w:div w:id="621543662">
                  <w:marLeft w:val="0"/>
                  <w:marRight w:val="0"/>
                  <w:marTop w:val="0"/>
                  <w:marBottom w:val="120"/>
                  <w:divBdr>
                    <w:top w:val="single" w:sz="6" w:space="0" w:color="C0C0C0"/>
                    <w:left w:val="single" w:sz="6" w:space="0" w:color="D9D9D9"/>
                    <w:bottom w:val="single" w:sz="6" w:space="0" w:color="D9D9D9"/>
                    <w:right w:val="single" w:sz="6" w:space="0" w:color="D9D9D9"/>
                  </w:divBdr>
                  <w:divsChild>
                    <w:div w:id="6115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275">
          <w:marLeft w:val="0"/>
          <w:marRight w:val="0"/>
          <w:marTop w:val="0"/>
          <w:marBottom w:val="0"/>
          <w:divBdr>
            <w:top w:val="none" w:sz="0" w:space="0" w:color="auto"/>
            <w:left w:val="none" w:sz="0" w:space="0" w:color="auto"/>
            <w:bottom w:val="none" w:sz="0" w:space="0" w:color="auto"/>
            <w:right w:val="none" w:sz="0" w:space="0" w:color="auto"/>
          </w:divBdr>
          <w:divsChild>
            <w:div w:id="838080718">
              <w:marLeft w:val="60"/>
              <w:marRight w:val="0"/>
              <w:marTop w:val="0"/>
              <w:marBottom w:val="0"/>
              <w:divBdr>
                <w:top w:val="none" w:sz="0" w:space="0" w:color="auto"/>
                <w:left w:val="none" w:sz="0" w:space="0" w:color="auto"/>
                <w:bottom w:val="none" w:sz="0" w:space="0" w:color="auto"/>
                <w:right w:val="none" w:sz="0" w:space="0" w:color="auto"/>
              </w:divBdr>
              <w:divsChild>
                <w:div w:id="1959024167">
                  <w:marLeft w:val="0"/>
                  <w:marRight w:val="0"/>
                  <w:marTop w:val="0"/>
                  <w:marBottom w:val="0"/>
                  <w:divBdr>
                    <w:top w:val="none" w:sz="0" w:space="0" w:color="auto"/>
                    <w:left w:val="none" w:sz="0" w:space="0" w:color="auto"/>
                    <w:bottom w:val="none" w:sz="0" w:space="0" w:color="auto"/>
                    <w:right w:val="none" w:sz="0" w:space="0" w:color="auto"/>
                  </w:divBdr>
                  <w:divsChild>
                    <w:div w:id="807480426">
                      <w:marLeft w:val="0"/>
                      <w:marRight w:val="0"/>
                      <w:marTop w:val="0"/>
                      <w:marBottom w:val="120"/>
                      <w:divBdr>
                        <w:top w:val="single" w:sz="6" w:space="0" w:color="F5F5F5"/>
                        <w:left w:val="single" w:sz="6" w:space="0" w:color="F5F5F5"/>
                        <w:bottom w:val="single" w:sz="6" w:space="0" w:color="F5F5F5"/>
                        <w:right w:val="single" w:sz="6" w:space="0" w:color="F5F5F5"/>
                      </w:divBdr>
                      <w:divsChild>
                        <w:div w:id="1285383973">
                          <w:marLeft w:val="0"/>
                          <w:marRight w:val="0"/>
                          <w:marTop w:val="0"/>
                          <w:marBottom w:val="0"/>
                          <w:divBdr>
                            <w:top w:val="none" w:sz="0" w:space="0" w:color="auto"/>
                            <w:left w:val="none" w:sz="0" w:space="0" w:color="auto"/>
                            <w:bottom w:val="none" w:sz="0" w:space="0" w:color="auto"/>
                            <w:right w:val="none" w:sz="0" w:space="0" w:color="auto"/>
                          </w:divBdr>
                          <w:divsChild>
                            <w:div w:id="146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15076">
      <w:bodyDiv w:val="1"/>
      <w:marLeft w:val="0"/>
      <w:marRight w:val="0"/>
      <w:marTop w:val="0"/>
      <w:marBottom w:val="0"/>
      <w:divBdr>
        <w:top w:val="none" w:sz="0" w:space="0" w:color="auto"/>
        <w:left w:val="none" w:sz="0" w:space="0" w:color="auto"/>
        <w:bottom w:val="none" w:sz="0" w:space="0" w:color="auto"/>
        <w:right w:val="none" w:sz="0" w:space="0" w:color="auto"/>
      </w:divBdr>
      <w:divsChild>
        <w:div w:id="718434784">
          <w:marLeft w:val="0"/>
          <w:marRight w:val="0"/>
          <w:marTop w:val="0"/>
          <w:marBottom w:val="0"/>
          <w:divBdr>
            <w:top w:val="none" w:sz="0" w:space="0" w:color="auto"/>
            <w:left w:val="none" w:sz="0" w:space="0" w:color="auto"/>
            <w:bottom w:val="none" w:sz="0" w:space="0" w:color="auto"/>
            <w:right w:val="none" w:sz="0" w:space="0" w:color="auto"/>
          </w:divBdr>
        </w:div>
        <w:div w:id="90931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10092</Words>
  <Characters>54498</Characters>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2017-05-01T21:47:00Z</dcterms:created>
  <dcterms:modified xsi:type="dcterms:W3CDTF">2017-05-17T15:04:00Z</dcterms:modified>
</cp:coreProperties>
</file>