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A3" w:rsidRPr="00E66C1F" w:rsidRDefault="001012A3" w:rsidP="001012A3">
      <w:pPr>
        <w:pStyle w:val="Ttulo2"/>
        <w:numPr>
          <w:ilvl w:val="0"/>
          <w:numId w:val="0"/>
        </w:numPr>
        <w:jc w:val="center"/>
      </w:pPr>
      <w:r w:rsidRPr="004A61E8">
        <w:t>Anexo</w:t>
      </w:r>
      <w:r w:rsidRPr="00E66C1F">
        <w:t xml:space="preserve"> </w:t>
      </w:r>
      <w:r w:rsidR="00420C10">
        <w:t>1</w:t>
      </w:r>
      <w:bookmarkStart w:id="0" w:name="_GoBack"/>
      <w:bookmarkEnd w:id="0"/>
      <w:r w:rsidRPr="00E66C1F">
        <w:t xml:space="preserve"> - IN</w:t>
      </w:r>
      <w:r w:rsidRPr="00E66C1F">
        <w:rPr>
          <w:spacing w:val="-2"/>
        </w:rPr>
        <w:t>V</w:t>
      </w:r>
      <w:r w:rsidRPr="00E66C1F">
        <w:rPr>
          <w:spacing w:val="1"/>
        </w:rPr>
        <w:t>E</w:t>
      </w:r>
      <w:r w:rsidRPr="00E66C1F">
        <w:rPr>
          <w:spacing w:val="-1"/>
        </w:rPr>
        <w:t>N</w:t>
      </w:r>
      <w:r w:rsidRPr="00E66C1F">
        <w:rPr>
          <w:spacing w:val="2"/>
        </w:rPr>
        <w:t>T</w:t>
      </w:r>
      <w:r w:rsidRPr="00E66C1F">
        <w:rPr>
          <w:spacing w:val="-1"/>
        </w:rPr>
        <w:t>ÁR</w:t>
      </w:r>
      <w:r w:rsidRPr="00E66C1F">
        <w:t>IO</w:t>
      </w:r>
      <w:r w:rsidRPr="00E66C1F">
        <w:rPr>
          <w:spacing w:val="-1"/>
        </w:rPr>
        <w:t xml:space="preserve"> N</w:t>
      </w:r>
      <w:r w:rsidRPr="00E66C1F">
        <w:rPr>
          <w:spacing w:val="1"/>
        </w:rPr>
        <w:t>O</w:t>
      </w:r>
      <w:r w:rsidRPr="00E66C1F">
        <w:rPr>
          <w:spacing w:val="-1"/>
        </w:rPr>
        <w:t>R</w:t>
      </w:r>
      <w:r w:rsidRPr="00E66C1F">
        <w:rPr>
          <w:spacing w:val="-2"/>
        </w:rPr>
        <w:t>M</w:t>
      </w:r>
      <w:r w:rsidRPr="00E66C1F">
        <w:rPr>
          <w:spacing w:val="-1"/>
        </w:rPr>
        <w:t>A</w:t>
      </w:r>
      <w:r w:rsidRPr="00E66C1F">
        <w:rPr>
          <w:spacing w:val="1"/>
        </w:rPr>
        <w:t>T</w:t>
      </w:r>
      <w:r w:rsidRPr="00E66C1F">
        <w:t>IVO</w:t>
      </w:r>
      <w:r w:rsidRPr="00E66C1F">
        <w:rPr>
          <w:spacing w:val="-2"/>
        </w:rPr>
        <w:t xml:space="preserve"> </w:t>
      </w:r>
      <w:r w:rsidRPr="00E66C1F">
        <w:rPr>
          <w:spacing w:val="-1"/>
        </w:rPr>
        <w:t>D</w:t>
      </w:r>
      <w:r w:rsidRPr="00E66C1F">
        <w:t>O</w:t>
      </w:r>
      <w:r w:rsidRPr="00E66C1F">
        <w:rPr>
          <w:spacing w:val="-1"/>
        </w:rPr>
        <w:t xml:space="preserve"> R</w:t>
      </w:r>
      <w:r w:rsidRPr="00E66C1F">
        <w:rPr>
          <w:spacing w:val="-5"/>
        </w:rPr>
        <w:t>PP</w:t>
      </w:r>
      <w:r w:rsidRPr="00E66C1F">
        <w:t>S</w:t>
      </w:r>
      <w:r>
        <w:t xml:space="preserve"> ADAPTADO</w:t>
      </w:r>
    </w:p>
    <w:tbl>
      <w:tblPr>
        <w:tblStyle w:val="TableGrid"/>
        <w:tblW w:w="9288" w:type="dxa"/>
        <w:tblInd w:w="153" w:type="dxa"/>
        <w:tblCellMar>
          <w:left w:w="106" w:type="dxa"/>
          <w:right w:w="60" w:type="dxa"/>
        </w:tblCellMar>
        <w:tblLook w:val="04A0" w:firstRow="1" w:lastRow="0" w:firstColumn="1" w:lastColumn="0" w:noHBand="0" w:noVBand="1"/>
      </w:tblPr>
      <w:tblGrid>
        <w:gridCol w:w="2071"/>
        <w:gridCol w:w="6005"/>
        <w:gridCol w:w="616"/>
        <w:gridCol w:w="596"/>
      </w:tblGrid>
      <w:tr w:rsidR="001012A3" w:rsidTr="007D65E5">
        <w:trPr>
          <w:trHeight w:val="308"/>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jc w:val="center"/>
            </w:pPr>
            <w:r>
              <w:rPr>
                <w:rFonts w:eastAsia="Times New Roman" w:cs="Times New Roman"/>
                <w:b/>
                <w:sz w:val="22"/>
              </w:rPr>
              <w:t xml:space="preserve">INVENTÁRIO NORMATIVO DO RPPS </w:t>
            </w:r>
          </w:p>
        </w:tc>
      </w:tr>
      <w:tr w:rsidR="001012A3" w:rsidTr="007D65E5">
        <w:trPr>
          <w:trHeight w:val="307"/>
        </w:trPr>
        <w:tc>
          <w:tcPr>
            <w:tcW w:w="2071" w:type="dxa"/>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jc w:val="center"/>
            </w:pPr>
            <w:r>
              <w:rPr>
                <w:rFonts w:eastAsia="Times New Roman" w:cs="Times New Roman"/>
                <w:b/>
                <w:sz w:val="18"/>
              </w:rPr>
              <w:t xml:space="preserve">Fonte/Norma </w:t>
            </w:r>
          </w:p>
        </w:tc>
        <w:tc>
          <w:tcPr>
            <w:tcW w:w="6005" w:type="dxa"/>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jc w:val="center"/>
            </w:pPr>
            <w:r>
              <w:rPr>
                <w:rFonts w:eastAsia="Times New Roman" w:cs="Times New Roman"/>
                <w:b/>
                <w:sz w:val="18"/>
              </w:rPr>
              <w:t xml:space="preserve">Questão a identificar </w:t>
            </w:r>
          </w:p>
        </w:tc>
        <w:tc>
          <w:tcPr>
            <w:tcW w:w="616" w:type="dxa"/>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1"/>
              <w:jc w:val="both"/>
            </w:pPr>
            <w:r>
              <w:rPr>
                <w:rFonts w:eastAsia="Times New Roman" w:cs="Times New Roman"/>
                <w:b/>
                <w:sz w:val="18"/>
              </w:rPr>
              <w:t xml:space="preserve">NÃO </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5"/>
            </w:pPr>
            <w:r>
              <w:rPr>
                <w:rFonts w:eastAsia="Times New Roman" w:cs="Times New Roman"/>
                <w:b/>
                <w:sz w:val="18"/>
              </w:rPr>
              <w:t xml:space="preserve">SIM </w:t>
            </w:r>
          </w:p>
        </w:tc>
      </w:tr>
      <w:tr w:rsidR="001012A3" w:rsidTr="007D65E5">
        <w:trPr>
          <w:trHeight w:val="21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F2F2F2"/>
          </w:tcPr>
          <w:p w:rsidR="001012A3" w:rsidRDefault="001012A3" w:rsidP="007D65E5">
            <w:pPr>
              <w:ind w:left="1"/>
            </w:pPr>
            <w:r>
              <w:rPr>
                <w:rFonts w:eastAsia="Times New Roman" w:cs="Times New Roman"/>
                <w:b/>
                <w:sz w:val="18"/>
              </w:rPr>
              <w:t xml:space="preserve">Estrutura mínima do RP PS (permite aferir o controle) </w:t>
            </w:r>
          </w:p>
        </w:tc>
      </w:tr>
      <w:tr w:rsidR="001012A3" w:rsidTr="007D65E5">
        <w:trPr>
          <w:trHeight w:val="28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40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Todos os servidores públicos de cargo efetivo são amparados por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Pr="008418FA" w:rsidRDefault="001012A3" w:rsidP="007D65E5">
            <w:pPr>
              <w:ind w:left="1"/>
              <w:rPr>
                <w:lang w:val="en-US"/>
              </w:rPr>
            </w:pPr>
            <w:r w:rsidRPr="008418FA">
              <w:rPr>
                <w:rFonts w:eastAsia="Times New Roman" w:cs="Times New Roman"/>
                <w:sz w:val="18"/>
                <w:lang w:val="en-US"/>
              </w:rPr>
              <w:t xml:space="preserve">CF, art. 40 </w:t>
            </w:r>
          </w:p>
          <w:p w:rsidR="001012A3" w:rsidRPr="008418FA" w:rsidRDefault="001012A3" w:rsidP="007D65E5">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1012A3" w:rsidRPr="008418FA" w:rsidRDefault="001012A3" w:rsidP="007D65E5">
            <w:pPr>
              <w:ind w:left="1"/>
              <w:rPr>
                <w:lang w:val="en-US"/>
              </w:rPr>
            </w:pPr>
            <w:r w:rsidRPr="008418FA">
              <w:rPr>
                <w:rFonts w:eastAsia="Times New Roman" w:cs="Times New Roman"/>
                <w:sz w:val="18"/>
                <w:lang w:val="en-US"/>
              </w:rPr>
              <w:t>art.3º</w:t>
            </w:r>
            <w:r w:rsidRPr="008418FA">
              <w:rPr>
                <w:rFonts w:eastAsia="Times New Roman" w:cs="Times New Roman"/>
                <w:b/>
                <w:sz w:val="18"/>
                <w:lang w:val="en-US"/>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tem caráter contributivo.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0"/>
        </w:trPr>
        <w:tc>
          <w:tcPr>
            <w:tcW w:w="2071" w:type="dxa"/>
            <w:tcBorders>
              <w:top w:val="single" w:sz="4" w:space="0" w:color="000000"/>
              <w:left w:val="single" w:sz="4" w:space="0" w:color="000000"/>
              <w:bottom w:val="single" w:sz="4" w:space="0" w:color="000000"/>
              <w:right w:val="single" w:sz="4" w:space="0" w:color="000000"/>
            </w:tcBorders>
          </w:tcPr>
          <w:p w:rsidR="001012A3" w:rsidRPr="008418FA" w:rsidRDefault="001012A3" w:rsidP="007D65E5">
            <w:pPr>
              <w:ind w:left="1"/>
              <w:rPr>
                <w:lang w:val="en-US"/>
              </w:rPr>
            </w:pPr>
            <w:r w:rsidRPr="008418FA">
              <w:rPr>
                <w:rFonts w:eastAsia="Times New Roman" w:cs="Times New Roman"/>
                <w:sz w:val="18"/>
                <w:lang w:val="en-US"/>
              </w:rPr>
              <w:t xml:space="preserve">CF, art. 40 </w:t>
            </w:r>
          </w:p>
          <w:p w:rsidR="001012A3" w:rsidRPr="008418FA" w:rsidRDefault="001012A3" w:rsidP="007D65E5">
            <w:pPr>
              <w:spacing w:line="230" w:lineRule="auto"/>
              <w:ind w:left="1"/>
              <w:jc w:val="both"/>
              <w:rPr>
                <w:lang w:val="en-US"/>
              </w:rPr>
            </w:pPr>
            <w:r w:rsidRPr="008418FA">
              <w:rPr>
                <w:rFonts w:eastAsia="Times New Roman" w:cs="Times New Roman"/>
                <w:sz w:val="18"/>
                <w:lang w:val="en-US"/>
              </w:rPr>
              <w:t xml:space="preserve">Lei 9.717/1998, art. 1º, II </w:t>
            </w: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1012A3" w:rsidRDefault="001012A3" w:rsidP="007D65E5">
            <w:pPr>
              <w:ind w:left="1"/>
            </w:pPr>
            <w:r>
              <w:rPr>
                <w:rFonts w:eastAsia="Times New Roman" w:cs="Times New Roman"/>
                <w:sz w:val="18"/>
              </w:rPr>
              <w:t xml:space="preserve">art.3º </w:t>
            </w:r>
            <w:r>
              <w:rPr>
                <w:rFonts w:eastAsia="Times New Roman" w:cs="Times New Roman"/>
                <w:b/>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ente público contribui para 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35"/>
        </w:trPr>
        <w:tc>
          <w:tcPr>
            <w:tcW w:w="2071" w:type="dxa"/>
            <w:tcBorders>
              <w:top w:val="single" w:sz="4" w:space="0" w:color="000000"/>
              <w:left w:val="single" w:sz="4" w:space="0" w:color="000000"/>
              <w:bottom w:val="single" w:sz="4" w:space="0" w:color="000000"/>
              <w:right w:val="single" w:sz="4" w:space="0" w:color="000000"/>
            </w:tcBorders>
          </w:tcPr>
          <w:p w:rsidR="001012A3" w:rsidRPr="008418FA" w:rsidRDefault="001012A3" w:rsidP="007D65E5">
            <w:pPr>
              <w:ind w:left="1"/>
              <w:rPr>
                <w:lang w:val="en-US"/>
              </w:rPr>
            </w:pPr>
            <w:r w:rsidRPr="008418FA">
              <w:rPr>
                <w:rFonts w:eastAsia="Times New Roman" w:cs="Times New Roman"/>
                <w:sz w:val="18"/>
                <w:lang w:val="en-US"/>
              </w:rPr>
              <w:t xml:space="preserve">CF, art. 40 </w:t>
            </w:r>
          </w:p>
          <w:p w:rsidR="001012A3" w:rsidRPr="008418FA" w:rsidRDefault="001012A3" w:rsidP="007D65E5">
            <w:pPr>
              <w:spacing w:line="230" w:lineRule="auto"/>
              <w:ind w:left="1"/>
              <w:jc w:val="both"/>
              <w:rPr>
                <w:lang w:val="en-US"/>
              </w:rPr>
            </w:pPr>
            <w:r w:rsidRPr="008418FA">
              <w:rPr>
                <w:rFonts w:eastAsia="Times New Roman" w:cs="Times New Roman"/>
                <w:sz w:val="18"/>
                <w:lang w:val="en-US"/>
              </w:rPr>
              <w:t xml:space="preserve">Lei 9.717/1998, art. 1º, II </w:t>
            </w: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1012A3" w:rsidRDefault="001012A3" w:rsidP="007D65E5">
            <w:pPr>
              <w:ind w:left="1"/>
            </w:pPr>
            <w:r>
              <w:rPr>
                <w:rFonts w:eastAsia="Times New Roman" w:cs="Times New Roman"/>
                <w:sz w:val="18"/>
              </w:rPr>
              <w:t xml:space="preserve">art.3º </w:t>
            </w:r>
            <w:r>
              <w:rPr>
                <w:rFonts w:eastAsia="Times New Roman" w:cs="Times New Roman"/>
                <w:b/>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Ativos, inativos e pensionistas contribuem para 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34"/>
        </w:trPr>
        <w:tc>
          <w:tcPr>
            <w:tcW w:w="2071" w:type="dxa"/>
            <w:tcBorders>
              <w:top w:val="single" w:sz="4" w:space="0" w:color="000000"/>
              <w:left w:val="single" w:sz="4" w:space="0" w:color="000000"/>
              <w:bottom w:val="single" w:sz="4" w:space="0" w:color="000000"/>
              <w:right w:val="single" w:sz="4" w:space="0" w:color="000000"/>
            </w:tcBorders>
          </w:tcPr>
          <w:p w:rsidR="001012A3" w:rsidRPr="008418FA" w:rsidRDefault="001012A3" w:rsidP="007D65E5">
            <w:pPr>
              <w:ind w:left="1"/>
              <w:rPr>
                <w:lang w:val="en-US"/>
              </w:rPr>
            </w:pPr>
            <w:r w:rsidRPr="008418FA">
              <w:rPr>
                <w:rFonts w:eastAsia="Times New Roman" w:cs="Times New Roman"/>
                <w:sz w:val="18"/>
                <w:lang w:val="en-US"/>
              </w:rPr>
              <w:t xml:space="preserve">CF, art. 40, § 18 </w:t>
            </w:r>
          </w:p>
          <w:p w:rsidR="001012A3" w:rsidRPr="008418FA" w:rsidRDefault="001012A3" w:rsidP="007D65E5">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1012A3" w:rsidRPr="008418FA" w:rsidRDefault="001012A3" w:rsidP="007D65E5">
            <w:pPr>
              <w:ind w:left="1"/>
              <w:rPr>
                <w:lang w:val="en-US"/>
              </w:rPr>
            </w:pPr>
            <w:r w:rsidRPr="008418FA">
              <w:rPr>
                <w:rFonts w:eastAsia="Times New Roman" w:cs="Times New Roman"/>
                <w:sz w:val="18"/>
                <w:lang w:val="en-US"/>
              </w:rPr>
              <w:t xml:space="preserve">art.3º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Incide contribuição sobre proventos de aposentadorias e pensões nos proventos acima do limite do RGPS.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Pr="008418FA" w:rsidRDefault="001012A3" w:rsidP="007D65E5">
            <w:pPr>
              <w:ind w:left="1"/>
              <w:rPr>
                <w:lang w:val="en-US"/>
              </w:rPr>
            </w:pPr>
            <w:r w:rsidRPr="008418FA">
              <w:rPr>
                <w:rFonts w:eastAsia="Times New Roman" w:cs="Times New Roman"/>
                <w:sz w:val="18"/>
                <w:lang w:val="en-US"/>
              </w:rPr>
              <w:t xml:space="preserve">CF, art. 40, § 18 </w:t>
            </w:r>
          </w:p>
          <w:p w:rsidR="001012A3" w:rsidRPr="008418FA" w:rsidRDefault="001012A3" w:rsidP="007D65E5">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1012A3" w:rsidRPr="008418FA" w:rsidRDefault="001012A3" w:rsidP="007D65E5">
            <w:pPr>
              <w:ind w:left="1"/>
              <w:rPr>
                <w:lang w:val="en-US"/>
              </w:rPr>
            </w:pPr>
            <w:r w:rsidRPr="008418FA">
              <w:rPr>
                <w:rFonts w:eastAsia="Times New Roman" w:cs="Times New Roman"/>
                <w:sz w:val="18"/>
                <w:lang w:val="en-US"/>
              </w:rPr>
              <w:t>art.3º</w:t>
            </w:r>
            <w:r w:rsidRPr="008418FA">
              <w:rPr>
                <w:rFonts w:eastAsia="Times New Roman" w:cs="Times New Roman"/>
                <w:b/>
                <w:lang w:val="en-US"/>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percentual de contribuição acima é igual ao dos ativos.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8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40, § 20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apenas um RPPS para os servidores titulares de cargos efetivos.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8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40, § 20 </w:t>
            </w:r>
            <w:r>
              <w:rPr>
                <w:rFonts w:eastAsia="Times New Roman" w:cs="Times New Roman"/>
                <w:b/>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apenas uma unidade gestora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195, II, § 5º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Todos os benefícios e serviços ofertados pelo RPPS possuem fonte de custeio correspondente.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V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RPPS promove a cobertura exclusiva dos seus servidores públicos titulares de cargos efetivos e respectivos dependentes.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2º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contribuição do ente respeita o limite legal (não inferior ao valor da contribuição do servidor ativo, nem superior ao dobro desta contribuição).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204 MPS/2008, </w:t>
            </w:r>
          </w:p>
          <w:p w:rsidR="001012A3" w:rsidRDefault="001012A3" w:rsidP="007D65E5">
            <w:pPr>
              <w:ind w:left="1"/>
            </w:pPr>
            <w:r>
              <w:rPr>
                <w:rFonts w:eastAsia="Times New Roman" w:cs="Times New Roman"/>
                <w:sz w:val="18"/>
              </w:rPr>
              <w:t xml:space="preserve">art.5º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rol de dependentes é o mesmo do RGPS.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455"/>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204 MPS/2008, </w:t>
            </w:r>
          </w:p>
          <w:p w:rsidR="001012A3" w:rsidRDefault="001012A3" w:rsidP="007D65E5">
            <w:pPr>
              <w:ind w:left="1"/>
            </w:pPr>
            <w:r>
              <w:rPr>
                <w:rFonts w:eastAsia="Times New Roman" w:cs="Times New Roman"/>
                <w:sz w:val="18"/>
              </w:rPr>
              <w:t xml:space="preserve">art.5º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line="230" w:lineRule="auto"/>
              <w:jc w:val="both"/>
              <w:rPr>
                <w:rFonts w:eastAsia="Times New Roman" w:cs="Times New Roman"/>
                <w:sz w:val="18"/>
              </w:rPr>
            </w:pPr>
            <w:r>
              <w:rPr>
                <w:rFonts w:eastAsia="Times New Roman" w:cs="Times New Roman"/>
                <w:sz w:val="18"/>
              </w:rPr>
              <w:t>Concede apenas os seguintes benefícios previdenciários:</w:t>
            </w:r>
          </w:p>
          <w:p w:rsidR="001012A3" w:rsidRDefault="001012A3" w:rsidP="007D65E5">
            <w:pPr>
              <w:spacing w:line="230" w:lineRule="auto"/>
              <w:jc w:val="both"/>
            </w:pPr>
            <w:r>
              <w:rPr>
                <w:rFonts w:eastAsia="Times New Roman" w:cs="Times New Roman"/>
                <w:sz w:val="18"/>
              </w:rPr>
              <w:t xml:space="preserve"> __aposentadorias previstas na Constituição; </w:t>
            </w:r>
          </w:p>
          <w:p w:rsidR="001012A3" w:rsidRDefault="001012A3" w:rsidP="007D65E5">
            <w:r>
              <w:rPr>
                <w:rFonts w:eastAsia="Times New Roman" w:cs="Times New Roman"/>
                <w:sz w:val="18"/>
              </w:rPr>
              <w:t xml:space="preserve">__ pensão por morte; </w:t>
            </w:r>
          </w:p>
          <w:p w:rsidR="001012A3" w:rsidRDefault="001012A3" w:rsidP="007D65E5">
            <w:r>
              <w:rPr>
                <w:rFonts w:eastAsia="Times New Roman" w:cs="Times New Roman"/>
                <w:sz w:val="18"/>
              </w:rPr>
              <w:lastRenderedPageBreak/>
              <w:t xml:space="preserve">__ auxílio-doença; </w:t>
            </w:r>
          </w:p>
          <w:p w:rsidR="001012A3" w:rsidRDefault="001012A3" w:rsidP="007D65E5">
            <w:r>
              <w:rPr>
                <w:rFonts w:eastAsia="Times New Roman" w:cs="Times New Roman"/>
                <w:sz w:val="18"/>
              </w:rPr>
              <w:t xml:space="preserve">__ salário-maternidade; </w:t>
            </w:r>
          </w:p>
          <w:p w:rsidR="001012A3" w:rsidRDefault="001012A3" w:rsidP="007D65E5">
            <w:r>
              <w:rPr>
                <w:rFonts w:eastAsia="Times New Roman" w:cs="Times New Roman"/>
                <w:sz w:val="18"/>
              </w:rPr>
              <w:t xml:space="preserve">__auxílio-reclusão; e  </w:t>
            </w:r>
          </w:p>
          <w:p w:rsidR="001012A3" w:rsidRDefault="001012A3" w:rsidP="007D65E5">
            <w:r>
              <w:rPr>
                <w:rFonts w:eastAsia="Times New Roman" w:cs="Times New Roman"/>
                <w:sz w:val="18"/>
              </w:rPr>
              <w:t xml:space="preserve">__salário-família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lastRenderedPageBreak/>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04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204 MPS/2008, </w:t>
            </w:r>
          </w:p>
          <w:p w:rsidR="001012A3" w:rsidRDefault="001012A3" w:rsidP="007D65E5">
            <w:pPr>
              <w:ind w:left="1"/>
            </w:pPr>
            <w:r>
              <w:rPr>
                <w:rFonts w:eastAsia="Times New Roman" w:cs="Times New Roman"/>
                <w:sz w:val="18"/>
              </w:rPr>
              <w:t xml:space="preserve">art.5º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As contribuições previdenciárias obedecem aos limites: </w:t>
            </w:r>
          </w:p>
          <w:p w:rsidR="001012A3" w:rsidRDefault="001012A3" w:rsidP="007D65E5">
            <w:pPr>
              <w:spacing w:line="230" w:lineRule="auto"/>
              <w:jc w:val="both"/>
            </w:pPr>
            <w:r>
              <w:rPr>
                <w:rFonts w:eastAsia="Times New Roman" w:cs="Times New Roman"/>
                <w:sz w:val="18"/>
              </w:rPr>
              <w:t xml:space="preserve">__contribuição dos servidores ativos, inativos e pensionistas não inferior `a 11% (servidores da União); </w:t>
            </w:r>
          </w:p>
          <w:p w:rsidR="001012A3" w:rsidRDefault="001012A3" w:rsidP="007D65E5">
            <w:pPr>
              <w:jc w:val="both"/>
            </w:pPr>
            <w:r>
              <w:rPr>
                <w:rFonts w:eastAsia="Times New Roman" w:cs="Times New Roman"/>
                <w:sz w:val="18"/>
              </w:rPr>
              <w:t xml:space="preserve">__contribuição do ente inferior à contribuição do servidor ativo, nem superior ao dobro desta.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403 MPS/2008, </w:t>
            </w:r>
          </w:p>
          <w:p w:rsidR="001012A3" w:rsidRDefault="001012A3" w:rsidP="007D65E5">
            <w:pPr>
              <w:ind w:left="1"/>
            </w:pPr>
            <w:r>
              <w:rPr>
                <w:rFonts w:eastAsia="Times New Roman" w:cs="Times New Roman"/>
                <w:sz w:val="18"/>
              </w:rPr>
              <w:t xml:space="preserve">art.4º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adota o seguinte regime financeiro: </w:t>
            </w:r>
          </w:p>
          <w:p w:rsidR="001012A3" w:rsidRDefault="001012A3" w:rsidP="007D65E5">
            <w:r>
              <w:rPr>
                <w:rFonts w:eastAsia="Times New Roman" w:cs="Times New Roman"/>
                <w:sz w:val="18"/>
              </w:rPr>
              <w:t xml:space="preserve">__Regime Financeiro de Capitalização. </w:t>
            </w:r>
          </w:p>
          <w:p w:rsidR="001012A3" w:rsidRDefault="001012A3" w:rsidP="007D65E5">
            <w:r>
              <w:rPr>
                <w:rFonts w:eastAsia="Times New Roman" w:cs="Times New Roman"/>
                <w:sz w:val="18"/>
              </w:rPr>
              <w:t xml:space="preserve">__Regime Financeiro de Repartição de Capitais de Cobertura. </w:t>
            </w:r>
          </w:p>
          <w:p w:rsidR="001012A3" w:rsidRDefault="001012A3" w:rsidP="007D65E5">
            <w:r>
              <w:rPr>
                <w:rFonts w:eastAsia="Times New Roman" w:cs="Times New Roman"/>
                <w:sz w:val="18"/>
              </w:rPr>
              <w:t xml:space="preserve">__Regime Financeiro de Repartição Simples.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14"/>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1"/>
            </w:pPr>
            <w:r>
              <w:rPr>
                <w:rFonts w:eastAsia="Times New Roman" w:cs="Times New Roman"/>
                <w:b/>
                <w:sz w:val="18"/>
              </w:rPr>
              <w:t xml:space="preserve">Informação transparente </w:t>
            </w:r>
          </w:p>
        </w:tc>
      </w:tr>
      <w:tr w:rsidR="001012A3" w:rsidTr="007D65E5">
        <w:trPr>
          <w:trHeight w:val="104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w:t>
            </w:r>
          </w:p>
          <w:p w:rsidR="001012A3" w:rsidRDefault="001012A3" w:rsidP="007D65E5">
            <w:pPr>
              <w:ind w:left="1"/>
            </w:pPr>
            <w:r>
              <w:rPr>
                <w:rFonts w:eastAsia="Times New Roman" w:cs="Times New Roman"/>
                <w:sz w:val="18"/>
              </w:rPr>
              <w:t xml:space="preserve">VI </w:t>
            </w:r>
          </w:p>
          <w:p w:rsidR="001012A3" w:rsidRDefault="001012A3" w:rsidP="007D65E5">
            <w:pPr>
              <w:ind w:left="1"/>
            </w:pPr>
            <w:r>
              <w:rPr>
                <w:rFonts w:eastAsia="Times New Roman" w:cs="Times New Roman"/>
                <w:sz w:val="18"/>
              </w:rPr>
              <w:t xml:space="preserve"> </w:t>
            </w:r>
          </w:p>
          <w:p w:rsidR="001012A3" w:rsidRDefault="001012A3" w:rsidP="007D65E5">
            <w:pPr>
              <w:ind w:left="1"/>
            </w:pPr>
            <w:r>
              <w:rPr>
                <w:rFonts w:eastAsia="Times New Roman" w:cs="Times New Roman"/>
                <w:sz w:val="18"/>
              </w:rPr>
              <w:t xml:space="preserve">Portaria 402 MPS/2008, art.12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É assegurado o pleno acesso dos segurados às informações relativas à gestão do regime.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VIII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8"/>
              <w:jc w:val="both"/>
            </w:pPr>
            <w:r>
              <w:rPr>
                <w:rFonts w:eastAsia="Times New Roman" w:cs="Times New Roman"/>
                <w:sz w:val="18"/>
              </w:rPr>
              <w:t xml:space="preserve">As despesas fixas e variáveis com pessoal inativo e pensionistas, bem como dos encargos incidentes sobre os proventos e pensões pagos são identificadas e consolidadas em demonstrativos financeiros e orçamentários.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3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Lei 9.717/1998, art. 2º, § 2</w:t>
            </w:r>
            <w:r>
              <w:rPr>
                <w:rFonts w:eastAsia="Times New Roman" w:cs="Times New Roman"/>
                <w:sz w:val="18"/>
                <w:u w:val="single" w:color="000000"/>
                <w:vertAlign w:val="superscript"/>
              </w:rPr>
              <w:t>o</w:t>
            </w:r>
            <w:r>
              <w:rPr>
                <w:rFonts w:eastAsia="Times New Roman" w:cs="Times New Roman"/>
                <w:sz w:val="18"/>
              </w:rPr>
              <w:t xml:space="preserve">  </w:t>
            </w:r>
          </w:p>
        </w:tc>
        <w:tc>
          <w:tcPr>
            <w:tcW w:w="6005"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10"/>
              <w:jc w:val="both"/>
            </w:pPr>
            <w:r>
              <w:rPr>
                <w:rFonts w:eastAsia="Times New Roman" w:cs="Times New Roman"/>
                <w:sz w:val="18"/>
              </w:rPr>
              <w:t xml:space="preserve">Ocorre a publicação após cada bimestre do demonstrativo financeiro e orçamentário da receita e despesa previdenciárias acumuladas no exercício financeiro em curso.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b/>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bl>
    <w:p w:rsidR="001012A3" w:rsidRDefault="001012A3" w:rsidP="001012A3">
      <w:r>
        <w:br w:type="page"/>
      </w:r>
    </w:p>
    <w:tbl>
      <w:tblPr>
        <w:tblStyle w:val="TableGrid"/>
        <w:tblW w:w="9288" w:type="dxa"/>
        <w:tblInd w:w="153" w:type="dxa"/>
        <w:tblCellMar>
          <w:left w:w="106" w:type="dxa"/>
          <w:right w:w="60" w:type="dxa"/>
        </w:tblCellMar>
        <w:tblLook w:val="04A0" w:firstRow="1" w:lastRow="0" w:firstColumn="1" w:lastColumn="0" w:noHBand="0" w:noVBand="1"/>
      </w:tblPr>
      <w:tblGrid>
        <w:gridCol w:w="2071"/>
        <w:gridCol w:w="6002"/>
        <w:gridCol w:w="616"/>
        <w:gridCol w:w="599"/>
      </w:tblGrid>
      <w:tr w:rsidR="001012A3" w:rsidTr="007D65E5">
        <w:trPr>
          <w:trHeight w:val="278"/>
        </w:trPr>
        <w:tc>
          <w:tcPr>
            <w:tcW w:w="2071" w:type="dxa"/>
            <w:tcBorders>
              <w:top w:val="single" w:sz="4" w:space="0" w:color="000000"/>
              <w:left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lastRenderedPageBreak/>
              <w:t xml:space="preserve">Fonte/Norma </w:t>
            </w:r>
          </w:p>
        </w:tc>
        <w:tc>
          <w:tcPr>
            <w:tcW w:w="6002" w:type="dxa"/>
            <w:tcBorders>
              <w:top w:val="single" w:sz="4" w:space="0" w:color="000000"/>
              <w:left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Questão a identificar </w:t>
            </w:r>
          </w:p>
        </w:tc>
        <w:tc>
          <w:tcPr>
            <w:tcW w:w="616" w:type="dxa"/>
            <w:tcBorders>
              <w:top w:val="single" w:sz="4" w:space="0" w:color="000000"/>
              <w:left w:val="single" w:sz="4" w:space="0" w:color="000000"/>
              <w:right w:val="single" w:sz="4" w:space="0" w:color="auto"/>
            </w:tcBorders>
            <w:shd w:val="clear" w:color="auto" w:fill="D9D9D9" w:themeFill="background1" w:themeFillShade="D9"/>
          </w:tcPr>
          <w:p w:rsidR="001012A3" w:rsidRDefault="001012A3" w:rsidP="007D65E5">
            <w:pPr>
              <w:ind w:left="1"/>
              <w:jc w:val="both"/>
            </w:pPr>
            <w:r>
              <w:rPr>
                <w:rFonts w:eastAsia="Times New Roman" w:cs="Times New Roman"/>
                <w:b/>
                <w:sz w:val="18"/>
              </w:rPr>
              <w:t xml:space="preserve">NÃO </w:t>
            </w:r>
          </w:p>
        </w:tc>
        <w:tc>
          <w:tcPr>
            <w:tcW w:w="599" w:type="dxa"/>
            <w:tcBorders>
              <w:top w:val="single" w:sz="4" w:space="0" w:color="000000"/>
              <w:left w:val="single" w:sz="4" w:space="0" w:color="000000"/>
              <w:right w:val="single" w:sz="4" w:space="0" w:color="auto"/>
            </w:tcBorders>
            <w:shd w:val="clear" w:color="auto" w:fill="D9D9D9" w:themeFill="background1" w:themeFillShade="D9"/>
          </w:tcPr>
          <w:p w:rsidR="001012A3" w:rsidRDefault="001012A3" w:rsidP="007D65E5">
            <w:pPr>
              <w:jc w:val="both"/>
            </w:pPr>
            <w:r>
              <w:rPr>
                <w:rFonts w:eastAsia="Times New Roman" w:cs="Times New Roman"/>
                <w:b/>
                <w:sz w:val="18"/>
              </w:rPr>
              <w:t>SIM</w:t>
            </w:r>
          </w:p>
        </w:tc>
      </w:tr>
      <w:tr w:rsidR="001012A3" w:rsidTr="007D65E5">
        <w:trPr>
          <w:trHeight w:val="709"/>
        </w:trPr>
        <w:tc>
          <w:tcPr>
            <w:tcW w:w="2071" w:type="dxa"/>
            <w:tcBorders>
              <w:top w:val="single" w:sz="4" w:space="0" w:color="000000"/>
              <w:left w:val="single" w:sz="4" w:space="0" w:color="000000"/>
              <w:right w:val="single" w:sz="4" w:space="0" w:color="000000"/>
            </w:tcBorders>
          </w:tcPr>
          <w:p w:rsidR="001012A3" w:rsidRDefault="001012A3" w:rsidP="007D65E5">
            <w:pPr>
              <w:ind w:left="1"/>
            </w:pPr>
            <w:r>
              <w:rPr>
                <w:rFonts w:eastAsia="Times New Roman" w:cs="Times New Roman"/>
                <w:sz w:val="18"/>
              </w:rPr>
              <w:t xml:space="preserve">Lei 10.887/2004, art. 9º, </w:t>
            </w:r>
          </w:p>
          <w:p w:rsidR="001012A3" w:rsidRDefault="001012A3" w:rsidP="007D65E5">
            <w:pPr>
              <w:ind w:left="1"/>
            </w:pPr>
            <w:r>
              <w:rPr>
                <w:rFonts w:eastAsia="Times New Roman" w:cs="Times New Roman"/>
                <w:sz w:val="18"/>
              </w:rPr>
              <w:t xml:space="preserve">III </w:t>
            </w:r>
          </w:p>
        </w:tc>
        <w:tc>
          <w:tcPr>
            <w:tcW w:w="6002" w:type="dxa"/>
            <w:tcBorders>
              <w:top w:val="single" w:sz="4" w:space="0" w:color="000000"/>
              <w:left w:val="single" w:sz="4" w:space="0" w:color="000000"/>
              <w:right w:val="single" w:sz="4" w:space="0" w:color="000000"/>
            </w:tcBorders>
          </w:tcPr>
          <w:p w:rsidR="001012A3" w:rsidRDefault="001012A3" w:rsidP="007D65E5">
            <w:pPr>
              <w:jc w:val="both"/>
            </w:pPr>
            <w:r>
              <w:rPr>
                <w:rFonts w:eastAsia="Times New Roman" w:cs="Times New Roman"/>
                <w:sz w:val="18"/>
              </w:rPr>
              <w:t xml:space="preserve">A unidade gestora disponibiliza aos segurados informações atualizadas sobre receitas e despesas do respectivo regime e critérios e parâmetros adotados para </w:t>
            </w:r>
          </w:p>
          <w:p w:rsidR="001012A3" w:rsidRDefault="001012A3" w:rsidP="007D65E5">
            <w:r>
              <w:rPr>
                <w:rFonts w:eastAsia="Times New Roman" w:cs="Times New Roman"/>
                <w:sz w:val="18"/>
              </w:rPr>
              <w:t xml:space="preserve">Garantir o seu equilíbrio financeiro e atuarial </w:t>
            </w:r>
          </w:p>
        </w:tc>
        <w:tc>
          <w:tcPr>
            <w:tcW w:w="616" w:type="dxa"/>
            <w:tcBorders>
              <w:top w:val="single" w:sz="4" w:space="0" w:color="000000"/>
              <w:left w:val="single" w:sz="4" w:space="0" w:color="000000"/>
              <w:right w:val="single" w:sz="4" w:space="0" w:color="auto"/>
            </w:tcBorders>
          </w:tcPr>
          <w:p w:rsidR="001012A3" w:rsidRDefault="001012A3" w:rsidP="007D65E5">
            <w:pPr>
              <w:ind w:left="1"/>
            </w:pPr>
            <w:r>
              <w:rPr>
                <w:rFonts w:eastAsia="Times New Roman" w:cs="Times New Roman"/>
                <w:b/>
              </w:rPr>
              <w:t xml:space="preserve"> </w:t>
            </w:r>
          </w:p>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right w:val="single" w:sz="4" w:space="0" w:color="auto"/>
            </w:tcBorders>
          </w:tcPr>
          <w:p w:rsidR="001012A3" w:rsidRDefault="001012A3" w:rsidP="007D65E5">
            <w:pPr>
              <w:spacing w:line="276" w:lineRule="auto"/>
            </w:pPr>
          </w:p>
          <w:p w:rsidR="001012A3" w:rsidRDefault="001012A3" w:rsidP="007D65E5"/>
        </w:tc>
      </w:tr>
      <w:tr w:rsidR="001012A3" w:rsidTr="007D65E5">
        <w:trPr>
          <w:trHeight w:val="139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519 MPS/2011, </w:t>
            </w:r>
          </w:p>
          <w:p w:rsidR="001012A3" w:rsidRDefault="001012A3" w:rsidP="007D65E5">
            <w:pPr>
              <w:ind w:left="5"/>
            </w:pPr>
            <w:r>
              <w:rPr>
                <w:rFonts w:eastAsia="Times New Roman" w:cs="Times New Roman"/>
                <w:sz w:val="18"/>
              </w:rPr>
              <w:t xml:space="preserve">art.3º, VIII, alíneas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São disponibilizados aos segurados e pensionistas: </w:t>
            </w:r>
          </w:p>
          <w:p w:rsidR="001012A3" w:rsidRDefault="001012A3" w:rsidP="007D65E5">
            <w:pPr>
              <w:spacing w:line="230" w:lineRule="auto"/>
              <w:jc w:val="both"/>
            </w:pPr>
            <w:r>
              <w:rPr>
                <w:rFonts w:eastAsia="Times New Roman" w:cs="Times New Roman"/>
                <w:sz w:val="18"/>
              </w:rPr>
              <w:t xml:space="preserve">__ política anual de investimentos e suas revisões até 30 dias a partir da data de sua aprovação; </w:t>
            </w:r>
          </w:p>
          <w:p w:rsidR="001012A3" w:rsidRDefault="001012A3" w:rsidP="007D65E5">
            <w:pPr>
              <w:spacing w:line="230" w:lineRule="auto"/>
              <w:jc w:val="both"/>
            </w:pPr>
            <w:r>
              <w:rPr>
                <w:rFonts w:eastAsia="Times New Roman" w:cs="Times New Roman"/>
                <w:sz w:val="18"/>
              </w:rPr>
              <w:t xml:space="preserve">__ composição da carteira de investimentos do RPPS até 30 dias após o encerramento do mês; </w:t>
            </w:r>
          </w:p>
          <w:p w:rsidR="001012A3" w:rsidRDefault="001012A3" w:rsidP="007D65E5">
            <w:r>
              <w:rPr>
                <w:rFonts w:eastAsia="Times New Roman" w:cs="Times New Roman"/>
                <w:sz w:val="18"/>
              </w:rPr>
              <w:t xml:space="preserve">__ relatórios sobre rentabilidade e aplicações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04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jc w:val="both"/>
            </w:pPr>
            <w:r>
              <w:rPr>
                <w:rFonts w:eastAsia="Times New Roman" w:cs="Times New Roman"/>
                <w:sz w:val="18"/>
              </w:rPr>
              <w:t xml:space="preserve">Orientação Normativa 02 SPPS/2009, art.15, III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line="230" w:lineRule="auto"/>
              <w:jc w:val="both"/>
            </w:pPr>
            <w:r>
              <w:rPr>
                <w:rFonts w:eastAsia="Times New Roman" w:cs="Times New Roman"/>
                <w:sz w:val="18"/>
              </w:rPr>
              <w:t xml:space="preserve">A unidade gestora do RPPS disponibiliza ao público informações atualizadas sobre: </w:t>
            </w:r>
          </w:p>
          <w:p w:rsidR="001012A3" w:rsidRDefault="001012A3" w:rsidP="007D65E5">
            <w:r>
              <w:rPr>
                <w:rFonts w:eastAsia="Times New Roman" w:cs="Times New Roman"/>
                <w:sz w:val="18"/>
              </w:rPr>
              <w:t xml:space="preserve">__ as receitas e despesas do respectivo regime. </w:t>
            </w:r>
          </w:p>
          <w:p w:rsidR="001012A3" w:rsidRDefault="001012A3" w:rsidP="007D65E5">
            <w:pPr>
              <w:jc w:val="both"/>
            </w:pPr>
            <w:r>
              <w:rPr>
                <w:rFonts w:eastAsia="Times New Roman" w:cs="Times New Roman"/>
                <w:sz w:val="18"/>
              </w:rPr>
              <w:t xml:space="preserve">__ critérios e parâmetros adotados para garantir o seu equilíbrio financeiro e atuarial.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24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5"/>
            </w:pPr>
            <w:r>
              <w:rPr>
                <w:rFonts w:eastAsia="Times New Roman" w:cs="Times New Roman"/>
                <w:sz w:val="18"/>
              </w:rPr>
              <w:t xml:space="preserve">101/2000, art. 48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São divulgados em meio eletrônico:  </w:t>
            </w:r>
          </w:p>
          <w:p w:rsidR="001012A3" w:rsidRDefault="001012A3" w:rsidP="007D65E5">
            <w:r>
              <w:rPr>
                <w:rFonts w:eastAsia="Times New Roman" w:cs="Times New Roman"/>
                <w:sz w:val="18"/>
              </w:rPr>
              <w:t xml:space="preserve">__LDO do Município </w:t>
            </w:r>
          </w:p>
          <w:p w:rsidR="001012A3" w:rsidRDefault="001012A3" w:rsidP="007D65E5">
            <w:r>
              <w:rPr>
                <w:rFonts w:eastAsia="Times New Roman" w:cs="Times New Roman"/>
                <w:sz w:val="18"/>
              </w:rPr>
              <w:t xml:space="preserve">__Prestação de contas do RPPS </w:t>
            </w:r>
          </w:p>
          <w:p w:rsidR="001012A3" w:rsidRDefault="001012A3" w:rsidP="007D65E5">
            <w:r>
              <w:rPr>
                <w:rFonts w:eastAsia="Times New Roman" w:cs="Times New Roman"/>
                <w:sz w:val="18"/>
              </w:rPr>
              <w:t xml:space="preserve">__Relatório de Gestão Fiscal </w:t>
            </w:r>
          </w:p>
          <w:p w:rsidR="001012A3" w:rsidRDefault="001012A3" w:rsidP="007D65E5">
            <w:r>
              <w:rPr>
                <w:rFonts w:eastAsia="Times New Roman" w:cs="Times New Roman"/>
                <w:sz w:val="18"/>
              </w:rPr>
              <w:t xml:space="preserve">__Relatório resumido da execução orçamentária </w:t>
            </w:r>
          </w:p>
          <w:p w:rsidR="001012A3" w:rsidRDefault="001012A3" w:rsidP="007D65E5">
            <w:r>
              <w:rPr>
                <w:rFonts w:eastAsia="Times New Roman" w:cs="Times New Roman"/>
                <w:sz w:val="18"/>
              </w:rPr>
              <w:t xml:space="preserve">__Informações pormenorizadas sobre a gestão dos recursos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5"/>
            </w:pPr>
            <w:r>
              <w:rPr>
                <w:rFonts w:eastAsia="Times New Roman" w:cs="Times New Roman"/>
                <w:sz w:val="18"/>
              </w:rPr>
              <w:t xml:space="preserve">101/2000, art. 53, § 1º, 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ente apresenta e divulga no último bimestre do exercício Relatório Resumido da Execução Orçamentária acompanhado das projeções atuariais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25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5"/>
            </w:pPr>
            <w:r>
              <w:rPr>
                <w:rFonts w:eastAsia="Times New Roman" w:cs="Times New Roman"/>
                <w:sz w:val="18"/>
              </w:rPr>
              <w:t xml:space="preserve">10/2000, art. 58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prestação de contas contém: </w:t>
            </w:r>
          </w:p>
          <w:p w:rsidR="001012A3" w:rsidRDefault="001012A3" w:rsidP="007D65E5">
            <w:r>
              <w:rPr>
                <w:rFonts w:eastAsia="Times New Roman" w:cs="Times New Roman"/>
                <w:sz w:val="18"/>
              </w:rPr>
              <w:t xml:space="preserve">__ Desempenho da arrecadação em relação à previsão. </w:t>
            </w:r>
          </w:p>
          <w:p w:rsidR="001012A3" w:rsidRDefault="001012A3" w:rsidP="007D65E5">
            <w:pPr>
              <w:spacing w:line="230" w:lineRule="auto"/>
            </w:pPr>
            <w:r>
              <w:rPr>
                <w:rFonts w:eastAsia="Times New Roman" w:cs="Times New Roman"/>
                <w:sz w:val="18"/>
              </w:rPr>
              <w:t xml:space="preserve">__ Providências adotadas no âmbito da fiscalização das receitas e combate à sonegação. </w:t>
            </w:r>
          </w:p>
          <w:p w:rsidR="001012A3" w:rsidRDefault="001012A3" w:rsidP="007D65E5">
            <w:r>
              <w:rPr>
                <w:rFonts w:eastAsia="Times New Roman" w:cs="Times New Roman"/>
                <w:sz w:val="18"/>
              </w:rPr>
              <w:t xml:space="preserve">__Ações de recuperação de créditos nas instâncias administrativa e judicial. </w:t>
            </w:r>
          </w:p>
          <w:p w:rsidR="001012A3" w:rsidRDefault="001012A3" w:rsidP="007D65E5">
            <w:r>
              <w:rPr>
                <w:rFonts w:eastAsia="Times New Roman" w:cs="Times New Roman"/>
                <w:sz w:val="18"/>
              </w:rPr>
              <w:t>_</w:t>
            </w:r>
            <w:proofErr w:type="gramStart"/>
            <w:r>
              <w:rPr>
                <w:rFonts w:eastAsia="Times New Roman" w:cs="Times New Roman"/>
                <w:sz w:val="18"/>
              </w:rPr>
              <w:t>_ Demais</w:t>
            </w:r>
            <w:proofErr w:type="gramEnd"/>
            <w:r>
              <w:rPr>
                <w:rFonts w:eastAsia="Times New Roman" w:cs="Times New Roman"/>
                <w:sz w:val="18"/>
              </w:rPr>
              <w:t xml:space="preserve"> medidas para incremento das receitas tributárias e de contribuições.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07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12.527/2011, art. 8º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line="230" w:lineRule="auto"/>
            </w:pPr>
            <w:r>
              <w:rPr>
                <w:rFonts w:eastAsia="Times New Roman" w:cs="Times New Roman"/>
                <w:sz w:val="18"/>
              </w:rPr>
              <w:t xml:space="preserve">A unidade gestora divulga na internet (Municípios com mais de 10 mil habitantes): </w:t>
            </w:r>
          </w:p>
          <w:p w:rsidR="001012A3" w:rsidRDefault="001012A3" w:rsidP="007D65E5">
            <w:pPr>
              <w:spacing w:line="236" w:lineRule="auto"/>
            </w:pPr>
            <w:r>
              <w:rPr>
                <w:rFonts w:eastAsia="Times New Roman" w:cs="Times New Roman"/>
                <w:sz w:val="18"/>
              </w:rPr>
              <w:t xml:space="preserve">__ as atribuições da entidade, a estrutura organizacional, endereços e telefones e horários de atendimento ao público.  </w:t>
            </w:r>
          </w:p>
          <w:p w:rsidR="001012A3" w:rsidRDefault="001012A3" w:rsidP="007D65E5">
            <w:r>
              <w:rPr>
                <w:rFonts w:eastAsia="Times New Roman" w:cs="Times New Roman"/>
                <w:sz w:val="18"/>
              </w:rPr>
              <w:t xml:space="preserve">__ os repasses ou transferências de recursos financeiros.  </w:t>
            </w:r>
          </w:p>
          <w:p w:rsidR="001012A3" w:rsidRDefault="001012A3" w:rsidP="007D65E5">
            <w:r>
              <w:rPr>
                <w:rFonts w:eastAsia="Times New Roman" w:cs="Times New Roman"/>
                <w:sz w:val="18"/>
              </w:rPr>
              <w:t xml:space="preserve">__ as despesas.  </w:t>
            </w:r>
          </w:p>
          <w:p w:rsidR="001012A3" w:rsidRDefault="001012A3" w:rsidP="007D65E5">
            <w:pPr>
              <w:spacing w:line="230" w:lineRule="auto"/>
              <w:jc w:val="both"/>
            </w:pPr>
            <w:r>
              <w:rPr>
                <w:rFonts w:eastAsia="Times New Roman" w:cs="Times New Roman"/>
                <w:sz w:val="18"/>
              </w:rPr>
              <w:t xml:space="preserve">__ informações concernentes a procedimentos licitatórios, inclusive os respectivos editais e resultados, bem como a todos os contratos celebrados.  </w:t>
            </w:r>
          </w:p>
          <w:p w:rsidR="001012A3" w:rsidRDefault="001012A3" w:rsidP="007D65E5">
            <w:r>
              <w:rPr>
                <w:rFonts w:eastAsia="Times New Roman" w:cs="Times New Roman"/>
                <w:sz w:val="18"/>
              </w:rPr>
              <w:t xml:space="preserve">__ dados gerais para o acompanhamento de ações e projetos. </w:t>
            </w:r>
          </w:p>
          <w:p w:rsidR="001012A3" w:rsidRDefault="001012A3" w:rsidP="007D65E5">
            <w:r>
              <w:rPr>
                <w:rFonts w:eastAsia="Times New Roman" w:cs="Times New Roman"/>
                <w:sz w:val="18"/>
              </w:rPr>
              <w:lastRenderedPageBreak/>
              <w:t xml:space="preserve">__ respostas a perguntas mais frequentes da sociedade.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lastRenderedPageBreak/>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49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12.527/2011, art. 8º, </w:t>
            </w:r>
          </w:p>
          <w:p w:rsidR="001012A3" w:rsidRDefault="001012A3" w:rsidP="007D65E5">
            <w:pPr>
              <w:ind w:left="5"/>
            </w:pPr>
            <w:r>
              <w:rPr>
                <w:rFonts w:eastAsia="Times New Roman" w:cs="Times New Roman"/>
                <w:sz w:val="18"/>
              </w:rPr>
              <w:t>§ 3</w:t>
            </w:r>
            <w:r>
              <w:rPr>
                <w:rFonts w:eastAsia="Times New Roman" w:cs="Times New Roman"/>
                <w:sz w:val="18"/>
                <w:u w:val="single" w:color="000000"/>
                <w:vertAlign w:val="superscript"/>
              </w:rPr>
              <w:t>o</w:t>
            </w:r>
            <w:r>
              <w:rPr>
                <w:rFonts w:eastAsia="Times New Roman" w:cs="Times New Roman"/>
                <w:sz w:val="18"/>
              </w:rPr>
              <w:t xml:space="preserve">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sítio eletrônico da unidade gestora: </w:t>
            </w:r>
          </w:p>
          <w:p w:rsidR="001012A3" w:rsidRDefault="001012A3" w:rsidP="007D65E5">
            <w:pPr>
              <w:spacing w:line="230" w:lineRule="auto"/>
              <w:ind w:right="9"/>
              <w:jc w:val="both"/>
            </w:pPr>
            <w:r>
              <w:rPr>
                <w:rFonts w:eastAsia="Times New Roman" w:cs="Times New Roman"/>
                <w:sz w:val="18"/>
              </w:rPr>
              <w:t xml:space="preserve">__contém ferramenta de pesquisa de conteúdo que permita o acesso à informação de forma objetiva, transparente, clara e em linguagem de fácil compreensão.  </w:t>
            </w:r>
          </w:p>
          <w:p w:rsidR="001012A3" w:rsidRDefault="001012A3" w:rsidP="007D65E5">
            <w:pPr>
              <w:spacing w:line="230" w:lineRule="auto"/>
              <w:ind w:right="9"/>
              <w:jc w:val="both"/>
            </w:pPr>
            <w:r>
              <w:rPr>
                <w:rFonts w:eastAsia="Times New Roman" w:cs="Times New Roman"/>
                <w:sz w:val="18"/>
              </w:rPr>
              <w:t xml:space="preserve">__ possibilita a gravação de relatórios em diversos formatos eletrônicos, inclusive abertos e não proprietários, tais como planilhas e texto, de modo a facilitar a análise das informações.  </w:t>
            </w:r>
          </w:p>
          <w:p w:rsidR="001012A3" w:rsidRDefault="001012A3" w:rsidP="007D65E5">
            <w:pPr>
              <w:spacing w:line="230" w:lineRule="auto"/>
            </w:pPr>
            <w:r>
              <w:rPr>
                <w:rFonts w:eastAsia="Times New Roman" w:cs="Times New Roman"/>
                <w:sz w:val="18"/>
              </w:rPr>
              <w:t xml:space="preserve">__ possibilita o acesso automatizado por sistemas externos em formatos abertos, estruturados e legíveis por máquina.  </w:t>
            </w:r>
          </w:p>
          <w:p w:rsidR="001012A3" w:rsidRDefault="001012A3" w:rsidP="007D65E5">
            <w:pPr>
              <w:ind w:right="11"/>
              <w:jc w:val="both"/>
            </w:pPr>
            <w:r>
              <w:rPr>
                <w:rFonts w:eastAsia="Times New Roman" w:cs="Times New Roman"/>
                <w:sz w:val="18"/>
              </w:rPr>
              <w:t xml:space="preserve">__ divulga em detalhes os formatos utilizados para estruturação da informação.  __ garante a autenticidade e a integridade das informações disponíveis para acesso.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04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__ mantém atualizadas as informações disponíveis para acesso.  </w:t>
            </w:r>
          </w:p>
          <w:p w:rsidR="001012A3" w:rsidRDefault="001012A3" w:rsidP="007D65E5">
            <w:pPr>
              <w:spacing w:line="230" w:lineRule="auto"/>
              <w:jc w:val="both"/>
            </w:pPr>
            <w:r>
              <w:rPr>
                <w:rFonts w:eastAsia="Times New Roman" w:cs="Times New Roman"/>
                <w:sz w:val="18"/>
              </w:rPr>
              <w:t xml:space="preserve">__ indica local e instruções que permitam ao interessado comunicar-se, por via eletrônica ou telefônica, com o órgão ou entidade detentora do sítio.  </w:t>
            </w:r>
          </w:p>
          <w:p w:rsidR="001012A3" w:rsidRDefault="001012A3" w:rsidP="007D65E5">
            <w:r>
              <w:rPr>
                <w:rFonts w:eastAsia="Times New Roman" w:cs="Times New Roman"/>
                <w:sz w:val="18"/>
              </w:rPr>
              <w:t xml:space="preserve">__ adotar as medidas necessárias para garantir a acessibilidade de conteúdo para pessoas com deficiência.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tc>
      </w:tr>
      <w:tr w:rsidR="001012A3" w:rsidTr="007D65E5">
        <w:trPr>
          <w:trHeight w:val="840"/>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12.527/2011, art. 9º, </w:t>
            </w:r>
          </w:p>
          <w:p w:rsidR="001012A3" w:rsidRDefault="001012A3" w:rsidP="007D65E5">
            <w:pPr>
              <w:ind w:left="1"/>
            </w:pPr>
            <w:r>
              <w:rPr>
                <w:rFonts w:eastAsia="Times New Roman" w:cs="Times New Roman"/>
                <w:sz w:val="18"/>
              </w:rPr>
              <w:t xml:space="preserve">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 O ente (ou unidade gestora) possui serviço de informação ao cidadão que: </w:t>
            </w:r>
          </w:p>
          <w:p w:rsidR="001012A3" w:rsidRDefault="001012A3" w:rsidP="007D65E5">
            <w:r>
              <w:rPr>
                <w:rFonts w:eastAsia="Times New Roman" w:cs="Times New Roman"/>
                <w:sz w:val="18"/>
              </w:rPr>
              <w:t xml:space="preserve">__atenda e orienta o público quanto ao acesso a informações.  </w:t>
            </w:r>
          </w:p>
          <w:p w:rsidR="001012A3" w:rsidRDefault="001012A3" w:rsidP="007D65E5">
            <w:r>
              <w:rPr>
                <w:rFonts w:eastAsia="Times New Roman" w:cs="Times New Roman"/>
                <w:sz w:val="18"/>
              </w:rPr>
              <w:t xml:space="preserve">__ informar sobre a tramitação de documentos nas suas respectivas unidades.  </w:t>
            </w:r>
          </w:p>
          <w:p w:rsidR="001012A3" w:rsidRDefault="001012A3" w:rsidP="007D65E5">
            <w:r>
              <w:rPr>
                <w:rFonts w:eastAsia="Times New Roman" w:cs="Times New Roman"/>
                <w:sz w:val="18"/>
              </w:rPr>
              <w:t xml:space="preserve">__ protocolizar documentos e requerimentos de acesso a informações.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8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12.527/2011, art. 11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unidade gestora concede acesso imediato à informação disponível.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jc w:val="both"/>
            </w:pPr>
            <w:r>
              <w:rPr>
                <w:rFonts w:eastAsia="Times New Roman" w:cs="Times New Roman"/>
                <w:sz w:val="18"/>
              </w:rPr>
              <w:t>Lei 12.527/2011, art. 11, § 3</w:t>
            </w:r>
            <w:r>
              <w:rPr>
                <w:rFonts w:eastAsia="Times New Roman" w:cs="Times New Roman"/>
                <w:sz w:val="18"/>
                <w:u w:val="single" w:color="000000"/>
                <w:vertAlign w:val="superscript"/>
              </w:rPr>
              <w:t>o</w:t>
            </w:r>
            <w:r>
              <w:rPr>
                <w:rFonts w:eastAsia="Times New Roman" w:cs="Times New Roman"/>
                <w:sz w:val="18"/>
              </w:rPr>
              <w:t xml:space="preserve">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unidade gestora oferece meios para que o requerente possa pesquisar a informação que necessitar.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bl>
    <w:p w:rsidR="001012A3" w:rsidRDefault="001012A3" w:rsidP="001012A3">
      <w:r>
        <w:br w:type="page"/>
      </w:r>
    </w:p>
    <w:tbl>
      <w:tblPr>
        <w:tblStyle w:val="TableGrid"/>
        <w:tblW w:w="9288" w:type="dxa"/>
        <w:tblInd w:w="153" w:type="dxa"/>
        <w:tblCellMar>
          <w:left w:w="106" w:type="dxa"/>
          <w:right w:w="60" w:type="dxa"/>
        </w:tblCellMar>
        <w:tblLook w:val="04A0" w:firstRow="1" w:lastRow="0" w:firstColumn="1" w:lastColumn="0" w:noHBand="0" w:noVBand="1"/>
      </w:tblPr>
      <w:tblGrid>
        <w:gridCol w:w="2071"/>
        <w:gridCol w:w="6002"/>
        <w:gridCol w:w="616"/>
        <w:gridCol w:w="599"/>
      </w:tblGrid>
      <w:tr w:rsidR="001012A3" w:rsidTr="007D65E5">
        <w:trPr>
          <w:trHeight w:val="136"/>
        </w:trPr>
        <w:tc>
          <w:tcPr>
            <w:tcW w:w="2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lastRenderedPageBreak/>
              <w:t xml:space="preserve">Fonte/Norma </w:t>
            </w:r>
          </w:p>
        </w:tc>
        <w:tc>
          <w:tcPr>
            <w:tcW w:w="60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Questão a identificar </w:t>
            </w:r>
          </w:p>
        </w:tc>
        <w:tc>
          <w:tcPr>
            <w:tcW w:w="6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ind w:left="1"/>
              <w:jc w:val="both"/>
            </w:pPr>
            <w:r>
              <w:rPr>
                <w:rFonts w:eastAsia="Times New Roman" w:cs="Times New Roman"/>
                <w:b/>
                <w:sz w:val="18"/>
              </w:rPr>
              <w:t xml:space="preserve">NÃO </w:t>
            </w: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both"/>
            </w:pPr>
            <w:r>
              <w:rPr>
                <w:rFonts w:eastAsia="Times New Roman" w:cs="Times New Roman"/>
                <w:b/>
                <w:sz w:val="18"/>
              </w:rPr>
              <w:t>SIM</w:t>
            </w:r>
          </w:p>
        </w:tc>
      </w:tr>
      <w:tr w:rsidR="001012A3" w:rsidTr="007D65E5">
        <w:trPr>
          <w:trHeight w:val="42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12.527/2011, art. 45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Município institucionalizou o direito de acesso à informação no âmbito municipal (definindo em Lei regras específicas).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14"/>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1"/>
            </w:pPr>
            <w:r>
              <w:rPr>
                <w:rFonts w:eastAsia="Times New Roman" w:cs="Times New Roman"/>
                <w:b/>
                <w:sz w:val="18"/>
              </w:rPr>
              <w:t xml:space="preserve">Participação e interação do segurado </w:t>
            </w:r>
            <w:r>
              <w:rPr>
                <w:rFonts w:eastAsia="Times New Roman" w:cs="Times New Roman"/>
                <w:b/>
              </w:rPr>
              <w:t xml:space="preserve"> </w:t>
            </w:r>
          </w:p>
        </w:tc>
      </w:tr>
      <w:tr w:rsidR="001012A3" w:rsidTr="007D65E5">
        <w:trPr>
          <w:trHeight w:val="166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w:t>
            </w:r>
          </w:p>
          <w:p w:rsidR="001012A3" w:rsidRDefault="001012A3" w:rsidP="007D65E5">
            <w:pPr>
              <w:ind w:left="1"/>
            </w:pPr>
            <w:r>
              <w:rPr>
                <w:rFonts w:eastAsia="Times New Roman" w:cs="Times New Roman"/>
                <w:sz w:val="18"/>
              </w:rPr>
              <w:t xml:space="preserve">VI </w:t>
            </w:r>
          </w:p>
          <w:p w:rsidR="001012A3" w:rsidRDefault="001012A3" w:rsidP="007D65E5">
            <w:pPr>
              <w:ind w:left="1"/>
            </w:pPr>
            <w:r>
              <w:rPr>
                <w:rFonts w:eastAsia="Times New Roman" w:cs="Times New Roman"/>
                <w:sz w:val="18"/>
              </w:rPr>
              <w:t xml:space="preserve"> </w:t>
            </w:r>
          </w:p>
          <w:p w:rsidR="001012A3" w:rsidRDefault="001012A3" w:rsidP="007D65E5">
            <w:pPr>
              <w:spacing w:line="230" w:lineRule="auto"/>
              <w:ind w:left="1"/>
            </w:pPr>
            <w:r>
              <w:rPr>
                <w:rFonts w:eastAsia="Times New Roman" w:cs="Times New Roman"/>
                <w:sz w:val="18"/>
              </w:rPr>
              <w:t xml:space="preserve">Portaria 402 MPS/2008, art.10 </w:t>
            </w:r>
          </w:p>
          <w:p w:rsidR="001012A3" w:rsidRDefault="001012A3" w:rsidP="007D65E5">
            <w:pPr>
              <w:ind w:left="1"/>
            </w:pPr>
            <w:r>
              <w:rPr>
                <w:rFonts w:eastAsia="Times New Roman" w:cs="Times New Roman"/>
                <w:sz w:val="18"/>
              </w:rPr>
              <w:t xml:space="preserve"> </w:t>
            </w:r>
          </w:p>
          <w:p w:rsidR="001012A3" w:rsidRDefault="001012A3" w:rsidP="007D65E5">
            <w:pPr>
              <w:ind w:left="1"/>
            </w:pPr>
            <w:r>
              <w:rPr>
                <w:rFonts w:eastAsia="Times New Roman" w:cs="Times New Roman"/>
                <w:sz w:val="18"/>
              </w:rPr>
              <w:t xml:space="preserve">Orientação Normativa 02 </w:t>
            </w:r>
          </w:p>
          <w:p w:rsidR="001012A3" w:rsidRDefault="001012A3" w:rsidP="007D65E5">
            <w:pPr>
              <w:ind w:left="1"/>
            </w:pPr>
            <w:r>
              <w:rPr>
                <w:rFonts w:eastAsia="Times New Roman" w:cs="Times New Roman"/>
                <w:sz w:val="18"/>
              </w:rPr>
              <w:t xml:space="preserve">SPPS/2009, art.15, 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11"/>
              <w:jc w:val="both"/>
            </w:pPr>
            <w:r>
              <w:rPr>
                <w:rFonts w:eastAsia="Times New Roman" w:cs="Times New Roman"/>
                <w:sz w:val="18"/>
              </w:rPr>
              <w:t xml:space="preserve">Há participação de representantes dos servidores públicos ativos e inativos nos colegiados e instâncias de decisão em que seus interesses sejam objeto de discussão e deliberação.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10.887/2004, art. 9º, </w:t>
            </w:r>
          </w:p>
          <w:p w:rsidR="001012A3" w:rsidRDefault="001012A3" w:rsidP="007D65E5">
            <w:pPr>
              <w:ind w:left="1"/>
            </w:pPr>
            <w:r>
              <w:rPr>
                <w:rFonts w:eastAsia="Times New Roman" w:cs="Times New Roman"/>
                <w:sz w:val="18"/>
              </w:rPr>
              <w:t xml:space="preserve">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unidade gestora possui colegiado com participação paritária de representantes e de servidores dos poderes.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10.887/2004, art. 9º, </w:t>
            </w:r>
          </w:p>
          <w:p w:rsidR="001012A3" w:rsidRDefault="001012A3" w:rsidP="007D65E5">
            <w:pPr>
              <w:ind w:left="1"/>
            </w:pPr>
            <w:r>
              <w:rPr>
                <w:rFonts w:eastAsia="Times New Roman" w:cs="Times New Roman"/>
                <w:sz w:val="18"/>
              </w:rPr>
              <w:t xml:space="preserve">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colegiado acompanha e fiscaliza a administração.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14"/>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1"/>
            </w:pPr>
            <w:r>
              <w:rPr>
                <w:rFonts w:eastAsia="Times New Roman" w:cs="Times New Roman"/>
                <w:b/>
                <w:sz w:val="18"/>
              </w:rPr>
              <w:t xml:space="preserve">Mecanismos de controle </w:t>
            </w:r>
            <w:r>
              <w:rPr>
                <w:rFonts w:eastAsia="Times New Roman" w:cs="Times New Roman"/>
                <w:b/>
              </w:rPr>
              <w:t xml:space="preserve"> </w:t>
            </w:r>
          </w:p>
        </w:tc>
      </w:tr>
      <w:tr w:rsidR="001012A3" w:rsidTr="007D65E5">
        <w:trPr>
          <w:trHeight w:val="28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195, II, § 3º </w:t>
            </w:r>
            <w:r>
              <w:rPr>
                <w:rFonts w:eastAsia="Times New Roman" w:cs="Times New Roman"/>
                <w:b/>
              </w:rPr>
              <w:t xml:space="preserve">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ente está em débito com o sistema de seguridade social.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8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é organizado com base em normas gerais de contabilidade e atuária.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Foi realizada avaliação atuarial inicial para organização e revisão do plano de custeio e benefícios.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Em cada balanço é realizada a avaliação atuarial para organização e revisão do plano de custeio e benefícios.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0"/>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w:t>
            </w:r>
          </w:p>
          <w:p w:rsidR="001012A3" w:rsidRDefault="001012A3" w:rsidP="007D65E5">
            <w:pPr>
              <w:ind w:left="1"/>
            </w:pPr>
            <w:r>
              <w:rPr>
                <w:rFonts w:eastAsia="Times New Roman" w:cs="Times New Roman"/>
                <w:sz w:val="18"/>
              </w:rPr>
              <w:t xml:space="preserve">III </w:t>
            </w:r>
          </w:p>
          <w:p w:rsidR="001012A3" w:rsidRDefault="001012A3" w:rsidP="007D65E5">
            <w:pPr>
              <w:ind w:left="1"/>
            </w:pPr>
            <w:r>
              <w:rPr>
                <w:rFonts w:eastAsia="Times New Roman" w:cs="Times New Roman"/>
                <w:sz w:val="18"/>
              </w:rPr>
              <w:t xml:space="preserve">Portaria 402 MPS/2008, </w:t>
            </w:r>
          </w:p>
          <w:p w:rsidR="001012A3" w:rsidRDefault="001012A3" w:rsidP="007D65E5">
            <w:pPr>
              <w:ind w:left="1"/>
            </w:pPr>
            <w:r>
              <w:rPr>
                <w:rFonts w:eastAsia="Times New Roman" w:cs="Times New Roman"/>
                <w:sz w:val="18"/>
              </w:rPr>
              <w:t>art. 13,</w:t>
            </w:r>
            <w:r>
              <w:rPr>
                <w:rFonts w:eastAsia="Times New Roman" w:cs="Times New Roman"/>
              </w:rPr>
              <w:t xml:space="preserve"> </w:t>
            </w:r>
            <w:r>
              <w:rPr>
                <w:rFonts w:eastAsia="Times New Roman" w:cs="Times New Roman"/>
                <w:sz w:val="18"/>
              </w:rPr>
              <w:t xml:space="preserve">§ 2º, IV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Há vinculação das receitas do Fundo Previdenciário com as despesas referentes ao pagamento dos benefícios do RPPS e das despesas administrativas.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IV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Há um número mínimo de segurados cobertos pelo RPPS de forma a garantir diretamente a totalidade dos riscos cobertos no plano de benefícios.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Há pagamento de benefícios mediante convênios ou consórcios entre Estados, entre Estados e Municípios e entre Municípios (não pode).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8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9.717/1998, art. 1º, VII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registro contábil individualizado das contribuições de cada servidor. </w:t>
            </w:r>
          </w:p>
          <w:p w:rsidR="001012A3" w:rsidRDefault="001012A3" w:rsidP="007D65E5">
            <w:r>
              <w:rPr>
                <w:rFonts w:eastAsia="Times New Roman" w:cs="Times New Roman"/>
                <w:sz w:val="18"/>
              </w:rPr>
              <w:t xml:space="preserv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8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after="21"/>
              <w:ind w:left="1"/>
            </w:pPr>
            <w:r>
              <w:rPr>
                <w:rFonts w:eastAsia="Times New Roman" w:cs="Times New Roman"/>
                <w:sz w:val="18"/>
              </w:rPr>
              <w:t xml:space="preserve">Portaria 402 MPS/2008, </w:t>
            </w:r>
          </w:p>
          <w:p w:rsidR="001012A3" w:rsidRDefault="001012A3" w:rsidP="007D65E5">
            <w:pPr>
              <w:ind w:left="1"/>
            </w:pPr>
            <w:r>
              <w:rPr>
                <w:rFonts w:eastAsia="Times New Roman" w:cs="Times New Roman"/>
                <w:sz w:val="18"/>
              </w:rPr>
              <w:t xml:space="preserve">art.16, 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escrituração contábil do RPPS é distinta da mantida pelo Município.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lastRenderedPageBreak/>
              <w:t xml:space="preserve">Lei 9.717/1998, art. 1º, VIII </w:t>
            </w:r>
          </w:p>
        </w:tc>
        <w:tc>
          <w:tcPr>
            <w:tcW w:w="6002" w:type="dxa"/>
            <w:vMerge w:val="restart"/>
            <w:tcBorders>
              <w:top w:val="single" w:sz="4" w:space="0" w:color="000000"/>
              <w:left w:val="single" w:sz="4" w:space="0" w:color="000000"/>
              <w:right w:val="single" w:sz="4" w:space="0" w:color="000000"/>
            </w:tcBorders>
          </w:tcPr>
          <w:p w:rsidR="001012A3" w:rsidRDefault="001012A3" w:rsidP="007D65E5">
            <w:pPr>
              <w:jc w:val="both"/>
            </w:pPr>
            <w:r>
              <w:rPr>
                <w:rFonts w:eastAsia="Times New Roman" w:cs="Times New Roman"/>
                <w:sz w:val="18"/>
              </w:rPr>
              <w:t xml:space="preserve">As despesas fixas e variáveis com pessoal inativo e pensionistas, bem como dos encargos incidentes sobre os proventos e pensões pagos são identificadas e </w:t>
            </w:r>
          </w:p>
          <w:p w:rsidR="001012A3" w:rsidRDefault="001012A3" w:rsidP="007D65E5">
            <w:r>
              <w:rPr>
                <w:rFonts w:eastAsia="Times New Roman" w:cs="Times New Roman"/>
                <w:sz w:val="18"/>
              </w:rPr>
              <w:t xml:space="preserve">Consolidadas em demonstrativos financeiros e orçamentários.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21"/>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tc>
        <w:tc>
          <w:tcPr>
            <w:tcW w:w="6002" w:type="dxa"/>
            <w:vMerge/>
            <w:tcBorders>
              <w:left w:val="single" w:sz="4" w:space="0" w:color="000000"/>
              <w:bottom w:val="single" w:sz="4" w:space="0" w:color="000000"/>
              <w:right w:val="single" w:sz="4" w:space="0" w:color="000000"/>
            </w:tcBorders>
          </w:tcPr>
          <w:p w:rsidR="001012A3" w:rsidRDefault="001012A3" w:rsidP="007D65E5"/>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1º, IX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9"/>
              <w:jc w:val="both"/>
            </w:pPr>
            <w:r>
              <w:rPr>
                <w:rFonts w:eastAsia="Times New Roman" w:cs="Times New Roman"/>
                <w:sz w:val="18"/>
              </w:rPr>
              <w:t xml:space="preserve">A unidade gestora se sujeita às inspeções e auditorias de natureza atuarial, contábil, financeira, orçamentária e patrimonial dos órgãos de controle interno e externo.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Existem fundos integrados de bens, direitos e ativos com finalidade previdenciária.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8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conta do fundo previdenciário é distinta da conta do tesouro do município.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IV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Os recursos do fundo previdenciário são aplicados conforme estabelecido pelo Conselho Monetário Nacional.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Os recursos do fundo de bens, direitos e ativos são concedidos como empréstimos (não pode)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VI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Os recursos do fundo previdenciários são aplicados em títulos públicos (só podem títulos do Governo Federal).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VII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Os bens, direitos e ativos integrados ao fundo são avaliados conforme a Lei 4320/1964.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VIII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limite para a taxa de administração.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9.717/1998, art. 6º, IX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fundo previdenciário foi constituído/extinto mediante lei.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10.887/2004, art. 9º, </w:t>
            </w:r>
          </w:p>
          <w:p w:rsidR="001012A3" w:rsidRDefault="001012A3" w:rsidP="007D65E5">
            <w:pPr>
              <w:ind w:left="5"/>
            </w:pPr>
            <w:r>
              <w:rPr>
                <w:rFonts w:eastAsia="Times New Roman" w:cs="Times New Roman"/>
                <w:sz w:val="18"/>
              </w:rPr>
              <w:t xml:space="preserve">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colegiado acompanha e fiscaliza a administração.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As contribuições arrecadadas são devidamente repassadas pelo ente à unidade gestora.</w:t>
            </w:r>
            <w:r>
              <w:rPr>
                <w:rFonts w:eastAsia="Times New Roman" w:cs="Times New Roman"/>
                <w:b/>
                <w:sz w:val="18"/>
              </w:rPr>
              <w:t xml:space="preserv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78"/>
        </w:trPr>
        <w:tc>
          <w:tcPr>
            <w:tcW w:w="2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Fonte/Norma </w:t>
            </w:r>
          </w:p>
        </w:tc>
        <w:tc>
          <w:tcPr>
            <w:tcW w:w="60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Questão a identificar </w:t>
            </w:r>
          </w:p>
        </w:tc>
        <w:tc>
          <w:tcPr>
            <w:tcW w:w="6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ind w:left="1"/>
              <w:jc w:val="both"/>
            </w:pPr>
            <w:r>
              <w:rPr>
                <w:rFonts w:eastAsia="Times New Roman" w:cs="Times New Roman"/>
                <w:b/>
                <w:sz w:val="18"/>
              </w:rPr>
              <w:t xml:space="preserve">NÃO </w:t>
            </w: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both"/>
            </w:pPr>
            <w:r>
              <w:rPr>
                <w:rFonts w:eastAsia="Times New Roman" w:cs="Times New Roman"/>
                <w:b/>
                <w:sz w:val="18"/>
              </w:rPr>
              <w:t>SIM</w:t>
            </w:r>
          </w:p>
        </w:tc>
      </w:tr>
      <w:tr w:rsidR="001012A3" w:rsidTr="007D65E5">
        <w:trPr>
          <w:trHeight w:val="835"/>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w:t>
            </w:r>
          </w:p>
          <w:p w:rsidR="001012A3" w:rsidRDefault="001012A3" w:rsidP="007D65E5">
            <w:pPr>
              <w:ind w:left="5"/>
            </w:pPr>
            <w:r>
              <w:rPr>
                <w:rFonts w:eastAsia="Times New Roman" w:cs="Times New Roman"/>
                <w:sz w:val="18"/>
              </w:rPr>
              <w:t xml:space="preserve">art.6º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5"/>
              <w:jc w:val="both"/>
            </w:pPr>
            <w:r>
              <w:rPr>
                <w:rFonts w:eastAsia="Times New Roman" w:cs="Times New Roman"/>
                <w:sz w:val="18"/>
              </w:rPr>
              <w:t xml:space="preserve">Há envio à SPPS por meio do Demonstrativo de Informações Previdenciárias e Repasse (DIPR) das bases de cálculo, dos valores arrecadados e demais informações úteis à verificação do cumprimento do caráter contributivo e da utilização dos recursos.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w:t>
            </w:r>
          </w:p>
          <w:p w:rsidR="001012A3" w:rsidRDefault="001012A3" w:rsidP="007D65E5">
            <w:pPr>
              <w:ind w:left="5"/>
            </w:pPr>
            <w:r>
              <w:rPr>
                <w:rFonts w:eastAsia="Times New Roman" w:cs="Times New Roman"/>
                <w:sz w:val="18"/>
              </w:rPr>
              <w:t xml:space="preserve">art.8º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Ocorrem reavaliações atuariais em cada exercício financeiro.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art.13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Os recursos previdenciários são usados apenas para pagamento dos benefícios previdenciários e para a Taxa de Administração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3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art.15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7"/>
              <w:jc w:val="both"/>
            </w:pPr>
            <w:r>
              <w:rPr>
                <w:rFonts w:eastAsia="Times New Roman" w:cs="Times New Roman"/>
                <w:sz w:val="18"/>
              </w:rPr>
              <w:t xml:space="preserve">A taxa de administração está prevista em lei e obedece ao limite de até dois pontos percentuais do valor total das remunerações, proventos e pensões dos segurados vinculados ao RPPS, relativo ao exercício financeiro anterior.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jc w:val="both"/>
            </w:pPr>
            <w:r>
              <w:rPr>
                <w:rFonts w:eastAsia="Times New Roman" w:cs="Times New Roman"/>
                <w:sz w:val="18"/>
              </w:rPr>
              <w:t xml:space="preserve">Portaria 402 MPS/2008, art.16, VI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6"/>
              <w:jc w:val="both"/>
            </w:pPr>
            <w:r>
              <w:rPr>
                <w:rFonts w:eastAsia="Times New Roman" w:cs="Times New Roman"/>
                <w:sz w:val="18"/>
              </w:rPr>
              <w:t xml:space="preserve">Os demonstrativos contábeis são complementados por notas explicativas ou outros quadros demonstrativos que esclareçam de forma minuciosa a situação patrimonial dos investimentos mantidos pelo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8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art.17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Município envia ao MPS (SPPS) periodicamente os demonstrativos contábeis relativos ao seu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lastRenderedPageBreak/>
              <w:t xml:space="preserve">Portaria 402 MPS/2008, art.19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As disponibilidades financeiras vinculadas ao RPPS são depositadas e mantidas em contas bancárias separadas das demais disponibilidades do ente federativo.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art.22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Demonstrativo das Aplicações e Investimentos dos Recursos (DAIR) e Demonstrativo da Política de Investimentos (DPIN) são elaborados e encaminhados à SPPS periodicamente.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art.27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ente ou a unidade gestora do RPPS possui CRP (Certificado de Regularidade Previdenciária).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art.29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Atualmente o RPPS passa por procedimento de auditoria direta.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art.29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alguma notificação de auditoria-fiscal (NAF) direcionada ao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art.29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Tramita algum processo administrativo (PAP) envolvendo irregularidades na gestão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402 MPS/2008, art.29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SPPS acompanha e supervisiona 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204 MPS/2008, </w:t>
            </w:r>
          </w:p>
          <w:p w:rsidR="001012A3" w:rsidRDefault="001012A3" w:rsidP="007D65E5">
            <w:pPr>
              <w:ind w:left="5"/>
            </w:pPr>
            <w:r>
              <w:rPr>
                <w:rFonts w:eastAsia="Times New Roman" w:cs="Times New Roman"/>
                <w:sz w:val="18"/>
              </w:rPr>
              <w:t xml:space="preserve">art. 4º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CRP já foi ou está cancelado.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45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204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Encaminha à SPPS (nos prazos exigidos pela legislação): </w:t>
            </w:r>
          </w:p>
          <w:p w:rsidR="001012A3" w:rsidRDefault="001012A3" w:rsidP="007D65E5">
            <w:r>
              <w:rPr>
                <w:rFonts w:eastAsia="Times New Roman" w:cs="Times New Roman"/>
                <w:sz w:val="18"/>
              </w:rPr>
              <w:t xml:space="preserve">__Legislação completa referente ao regime de previdência social; </w:t>
            </w:r>
          </w:p>
          <w:p w:rsidR="001012A3" w:rsidRDefault="001012A3" w:rsidP="007D65E5">
            <w:r>
              <w:rPr>
                <w:rFonts w:eastAsia="Times New Roman" w:cs="Times New Roman"/>
                <w:b/>
                <w:sz w:val="18"/>
              </w:rPr>
              <w:t>__</w:t>
            </w:r>
            <w:r>
              <w:rPr>
                <w:rFonts w:eastAsia="Times New Roman" w:cs="Times New Roman"/>
                <w:sz w:val="18"/>
              </w:rPr>
              <w:t xml:space="preserve">Demonstrativo de Resultado da Avaliação Atuarial - DRAA; </w:t>
            </w:r>
          </w:p>
          <w:p w:rsidR="001012A3" w:rsidRDefault="001012A3" w:rsidP="007D65E5">
            <w:r>
              <w:rPr>
                <w:rFonts w:eastAsia="Times New Roman" w:cs="Times New Roman"/>
                <w:sz w:val="18"/>
              </w:rPr>
              <w:t xml:space="preserve">__Demonstrativo das Aplicações e Investimentos dos Recursos – DAIR; </w:t>
            </w:r>
          </w:p>
          <w:p w:rsidR="001012A3" w:rsidRDefault="001012A3" w:rsidP="007D65E5">
            <w:r>
              <w:rPr>
                <w:rFonts w:eastAsia="Times New Roman" w:cs="Times New Roman"/>
                <w:sz w:val="18"/>
              </w:rPr>
              <w:t xml:space="preserve">__Demonstrativos Contábeis;  </w:t>
            </w:r>
            <w:r>
              <w:rPr>
                <w:rFonts w:eastAsia="Times New Roman" w:cs="Times New Roman"/>
                <w:sz w:val="18"/>
              </w:rPr>
              <w:tab/>
              <w:t xml:space="preserve"> </w:t>
            </w:r>
          </w:p>
          <w:p w:rsidR="001012A3" w:rsidRDefault="001012A3" w:rsidP="007D65E5">
            <w:r>
              <w:rPr>
                <w:rFonts w:eastAsia="Times New Roman" w:cs="Times New Roman"/>
                <w:b/>
                <w:sz w:val="18"/>
              </w:rPr>
              <w:t>__</w:t>
            </w:r>
            <w:r>
              <w:rPr>
                <w:rFonts w:eastAsia="Times New Roman" w:cs="Times New Roman"/>
                <w:sz w:val="18"/>
              </w:rPr>
              <w:t xml:space="preserve">Demonstrativo da Política de Investimentos – DPIN </w:t>
            </w:r>
          </w:p>
          <w:p w:rsidR="001012A3" w:rsidRDefault="001012A3" w:rsidP="007D65E5">
            <w:r>
              <w:rPr>
                <w:rFonts w:eastAsia="Times New Roman" w:cs="Times New Roman"/>
                <w:sz w:val="18"/>
              </w:rPr>
              <w:t xml:space="preserve">__ Demonstrativo de Informações Previdenciárias e Repasses – DIPR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204 MPS/2008, art.11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está em situação de regularidade no CADPREV.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1"/>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jc w:val="both"/>
            </w:pPr>
            <w:r>
              <w:rPr>
                <w:rFonts w:eastAsia="Times New Roman" w:cs="Times New Roman"/>
                <w:sz w:val="18"/>
              </w:rPr>
              <w:t xml:space="preserve">Resolução conjunta BC e CMN nº 3.922/2010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Os recursos do RPPS são geridos pela:  </w:t>
            </w:r>
          </w:p>
          <w:p w:rsidR="001012A3" w:rsidRDefault="001012A3" w:rsidP="007D65E5">
            <w:r>
              <w:rPr>
                <w:rFonts w:eastAsia="Times New Roman" w:cs="Times New Roman"/>
                <w:sz w:val="18"/>
              </w:rPr>
              <w:t xml:space="preserve">__ própria unidade gestora. </w:t>
            </w:r>
          </w:p>
          <w:p w:rsidR="001012A3" w:rsidRDefault="001012A3" w:rsidP="007D65E5">
            <w:r>
              <w:rPr>
                <w:rFonts w:eastAsia="Times New Roman" w:cs="Times New Roman"/>
                <w:sz w:val="18"/>
              </w:rPr>
              <w:t xml:space="preserve">__ por entidade autorizada e credenciada. </w:t>
            </w:r>
          </w:p>
          <w:p w:rsidR="001012A3" w:rsidRDefault="001012A3" w:rsidP="007D65E5">
            <w:r>
              <w:rPr>
                <w:rFonts w:eastAsia="Times New Roman" w:cs="Times New Roman"/>
                <w:sz w:val="18"/>
              </w:rPr>
              <w:t xml:space="preserve">__ sistema de gestão mista.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0"/>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519 MPS/2011, </w:t>
            </w:r>
          </w:p>
          <w:p w:rsidR="001012A3" w:rsidRDefault="001012A3" w:rsidP="007D65E5">
            <w:pPr>
              <w:ind w:left="5"/>
            </w:pPr>
            <w:r>
              <w:rPr>
                <w:rFonts w:eastAsia="Times New Roman" w:cs="Times New Roman"/>
                <w:sz w:val="18"/>
              </w:rPr>
              <w:t xml:space="preserve">art.2º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4"/>
              <w:jc w:val="both"/>
            </w:pPr>
            <w:r>
              <w:rPr>
                <w:rFonts w:eastAsia="Times New Roman" w:cs="Times New Roman"/>
                <w:sz w:val="18"/>
              </w:rPr>
              <w:t xml:space="preserve">O responsável pela gestão dos recursos do RPPS foi aprovado em exame de certificação organizado por entidade autônoma de reconhecida capacidade técnica e difusão no mercado brasileiro de capitais (exigência a partir de 01/2015).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3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519 MPS/2011, </w:t>
            </w:r>
          </w:p>
          <w:p w:rsidR="001012A3" w:rsidRDefault="001012A3" w:rsidP="007D65E5">
            <w:pPr>
              <w:ind w:left="5"/>
            </w:pPr>
            <w:r>
              <w:rPr>
                <w:rFonts w:eastAsia="Times New Roman" w:cs="Times New Roman"/>
                <w:sz w:val="18"/>
              </w:rPr>
              <w:t xml:space="preserve">art.2º, § 4º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7"/>
              <w:jc w:val="both"/>
            </w:pPr>
            <w:r>
              <w:rPr>
                <w:rFonts w:eastAsia="Times New Roman" w:cs="Times New Roman"/>
                <w:sz w:val="18"/>
              </w:rPr>
              <w:t xml:space="preserve">O responsável pela gestão dos recursos do RPPS é pessoa física vinculada ao ente federativo ou à unidade gestora do regime como servidor titular de cargo efetivo ou de livre nomeação e exoneração e foi formalmente designado para a função por ato da autoridade competente.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41"/>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519 MPS/2011, </w:t>
            </w:r>
          </w:p>
          <w:p w:rsidR="001012A3" w:rsidRDefault="001012A3" w:rsidP="007D65E5">
            <w:pPr>
              <w:ind w:left="5"/>
            </w:pPr>
            <w:r>
              <w:rPr>
                <w:rFonts w:eastAsia="Times New Roman" w:cs="Times New Roman"/>
                <w:sz w:val="18"/>
              </w:rPr>
              <w:t xml:space="preserve">art.3º, V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6"/>
              <w:jc w:val="both"/>
            </w:pPr>
            <w:r>
              <w:rPr>
                <w:rFonts w:eastAsia="Times New Roman" w:cs="Times New Roman"/>
                <w:sz w:val="18"/>
              </w:rPr>
              <w:t xml:space="preserve">Relatórios detalhados sobre a rentabilidade, riscos das modalidades de operações nas aplicações dos recursos do RPPS e aderência à política anual de investimentos e suas revisões são elaborados e enviados aos órgãos e/ou entidades de controle.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35"/>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lastRenderedPageBreak/>
              <w:t xml:space="preserve">Portaria 519 MPS/2011, </w:t>
            </w:r>
          </w:p>
          <w:p w:rsidR="001012A3" w:rsidRDefault="001012A3" w:rsidP="007D65E5">
            <w:pPr>
              <w:ind w:left="5"/>
            </w:pPr>
            <w:r>
              <w:rPr>
                <w:rFonts w:eastAsia="Times New Roman" w:cs="Times New Roman"/>
                <w:sz w:val="18"/>
              </w:rPr>
              <w:t xml:space="preserve">art.3º, IX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9"/>
              <w:jc w:val="both"/>
            </w:pPr>
            <w:r>
              <w:rPr>
                <w:rFonts w:eastAsia="Times New Roman" w:cs="Times New Roman"/>
                <w:sz w:val="18"/>
              </w:rPr>
              <w:t xml:space="preserve">Na gestão própria dos recursos do RPPS há averiguação prévia de que as instituições escolhidas para receber as aplicações foram previamente credenciadas (registro ou autorização do Banco Central ou CVM, regularidade fiscal).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78"/>
        </w:trPr>
        <w:tc>
          <w:tcPr>
            <w:tcW w:w="2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Fonte/Norma </w:t>
            </w:r>
          </w:p>
        </w:tc>
        <w:tc>
          <w:tcPr>
            <w:tcW w:w="60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center"/>
            </w:pPr>
            <w:r>
              <w:rPr>
                <w:rFonts w:eastAsia="Times New Roman" w:cs="Times New Roman"/>
                <w:b/>
                <w:sz w:val="18"/>
              </w:rPr>
              <w:t xml:space="preserve">Questão a identificar </w:t>
            </w:r>
          </w:p>
        </w:tc>
        <w:tc>
          <w:tcPr>
            <w:tcW w:w="6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ind w:left="1"/>
              <w:jc w:val="both"/>
            </w:pPr>
            <w:r>
              <w:rPr>
                <w:rFonts w:eastAsia="Times New Roman" w:cs="Times New Roman"/>
                <w:b/>
                <w:sz w:val="18"/>
              </w:rPr>
              <w:t xml:space="preserve">NÃO </w:t>
            </w: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012A3" w:rsidRDefault="001012A3" w:rsidP="007D65E5">
            <w:pPr>
              <w:jc w:val="both"/>
            </w:pPr>
            <w:r>
              <w:rPr>
                <w:rFonts w:eastAsia="Times New Roman" w:cs="Times New Roman"/>
                <w:b/>
                <w:sz w:val="18"/>
              </w:rPr>
              <w:t>SIM</w:t>
            </w:r>
          </w:p>
        </w:tc>
      </w:tr>
      <w:tr w:rsidR="001012A3" w:rsidTr="007D65E5">
        <w:trPr>
          <w:trHeight w:val="63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519 MPS/2011, art.3º-A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9"/>
              <w:jc w:val="both"/>
            </w:pPr>
            <w:r>
              <w:rPr>
                <w:rFonts w:eastAsia="Times New Roman" w:cs="Times New Roman"/>
                <w:sz w:val="18"/>
              </w:rPr>
              <w:t xml:space="preserve">O RPPS possui Comitê de Investimentos que participa do processo decisório quanto à formulação e execução da política de investimentos. (Facultativo para RPPS com recursos inferiores a 5 milhões de Reais)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enviou a Nota Técnica Atuarial à SPPS.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No caso de segregação de massa existe Nota Técnica Atuarial para cada plano.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Nota Técnica Atuarial já foi alterada.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Nota Técnica Atuarial foi alterada mediante termo aditivo e justificativa técnica apresentada à SPPS.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art.7º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avaliação atuarial do RPPS contempla as perspectivas de alteração futura no perfil e na composição da massa de segurados.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29"/>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w:t>
            </w:r>
          </w:p>
          <w:p w:rsidR="001012A3" w:rsidRDefault="001012A3" w:rsidP="007D65E5">
            <w:pPr>
              <w:ind w:left="5"/>
            </w:pPr>
            <w:r>
              <w:rPr>
                <w:rFonts w:eastAsia="Times New Roman" w:cs="Times New Roman"/>
                <w:sz w:val="18"/>
              </w:rPr>
              <w:t xml:space="preserve">art.7º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ind w:right="8"/>
              <w:jc w:val="both"/>
            </w:pPr>
            <w:r>
              <w:rPr>
                <w:rFonts w:eastAsia="Times New Roman" w:cs="Times New Roman"/>
                <w:sz w:val="18"/>
              </w:rPr>
              <w:t xml:space="preserve">No Relatório de Avaliação atuarial constam os critérios definidos pela Nota Técnica Atuarial e a separação entre os compromissos, custos e informações relativos aos integrantes da geração atual e futura.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art.13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No parecer atuarial há avaliação da qualidade da base cadastral (dados de todos servidores ativos, inativos, dos pensionistas e dependentes).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art.15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unidade gestora do RPPS arquiva os documentos, banco de dados e informações que deram suporte à avaliação e reavaliação atuariais.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art.18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RPPS possui plano de amortização (no caso </w:t>
            </w:r>
            <w:proofErr w:type="gramStart"/>
            <w:r>
              <w:rPr>
                <w:rFonts w:eastAsia="Times New Roman" w:cs="Times New Roman"/>
                <w:sz w:val="18"/>
              </w:rPr>
              <w:t>da</w:t>
            </w:r>
            <w:proofErr w:type="gramEnd"/>
            <w:r>
              <w:rPr>
                <w:rFonts w:eastAsia="Times New Roman" w:cs="Times New Roman"/>
                <w:sz w:val="18"/>
              </w:rPr>
              <w:t xml:space="preserve"> avaliação indicar déficit atuarial)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403 MPS/2008, art.20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Existe segregação de massa no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Portaria 64 MPS/2006, </w:t>
            </w:r>
          </w:p>
          <w:p w:rsidR="001012A3" w:rsidRDefault="001012A3" w:rsidP="007D65E5">
            <w:pPr>
              <w:ind w:left="5"/>
            </w:pPr>
            <w:r>
              <w:rPr>
                <w:rFonts w:eastAsia="Times New Roman" w:cs="Times New Roman"/>
                <w:sz w:val="18"/>
              </w:rPr>
              <w:t xml:space="preserve">art.1º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Tramita no MPS algum PAP (Processo Administrativo Previdenciário) para apurar irregularidades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nº 9.796/1999, art. 3º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O RPPS (regime de origem) realiza compensação previdenciária (paga) com o RGPS (regime instituidor).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8"/>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nº 9.796/1999, art. 4º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RPPS (regime instituidor) realiza compensação previdenciária (recebe) com o RGPS (regime de origem).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5"/>
            </w:pPr>
            <w:r>
              <w:rPr>
                <w:rFonts w:eastAsia="Times New Roman" w:cs="Times New Roman"/>
                <w:sz w:val="18"/>
              </w:rPr>
              <w:t xml:space="preserve">101/2000, art. 53, § 1º, II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O ente apresenta e divulga no último bimestre do exercício Relatório Resumido da Execução Orçamentária acompanhado das projeções atuariais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565"/>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5"/>
            </w:pPr>
            <w:r>
              <w:rPr>
                <w:rFonts w:eastAsia="Times New Roman" w:cs="Times New Roman"/>
                <w:sz w:val="18"/>
              </w:rPr>
              <w:t xml:space="preserve">10/2000, art. 58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 prestação de contas contém: </w:t>
            </w:r>
          </w:p>
          <w:p w:rsidR="001012A3" w:rsidRDefault="001012A3" w:rsidP="007D65E5">
            <w:r>
              <w:rPr>
                <w:rFonts w:eastAsia="Times New Roman" w:cs="Times New Roman"/>
                <w:sz w:val="18"/>
              </w:rPr>
              <w:t xml:space="preserve">__ Desempenho da arrecadação em relação à previsão.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3"/>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sz w:val="18"/>
              </w:rPr>
              <w:lastRenderedPageBreak/>
              <w:t xml:space="preserve">Portaria 6209 MPS/1999, art.20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O RPPS está cadastrado no MPS/</w:t>
            </w:r>
            <w:r>
              <w:rPr>
                <w:rFonts w:eastAsia="Times New Roman" w:cs="Times New Roman"/>
              </w:rPr>
              <w:t xml:space="preserve"> </w:t>
            </w:r>
            <w:r>
              <w:rPr>
                <w:rFonts w:eastAsia="Times New Roman" w:cs="Times New Roman"/>
                <w:sz w:val="18"/>
              </w:rPr>
              <w:t xml:space="preserve">DRPSP (Departamento dos Regimes de Previdência no Serviço Público).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83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line="230" w:lineRule="auto"/>
              <w:ind w:left="1"/>
            </w:pPr>
            <w:r>
              <w:rPr>
                <w:rFonts w:eastAsia="Times New Roman" w:cs="Times New Roman"/>
                <w:sz w:val="18"/>
              </w:rPr>
              <w:t xml:space="preserve">Portaria 6209 MPS/1999, art.23 </w:t>
            </w:r>
          </w:p>
          <w:p w:rsidR="001012A3" w:rsidRDefault="001012A3" w:rsidP="007D65E5">
            <w:pPr>
              <w:ind w:left="1"/>
            </w:pPr>
            <w:r>
              <w:rPr>
                <w:rFonts w:eastAsia="Times New Roman" w:cs="Times New Roman"/>
                <w:sz w:val="18"/>
              </w:rPr>
              <w:t xml:space="preserve">Instrução Normativa 50 </w:t>
            </w:r>
          </w:p>
          <w:p w:rsidR="001012A3" w:rsidRDefault="001012A3" w:rsidP="007D65E5">
            <w:pPr>
              <w:ind w:left="1"/>
            </w:pPr>
            <w:r>
              <w:rPr>
                <w:rFonts w:eastAsia="Times New Roman" w:cs="Times New Roman"/>
                <w:sz w:val="18"/>
              </w:rPr>
              <w:t xml:space="preserve">INSS/ 2011, art.6º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unidade gestora celebrou convênio com o MPS para requerer e receber transmissão de dados da CTC (Certidão de Tempo de Contribuição) ou CTS (Certidão de Tempo de Serviço) entre os regimes de previdência e utilizar o COMPREV e o SISOBI (Sistema Informatizado de Controle de Óbitos).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63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spacing w:after="30"/>
              <w:ind w:left="1"/>
            </w:pPr>
            <w:r>
              <w:rPr>
                <w:rFonts w:eastAsia="Times New Roman" w:cs="Times New Roman"/>
                <w:sz w:val="18"/>
              </w:rPr>
              <w:t xml:space="preserve">101/2000, art. 4º, § 2º, </w:t>
            </w:r>
          </w:p>
          <w:p w:rsidR="001012A3" w:rsidRDefault="001012A3" w:rsidP="007D65E5">
            <w:pPr>
              <w:ind w:left="1"/>
            </w:pPr>
            <w:r>
              <w:rPr>
                <w:rFonts w:eastAsia="Times New Roman" w:cs="Times New Roman"/>
                <w:sz w:val="18"/>
              </w:rPr>
              <w:t xml:space="preserve">IV, “a”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Lei de Diretrizes Orçamentárias do Município contém anexo com avaliação da situação financeira e atuarial do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1012A3" w:rsidRDefault="001012A3" w:rsidP="007D65E5">
            <w:pPr>
              <w:ind w:left="1"/>
            </w:pPr>
            <w:r>
              <w:rPr>
                <w:rFonts w:eastAsia="Times New Roman" w:cs="Times New Roman"/>
                <w:sz w:val="18"/>
              </w:rPr>
              <w:t xml:space="preserve">101/2000, art. 43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 disponibilidade de caixa do fundo previdenciário é depositada em instituição financeira e em conta separada das demais disponibilidades de caixa do ente.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216"/>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1012A3" w:rsidRDefault="001012A3" w:rsidP="007D65E5">
            <w:pPr>
              <w:ind w:left="1"/>
            </w:pPr>
            <w:r>
              <w:rPr>
                <w:rFonts w:eastAsia="Times New Roman" w:cs="Times New Roman"/>
                <w:b/>
                <w:sz w:val="18"/>
              </w:rPr>
              <w:t xml:space="preserve">Sanções </w:t>
            </w:r>
            <w:r>
              <w:rPr>
                <w:rFonts w:eastAsia="Times New Roman" w:cs="Times New Roman"/>
                <w:b/>
              </w:rPr>
              <w:t xml:space="preserve"> </w:t>
            </w:r>
          </w:p>
        </w:tc>
      </w:tr>
      <w:tr w:rsidR="001012A3" w:rsidTr="007D65E5">
        <w:trPr>
          <w:trHeight w:val="424"/>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CF, art. 195, II, § 3º </w:t>
            </w:r>
            <w:r>
              <w:rPr>
                <w:rFonts w:eastAsia="Times New Roman" w:cs="Times New Roman"/>
                <w:b/>
              </w:rPr>
              <w:t xml:space="preserve">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Atualmente o ente está impedido de contratar com o Poder Público ou de receber benefícios e incentivos fiscais ou creditícios.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2"/>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402 MPS/2008, </w:t>
            </w:r>
          </w:p>
          <w:p w:rsidR="001012A3" w:rsidRDefault="001012A3" w:rsidP="007D65E5">
            <w:pPr>
              <w:ind w:left="1"/>
            </w:pPr>
            <w:r>
              <w:rPr>
                <w:rFonts w:eastAsia="Times New Roman" w:cs="Times New Roman"/>
                <w:sz w:val="18"/>
              </w:rPr>
              <w:t xml:space="preserve">art.5º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r>
              <w:rPr>
                <w:rFonts w:eastAsia="Times New Roman" w:cs="Times New Roman"/>
                <w:sz w:val="18"/>
              </w:rPr>
              <w:t xml:space="preserve">Atualmente existe parcelamento de débitos do ente federativo com o RPPS.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1666"/>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Portaria 402 MPS/2008, art.28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spacing w:line="236" w:lineRule="auto"/>
              <w:jc w:val="both"/>
            </w:pPr>
            <w:r>
              <w:rPr>
                <w:rFonts w:eastAsia="Times New Roman" w:cs="Times New Roman"/>
                <w:sz w:val="18"/>
              </w:rPr>
              <w:t xml:space="preserve">O ente federativo sofre atualmente alguma das restrições abaixo em virtude da inobservância dos preceitos da Lei 9717/1998: </w:t>
            </w:r>
          </w:p>
          <w:p w:rsidR="001012A3" w:rsidRDefault="001012A3" w:rsidP="007D65E5">
            <w:r>
              <w:rPr>
                <w:rFonts w:eastAsia="Times New Roman" w:cs="Times New Roman"/>
                <w:sz w:val="18"/>
              </w:rPr>
              <w:t xml:space="preserve">___ suspensão das transferências voluntárias de recursos pela União. </w:t>
            </w:r>
          </w:p>
          <w:p w:rsidR="001012A3" w:rsidRDefault="001012A3" w:rsidP="007D65E5">
            <w:pPr>
              <w:spacing w:line="230" w:lineRule="auto"/>
              <w:jc w:val="both"/>
            </w:pPr>
            <w:r>
              <w:rPr>
                <w:rFonts w:eastAsia="Times New Roman" w:cs="Times New Roman"/>
                <w:sz w:val="18"/>
              </w:rPr>
              <w:t xml:space="preserve">___ impedimento de celebrar acordos e receber verbas das entidades e órgãos da administração pública da União.  </w:t>
            </w:r>
          </w:p>
          <w:p w:rsidR="001012A3" w:rsidRDefault="001012A3" w:rsidP="007D65E5">
            <w:r>
              <w:rPr>
                <w:rFonts w:eastAsia="Times New Roman" w:cs="Times New Roman"/>
                <w:sz w:val="18"/>
              </w:rPr>
              <w:t xml:space="preserve">___ suspensão de empréstimos e financiamentos por instituições federais. </w:t>
            </w:r>
          </w:p>
          <w:p w:rsidR="001012A3" w:rsidRDefault="001012A3" w:rsidP="007D65E5">
            <w:pPr>
              <w:jc w:val="both"/>
            </w:pPr>
            <w:r>
              <w:rPr>
                <w:rFonts w:eastAsia="Times New Roman" w:cs="Times New Roman"/>
                <w:sz w:val="18"/>
              </w:rPr>
              <w:t xml:space="preserve">___ suspensão do pagamento dos valores devidos pelo RGPS em razão da compensação financeira.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r w:rsidR="001012A3" w:rsidTr="007D65E5">
        <w:trPr>
          <w:trHeight w:val="427"/>
        </w:trPr>
        <w:tc>
          <w:tcPr>
            <w:tcW w:w="2071"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1"/>
            </w:pPr>
            <w:r>
              <w:rPr>
                <w:rFonts w:eastAsia="Times New Roman" w:cs="Times New Roman"/>
                <w:sz w:val="18"/>
              </w:rPr>
              <w:t xml:space="preserve">Lei nº 9.796/1999, art.6º  </w:t>
            </w:r>
          </w:p>
        </w:tc>
        <w:tc>
          <w:tcPr>
            <w:tcW w:w="6002" w:type="dxa"/>
            <w:tcBorders>
              <w:top w:val="single" w:sz="4" w:space="0" w:color="000000"/>
              <w:left w:val="single" w:sz="4" w:space="0" w:color="000000"/>
              <w:bottom w:val="single" w:sz="4" w:space="0" w:color="000000"/>
              <w:right w:val="single" w:sz="4" w:space="0" w:color="000000"/>
            </w:tcBorders>
          </w:tcPr>
          <w:p w:rsidR="001012A3" w:rsidRDefault="001012A3" w:rsidP="007D65E5">
            <w:pPr>
              <w:jc w:val="both"/>
            </w:pPr>
            <w:r>
              <w:rPr>
                <w:rFonts w:eastAsia="Times New Roman" w:cs="Times New Roman"/>
                <w:sz w:val="18"/>
              </w:rPr>
              <w:t xml:space="preserve">Atualmente existe termo de parcelamento de compensação previdenciária entre RPPS e o RGPS (quando inviável o desembolso imediato dos valores). </w:t>
            </w:r>
          </w:p>
        </w:tc>
        <w:tc>
          <w:tcPr>
            <w:tcW w:w="616"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012A3" w:rsidRDefault="001012A3" w:rsidP="007D65E5">
            <w:pPr>
              <w:ind w:left="5"/>
            </w:pPr>
            <w:r>
              <w:rPr>
                <w:rFonts w:eastAsia="Times New Roman" w:cs="Times New Roman"/>
                <w:b/>
              </w:rPr>
              <w:t xml:space="preserve"> </w:t>
            </w:r>
          </w:p>
        </w:tc>
      </w:tr>
    </w:tbl>
    <w:p w:rsidR="00420C10" w:rsidRDefault="00420C10" w:rsidP="001012A3">
      <w:pPr>
        <w:jc w:val="center"/>
        <w:rPr>
          <w:rFonts w:cs="Times New Roman"/>
          <w:szCs w:val="24"/>
        </w:rPr>
      </w:pPr>
    </w:p>
    <w:p w:rsidR="00420C10" w:rsidRDefault="00420C10" w:rsidP="00420C10">
      <w:r>
        <w:br w:type="page"/>
      </w:r>
    </w:p>
    <w:p w:rsidR="001012A3" w:rsidRPr="00482BB7" w:rsidRDefault="001012A3" w:rsidP="001012A3">
      <w:pPr>
        <w:pStyle w:val="Ttulo2"/>
        <w:numPr>
          <w:ilvl w:val="0"/>
          <w:numId w:val="0"/>
        </w:numPr>
        <w:jc w:val="center"/>
      </w:pPr>
      <w:r w:rsidRPr="00482BB7">
        <w:lastRenderedPageBreak/>
        <w:t xml:space="preserve">APENDICE I - Panorama da </w:t>
      </w:r>
      <w:r>
        <w:rPr>
          <w:i/>
        </w:rPr>
        <w:t>accountability</w:t>
      </w:r>
      <w:r w:rsidRPr="00482BB7">
        <w:t xml:space="preserve"> normativa dos RPPS no estado de Minas Ger</w:t>
      </w:r>
      <w:r>
        <w:t>ai</w:t>
      </w:r>
      <w:r w:rsidRPr="00482BB7">
        <w: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069"/>
        <w:gridCol w:w="1424"/>
        <w:gridCol w:w="1326"/>
        <w:gridCol w:w="1301"/>
        <w:gridCol w:w="929"/>
        <w:gridCol w:w="855"/>
      </w:tblGrid>
      <w:tr w:rsidR="001012A3" w:rsidRPr="002D3D25" w:rsidTr="007D65E5">
        <w:trPr>
          <w:trHeight w:val="300"/>
        </w:trPr>
        <w:tc>
          <w:tcPr>
            <w:tcW w:w="1266" w:type="pct"/>
            <w:shd w:val="clear" w:color="auto" w:fill="auto"/>
            <w:noWrap/>
            <w:vAlign w:val="bottom"/>
            <w:hideMark/>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t>Município</w:t>
            </w:r>
          </w:p>
        </w:tc>
        <w:tc>
          <w:tcPr>
            <w:tcW w:w="578" w:type="pct"/>
            <w:shd w:val="clear" w:color="auto" w:fill="auto"/>
            <w:noWrap/>
            <w:vAlign w:val="bottom"/>
            <w:hideMark/>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Águas Formosas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Alagoa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67,97%</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Além Paraíba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Alpercata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48,44%</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Alvinópolis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Andradas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Araponga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Araporã</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Araxá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Arceburgo</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81,25%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Baependi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Bambuí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Bandeira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Barbacena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Belmiro Braga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Belo Horizonte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97,66%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Berizal</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Betim</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18,18%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32,03%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Biquinhas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Boa Esperança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86,72%</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Bocaiúva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Despacho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70,31%</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Jesus da penha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sucesso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Brasília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65,63%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Buritizeiro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Cabeceira grande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67,97%</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Cachoeira Dourada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Cambuí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Campanário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78,57%</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50,00%</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Campanha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Campos Altos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Campos Gerais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Candeias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67,19%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Canta Galo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Caparaó</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78,57%</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109"/>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Capitão Enéas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Caputira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77,27%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Carandaí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Carangola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70,31%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Carbonita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Carlos Chagas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Carmésia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Carmo do Cajuru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79,69%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Carmo do Paranaíba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Carvalhópolis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Caxambu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Chapada Gaúcha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Coimbra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Comendador Gomes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Conceição das Alagoas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Conceição do Pará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Congonhas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Contagem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Coração de Jesus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Coroaci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Coromandel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Coronel Fabriciano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Corrego</w:t>
            </w:r>
            <w:proofErr w:type="spellEnd"/>
            <w:r w:rsidRPr="007F49E5">
              <w:rPr>
                <w:rFonts w:eastAsia="Times New Roman" w:cs="Times New Roman"/>
                <w:sz w:val="22"/>
                <w:lang w:eastAsia="pt-BR"/>
              </w:rPr>
              <w:t xml:space="preserve"> </w:t>
            </w:r>
            <w:proofErr w:type="spellStart"/>
            <w:r w:rsidRPr="007F49E5">
              <w:rPr>
                <w:rFonts w:eastAsia="Times New Roman" w:cs="Times New Roman"/>
                <w:sz w:val="22"/>
                <w:lang w:eastAsia="pt-BR"/>
              </w:rPr>
              <w:t>Danta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Cruzeiro da Fortaleza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Descoberto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Diamantina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Divino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65,79%</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85,94%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Divinópolis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Dores do </w:t>
            </w:r>
            <w:proofErr w:type="spellStart"/>
            <w:r w:rsidRPr="007F49E5">
              <w:rPr>
                <w:rFonts w:eastAsia="Times New Roman" w:cs="Times New Roman"/>
                <w:sz w:val="22"/>
                <w:lang w:eastAsia="pt-BR"/>
              </w:rPr>
              <w:t>Indaia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Engenheiro Caldas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Espera Feliz</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Espinosa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Estado de Minas Gerais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59,09%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57,81%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Estrela do Indaiá'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Extrema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85,94%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Felisburgo</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Felixlandia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Florestal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Formiga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Fortaleza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Francisco </w:t>
            </w:r>
            <w:proofErr w:type="spellStart"/>
            <w:r w:rsidRPr="007F49E5">
              <w:rPr>
                <w:rFonts w:eastAsia="Times New Roman" w:cs="Times New Roman"/>
                <w:sz w:val="22"/>
                <w:lang w:eastAsia="pt-BR"/>
              </w:rPr>
              <w:t>sá</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Fronteira dos vales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43,75%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Governador Valadares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48,44%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Guanhães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Guaraciaba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Guarani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Guimarãnea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Guiricema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Gurinhatã</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Heliodora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Ibirité</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81,25%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Igaratinga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Iguatama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Inhaúma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Ipiaçu</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57,89%</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62,50%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Itabira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Itacarambi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Itamarandiba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Itamonte</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63,28%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Itapagipe</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Itapeva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Itaúna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Ituitaba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77,34%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Janaúba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Januária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Japaraíba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Japonvar</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Jequeri</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45,31%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João Pinheiro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Juiz de Fora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Juruaia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Lagoa Formosa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Lambari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Lavras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Leandro Ferreira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Leme Do Prado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Liberdade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Malacacheta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Mantena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Mariana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Mercês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Minduri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Miraí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Monte Alegre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Monte Belo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Montes claros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Morada Nova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Muriaé</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86,72%</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Muzambinho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Nanuque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63,28%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Ponte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Resende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Serrana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Olaria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60,61%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60,16%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Olimpio</w:t>
            </w:r>
            <w:proofErr w:type="spellEnd"/>
            <w:r w:rsidRPr="007F49E5">
              <w:rPr>
                <w:rFonts w:cs="Times New Roman"/>
                <w:sz w:val="22"/>
              </w:rPr>
              <w:t xml:space="preserve"> Noronha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79,69%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Oliveira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Onça de Pitangui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Padre Paraíso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Paineiras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Pará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Paracatu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80,47%</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Paraguaçu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62,12%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58,59%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Paraopeba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Passa Quatro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Passa Tempo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Patis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Patos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Patrocínio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60,61%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58,59%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Paulistas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46,09%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Pedrinópolis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Pequi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Perdigão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 xml:space="preserve">Perdizes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Perdões P</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Piau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43,75%</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Pintópolis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Piracema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Pirajuba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Piranga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Pirapora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Pitangui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Poço Fundo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Pompéu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77,34%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Pouso Alegre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34,38%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Pratinha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88,28%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Presidente Olegário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82,81%</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Quartel Geral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Riachinho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Rio Acima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Rio Paranaíba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Rochedo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Rosário Da Limeira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Sabará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42,11%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Sabinópolis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Santa Juliana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Santa Luzia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35,16%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Santa Vitoria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Santo </w:t>
            </w:r>
            <w:proofErr w:type="spellStart"/>
            <w:r w:rsidRPr="007F49E5">
              <w:rPr>
                <w:rFonts w:cs="Times New Roman"/>
                <w:color w:val="000000"/>
                <w:sz w:val="22"/>
              </w:rPr>
              <w:t>Antonio</w:t>
            </w:r>
            <w:proofErr w:type="spellEnd"/>
            <w:r w:rsidRPr="007F49E5">
              <w:rPr>
                <w:rFonts w:cs="Times New Roman"/>
                <w:color w:val="000000"/>
                <w:sz w:val="22"/>
              </w:rPr>
              <w:t xml:space="preserve"> do Monte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Francisco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Francisco do Glória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da Lagoa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da Ponte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João das </w:t>
            </w:r>
            <w:proofErr w:type="spellStart"/>
            <w:r w:rsidRPr="007F49E5">
              <w:rPr>
                <w:rFonts w:cs="Times New Roman"/>
                <w:color w:val="000000"/>
                <w:sz w:val="22"/>
              </w:rPr>
              <w:t>Missoes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João </w:t>
            </w:r>
            <w:proofErr w:type="spellStart"/>
            <w:r w:rsidRPr="007F49E5">
              <w:rPr>
                <w:rFonts w:cs="Times New Roman"/>
                <w:color w:val="000000"/>
                <w:sz w:val="22"/>
              </w:rPr>
              <w:t>del</w:t>
            </w:r>
            <w:proofErr w:type="spellEnd"/>
            <w:r w:rsidRPr="007F49E5">
              <w:rPr>
                <w:rFonts w:cs="Times New Roman"/>
                <w:color w:val="000000"/>
                <w:sz w:val="22"/>
              </w:rPr>
              <w:t xml:space="preserve"> Rei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do Manhuaçu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José do </w:t>
            </w:r>
            <w:proofErr w:type="spellStart"/>
            <w:r w:rsidRPr="007F49E5">
              <w:rPr>
                <w:rFonts w:cs="Times New Roman"/>
                <w:color w:val="000000"/>
                <w:sz w:val="22"/>
              </w:rPr>
              <w:t>Jacuri</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Romão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Sebastião do Oeste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Sebastião do Paraíso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Sarzedo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90,63%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Senhora do Porto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 da Saudade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 do Salitre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Serranos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Sobrália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Teófilo Otoni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Tocantins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Corações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Marias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Pontas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62,12%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Turmalina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Ubá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85,16%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Uberaba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87,50%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Uberlandia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82,81%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Unaí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Urucuia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Varginha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Varjão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Várzea da Palma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Veredinha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Vespasiano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88,28%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Viçosa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Virginópolis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Visconde do Rio Branco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bl>
    <w:p w:rsidR="005032F8" w:rsidRDefault="005032F8"/>
    <w:sectPr w:rsidR="005032F8" w:rsidSect="007D65E5">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1607B"/>
    <w:multiLevelType w:val="multilevel"/>
    <w:tmpl w:val="7B340152"/>
    <w:lvl w:ilvl="0">
      <w:start w:val="1"/>
      <w:numFmt w:val="decimal"/>
      <w:pStyle w:val="Ttulo2"/>
      <w:lvlText w:val="%1."/>
      <w:lvlJc w:val="left"/>
      <w:pPr>
        <w:ind w:left="360" w:hanging="360"/>
      </w:pPr>
      <w:rPr>
        <w:rFonts w:hint="default"/>
      </w:rPr>
    </w:lvl>
    <w:lvl w:ilvl="1">
      <w:start w:val="1"/>
      <w:numFmt w:val="decimal"/>
      <w:pStyle w:val="Ttulo3"/>
      <w:lvlText w:val="%1.%2."/>
      <w:lvlJc w:val="left"/>
      <w:pPr>
        <w:ind w:left="574" w:hanging="432"/>
      </w:pPr>
      <w:rPr>
        <w:rFonts w:hint="default"/>
        <w:i/>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323162"/>
    <w:multiLevelType w:val="hybridMultilevel"/>
    <w:tmpl w:val="99A48DFC"/>
    <w:lvl w:ilvl="0" w:tplc="8B801518">
      <w:start w:val="4"/>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D0D0CAD"/>
    <w:multiLevelType w:val="multilevel"/>
    <w:tmpl w:val="1188DA7A"/>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F127D19"/>
    <w:multiLevelType w:val="hybridMultilevel"/>
    <w:tmpl w:val="F93C1054"/>
    <w:lvl w:ilvl="0" w:tplc="43662F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755549"/>
    <w:multiLevelType w:val="hybridMultilevel"/>
    <w:tmpl w:val="453A35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1F6A30"/>
    <w:multiLevelType w:val="hybridMultilevel"/>
    <w:tmpl w:val="4636FC4E"/>
    <w:lvl w:ilvl="0" w:tplc="F41C5A5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FD24F0"/>
    <w:multiLevelType w:val="hybridMultilevel"/>
    <w:tmpl w:val="C0B6AA42"/>
    <w:lvl w:ilvl="0" w:tplc="3272CB66">
      <w:start w:val="9"/>
      <w:numFmt w:val="upperRoman"/>
      <w:lvlText w:val="%1."/>
      <w:lvlJc w:val="left"/>
      <w:pPr>
        <w:ind w:left="1080" w:hanging="720"/>
      </w:pPr>
      <w:rPr>
        <w:rFonts w:cstheme="minorBidi"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68265A"/>
    <w:multiLevelType w:val="multilevel"/>
    <w:tmpl w:val="6868B4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F7155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E15200"/>
    <w:multiLevelType w:val="hybridMultilevel"/>
    <w:tmpl w:val="3C90B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411EE9"/>
    <w:multiLevelType w:val="hybridMultilevel"/>
    <w:tmpl w:val="2E26D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777500C"/>
    <w:multiLevelType w:val="hybridMultilevel"/>
    <w:tmpl w:val="B2FABC12"/>
    <w:lvl w:ilvl="0" w:tplc="21AC09D0">
      <w:start w:val="1"/>
      <w:numFmt w:val="lowerLetter"/>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F23EB4"/>
    <w:multiLevelType w:val="hybridMultilevel"/>
    <w:tmpl w:val="F5D8F9C8"/>
    <w:lvl w:ilvl="0" w:tplc="04160001">
      <w:start w:val="1"/>
      <w:numFmt w:val="bullet"/>
      <w:lvlText w:val=""/>
      <w:lvlJc w:val="left"/>
      <w:pPr>
        <w:ind w:left="380" w:hanging="360"/>
      </w:pPr>
      <w:rPr>
        <w:rFonts w:ascii="Symbol" w:hAnsi="Symbol" w:hint="default"/>
      </w:rPr>
    </w:lvl>
    <w:lvl w:ilvl="1" w:tplc="04160003" w:tentative="1">
      <w:start w:val="1"/>
      <w:numFmt w:val="bullet"/>
      <w:lvlText w:val="o"/>
      <w:lvlJc w:val="left"/>
      <w:pPr>
        <w:ind w:left="1100" w:hanging="360"/>
      </w:pPr>
      <w:rPr>
        <w:rFonts w:ascii="Courier New" w:hAnsi="Courier New" w:cs="Courier New" w:hint="default"/>
      </w:rPr>
    </w:lvl>
    <w:lvl w:ilvl="2" w:tplc="04160005" w:tentative="1">
      <w:start w:val="1"/>
      <w:numFmt w:val="bullet"/>
      <w:lvlText w:val=""/>
      <w:lvlJc w:val="left"/>
      <w:pPr>
        <w:ind w:left="1820" w:hanging="360"/>
      </w:pPr>
      <w:rPr>
        <w:rFonts w:ascii="Wingdings" w:hAnsi="Wingdings" w:hint="default"/>
      </w:rPr>
    </w:lvl>
    <w:lvl w:ilvl="3" w:tplc="04160001" w:tentative="1">
      <w:start w:val="1"/>
      <w:numFmt w:val="bullet"/>
      <w:lvlText w:val=""/>
      <w:lvlJc w:val="left"/>
      <w:pPr>
        <w:ind w:left="2540" w:hanging="360"/>
      </w:pPr>
      <w:rPr>
        <w:rFonts w:ascii="Symbol" w:hAnsi="Symbol" w:hint="default"/>
      </w:rPr>
    </w:lvl>
    <w:lvl w:ilvl="4" w:tplc="04160003" w:tentative="1">
      <w:start w:val="1"/>
      <w:numFmt w:val="bullet"/>
      <w:lvlText w:val="o"/>
      <w:lvlJc w:val="left"/>
      <w:pPr>
        <w:ind w:left="3260" w:hanging="360"/>
      </w:pPr>
      <w:rPr>
        <w:rFonts w:ascii="Courier New" w:hAnsi="Courier New" w:cs="Courier New" w:hint="default"/>
      </w:rPr>
    </w:lvl>
    <w:lvl w:ilvl="5" w:tplc="04160005" w:tentative="1">
      <w:start w:val="1"/>
      <w:numFmt w:val="bullet"/>
      <w:lvlText w:val=""/>
      <w:lvlJc w:val="left"/>
      <w:pPr>
        <w:ind w:left="3980" w:hanging="360"/>
      </w:pPr>
      <w:rPr>
        <w:rFonts w:ascii="Wingdings" w:hAnsi="Wingdings" w:hint="default"/>
      </w:rPr>
    </w:lvl>
    <w:lvl w:ilvl="6" w:tplc="04160001" w:tentative="1">
      <w:start w:val="1"/>
      <w:numFmt w:val="bullet"/>
      <w:lvlText w:val=""/>
      <w:lvlJc w:val="left"/>
      <w:pPr>
        <w:ind w:left="4700" w:hanging="360"/>
      </w:pPr>
      <w:rPr>
        <w:rFonts w:ascii="Symbol" w:hAnsi="Symbol" w:hint="default"/>
      </w:rPr>
    </w:lvl>
    <w:lvl w:ilvl="7" w:tplc="04160003" w:tentative="1">
      <w:start w:val="1"/>
      <w:numFmt w:val="bullet"/>
      <w:lvlText w:val="o"/>
      <w:lvlJc w:val="left"/>
      <w:pPr>
        <w:ind w:left="5420" w:hanging="360"/>
      </w:pPr>
      <w:rPr>
        <w:rFonts w:ascii="Courier New" w:hAnsi="Courier New" w:cs="Courier New" w:hint="default"/>
      </w:rPr>
    </w:lvl>
    <w:lvl w:ilvl="8" w:tplc="04160005" w:tentative="1">
      <w:start w:val="1"/>
      <w:numFmt w:val="bullet"/>
      <w:lvlText w:val=""/>
      <w:lvlJc w:val="left"/>
      <w:pPr>
        <w:ind w:left="6140" w:hanging="360"/>
      </w:pPr>
      <w:rPr>
        <w:rFonts w:ascii="Wingdings" w:hAnsi="Wingdings" w:hint="default"/>
      </w:rPr>
    </w:lvl>
  </w:abstractNum>
  <w:abstractNum w:abstractNumId="13" w15:restartNumberingAfterBreak="0">
    <w:nsid w:val="7E3F10E3"/>
    <w:multiLevelType w:val="hybridMultilevel"/>
    <w:tmpl w:val="92F081C0"/>
    <w:lvl w:ilvl="0" w:tplc="A4947032">
      <w:start w:val="1"/>
      <w:numFmt w:val="upperRoman"/>
      <w:lvlText w:val="%1."/>
      <w:lvlJc w:val="left"/>
      <w:pPr>
        <w:ind w:left="1584" w:hanging="720"/>
      </w:pPr>
      <w:rPr>
        <w:rFonts w:ascii="Times New Roman" w:eastAsiaTheme="minorHAnsi" w:hAnsi="Times New Roman" w:cs="Times New Roman" w:hint="default"/>
        <w:color w:val="auto"/>
      </w:rPr>
    </w:lvl>
    <w:lvl w:ilvl="1" w:tplc="04160019" w:tentative="1">
      <w:start w:val="1"/>
      <w:numFmt w:val="lowerLetter"/>
      <w:lvlText w:val="%2."/>
      <w:lvlJc w:val="left"/>
      <w:pPr>
        <w:ind w:left="1944" w:hanging="360"/>
      </w:pPr>
    </w:lvl>
    <w:lvl w:ilvl="2" w:tplc="0416001B" w:tentative="1">
      <w:start w:val="1"/>
      <w:numFmt w:val="lowerRoman"/>
      <w:lvlText w:val="%3."/>
      <w:lvlJc w:val="right"/>
      <w:pPr>
        <w:ind w:left="2664" w:hanging="180"/>
      </w:pPr>
    </w:lvl>
    <w:lvl w:ilvl="3" w:tplc="0416000F" w:tentative="1">
      <w:start w:val="1"/>
      <w:numFmt w:val="decimal"/>
      <w:lvlText w:val="%4."/>
      <w:lvlJc w:val="left"/>
      <w:pPr>
        <w:ind w:left="3384" w:hanging="360"/>
      </w:pPr>
    </w:lvl>
    <w:lvl w:ilvl="4" w:tplc="04160019" w:tentative="1">
      <w:start w:val="1"/>
      <w:numFmt w:val="lowerLetter"/>
      <w:lvlText w:val="%5."/>
      <w:lvlJc w:val="left"/>
      <w:pPr>
        <w:ind w:left="4104" w:hanging="360"/>
      </w:pPr>
    </w:lvl>
    <w:lvl w:ilvl="5" w:tplc="0416001B" w:tentative="1">
      <w:start w:val="1"/>
      <w:numFmt w:val="lowerRoman"/>
      <w:lvlText w:val="%6."/>
      <w:lvlJc w:val="right"/>
      <w:pPr>
        <w:ind w:left="4824" w:hanging="180"/>
      </w:pPr>
    </w:lvl>
    <w:lvl w:ilvl="6" w:tplc="0416000F" w:tentative="1">
      <w:start w:val="1"/>
      <w:numFmt w:val="decimal"/>
      <w:lvlText w:val="%7."/>
      <w:lvlJc w:val="left"/>
      <w:pPr>
        <w:ind w:left="5544" w:hanging="360"/>
      </w:pPr>
    </w:lvl>
    <w:lvl w:ilvl="7" w:tplc="04160019" w:tentative="1">
      <w:start w:val="1"/>
      <w:numFmt w:val="lowerLetter"/>
      <w:lvlText w:val="%8."/>
      <w:lvlJc w:val="left"/>
      <w:pPr>
        <w:ind w:left="6264" w:hanging="360"/>
      </w:pPr>
    </w:lvl>
    <w:lvl w:ilvl="8" w:tplc="0416001B" w:tentative="1">
      <w:start w:val="1"/>
      <w:numFmt w:val="lowerRoman"/>
      <w:lvlText w:val="%9."/>
      <w:lvlJc w:val="right"/>
      <w:pPr>
        <w:ind w:left="6984" w:hanging="180"/>
      </w:pPr>
    </w:lvl>
  </w:abstractNum>
  <w:num w:numId="1">
    <w:abstractNumId w:val="7"/>
  </w:num>
  <w:num w:numId="2">
    <w:abstractNumId w:val="8"/>
  </w:num>
  <w:num w:numId="3">
    <w:abstractNumId w:val="12"/>
  </w:num>
  <w:num w:numId="4">
    <w:abstractNumId w:val="4"/>
  </w:num>
  <w:num w:numId="5">
    <w:abstractNumId w:val="0"/>
  </w:num>
  <w:num w:numId="6">
    <w:abstractNumId w:val="11"/>
  </w:num>
  <w:num w:numId="7">
    <w:abstractNumId w:val="10"/>
  </w:num>
  <w:num w:numId="8">
    <w:abstractNumId w:val="9"/>
  </w:num>
  <w:num w:numId="9">
    <w:abstractNumId w:val="5"/>
  </w:num>
  <w:num w:numId="10">
    <w:abstractNumId w:val="2"/>
  </w:num>
  <w:num w:numId="11">
    <w:abstractNumId w:val="0"/>
    <w:lvlOverride w:ilvl="0">
      <w:startOverride w:val="5"/>
    </w:lvlOverride>
    <w:lvlOverride w:ilvl="1">
      <w:startOverride w:val="3"/>
    </w:lvlOverride>
    <w:lvlOverride w:ilvl="2">
      <w:startOverride w:val="4"/>
    </w:lvlOverride>
  </w:num>
  <w:num w:numId="12">
    <w:abstractNumId w:val="13"/>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D4"/>
    <w:rsid w:val="000F27D4"/>
    <w:rsid w:val="001012A3"/>
    <w:rsid w:val="00420C10"/>
    <w:rsid w:val="005032F8"/>
    <w:rsid w:val="00647B7D"/>
    <w:rsid w:val="007D6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15046-7D35-4482-BD78-4812EEC3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A3"/>
    <w:pPr>
      <w:spacing w:after="200" w:line="240" w:lineRule="auto"/>
    </w:pPr>
    <w:rPr>
      <w:rFonts w:ascii="Times New Roman" w:hAnsi="Times New Roman"/>
      <w:sz w:val="24"/>
    </w:rPr>
  </w:style>
  <w:style w:type="paragraph" w:styleId="Ttulo1">
    <w:name w:val="heading 1"/>
    <w:aliases w:val="Título 0"/>
    <w:basedOn w:val="Ttulo3"/>
    <w:next w:val="Normal"/>
    <w:link w:val="Ttulo1Char"/>
    <w:uiPriority w:val="9"/>
    <w:qFormat/>
    <w:rsid w:val="001012A3"/>
    <w:pPr>
      <w:numPr>
        <w:ilvl w:val="0"/>
        <w:numId w:val="10"/>
      </w:numPr>
      <w:outlineLvl w:val="0"/>
    </w:pPr>
    <w:rPr>
      <w:rFonts w:eastAsia="Times New Roman"/>
    </w:rPr>
  </w:style>
  <w:style w:type="paragraph" w:styleId="Ttulo2">
    <w:name w:val="heading 2"/>
    <w:aliases w:val="Título &quot;1&quot;"/>
    <w:basedOn w:val="Normal"/>
    <w:next w:val="Normal"/>
    <w:link w:val="Ttulo2Char"/>
    <w:uiPriority w:val="9"/>
    <w:unhideWhenUsed/>
    <w:qFormat/>
    <w:rsid w:val="001012A3"/>
    <w:pPr>
      <w:keepNext/>
      <w:keepLines/>
      <w:numPr>
        <w:numId w:val="5"/>
      </w:numPr>
      <w:spacing w:after="0" w:line="360" w:lineRule="auto"/>
      <w:outlineLvl w:val="1"/>
    </w:pPr>
    <w:rPr>
      <w:rFonts w:eastAsia="Times" w:cs="Times New Roman"/>
      <w:b/>
      <w:bCs/>
      <w:caps/>
      <w:szCs w:val="24"/>
      <w:lang w:eastAsia="ar-SA"/>
    </w:rPr>
  </w:style>
  <w:style w:type="paragraph" w:styleId="Ttulo3">
    <w:name w:val="heading 3"/>
    <w:aliases w:val="Título &quot;2&quot;"/>
    <w:basedOn w:val="Ttulo2"/>
    <w:next w:val="Normal"/>
    <w:link w:val="Ttulo3Char"/>
    <w:autoRedefine/>
    <w:uiPriority w:val="9"/>
    <w:unhideWhenUsed/>
    <w:qFormat/>
    <w:rsid w:val="001012A3"/>
    <w:pPr>
      <w:numPr>
        <w:ilvl w:val="1"/>
      </w:numPr>
      <w:ind w:left="0" w:firstLine="0"/>
      <w:jc w:val="both"/>
      <w:outlineLvl w:val="2"/>
    </w:pPr>
    <w:rPr>
      <w:i/>
      <w:caps w:val="0"/>
    </w:rPr>
  </w:style>
  <w:style w:type="paragraph" w:styleId="Ttulo4">
    <w:name w:val="heading 4"/>
    <w:basedOn w:val="Normal"/>
    <w:next w:val="Normal"/>
    <w:link w:val="Ttulo4Char"/>
    <w:uiPriority w:val="9"/>
    <w:unhideWhenUsed/>
    <w:qFormat/>
    <w:rsid w:val="001012A3"/>
    <w:pPr>
      <w:keepNext/>
      <w:keepLines/>
      <w:numPr>
        <w:ilvl w:val="3"/>
        <w:numId w:val="10"/>
      </w:numPr>
      <w:spacing w:before="200" w:after="0" w:line="360"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1012A3"/>
    <w:pPr>
      <w:keepNext/>
      <w:keepLines/>
      <w:numPr>
        <w:ilvl w:val="4"/>
        <w:numId w:val="10"/>
      </w:numPr>
      <w:spacing w:before="200" w:after="0" w:line="360"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1012A3"/>
    <w:pPr>
      <w:keepNext/>
      <w:keepLines/>
      <w:numPr>
        <w:ilvl w:val="5"/>
        <w:numId w:val="10"/>
      </w:numPr>
      <w:spacing w:before="200" w:after="0" w:line="360"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1012A3"/>
    <w:pPr>
      <w:keepNext/>
      <w:keepLines/>
      <w:numPr>
        <w:ilvl w:val="6"/>
        <w:numId w:val="10"/>
      </w:numPr>
      <w:spacing w:before="200" w:after="0" w:line="36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012A3"/>
    <w:pPr>
      <w:keepNext/>
      <w:keepLines/>
      <w:numPr>
        <w:ilvl w:val="7"/>
        <w:numId w:val="10"/>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012A3"/>
    <w:pPr>
      <w:keepNext/>
      <w:keepLines/>
      <w:numPr>
        <w:ilvl w:val="8"/>
        <w:numId w:val="10"/>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0 Char"/>
    <w:basedOn w:val="Fontepargpadro"/>
    <w:link w:val="Ttulo1"/>
    <w:uiPriority w:val="9"/>
    <w:rsid w:val="001012A3"/>
    <w:rPr>
      <w:rFonts w:ascii="Times New Roman" w:eastAsia="Times New Roman" w:hAnsi="Times New Roman" w:cs="Times New Roman"/>
      <w:b/>
      <w:bCs/>
      <w:i/>
      <w:sz w:val="24"/>
      <w:szCs w:val="24"/>
      <w:lang w:eastAsia="ar-SA"/>
    </w:rPr>
  </w:style>
  <w:style w:type="character" w:customStyle="1" w:styleId="Ttulo2Char">
    <w:name w:val="Título 2 Char"/>
    <w:aliases w:val="Título &quot;1&quot; Char"/>
    <w:basedOn w:val="Fontepargpadro"/>
    <w:link w:val="Ttulo2"/>
    <w:uiPriority w:val="9"/>
    <w:rsid w:val="001012A3"/>
    <w:rPr>
      <w:rFonts w:ascii="Times New Roman" w:eastAsia="Times" w:hAnsi="Times New Roman" w:cs="Times New Roman"/>
      <w:b/>
      <w:bCs/>
      <w:caps/>
      <w:sz w:val="24"/>
      <w:szCs w:val="24"/>
      <w:lang w:eastAsia="ar-SA"/>
    </w:rPr>
  </w:style>
  <w:style w:type="character" w:customStyle="1" w:styleId="Ttulo3Char">
    <w:name w:val="Título 3 Char"/>
    <w:aliases w:val="Título &quot;2&quot; Char"/>
    <w:basedOn w:val="Fontepargpadro"/>
    <w:link w:val="Ttulo3"/>
    <w:uiPriority w:val="9"/>
    <w:rsid w:val="001012A3"/>
    <w:rPr>
      <w:rFonts w:ascii="Times New Roman" w:eastAsia="Times" w:hAnsi="Times New Roman" w:cs="Times New Roman"/>
      <w:b/>
      <w:bCs/>
      <w:i/>
      <w:sz w:val="24"/>
      <w:szCs w:val="24"/>
      <w:lang w:eastAsia="ar-SA"/>
    </w:rPr>
  </w:style>
  <w:style w:type="character" w:customStyle="1" w:styleId="Ttulo4Char">
    <w:name w:val="Título 4 Char"/>
    <w:basedOn w:val="Fontepargpadro"/>
    <w:link w:val="Ttulo4"/>
    <w:uiPriority w:val="9"/>
    <w:rsid w:val="001012A3"/>
    <w:rPr>
      <w:rFonts w:asciiTheme="majorHAnsi" w:eastAsiaTheme="majorEastAsia" w:hAnsiTheme="majorHAnsi" w:cstheme="majorBidi"/>
      <w:b/>
      <w:bCs/>
      <w:i/>
      <w:iCs/>
      <w:color w:val="5B9BD5" w:themeColor="accent1"/>
      <w:sz w:val="24"/>
    </w:rPr>
  </w:style>
  <w:style w:type="character" w:customStyle="1" w:styleId="Ttulo5Char">
    <w:name w:val="Título 5 Char"/>
    <w:basedOn w:val="Fontepargpadro"/>
    <w:link w:val="Ttulo5"/>
    <w:uiPriority w:val="9"/>
    <w:semiHidden/>
    <w:rsid w:val="001012A3"/>
    <w:rPr>
      <w:rFonts w:asciiTheme="majorHAnsi" w:eastAsiaTheme="majorEastAsia" w:hAnsiTheme="majorHAnsi" w:cstheme="majorBidi"/>
      <w:color w:val="1F4D78" w:themeColor="accent1" w:themeShade="7F"/>
      <w:sz w:val="24"/>
    </w:rPr>
  </w:style>
  <w:style w:type="character" w:customStyle="1" w:styleId="Ttulo6Char">
    <w:name w:val="Título 6 Char"/>
    <w:basedOn w:val="Fontepargpadro"/>
    <w:link w:val="Ttulo6"/>
    <w:rsid w:val="001012A3"/>
    <w:rPr>
      <w:rFonts w:asciiTheme="majorHAnsi" w:eastAsiaTheme="majorEastAsia" w:hAnsiTheme="majorHAnsi" w:cstheme="majorBidi"/>
      <w:i/>
      <w:iCs/>
      <w:color w:val="1F4D78" w:themeColor="accent1" w:themeShade="7F"/>
      <w:sz w:val="24"/>
    </w:rPr>
  </w:style>
  <w:style w:type="character" w:customStyle="1" w:styleId="Ttulo7Char">
    <w:name w:val="Título 7 Char"/>
    <w:basedOn w:val="Fontepargpadro"/>
    <w:link w:val="Ttulo7"/>
    <w:uiPriority w:val="9"/>
    <w:semiHidden/>
    <w:rsid w:val="001012A3"/>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1012A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1012A3"/>
    <w:rPr>
      <w:rFonts w:asciiTheme="majorHAnsi" w:eastAsiaTheme="majorEastAsia" w:hAnsiTheme="majorHAnsi" w:cstheme="majorBidi"/>
      <w:i/>
      <w:iCs/>
      <w:color w:val="404040" w:themeColor="text1" w:themeTint="BF"/>
      <w:sz w:val="20"/>
      <w:szCs w:val="20"/>
    </w:rPr>
  </w:style>
  <w:style w:type="character" w:styleId="Refdecomentrio">
    <w:name w:val="annotation reference"/>
    <w:basedOn w:val="Fontepargpadro"/>
    <w:uiPriority w:val="99"/>
    <w:semiHidden/>
    <w:unhideWhenUsed/>
    <w:rsid w:val="001012A3"/>
    <w:rPr>
      <w:sz w:val="16"/>
      <w:szCs w:val="16"/>
    </w:rPr>
  </w:style>
  <w:style w:type="paragraph" w:styleId="Textodecomentrio">
    <w:name w:val="annotation text"/>
    <w:basedOn w:val="Normal"/>
    <w:link w:val="TextodecomentrioChar"/>
    <w:uiPriority w:val="99"/>
    <w:semiHidden/>
    <w:unhideWhenUsed/>
    <w:rsid w:val="001012A3"/>
    <w:pPr>
      <w:spacing w:after="0"/>
    </w:pPr>
    <w:rPr>
      <w:sz w:val="20"/>
      <w:szCs w:val="20"/>
    </w:rPr>
  </w:style>
  <w:style w:type="character" w:customStyle="1" w:styleId="TextodecomentrioChar">
    <w:name w:val="Texto de comentário Char"/>
    <w:basedOn w:val="Fontepargpadro"/>
    <w:link w:val="Textodecomentrio"/>
    <w:uiPriority w:val="99"/>
    <w:semiHidden/>
    <w:rsid w:val="001012A3"/>
    <w:rPr>
      <w:rFonts w:ascii="Times New Roman" w:hAnsi="Times New Roman"/>
      <w:sz w:val="20"/>
      <w:szCs w:val="20"/>
    </w:rPr>
  </w:style>
  <w:style w:type="paragraph" w:styleId="Textodebalo">
    <w:name w:val="Balloon Text"/>
    <w:basedOn w:val="Normal"/>
    <w:link w:val="TextodebaloChar"/>
    <w:uiPriority w:val="99"/>
    <w:semiHidden/>
    <w:unhideWhenUsed/>
    <w:rsid w:val="001012A3"/>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012A3"/>
    <w:rPr>
      <w:rFonts w:ascii="Tahoma" w:hAnsi="Tahoma" w:cs="Tahoma"/>
      <w:sz w:val="16"/>
      <w:szCs w:val="16"/>
    </w:rPr>
  </w:style>
  <w:style w:type="paragraph" w:customStyle="1" w:styleId="Normal1">
    <w:name w:val="Normal1"/>
    <w:rsid w:val="001012A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xtodenotaderodap">
    <w:name w:val="footnote text"/>
    <w:basedOn w:val="Normal"/>
    <w:link w:val="TextodenotaderodapChar"/>
    <w:uiPriority w:val="99"/>
    <w:semiHidden/>
    <w:unhideWhenUsed/>
    <w:rsid w:val="001012A3"/>
    <w:pPr>
      <w:spacing w:after="0"/>
    </w:pPr>
    <w:rPr>
      <w:sz w:val="20"/>
      <w:szCs w:val="20"/>
    </w:rPr>
  </w:style>
  <w:style w:type="character" w:customStyle="1" w:styleId="TextodenotaderodapChar">
    <w:name w:val="Texto de nota de rodapé Char"/>
    <w:basedOn w:val="Fontepargpadro"/>
    <w:link w:val="Textodenotaderodap"/>
    <w:uiPriority w:val="99"/>
    <w:semiHidden/>
    <w:rsid w:val="001012A3"/>
    <w:rPr>
      <w:rFonts w:ascii="Times New Roman" w:hAnsi="Times New Roman"/>
      <w:sz w:val="20"/>
      <w:szCs w:val="20"/>
    </w:rPr>
  </w:style>
  <w:style w:type="character" w:styleId="Refdenotaderodap">
    <w:name w:val="footnote reference"/>
    <w:basedOn w:val="Fontepargpadro"/>
    <w:uiPriority w:val="99"/>
    <w:semiHidden/>
    <w:unhideWhenUsed/>
    <w:rsid w:val="001012A3"/>
    <w:rPr>
      <w:vertAlign w:val="superscript"/>
    </w:rPr>
  </w:style>
  <w:style w:type="character" w:customStyle="1" w:styleId="apple-converted-space">
    <w:name w:val="apple-converted-space"/>
    <w:basedOn w:val="Fontepargpadro"/>
    <w:rsid w:val="001012A3"/>
  </w:style>
  <w:style w:type="paragraph" w:customStyle="1" w:styleId="WW-Padro">
    <w:name w:val="WW-Padrão"/>
    <w:rsid w:val="001012A3"/>
    <w:pPr>
      <w:tabs>
        <w:tab w:val="left" w:pos="708"/>
      </w:tabs>
      <w:suppressAutoHyphens/>
      <w:spacing w:after="200" w:line="360" w:lineRule="auto"/>
      <w:jc w:val="both"/>
    </w:pPr>
    <w:rPr>
      <w:rFonts w:ascii="Times New Roman" w:eastAsia="WenQuanYi Micro Hei" w:hAnsi="Times New Roman" w:cs="Times New Roman"/>
      <w:sz w:val="24"/>
      <w:lang w:eastAsia="zh-CN"/>
    </w:rPr>
  </w:style>
  <w:style w:type="paragraph" w:styleId="Corpodetexto">
    <w:name w:val="Body Text"/>
    <w:basedOn w:val="Normal"/>
    <w:link w:val="CorpodetextoChar"/>
    <w:rsid w:val="001012A3"/>
    <w:pPr>
      <w:suppressAutoHyphens/>
      <w:spacing w:after="120"/>
    </w:pPr>
    <w:rPr>
      <w:rFonts w:ascii="Calibri" w:eastAsia="Calibri" w:hAnsi="Calibri" w:cs="Times New Roman"/>
      <w:lang w:eastAsia="zh-CN"/>
    </w:rPr>
  </w:style>
  <w:style w:type="character" w:customStyle="1" w:styleId="CorpodetextoChar">
    <w:name w:val="Corpo de texto Char"/>
    <w:basedOn w:val="Fontepargpadro"/>
    <w:link w:val="Corpodetexto"/>
    <w:rsid w:val="001012A3"/>
    <w:rPr>
      <w:rFonts w:ascii="Calibri" w:eastAsia="Calibri" w:hAnsi="Calibri" w:cs="Times New Roman"/>
      <w:sz w:val="24"/>
      <w:lang w:eastAsia="zh-CN"/>
    </w:rPr>
  </w:style>
  <w:style w:type="paragraph" w:customStyle="1" w:styleId="Contedodatabela">
    <w:name w:val="Conteúdo da tabela"/>
    <w:basedOn w:val="Normal"/>
    <w:rsid w:val="001012A3"/>
    <w:pPr>
      <w:suppressLineNumbers/>
      <w:suppressAutoHyphens/>
    </w:pPr>
    <w:rPr>
      <w:rFonts w:ascii="Calibri" w:eastAsia="Calibri" w:hAnsi="Calibri" w:cs="Times New Roman"/>
      <w:lang w:eastAsia="zh-CN"/>
    </w:rPr>
  </w:style>
  <w:style w:type="paragraph" w:styleId="PargrafodaLista">
    <w:name w:val="List Paragraph"/>
    <w:basedOn w:val="Normal"/>
    <w:uiPriority w:val="34"/>
    <w:qFormat/>
    <w:rsid w:val="001012A3"/>
    <w:pPr>
      <w:ind w:left="720"/>
      <w:contextualSpacing/>
    </w:pPr>
  </w:style>
  <w:style w:type="paragraph" w:styleId="Assuntodocomentrio">
    <w:name w:val="annotation subject"/>
    <w:basedOn w:val="Textodecomentrio"/>
    <w:next w:val="Textodecomentrio"/>
    <w:link w:val="AssuntodocomentrioChar"/>
    <w:uiPriority w:val="99"/>
    <w:semiHidden/>
    <w:unhideWhenUsed/>
    <w:rsid w:val="001012A3"/>
    <w:pPr>
      <w:spacing w:after="200"/>
    </w:pPr>
    <w:rPr>
      <w:b/>
      <w:bCs/>
    </w:rPr>
  </w:style>
  <w:style w:type="character" w:customStyle="1" w:styleId="AssuntodocomentrioChar">
    <w:name w:val="Assunto do comentário Char"/>
    <w:basedOn w:val="TextodecomentrioChar"/>
    <w:link w:val="Assuntodocomentrio"/>
    <w:uiPriority w:val="99"/>
    <w:semiHidden/>
    <w:rsid w:val="001012A3"/>
    <w:rPr>
      <w:rFonts w:ascii="Times New Roman" w:hAnsi="Times New Roman"/>
      <w:b/>
      <w:bCs/>
      <w:sz w:val="20"/>
      <w:szCs w:val="20"/>
    </w:rPr>
  </w:style>
  <w:style w:type="paragraph" w:customStyle="1" w:styleId="Default">
    <w:name w:val="Default"/>
    <w:rsid w:val="001012A3"/>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CabealhodoSumrio">
    <w:name w:val="TOC Heading"/>
    <w:basedOn w:val="Ttulo1"/>
    <w:next w:val="Normal"/>
    <w:uiPriority w:val="39"/>
    <w:unhideWhenUsed/>
    <w:qFormat/>
    <w:rsid w:val="001012A3"/>
    <w:pPr>
      <w:numPr>
        <w:numId w:val="0"/>
      </w:numPr>
      <w:spacing w:line="276" w:lineRule="auto"/>
      <w:outlineLvl w:val="9"/>
    </w:pPr>
    <w:rPr>
      <w:rFonts w:asciiTheme="majorHAnsi" w:hAnsiTheme="majorHAnsi"/>
      <w:color w:val="2E74B5" w:themeColor="accent1" w:themeShade="BF"/>
      <w:sz w:val="28"/>
    </w:rPr>
  </w:style>
  <w:style w:type="paragraph" w:styleId="Sumrio2">
    <w:name w:val="toc 2"/>
    <w:basedOn w:val="Normal"/>
    <w:next w:val="Normal"/>
    <w:autoRedefine/>
    <w:uiPriority w:val="39"/>
    <w:unhideWhenUsed/>
    <w:rsid w:val="001012A3"/>
    <w:pPr>
      <w:spacing w:after="100"/>
      <w:ind w:left="220"/>
    </w:pPr>
  </w:style>
  <w:style w:type="character" w:styleId="Hyperlink">
    <w:name w:val="Hyperlink"/>
    <w:basedOn w:val="Fontepargpadro"/>
    <w:uiPriority w:val="99"/>
    <w:unhideWhenUsed/>
    <w:rsid w:val="001012A3"/>
    <w:rPr>
      <w:color w:val="0563C1" w:themeColor="hyperlink"/>
      <w:u w:val="single"/>
    </w:rPr>
  </w:style>
  <w:style w:type="paragraph" w:styleId="Cabealho">
    <w:name w:val="header"/>
    <w:basedOn w:val="Normal"/>
    <w:link w:val="CabealhoChar"/>
    <w:uiPriority w:val="99"/>
    <w:unhideWhenUsed/>
    <w:rsid w:val="001012A3"/>
    <w:pPr>
      <w:tabs>
        <w:tab w:val="center" w:pos="4252"/>
        <w:tab w:val="right" w:pos="8504"/>
      </w:tabs>
      <w:spacing w:after="0"/>
    </w:pPr>
  </w:style>
  <w:style w:type="character" w:customStyle="1" w:styleId="CabealhoChar">
    <w:name w:val="Cabeçalho Char"/>
    <w:basedOn w:val="Fontepargpadro"/>
    <w:link w:val="Cabealho"/>
    <w:uiPriority w:val="99"/>
    <w:rsid w:val="001012A3"/>
    <w:rPr>
      <w:rFonts w:ascii="Times New Roman" w:hAnsi="Times New Roman"/>
      <w:sz w:val="24"/>
    </w:rPr>
  </w:style>
  <w:style w:type="paragraph" w:styleId="Rodap">
    <w:name w:val="footer"/>
    <w:basedOn w:val="Normal"/>
    <w:link w:val="RodapChar"/>
    <w:uiPriority w:val="99"/>
    <w:unhideWhenUsed/>
    <w:rsid w:val="001012A3"/>
    <w:pPr>
      <w:tabs>
        <w:tab w:val="center" w:pos="4252"/>
        <w:tab w:val="right" w:pos="8504"/>
      </w:tabs>
      <w:spacing w:after="0"/>
    </w:pPr>
  </w:style>
  <w:style w:type="character" w:customStyle="1" w:styleId="RodapChar">
    <w:name w:val="Rodapé Char"/>
    <w:basedOn w:val="Fontepargpadro"/>
    <w:link w:val="Rodap"/>
    <w:uiPriority w:val="99"/>
    <w:rsid w:val="001012A3"/>
    <w:rPr>
      <w:rFonts w:ascii="Times New Roman" w:hAnsi="Times New Roman"/>
      <w:sz w:val="24"/>
    </w:rPr>
  </w:style>
  <w:style w:type="paragraph" w:styleId="Sumrio1">
    <w:name w:val="toc 1"/>
    <w:basedOn w:val="Normal"/>
    <w:next w:val="Normal"/>
    <w:autoRedefine/>
    <w:uiPriority w:val="39"/>
    <w:unhideWhenUsed/>
    <w:rsid w:val="001012A3"/>
    <w:pPr>
      <w:spacing w:after="100"/>
    </w:pPr>
  </w:style>
  <w:style w:type="paragraph" w:styleId="Sumrio3">
    <w:name w:val="toc 3"/>
    <w:basedOn w:val="Normal"/>
    <w:next w:val="Normal"/>
    <w:autoRedefine/>
    <w:uiPriority w:val="39"/>
    <w:unhideWhenUsed/>
    <w:rsid w:val="001012A3"/>
    <w:pPr>
      <w:spacing w:after="100"/>
      <w:ind w:left="440"/>
    </w:pPr>
  </w:style>
  <w:style w:type="table" w:styleId="Tabelacomgrade">
    <w:name w:val="Table Grid"/>
    <w:basedOn w:val="Tabelanormal"/>
    <w:uiPriority w:val="59"/>
    <w:rsid w:val="00101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012A3"/>
    <w:pPr>
      <w:spacing w:before="100" w:beforeAutospacing="1" w:after="100" w:afterAutospacing="1"/>
    </w:pPr>
    <w:rPr>
      <w:rFonts w:eastAsia="Times New Roman" w:cs="Times New Roman"/>
      <w:szCs w:val="24"/>
      <w:lang w:eastAsia="pt-BR"/>
    </w:rPr>
  </w:style>
  <w:style w:type="table" w:customStyle="1" w:styleId="Estilo1">
    <w:name w:val="Estilo1"/>
    <w:basedOn w:val="Tabelanormal"/>
    <w:uiPriority w:val="99"/>
    <w:qFormat/>
    <w:rsid w:val="001012A3"/>
    <w:pPr>
      <w:spacing w:after="0" w:line="240" w:lineRule="auto"/>
    </w:pPr>
    <w:rPr>
      <w:rFonts w:ascii="Calibri" w:eastAsia="Calibri" w:hAnsi="Calibri" w:cs="Times New Roman"/>
      <w:sz w:val="20"/>
      <w:szCs w:val="20"/>
      <w:lang w:eastAsia="pt-BR"/>
    </w:rPr>
    <w:tblPr>
      <w:tblBorders>
        <w:insideH w:val="dotted" w:sz="4" w:space="0" w:color="auto"/>
      </w:tblBorders>
    </w:tblPr>
  </w:style>
  <w:style w:type="character" w:styleId="nfase">
    <w:name w:val="Emphasis"/>
    <w:basedOn w:val="Fontepargpadro"/>
    <w:uiPriority w:val="20"/>
    <w:qFormat/>
    <w:rsid w:val="001012A3"/>
    <w:rPr>
      <w:i/>
      <w:iCs/>
    </w:rPr>
  </w:style>
  <w:style w:type="paragraph" w:styleId="Sumrio4">
    <w:name w:val="toc 4"/>
    <w:basedOn w:val="Normal"/>
    <w:next w:val="Normal"/>
    <w:autoRedefine/>
    <w:uiPriority w:val="39"/>
    <w:unhideWhenUsed/>
    <w:rsid w:val="001012A3"/>
    <w:pPr>
      <w:spacing w:after="100" w:line="259" w:lineRule="auto"/>
      <w:ind w:left="660"/>
    </w:pPr>
    <w:rPr>
      <w:rFonts w:eastAsiaTheme="minorEastAsia"/>
      <w:lang w:eastAsia="pt-BR"/>
    </w:rPr>
  </w:style>
  <w:style w:type="paragraph" w:styleId="Sumrio5">
    <w:name w:val="toc 5"/>
    <w:basedOn w:val="Normal"/>
    <w:next w:val="Normal"/>
    <w:autoRedefine/>
    <w:uiPriority w:val="39"/>
    <w:unhideWhenUsed/>
    <w:rsid w:val="001012A3"/>
    <w:pPr>
      <w:spacing w:after="100" w:line="259" w:lineRule="auto"/>
      <w:ind w:left="880"/>
    </w:pPr>
    <w:rPr>
      <w:rFonts w:eastAsiaTheme="minorEastAsia"/>
      <w:lang w:eastAsia="pt-BR"/>
    </w:rPr>
  </w:style>
  <w:style w:type="paragraph" w:styleId="Sumrio6">
    <w:name w:val="toc 6"/>
    <w:basedOn w:val="Normal"/>
    <w:next w:val="Normal"/>
    <w:autoRedefine/>
    <w:uiPriority w:val="39"/>
    <w:unhideWhenUsed/>
    <w:rsid w:val="001012A3"/>
    <w:pPr>
      <w:spacing w:after="100" w:line="259" w:lineRule="auto"/>
      <w:ind w:left="1100"/>
    </w:pPr>
    <w:rPr>
      <w:rFonts w:eastAsiaTheme="minorEastAsia"/>
      <w:lang w:eastAsia="pt-BR"/>
    </w:rPr>
  </w:style>
  <w:style w:type="paragraph" w:styleId="Sumrio7">
    <w:name w:val="toc 7"/>
    <w:basedOn w:val="Normal"/>
    <w:next w:val="Normal"/>
    <w:autoRedefine/>
    <w:uiPriority w:val="39"/>
    <w:unhideWhenUsed/>
    <w:rsid w:val="001012A3"/>
    <w:pPr>
      <w:spacing w:after="100" w:line="259" w:lineRule="auto"/>
      <w:ind w:left="1320"/>
    </w:pPr>
    <w:rPr>
      <w:rFonts w:eastAsiaTheme="minorEastAsia"/>
      <w:lang w:eastAsia="pt-BR"/>
    </w:rPr>
  </w:style>
  <w:style w:type="paragraph" w:styleId="Sumrio8">
    <w:name w:val="toc 8"/>
    <w:basedOn w:val="Normal"/>
    <w:next w:val="Normal"/>
    <w:autoRedefine/>
    <w:uiPriority w:val="39"/>
    <w:unhideWhenUsed/>
    <w:rsid w:val="001012A3"/>
    <w:pPr>
      <w:spacing w:after="100" w:line="259" w:lineRule="auto"/>
      <w:ind w:left="1540"/>
    </w:pPr>
    <w:rPr>
      <w:rFonts w:eastAsiaTheme="minorEastAsia"/>
      <w:lang w:eastAsia="pt-BR"/>
    </w:rPr>
  </w:style>
  <w:style w:type="paragraph" w:styleId="Sumrio9">
    <w:name w:val="toc 9"/>
    <w:basedOn w:val="Normal"/>
    <w:next w:val="Normal"/>
    <w:autoRedefine/>
    <w:uiPriority w:val="39"/>
    <w:unhideWhenUsed/>
    <w:rsid w:val="001012A3"/>
    <w:pPr>
      <w:spacing w:after="100" w:line="259" w:lineRule="auto"/>
      <w:ind w:left="1760"/>
    </w:pPr>
    <w:rPr>
      <w:rFonts w:eastAsiaTheme="minorEastAsia"/>
      <w:lang w:eastAsia="pt-BR"/>
    </w:rPr>
  </w:style>
  <w:style w:type="paragraph" w:styleId="Legenda">
    <w:name w:val="caption"/>
    <w:basedOn w:val="Normal"/>
    <w:next w:val="Normal"/>
    <w:uiPriority w:val="35"/>
    <w:unhideWhenUsed/>
    <w:qFormat/>
    <w:rsid w:val="001012A3"/>
    <w:rPr>
      <w:i/>
      <w:iCs/>
      <w:color w:val="44546A" w:themeColor="text2"/>
      <w:sz w:val="18"/>
      <w:szCs w:val="18"/>
    </w:rPr>
  </w:style>
  <w:style w:type="table" w:customStyle="1" w:styleId="TabelaSimples21">
    <w:name w:val="Tabela Simples 21"/>
    <w:basedOn w:val="Tabelanormal"/>
    <w:uiPriority w:val="42"/>
    <w:rsid w:val="001012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dicedeilustraes">
    <w:name w:val="table of figures"/>
    <w:basedOn w:val="Normal"/>
    <w:next w:val="Normal"/>
    <w:uiPriority w:val="99"/>
    <w:unhideWhenUsed/>
    <w:rsid w:val="001012A3"/>
    <w:pPr>
      <w:spacing w:after="0"/>
    </w:pPr>
  </w:style>
  <w:style w:type="character" w:styleId="TextodoEspaoReservado">
    <w:name w:val="Placeholder Text"/>
    <w:basedOn w:val="Fontepargpadro"/>
    <w:uiPriority w:val="99"/>
    <w:semiHidden/>
    <w:rsid w:val="001012A3"/>
    <w:rPr>
      <w:color w:val="808080"/>
    </w:rPr>
  </w:style>
  <w:style w:type="table" w:customStyle="1" w:styleId="TableGrid">
    <w:name w:val="TableGrid"/>
    <w:rsid w:val="001012A3"/>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aliases w:val="Titulo 3"/>
    <w:uiPriority w:val="1"/>
    <w:qFormat/>
    <w:rsid w:val="001012A3"/>
    <w:pPr>
      <w:spacing w:after="0" w:line="240" w:lineRule="auto"/>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4956</Words>
  <Characters>26763</Characters>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2018-01-03T17:40:00Z</dcterms:created>
  <dcterms:modified xsi:type="dcterms:W3CDTF">2018-01-10T12:26:00Z</dcterms:modified>
</cp:coreProperties>
</file>