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ED2D1" w14:textId="27DB918E" w:rsidR="00375C36" w:rsidRPr="00CC11DC" w:rsidRDefault="007B116C" w:rsidP="0056798E">
      <w:pPr>
        <w:shd w:val="clear" w:color="auto" w:fill="FFFFFF"/>
        <w:spacing w:after="0" w:line="240" w:lineRule="auto"/>
        <w:jc w:val="center"/>
        <w:rPr>
          <w:rFonts w:ascii="Times New Roman" w:hAnsi="Times New Roman" w:cs="Times New Roman"/>
          <w:b/>
          <w:sz w:val="24"/>
          <w:szCs w:val="24"/>
        </w:rPr>
      </w:pPr>
      <w:bookmarkStart w:id="0" w:name="_GoBack"/>
      <w:bookmarkEnd w:id="0"/>
      <w:r w:rsidRPr="00CC11DC">
        <w:rPr>
          <w:rFonts w:ascii="Times New Roman" w:hAnsi="Times New Roman" w:cs="Times New Roman"/>
          <w:b/>
          <w:sz w:val="24"/>
          <w:szCs w:val="24"/>
        </w:rPr>
        <w:t xml:space="preserve">Desempenho Operacional </w:t>
      </w:r>
      <w:r>
        <w:rPr>
          <w:rFonts w:ascii="Times New Roman" w:hAnsi="Times New Roman" w:cs="Times New Roman"/>
          <w:b/>
          <w:sz w:val="24"/>
          <w:szCs w:val="24"/>
        </w:rPr>
        <w:t>e</w:t>
      </w:r>
      <w:r w:rsidRPr="00CC11DC">
        <w:rPr>
          <w:rFonts w:ascii="Times New Roman" w:hAnsi="Times New Roman" w:cs="Times New Roman"/>
          <w:b/>
          <w:sz w:val="24"/>
          <w:szCs w:val="24"/>
        </w:rPr>
        <w:t xml:space="preserve"> Acionário </w:t>
      </w:r>
      <w:r>
        <w:rPr>
          <w:rFonts w:ascii="Times New Roman" w:hAnsi="Times New Roman" w:cs="Times New Roman"/>
          <w:b/>
          <w:sz w:val="24"/>
          <w:szCs w:val="24"/>
        </w:rPr>
        <w:t>d</w:t>
      </w:r>
      <w:r w:rsidRPr="00CC11DC">
        <w:rPr>
          <w:rFonts w:ascii="Times New Roman" w:hAnsi="Times New Roman" w:cs="Times New Roman"/>
          <w:b/>
          <w:sz w:val="24"/>
          <w:szCs w:val="24"/>
        </w:rPr>
        <w:t xml:space="preserve">as Ofertas Públicas Subsequentes </w:t>
      </w:r>
      <w:r>
        <w:rPr>
          <w:rFonts w:ascii="Times New Roman" w:hAnsi="Times New Roman" w:cs="Times New Roman"/>
          <w:b/>
          <w:sz w:val="24"/>
          <w:szCs w:val="24"/>
        </w:rPr>
        <w:t>d</w:t>
      </w:r>
      <w:r w:rsidRPr="00CC11DC">
        <w:rPr>
          <w:rFonts w:ascii="Times New Roman" w:hAnsi="Times New Roman" w:cs="Times New Roman"/>
          <w:b/>
          <w:sz w:val="24"/>
          <w:szCs w:val="24"/>
        </w:rPr>
        <w:t xml:space="preserve">e Ações </w:t>
      </w:r>
    </w:p>
    <w:p w14:paraId="4DBA7C95" w14:textId="77777777" w:rsidR="00B974BE" w:rsidRPr="00CC11DC" w:rsidRDefault="00B974BE" w:rsidP="0056798E">
      <w:pPr>
        <w:shd w:val="clear" w:color="auto" w:fill="FFFFFF"/>
        <w:spacing w:after="0" w:line="240" w:lineRule="auto"/>
        <w:rPr>
          <w:rFonts w:ascii="Times New Roman" w:hAnsi="Times New Roman" w:cs="Times New Roman"/>
          <w:b/>
          <w:sz w:val="24"/>
          <w:szCs w:val="24"/>
        </w:rPr>
      </w:pPr>
    </w:p>
    <w:p w14:paraId="018A4F23" w14:textId="7E753D0A" w:rsidR="002A16A4" w:rsidRPr="00CC11DC" w:rsidRDefault="007B116C" w:rsidP="0056798E">
      <w:pPr>
        <w:spacing w:after="0" w:line="240" w:lineRule="auto"/>
        <w:contextualSpacing/>
        <w:jc w:val="center"/>
        <w:rPr>
          <w:rFonts w:ascii="Times New Roman" w:hAnsi="Times New Roman" w:cs="Times New Roman"/>
          <w:b/>
          <w:sz w:val="24"/>
          <w:szCs w:val="24"/>
          <w:lang w:val="en-US"/>
        </w:rPr>
      </w:pPr>
      <w:r w:rsidRPr="00CC11DC">
        <w:rPr>
          <w:rFonts w:ascii="Times New Roman" w:hAnsi="Times New Roman" w:cs="Times New Roman"/>
          <w:b/>
          <w:sz w:val="24"/>
          <w:szCs w:val="24"/>
          <w:lang w:val="en-US"/>
        </w:rPr>
        <w:t xml:space="preserve">Operational </w:t>
      </w:r>
      <w:r>
        <w:rPr>
          <w:rFonts w:ascii="Times New Roman" w:hAnsi="Times New Roman" w:cs="Times New Roman"/>
          <w:b/>
          <w:sz w:val="24"/>
          <w:szCs w:val="24"/>
          <w:lang w:val="en-US"/>
        </w:rPr>
        <w:t>a</w:t>
      </w:r>
      <w:r w:rsidRPr="00CC11DC">
        <w:rPr>
          <w:rFonts w:ascii="Times New Roman" w:hAnsi="Times New Roman" w:cs="Times New Roman"/>
          <w:b/>
          <w:sz w:val="24"/>
          <w:szCs w:val="24"/>
          <w:lang w:val="en-US"/>
        </w:rPr>
        <w:t xml:space="preserve">nd Stock Performance </w:t>
      </w:r>
      <w:r>
        <w:rPr>
          <w:rFonts w:ascii="Times New Roman" w:hAnsi="Times New Roman" w:cs="Times New Roman"/>
          <w:b/>
          <w:sz w:val="24"/>
          <w:szCs w:val="24"/>
          <w:lang w:val="en-US"/>
        </w:rPr>
        <w:t>of Seasoned Equity Offerings</w:t>
      </w:r>
    </w:p>
    <w:p w14:paraId="6BEAAD70" w14:textId="77777777" w:rsidR="0009425F" w:rsidRPr="00F76929" w:rsidRDefault="0009425F" w:rsidP="0056798E">
      <w:pPr>
        <w:shd w:val="clear" w:color="auto" w:fill="FFFFFF"/>
        <w:spacing w:after="0" w:line="240" w:lineRule="auto"/>
        <w:rPr>
          <w:rFonts w:ascii="Times New Roman" w:hAnsi="Times New Roman" w:cs="Times New Roman"/>
          <w:b/>
          <w:sz w:val="24"/>
          <w:szCs w:val="24"/>
          <w:lang w:val="en-US"/>
        </w:rPr>
      </w:pPr>
    </w:p>
    <w:p w14:paraId="7C115C71" w14:textId="77777777" w:rsidR="00037E77" w:rsidRPr="00F76929" w:rsidRDefault="00037E77" w:rsidP="00037E77">
      <w:pPr>
        <w:spacing w:after="0" w:line="240" w:lineRule="auto"/>
        <w:jc w:val="center"/>
        <w:rPr>
          <w:rFonts w:ascii="Times New Roman" w:hAnsi="Times New Roman" w:cs="Times New Roman"/>
          <w:b/>
          <w:sz w:val="24"/>
          <w:szCs w:val="24"/>
        </w:rPr>
      </w:pPr>
      <w:r w:rsidRPr="00F76929">
        <w:rPr>
          <w:rFonts w:ascii="Times New Roman" w:hAnsi="Times New Roman" w:cs="Times New Roman"/>
          <w:b/>
          <w:sz w:val="24"/>
          <w:szCs w:val="24"/>
        </w:rPr>
        <w:t>Márcio André Veras Machado</w:t>
      </w:r>
    </w:p>
    <w:p w14:paraId="41144A05" w14:textId="77777777" w:rsidR="00037E77" w:rsidRPr="00F76929" w:rsidRDefault="00037E77" w:rsidP="00037E77">
      <w:pPr>
        <w:spacing w:after="0" w:line="240" w:lineRule="auto"/>
        <w:jc w:val="center"/>
        <w:rPr>
          <w:rFonts w:ascii="Times New Roman" w:hAnsi="Times New Roman" w:cs="Times New Roman"/>
          <w:sz w:val="24"/>
          <w:szCs w:val="24"/>
        </w:rPr>
      </w:pPr>
      <w:r w:rsidRPr="00F76929">
        <w:rPr>
          <w:rFonts w:ascii="Times New Roman" w:hAnsi="Times New Roman" w:cs="Times New Roman"/>
          <w:sz w:val="24"/>
          <w:szCs w:val="24"/>
        </w:rPr>
        <w:t>Doutor em Administração</w:t>
      </w:r>
    </w:p>
    <w:p w14:paraId="42687C1B" w14:textId="33716621" w:rsidR="00037E77" w:rsidRPr="00F76929" w:rsidRDefault="00037E77" w:rsidP="00037E77">
      <w:pPr>
        <w:spacing w:after="0" w:line="240" w:lineRule="auto"/>
        <w:jc w:val="center"/>
        <w:rPr>
          <w:rFonts w:ascii="Times New Roman" w:hAnsi="Times New Roman" w:cs="Times New Roman"/>
          <w:sz w:val="24"/>
          <w:szCs w:val="24"/>
        </w:rPr>
      </w:pPr>
      <w:r w:rsidRPr="00F76929">
        <w:rPr>
          <w:rFonts w:ascii="Times New Roman" w:hAnsi="Times New Roman" w:cs="Times New Roman"/>
          <w:sz w:val="24"/>
          <w:szCs w:val="24"/>
        </w:rPr>
        <w:t>Professor do Programa de Pós-Graduação em Administração (PPGA)</w:t>
      </w:r>
      <w:r w:rsidRPr="00F76929">
        <w:rPr>
          <w:rFonts w:ascii="Times New Roman" w:hAnsi="Times New Roman" w:cs="Times New Roman"/>
          <w:sz w:val="24"/>
          <w:szCs w:val="24"/>
        </w:rPr>
        <w:t xml:space="preserve"> e em Ciências Contábeis</w:t>
      </w:r>
      <w:r w:rsidRPr="00F76929">
        <w:rPr>
          <w:rFonts w:ascii="Times New Roman" w:hAnsi="Times New Roman" w:cs="Times New Roman"/>
          <w:sz w:val="24"/>
          <w:szCs w:val="24"/>
        </w:rPr>
        <w:t xml:space="preserve"> </w:t>
      </w:r>
      <w:r w:rsidRPr="00F76929">
        <w:rPr>
          <w:rFonts w:ascii="Times New Roman" w:hAnsi="Times New Roman" w:cs="Times New Roman"/>
          <w:sz w:val="24"/>
          <w:szCs w:val="24"/>
        </w:rPr>
        <w:t xml:space="preserve">(PPGCC) </w:t>
      </w:r>
      <w:r w:rsidRPr="00F76929">
        <w:rPr>
          <w:rFonts w:ascii="Times New Roman" w:hAnsi="Times New Roman" w:cs="Times New Roman"/>
          <w:sz w:val="24"/>
          <w:szCs w:val="24"/>
        </w:rPr>
        <w:t xml:space="preserve">da </w:t>
      </w:r>
      <w:r w:rsidRPr="00F76929">
        <w:rPr>
          <w:rFonts w:ascii="Times New Roman" w:hAnsi="Times New Roman" w:cs="Times New Roman"/>
          <w:sz w:val="24"/>
          <w:szCs w:val="24"/>
        </w:rPr>
        <w:t>Universidade Federal da Paraíba (UFPB)</w:t>
      </w:r>
    </w:p>
    <w:p w14:paraId="3D6DECED" w14:textId="77777777" w:rsidR="00037E77" w:rsidRPr="00F76929" w:rsidRDefault="00037E77" w:rsidP="00037E77">
      <w:pPr>
        <w:spacing w:after="0" w:line="240" w:lineRule="auto"/>
        <w:jc w:val="center"/>
        <w:rPr>
          <w:rFonts w:ascii="Times New Roman" w:hAnsi="Times New Roman" w:cs="Times New Roman"/>
          <w:sz w:val="24"/>
          <w:szCs w:val="24"/>
        </w:rPr>
      </w:pPr>
      <w:r w:rsidRPr="00F76929">
        <w:rPr>
          <w:rFonts w:ascii="Times New Roman" w:hAnsi="Times New Roman" w:cs="Times New Roman"/>
          <w:sz w:val="24"/>
          <w:szCs w:val="24"/>
        </w:rPr>
        <w:t xml:space="preserve">Cidade Universitária - Campus I. Castelo Branco, CEP: 58059-900 - João Pessoa/PB.  </w:t>
      </w:r>
    </w:p>
    <w:p w14:paraId="3D272720" w14:textId="77777777" w:rsidR="00037E77" w:rsidRPr="00F76929" w:rsidRDefault="00037E77" w:rsidP="00037E77">
      <w:pPr>
        <w:spacing w:after="0" w:line="240" w:lineRule="auto"/>
        <w:jc w:val="center"/>
        <w:rPr>
          <w:rFonts w:ascii="Times New Roman" w:hAnsi="Times New Roman" w:cs="Times New Roman"/>
          <w:sz w:val="24"/>
          <w:szCs w:val="24"/>
        </w:rPr>
      </w:pPr>
      <w:r w:rsidRPr="00F76929">
        <w:rPr>
          <w:rFonts w:ascii="Times New Roman" w:hAnsi="Times New Roman" w:cs="Times New Roman"/>
          <w:sz w:val="24"/>
          <w:szCs w:val="24"/>
        </w:rPr>
        <w:t xml:space="preserve">Tel.: (83) 3216-7492 - E-mail: </w:t>
      </w:r>
      <w:hyperlink r:id="rId8" w:history="1">
        <w:r w:rsidRPr="00F76929">
          <w:rPr>
            <w:rStyle w:val="Hyperlink"/>
            <w:rFonts w:ascii="Times New Roman" w:hAnsi="Times New Roman" w:cs="Times New Roman"/>
            <w:sz w:val="24"/>
            <w:szCs w:val="24"/>
          </w:rPr>
          <w:t>mavmachado@hotmail.com</w:t>
        </w:r>
      </w:hyperlink>
      <w:r w:rsidRPr="00F76929">
        <w:rPr>
          <w:rFonts w:ascii="Times New Roman" w:hAnsi="Times New Roman" w:cs="Times New Roman"/>
          <w:sz w:val="24"/>
          <w:szCs w:val="24"/>
        </w:rPr>
        <w:t>.</w:t>
      </w:r>
    </w:p>
    <w:p w14:paraId="2214C71A" w14:textId="77777777" w:rsidR="00037E77" w:rsidRPr="00F76929" w:rsidRDefault="00037E77" w:rsidP="00037E77">
      <w:pPr>
        <w:spacing w:after="0" w:line="240" w:lineRule="auto"/>
        <w:jc w:val="center"/>
        <w:rPr>
          <w:rFonts w:ascii="Times New Roman" w:hAnsi="Times New Roman" w:cs="Times New Roman"/>
          <w:sz w:val="24"/>
          <w:szCs w:val="24"/>
        </w:rPr>
      </w:pPr>
    </w:p>
    <w:p w14:paraId="1D6F65FF" w14:textId="77777777" w:rsidR="00F76929" w:rsidRPr="00F76929" w:rsidRDefault="00F76929" w:rsidP="00F76929">
      <w:pPr>
        <w:spacing w:after="0" w:line="240" w:lineRule="auto"/>
        <w:contextualSpacing/>
        <w:jc w:val="center"/>
        <w:rPr>
          <w:rFonts w:ascii="Times New Roman" w:eastAsia="Times New Roman" w:hAnsi="Times New Roman" w:cs="Times New Roman"/>
          <w:b/>
          <w:sz w:val="24"/>
          <w:szCs w:val="24"/>
        </w:rPr>
      </w:pPr>
      <w:r w:rsidRPr="00F76929">
        <w:rPr>
          <w:rFonts w:ascii="Times New Roman" w:eastAsia="Times New Roman" w:hAnsi="Times New Roman" w:cs="Times New Roman"/>
          <w:b/>
          <w:sz w:val="24"/>
          <w:szCs w:val="24"/>
        </w:rPr>
        <w:t xml:space="preserve">Suelle </w:t>
      </w:r>
      <w:proofErr w:type="spellStart"/>
      <w:r w:rsidRPr="00F76929">
        <w:rPr>
          <w:rFonts w:ascii="Times New Roman" w:eastAsia="Times New Roman" w:hAnsi="Times New Roman" w:cs="Times New Roman"/>
          <w:b/>
          <w:sz w:val="24"/>
          <w:szCs w:val="24"/>
        </w:rPr>
        <w:t>Carielle</w:t>
      </w:r>
      <w:proofErr w:type="spellEnd"/>
      <w:r w:rsidRPr="00F76929">
        <w:rPr>
          <w:rFonts w:ascii="Times New Roman" w:eastAsia="Times New Roman" w:hAnsi="Times New Roman" w:cs="Times New Roman"/>
          <w:b/>
          <w:sz w:val="24"/>
          <w:szCs w:val="24"/>
        </w:rPr>
        <w:t xml:space="preserve"> de Souza e Silva</w:t>
      </w:r>
    </w:p>
    <w:p w14:paraId="55A8B3FD" w14:textId="77777777" w:rsidR="00F76929" w:rsidRPr="00F76929" w:rsidRDefault="00F76929" w:rsidP="00F76929">
      <w:pPr>
        <w:spacing w:after="0" w:line="240" w:lineRule="auto"/>
        <w:contextualSpacing/>
        <w:jc w:val="center"/>
        <w:rPr>
          <w:rFonts w:ascii="Times New Roman" w:eastAsia="Times New Roman" w:hAnsi="Times New Roman" w:cs="Times New Roman"/>
          <w:sz w:val="24"/>
          <w:szCs w:val="24"/>
        </w:rPr>
      </w:pPr>
      <w:r w:rsidRPr="00F76929">
        <w:rPr>
          <w:rFonts w:ascii="Times New Roman" w:eastAsia="Times New Roman" w:hAnsi="Times New Roman" w:cs="Times New Roman"/>
          <w:sz w:val="24"/>
          <w:szCs w:val="24"/>
        </w:rPr>
        <w:t xml:space="preserve">Doutoranda em Administração pelo </w:t>
      </w:r>
      <w:r w:rsidRPr="00F76929">
        <w:rPr>
          <w:rFonts w:ascii="Times New Roman" w:hAnsi="Times New Roman" w:cs="Times New Roman"/>
          <w:sz w:val="24"/>
          <w:szCs w:val="24"/>
        </w:rPr>
        <w:t>Programa de Pós-Graduação em Administração da Universidade Federal da Paraíba (PPGA/UFPB)</w:t>
      </w:r>
    </w:p>
    <w:p w14:paraId="440DCE45" w14:textId="77777777" w:rsidR="00F76929" w:rsidRPr="00F76929" w:rsidRDefault="00F76929" w:rsidP="00F76929">
      <w:pPr>
        <w:spacing w:after="0" w:line="240" w:lineRule="auto"/>
        <w:contextualSpacing/>
        <w:jc w:val="center"/>
        <w:rPr>
          <w:rFonts w:ascii="Times New Roman" w:eastAsia="Times New Roman" w:hAnsi="Times New Roman" w:cs="Times New Roman"/>
          <w:sz w:val="24"/>
          <w:szCs w:val="24"/>
        </w:rPr>
      </w:pPr>
      <w:r w:rsidRPr="00F76929">
        <w:rPr>
          <w:rFonts w:ascii="Times New Roman" w:eastAsia="Times New Roman" w:hAnsi="Times New Roman" w:cs="Times New Roman"/>
          <w:sz w:val="24"/>
          <w:szCs w:val="24"/>
        </w:rPr>
        <w:t>Professora da Universidade Federal da Paraíba - UFPB</w:t>
      </w:r>
    </w:p>
    <w:p w14:paraId="60AF1358" w14:textId="77777777" w:rsidR="00F76929" w:rsidRPr="00F76929" w:rsidRDefault="00F76929" w:rsidP="00F76929">
      <w:pPr>
        <w:spacing w:after="0" w:line="240" w:lineRule="auto"/>
        <w:contextualSpacing/>
        <w:jc w:val="center"/>
        <w:rPr>
          <w:rFonts w:ascii="Times New Roman" w:eastAsia="Times New Roman" w:hAnsi="Times New Roman" w:cs="Times New Roman"/>
          <w:sz w:val="24"/>
          <w:szCs w:val="24"/>
        </w:rPr>
      </w:pPr>
      <w:proofErr w:type="gramStart"/>
      <w:r w:rsidRPr="00F76929">
        <w:rPr>
          <w:rFonts w:ascii="Times New Roman" w:hAnsi="Times New Roman" w:cs="Times New Roman"/>
          <w:sz w:val="24"/>
          <w:szCs w:val="24"/>
        </w:rPr>
        <w:t>e-mail</w:t>
      </w:r>
      <w:proofErr w:type="gramEnd"/>
      <w:r w:rsidRPr="00F76929">
        <w:rPr>
          <w:rFonts w:ascii="Times New Roman" w:hAnsi="Times New Roman" w:cs="Times New Roman"/>
          <w:sz w:val="24"/>
          <w:szCs w:val="24"/>
        </w:rPr>
        <w:t xml:space="preserve"> - </w:t>
      </w:r>
      <w:hyperlink r:id="rId9" w:history="1">
        <w:r w:rsidRPr="00F76929">
          <w:rPr>
            <w:rStyle w:val="Hyperlink"/>
            <w:rFonts w:ascii="Times New Roman" w:eastAsia="Times New Roman" w:hAnsi="Times New Roman" w:cs="Times New Roman"/>
            <w:sz w:val="24"/>
            <w:szCs w:val="24"/>
          </w:rPr>
          <w:t>su.cariele@gmail.com</w:t>
        </w:r>
      </w:hyperlink>
    </w:p>
    <w:p w14:paraId="41AE8BBD" w14:textId="77777777" w:rsidR="00037E77" w:rsidRPr="00F76929" w:rsidRDefault="00037E77" w:rsidP="00037E77">
      <w:pPr>
        <w:spacing w:after="0" w:line="240" w:lineRule="auto"/>
        <w:jc w:val="center"/>
        <w:rPr>
          <w:rFonts w:ascii="Times New Roman" w:hAnsi="Times New Roman" w:cs="Times New Roman"/>
          <w:sz w:val="24"/>
          <w:szCs w:val="24"/>
        </w:rPr>
      </w:pPr>
    </w:p>
    <w:p w14:paraId="74771C41" w14:textId="77777777" w:rsidR="00F76929" w:rsidRPr="00F76929" w:rsidRDefault="00F76929" w:rsidP="00F76929">
      <w:pPr>
        <w:spacing w:after="0" w:line="240" w:lineRule="auto"/>
        <w:contextualSpacing/>
        <w:jc w:val="center"/>
        <w:rPr>
          <w:rFonts w:ascii="Times New Roman" w:eastAsia="Times New Roman" w:hAnsi="Times New Roman" w:cs="Times New Roman"/>
          <w:b/>
          <w:sz w:val="24"/>
          <w:szCs w:val="24"/>
        </w:rPr>
      </w:pPr>
      <w:proofErr w:type="spellStart"/>
      <w:r w:rsidRPr="00F76929">
        <w:rPr>
          <w:rFonts w:ascii="Times New Roman" w:eastAsia="Times New Roman" w:hAnsi="Times New Roman" w:cs="Times New Roman"/>
          <w:b/>
          <w:sz w:val="24"/>
          <w:szCs w:val="24"/>
        </w:rPr>
        <w:t>Evemilia</w:t>
      </w:r>
      <w:proofErr w:type="spellEnd"/>
      <w:r w:rsidRPr="00F76929">
        <w:rPr>
          <w:rFonts w:ascii="Times New Roman" w:eastAsia="Times New Roman" w:hAnsi="Times New Roman" w:cs="Times New Roman"/>
          <w:b/>
          <w:sz w:val="24"/>
          <w:szCs w:val="24"/>
        </w:rPr>
        <w:t xml:space="preserve"> Sousa</w:t>
      </w:r>
    </w:p>
    <w:p w14:paraId="1883CE8B" w14:textId="77777777" w:rsidR="00F76929" w:rsidRPr="00F76929" w:rsidRDefault="00F76929" w:rsidP="00F76929">
      <w:pPr>
        <w:spacing w:after="0" w:line="240" w:lineRule="auto"/>
        <w:contextualSpacing/>
        <w:jc w:val="center"/>
        <w:rPr>
          <w:rFonts w:ascii="Times New Roman" w:eastAsia="Times New Roman" w:hAnsi="Times New Roman" w:cs="Times New Roman"/>
          <w:sz w:val="24"/>
          <w:szCs w:val="24"/>
        </w:rPr>
      </w:pPr>
      <w:r w:rsidRPr="00F76929">
        <w:rPr>
          <w:rFonts w:ascii="Times New Roman" w:eastAsia="Times New Roman" w:hAnsi="Times New Roman" w:cs="Times New Roman"/>
          <w:sz w:val="24"/>
          <w:szCs w:val="24"/>
        </w:rPr>
        <w:t xml:space="preserve">Mestre em Administração pelo </w:t>
      </w:r>
      <w:r w:rsidRPr="00F76929">
        <w:rPr>
          <w:rFonts w:ascii="Times New Roman" w:hAnsi="Times New Roman" w:cs="Times New Roman"/>
          <w:sz w:val="24"/>
          <w:szCs w:val="24"/>
        </w:rPr>
        <w:t>Programa de Pós-Graduação em Administração da Universidade Federal da Paraíba (PPGA/UFPB)</w:t>
      </w:r>
    </w:p>
    <w:p w14:paraId="139777C0" w14:textId="77777777" w:rsidR="00F76929" w:rsidRPr="00F76929" w:rsidRDefault="00F76929" w:rsidP="00F76929">
      <w:pPr>
        <w:spacing w:after="0" w:line="240" w:lineRule="auto"/>
        <w:contextualSpacing/>
        <w:jc w:val="center"/>
        <w:rPr>
          <w:rFonts w:ascii="Times New Roman" w:eastAsia="Times New Roman" w:hAnsi="Times New Roman" w:cs="Times New Roman"/>
          <w:sz w:val="24"/>
          <w:szCs w:val="24"/>
        </w:rPr>
      </w:pPr>
      <w:r w:rsidRPr="00F76929">
        <w:rPr>
          <w:rFonts w:ascii="Times New Roman" w:eastAsia="Times New Roman" w:hAnsi="Times New Roman" w:cs="Times New Roman"/>
          <w:sz w:val="24"/>
          <w:szCs w:val="24"/>
        </w:rPr>
        <w:t>Professora do Instituto Federal de Roraima - IFRR</w:t>
      </w:r>
    </w:p>
    <w:p w14:paraId="34D9BEA4" w14:textId="77777777" w:rsidR="00F76929" w:rsidRPr="00F76929" w:rsidRDefault="00F76929" w:rsidP="00F76929">
      <w:pPr>
        <w:spacing w:after="0" w:line="240" w:lineRule="auto"/>
        <w:contextualSpacing/>
        <w:jc w:val="center"/>
        <w:rPr>
          <w:rFonts w:ascii="Times New Roman" w:eastAsia="Times New Roman" w:hAnsi="Times New Roman" w:cs="Times New Roman"/>
          <w:sz w:val="24"/>
          <w:szCs w:val="24"/>
        </w:rPr>
      </w:pPr>
      <w:proofErr w:type="gramStart"/>
      <w:r w:rsidRPr="00F76929">
        <w:rPr>
          <w:rFonts w:ascii="Times New Roman" w:hAnsi="Times New Roman" w:cs="Times New Roman"/>
          <w:sz w:val="24"/>
          <w:szCs w:val="24"/>
        </w:rPr>
        <w:t>e-mail  –</w:t>
      </w:r>
      <w:proofErr w:type="gramEnd"/>
      <w:r w:rsidRPr="00F76929">
        <w:rPr>
          <w:rFonts w:ascii="Times New Roman" w:hAnsi="Times New Roman" w:cs="Times New Roman"/>
          <w:sz w:val="24"/>
          <w:szCs w:val="24"/>
        </w:rPr>
        <w:t xml:space="preserve"> </w:t>
      </w:r>
      <w:r w:rsidRPr="00F76929">
        <w:rPr>
          <w:rStyle w:val="Hyperlink"/>
          <w:rFonts w:ascii="Times New Roman" w:hAnsi="Times New Roman" w:cs="Times New Roman"/>
          <w:sz w:val="24"/>
          <w:szCs w:val="24"/>
        </w:rPr>
        <w:t>evemilia.sousa@ifrr.edu.br</w:t>
      </w:r>
    </w:p>
    <w:p w14:paraId="47B80B2E" w14:textId="77777777" w:rsidR="00037E77" w:rsidRPr="00F76929" w:rsidRDefault="00037E77" w:rsidP="00037E77">
      <w:pPr>
        <w:shd w:val="clear" w:color="auto" w:fill="FFFFFF"/>
        <w:spacing w:after="0" w:line="240" w:lineRule="auto"/>
        <w:rPr>
          <w:rFonts w:ascii="Times New Roman" w:hAnsi="Times New Roman" w:cs="Times New Roman"/>
          <w:b/>
          <w:sz w:val="24"/>
          <w:szCs w:val="24"/>
        </w:rPr>
      </w:pPr>
    </w:p>
    <w:p w14:paraId="064A461C" w14:textId="2196BC27" w:rsidR="00B974BE" w:rsidRPr="00CC11DC" w:rsidRDefault="007B116C" w:rsidP="0056798E">
      <w:pPr>
        <w:shd w:val="clear" w:color="auto" w:fill="FFFFFF"/>
        <w:spacing w:after="0" w:line="240" w:lineRule="auto"/>
        <w:jc w:val="both"/>
        <w:rPr>
          <w:rFonts w:ascii="Times New Roman" w:hAnsi="Times New Roman" w:cs="Times New Roman"/>
          <w:b/>
          <w:color w:val="000000" w:themeColor="text1"/>
          <w:sz w:val="24"/>
          <w:szCs w:val="24"/>
        </w:rPr>
      </w:pPr>
      <w:r w:rsidRPr="00CC11DC">
        <w:rPr>
          <w:rFonts w:ascii="Times New Roman" w:hAnsi="Times New Roman" w:cs="Times New Roman"/>
          <w:b/>
          <w:sz w:val="24"/>
          <w:szCs w:val="24"/>
        </w:rPr>
        <w:t>Resumo</w:t>
      </w:r>
    </w:p>
    <w:p w14:paraId="19D162C7" w14:textId="077C2597" w:rsidR="00A26698" w:rsidRPr="00CC11DC" w:rsidRDefault="00A26698" w:rsidP="0056798E">
      <w:pPr>
        <w:spacing w:after="0" w:line="240" w:lineRule="auto"/>
        <w:jc w:val="both"/>
        <w:rPr>
          <w:rFonts w:ascii="Times New Roman" w:hAnsi="Times New Roman" w:cs="Times New Roman"/>
          <w:sz w:val="24"/>
          <w:szCs w:val="24"/>
          <w:lang w:val="pt-PT"/>
        </w:rPr>
      </w:pPr>
      <w:r w:rsidRPr="00AE1397">
        <w:rPr>
          <w:rFonts w:ascii="Times New Roman" w:hAnsi="Times New Roman" w:cs="Times New Roman"/>
          <w:sz w:val="24"/>
          <w:szCs w:val="24"/>
        </w:rPr>
        <w:t xml:space="preserve">Este artigo teve por objetivo investigar se houve mudanças no desempenho operacional e acionário </w:t>
      </w:r>
      <w:r w:rsidR="009059B0" w:rsidRPr="00AE1397">
        <w:rPr>
          <w:rFonts w:ascii="Times New Roman" w:hAnsi="Times New Roman" w:cs="Times New Roman"/>
          <w:sz w:val="24"/>
          <w:szCs w:val="24"/>
        </w:rPr>
        <w:t>das empresas listadas na B3</w:t>
      </w:r>
      <w:r w:rsidR="008241D5" w:rsidRPr="00AE1397">
        <w:rPr>
          <w:rFonts w:ascii="Times New Roman" w:hAnsi="Times New Roman" w:cs="Times New Roman"/>
          <w:sz w:val="24"/>
          <w:szCs w:val="24"/>
        </w:rPr>
        <w:t xml:space="preserve"> </w:t>
      </w:r>
      <w:r w:rsidR="008241D5" w:rsidRPr="00AE1397">
        <w:rPr>
          <w:rFonts w:ascii="Times New Roman" w:hAnsi="Times New Roman"/>
          <w:sz w:val="24"/>
          <w:szCs w:val="24"/>
          <w:lang w:val="en-US"/>
        </w:rPr>
        <w:t>(</w:t>
      </w:r>
      <w:proofErr w:type="spellStart"/>
      <w:r w:rsidR="008241D5" w:rsidRPr="00AE1397">
        <w:rPr>
          <w:rFonts w:ascii="Times New Roman" w:hAnsi="Times New Roman"/>
          <w:sz w:val="24"/>
          <w:szCs w:val="24"/>
          <w:lang w:val="en-AU"/>
        </w:rPr>
        <w:t>Brasil</w:t>
      </w:r>
      <w:proofErr w:type="spellEnd"/>
      <w:r w:rsidR="008241D5" w:rsidRPr="00AE1397">
        <w:rPr>
          <w:rFonts w:ascii="Times New Roman" w:hAnsi="Times New Roman"/>
          <w:sz w:val="24"/>
          <w:szCs w:val="24"/>
          <w:lang w:val="en-AU"/>
        </w:rPr>
        <w:t xml:space="preserve">, </w:t>
      </w:r>
      <w:proofErr w:type="spellStart"/>
      <w:r w:rsidR="008241D5" w:rsidRPr="00AE1397">
        <w:rPr>
          <w:rFonts w:ascii="Times New Roman" w:hAnsi="Times New Roman"/>
          <w:sz w:val="24"/>
          <w:szCs w:val="24"/>
          <w:lang w:val="en-US"/>
        </w:rPr>
        <w:t>Bolsa</w:t>
      </w:r>
      <w:proofErr w:type="spellEnd"/>
      <w:r w:rsidR="008241D5" w:rsidRPr="00AE1397">
        <w:rPr>
          <w:rFonts w:ascii="Times New Roman" w:hAnsi="Times New Roman"/>
          <w:sz w:val="24"/>
          <w:szCs w:val="24"/>
          <w:lang w:val="en-US"/>
        </w:rPr>
        <w:t xml:space="preserve">, </w:t>
      </w:r>
      <w:proofErr w:type="spellStart"/>
      <w:r w:rsidR="008241D5" w:rsidRPr="00AE1397">
        <w:rPr>
          <w:rFonts w:ascii="Times New Roman" w:hAnsi="Times New Roman"/>
          <w:sz w:val="24"/>
          <w:szCs w:val="24"/>
          <w:lang w:val="en-US"/>
        </w:rPr>
        <w:t>Balcão</w:t>
      </w:r>
      <w:proofErr w:type="spellEnd"/>
      <w:r w:rsidR="008241D5" w:rsidRPr="00AE1397">
        <w:rPr>
          <w:rFonts w:ascii="Times New Roman" w:hAnsi="Times New Roman"/>
          <w:sz w:val="24"/>
          <w:szCs w:val="24"/>
          <w:lang w:val="en-US"/>
        </w:rPr>
        <w:t>)</w:t>
      </w:r>
      <w:r w:rsidR="009059B0" w:rsidRPr="00AE1397">
        <w:rPr>
          <w:rFonts w:ascii="Times New Roman" w:hAnsi="Times New Roman" w:cs="Times New Roman"/>
          <w:sz w:val="24"/>
          <w:szCs w:val="24"/>
        </w:rPr>
        <w:t xml:space="preserve">, no período de 2004 a 2011, </w:t>
      </w:r>
      <w:r w:rsidRPr="00AE1397">
        <w:rPr>
          <w:rFonts w:ascii="Times New Roman" w:hAnsi="Times New Roman" w:cs="Times New Roman"/>
          <w:sz w:val="24"/>
          <w:szCs w:val="24"/>
        </w:rPr>
        <w:t>após a realização de ofertas públicas subsequente de ações (</w:t>
      </w:r>
      <w:proofErr w:type="spellStart"/>
      <w:r w:rsidRPr="00AE1397">
        <w:rPr>
          <w:rFonts w:ascii="Times New Roman" w:hAnsi="Times New Roman" w:cs="Times New Roman"/>
          <w:sz w:val="24"/>
          <w:szCs w:val="24"/>
        </w:rPr>
        <w:t>SEO’s</w:t>
      </w:r>
      <w:proofErr w:type="spellEnd"/>
      <w:r w:rsidRPr="00AE1397">
        <w:rPr>
          <w:rFonts w:ascii="Times New Roman" w:hAnsi="Times New Roman" w:cs="Times New Roman"/>
          <w:sz w:val="24"/>
          <w:szCs w:val="24"/>
        </w:rPr>
        <w:t>).</w:t>
      </w:r>
      <w:r w:rsidR="0057195B" w:rsidRPr="00AE1397">
        <w:rPr>
          <w:rFonts w:ascii="Times New Roman" w:hAnsi="Times New Roman" w:cs="Times New Roman"/>
          <w:sz w:val="24"/>
          <w:szCs w:val="24"/>
        </w:rPr>
        <w:t xml:space="preserve"> Para tanto, </w:t>
      </w:r>
      <w:r w:rsidR="00E94BE2" w:rsidRPr="00AE1397">
        <w:rPr>
          <w:rFonts w:ascii="Times New Roman" w:hAnsi="Times New Roman" w:cs="Times New Roman"/>
          <w:sz w:val="24"/>
          <w:szCs w:val="24"/>
        </w:rPr>
        <w:t>foram realizados</w:t>
      </w:r>
      <w:r w:rsidR="0057195B" w:rsidRPr="00AE1397">
        <w:rPr>
          <w:rFonts w:ascii="Times New Roman" w:hAnsi="Times New Roman" w:cs="Times New Roman"/>
          <w:sz w:val="24"/>
          <w:szCs w:val="24"/>
        </w:rPr>
        <w:t xml:space="preserve"> testes paramétricos e não paramétricos de diferenças de médias.</w:t>
      </w:r>
      <w:r w:rsidRPr="00AE1397">
        <w:rPr>
          <w:rFonts w:ascii="Times New Roman" w:hAnsi="Times New Roman" w:cs="Times New Roman"/>
          <w:sz w:val="24"/>
          <w:szCs w:val="24"/>
        </w:rPr>
        <w:t xml:space="preserve"> De acordo com os resultados obtidos</w:t>
      </w:r>
      <w:r w:rsidR="008F383E" w:rsidRPr="00AE1397">
        <w:rPr>
          <w:rFonts w:ascii="Times New Roman" w:hAnsi="Times New Roman" w:cs="Times New Roman"/>
          <w:sz w:val="24"/>
          <w:szCs w:val="24"/>
        </w:rPr>
        <w:t>,</w:t>
      </w:r>
      <w:r w:rsidRPr="00AE1397">
        <w:rPr>
          <w:rFonts w:ascii="Times New Roman" w:hAnsi="Times New Roman" w:cs="Times New Roman"/>
          <w:sz w:val="24"/>
          <w:szCs w:val="24"/>
        </w:rPr>
        <w:t xml:space="preserve"> verificou-se que existe diferença no desempenho operacional entre o período que antecede e sucede </w:t>
      </w:r>
      <w:r w:rsidR="00AC1379" w:rsidRPr="00AE1397">
        <w:rPr>
          <w:rFonts w:ascii="Times New Roman" w:hAnsi="Times New Roman" w:cs="Times New Roman"/>
          <w:sz w:val="24"/>
          <w:szCs w:val="24"/>
        </w:rPr>
        <w:t>a</w:t>
      </w:r>
      <w:r w:rsidRPr="00AE1397">
        <w:rPr>
          <w:rFonts w:ascii="Times New Roman" w:hAnsi="Times New Roman" w:cs="Times New Roman"/>
          <w:sz w:val="24"/>
          <w:szCs w:val="24"/>
        </w:rPr>
        <w:t xml:space="preserve"> SEO, bem como entre o das </w:t>
      </w:r>
      <w:r w:rsidR="001A45F9" w:rsidRPr="00AE1397">
        <w:rPr>
          <w:rFonts w:ascii="Times New Roman" w:hAnsi="Times New Roman" w:cs="Times New Roman"/>
          <w:sz w:val="24"/>
          <w:szCs w:val="24"/>
        </w:rPr>
        <w:t xml:space="preserve">emissoras </w:t>
      </w:r>
      <w:r w:rsidRPr="00AE1397">
        <w:rPr>
          <w:rFonts w:ascii="Times New Roman" w:hAnsi="Times New Roman" w:cs="Times New Roman"/>
          <w:sz w:val="24"/>
          <w:szCs w:val="24"/>
        </w:rPr>
        <w:t>e não emissoras</w:t>
      </w:r>
      <w:r w:rsidR="0057195B" w:rsidRPr="00AE1397">
        <w:rPr>
          <w:rFonts w:ascii="Times New Roman" w:hAnsi="Times New Roman" w:cs="Times New Roman"/>
          <w:sz w:val="24"/>
          <w:szCs w:val="24"/>
        </w:rPr>
        <w:t>.</w:t>
      </w:r>
      <w:r w:rsidRPr="00AE1397">
        <w:rPr>
          <w:rFonts w:ascii="Times New Roman" w:hAnsi="Times New Roman" w:cs="Times New Roman"/>
          <w:sz w:val="24"/>
          <w:szCs w:val="24"/>
        </w:rPr>
        <w:t xml:space="preserve"> Quanto ao desempenho acionário, verificou-se que existe diferença um ano antes e após a SEO e quatro anos antes e após a oferta subsequente de ações. </w:t>
      </w:r>
      <w:r w:rsidR="00157D35" w:rsidRPr="00AE1397">
        <w:rPr>
          <w:rFonts w:ascii="Times New Roman" w:hAnsi="Times New Roman" w:cs="Times New Roman"/>
          <w:sz w:val="24"/>
          <w:szCs w:val="24"/>
        </w:rPr>
        <w:t>V</w:t>
      </w:r>
      <w:r w:rsidRPr="00AE1397">
        <w:rPr>
          <w:rFonts w:ascii="Times New Roman" w:hAnsi="Times New Roman" w:cs="Times New Roman"/>
          <w:sz w:val="24"/>
          <w:szCs w:val="24"/>
        </w:rPr>
        <w:t>erificou-se</w:t>
      </w:r>
      <w:r w:rsidR="00157D35" w:rsidRPr="00AE1397">
        <w:rPr>
          <w:rFonts w:ascii="Times New Roman" w:hAnsi="Times New Roman" w:cs="Times New Roman"/>
          <w:sz w:val="24"/>
          <w:szCs w:val="24"/>
        </w:rPr>
        <w:t>, ainda,</w:t>
      </w:r>
      <w:r w:rsidRPr="00AE1397">
        <w:rPr>
          <w:rFonts w:ascii="Times New Roman" w:hAnsi="Times New Roman" w:cs="Times New Roman"/>
          <w:sz w:val="24"/>
          <w:szCs w:val="24"/>
        </w:rPr>
        <w:t xml:space="preserve"> que não e</w:t>
      </w:r>
      <w:r w:rsidRPr="00AE1397">
        <w:rPr>
          <w:rFonts w:ascii="Times New Roman" w:hAnsi="Times New Roman" w:cs="Times New Roman"/>
          <w:sz w:val="24"/>
          <w:szCs w:val="24"/>
          <w:lang w:val="pt-PT"/>
        </w:rPr>
        <w:t>xiste diferença no desempenho acionário das empresas emissoras de SEO’s com o das não emissoras</w:t>
      </w:r>
      <w:r w:rsidR="00157D35" w:rsidRPr="00AE1397">
        <w:rPr>
          <w:rFonts w:ascii="Times New Roman" w:hAnsi="Times New Roman" w:cs="Times New Roman"/>
          <w:sz w:val="24"/>
          <w:szCs w:val="24"/>
          <w:lang w:val="pt-PT"/>
        </w:rPr>
        <w:t>, possivelmente devido</w:t>
      </w:r>
      <w:r w:rsidR="00157D35" w:rsidRPr="00AE1397">
        <w:rPr>
          <w:rFonts w:ascii="Times New Roman" w:hAnsi="Times New Roman" w:cs="Times New Roman"/>
          <w:sz w:val="24"/>
          <w:szCs w:val="24"/>
        </w:rPr>
        <w:t xml:space="preserve"> ao fato de que, no cenário brasileiro, há poucas ofertas públicas de ações, ficando a análise restrita apenas às empresas representativas no mercado de ações,</w:t>
      </w:r>
      <w:r w:rsidR="00157D35" w:rsidRPr="00AE1397">
        <w:rPr>
          <w:rFonts w:ascii="Times New Roman" w:hAnsi="Times New Roman" w:cs="Times New Roman"/>
          <w:sz w:val="24"/>
          <w:szCs w:val="24"/>
          <w:lang w:val="pt-PT"/>
        </w:rPr>
        <w:t xml:space="preserve"> Ademais, </w:t>
      </w:r>
      <w:r w:rsidRPr="00AE1397">
        <w:rPr>
          <w:rFonts w:ascii="Times New Roman" w:hAnsi="Times New Roman" w:cs="Times New Roman"/>
          <w:sz w:val="24"/>
          <w:szCs w:val="24"/>
          <w:lang w:val="pt-PT"/>
        </w:rPr>
        <w:t>não existe diferença entre o desempenho acionário das empresas pequenas (grandes) que realizaram SEO e o desempenho das empresas pequenas (grandes) que não realizaram SEO</w:t>
      </w:r>
      <w:r w:rsidRPr="00933491">
        <w:rPr>
          <w:rFonts w:ascii="Times New Roman" w:hAnsi="Times New Roman" w:cs="Times New Roman"/>
          <w:sz w:val="24"/>
          <w:szCs w:val="24"/>
          <w:lang w:val="pt-PT"/>
        </w:rPr>
        <w:t xml:space="preserve">. </w:t>
      </w:r>
      <w:r w:rsidRPr="00617414">
        <w:rPr>
          <w:rFonts w:ascii="Times New Roman" w:hAnsi="Times New Roman" w:cs="Times New Roman"/>
          <w:sz w:val="24"/>
          <w:szCs w:val="24"/>
          <w:lang w:val="pt-PT"/>
        </w:rPr>
        <w:t>Por fim, identificou-se</w:t>
      </w:r>
      <w:r w:rsidR="003B1B34">
        <w:rPr>
          <w:rFonts w:ascii="Times New Roman" w:hAnsi="Times New Roman" w:cs="Times New Roman"/>
          <w:sz w:val="24"/>
          <w:szCs w:val="24"/>
          <w:lang w:val="pt-PT"/>
        </w:rPr>
        <w:t>, por meio de da</w:t>
      </w:r>
      <w:r w:rsidR="000972F5">
        <w:rPr>
          <w:rFonts w:ascii="Times New Roman" w:hAnsi="Times New Roman" w:cs="Times New Roman"/>
          <w:sz w:val="24"/>
          <w:szCs w:val="24"/>
          <w:lang w:val="pt-PT"/>
        </w:rPr>
        <w:t>d</w:t>
      </w:r>
      <w:r w:rsidR="003B1B34">
        <w:rPr>
          <w:rFonts w:ascii="Times New Roman" w:hAnsi="Times New Roman" w:cs="Times New Roman"/>
          <w:sz w:val="24"/>
          <w:szCs w:val="24"/>
          <w:lang w:val="pt-PT"/>
        </w:rPr>
        <w:t>o</w:t>
      </w:r>
      <w:r w:rsidR="000972F5">
        <w:rPr>
          <w:rFonts w:ascii="Times New Roman" w:hAnsi="Times New Roman" w:cs="Times New Roman"/>
          <w:sz w:val="24"/>
          <w:szCs w:val="24"/>
          <w:lang w:val="pt-PT"/>
        </w:rPr>
        <w:t>s em painel,</w:t>
      </w:r>
      <w:r w:rsidRPr="00617414">
        <w:rPr>
          <w:rFonts w:ascii="Times New Roman" w:hAnsi="Times New Roman" w:cs="Times New Roman"/>
          <w:sz w:val="24"/>
          <w:szCs w:val="24"/>
          <w:lang w:val="pt-PT"/>
        </w:rPr>
        <w:t xml:space="preserve"> que não existe relação entre o retorno das ações pós SEO com o crescimento passado da empresa.</w:t>
      </w:r>
    </w:p>
    <w:p w14:paraId="4D72B430" w14:textId="43D34ACE" w:rsidR="00BC1346" w:rsidRPr="00933491" w:rsidRDefault="00EA588F" w:rsidP="0056798E">
      <w:pPr>
        <w:spacing w:after="0" w:line="240" w:lineRule="auto"/>
        <w:jc w:val="both"/>
        <w:rPr>
          <w:rFonts w:ascii="Times New Roman" w:hAnsi="Times New Roman" w:cs="Times New Roman"/>
          <w:sz w:val="24"/>
          <w:szCs w:val="24"/>
        </w:rPr>
      </w:pPr>
      <w:r w:rsidRPr="00933491">
        <w:rPr>
          <w:rFonts w:ascii="Times New Roman" w:hAnsi="Times New Roman" w:cs="Times New Roman"/>
          <w:b/>
          <w:sz w:val="24"/>
          <w:szCs w:val="24"/>
        </w:rPr>
        <w:t xml:space="preserve">Palavras-chave: </w:t>
      </w:r>
      <w:r w:rsidRPr="00933491">
        <w:rPr>
          <w:rFonts w:ascii="Times New Roman" w:hAnsi="Times New Roman" w:cs="Times New Roman"/>
          <w:sz w:val="24"/>
          <w:szCs w:val="24"/>
        </w:rPr>
        <w:t>Desempenho Operacional; Desempenho Acionário; Ofertas Públicas Subsequentes de Ações (</w:t>
      </w:r>
      <w:proofErr w:type="spellStart"/>
      <w:r w:rsidRPr="00933491">
        <w:rPr>
          <w:rFonts w:ascii="Times New Roman" w:hAnsi="Times New Roman" w:cs="Times New Roman"/>
          <w:sz w:val="24"/>
          <w:szCs w:val="24"/>
        </w:rPr>
        <w:t>SEO’s</w:t>
      </w:r>
      <w:proofErr w:type="spellEnd"/>
      <w:r w:rsidRPr="00933491">
        <w:rPr>
          <w:rFonts w:ascii="Times New Roman" w:hAnsi="Times New Roman" w:cs="Times New Roman"/>
          <w:sz w:val="24"/>
          <w:szCs w:val="24"/>
        </w:rPr>
        <w:t>).</w:t>
      </w:r>
    </w:p>
    <w:p w14:paraId="7934A349" w14:textId="77777777" w:rsidR="008241D5" w:rsidRPr="00933491" w:rsidRDefault="008241D5" w:rsidP="0056798E">
      <w:pPr>
        <w:spacing w:after="0" w:line="240" w:lineRule="auto"/>
        <w:jc w:val="both"/>
        <w:rPr>
          <w:rFonts w:ascii="Times New Roman" w:hAnsi="Times New Roman" w:cs="Times New Roman"/>
          <w:sz w:val="24"/>
          <w:szCs w:val="24"/>
          <w:lang w:val="pt-PT"/>
        </w:rPr>
      </w:pPr>
    </w:p>
    <w:p w14:paraId="447772CC" w14:textId="22B72C6B" w:rsidR="00BC1346" w:rsidRPr="00933491" w:rsidRDefault="007B116C" w:rsidP="0056798E">
      <w:pPr>
        <w:spacing w:after="0" w:line="240" w:lineRule="auto"/>
        <w:jc w:val="both"/>
        <w:rPr>
          <w:rFonts w:ascii="Times New Roman" w:hAnsi="Times New Roman" w:cs="Times New Roman"/>
          <w:b/>
          <w:sz w:val="24"/>
          <w:szCs w:val="24"/>
          <w:lang w:val="en-US"/>
        </w:rPr>
      </w:pPr>
      <w:r w:rsidRPr="00933491">
        <w:rPr>
          <w:rFonts w:ascii="Times New Roman" w:hAnsi="Times New Roman" w:cs="Times New Roman"/>
          <w:b/>
          <w:sz w:val="24"/>
          <w:szCs w:val="24"/>
          <w:lang w:val="en-US"/>
        </w:rPr>
        <w:t>Abstract</w:t>
      </w:r>
    </w:p>
    <w:p w14:paraId="7F834314" w14:textId="42216AF8" w:rsidR="00BC1346" w:rsidRPr="00CC11DC" w:rsidRDefault="00BC1346" w:rsidP="0056798E">
      <w:pPr>
        <w:spacing w:after="0" w:line="240" w:lineRule="auto"/>
        <w:jc w:val="both"/>
        <w:rPr>
          <w:rFonts w:ascii="Times New Roman" w:hAnsi="Times New Roman" w:cs="Times New Roman"/>
          <w:sz w:val="24"/>
          <w:szCs w:val="24"/>
          <w:lang w:val="en-US"/>
        </w:rPr>
      </w:pPr>
      <w:r w:rsidRPr="00933491">
        <w:rPr>
          <w:rFonts w:ascii="Times New Roman" w:hAnsi="Times New Roman" w:cs="Times New Roman"/>
          <w:sz w:val="24"/>
          <w:szCs w:val="24"/>
          <w:lang w:val="en-US"/>
        </w:rPr>
        <w:t xml:space="preserve">This </w:t>
      </w:r>
      <w:r w:rsidR="008241D5">
        <w:rPr>
          <w:rFonts w:ascii="Times New Roman" w:hAnsi="Times New Roman" w:cs="Times New Roman"/>
          <w:sz w:val="24"/>
          <w:szCs w:val="24"/>
          <w:lang w:val="en-US"/>
        </w:rPr>
        <w:t>paper</w:t>
      </w:r>
      <w:r w:rsidRPr="00933491">
        <w:rPr>
          <w:rFonts w:ascii="Times New Roman" w:hAnsi="Times New Roman" w:cs="Times New Roman"/>
          <w:sz w:val="24"/>
          <w:szCs w:val="24"/>
          <w:lang w:val="en-US"/>
        </w:rPr>
        <w:t xml:space="preserve"> aimed to investigate whether there have been changes in the operational </w:t>
      </w:r>
      <w:r w:rsidR="00FE1F70" w:rsidRPr="00933491">
        <w:rPr>
          <w:rFonts w:ascii="Times New Roman" w:hAnsi="Times New Roman" w:cs="Times New Roman"/>
          <w:sz w:val="24"/>
          <w:szCs w:val="24"/>
          <w:lang w:val="en-US"/>
        </w:rPr>
        <w:t xml:space="preserve">and stock </w:t>
      </w:r>
      <w:r w:rsidRPr="00933491">
        <w:rPr>
          <w:rFonts w:ascii="Times New Roman" w:hAnsi="Times New Roman" w:cs="Times New Roman"/>
          <w:sz w:val="24"/>
          <w:szCs w:val="24"/>
          <w:lang w:val="en-US"/>
        </w:rPr>
        <w:t xml:space="preserve">performance </w:t>
      </w:r>
      <w:r w:rsidR="009059B0" w:rsidRPr="00933491">
        <w:rPr>
          <w:rFonts w:ascii="Times New Roman" w:hAnsi="Times New Roman" w:cs="Times New Roman"/>
          <w:sz w:val="24"/>
          <w:szCs w:val="24"/>
          <w:lang w:val="en-US"/>
        </w:rPr>
        <w:t xml:space="preserve">of </w:t>
      </w:r>
      <w:r w:rsidR="008241D5">
        <w:rPr>
          <w:rFonts w:ascii="Times New Roman" w:hAnsi="Times New Roman" w:cs="Times New Roman"/>
          <w:sz w:val="24"/>
          <w:szCs w:val="24"/>
          <w:lang w:val="en-US"/>
        </w:rPr>
        <w:t>firms</w:t>
      </w:r>
      <w:r w:rsidR="009059B0" w:rsidRPr="00933491">
        <w:rPr>
          <w:rFonts w:ascii="Times New Roman" w:hAnsi="Times New Roman" w:cs="Times New Roman"/>
          <w:sz w:val="24"/>
          <w:szCs w:val="24"/>
          <w:lang w:val="en-US"/>
        </w:rPr>
        <w:t xml:space="preserve"> listed </w:t>
      </w:r>
      <w:r w:rsidR="008241D5">
        <w:rPr>
          <w:rFonts w:ascii="Times New Roman" w:hAnsi="Times New Roman" w:cs="Times New Roman"/>
          <w:sz w:val="24"/>
          <w:szCs w:val="24"/>
          <w:lang w:val="en-US"/>
        </w:rPr>
        <w:t>at</w:t>
      </w:r>
      <w:r w:rsidR="009059B0" w:rsidRPr="00933491">
        <w:rPr>
          <w:rFonts w:ascii="Times New Roman" w:hAnsi="Times New Roman" w:cs="Times New Roman"/>
          <w:sz w:val="24"/>
          <w:szCs w:val="24"/>
          <w:lang w:val="en-US"/>
        </w:rPr>
        <w:t xml:space="preserve"> B3</w:t>
      </w:r>
      <w:r w:rsidR="008241D5">
        <w:rPr>
          <w:rFonts w:ascii="Times New Roman" w:hAnsi="Times New Roman" w:cs="Times New Roman"/>
          <w:sz w:val="24"/>
          <w:szCs w:val="24"/>
          <w:lang w:val="en-US"/>
        </w:rPr>
        <w:t xml:space="preserve"> </w:t>
      </w:r>
      <w:r w:rsidR="008241D5">
        <w:rPr>
          <w:rFonts w:ascii="Times New Roman" w:hAnsi="Times New Roman"/>
          <w:sz w:val="24"/>
          <w:szCs w:val="24"/>
          <w:lang w:val="en-US"/>
        </w:rPr>
        <w:t>(</w:t>
      </w:r>
      <w:proofErr w:type="spellStart"/>
      <w:r w:rsidR="008241D5">
        <w:rPr>
          <w:rFonts w:ascii="Times New Roman" w:hAnsi="Times New Roman"/>
          <w:sz w:val="24"/>
          <w:szCs w:val="24"/>
          <w:lang w:val="en-AU"/>
        </w:rPr>
        <w:t>Brasil</w:t>
      </w:r>
      <w:proofErr w:type="spellEnd"/>
      <w:r w:rsidR="008241D5">
        <w:rPr>
          <w:rFonts w:ascii="Times New Roman" w:hAnsi="Times New Roman"/>
          <w:sz w:val="24"/>
          <w:szCs w:val="24"/>
          <w:lang w:val="en-AU"/>
        </w:rPr>
        <w:t xml:space="preserve">, </w:t>
      </w:r>
      <w:proofErr w:type="spellStart"/>
      <w:r w:rsidR="008241D5" w:rsidRPr="00FE40FE">
        <w:rPr>
          <w:rFonts w:ascii="Times New Roman" w:hAnsi="Times New Roman"/>
          <w:sz w:val="24"/>
          <w:szCs w:val="24"/>
          <w:lang w:val="en-US"/>
        </w:rPr>
        <w:t>Bolsa</w:t>
      </w:r>
      <w:proofErr w:type="spellEnd"/>
      <w:r w:rsidR="008241D5">
        <w:rPr>
          <w:rFonts w:ascii="Times New Roman" w:hAnsi="Times New Roman"/>
          <w:sz w:val="24"/>
          <w:szCs w:val="24"/>
          <w:lang w:val="en-US"/>
        </w:rPr>
        <w:t>,</w:t>
      </w:r>
      <w:r w:rsidR="008241D5" w:rsidRPr="00FE40FE">
        <w:rPr>
          <w:rFonts w:ascii="Times New Roman" w:hAnsi="Times New Roman"/>
          <w:sz w:val="24"/>
          <w:szCs w:val="24"/>
          <w:lang w:val="en-US"/>
        </w:rPr>
        <w:t xml:space="preserve"> </w:t>
      </w:r>
      <w:proofErr w:type="spellStart"/>
      <w:r w:rsidR="008241D5" w:rsidRPr="00FE40FE">
        <w:rPr>
          <w:rFonts w:ascii="Times New Roman" w:hAnsi="Times New Roman"/>
          <w:sz w:val="24"/>
          <w:szCs w:val="24"/>
          <w:lang w:val="en-US"/>
        </w:rPr>
        <w:t>Balcão</w:t>
      </w:r>
      <w:proofErr w:type="spellEnd"/>
      <w:r w:rsidR="008241D5" w:rsidRPr="00FE40FE">
        <w:rPr>
          <w:rFonts w:ascii="Times New Roman" w:hAnsi="Times New Roman"/>
          <w:sz w:val="24"/>
          <w:szCs w:val="24"/>
          <w:lang w:val="en-US"/>
        </w:rPr>
        <w:t>)</w:t>
      </w:r>
      <w:r w:rsidR="00444A12">
        <w:rPr>
          <w:rFonts w:ascii="Times New Roman" w:hAnsi="Times New Roman" w:cs="Times New Roman"/>
          <w:sz w:val="24"/>
          <w:szCs w:val="24"/>
          <w:lang w:val="en-US"/>
        </w:rPr>
        <w:t xml:space="preserve"> </w:t>
      </w:r>
      <w:r w:rsidR="009059B0" w:rsidRPr="00933491">
        <w:rPr>
          <w:rFonts w:ascii="Times New Roman" w:hAnsi="Times New Roman" w:cs="Times New Roman"/>
          <w:sz w:val="24"/>
          <w:szCs w:val="24"/>
          <w:lang w:val="en-US"/>
        </w:rPr>
        <w:t xml:space="preserve">from 2004 to 2011, </w:t>
      </w:r>
      <w:r w:rsidRPr="00933491">
        <w:rPr>
          <w:rFonts w:ascii="Times New Roman" w:hAnsi="Times New Roman" w:cs="Times New Roman"/>
          <w:sz w:val="24"/>
          <w:szCs w:val="24"/>
          <w:lang w:val="en-US"/>
        </w:rPr>
        <w:t>after Seasoned Equity Offerings (SEO)</w:t>
      </w:r>
      <w:r w:rsidR="005A47B8">
        <w:rPr>
          <w:rFonts w:ascii="Times New Roman" w:hAnsi="Times New Roman" w:cs="Times New Roman"/>
          <w:sz w:val="24"/>
          <w:szCs w:val="24"/>
          <w:lang w:val="en-US"/>
        </w:rPr>
        <w:t>.</w:t>
      </w:r>
      <w:r w:rsidRPr="00933491">
        <w:rPr>
          <w:rFonts w:ascii="Times New Roman" w:hAnsi="Times New Roman" w:cs="Times New Roman"/>
          <w:sz w:val="24"/>
          <w:szCs w:val="24"/>
          <w:lang w:val="en-US"/>
        </w:rPr>
        <w:t xml:space="preserve"> </w:t>
      </w:r>
      <w:r w:rsidR="00D80DDD">
        <w:rPr>
          <w:rFonts w:ascii="Times New Roman" w:hAnsi="Times New Roman" w:cs="Times New Roman"/>
          <w:sz w:val="24"/>
          <w:szCs w:val="24"/>
          <w:lang w:val="en-US"/>
        </w:rPr>
        <w:t>For this</w:t>
      </w:r>
      <w:r w:rsidR="00D80DDD" w:rsidRPr="00D80DDD">
        <w:rPr>
          <w:rFonts w:ascii="Times New Roman" w:hAnsi="Times New Roman" w:cs="Times New Roman"/>
          <w:sz w:val="24"/>
          <w:szCs w:val="24"/>
          <w:lang w:val="en-US"/>
        </w:rPr>
        <w:t xml:space="preserve">, </w:t>
      </w:r>
      <w:r w:rsidR="00D80DDD">
        <w:rPr>
          <w:rFonts w:ascii="Times New Roman" w:hAnsi="Times New Roman" w:cs="Times New Roman"/>
          <w:sz w:val="24"/>
          <w:szCs w:val="24"/>
          <w:lang w:val="en-US"/>
        </w:rPr>
        <w:t xml:space="preserve">we used </w:t>
      </w:r>
      <w:r w:rsidR="00D80DDD" w:rsidRPr="00D80DDD">
        <w:rPr>
          <w:rFonts w:ascii="Times New Roman" w:hAnsi="Times New Roman" w:cs="Times New Roman"/>
          <w:sz w:val="24"/>
          <w:szCs w:val="24"/>
          <w:lang w:val="en-US"/>
        </w:rPr>
        <w:t xml:space="preserve">parametric and non-parametric tests of differences in </w:t>
      </w:r>
      <w:r w:rsidR="00D80DDD">
        <w:rPr>
          <w:rFonts w:ascii="Times New Roman" w:hAnsi="Times New Roman" w:cs="Times New Roman"/>
          <w:sz w:val="24"/>
          <w:szCs w:val="24"/>
          <w:lang w:val="en-US"/>
        </w:rPr>
        <w:t>means</w:t>
      </w:r>
      <w:r w:rsidR="00D80DDD" w:rsidRPr="00D80DDD">
        <w:rPr>
          <w:rFonts w:ascii="Times New Roman" w:hAnsi="Times New Roman" w:cs="Times New Roman"/>
          <w:sz w:val="24"/>
          <w:szCs w:val="24"/>
          <w:lang w:val="en-US"/>
        </w:rPr>
        <w:t>.</w:t>
      </w:r>
      <w:r w:rsidR="00D80DDD">
        <w:rPr>
          <w:rFonts w:ascii="Times New Roman" w:hAnsi="Times New Roman" w:cs="Times New Roman"/>
          <w:sz w:val="24"/>
          <w:szCs w:val="24"/>
          <w:lang w:val="en-US"/>
        </w:rPr>
        <w:t xml:space="preserve"> </w:t>
      </w:r>
      <w:r w:rsidRPr="00933491">
        <w:rPr>
          <w:rFonts w:ascii="Times New Roman" w:hAnsi="Times New Roman" w:cs="Times New Roman"/>
          <w:sz w:val="24"/>
          <w:szCs w:val="24"/>
          <w:lang w:val="en-US"/>
        </w:rPr>
        <w:t xml:space="preserve">According to the </w:t>
      </w:r>
      <w:r w:rsidR="00D80DDD">
        <w:rPr>
          <w:rFonts w:ascii="Times New Roman" w:hAnsi="Times New Roman" w:cs="Times New Roman"/>
          <w:sz w:val="24"/>
          <w:szCs w:val="24"/>
          <w:lang w:val="en-US"/>
        </w:rPr>
        <w:t>findings</w:t>
      </w:r>
      <w:r w:rsidRPr="00933491">
        <w:rPr>
          <w:rFonts w:ascii="Times New Roman" w:hAnsi="Times New Roman" w:cs="Times New Roman"/>
          <w:sz w:val="24"/>
          <w:szCs w:val="24"/>
          <w:lang w:val="en-US"/>
        </w:rPr>
        <w:t xml:space="preserve"> for operational performance, </w:t>
      </w:r>
      <w:r w:rsidR="00D37AB9">
        <w:rPr>
          <w:rFonts w:ascii="Times New Roman" w:hAnsi="Times New Roman" w:cs="Times New Roman"/>
          <w:sz w:val="24"/>
          <w:szCs w:val="24"/>
          <w:lang w:val="en-US"/>
        </w:rPr>
        <w:t>we</w:t>
      </w:r>
      <w:r w:rsidRPr="00933491">
        <w:rPr>
          <w:rFonts w:ascii="Times New Roman" w:hAnsi="Times New Roman" w:cs="Times New Roman"/>
          <w:sz w:val="24"/>
          <w:szCs w:val="24"/>
          <w:lang w:val="en-US"/>
        </w:rPr>
        <w:t xml:space="preserve"> found there is difference in performance before and after SEO, as well as between the </w:t>
      </w:r>
      <w:r w:rsidR="00DF28FC">
        <w:rPr>
          <w:rFonts w:ascii="Times New Roman" w:hAnsi="Times New Roman" w:cs="Times New Roman"/>
          <w:sz w:val="24"/>
          <w:szCs w:val="24"/>
          <w:lang w:val="en-US"/>
        </w:rPr>
        <w:t>firms</w:t>
      </w:r>
      <w:r w:rsidRPr="00933491">
        <w:rPr>
          <w:rFonts w:ascii="Times New Roman" w:hAnsi="Times New Roman" w:cs="Times New Roman"/>
          <w:sz w:val="24"/>
          <w:szCs w:val="24"/>
          <w:lang w:val="en-US"/>
        </w:rPr>
        <w:t xml:space="preserve"> who performed and did not performed SEO</w:t>
      </w:r>
      <w:r w:rsidR="0035705E">
        <w:rPr>
          <w:rFonts w:ascii="Times New Roman" w:hAnsi="Times New Roman" w:cs="Times New Roman"/>
          <w:sz w:val="24"/>
          <w:szCs w:val="24"/>
          <w:lang w:val="en-US"/>
        </w:rPr>
        <w:t>.</w:t>
      </w:r>
      <w:r w:rsidRPr="00933491">
        <w:rPr>
          <w:rFonts w:ascii="Times New Roman" w:hAnsi="Times New Roman" w:cs="Times New Roman"/>
          <w:sz w:val="24"/>
          <w:szCs w:val="24"/>
          <w:lang w:val="en-US"/>
        </w:rPr>
        <w:t xml:space="preserve"> Regard to stock performance, </w:t>
      </w:r>
      <w:r w:rsidR="00DF28FC">
        <w:rPr>
          <w:rFonts w:ascii="Times New Roman" w:hAnsi="Times New Roman" w:cs="Times New Roman"/>
          <w:sz w:val="24"/>
          <w:szCs w:val="24"/>
          <w:lang w:val="en-US"/>
        </w:rPr>
        <w:t>we</w:t>
      </w:r>
      <w:r w:rsidRPr="00933491">
        <w:rPr>
          <w:rFonts w:ascii="Times New Roman" w:hAnsi="Times New Roman" w:cs="Times New Roman"/>
          <w:sz w:val="24"/>
          <w:szCs w:val="24"/>
          <w:lang w:val="en-US"/>
        </w:rPr>
        <w:t xml:space="preserve"> found there is no difference in stock performance of </w:t>
      </w:r>
      <w:r w:rsidR="00DF28FC">
        <w:rPr>
          <w:rFonts w:ascii="Times New Roman" w:hAnsi="Times New Roman" w:cs="Times New Roman"/>
          <w:sz w:val="24"/>
          <w:szCs w:val="24"/>
          <w:lang w:val="en-US"/>
        </w:rPr>
        <w:t>firms</w:t>
      </w:r>
      <w:r w:rsidR="00A670CB">
        <w:rPr>
          <w:rFonts w:ascii="Times New Roman" w:hAnsi="Times New Roman" w:cs="Times New Roman"/>
          <w:sz w:val="24"/>
          <w:szCs w:val="24"/>
          <w:lang w:val="en-US"/>
        </w:rPr>
        <w:t xml:space="preserve"> a year before and after</w:t>
      </w:r>
      <w:r w:rsidRPr="00933491">
        <w:rPr>
          <w:rFonts w:ascii="Times New Roman" w:hAnsi="Times New Roman" w:cs="Times New Roman"/>
          <w:sz w:val="24"/>
          <w:szCs w:val="24"/>
          <w:lang w:val="en-US"/>
        </w:rPr>
        <w:t xml:space="preserve"> SEO and four years before and after SEO. </w:t>
      </w:r>
      <w:r w:rsidR="00195CB0">
        <w:rPr>
          <w:rFonts w:ascii="Times New Roman" w:hAnsi="Times New Roman" w:cs="Times New Roman"/>
          <w:sz w:val="24"/>
          <w:szCs w:val="24"/>
          <w:lang w:val="en-US"/>
        </w:rPr>
        <w:t>W</w:t>
      </w:r>
      <w:r w:rsidR="00DF28FC">
        <w:rPr>
          <w:rFonts w:ascii="Times New Roman" w:hAnsi="Times New Roman" w:cs="Times New Roman"/>
          <w:sz w:val="24"/>
          <w:szCs w:val="24"/>
          <w:lang w:val="en-US"/>
        </w:rPr>
        <w:t>e</w:t>
      </w:r>
      <w:r w:rsidR="00195CB0">
        <w:rPr>
          <w:rFonts w:ascii="Times New Roman" w:hAnsi="Times New Roman" w:cs="Times New Roman"/>
          <w:sz w:val="24"/>
          <w:szCs w:val="24"/>
          <w:lang w:val="en-US"/>
        </w:rPr>
        <w:t xml:space="preserve"> also</w:t>
      </w:r>
      <w:r w:rsidRPr="00933491">
        <w:rPr>
          <w:rFonts w:ascii="Times New Roman" w:hAnsi="Times New Roman" w:cs="Times New Roman"/>
          <w:sz w:val="24"/>
          <w:szCs w:val="24"/>
          <w:lang w:val="en-US"/>
        </w:rPr>
        <w:t xml:space="preserve"> </w:t>
      </w:r>
      <w:r w:rsidRPr="00933491">
        <w:rPr>
          <w:rFonts w:ascii="Times New Roman" w:hAnsi="Times New Roman" w:cs="Times New Roman"/>
          <w:sz w:val="24"/>
          <w:szCs w:val="24"/>
          <w:lang w:val="en-US"/>
        </w:rPr>
        <w:lastRenderedPageBreak/>
        <w:t xml:space="preserve">found there is no difference in stock performance between the </w:t>
      </w:r>
      <w:r w:rsidR="00DF28FC">
        <w:rPr>
          <w:rFonts w:ascii="Times New Roman" w:hAnsi="Times New Roman" w:cs="Times New Roman"/>
          <w:sz w:val="24"/>
          <w:szCs w:val="24"/>
          <w:lang w:val="en-US"/>
        </w:rPr>
        <w:t xml:space="preserve">firms </w:t>
      </w:r>
      <w:r w:rsidRPr="00933491">
        <w:rPr>
          <w:rFonts w:ascii="Times New Roman" w:hAnsi="Times New Roman" w:cs="Times New Roman"/>
          <w:sz w:val="24"/>
          <w:szCs w:val="24"/>
          <w:lang w:val="en-US"/>
        </w:rPr>
        <w:t>who performed and did not performed SEO,</w:t>
      </w:r>
      <w:r w:rsidR="00195CB0">
        <w:rPr>
          <w:rFonts w:ascii="Times New Roman" w:hAnsi="Times New Roman" w:cs="Times New Roman"/>
          <w:sz w:val="24"/>
          <w:szCs w:val="24"/>
          <w:lang w:val="en-US"/>
        </w:rPr>
        <w:t xml:space="preserve"> </w:t>
      </w:r>
      <w:r w:rsidR="00195CB0" w:rsidRPr="00195CB0">
        <w:rPr>
          <w:rFonts w:ascii="Times New Roman" w:hAnsi="Times New Roman" w:cs="Times New Roman"/>
          <w:sz w:val="24"/>
          <w:szCs w:val="24"/>
          <w:lang w:val="en-US"/>
        </w:rPr>
        <w:t xml:space="preserve">possibly due to the fact </w:t>
      </w:r>
      <w:r w:rsidR="00195CB0">
        <w:rPr>
          <w:rFonts w:ascii="Times New Roman" w:hAnsi="Times New Roman" w:cs="Times New Roman"/>
          <w:sz w:val="24"/>
          <w:szCs w:val="24"/>
          <w:lang w:val="en-US"/>
        </w:rPr>
        <w:t>in Brazil</w:t>
      </w:r>
      <w:r w:rsidR="00195CB0" w:rsidRPr="00195CB0">
        <w:rPr>
          <w:rFonts w:ascii="Times New Roman" w:hAnsi="Times New Roman" w:cs="Times New Roman"/>
          <w:sz w:val="24"/>
          <w:szCs w:val="24"/>
          <w:lang w:val="en-US"/>
        </w:rPr>
        <w:t xml:space="preserve"> there are few public offerings</w:t>
      </w:r>
      <w:r w:rsidR="00195CB0">
        <w:rPr>
          <w:rFonts w:ascii="Times New Roman" w:hAnsi="Times New Roman" w:cs="Times New Roman"/>
          <w:sz w:val="24"/>
          <w:szCs w:val="24"/>
          <w:lang w:val="en-US"/>
        </w:rPr>
        <w:t xml:space="preserve">. Moreover, </w:t>
      </w:r>
      <w:proofErr w:type="gramStart"/>
      <w:r w:rsidR="00195CB0" w:rsidRPr="00933491">
        <w:rPr>
          <w:rFonts w:ascii="Times New Roman" w:hAnsi="Times New Roman" w:cs="Times New Roman"/>
          <w:sz w:val="24"/>
          <w:szCs w:val="24"/>
          <w:lang w:val="en-US"/>
        </w:rPr>
        <w:t xml:space="preserve">there is no difference </w:t>
      </w:r>
      <w:r w:rsidRPr="00933491">
        <w:rPr>
          <w:rFonts w:ascii="Times New Roman" w:hAnsi="Times New Roman" w:cs="Times New Roman"/>
          <w:sz w:val="24"/>
          <w:szCs w:val="24"/>
          <w:lang w:val="en-US"/>
        </w:rPr>
        <w:t xml:space="preserve">between the stock performance of small (large) </w:t>
      </w:r>
      <w:r w:rsidR="00DF28FC">
        <w:rPr>
          <w:rFonts w:ascii="Times New Roman" w:hAnsi="Times New Roman" w:cs="Times New Roman"/>
          <w:sz w:val="24"/>
          <w:szCs w:val="24"/>
          <w:lang w:val="en-US"/>
        </w:rPr>
        <w:t>firms</w:t>
      </w:r>
      <w:r w:rsidRPr="00933491">
        <w:rPr>
          <w:rFonts w:ascii="Times New Roman" w:hAnsi="Times New Roman" w:cs="Times New Roman"/>
          <w:sz w:val="24"/>
          <w:szCs w:val="24"/>
          <w:lang w:val="en-US"/>
        </w:rPr>
        <w:t xml:space="preserve"> who performed SEO</w:t>
      </w:r>
      <w:proofErr w:type="gramEnd"/>
      <w:r w:rsidRPr="00933491">
        <w:rPr>
          <w:rFonts w:ascii="Times New Roman" w:hAnsi="Times New Roman" w:cs="Times New Roman"/>
          <w:sz w:val="24"/>
          <w:szCs w:val="24"/>
          <w:lang w:val="en-US"/>
        </w:rPr>
        <w:t xml:space="preserve"> and the performance of small </w:t>
      </w:r>
      <w:r w:rsidR="00DF28FC">
        <w:rPr>
          <w:rFonts w:ascii="Times New Roman" w:hAnsi="Times New Roman" w:cs="Times New Roman"/>
          <w:sz w:val="24"/>
          <w:szCs w:val="24"/>
          <w:lang w:val="en-US"/>
        </w:rPr>
        <w:t>firms</w:t>
      </w:r>
      <w:r w:rsidRPr="00933491">
        <w:rPr>
          <w:rFonts w:ascii="Times New Roman" w:hAnsi="Times New Roman" w:cs="Times New Roman"/>
          <w:sz w:val="24"/>
          <w:szCs w:val="24"/>
          <w:lang w:val="en-US"/>
        </w:rPr>
        <w:t xml:space="preserve"> (large) that did not performed SEO. Finally, </w:t>
      </w:r>
      <w:r w:rsidR="00DF28FC">
        <w:rPr>
          <w:rFonts w:ascii="Times New Roman" w:hAnsi="Times New Roman" w:cs="Times New Roman"/>
          <w:sz w:val="24"/>
          <w:szCs w:val="24"/>
          <w:lang w:val="en-US"/>
        </w:rPr>
        <w:t>we</w:t>
      </w:r>
      <w:r w:rsidRPr="00933491">
        <w:rPr>
          <w:rFonts w:ascii="Times New Roman" w:hAnsi="Times New Roman" w:cs="Times New Roman"/>
          <w:sz w:val="24"/>
          <w:szCs w:val="24"/>
          <w:lang w:val="en-US"/>
        </w:rPr>
        <w:t xml:space="preserve"> identified there is no relationship between the stock return </w:t>
      </w:r>
      <w:r w:rsidR="00877A75">
        <w:rPr>
          <w:rFonts w:ascii="Times New Roman" w:hAnsi="Times New Roman" w:cs="Times New Roman"/>
          <w:sz w:val="24"/>
          <w:szCs w:val="24"/>
          <w:lang w:val="en-US"/>
        </w:rPr>
        <w:t>after</w:t>
      </w:r>
      <w:r w:rsidRPr="00933491">
        <w:rPr>
          <w:rFonts w:ascii="Times New Roman" w:hAnsi="Times New Roman" w:cs="Times New Roman"/>
          <w:sz w:val="24"/>
          <w:szCs w:val="24"/>
          <w:lang w:val="en-US"/>
        </w:rPr>
        <w:t xml:space="preserve"> SEO </w:t>
      </w:r>
      <w:r w:rsidR="00877A75">
        <w:rPr>
          <w:rFonts w:ascii="Times New Roman" w:hAnsi="Times New Roman" w:cs="Times New Roman"/>
          <w:sz w:val="24"/>
          <w:szCs w:val="24"/>
          <w:lang w:val="en-US"/>
        </w:rPr>
        <w:t>and</w:t>
      </w:r>
      <w:r w:rsidRPr="00933491">
        <w:rPr>
          <w:rFonts w:ascii="Times New Roman" w:hAnsi="Times New Roman" w:cs="Times New Roman"/>
          <w:sz w:val="24"/>
          <w:szCs w:val="24"/>
          <w:lang w:val="en-US"/>
        </w:rPr>
        <w:t xml:space="preserve"> the </w:t>
      </w:r>
      <w:r w:rsidR="00A315CA">
        <w:rPr>
          <w:rFonts w:ascii="Times New Roman" w:hAnsi="Times New Roman" w:cs="Times New Roman"/>
          <w:sz w:val="24"/>
          <w:szCs w:val="24"/>
          <w:lang w:val="en-US"/>
        </w:rPr>
        <w:t xml:space="preserve">firm´s </w:t>
      </w:r>
      <w:r w:rsidRPr="00933491">
        <w:rPr>
          <w:rFonts w:ascii="Times New Roman" w:hAnsi="Times New Roman" w:cs="Times New Roman"/>
          <w:sz w:val="24"/>
          <w:szCs w:val="24"/>
          <w:lang w:val="en-US"/>
        </w:rPr>
        <w:t>past growth</w:t>
      </w:r>
      <w:r w:rsidR="00A315CA">
        <w:rPr>
          <w:rFonts w:ascii="Times New Roman" w:hAnsi="Times New Roman" w:cs="Times New Roman"/>
          <w:sz w:val="24"/>
          <w:szCs w:val="24"/>
          <w:lang w:val="en-US"/>
        </w:rPr>
        <w:t>.</w:t>
      </w:r>
    </w:p>
    <w:p w14:paraId="709CDE4A" w14:textId="5D95DEAC" w:rsidR="006B560D" w:rsidRPr="00933491" w:rsidRDefault="00BC1346" w:rsidP="0056798E">
      <w:pPr>
        <w:shd w:val="clear" w:color="auto" w:fill="FFFFFF"/>
        <w:spacing w:after="0" w:line="240" w:lineRule="auto"/>
        <w:jc w:val="both"/>
        <w:rPr>
          <w:rFonts w:ascii="Times New Roman" w:hAnsi="Times New Roman" w:cs="Times New Roman"/>
          <w:sz w:val="24"/>
          <w:szCs w:val="24"/>
          <w:lang w:val="en-US"/>
        </w:rPr>
      </w:pPr>
      <w:r w:rsidRPr="003E40AC">
        <w:rPr>
          <w:rFonts w:ascii="Times New Roman" w:hAnsi="Times New Roman" w:cs="Times New Roman"/>
          <w:b/>
          <w:sz w:val="24"/>
          <w:szCs w:val="24"/>
          <w:lang w:val="en-US"/>
        </w:rPr>
        <w:t>Key words</w:t>
      </w:r>
      <w:r w:rsidR="006B560D" w:rsidRPr="003E40AC">
        <w:rPr>
          <w:rFonts w:ascii="Times New Roman" w:hAnsi="Times New Roman" w:cs="Times New Roman"/>
          <w:b/>
          <w:sz w:val="24"/>
          <w:szCs w:val="24"/>
          <w:lang w:val="en-US"/>
        </w:rPr>
        <w:t xml:space="preserve">: </w:t>
      </w:r>
      <w:r w:rsidR="0001226C" w:rsidRPr="003E40AC">
        <w:rPr>
          <w:rFonts w:ascii="Times New Roman" w:hAnsi="Times New Roman" w:cs="Times New Roman"/>
          <w:sz w:val="24"/>
          <w:szCs w:val="24"/>
          <w:lang w:val="en-US"/>
        </w:rPr>
        <w:t>Operational Performance; Stock Performance</w:t>
      </w:r>
      <w:r w:rsidR="00827D47" w:rsidRPr="00933491">
        <w:rPr>
          <w:rFonts w:ascii="Times New Roman" w:hAnsi="Times New Roman" w:cs="Times New Roman"/>
          <w:sz w:val="24"/>
          <w:szCs w:val="24"/>
          <w:lang w:val="en-US"/>
        </w:rPr>
        <w:t xml:space="preserve">; </w:t>
      </w:r>
      <w:r w:rsidR="0001226C" w:rsidRPr="00933491">
        <w:rPr>
          <w:rFonts w:ascii="Times New Roman" w:hAnsi="Times New Roman" w:cs="Times New Roman"/>
          <w:sz w:val="24"/>
          <w:szCs w:val="24"/>
          <w:lang w:val="en-US"/>
        </w:rPr>
        <w:t>Seasoned Equity Offerings (SEO)</w:t>
      </w:r>
      <w:r w:rsidR="00827D47" w:rsidRPr="00933491">
        <w:rPr>
          <w:rFonts w:ascii="Times New Roman" w:hAnsi="Times New Roman" w:cs="Times New Roman"/>
          <w:sz w:val="24"/>
          <w:szCs w:val="24"/>
          <w:lang w:val="en-US"/>
        </w:rPr>
        <w:t>.</w:t>
      </w:r>
    </w:p>
    <w:p w14:paraId="17117467" w14:textId="77777777" w:rsidR="00195CB0" w:rsidRPr="00933491" w:rsidRDefault="00195CB0" w:rsidP="0056798E">
      <w:pPr>
        <w:spacing w:after="0" w:line="240" w:lineRule="auto"/>
        <w:rPr>
          <w:rFonts w:ascii="Times New Roman" w:hAnsi="Times New Roman" w:cs="Times New Roman"/>
          <w:b/>
          <w:sz w:val="24"/>
          <w:szCs w:val="24"/>
          <w:lang w:val="en-US"/>
        </w:rPr>
      </w:pPr>
    </w:p>
    <w:p w14:paraId="61F1D642" w14:textId="0D7A5512" w:rsidR="006002B7" w:rsidRDefault="007B116C" w:rsidP="00157D35">
      <w:pPr>
        <w:pStyle w:val="PargrafodaLista"/>
        <w:numPr>
          <w:ilvl w:val="0"/>
          <w:numId w:val="2"/>
        </w:numPr>
        <w:spacing w:after="120" w:line="240" w:lineRule="auto"/>
        <w:ind w:left="425" w:hanging="425"/>
        <w:rPr>
          <w:rFonts w:ascii="Times New Roman" w:hAnsi="Times New Roman" w:cs="Times New Roman"/>
          <w:b/>
          <w:sz w:val="24"/>
          <w:szCs w:val="24"/>
        </w:rPr>
      </w:pPr>
      <w:r w:rsidRPr="008A56B5">
        <w:rPr>
          <w:rFonts w:ascii="Times New Roman" w:hAnsi="Times New Roman" w:cs="Times New Roman"/>
          <w:b/>
          <w:sz w:val="24"/>
          <w:szCs w:val="24"/>
        </w:rPr>
        <w:t>Introdução</w:t>
      </w:r>
    </w:p>
    <w:p w14:paraId="15B57E24" w14:textId="4925C87E" w:rsidR="006002B7" w:rsidRPr="008A56B5" w:rsidRDefault="006002B7" w:rsidP="00157D35">
      <w:pPr>
        <w:autoSpaceDE w:val="0"/>
        <w:autoSpaceDN w:val="0"/>
        <w:adjustRightInd w:val="0"/>
        <w:spacing w:after="0" w:line="240" w:lineRule="auto"/>
        <w:ind w:firstLine="709"/>
        <w:jc w:val="both"/>
        <w:rPr>
          <w:rFonts w:ascii="Times New Roman" w:hAnsi="Times New Roman" w:cs="Times New Roman"/>
          <w:sz w:val="24"/>
          <w:szCs w:val="24"/>
        </w:rPr>
      </w:pPr>
      <w:r w:rsidRPr="008A56B5">
        <w:rPr>
          <w:rFonts w:ascii="Times New Roman" w:hAnsi="Times New Roman" w:cs="Times New Roman"/>
          <w:sz w:val="24"/>
          <w:szCs w:val="24"/>
        </w:rPr>
        <w:t xml:space="preserve">A necessidade </w:t>
      </w:r>
      <w:r w:rsidR="00501EE6" w:rsidRPr="008A56B5">
        <w:rPr>
          <w:rFonts w:ascii="Times New Roman" w:hAnsi="Times New Roman" w:cs="Times New Roman"/>
          <w:sz w:val="24"/>
          <w:szCs w:val="24"/>
        </w:rPr>
        <w:t>de capital para o financiamento das operações de longo prazo</w:t>
      </w:r>
      <w:r w:rsidRPr="008A56B5">
        <w:rPr>
          <w:rFonts w:ascii="Times New Roman" w:hAnsi="Times New Roman" w:cs="Times New Roman"/>
          <w:sz w:val="24"/>
          <w:szCs w:val="24"/>
        </w:rPr>
        <w:t xml:space="preserve"> das empresas pode ser suprida pela captação de recursos externos ou pela utilização de recursos próprios gerados internamente na empresa. O financiamento </w:t>
      </w:r>
      <w:r w:rsidR="004C2D2D" w:rsidRPr="008A56B5">
        <w:rPr>
          <w:rFonts w:ascii="Times New Roman" w:hAnsi="Times New Roman" w:cs="Times New Roman"/>
          <w:sz w:val="24"/>
          <w:szCs w:val="24"/>
        </w:rPr>
        <w:t>por meio</w:t>
      </w:r>
      <w:r w:rsidRPr="008A56B5">
        <w:rPr>
          <w:rFonts w:ascii="Times New Roman" w:hAnsi="Times New Roman" w:cs="Times New Roman"/>
          <w:sz w:val="24"/>
          <w:szCs w:val="24"/>
        </w:rPr>
        <w:t xml:space="preserve"> de recursos próprios ocorre pela retenção dos lucros e/ou pela integralização de novas ações no mercado acionário</w:t>
      </w:r>
      <w:r w:rsidR="00092713" w:rsidRPr="008A56B5">
        <w:rPr>
          <w:rFonts w:ascii="Times New Roman" w:hAnsi="Times New Roman" w:cs="Times New Roman"/>
          <w:sz w:val="24"/>
          <w:szCs w:val="24"/>
        </w:rPr>
        <w:t xml:space="preserve">. </w:t>
      </w:r>
    </w:p>
    <w:p w14:paraId="6EB4EE96" w14:textId="3A3AC861" w:rsidR="006002B7" w:rsidRPr="008A56B5" w:rsidRDefault="009934DA" w:rsidP="00157D35">
      <w:pPr>
        <w:autoSpaceDE w:val="0"/>
        <w:autoSpaceDN w:val="0"/>
        <w:adjustRightInd w:val="0"/>
        <w:spacing w:after="0" w:line="240" w:lineRule="auto"/>
        <w:ind w:firstLine="709"/>
        <w:jc w:val="both"/>
        <w:rPr>
          <w:rFonts w:ascii="Times New Roman" w:eastAsia="Calibri" w:hAnsi="Times New Roman" w:cs="Times New Roman"/>
          <w:sz w:val="24"/>
          <w:szCs w:val="24"/>
        </w:rPr>
      </w:pPr>
      <w:r w:rsidRPr="008A56B5">
        <w:rPr>
          <w:rFonts w:ascii="Times New Roman" w:eastAsia="Calibri" w:hAnsi="Times New Roman" w:cs="Times New Roman"/>
          <w:sz w:val="24"/>
          <w:szCs w:val="24"/>
        </w:rPr>
        <w:t xml:space="preserve">A </w:t>
      </w:r>
      <w:r w:rsidR="00675FA4" w:rsidRPr="008A56B5">
        <w:rPr>
          <w:rFonts w:ascii="Times New Roman" w:hAnsi="Times New Roman" w:cs="Times New Roman"/>
          <w:sz w:val="24"/>
          <w:szCs w:val="24"/>
        </w:rPr>
        <w:t>capta</w:t>
      </w:r>
      <w:r w:rsidR="00542509" w:rsidRPr="008A56B5">
        <w:rPr>
          <w:rFonts w:ascii="Times New Roman" w:hAnsi="Times New Roman" w:cs="Times New Roman"/>
          <w:sz w:val="24"/>
          <w:szCs w:val="24"/>
        </w:rPr>
        <w:t>ção</w:t>
      </w:r>
      <w:r w:rsidR="00542509" w:rsidRPr="008A56B5">
        <w:rPr>
          <w:rFonts w:ascii="Times New Roman" w:eastAsia="Calibri" w:hAnsi="Times New Roman" w:cs="Times New Roman"/>
          <w:sz w:val="24"/>
          <w:szCs w:val="24"/>
        </w:rPr>
        <w:t xml:space="preserve"> de</w:t>
      </w:r>
      <w:r w:rsidR="00675FA4" w:rsidRPr="008A56B5">
        <w:rPr>
          <w:rFonts w:ascii="Times New Roman" w:eastAsia="Calibri" w:hAnsi="Times New Roman" w:cs="Times New Roman"/>
          <w:sz w:val="24"/>
          <w:szCs w:val="24"/>
        </w:rPr>
        <w:t xml:space="preserve"> recurso</w:t>
      </w:r>
      <w:r w:rsidRPr="008A56B5">
        <w:rPr>
          <w:rFonts w:ascii="Times New Roman" w:eastAsia="Calibri" w:hAnsi="Times New Roman" w:cs="Times New Roman"/>
          <w:sz w:val="24"/>
          <w:szCs w:val="24"/>
        </w:rPr>
        <w:t xml:space="preserve"> pela primeira vez</w:t>
      </w:r>
      <w:r w:rsidR="001E5FCA" w:rsidRPr="008A56B5">
        <w:rPr>
          <w:rFonts w:ascii="Times New Roman" w:eastAsia="Calibri" w:hAnsi="Times New Roman" w:cs="Times New Roman"/>
          <w:sz w:val="24"/>
          <w:szCs w:val="24"/>
        </w:rPr>
        <w:t xml:space="preserve"> por meio de emissão de ações é </w:t>
      </w:r>
      <w:r w:rsidRPr="008A56B5">
        <w:rPr>
          <w:rFonts w:ascii="Times New Roman" w:eastAsia="Calibri" w:hAnsi="Times New Roman" w:cs="Times New Roman"/>
          <w:sz w:val="24"/>
          <w:szCs w:val="24"/>
        </w:rPr>
        <w:t>c</w:t>
      </w:r>
      <w:r w:rsidR="00542509" w:rsidRPr="008A56B5">
        <w:rPr>
          <w:rFonts w:ascii="Times New Roman" w:eastAsia="Calibri" w:hAnsi="Times New Roman" w:cs="Times New Roman"/>
          <w:sz w:val="24"/>
          <w:szCs w:val="24"/>
        </w:rPr>
        <w:t>onhecida como</w:t>
      </w:r>
      <w:r w:rsidRPr="008A56B5">
        <w:rPr>
          <w:rFonts w:ascii="Times New Roman" w:eastAsia="Calibri" w:hAnsi="Times New Roman" w:cs="Times New Roman"/>
          <w:sz w:val="24"/>
          <w:szCs w:val="24"/>
        </w:rPr>
        <w:t xml:space="preserve"> </w:t>
      </w:r>
      <w:r w:rsidR="001E5FCA" w:rsidRPr="008A56B5">
        <w:rPr>
          <w:rFonts w:ascii="Times New Roman" w:eastAsia="Calibri" w:hAnsi="Times New Roman" w:cs="Times New Roman"/>
          <w:sz w:val="24"/>
          <w:szCs w:val="24"/>
        </w:rPr>
        <w:t>Oferta Pública Inicial de Ações (</w:t>
      </w:r>
      <w:r w:rsidR="001E5FCA" w:rsidRPr="008A56B5">
        <w:rPr>
          <w:rFonts w:ascii="Times New Roman" w:eastAsia="Calibri" w:hAnsi="Times New Roman" w:cs="Times New Roman"/>
          <w:i/>
          <w:sz w:val="24"/>
          <w:szCs w:val="24"/>
        </w:rPr>
        <w:t xml:space="preserve">Inicial </w:t>
      </w:r>
      <w:proofErr w:type="spellStart"/>
      <w:r w:rsidR="001E5FCA" w:rsidRPr="008A56B5">
        <w:rPr>
          <w:rFonts w:ascii="Times New Roman" w:eastAsia="Calibri" w:hAnsi="Times New Roman" w:cs="Times New Roman"/>
          <w:i/>
          <w:sz w:val="24"/>
          <w:szCs w:val="24"/>
        </w:rPr>
        <w:t>Public</w:t>
      </w:r>
      <w:proofErr w:type="spellEnd"/>
      <w:r w:rsidR="001E5FCA" w:rsidRPr="008A56B5">
        <w:rPr>
          <w:rFonts w:ascii="Times New Roman" w:eastAsia="Calibri" w:hAnsi="Times New Roman" w:cs="Times New Roman"/>
          <w:i/>
          <w:sz w:val="24"/>
          <w:szCs w:val="24"/>
        </w:rPr>
        <w:t xml:space="preserve"> </w:t>
      </w:r>
      <w:proofErr w:type="spellStart"/>
      <w:r w:rsidR="001E5FCA" w:rsidRPr="008A56B5">
        <w:rPr>
          <w:rFonts w:ascii="Times New Roman" w:eastAsia="Calibri" w:hAnsi="Times New Roman" w:cs="Times New Roman"/>
          <w:i/>
          <w:sz w:val="24"/>
          <w:szCs w:val="24"/>
        </w:rPr>
        <w:t>Offerig</w:t>
      </w:r>
      <w:proofErr w:type="spellEnd"/>
      <w:r w:rsidR="001E5FCA" w:rsidRPr="008A56B5">
        <w:rPr>
          <w:rFonts w:ascii="Times New Roman" w:eastAsia="Calibri" w:hAnsi="Times New Roman" w:cs="Times New Roman"/>
          <w:i/>
          <w:sz w:val="24"/>
          <w:szCs w:val="24"/>
        </w:rPr>
        <w:t xml:space="preserve"> – </w:t>
      </w:r>
      <w:r w:rsidR="001E5FCA" w:rsidRPr="008A56B5">
        <w:rPr>
          <w:rFonts w:ascii="Times New Roman" w:eastAsia="Calibri" w:hAnsi="Times New Roman" w:cs="Times New Roman"/>
          <w:sz w:val="24"/>
          <w:szCs w:val="24"/>
        </w:rPr>
        <w:t>IPO)</w:t>
      </w:r>
      <w:r w:rsidR="00F85F75" w:rsidRPr="008A56B5">
        <w:rPr>
          <w:rFonts w:ascii="Times New Roman" w:eastAsia="Calibri" w:hAnsi="Times New Roman" w:cs="Times New Roman"/>
          <w:sz w:val="24"/>
          <w:szCs w:val="24"/>
        </w:rPr>
        <w:t>.</w:t>
      </w:r>
      <w:r w:rsidR="00E14BD1" w:rsidRPr="008A56B5">
        <w:rPr>
          <w:rFonts w:ascii="Times New Roman" w:eastAsia="Calibri" w:hAnsi="Times New Roman" w:cs="Times New Roman"/>
          <w:sz w:val="24"/>
          <w:szCs w:val="24"/>
        </w:rPr>
        <w:t xml:space="preserve"> </w:t>
      </w:r>
      <w:r w:rsidR="00207A78" w:rsidRPr="008A56B5">
        <w:rPr>
          <w:rFonts w:ascii="Times New Roman" w:eastAsia="Calibri" w:hAnsi="Times New Roman" w:cs="Times New Roman"/>
          <w:sz w:val="24"/>
          <w:szCs w:val="24"/>
        </w:rPr>
        <w:t xml:space="preserve">Dessa forma, </w:t>
      </w:r>
      <w:r w:rsidR="004C2D2D" w:rsidRPr="008A56B5">
        <w:rPr>
          <w:rFonts w:ascii="Times New Roman" w:eastAsia="Calibri" w:hAnsi="Times New Roman" w:cs="Times New Roman"/>
          <w:sz w:val="24"/>
          <w:szCs w:val="24"/>
        </w:rPr>
        <w:t>por meio</w:t>
      </w:r>
      <w:r w:rsidR="00207A78" w:rsidRPr="008A56B5">
        <w:rPr>
          <w:rFonts w:ascii="Times New Roman" w:eastAsia="Calibri" w:hAnsi="Times New Roman" w:cs="Times New Roman"/>
          <w:sz w:val="24"/>
          <w:szCs w:val="24"/>
        </w:rPr>
        <w:t xml:space="preserve"> de uma IPO, algumas ações da empresa são vendidas para investidores externos, permitindo a negociação nos mercados públicos e, por consequência, capital adicional é acrescentado na empresa</w:t>
      </w:r>
      <w:r w:rsidR="00440DAA" w:rsidRPr="008A56B5">
        <w:rPr>
          <w:rFonts w:ascii="Times New Roman" w:eastAsia="Calibri" w:hAnsi="Times New Roman" w:cs="Times New Roman"/>
          <w:sz w:val="24"/>
          <w:szCs w:val="24"/>
        </w:rPr>
        <w:t>,</w:t>
      </w:r>
      <w:r w:rsidR="00207A78" w:rsidRPr="008A56B5">
        <w:rPr>
          <w:rFonts w:ascii="Times New Roman" w:eastAsia="Calibri" w:hAnsi="Times New Roman" w:cs="Times New Roman"/>
          <w:sz w:val="24"/>
          <w:szCs w:val="24"/>
        </w:rPr>
        <w:t xml:space="preserve"> viabilizando seu crescimento (</w:t>
      </w:r>
      <w:r w:rsidR="006E410C" w:rsidRPr="008A56B5">
        <w:rPr>
          <w:rFonts w:ascii="Times New Roman" w:eastAsia="Calibri" w:hAnsi="Times New Roman" w:cs="Times New Roman"/>
          <w:sz w:val="24"/>
          <w:szCs w:val="24"/>
        </w:rPr>
        <w:t>CHEN</w:t>
      </w:r>
      <w:r w:rsidR="006E410C">
        <w:rPr>
          <w:rFonts w:ascii="Times New Roman" w:eastAsia="Calibri" w:hAnsi="Times New Roman" w:cs="Times New Roman"/>
          <w:sz w:val="24"/>
          <w:szCs w:val="24"/>
        </w:rPr>
        <w:t>;</w:t>
      </w:r>
      <w:r w:rsidR="006E410C" w:rsidRPr="008A56B5">
        <w:rPr>
          <w:rFonts w:ascii="Times New Roman" w:eastAsia="Calibri" w:hAnsi="Times New Roman" w:cs="Times New Roman"/>
          <w:sz w:val="24"/>
          <w:szCs w:val="24"/>
        </w:rPr>
        <w:t xml:space="preserve"> LIN</w:t>
      </w:r>
      <w:r w:rsidR="006E410C">
        <w:rPr>
          <w:rFonts w:ascii="Times New Roman" w:eastAsia="Calibri" w:hAnsi="Times New Roman" w:cs="Times New Roman"/>
          <w:sz w:val="24"/>
          <w:szCs w:val="24"/>
        </w:rPr>
        <w:t>;</w:t>
      </w:r>
      <w:r w:rsidR="006E410C" w:rsidRPr="008A56B5">
        <w:rPr>
          <w:rFonts w:ascii="Times New Roman" w:eastAsia="Calibri" w:hAnsi="Times New Roman" w:cs="Times New Roman"/>
          <w:sz w:val="24"/>
          <w:szCs w:val="24"/>
        </w:rPr>
        <w:t xml:space="preserve"> ZHOU, </w:t>
      </w:r>
      <w:r w:rsidR="00207A78" w:rsidRPr="008A56B5">
        <w:rPr>
          <w:rFonts w:ascii="Times New Roman" w:eastAsia="Calibri" w:hAnsi="Times New Roman" w:cs="Times New Roman"/>
          <w:sz w:val="24"/>
          <w:szCs w:val="24"/>
        </w:rPr>
        <w:t xml:space="preserve">2005). </w:t>
      </w:r>
      <w:r w:rsidR="00E8448B" w:rsidRPr="008A56B5">
        <w:rPr>
          <w:rFonts w:ascii="Times New Roman" w:eastAsia="Calibri" w:hAnsi="Times New Roman" w:cs="Times New Roman"/>
          <w:sz w:val="24"/>
          <w:szCs w:val="24"/>
        </w:rPr>
        <w:t xml:space="preserve">Após a IPO, as emissões subsequentes de ações para </w:t>
      </w:r>
      <w:r w:rsidR="00302037" w:rsidRPr="008A56B5">
        <w:rPr>
          <w:rFonts w:ascii="Times New Roman" w:eastAsia="Calibri" w:hAnsi="Times New Roman" w:cs="Times New Roman"/>
          <w:sz w:val="24"/>
          <w:szCs w:val="24"/>
        </w:rPr>
        <w:t>financiamento das atividades da empresa</w:t>
      </w:r>
      <w:r w:rsidR="00E8448B" w:rsidRPr="008A56B5">
        <w:rPr>
          <w:rFonts w:ascii="Times New Roman" w:eastAsia="Calibri" w:hAnsi="Times New Roman" w:cs="Times New Roman"/>
          <w:sz w:val="24"/>
          <w:szCs w:val="24"/>
        </w:rPr>
        <w:t xml:space="preserve"> </w:t>
      </w:r>
      <w:r w:rsidR="002F37D4" w:rsidRPr="008A56B5">
        <w:rPr>
          <w:rFonts w:ascii="Times New Roman" w:eastAsia="Calibri" w:hAnsi="Times New Roman" w:cs="Times New Roman"/>
          <w:sz w:val="24"/>
          <w:szCs w:val="24"/>
        </w:rPr>
        <w:t>são</w:t>
      </w:r>
      <w:r w:rsidR="009149C5" w:rsidRPr="008A56B5">
        <w:rPr>
          <w:rFonts w:ascii="Times New Roman" w:eastAsia="Calibri" w:hAnsi="Times New Roman" w:cs="Times New Roman"/>
          <w:sz w:val="24"/>
          <w:szCs w:val="24"/>
        </w:rPr>
        <w:t xml:space="preserve"> chamada</w:t>
      </w:r>
      <w:r w:rsidR="002F37D4" w:rsidRPr="008A56B5">
        <w:rPr>
          <w:rFonts w:ascii="Times New Roman" w:eastAsia="Calibri" w:hAnsi="Times New Roman" w:cs="Times New Roman"/>
          <w:sz w:val="24"/>
          <w:szCs w:val="24"/>
        </w:rPr>
        <w:t>s</w:t>
      </w:r>
      <w:r w:rsidR="009149C5" w:rsidRPr="008A56B5">
        <w:rPr>
          <w:rFonts w:ascii="Times New Roman" w:eastAsia="Calibri" w:hAnsi="Times New Roman" w:cs="Times New Roman"/>
          <w:sz w:val="24"/>
          <w:szCs w:val="24"/>
        </w:rPr>
        <w:t xml:space="preserve"> de Ofertas Públicas Subsequentes (</w:t>
      </w:r>
      <w:proofErr w:type="spellStart"/>
      <w:r w:rsidR="009149C5" w:rsidRPr="008A56B5">
        <w:rPr>
          <w:rFonts w:ascii="Times New Roman" w:eastAsia="Calibri" w:hAnsi="Times New Roman" w:cs="Times New Roman"/>
          <w:sz w:val="24"/>
          <w:szCs w:val="24"/>
        </w:rPr>
        <w:t>S</w:t>
      </w:r>
      <w:r w:rsidR="009149C5" w:rsidRPr="008A56B5">
        <w:rPr>
          <w:rFonts w:ascii="Times New Roman" w:eastAsia="Calibri" w:hAnsi="Times New Roman" w:cs="Times New Roman"/>
          <w:i/>
          <w:sz w:val="24"/>
          <w:szCs w:val="24"/>
        </w:rPr>
        <w:t>easoned</w:t>
      </w:r>
      <w:proofErr w:type="spellEnd"/>
      <w:r w:rsidR="009149C5" w:rsidRPr="008A56B5">
        <w:rPr>
          <w:rFonts w:ascii="Times New Roman" w:eastAsia="Calibri" w:hAnsi="Times New Roman" w:cs="Times New Roman"/>
          <w:i/>
          <w:sz w:val="24"/>
          <w:szCs w:val="24"/>
        </w:rPr>
        <w:t xml:space="preserve"> </w:t>
      </w:r>
      <w:proofErr w:type="spellStart"/>
      <w:r w:rsidR="009149C5" w:rsidRPr="008A56B5">
        <w:rPr>
          <w:rFonts w:ascii="Times New Roman" w:eastAsia="Calibri" w:hAnsi="Times New Roman" w:cs="Times New Roman"/>
          <w:i/>
          <w:sz w:val="24"/>
          <w:szCs w:val="24"/>
        </w:rPr>
        <w:t>Equity</w:t>
      </w:r>
      <w:proofErr w:type="spellEnd"/>
      <w:r w:rsidR="009149C5" w:rsidRPr="008A56B5">
        <w:rPr>
          <w:rFonts w:ascii="Times New Roman" w:eastAsia="Calibri" w:hAnsi="Times New Roman" w:cs="Times New Roman"/>
          <w:i/>
          <w:sz w:val="24"/>
          <w:szCs w:val="24"/>
        </w:rPr>
        <w:t xml:space="preserve"> </w:t>
      </w:r>
      <w:proofErr w:type="spellStart"/>
      <w:r w:rsidR="009149C5" w:rsidRPr="008A56B5">
        <w:rPr>
          <w:rFonts w:ascii="Times New Roman" w:eastAsia="Calibri" w:hAnsi="Times New Roman" w:cs="Times New Roman"/>
          <w:i/>
          <w:sz w:val="24"/>
          <w:szCs w:val="24"/>
        </w:rPr>
        <w:t>Offering</w:t>
      </w:r>
      <w:proofErr w:type="spellEnd"/>
      <w:r w:rsidR="009149C5" w:rsidRPr="008A56B5">
        <w:rPr>
          <w:rFonts w:ascii="Times New Roman" w:eastAsia="Calibri" w:hAnsi="Times New Roman" w:cs="Times New Roman"/>
          <w:i/>
          <w:sz w:val="24"/>
          <w:szCs w:val="24"/>
        </w:rPr>
        <w:t xml:space="preserve"> – </w:t>
      </w:r>
      <w:r w:rsidR="009149C5" w:rsidRPr="008A56B5">
        <w:rPr>
          <w:rFonts w:ascii="Times New Roman" w:eastAsia="Calibri" w:hAnsi="Times New Roman" w:cs="Times New Roman"/>
          <w:sz w:val="24"/>
          <w:szCs w:val="24"/>
        </w:rPr>
        <w:t>SEO)</w:t>
      </w:r>
      <w:r w:rsidR="00302037" w:rsidRPr="008A56B5">
        <w:rPr>
          <w:rFonts w:ascii="Times New Roman" w:eastAsia="Calibri" w:hAnsi="Times New Roman" w:cs="Times New Roman"/>
          <w:sz w:val="24"/>
          <w:szCs w:val="24"/>
        </w:rPr>
        <w:t xml:space="preserve">. </w:t>
      </w:r>
    </w:p>
    <w:p w14:paraId="430448FA" w14:textId="53399EA3" w:rsidR="002B7F1D" w:rsidRDefault="00D56E18" w:rsidP="00157D35">
      <w:pPr>
        <w:autoSpaceDE w:val="0"/>
        <w:autoSpaceDN w:val="0"/>
        <w:adjustRightInd w:val="0"/>
        <w:spacing w:after="0" w:line="240" w:lineRule="auto"/>
        <w:ind w:firstLine="709"/>
        <w:jc w:val="both"/>
        <w:rPr>
          <w:rFonts w:ascii="Times New Roman" w:hAnsi="Times New Roman" w:cs="Times New Roman"/>
          <w:sz w:val="24"/>
          <w:szCs w:val="24"/>
        </w:rPr>
      </w:pPr>
      <w:r w:rsidRPr="008A56B5">
        <w:rPr>
          <w:rFonts w:ascii="Times New Roman" w:hAnsi="Times New Roman" w:cs="Times New Roman"/>
          <w:sz w:val="24"/>
          <w:szCs w:val="24"/>
        </w:rPr>
        <w:t>Tanto na IPO quanto na SEO, as</w:t>
      </w:r>
      <w:r w:rsidR="002B7F1D" w:rsidRPr="008A56B5">
        <w:rPr>
          <w:rFonts w:ascii="Times New Roman" w:hAnsi="Times New Roman" w:cs="Times New Roman"/>
          <w:sz w:val="24"/>
          <w:szCs w:val="24"/>
        </w:rPr>
        <w:t xml:space="preserve"> empresas podem fazer dois tipos de emissões: oferta primária e/ou secundária. Ao fazer uma oferta primária de ações, o recurso levantado pela</w:t>
      </w:r>
      <w:r w:rsidRPr="008A56B5">
        <w:rPr>
          <w:rFonts w:ascii="Times New Roman" w:hAnsi="Times New Roman" w:cs="Times New Roman"/>
          <w:sz w:val="24"/>
          <w:szCs w:val="24"/>
        </w:rPr>
        <w:t>s</w:t>
      </w:r>
      <w:r w:rsidR="002B7F1D" w:rsidRPr="008A56B5">
        <w:rPr>
          <w:rFonts w:ascii="Times New Roman" w:hAnsi="Times New Roman" w:cs="Times New Roman"/>
          <w:sz w:val="24"/>
          <w:szCs w:val="24"/>
        </w:rPr>
        <w:t xml:space="preserve"> empresa</w:t>
      </w:r>
      <w:r w:rsidRPr="008A56B5">
        <w:rPr>
          <w:rFonts w:ascii="Times New Roman" w:hAnsi="Times New Roman" w:cs="Times New Roman"/>
          <w:sz w:val="24"/>
          <w:szCs w:val="24"/>
        </w:rPr>
        <w:t>s</w:t>
      </w:r>
      <w:r w:rsidR="002B7F1D" w:rsidRPr="008A56B5">
        <w:rPr>
          <w:rFonts w:ascii="Times New Roman" w:hAnsi="Times New Roman" w:cs="Times New Roman"/>
          <w:sz w:val="24"/>
          <w:szCs w:val="24"/>
        </w:rPr>
        <w:t xml:space="preserve"> pode ser usado para financiar investimentos. Por outro lado, na oferta secundária, as ações são detidas por </w:t>
      </w:r>
      <w:proofErr w:type="spellStart"/>
      <w:r w:rsidR="002B7F1D" w:rsidRPr="006D59DC">
        <w:rPr>
          <w:rFonts w:ascii="Times New Roman" w:hAnsi="Times New Roman" w:cs="Times New Roman"/>
          <w:i/>
          <w:sz w:val="24"/>
          <w:szCs w:val="24"/>
        </w:rPr>
        <w:t>insiders</w:t>
      </w:r>
      <w:proofErr w:type="spellEnd"/>
      <w:r w:rsidR="002B7F1D" w:rsidRPr="008A56B5">
        <w:rPr>
          <w:rFonts w:ascii="Times New Roman" w:hAnsi="Times New Roman" w:cs="Times New Roman"/>
          <w:sz w:val="24"/>
          <w:szCs w:val="24"/>
        </w:rPr>
        <w:t xml:space="preserve">, em que, quando essas ações são vendidas, o recurso levantado não vai para o financiamento da empresa, mas sim dos </w:t>
      </w:r>
      <w:proofErr w:type="spellStart"/>
      <w:r w:rsidR="002B7F1D" w:rsidRPr="003520A1">
        <w:rPr>
          <w:rFonts w:ascii="Times New Roman" w:hAnsi="Times New Roman" w:cs="Times New Roman"/>
          <w:i/>
          <w:sz w:val="24"/>
          <w:szCs w:val="24"/>
        </w:rPr>
        <w:t>insiders</w:t>
      </w:r>
      <w:proofErr w:type="spellEnd"/>
      <w:r w:rsidR="002B7F1D" w:rsidRPr="008A56B5">
        <w:rPr>
          <w:rFonts w:ascii="Times New Roman" w:hAnsi="Times New Roman" w:cs="Times New Roman"/>
          <w:sz w:val="24"/>
          <w:szCs w:val="24"/>
        </w:rPr>
        <w:t xml:space="preserve"> (</w:t>
      </w:r>
      <w:r w:rsidR="006E410C" w:rsidRPr="008A56B5">
        <w:rPr>
          <w:rFonts w:ascii="Times New Roman" w:hAnsi="Times New Roman" w:cs="Times New Roman"/>
          <w:sz w:val="24"/>
          <w:szCs w:val="24"/>
        </w:rPr>
        <w:t>KIM</w:t>
      </w:r>
      <w:r w:rsidR="006E410C">
        <w:rPr>
          <w:rFonts w:ascii="Times New Roman" w:hAnsi="Times New Roman" w:cs="Times New Roman"/>
          <w:sz w:val="24"/>
          <w:szCs w:val="24"/>
        </w:rPr>
        <w:t xml:space="preserve">; </w:t>
      </w:r>
      <w:r w:rsidR="006E410C" w:rsidRPr="008A56B5">
        <w:rPr>
          <w:rFonts w:ascii="Times New Roman" w:hAnsi="Times New Roman" w:cs="Times New Roman"/>
          <w:sz w:val="24"/>
          <w:szCs w:val="24"/>
        </w:rPr>
        <w:t xml:space="preserve">WEISBACH, </w:t>
      </w:r>
      <w:r w:rsidR="002B7F1D" w:rsidRPr="008A56B5">
        <w:rPr>
          <w:rFonts w:ascii="Times New Roman" w:hAnsi="Times New Roman" w:cs="Times New Roman"/>
          <w:sz w:val="24"/>
          <w:szCs w:val="24"/>
        </w:rPr>
        <w:t>2008).</w:t>
      </w:r>
    </w:p>
    <w:p w14:paraId="7343A862" w14:textId="1B6C03B5" w:rsidR="0097008F" w:rsidRPr="008A56B5" w:rsidRDefault="0097008F" w:rsidP="00157D3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Pr="0003518B">
        <w:rPr>
          <w:rFonts w:ascii="Times New Roman" w:hAnsi="Times New Roman" w:cs="Times New Roman"/>
          <w:sz w:val="24"/>
          <w:szCs w:val="24"/>
        </w:rPr>
        <w:t xml:space="preserve"> oferta de ações é motivada por três razõ</w:t>
      </w:r>
      <w:r>
        <w:rPr>
          <w:rFonts w:ascii="Times New Roman" w:hAnsi="Times New Roman" w:cs="Times New Roman"/>
          <w:sz w:val="24"/>
          <w:szCs w:val="24"/>
        </w:rPr>
        <w:t xml:space="preserve">es não mutuamente excludentes: </w:t>
      </w:r>
      <w:r w:rsidRPr="0003518B">
        <w:rPr>
          <w:rFonts w:ascii="Times New Roman" w:hAnsi="Times New Roman" w:cs="Times New Roman"/>
          <w:sz w:val="24"/>
          <w:szCs w:val="24"/>
        </w:rPr>
        <w:t>para financiar investimentos, para transferir riqueza dos novos acionistas para os acionistas existen</w:t>
      </w:r>
      <w:r>
        <w:rPr>
          <w:rFonts w:ascii="Times New Roman" w:hAnsi="Times New Roman" w:cs="Times New Roman"/>
          <w:sz w:val="24"/>
          <w:szCs w:val="24"/>
        </w:rPr>
        <w:t xml:space="preserve">tes e para aumentar a liquidez </w:t>
      </w:r>
      <w:r w:rsidRPr="0003518B">
        <w:rPr>
          <w:rFonts w:ascii="Times New Roman" w:hAnsi="Times New Roman" w:cs="Times New Roman"/>
          <w:sz w:val="24"/>
          <w:szCs w:val="24"/>
        </w:rPr>
        <w:t xml:space="preserve">tanto dos </w:t>
      </w:r>
      <w:proofErr w:type="spellStart"/>
      <w:r w:rsidRPr="0003518B">
        <w:rPr>
          <w:rFonts w:ascii="Times New Roman" w:hAnsi="Times New Roman" w:cs="Times New Roman"/>
          <w:i/>
          <w:sz w:val="24"/>
          <w:szCs w:val="24"/>
        </w:rPr>
        <w:t>insiders</w:t>
      </w:r>
      <w:proofErr w:type="spellEnd"/>
      <w:r w:rsidRPr="0003518B">
        <w:rPr>
          <w:rFonts w:ascii="Times New Roman" w:hAnsi="Times New Roman" w:cs="Times New Roman"/>
          <w:i/>
          <w:sz w:val="24"/>
          <w:szCs w:val="24"/>
        </w:rPr>
        <w:t xml:space="preserve"> </w:t>
      </w:r>
      <w:r>
        <w:rPr>
          <w:rFonts w:ascii="Times New Roman" w:hAnsi="Times New Roman" w:cs="Times New Roman"/>
          <w:sz w:val="24"/>
          <w:szCs w:val="24"/>
        </w:rPr>
        <w:t>quanto da empresa (</w:t>
      </w:r>
      <w:r w:rsidR="006E410C" w:rsidRPr="008A56B5">
        <w:rPr>
          <w:rFonts w:ascii="Times New Roman" w:hAnsi="Times New Roman" w:cs="Times New Roman"/>
          <w:sz w:val="24"/>
          <w:szCs w:val="24"/>
        </w:rPr>
        <w:t>KIM</w:t>
      </w:r>
      <w:r w:rsidR="006E410C">
        <w:rPr>
          <w:rFonts w:ascii="Times New Roman" w:hAnsi="Times New Roman" w:cs="Times New Roman"/>
          <w:sz w:val="24"/>
          <w:szCs w:val="24"/>
        </w:rPr>
        <w:t>; WEISBACH</w:t>
      </w:r>
      <w:r>
        <w:rPr>
          <w:rFonts w:ascii="Times New Roman" w:hAnsi="Times New Roman" w:cs="Times New Roman"/>
          <w:sz w:val="24"/>
          <w:szCs w:val="24"/>
        </w:rPr>
        <w:t xml:space="preserve">, </w:t>
      </w:r>
      <w:r w:rsidRPr="0003518B">
        <w:rPr>
          <w:rFonts w:ascii="Times New Roman" w:hAnsi="Times New Roman" w:cs="Times New Roman"/>
          <w:sz w:val="24"/>
          <w:szCs w:val="24"/>
        </w:rPr>
        <w:t xml:space="preserve">2008). Após analisar as ofertas públicas de 38 países, </w:t>
      </w:r>
      <w:r w:rsidR="008A7D6B">
        <w:rPr>
          <w:rFonts w:ascii="Times New Roman" w:hAnsi="Times New Roman" w:cs="Times New Roman"/>
          <w:sz w:val="24"/>
          <w:szCs w:val="24"/>
        </w:rPr>
        <w:t xml:space="preserve">Kim e </w:t>
      </w:r>
      <w:proofErr w:type="spellStart"/>
      <w:r w:rsidR="008A7D6B">
        <w:rPr>
          <w:rFonts w:ascii="Times New Roman" w:hAnsi="Times New Roman" w:cs="Times New Roman"/>
          <w:sz w:val="24"/>
          <w:szCs w:val="24"/>
        </w:rPr>
        <w:t>W</w:t>
      </w:r>
      <w:r w:rsidR="000259C3">
        <w:rPr>
          <w:rFonts w:ascii="Times New Roman" w:hAnsi="Times New Roman" w:cs="Times New Roman"/>
          <w:sz w:val="24"/>
          <w:szCs w:val="24"/>
        </w:rPr>
        <w:t>e</w:t>
      </w:r>
      <w:r w:rsidR="008A7D6B">
        <w:rPr>
          <w:rFonts w:ascii="Times New Roman" w:hAnsi="Times New Roman" w:cs="Times New Roman"/>
          <w:sz w:val="24"/>
          <w:szCs w:val="24"/>
        </w:rPr>
        <w:t>isbach</w:t>
      </w:r>
      <w:proofErr w:type="spellEnd"/>
      <w:r w:rsidR="008A7D6B">
        <w:rPr>
          <w:rFonts w:ascii="Times New Roman" w:hAnsi="Times New Roman" w:cs="Times New Roman"/>
          <w:sz w:val="24"/>
          <w:szCs w:val="24"/>
        </w:rPr>
        <w:t xml:space="preserve"> (2008)</w:t>
      </w:r>
      <w:r w:rsidRPr="0003518B">
        <w:rPr>
          <w:rFonts w:ascii="Times New Roman" w:hAnsi="Times New Roman" w:cs="Times New Roman"/>
          <w:sz w:val="24"/>
          <w:szCs w:val="24"/>
        </w:rPr>
        <w:t xml:space="preserve"> concluíram que os recursos captados por meio de oferta pública de ações são utilizados para aumentar os gastos com investimento em pesquisa e desenvolvimento, </w:t>
      </w:r>
      <w:r w:rsidR="00F00415">
        <w:rPr>
          <w:rFonts w:ascii="Times New Roman" w:hAnsi="Times New Roman" w:cs="Times New Roman"/>
          <w:sz w:val="24"/>
          <w:szCs w:val="24"/>
        </w:rPr>
        <w:t>bem como</w:t>
      </w:r>
      <w:r w:rsidRPr="0003518B">
        <w:rPr>
          <w:rFonts w:ascii="Times New Roman" w:hAnsi="Times New Roman" w:cs="Times New Roman"/>
          <w:sz w:val="24"/>
          <w:szCs w:val="24"/>
        </w:rPr>
        <w:t xml:space="preserve"> para investir na </w:t>
      </w:r>
      <w:r w:rsidR="00F00415">
        <w:rPr>
          <w:rFonts w:ascii="Times New Roman" w:hAnsi="Times New Roman" w:cs="Times New Roman"/>
          <w:sz w:val="24"/>
          <w:szCs w:val="24"/>
        </w:rPr>
        <w:t>expansão da empresa.</w:t>
      </w:r>
    </w:p>
    <w:p w14:paraId="788E1511" w14:textId="7D09CCDF" w:rsidR="009404AE" w:rsidRPr="008A56B5" w:rsidRDefault="00D70127" w:rsidP="00157D35">
      <w:pPr>
        <w:autoSpaceDE w:val="0"/>
        <w:autoSpaceDN w:val="0"/>
        <w:adjustRightInd w:val="0"/>
        <w:spacing w:after="0" w:line="240" w:lineRule="auto"/>
        <w:ind w:firstLine="709"/>
        <w:jc w:val="both"/>
        <w:rPr>
          <w:rFonts w:ascii="Times New Roman" w:hAnsi="Times New Roman" w:cs="Times New Roman"/>
          <w:sz w:val="24"/>
          <w:szCs w:val="24"/>
        </w:rPr>
      </w:pPr>
      <w:r w:rsidRPr="008A56B5">
        <w:rPr>
          <w:rFonts w:ascii="Times New Roman" w:hAnsi="Times New Roman" w:cs="Times New Roman"/>
          <w:sz w:val="24"/>
          <w:szCs w:val="24"/>
        </w:rPr>
        <w:t xml:space="preserve">Pela teoria </w:t>
      </w:r>
      <w:proofErr w:type="spellStart"/>
      <w:r w:rsidRPr="0097008F">
        <w:rPr>
          <w:rFonts w:ascii="Times New Roman" w:hAnsi="Times New Roman" w:cs="Times New Roman"/>
          <w:i/>
          <w:sz w:val="24"/>
          <w:szCs w:val="24"/>
        </w:rPr>
        <w:t>tradeoff</w:t>
      </w:r>
      <w:proofErr w:type="spellEnd"/>
      <w:r w:rsidRPr="008A56B5">
        <w:rPr>
          <w:rFonts w:ascii="Times New Roman" w:hAnsi="Times New Roman" w:cs="Times New Roman"/>
          <w:sz w:val="24"/>
          <w:szCs w:val="24"/>
        </w:rPr>
        <w:t xml:space="preserve">, as empresas emitem ações quando o seu índice de alavancagem for superior à taxa estimada. Já pela teoria </w:t>
      </w:r>
      <w:proofErr w:type="spellStart"/>
      <w:r w:rsidRPr="0097008F">
        <w:rPr>
          <w:rFonts w:ascii="Times New Roman" w:hAnsi="Times New Roman" w:cs="Times New Roman"/>
          <w:i/>
          <w:sz w:val="24"/>
          <w:szCs w:val="24"/>
        </w:rPr>
        <w:t>pecking</w:t>
      </w:r>
      <w:proofErr w:type="spellEnd"/>
      <w:r w:rsidRPr="0097008F">
        <w:rPr>
          <w:rFonts w:ascii="Times New Roman" w:hAnsi="Times New Roman" w:cs="Times New Roman"/>
          <w:i/>
          <w:sz w:val="24"/>
          <w:szCs w:val="24"/>
        </w:rPr>
        <w:t xml:space="preserve"> </w:t>
      </w:r>
      <w:proofErr w:type="spellStart"/>
      <w:r w:rsidRPr="0097008F">
        <w:rPr>
          <w:rFonts w:ascii="Times New Roman" w:hAnsi="Times New Roman" w:cs="Times New Roman"/>
          <w:i/>
          <w:sz w:val="24"/>
          <w:szCs w:val="24"/>
        </w:rPr>
        <w:t>order</w:t>
      </w:r>
      <w:proofErr w:type="spellEnd"/>
      <w:r w:rsidRPr="008A56B5">
        <w:rPr>
          <w:rFonts w:ascii="Times New Roman" w:hAnsi="Times New Roman" w:cs="Times New Roman"/>
          <w:sz w:val="24"/>
          <w:szCs w:val="24"/>
        </w:rPr>
        <w:t xml:space="preserve">, </w:t>
      </w:r>
      <w:r w:rsidR="0045607E" w:rsidRPr="008A56B5">
        <w:rPr>
          <w:rFonts w:ascii="Times New Roman" w:hAnsi="Times New Roman" w:cs="Times New Roman"/>
          <w:sz w:val="24"/>
          <w:szCs w:val="24"/>
        </w:rPr>
        <w:t>quando as ofertas de capital ocorrerem, o capital será usado para financiar investimentos como última fonte de financiamento, após a sua capacidade de endividamento ter sido esgotada.</w:t>
      </w:r>
      <w:r w:rsidR="00BE7672" w:rsidRPr="008A56B5">
        <w:rPr>
          <w:rFonts w:ascii="Times New Roman" w:hAnsi="Times New Roman" w:cs="Times New Roman"/>
          <w:sz w:val="24"/>
          <w:szCs w:val="24"/>
        </w:rPr>
        <w:t xml:space="preserve"> </w:t>
      </w:r>
      <w:r w:rsidRPr="008A56B5">
        <w:rPr>
          <w:rFonts w:ascii="Times New Roman" w:hAnsi="Times New Roman" w:cs="Times New Roman"/>
          <w:sz w:val="24"/>
          <w:szCs w:val="24"/>
        </w:rPr>
        <w:t xml:space="preserve">Em contraste, pela teoria </w:t>
      </w:r>
      <w:proofErr w:type="spellStart"/>
      <w:r w:rsidRPr="0097008F">
        <w:rPr>
          <w:rFonts w:ascii="Times New Roman" w:hAnsi="Times New Roman" w:cs="Times New Roman"/>
          <w:i/>
          <w:sz w:val="24"/>
          <w:szCs w:val="24"/>
        </w:rPr>
        <w:t>market</w:t>
      </w:r>
      <w:proofErr w:type="spellEnd"/>
      <w:r w:rsidRPr="0097008F">
        <w:rPr>
          <w:rFonts w:ascii="Times New Roman" w:hAnsi="Times New Roman" w:cs="Times New Roman"/>
          <w:i/>
          <w:sz w:val="24"/>
          <w:szCs w:val="24"/>
        </w:rPr>
        <w:t xml:space="preserve"> timing</w:t>
      </w:r>
      <w:r w:rsidRPr="008A56B5">
        <w:rPr>
          <w:rFonts w:ascii="Times New Roman" w:hAnsi="Times New Roman" w:cs="Times New Roman"/>
          <w:sz w:val="24"/>
          <w:szCs w:val="24"/>
        </w:rPr>
        <w:t>, as empresas emitirão ações no momento em que os preços delas estiverem elevados</w:t>
      </w:r>
      <w:r w:rsidR="00CA457E" w:rsidRPr="008A56B5">
        <w:rPr>
          <w:rFonts w:ascii="Times New Roman" w:hAnsi="Times New Roman" w:cs="Times New Roman"/>
          <w:sz w:val="24"/>
          <w:szCs w:val="24"/>
        </w:rPr>
        <w:t>,</w:t>
      </w:r>
      <w:r w:rsidRPr="008A56B5">
        <w:rPr>
          <w:rFonts w:ascii="Times New Roman" w:hAnsi="Times New Roman" w:cs="Times New Roman"/>
          <w:sz w:val="24"/>
          <w:szCs w:val="24"/>
        </w:rPr>
        <w:t xml:space="preserve"> com o intuito de tirar proveito dessa situação, </w:t>
      </w:r>
      <w:r w:rsidR="00CA457E" w:rsidRPr="008A56B5">
        <w:rPr>
          <w:rFonts w:ascii="Times New Roman" w:hAnsi="Times New Roman" w:cs="Times New Roman"/>
          <w:sz w:val="24"/>
          <w:szCs w:val="24"/>
        </w:rPr>
        <w:t>adotando</w:t>
      </w:r>
      <w:r w:rsidR="00D66CE6" w:rsidRPr="008A56B5">
        <w:rPr>
          <w:rFonts w:ascii="Times New Roman" w:hAnsi="Times New Roman" w:cs="Times New Roman"/>
          <w:sz w:val="24"/>
          <w:szCs w:val="24"/>
        </w:rPr>
        <w:t xml:space="preserve"> um comportamento oportunista</w:t>
      </w:r>
      <w:r w:rsidR="009404AE" w:rsidRPr="009404AE">
        <w:rPr>
          <w:rFonts w:ascii="Times New Roman" w:hAnsi="Times New Roman" w:cs="Times New Roman"/>
          <w:sz w:val="24"/>
          <w:szCs w:val="24"/>
        </w:rPr>
        <w:t xml:space="preserve"> </w:t>
      </w:r>
      <w:r w:rsidR="009404AE">
        <w:rPr>
          <w:rFonts w:ascii="Times New Roman" w:hAnsi="Times New Roman" w:cs="Times New Roman"/>
          <w:sz w:val="24"/>
          <w:szCs w:val="24"/>
        </w:rPr>
        <w:t>(</w:t>
      </w:r>
      <w:r w:rsidR="006E410C" w:rsidRPr="008A56B5">
        <w:rPr>
          <w:rFonts w:ascii="Times New Roman" w:hAnsi="Times New Roman" w:cs="Times New Roman"/>
          <w:sz w:val="24"/>
          <w:szCs w:val="24"/>
        </w:rPr>
        <w:t>KIM</w:t>
      </w:r>
      <w:r w:rsidR="006E410C">
        <w:rPr>
          <w:rFonts w:ascii="Times New Roman" w:hAnsi="Times New Roman" w:cs="Times New Roman"/>
          <w:sz w:val="24"/>
          <w:szCs w:val="24"/>
        </w:rPr>
        <w:t>; WEISBACH</w:t>
      </w:r>
      <w:r w:rsidR="009404AE">
        <w:rPr>
          <w:rFonts w:ascii="Times New Roman" w:hAnsi="Times New Roman" w:cs="Times New Roman"/>
          <w:sz w:val="24"/>
          <w:szCs w:val="24"/>
        </w:rPr>
        <w:t xml:space="preserve">, </w:t>
      </w:r>
      <w:r w:rsidR="009404AE" w:rsidRPr="0003518B">
        <w:rPr>
          <w:rFonts w:ascii="Times New Roman" w:hAnsi="Times New Roman" w:cs="Times New Roman"/>
          <w:sz w:val="24"/>
          <w:szCs w:val="24"/>
        </w:rPr>
        <w:t>2008).</w:t>
      </w:r>
    </w:p>
    <w:p w14:paraId="3ABD2B98" w14:textId="71D60A95" w:rsidR="00D66CE6" w:rsidRDefault="00D66CE6" w:rsidP="00157D35">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8A56B5">
        <w:rPr>
          <w:rFonts w:ascii="Times New Roman" w:hAnsi="Times New Roman" w:cs="Times New Roman"/>
          <w:sz w:val="24"/>
          <w:szCs w:val="24"/>
        </w:rPr>
        <w:t>Dittmar</w:t>
      </w:r>
      <w:proofErr w:type="spellEnd"/>
      <w:r w:rsidRPr="008A56B5">
        <w:rPr>
          <w:rFonts w:ascii="Times New Roman" w:hAnsi="Times New Roman" w:cs="Times New Roman"/>
          <w:sz w:val="24"/>
          <w:szCs w:val="24"/>
        </w:rPr>
        <w:t xml:space="preserve"> e </w:t>
      </w:r>
      <w:proofErr w:type="spellStart"/>
      <w:r w:rsidRPr="008A56B5">
        <w:rPr>
          <w:rFonts w:ascii="Times New Roman" w:hAnsi="Times New Roman" w:cs="Times New Roman"/>
          <w:sz w:val="24"/>
          <w:szCs w:val="24"/>
        </w:rPr>
        <w:t>Thakor</w:t>
      </w:r>
      <w:proofErr w:type="spellEnd"/>
      <w:r w:rsidRPr="008A56B5">
        <w:rPr>
          <w:rFonts w:ascii="Times New Roman" w:hAnsi="Times New Roman" w:cs="Times New Roman"/>
          <w:sz w:val="24"/>
          <w:szCs w:val="24"/>
        </w:rPr>
        <w:t xml:space="preserve"> (2007) oferecem uma teoria alternativa sobre emissão de capital, partindo da ideia de que a decisão de emissão </w:t>
      </w:r>
      <w:r w:rsidR="00222A59" w:rsidRPr="008A56B5">
        <w:rPr>
          <w:rFonts w:ascii="Times New Roman" w:hAnsi="Times New Roman" w:cs="Times New Roman"/>
          <w:sz w:val="24"/>
          <w:szCs w:val="24"/>
        </w:rPr>
        <w:t xml:space="preserve">de </w:t>
      </w:r>
      <w:r w:rsidR="000345E1" w:rsidRPr="008A56B5">
        <w:rPr>
          <w:rFonts w:ascii="Times New Roman" w:hAnsi="Times New Roman" w:cs="Times New Roman"/>
          <w:sz w:val="24"/>
          <w:szCs w:val="24"/>
        </w:rPr>
        <w:t xml:space="preserve">ação </w:t>
      </w:r>
      <w:r w:rsidRPr="008A56B5">
        <w:rPr>
          <w:rFonts w:ascii="Times New Roman" w:hAnsi="Times New Roman" w:cs="Times New Roman"/>
          <w:sz w:val="24"/>
          <w:szCs w:val="24"/>
        </w:rPr>
        <w:t>depende de como essa decisão vai afetar a escolha de investimento da empresa e como essa escolha, por sua vez, afetará o preço das ações da empresa pós-investimento. A visão alternativa proposta pelos a</w:t>
      </w:r>
      <w:r w:rsidR="00A04AD8" w:rsidRPr="008A56B5">
        <w:rPr>
          <w:rFonts w:ascii="Times New Roman" w:hAnsi="Times New Roman" w:cs="Times New Roman"/>
          <w:sz w:val="24"/>
          <w:szCs w:val="24"/>
        </w:rPr>
        <w:t>utores prevê que uma empresa irá</w:t>
      </w:r>
      <w:r w:rsidRPr="008A56B5">
        <w:rPr>
          <w:rFonts w:ascii="Times New Roman" w:hAnsi="Times New Roman" w:cs="Times New Roman"/>
          <w:sz w:val="24"/>
          <w:szCs w:val="24"/>
        </w:rPr>
        <w:t xml:space="preserve"> emitir a</w:t>
      </w:r>
      <w:r w:rsidR="00A04AD8" w:rsidRPr="008A56B5">
        <w:rPr>
          <w:rFonts w:ascii="Times New Roman" w:hAnsi="Times New Roman" w:cs="Times New Roman"/>
          <w:sz w:val="24"/>
          <w:szCs w:val="24"/>
        </w:rPr>
        <w:t>ções, quando o preço das ações for</w:t>
      </w:r>
      <w:r w:rsidRPr="008A56B5">
        <w:rPr>
          <w:rFonts w:ascii="Times New Roman" w:hAnsi="Times New Roman" w:cs="Times New Roman"/>
          <w:sz w:val="24"/>
          <w:szCs w:val="24"/>
        </w:rPr>
        <w:t xml:space="preserve"> alto, porque é quando os investidores têm uma alta propensão a concordar com as decisões gerenciais. Tal aprovação antecipada dos acionistas das decisões corporativas é, portanto, um </w:t>
      </w:r>
      <w:r w:rsidR="0055425A">
        <w:rPr>
          <w:rFonts w:ascii="Times New Roman" w:hAnsi="Times New Roman" w:cs="Times New Roman"/>
          <w:sz w:val="24"/>
          <w:szCs w:val="24"/>
        </w:rPr>
        <w:t xml:space="preserve">dos </w:t>
      </w:r>
      <w:r w:rsidRPr="008A56B5">
        <w:rPr>
          <w:rFonts w:ascii="Times New Roman" w:hAnsi="Times New Roman" w:cs="Times New Roman"/>
          <w:sz w:val="24"/>
          <w:szCs w:val="24"/>
        </w:rPr>
        <w:t>fator</w:t>
      </w:r>
      <w:r w:rsidR="0055425A">
        <w:rPr>
          <w:rFonts w:ascii="Times New Roman" w:hAnsi="Times New Roman" w:cs="Times New Roman"/>
          <w:sz w:val="24"/>
          <w:szCs w:val="24"/>
        </w:rPr>
        <w:t>es</w:t>
      </w:r>
      <w:r w:rsidRPr="008A56B5">
        <w:rPr>
          <w:rFonts w:ascii="Times New Roman" w:hAnsi="Times New Roman" w:cs="Times New Roman"/>
          <w:sz w:val="24"/>
          <w:szCs w:val="24"/>
        </w:rPr>
        <w:t xml:space="preserve"> para o momento da emissão de ações.</w:t>
      </w:r>
    </w:p>
    <w:p w14:paraId="3614F6DE" w14:textId="01F7ABF7" w:rsidR="001823A5" w:rsidRPr="008A56B5" w:rsidRDefault="001823A5" w:rsidP="00157D35">
      <w:pPr>
        <w:autoSpaceDE w:val="0"/>
        <w:autoSpaceDN w:val="0"/>
        <w:adjustRightInd w:val="0"/>
        <w:spacing w:after="0" w:line="240" w:lineRule="auto"/>
        <w:ind w:firstLine="709"/>
        <w:jc w:val="both"/>
        <w:rPr>
          <w:rFonts w:ascii="Times New Roman" w:hAnsi="Times New Roman" w:cs="Times New Roman"/>
          <w:sz w:val="24"/>
          <w:szCs w:val="24"/>
        </w:rPr>
      </w:pPr>
      <w:r w:rsidRPr="0003518B">
        <w:rPr>
          <w:rFonts w:ascii="Times New Roman" w:hAnsi="Times New Roman" w:cs="Times New Roman"/>
          <w:sz w:val="24"/>
          <w:szCs w:val="24"/>
        </w:rPr>
        <w:t>No Brasil, as emissões de ações geralmente ocorrem quando as empresas são ma</w:t>
      </w:r>
      <w:r>
        <w:rPr>
          <w:rFonts w:ascii="Times New Roman" w:hAnsi="Times New Roman" w:cs="Times New Roman"/>
          <w:sz w:val="24"/>
          <w:szCs w:val="24"/>
        </w:rPr>
        <w:t>d</w:t>
      </w:r>
      <w:r w:rsidRPr="0003518B">
        <w:rPr>
          <w:rFonts w:ascii="Times New Roman" w:hAnsi="Times New Roman" w:cs="Times New Roman"/>
          <w:sz w:val="24"/>
          <w:szCs w:val="24"/>
        </w:rPr>
        <w:t>uras e possuem alta e suficiente geração de caixa para a manutenção de suas operações (B</w:t>
      </w:r>
      <w:r>
        <w:rPr>
          <w:rFonts w:ascii="Times New Roman" w:hAnsi="Times New Roman" w:cs="Times New Roman"/>
          <w:sz w:val="24"/>
          <w:szCs w:val="24"/>
        </w:rPr>
        <w:t>3</w:t>
      </w:r>
      <w:r w:rsidRPr="00D73757">
        <w:rPr>
          <w:rFonts w:ascii="Times New Roman" w:hAnsi="Times New Roman" w:cs="Times New Roman"/>
          <w:sz w:val="24"/>
          <w:szCs w:val="24"/>
        </w:rPr>
        <w:t>, 2011). Ademais, a falta de transparência por parte das empresas, o alto custo de manutenção das companhias abertas e a perda da confidencialidade dos dados financeiros eram fatores que dificultavam que mais empresas abrissem capital no Brasil antes dos anos 2000 (</w:t>
      </w:r>
      <w:r w:rsidR="006E410C" w:rsidRPr="00D73757">
        <w:rPr>
          <w:rFonts w:ascii="Times New Roman" w:hAnsi="Times New Roman" w:cs="Times New Roman"/>
          <w:sz w:val="24"/>
          <w:szCs w:val="24"/>
        </w:rPr>
        <w:t xml:space="preserve">RIBEIRO </w:t>
      </w:r>
      <w:r w:rsidR="006E410C" w:rsidRPr="00D73757">
        <w:rPr>
          <w:rFonts w:ascii="Times New Roman" w:hAnsi="Times New Roman" w:cs="Times New Roman"/>
          <w:sz w:val="24"/>
          <w:szCs w:val="24"/>
        </w:rPr>
        <w:lastRenderedPageBreak/>
        <w:t>NETO</w:t>
      </w:r>
      <w:r w:rsidR="006E410C">
        <w:rPr>
          <w:rFonts w:ascii="Times New Roman" w:hAnsi="Times New Roman" w:cs="Times New Roman"/>
          <w:sz w:val="24"/>
          <w:szCs w:val="24"/>
        </w:rPr>
        <w:t xml:space="preserve">; </w:t>
      </w:r>
      <w:r w:rsidR="006E410C" w:rsidRPr="00D73757">
        <w:rPr>
          <w:rFonts w:ascii="Times New Roman" w:hAnsi="Times New Roman" w:cs="Times New Roman"/>
          <w:sz w:val="24"/>
          <w:szCs w:val="24"/>
        </w:rPr>
        <w:t>FAMA, 2002)</w:t>
      </w:r>
      <w:r w:rsidRPr="00D73757">
        <w:rPr>
          <w:rFonts w:ascii="Times New Roman" w:hAnsi="Times New Roman" w:cs="Times New Roman"/>
          <w:sz w:val="24"/>
          <w:szCs w:val="24"/>
        </w:rPr>
        <w:t>. Para solucionar esses problemas e promover o desenvolvimento do mercado de capitais nacional, a</w:t>
      </w:r>
      <w:r>
        <w:rPr>
          <w:rFonts w:ascii="Times New Roman" w:hAnsi="Times New Roman" w:cs="Times New Roman"/>
          <w:sz w:val="24"/>
          <w:szCs w:val="24"/>
        </w:rPr>
        <w:t xml:space="preserve"> antiga</w:t>
      </w:r>
      <w:r w:rsidRPr="0003518B">
        <w:rPr>
          <w:rFonts w:ascii="Times New Roman" w:hAnsi="Times New Roman" w:cs="Times New Roman"/>
          <w:sz w:val="24"/>
          <w:szCs w:val="24"/>
        </w:rPr>
        <w:t xml:space="preserve"> </w:t>
      </w:r>
      <w:proofErr w:type="spellStart"/>
      <w:r w:rsidRPr="0003518B">
        <w:rPr>
          <w:rFonts w:ascii="Times New Roman" w:hAnsi="Times New Roman" w:cs="Times New Roman"/>
          <w:sz w:val="24"/>
          <w:szCs w:val="24"/>
        </w:rPr>
        <w:t>BM&amp;FBovespa</w:t>
      </w:r>
      <w:proofErr w:type="spellEnd"/>
      <w:r>
        <w:rPr>
          <w:rFonts w:ascii="Times New Roman" w:hAnsi="Times New Roman" w:cs="Times New Roman"/>
          <w:sz w:val="24"/>
          <w:szCs w:val="24"/>
        </w:rPr>
        <w:t xml:space="preserve"> (atualmente B3)</w:t>
      </w:r>
      <w:r w:rsidRPr="0003518B">
        <w:rPr>
          <w:rFonts w:ascii="Times New Roman" w:hAnsi="Times New Roman" w:cs="Times New Roman"/>
          <w:sz w:val="24"/>
          <w:szCs w:val="24"/>
        </w:rPr>
        <w:t xml:space="preserve"> lançou, em 2000, segmentos especiais de listagem de empresas</w:t>
      </w:r>
      <w:r w:rsidR="005D5EC7">
        <w:rPr>
          <w:rFonts w:ascii="Times New Roman" w:hAnsi="Times New Roman" w:cs="Times New Roman"/>
          <w:sz w:val="24"/>
          <w:szCs w:val="24"/>
        </w:rPr>
        <w:t>,</w:t>
      </w:r>
      <w:r w:rsidRPr="0003518B">
        <w:rPr>
          <w:rFonts w:ascii="Times New Roman" w:hAnsi="Times New Roman" w:cs="Times New Roman"/>
          <w:sz w:val="24"/>
          <w:szCs w:val="24"/>
        </w:rPr>
        <w:t xml:space="preserve"> com o objetivo de promover um ambiente de negociação que estimulasse tanto os interesses dos investidores quanto das companhias</w:t>
      </w:r>
      <w:r>
        <w:rPr>
          <w:rFonts w:ascii="Times New Roman" w:hAnsi="Times New Roman" w:cs="Times New Roman"/>
          <w:sz w:val="24"/>
          <w:szCs w:val="24"/>
        </w:rPr>
        <w:t>.</w:t>
      </w:r>
    </w:p>
    <w:p w14:paraId="063E3473" w14:textId="38EFE4AD" w:rsidR="004B0C6E" w:rsidRPr="008A56B5" w:rsidRDefault="004B0C6E" w:rsidP="00157D35">
      <w:pPr>
        <w:autoSpaceDE w:val="0"/>
        <w:autoSpaceDN w:val="0"/>
        <w:adjustRightInd w:val="0"/>
        <w:spacing w:after="0" w:line="240" w:lineRule="auto"/>
        <w:ind w:firstLine="709"/>
        <w:jc w:val="both"/>
        <w:rPr>
          <w:rFonts w:ascii="Times New Roman" w:hAnsi="Times New Roman" w:cs="Times New Roman"/>
          <w:sz w:val="24"/>
          <w:szCs w:val="24"/>
        </w:rPr>
      </w:pPr>
      <w:r w:rsidRPr="008A56B5">
        <w:rPr>
          <w:rFonts w:ascii="Times New Roman" w:hAnsi="Times New Roman" w:cs="Times New Roman"/>
          <w:sz w:val="24"/>
          <w:szCs w:val="24"/>
        </w:rPr>
        <w:t>As principais consequ</w:t>
      </w:r>
      <w:r w:rsidR="00A04AD8" w:rsidRPr="008A56B5">
        <w:rPr>
          <w:rFonts w:ascii="Times New Roman" w:hAnsi="Times New Roman" w:cs="Times New Roman"/>
          <w:sz w:val="24"/>
          <w:szCs w:val="24"/>
        </w:rPr>
        <w:t>ê</w:t>
      </w:r>
      <w:r w:rsidRPr="008A56B5">
        <w:rPr>
          <w:rFonts w:ascii="Times New Roman" w:hAnsi="Times New Roman" w:cs="Times New Roman"/>
          <w:sz w:val="24"/>
          <w:szCs w:val="24"/>
        </w:rPr>
        <w:t xml:space="preserve">ncias, documentadas na literatura, da oferta pública </w:t>
      </w:r>
      <w:proofErr w:type="spellStart"/>
      <w:r w:rsidRPr="008A56B5">
        <w:rPr>
          <w:rFonts w:ascii="Times New Roman" w:hAnsi="Times New Roman" w:cs="Times New Roman"/>
          <w:sz w:val="24"/>
          <w:szCs w:val="24"/>
        </w:rPr>
        <w:t>incial</w:t>
      </w:r>
      <w:proofErr w:type="spellEnd"/>
      <w:r w:rsidRPr="008A56B5">
        <w:rPr>
          <w:rFonts w:ascii="Times New Roman" w:hAnsi="Times New Roman" w:cs="Times New Roman"/>
          <w:sz w:val="24"/>
          <w:szCs w:val="24"/>
        </w:rPr>
        <w:t xml:space="preserve"> </w:t>
      </w:r>
      <w:r w:rsidR="00C90ADE" w:rsidRPr="008A56B5">
        <w:rPr>
          <w:rFonts w:ascii="Times New Roman" w:hAnsi="Times New Roman" w:cs="Times New Roman"/>
          <w:sz w:val="24"/>
          <w:szCs w:val="24"/>
        </w:rPr>
        <w:t xml:space="preserve">ou </w:t>
      </w:r>
      <w:r w:rsidR="008272A3" w:rsidRPr="008A56B5">
        <w:rPr>
          <w:rFonts w:ascii="Times New Roman" w:hAnsi="Times New Roman" w:cs="Times New Roman"/>
          <w:sz w:val="24"/>
          <w:szCs w:val="24"/>
        </w:rPr>
        <w:t xml:space="preserve">subsequente </w:t>
      </w:r>
      <w:r w:rsidRPr="008A56B5">
        <w:rPr>
          <w:rFonts w:ascii="Times New Roman" w:hAnsi="Times New Roman" w:cs="Times New Roman"/>
          <w:sz w:val="24"/>
          <w:szCs w:val="24"/>
        </w:rPr>
        <w:t xml:space="preserve">de ações são: </w:t>
      </w:r>
      <w:r w:rsidR="001D3F39" w:rsidRPr="008A56B5">
        <w:rPr>
          <w:rFonts w:ascii="Times New Roman" w:hAnsi="Times New Roman" w:cs="Times New Roman"/>
          <w:sz w:val="24"/>
          <w:szCs w:val="24"/>
        </w:rPr>
        <w:t>após o anúncio da oferta de ações, o preço das ações da empresa diminui (</w:t>
      </w:r>
      <w:r w:rsidR="006E410C" w:rsidRPr="008A56B5">
        <w:rPr>
          <w:rFonts w:ascii="Times New Roman" w:hAnsi="Times New Roman" w:cs="Times New Roman"/>
          <w:sz w:val="24"/>
          <w:szCs w:val="24"/>
        </w:rPr>
        <w:t>ASQUITH</w:t>
      </w:r>
      <w:r w:rsidR="006E410C">
        <w:rPr>
          <w:rFonts w:ascii="Times New Roman" w:hAnsi="Times New Roman" w:cs="Times New Roman"/>
          <w:sz w:val="24"/>
          <w:szCs w:val="24"/>
        </w:rPr>
        <w:t xml:space="preserve">; </w:t>
      </w:r>
      <w:r w:rsidR="006E410C" w:rsidRPr="008A56B5">
        <w:rPr>
          <w:rFonts w:ascii="Times New Roman" w:hAnsi="Times New Roman" w:cs="Times New Roman"/>
          <w:sz w:val="24"/>
          <w:szCs w:val="24"/>
        </w:rPr>
        <w:t>MULLINS</w:t>
      </w:r>
      <w:r w:rsidR="001D3F39" w:rsidRPr="008A56B5">
        <w:rPr>
          <w:rFonts w:ascii="Times New Roman" w:hAnsi="Times New Roman" w:cs="Times New Roman"/>
          <w:sz w:val="24"/>
          <w:szCs w:val="24"/>
        </w:rPr>
        <w:t xml:space="preserve">, 1986); </w:t>
      </w:r>
      <w:r w:rsidR="00210B9A" w:rsidRPr="008A56B5">
        <w:rPr>
          <w:rFonts w:ascii="Times New Roman" w:hAnsi="Times New Roman" w:cs="Times New Roman"/>
          <w:sz w:val="24"/>
          <w:szCs w:val="24"/>
        </w:rPr>
        <w:t xml:space="preserve">baixo desempenho no longo prazo das empresas que realizaram </w:t>
      </w:r>
      <w:proofErr w:type="spellStart"/>
      <w:r w:rsidR="00210B9A" w:rsidRPr="008A56B5">
        <w:rPr>
          <w:rFonts w:ascii="Times New Roman" w:hAnsi="Times New Roman" w:cs="Times New Roman"/>
          <w:sz w:val="24"/>
          <w:szCs w:val="24"/>
        </w:rPr>
        <w:t>SEO’s</w:t>
      </w:r>
      <w:proofErr w:type="spellEnd"/>
      <w:r w:rsidR="00210B9A" w:rsidRPr="008A56B5">
        <w:rPr>
          <w:rFonts w:ascii="Times New Roman" w:hAnsi="Times New Roman" w:cs="Times New Roman"/>
          <w:sz w:val="24"/>
          <w:szCs w:val="24"/>
        </w:rPr>
        <w:t xml:space="preserve"> </w:t>
      </w:r>
      <w:r w:rsidR="00960B4C" w:rsidRPr="008A56B5">
        <w:rPr>
          <w:rFonts w:ascii="Times New Roman" w:hAnsi="Times New Roman" w:cs="Times New Roman"/>
          <w:sz w:val="24"/>
          <w:szCs w:val="24"/>
        </w:rPr>
        <w:t>(</w:t>
      </w:r>
      <w:r w:rsidR="006E410C" w:rsidRPr="008A56B5">
        <w:rPr>
          <w:rFonts w:ascii="Times New Roman" w:hAnsi="Times New Roman" w:cs="Times New Roman"/>
          <w:sz w:val="24"/>
          <w:szCs w:val="24"/>
        </w:rPr>
        <w:t>SPIESS</w:t>
      </w:r>
      <w:r w:rsidR="006E410C">
        <w:rPr>
          <w:rFonts w:ascii="Times New Roman" w:hAnsi="Times New Roman" w:cs="Times New Roman"/>
          <w:sz w:val="24"/>
          <w:szCs w:val="24"/>
        </w:rPr>
        <w:t xml:space="preserve">; </w:t>
      </w:r>
      <w:r w:rsidR="006E410C" w:rsidRPr="008A56B5">
        <w:rPr>
          <w:rFonts w:ascii="Times New Roman" w:hAnsi="Times New Roman" w:cs="Times New Roman"/>
          <w:sz w:val="24"/>
          <w:szCs w:val="24"/>
        </w:rPr>
        <w:t>AFFLECK-GRAVES</w:t>
      </w:r>
      <w:r w:rsidR="00960B4C" w:rsidRPr="008A56B5">
        <w:rPr>
          <w:rFonts w:ascii="Times New Roman" w:hAnsi="Times New Roman" w:cs="Times New Roman"/>
          <w:sz w:val="24"/>
          <w:szCs w:val="24"/>
        </w:rPr>
        <w:t xml:space="preserve">, 1995); </w:t>
      </w:r>
      <w:r w:rsidR="009B5F6D" w:rsidRPr="008A56B5">
        <w:rPr>
          <w:rFonts w:ascii="Times New Roman" w:hAnsi="Times New Roman" w:cs="Times New Roman"/>
          <w:sz w:val="24"/>
          <w:szCs w:val="24"/>
        </w:rPr>
        <w:t>baixo desempenho operacional das empresas que fizeram pequenas emissões de SEO</w:t>
      </w:r>
      <w:r w:rsidRPr="008A56B5">
        <w:rPr>
          <w:rFonts w:ascii="Times New Roman" w:hAnsi="Times New Roman" w:cs="Times New Roman"/>
          <w:sz w:val="24"/>
          <w:szCs w:val="24"/>
        </w:rPr>
        <w:t xml:space="preserve"> </w:t>
      </w:r>
      <w:r w:rsidR="009B5F6D" w:rsidRPr="008A56B5">
        <w:rPr>
          <w:rFonts w:ascii="Times New Roman" w:hAnsi="Times New Roman" w:cs="Times New Roman"/>
          <w:sz w:val="24"/>
          <w:szCs w:val="24"/>
        </w:rPr>
        <w:t>(</w:t>
      </w:r>
      <w:r w:rsidR="006E410C" w:rsidRPr="008A56B5">
        <w:rPr>
          <w:rFonts w:ascii="Times New Roman" w:hAnsi="Times New Roman" w:cs="Times New Roman"/>
          <w:sz w:val="24"/>
          <w:szCs w:val="24"/>
        </w:rPr>
        <w:t>LOUGHRAN</w:t>
      </w:r>
      <w:r w:rsidR="006E410C">
        <w:rPr>
          <w:rFonts w:ascii="Times New Roman" w:hAnsi="Times New Roman" w:cs="Times New Roman"/>
          <w:sz w:val="24"/>
          <w:szCs w:val="24"/>
        </w:rPr>
        <w:t xml:space="preserve">; </w:t>
      </w:r>
      <w:r w:rsidR="006E410C" w:rsidRPr="008A56B5">
        <w:rPr>
          <w:rFonts w:ascii="Times New Roman" w:hAnsi="Times New Roman" w:cs="Times New Roman"/>
          <w:sz w:val="24"/>
          <w:szCs w:val="24"/>
        </w:rPr>
        <w:t>RITTER</w:t>
      </w:r>
      <w:r w:rsidR="00AF154C" w:rsidRPr="008A56B5">
        <w:rPr>
          <w:rFonts w:ascii="Times New Roman" w:hAnsi="Times New Roman" w:cs="Times New Roman"/>
          <w:sz w:val="24"/>
          <w:szCs w:val="24"/>
        </w:rPr>
        <w:t>, 1997)</w:t>
      </w:r>
      <w:r w:rsidR="0087044A" w:rsidRPr="008A56B5">
        <w:rPr>
          <w:rFonts w:ascii="Times New Roman" w:hAnsi="Times New Roman" w:cs="Times New Roman"/>
          <w:sz w:val="24"/>
          <w:szCs w:val="24"/>
        </w:rPr>
        <w:t>; baixo desempenho acionário</w:t>
      </w:r>
      <w:r w:rsidR="00247AA8" w:rsidRPr="008A56B5">
        <w:rPr>
          <w:rFonts w:ascii="Times New Roman" w:hAnsi="Times New Roman" w:cs="Times New Roman"/>
          <w:sz w:val="24"/>
          <w:szCs w:val="24"/>
        </w:rPr>
        <w:t>,</w:t>
      </w:r>
      <w:r w:rsidR="0087044A" w:rsidRPr="008A56B5">
        <w:rPr>
          <w:rFonts w:ascii="Times New Roman" w:hAnsi="Times New Roman" w:cs="Times New Roman"/>
          <w:sz w:val="24"/>
          <w:szCs w:val="24"/>
        </w:rPr>
        <w:t xml:space="preserve"> </w:t>
      </w:r>
      <w:r w:rsidR="00247AA8" w:rsidRPr="008A56B5">
        <w:rPr>
          <w:rFonts w:ascii="Times New Roman" w:hAnsi="Times New Roman" w:cs="Times New Roman"/>
          <w:sz w:val="24"/>
          <w:szCs w:val="24"/>
        </w:rPr>
        <w:t xml:space="preserve">no período de um ano após a SEO, </w:t>
      </w:r>
      <w:r w:rsidR="0087044A" w:rsidRPr="008A56B5">
        <w:rPr>
          <w:rFonts w:ascii="Times New Roman" w:hAnsi="Times New Roman" w:cs="Times New Roman"/>
          <w:sz w:val="24"/>
          <w:szCs w:val="24"/>
        </w:rPr>
        <w:t xml:space="preserve">das empresas que </w:t>
      </w:r>
      <w:r w:rsidR="007463F5" w:rsidRPr="008A56B5">
        <w:rPr>
          <w:rFonts w:ascii="Times New Roman" w:hAnsi="Times New Roman" w:cs="Times New Roman"/>
          <w:sz w:val="24"/>
          <w:szCs w:val="24"/>
        </w:rPr>
        <w:t>crescem mais rapidament</w:t>
      </w:r>
      <w:r w:rsidR="003B2456" w:rsidRPr="008A56B5">
        <w:rPr>
          <w:rFonts w:ascii="Times New Roman" w:hAnsi="Times New Roman" w:cs="Times New Roman"/>
          <w:sz w:val="24"/>
          <w:szCs w:val="24"/>
        </w:rPr>
        <w:t>e</w:t>
      </w:r>
      <w:r w:rsidR="007463F5" w:rsidRPr="008A56B5">
        <w:rPr>
          <w:rFonts w:ascii="Times New Roman" w:hAnsi="Times New Roman" w:cs="Times New Roman"/>
          <w:sz w:val="24"/>
          <w:szCs w:val="24"/>
        </w:rPr>
        <w:t xml:space="preserve"> </w:t>
      </w:r>
      <w:r w:rsidR="00247AA8" w:rsidRPr="008A56B5">
        <w:rPr>
          <w:rFonts w:ascii="Times New Roman" w:hAnsi="Times New Roman" w:cs="Times New Roman"/>
          <w:sz w:val="24"/>
          <w:szCs w:val="24"/>
        </w:rPr>
        <w:t xml:space="preserve">no período de um ano antes da SEO </w:t>
      </w:r>
      <w:r w:rsidR="007463F5" w:rsidRPr="008A56B5">
        <w:rPr>
          <w:rFonts w:ascii="Times New Roman" w:hAnsi="Times New Roman" w:cs="Times New Roman"/>
          <w:sz w:val="24"/>
          <w:szCs w:val="24"/>
        </w:rPr>
        <w:t>(</w:t>
      </w:r>
      <w:r w:rsidR="006E410C" w:rsidRPr="008A56B5">
        <w:rPr>
          <w:rFonts w:ascii="Times New Roman" w:hAnsi="Times New Roman" w:cs="Times New Roman"/>
          <w:sz w:val="24"/>
          <w:szCs w:val="24"/>
        </w:rPr>
        <w:t>LOUGHRAN</w:t>
      </w:r>
      <w:r w:rsidR="006E410C">
        <w:rPr>
          <w:rFonts w:ascii="Times New Roman" w:hAnsi="Times New Roman" w:cs="Times New Roman"/>
          <w:sz w:val="24"/>
          <w:szCs w:val="24"/>
        </w:rPr>
        <w:t xml:space="preserve">; </w:t>
      </w:r>
      <w:r w:rsidR="006E410C" w:rsidRPr="008A56B5">
        <w:rPr>
          <w:rFonts w:ascii="Times New Roman" w:hAnsi="Times New Roman" w:cs="Times New Roman"/>
          <w:sz w:val="24"/>
          <w:szCs w:val="24"/>
        </w:rPr>
        <w:t>RITTER</w:t>
      </w:r>
      <w:r w:rsidR="00A84756" w:rsidRPr="008A56B5">
        <w:rPr>
          <w:rFonts w:ascii="Times New Roman" w:hAnsi="Times New Roman" w:cs="Times New Roman"/>
          <w:sz w:val="24"/>
          <w:szCs w:val="24"/>
        </w:rPr>
        <w:t xml:space="preserve">, </w:t>
      </w:r>
      <w:r w:rsidR="007463F5" w:rsidRPr="008A56B5">
        <w:rPr>
          <w:rFonts w:ascii="Times New Roman" w:hAnsi="Times New Roman" w:cs="Times New Roman"/>
          <w:sz w:val="24"/>
          <w:szCs w:val="24"/>
        </w:rPr>
        <w:t>1997)</w:t>
      </w:r>
      <w:r w:rsidR="008B02AB" w:rsidRPr="008A56B5">
        <w:rPr>
          <w:rFonts w:ascii="Times New Roman" w:hAnsi="Times New Roman" w:cs="Times New Roman"/>
          <w:sz w:val="24"/>
          <w:szCs w:val="24"/>
        </w:rPr>
        <w:t>.</w:t>
      </w:r>
    </w:p>
    <w:p w14:paraId="1B6EC52B" w14:textId="4CEEA627" w:rsidR="00506F81" w:rsidRPr="008A56B5" w:rsidRDefault="00506F81" w:rsidP="00157D35">
      <w:pPr>
        <w:autoSpaceDE w:val="0"/>
        <w:autoSpaceDN w:val="0"/>
        <w:adjustRightInd w:val="0"/>
        <w:spacing w:after="0" w:line="240" w:lineRule="auto"/>
        <w:ind w:firstLine="709"/>
        <w:jc w:val="both"/>
        <w:rPr>
          <w:rFonts w:ascii="Times New Roman" w:hAnsi="Times New Roman" w:cs="Times New Roman"/>
          <w:sz w:val="24"/>
          <w:szCs w:val="24"/>
        </w:rPr>
      </w:pPr>
      <w:r w:rsidRPr="008A56B5">
        <w:rPr>
          <w:rFonts w:ascii="Times New Roman" w:hAnsi="Times New Roman" w:cs="Times New Roman"/>
          <w:sz w:val="24"/>
          <w:szCs w:val="24"/>
        </w:rPr>
        <w:t xml:space="preserve">Diante do exposto, </w:t>
      </w:r>
      <w:r w:rsidR="00062357" w:rsidRPr="008A56B5">
        <w:rPr>
          <w:rFonts w:ascii="Times New Roman" w:hAnsi="Times New Roman" w:cs="Times New Roman"/>
          <w:sz w:val="24"/>
          <w:szCs w:val="24"/>
        </w:rPr>
        <w:t xml:space="preserve">este artigo tem por </w:t>
      </w:r>
      <w:r w:rsidRPr="008A56B5">
        <w:rPr>
          <w:rFonts w:ascii="Times New Roman" w:hAnsi="Times New Roman" w:cs="Times New Roman"/>
          <w:sz w:val="24"/>
          <w:szCs w:val="24"/>
        </w:rPr>
        <w:t>objetivo analisar o desempenho operacional e acionário das empresas que realizaram ofertas subsequentes de ações entre os anos 2004 a 20</w:t>
      </w:r>
      <w:r w:rsidR="00446B66" w:rsidRPr="008A56B5">
        <w:rPr>
          <w:rFonts w:ascii="Times New Roman" w:hAnsi="Times New Roman" w:cs="Times New Roman"/>
          <w:sz w:val="24"/>
          <w:szCs w:val="24"/>
        </w:rPr>
        <w:t>11</w:t>
      </w:r>
      <w:r w:rsidRPr="008A56B5">
        <w:rPr>
          <w:rFonts w:ascii="Times New Roman" w:hAnsi="Times New Roman" w:cs="Times New Roman"/>
          <w:sz w:val="24"/>
          <w:szCs w:val="24"/>
        </w:rPr>
        <w:t xml:space="preserve">. Especificamente, pretende-se: a) comparar o desempenho operacional e acionário das empresas emissoras antes e após a emissão de </w:t>
      </w:r>
      <w:proofErr w:type="spellStart"/>
      <w:r w:rsidRPr="008A56B5">
        <w:rPr>
          <w:rFonts w:ascii="Times New Roman" w:hAnsi="Times New Roman" w:cs="Times New Roman"/>
          <w:sz w:val="24"/>
          <w:szCs w:val="24"/>
        </w:rPr>
        <w:t>SEO’s</w:t>
      </w:r>
      <w:proofErr w:type="spellEnd"/>
      <w:r w:rsidRPr="008A56B5">
        <w:rPr>
          <w:rFonts w:ascii="Times New Roman" w:hAnsi="Times New Roman" w:cs="Times New Roman"/>
          <w:sz w:val="24"/>
          <w:szCs w:val="24"/>
        </w:rPr>
        <w:t xml:space="preserve">; b) comparar o desempenho operacional e acionário das empresas emissoras de </w:t>
      </w:r>
      <w:proofErr w:type="spellStart"/>
      <w:r w:rsidRPr="008A56B5">
        <w:rPr>
          <w:rFonts w:ascii="Times New Roman" w:hAnsi="Times New Roman" w:cs="Times New Roman"/>
          <w:sz w:val="24"/>
          <w:szCs w:val="24"/>
        </w:rPr>
        <w:t>SEO’s</w:t>
      </w:r>
      <w:proofErr w:type="spellEnd"/>
      <w:r w:rsidRPr="008A56B5">
        <w:rPr>
          <w:rFonts w:ascii="Times New Roman" w:hAnsi="Times New Roman" w:cs="Times New Roman"/>
          <w:sz w:val="24"/>
          <w:szCs w:val="24"/>
        </w:rPr>
        <w:t xml:space="preserve"> com </w:t>
      </w:r>
      <w:r w:rsidR="00AF1EC7" w:rsidRPr="008A56B5">
        <w:rPr>
          <w:rFonts w:ascii="Times New Roman" w:hAnsi="Times New Roman" w:cs="Times New Roman"/>
          <w:sz w:val="24"/>
          <w:szCs w:val="24"/>
        </w:rPr>
        <w:t xml:space="preserve">o </w:t>
      </w:r>
      <w:r w:rsidRPr="008A56B5">
        <w:rPr>
          <w:rFonts w:ascii="Times New Roman" w:hAnsi="Times New Roman" w:cs="Times New Roman"/>
          <w:sz w:val="24"/>
          <w:szCs w:val="24"/>
        </w:rPr>
        <w:t xml:space="preserve">das não emissoras; c) comparar o desempenho operacional das empresas que realizaram grandes emissões de </w:t>
      </w:r>
      <w:proofErr w:type="spellStart"/>
      <w:r w:rsidRPr="008A56B5">
        <w:rPr>
          <w:rFonts w:ascii="Times New Roman" w:hAnsi="Times New Roman" w:cs="Times New Roman"/>
          <w:sz w:val="24"/>
          <w:szCs w:val="24"/>
        </w:rPr>
        <w:t>SEO’s</w:t>
      </w:r>
      <w:proofErr w:type="spellEnd"/>
      <w:r w:rsidRPr="008A56B5">
        <w:rPr>
          <w:rFonts w:ascii="Times New Roman" w:hAnsi="Times New Roman" w:cs="Times New Roman"/>
          <w:sz w:val="24"/>
          <w:szCs w:val="24"/>
        </w:rPr>
        <w:t xml:space="preserve"> com o das empresas que realizaram pequenas emissões; d) comparar o desempenho acionário das empresas pequenas (grandes) que realizaram SEO com o das empresas pequenas (grandes) que não realizaram SEO; e) verificar se há relação entre o retorno das ações pós SEO com o crescimento passado da empresa.</w:t>
      </w:r>
    </w:p>
    <w:p w14:paraId="038ECE9A" w14:textId="3A8D5F97" w:rsidR="006002B7" w:rsidRPr="008A56B5" w:rsidRDefault="006002B7" w:rsidP="00157D35">
      <w:pPr>
        <w:autoSpaceDE w:val="0"/>
        <w:autoSpaceDN w:val="0"/>
        <w:adjustRightInd w:val="0"/>
        <w:spacing w:after="0" w:line="240" w:lineRule="auto"/>
        <w:ind w:firstLine="709"/>
        <w:jc w:val="both"/>
        <w:rPr>
          <w:rFonts w:ascii="Times New Roman" w:hAnsi="Times New Roman" w:cs="Times New Roman"/>
          <w:sz w:val="24"/>
          <w:szCs w:val="24"/>
        </w:rPr>
      </w:pPr>
      <w:r w:rsidRPr="008A56B5">
        <w:rPr>
          <w:rFonts w:ascii="Times New Roman" w:hAnsi="Times New Roman" w:cs="Times New Roman"/>
          <w:sz w:val="24"/>
          <w:szCs w:val="24"/>
        </w:rPr>
        <w:t xml:space="preserve">Além desta introdução, o presente artigo é composto </w:t>
      </w:r>
      <w:r w:rsidR="00C96438" w:rsidRPr="008A56B5">
        <w:rPr>
          <w:rFonts w:ascii="Times New Roman" w:hAnsi="Times New Roman" w:cs="Times New Roman"/>
          <w:sz w:val="24"/>
          <w:szCs w:val="24"/>
        </w:rPr>
        <w:t xml:space="preserve">por mais </w:t>
      </w:r>
      <w:r w:rsidR="00CB783F" w:rsidRPr="008A56B5">
        <w:rPr>
          <w:rFonts w:ascii="Times New Roman" w:hAnsi="Times New Roman" w:cs="Times New Roman"/>
          <w:sz w:val="24"/>
          <w:szCs w:val="24"/>
        </w:rPr>
        <w:t>quatro</w:t>
      </w:r>
      <w:r w:rsidRPr="008A56B5">
        <w:rPr>
          <w:rFonts w:ascii="Times New Roman" w:hAnsi="Times New Roman" w:cs="Times New Roman"/>
          <w:sz w:val="24"/>
          <w:szCs w:val="24"/>
        </w:rPr>
        <w:t xml:space="preserve"> partes. Na seguinte, </w:t>
      </w:r>
      <w:r w:rsidR="001959DE">
        <w:rPr>
          <w:rFonts w:ascii="Times New Roman" w:hAnsi="Times New Roman" w:cs="Times New Roman"/>
          <w:sz w:val="24"/>
          <w:szCs w:val="24"/>
        </w:rPr>
        <w:t xml:space="preserve">serão abordadas a fundamentação teórica, </w:t>
      </w:r>
      <w:r w:rsidR="000B265C">
        <w:rPr>
          <w:rFonts w:ascii="Times New Roman" w:hAnsi="Times New Roman" w:cs="Times New Roman"/>
          <w:sz w:val="24"/>
          <w:szCs w:val="24"/>
        </w:rPr>
        <w:t xml:space="preserve">as </w:t>
      </w:r>
      <w:r w:rsidR="001959DE">
        <w:rPr>
          <w:rFonts w:ascii="Times New Roman" w:hAnsi="Times New Roman" w:cs="Times New Roman"/>
          <w:sz w:val="24"/>
          <w:szCs w:val="24"/>
        </w:rPr>
        <w:t xml:space="preserve">evidências empíricas e </w:t>
      </w:r>
      <w:r w:rsidR="000B265C">
        <w:rPr>
          <w:rFonts w:ascii="Times New Roman" w:hAnsi="Times New Roman" w:cs="Times New Roman"/>
          <w:sz w:val="24"/>
          <w:szCs w:val="24"/>
        </w:rPr>
        <w:t xml:space="preserve">as </w:t>
      </w:r>
      <w:r w:rsidR="001959DE">
        <w:rPr>
          <w:rFonts w:ascii="Times New Roman" w:hAnsi="Times New Roman" w:cs="Times New Roman"/>
          <w:sz w:val="24"/>
          <w:szCs w:val="24"/>
        </w:rPr>
        <w:t xml:space="preserve">hipóteses de pesquisa. </w:t>
      </w:r>
      <w:r w:rsidRPr="008A56B5">
        <w:rPr>
          <w:rFonts w:ascii="Times New Roman" w:hAnsi="Times New Roman" w:cs="Times New Roman"/>
          <w:sz w:val="24"/>
          <w:szCs w:val="24"/>
        </w:rPr>
        <w:t>Na terceira parte</w:t>
      </w:r>
      <w:r w:rsidR="00CE6F9D" w:rsidRPr="008A56B5">
        <w:rPr>
          <w:rFonts w:ascii="Times New Roman" w:hAnsi="Times New Roman" w:cs="Times New Roman"/>
          <w:sz w:val="24"/>
          <w:szCs w:val="24"/>
        </w:rPr>
        <w:t>,</w:t>
      </w:r>
      <w:r w:rsidRPr="008A56B5">
        <w:rPr>
          <w:rFonts w:ascii="Times New Roman" w:hAnsi="Times New Roman" w:cs="Times New Roman"/>
          <w:sz w:val="24"/>
          <w:szCs w:val="24"/>
        </w:rPr>
        <w:t xml:space="preserve"> encontra-se a metodologia. Na quarta, </w:t>
      </w:r>
      <w:r w:rsidR="00116637" w:rsidRPr="008A56B5">
        <w:rPr>
          <w:rFonts w:ascii="Times New Roman" w:hAnsi="Times New Roman" w:cs="Times New Roman"/>
          <w:sz w:val="24"/>
          <w:szCs w:val="24"/>
        </w:rPr>
        <w:t>apresenta</w:t>
      </w:r>
      <w:r w:rsidR="00CE6F9D" w:rsidRPr="008A56B5">
        <w:rPr>
          <w:rFonts w:ascii="Times New Roman" w:hAnsi="Times New Roman" w:cs="Times New Roman"/>
          <w:sz w:val="24"/>
          <w:szCs w:val="24"/>
        </w:rPr>
        <w:t>-se</w:t>
      </w:r>
      <w:r w:rsidR="00116637" w:rsidRPr="008A56B5">
        <w:rPr>
          <w:rFonts w:ascii="Times New Roman" w:hAnsi="Times New Roman" w:cs="Times New Roman"/>
          <w:sz w:val="24"/>
          <w:szCs w:val="24"/>
        </w:rPr>
        <w:t xml:space="preserve"> a análise d</w:t>
      </w:r>
      <w:r w:rsidRPr="008A56B5">
        <w:rPr>
          <w:rFonts w:ascii="Times New Roman" w:hAnsi="Times New Roman" w:cs="Times New Roman"/>
          <w:sz w:val="24"/>
          <w:szCs w:val="24"/>
        </w:rPr>
        <w:t xml:space="preserve">os resultados. </w:t>
      </w:r>
      <w:r w:rsidR="00A25E04" w:rsidRPr="008A56B5">
        <w:rPr>
          <w:rFonts w:ascii="Times New Roman" w:hAnsi="Times New Roman" w:cs="Times New Roman"/>
          <w:sz w:val="24"/>
          <w:szCs w:val="24"/>
        </w:rPr>
        <w:t>Por fim, são abordadas as consideraç</w:t>
      </w:r>
      <w:r w:rsidR="00116637" w:rsidRPr="008A56B5">
        <w:rPr>
          <w:rFonts w:ascii="Times New Roman" w:hAnsi="Times New Roman" w:cs="Times New Roman"/>
          <w:sz w:val="24"/>
          <w:szCs w:val="24"/>
        </w:rPr>
        <w:t>ões finais</w:t>
      </w:r>
      <w:r w:rsidR="00A25E04" w:rsidRPr="008A56B5">
        <w:rPr>
          <w:rFonts w:ascii="Times New Roman" w:hAnsi="Times New Roman" w:cs="Times New Roman"/>
          <w:sz w:val="24"/>
          <w:szCs w:val="24"/>
        </w:rPr>
        <w:t>.</w:t>
      </w:r>
    </w:p>
    <w:p w14:paraId="63A50E1B" w14:textId="77777777" w:rsidR="00291830" w:rsidRPr="008A56B5" w:rsidRDefault="00291830" w:rsidP="0056798E">
      <w:pPr>
        <w:shd w:val="clear" w:color="auto" w:fill="FFFFFF"/>
        <w:spacing w:after="0" w:line="240" w:lineRule="auto"/>
        <w:ind w:firstLine="709"/>
        <w:jc w:val="both"/>
        <w:rPr>
          <w:rFonts w:ascii="Times New Roman" w:hAnsi="Times New Roman" w:cs="Times New Roman"/>
          <w:sz w:val="24"/>
          <w:szCs w:val="24"/>
        </w:rPr>
      </w:pPr>
    </w:p>
    <w:p w14:paraId="32EA3DC0" w14:textId="30C3F88C" w:rsidR="006002B7" w:rsidRDefault="007B116C" w:rsidP="00157D35">
      <w:pPr>
        <w:pStyle w:val="PargrafodaLista"/>
        <w:numPr>
          <w:ilvl w:val="0"/>
          <w:numId w:val="2"/>
        </w:numPr>
        <w:spacing w:after="120" w:line="240" w:lineRule="auto"/>
        <w:ind w:left="425" w:hanging="425"/>
        <w:rPr>
          <w:rFonts w:ascii="Times New Roman" w:hAnsi="Times New Roman" w:cs="Times New Roman"/>
          <w:b/>
          <w:sz w:val="24"/>
          <w:szCs w:val="24"/>
        </w:rPr>
      </w:pPr>
      <w:r>
        <w:rPr>
          <w:rFonts w:ascii="Times New Roman" w:hAnsi="Times New Roman" w:cs="Times New Roman"/>
          <w:b/>
          <w:sz w:val="24"/>
          <w:szCs w:val="24"/>
        </w:rPr>
        <w:t>Fundamentação Teórica</w:t>
      </w:r>
      <w:r w:rsidRPr="00D73757">
        <w:rPr>
          <w:rFonts w:ascii="Times New Roman" w:hAnsi="Times New Roman" w:cs="Times New Roman"/>
          <w:b/>
          <w:sz w:val="24"/>
          <w:szCs w:val="24"/>
        </w:rPr>
        <w:t xml:space="preserve">, Evidências Empíricas </w:t>
      </w:r>
      <w:r>
        <w:rPr>
          <w:rFonts w:ascii="Times New Roman" w:hAnsi="Times New Roman" w:cs="Times New Roman"/>
          <w:b/>
          <w:sz w:val="24"/>
          <w:szCs w:val="24"/>
        </w:rPr>
        <w:t>e</w:t>
      </w:r>
      <w:r w:rsidRPr="00D73757">
        <w:rPr>
          <w:rFonts w:ascii="Times New Roman" w:hAnsi="Times New Roman" w:cs="Times New Roman"/>
          <w:b/>
          <w:sz w:val="24"/>
          <w:szCs w:val="24"/>
        </w:rPr>
        <w:t xml:space="preserve"> Hipótese De Pesquisa</w:t>
      </w:r>
    </w:p>
    <w:p w14:paraId="01E92AA8" w14:textId="1E873D69" w:rsidR="00B529DC" w:rsidRPr="00B529DC" w:rsidRDefault="00B529DC" w:rsidP="00157D35">
      <w:pPr>
        <w:spacing w:after="0" w:line="240" w:lineRule="auto"/>
        <w:ind w:firstLine="709"/>
        <w:jc w:val="both"/>
        <w:rPr>
          <w:rFonts w:ascii="Times New Roman" w:hAnsi="Times New Roman" w:cs="Times New Roman"/>
          <w:sz w:val="24"/>
          <w:szCs w:val="24"/>
        </w:rPr>
      </w:pPr>
      <w:r w:rsidRPr="00B529DC">
        <w:rPr>
          <w:rFonts w:ascii="Times New Roman" w:hAnsi="Times New Roman" w:cs="Times New Roman"/>
          <w:sz w:val="24"/>
          <w:szCs w:val="24"/>
        </w:rPr>
        <w:t xml:space="preserve">As principais teorias </w:t>
      </w:r>
      <w:r w:rsidR="00826D83">
        <w:rPr>
          <w:rFonts w:ascii="Times New Roman" w:hAnsi="Times New Roman" w:cs="Times New Roman"/>
          <w:sz w:val="24"/>
          <w:szCs w:val="24"/>
        </w:rPr>
        <w:t xml:space="preserve">de financiamento das empresas que </w:t>
      </w:r>
      <w:r w:rsidR="006D6AEC">
        <w:rPr>
          <w:rFonts w:ascii="Times New Roman" w:hAnsi="Times New Roman" w:cs="Times New Roman"/>
          <w:sz w:val="24"/>
          <w:szCs w:val="24"/>
        </w:rPr>
        <w:t>fundamentam</w:t>
      </w:r>
      <w:r w:rsidR="00826D83">
        <w:rPr>
          <w:rFonts w:ascii="Times New Roman" w:hAnsi="Times New Roman" w:cs="Times New Roman"/>
          <w:sz w:val="24"/>
          <w:szCs w:val="24"/>
        </w:rPr>
        <w:t xml:space="preserve"> a emissão de ações</w:t>
      </w:r>
      <w:r w:rsidR="00FA4530">
        <w:rPr>
          <w:rFonts w:ascii="Times New Roman" w:hAnsi="Times New Roman" w:cs="Times New Roman"/>
          <w:sz w:val="24"/>
          <w:szCs w:val="24"/>
        </w:rPr>
        <w:t xml:space="preserve"> </w:t>
      </w:r>
      <w:r w:rsidRPr="00B529DC">
        <w:rPr>
          <w:rFonts w:ascii="Times New Roman" w:hAnsi="Times New Roman" w:cs="Times New Roman"/>
          <w:sz w:val="24"/>
          <w:szCs w:val="24"/>
        </w:rPr>
        <w:t xml:space="preserve">são: </w:t>
      </w:r>
      <w:r w:rsidRPr="00B529DC">
        <w:rPr>
          <w:rFonts w:ascii="Times New Roman" w:hAnsi="Times New Roman" w:cs="Times New Roman"/>
          <w:i/>
          <w:sz w:val="24"/>
          <w:szCs w:val="24"/>
        </w:rPr>
        <w:t>trade-off</w:t>
      </w:r>
      <w:r w:rsidRPr="00B529DC">
        <w:rPr>
          <w:rFonts w:ascii="Times New Roman" w:hAnsi="Times New Roman" w:cs="Times New Roman"/>
          <w:sz w:val="24"/>
          <w:szCs w:val="24"/>
        </w:rPr>
        <w:t xml:space="preserve">, </w:t>
      </w:r>
      <w:proofErr w:type="spellStart"/>
      <w:r w:rsidRPr="00B529DC">
        <w:rPr>
          <w:rFonts w:ascii="Times New Roman" w:hAnsi="Times New Roman" w:cs="Times New Roman"/>
          <w:i/>
          <w:sz w:val="24"/>
          <w:szCs w:val="24"/>
        </w:rPr>
        <w:t>pecking</w:t>
      </w:r>
      <w:proofErr w:type="spellEnd"/>
      <w:r w:rsidRPr="00B529DC">
        <w:rPr>
          <w:rFonts w:ascii="Times New Roman" w:hAnsi="Times New Roman" w:cs="Times New Roman"/>
          <w:i/>
          <w:sz w:val="24"/>
          <w:szCs w:val="24"/>
        </w:rPr>
        <w:t xml:space="preserve"> </w:t>
      </w:r>
      <w:proofErr w:type="spellStart"/>
      <w:r w:rsidRPr="00B529DC">
        <w:rPr>
          <w:rFonts w:ascii="Times New Roman" w:hAnsi="Times New Roman" w:cs="Times New Roman"/>
          <w:i/>
          <w:sz w:val="24"/>
          <w:szCs w:val="24"/>
        </w:rPr>
        <w:t>order</w:t>
      </w:r>
      <w:proofErr w:type="spellEnd"/>
      <w:r w:rsidR="00FA4530">
        <w:rPr>
          <w:rFonts w:ascii="Times New Roman" w:hAnsi="Times New Roman" w:cs="Times New Roman"/>
          <w:sz w:val="24"/>
          <w:szCs w:val="24"/>
        </w:rPr>
        <w:t xml:space="preserve"> e</w:t>
      </w:r>
      <w:r w:rsidRPr="00B529DC">
        <w:rPr>
          <w:rFonts w:ascii="Times New Roman" w:hAnsi="Times New Roman" w:cs="Times New Roman"/>
          <w:i/>
          <w:sz w:val="24"/>
          <w:szCs w:val="24"/>
        </w:rPr>
        <w:t xml:space="preserve"> </w:t>
      </w:r>
      <w:proofErr w:type="spellStart"/>
      <w:r w:rsidRPr="00B529DC">
        <w:rPr>
          <w:rFonts w:ascii="Times New Roman" w:hAnsi="Times New Roman" w:cs="Times New Roman"/>
          <w:i/>
          <w:sz w:val="24"/>
          <w:szCs w:val="24"/>
        </w:rPr>
        <w:t>market</w:t>
      </w:r>
      <w:proofErr w:type="spellEnd"/>
      <w:r w:rsidRPr="00B529DC">
        <w:rPr>
          <w:rFonts w:ascii="Times New Roman" w:hAnsi="Times New Roman" w:cs="Times New Roman"/>
          <w:i/>
          <w:sz w:val="24"/>
          <w:szCs w:val="24"/>
        </w:rPr>
        <w:t xml:space="preserve"> timing</w:t>
      </w:r>
      <w:r w:rsidRPr="00B529DC">
        <w:rPr>
          <w:rFonts w:ascii="Times New Roman" w:hAnsi="Times New Roman" w:cs="Times New Roman"/>
          <w:sz w:val="24"/>
          <w:szCs w:val="24"/>
        </w:rPr>
        <w:t xml:space="preserve">, discutidas a seguir. Pela </w:t>
      </w:r>
      <w:r>
        <w:rPr>
          <w:rFonts w:ascii="Times New Roman" w:hAnsi="Times New Roman" w:cs="Times New Roman"/>
          <w:sz w:val="24"/>
          <w:szCs w:val="24"/>
        </w:rPr>
        <w:t xml:space="preserve">teoria </w:t>
      </w:r>
      <w:r w:rsidRPr="00B529DC">
        <w:rPr>
          <w:rFonts w:ascii="Times New Roman" w:hAnsi="Times New Roman" w:cs="Times New Roman"/>
          <w:i/>
          <w:sz w:val="24"/>
          <w:szCs w:val="24"/>
        </w:rPr>
        <w:t>trade-off</w:t>
      </w:r>
      <w:r>
        <w:rPr>
          <w:rFonts w:ascii="Times New Roman" w:hAnsi="Times New Roman" w:cs="Times New Roman"/>
          <w:sz w:val="24"/>
          <w:szCs w:val="24"/>
        </w:rPr>
        <w:t>, a</w:t>
      </w:r>
      <w:r w:rsidRPr="00B529DC">
        <w:rPr>
          <w:rFonts w:ascii="Times New Roman" w:hAnsi="Times New Roman" w:cs="Times New Roman"/>
          <w:sz w:val="24"/>
          <w:szCs w:val="24"/>
        </w:rPr>
        <w:t xml:space="preserve"> empresa é retratada equilibrando o benefício fiscal com a possibilidade de dificuldade financeira. A firma é suposta para substituir capital de terceiros por capital próprio, ou capital próprio por capital de terceiros, até o valor da firma ser maximizado</w:t>
      </w:r>
      <w:r w:rsidR="00CA751F">
        <w:rPr>
          <w:rFonts w:ascii="Times New Roman" w:hAnsi="Times New Roman" w:cs="Times New Roman"/>
          <w:sz w:val="24"/>
          <w:szCs w:val="24"/>
        </w:rPr>
        <w:t xml:space="preserve">, sendo </w:t>
      </w:r>
      <w:r w:rsidRPr="00B529DC">
        <w:rPr>
          <w:rFonts w:ascii="Times New Roman" w:hAnsi="Times New Roman" w:cs="Times New Roman"/>
          <w:sz w:val="24"/>
          <w:szCs w:val="24"/>
        </w:rPr>
        <w:t>o valor da firma maximizado quando os benefícios fiscais marginais proporcionados pelo uso de capital de terceiros forem iguais ao custo marginal relacionado com a probabilidade de falência pelo uso de dívidas.</w:t>
      </w:r>
      <w:r w:rsidR="00CA751F">
        <w:rPr>
          <w:rFonts w:ascii="Times New Roman" w:hAnsi="Times New Roman" w:cs="Times New Roman"/>
          <w:sz w:val="24"/>
          <w:szCs w:val="24"/>
        </w:rPr>
        <w:t xml:space="preserve"> </w:t>
      </w:r>
      <w:r w:rsidR="00CA751F" w:rsidRPr="00CA751F">
        <w:rPr>
          <w:rFonts w:ascii="Times New Roman" w:hAnsi="Times New Roman" w:cs="Times New Roman"/>
          <w:sz w:val="24"/>
          <w:szCs w:val="24"/>
        </w:rPr>
        <w:t xml:space="preserve">Infelizmente, não existe até agora uma fórmula que permita determinar exatamente o nível ótimo de endividamento para uma empresa. Na prática, </w:t>
      </w:r>
      <w:r w:rsidR="00CA751F">
        <w:rPr>
          <w:rFonts w:ascii="Times New Roman" w:hAnsi="Times New Roman" w:cs="Times New Roman"/>
          <w:sz w:val="24"/>
          <w:szCs w:val="24"/>
        </w:rPr>
        <w:t>os gestores</w:t>
      </w:r>
      <w:r w:rsidR="00CA751F" w:rsidRPr="00CA751F">
        <w:rPr>
          <w:rFonts w:ascii="Times New Roman" w:hAnsi="Times New Roman" w:cs="Times New Roman"/>
          <w:sz w:val="24"/>
          <w:szCs w:val="24"/>
        </w:rPr>
        <w:t xml:space="preserve"> trabalham dentro de uma perspectiva subjetiva, opera</w:t>
      </w:r>
      <w:r w:rsidR="00BE615D">
        <w:rPr>
          <w:rFonts w:ascii="Times New Roman" w:hAnsi="Times New Roman" w:cs="Times New Roman"/>
          <w:sz w:val="24"/>
          <w:szCs w:val="24"/>
        </w:rPr>
        <w:t>ndo num intervalo</w:t>
      </w:r>
      <w:r w:rsidR="00CA751F" w:rsidRPr="00CA751F">
        <w:rPr>
          <w:rFonts w:ascii="Times New Roman" w:hAnsi="Times New Roman" w:cs="Times New Roman"/>
          <w:sz w:val="24"/>
          <w:szCs w:val="24"/>
        </w:rPr>
        <w:t xml:space="preserve"> que eles acreditam ser a estrutura ótima de capital.</w:t>
      </w:r>
    </w:p>
    <w:p w14:paraId="51CAC285" w14:textId="7EFC9F9A" w:rsidR="00140926" w:rsidRDefault="004A3F52" w:rsidP="00157D35">
      <w:pPr>
        <w:spacing w:after="0" w:line="240" w:lineRule="auto"/>
        <w:ind w:firstLine="709"/>
        <w:jc w:val="both"/>
        <w:rPr>
          <w:rFonts w:ascii="Times New Roman" w:hAnsi="Times New Roman" w:cs="Times New Roman"/>
          <w:sz w:val="24"/>
          <w:szCs w:val="24"/>
        </w:rPr>
      </w:pPr>
      <w:r w:rsidRPr="004A5284">
        <w:rPr>
          <w:rFonts w:ascii="Times New Roman" w:hAnsi="Times New Roman" w:cs="Times New Roman"/>
          <w:sz w:val="24"/>
          <w:szCs w:val="24"/>
        </w:rPr>
        <w:t xml:space="preserve">Considerando que o modelo estático da teoria </w:t>
      </w:r>
      <w:r w:rsidRPr="00BA31D7">
        <w:rPr>
          <w:rFonts w:ascii="Times New Roman" w:hAnsi="Times New Roman" w:cs="Times New Roman"/>
          <w:i/>
          <w:sz w:val="24"/>
          <w:szCs w:val="24"/>
        </w:rPr>
        <w:t>trade-off</w:t>
      </w:r>
      <w:r w:rsidRPr="004A5284">
        <w:rPr>
          <w:rFonts w:ascii="Times New Roman" w:hAnsi="Times New Roman" w:cs="Times New Roman"/>
          <w:sz w:val="24"/>
          <w:szCs w:val="24"/>
        </w:rPr>
        <w:t xml:space="preserve"> não leva em conta os custos de transação e que ele não é variável ao longo do tempo, autores </w:t>
      </w:r>
      <w:r w:rsidRPr="00D34F29">
        <w:rPr>
          <w:rFonts w:ascii="Times New Roman" w:hAnsi="Times New Roman" w:cs="Times New Roman"/>
          <w:sz w:val="24"/>
          <w:szCs w:val="24"/>
        </w:rPr>
        <w:t xml:space="preserve">como Fama e </w:t>
      </w:r>
      <w:proofErr w:type="spellStart"/>
      <w:r w:rsidRPr="00D34F29">
        <w:rPr>
          <w:rFonts w:ascii="Times New Roman" w:hAnsi="Times New Roman" w:cs="Times New Roman"/>
          <w:sz w:val="24"/>
          <w:szCs w:val="24"/>
        </w:rPr>
        <w:t>French</w:t>
      </w:r>
      <w:proofErr w:type="spellEnd"/>
      <w:r w:rsidRPr="00D34F29">
        <w:rPr>
          <w:rFonts w:ascii="Times New Roman" w:hAnsi="Times New Roman" w:cs="Times New Roman"/>
          <w:sz w:val="24"/>
          <w:szCs w:val="24"/>
        </w:rPr>
        <w:t xml:space="preserve"> (2002), </w:t>
      </w:r>
      <w:proofErr w:type="spellStart"/>
      <w:r w:rsidRPr="00D34F29">
        <w:rPr>
          <w:rFonts w:ascii="Times New Roman" w:hAnsi="Times New Roman" w:cs="Times New Roman"/>
          <w:sz w:val="24"/>
          <w:szCs w:val="24"/>
        </w:rPr>
        <w:t>Shyam-Sunder</w:t>
      </w:r>
      <w:proofErr w:type="spellEnd"/>
      <w:r w:rsidRPr="00D34F29">
        <w:rPr>
          <w:rFonts w:ascii="Times New Roman" w:hAnsi="Times New Roman" w:cs="Times New Roman"/>
          <w:sz w:val="24"/>
          <w:szCs w:val="24"/>
        </w:rPr>
        <w:t xml:space="preserve"> e Myers (1999) e </w:t>
      </w:r>
      <w:proofErr w:type="spellStart"/>
      <w:r w:rsidRPr="00D34F29">
        <w:rPr>
          <w:rFonts w:ascii="Times New Roman" w:hAnsi="Times New Roman" w:cs="Times New Roman"/>
          <w:sz w:val="24"/>
          <w:szCs w:val="24"/>
        </w:rPr>
        <w:t>Flannery</w:t>
      </w:r>
      <w:proofErr w:type="spellEnd"/>
      <w:r w:rsidRPr="00D34F29">
        <w:rPr>
          <w:rFonts w:ascii="Times New Roman" w:hAnsi="Times New Roman" w:cs="Times New Roman"/>
          <w:sz w:val="24"/>
          <w:szCs w:val="24"/>
        </w:rPr>
        <w:t xml:space="preserve"> e </w:t>
      </w:r>
      <w:proofErr w:type="spellStart"/>
      <w:r w:rsidRPr="00D34F29">
        <w:rPr>
          <w:rFonts w:ascii="Times New Roman" w:hAnsi="Times New Roman" w:cs="Times New Roman"/>
          <w:sz w:val="24"/>
          <w:szCs w:val="24"/>
        </w:rPr>
        <w:t>Rangan</w:t>
      </w:r>
      <w:proofErr w:type="spellEnd"/>
      <w:r w:rsidRPr="00D34F29">
        <w:rPr>
          <w:rFonts w:ascii="Times New Roman" w:hAnsi="Times New Roman" w:cs="Times New Roman"/>
          <w:sz w:val="24"/>
          <w:szCs w:val="24"/>
        </w:rPr>
        <w:t xml:space="preserve"> (2006)</w:t>
      </w:r>
      <w:r w:rsidRPr="004A5284">
        <w:rPr>
          <w:rFonts w:ascii="Times New Roman" w:hAnsi="Times New Roman" w:cs="Times New Roman"/>
          <w:sz w:val="24"/>
          <w:szCs w:val="24"/>
        </w:rPr>
        <w:t xml:space="preserve"> desenvolveram modelos dinâmicos de </w:t>
      </w:r>
      <w:r w:rsidRPr="00BA31D7">
        <w:rPr>
          <w:rFonts w:ascii="Times New Roman" w:hAnsi="Times New Roman" w:cs="Times New Roman"/>
          <w:i/>
          <w:sz w:val="24"/>
          <w:szCs w:val="24"/>
        </w:rPr>
        <w:t>trade-off</w:t>
      </w:r>
      <w:r w:rsidRPr="004A5284">
        <w:rPr>
          <w:rFonts w:ascii="Times New Roman" w:hAnsi="Times New Roman" w:cs="Times New Roman"/>
          <w:sz w:val="24"/>
          <w:szCs w:val="24"/>
        </w:rPr>
        <w:t>, que, em essência, busca uma estrutura ótima de capital que varia ao longo do tempo, fazendo os ajustes necessários, de maneira a obter a estrutura de capital de melhor relação custo-benefício.</w:t>
      </w:r>
    </w:p>
    <w:p w14:paraId="0ACD6060" w14:textId="269B8D50" w:rsidR="00140926" w:rsidRDefault="00140926" w:rsidP="00157D3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w:t>
      </w:r>
      <w:r w:rsidRPr="004A5284">
        <w:rPr>
          <w:rFonts w:ascii="Times New Roman" w:hAnsi="Times New Roman" w:cs="Times New Roman"/>
          <w:sz w:val="24"/>
          <w:szCs w:val="24"/>
        </w:rPr>
        <w:t xml:space="preserve">a teoria </w:t>
      </w:r>
      <w:proofErr w:type="spellStart"/>
      <w:r w:rsidRPr="00AF0C97">
        <w:rPr>
          <w:rFonts w:ascii="Times New Roman" w:hAnsi="Times New Roman" w:cs="Times New Roman"/>
          <w:i/>
          <w:sz w:val="24"/>
          <w:szCs w:val="24"/>
        </w:rPr>
        <w:t>pecking</w:t>
      </w:r>
      <w:proofErr w:type="spellEnd"/>
      <w:r w:rsidRPr="00AF0C97">
        <w:rPr>
          <w:rFonts w:ascii="Times New Roman" w:hAnsi="Times New Roman" w:cs="Times New Roman"/>
          <w:i/>
          <w:sz w:val="24"/>
          <w:szCs w:val="24"/>
        </w:rPr>
        <w:t xml:space="preserve"> </w:t>
      </w:r>
      <w:proofErr w:type="spellStart"/>
      <w:r w:rsidRPr="00AF0C97">
        <w:rPr>
          <w:rFonts w:ascii="Times New Roman" w:hAnsi="Times New Roman" w:cs="Times New Roman"/>
          <w:i/>
          <w:sz w:val="24"/>
          <w:szCs w:val="24"/>
        </w:rPr>
        <w:t>order</w:t>
      </w:r>
      <w:proofErr w:type="spellEnd"/>
      <w:r w:rsidRPr="004A5284">
        <w:rPr>
          <w:rFonts w:ascii="Times New Roman" w:hAnsi="Times New Roman" w:cs="Times New Roman"/>
          <w:sz w:val="24"/>
          <w:szCs w:val="24"/>
        </w:rPr>
        <w:t xml:space="preserve">, por outro lado, uma empresa não tem uma estrutura de capital bem definida. </w:t>
      </w:r>
      <w:r w:rsidRPr="00D34F29">
        <w:rPr>
          <w:rFonts w:ascii="Times New Roman" w:hAnsi="Times New Roman" w:cs="Times New Roman"/>
          <w:sz w:val="24"/>
          <w:szCs w:val="24"/>
        </w:rPr>
        <w:t xml:space="preserve">Segundo </w:t>
      </w:r>
      <w:proofErr w:type="spellStart"/>
      <w:r w:rsidRPr="00D34F29">
        <w:rPr>
          <w:rFonts w:ascii="Times New Roman" w:hAnsi="Times New Roman" w:cs="Times New Roman"/>
          <w:sz w:val="24"/>
          <w:szCs w:val="24"/>
        </w:rPr>
        <w:t>Kjellman</w:t>
      </w:r>
      <w:proofErr w:type="spellEnd"/>
      <w:r w:rsidRPr="00D34F29">
        <w:rPr>
          <w:rFonts w:ascii="Times New Roman" w:hAnsi="Times New Roman" w:cs="Times New Roman"/>
          <w:sz w:val="24"/>
          <w:szCs w:val="24"/>
        </w:rPr>
        <w:t xml:space="preserve"> e </w:t>
      </w:r>
      <w:proofErr w:type="spellStart"/>
      <w:r w:rsidRPr="00D34F29">
        <w:rPr>
          <w:rFonts w:ascii="Times New Roman" w:hAnsi="Times New Roman" w:cs="Times New Roman"/>
          <w:sz w:val="24"/>
          <w:szCs w:val="24"/>
        </w:rPr>
        <w:t>Hansén</w:t>
      </w:r>
      <w:proofErr w:type="spellEnd"/>
      <w:r w:rsidRPr="00D34F29">
        <w:rPr>
          <w:rFonts w:ascii="Times New Roman" w:hAnsi="Times New Roman" w:cs="Times New Roman"/>
          <w:sz w:val="24"/>
          <w:szCs w:val="24"/>
        </w:rPr>
        <w:t xml:space="preserve"> (1995), existem dois caminhos diferentes para explicar essa teoria. A visão tradicional argumenta que a teoria pode ser observada, levando em consideração os altos custos de transação, impostos e os custos de </w:t>
      </w:r>
      <w:r w:rsidR="00AF0C97" w:rsidRPr="00D34F29">
        <w:rPr>
          <w:rFonts w:ascii="Times New Roman" w:hAnsi="Times New Roman" w:cs="Times New Roman"/>
          <w:sz w:val="24"/>
          <w:szCs w:val="24"/>
        </w:rPr>
        <w:t>agência</w:t>
      </w:r>
      <w:r w:rsidRPr="00D34F29">
        <w:rPr>
          <w:rFonts w:ascii="Times New Roman" w:hAnsi="Times New Roman" w:cs="Times New Roman"/>
          <w:sz w:val="24"/>
          <w:szCs w:val="24"/>
        </w:rPr>
        <w:t xml:space="preserve">. A outra explicação, proposta por Myers e </w:t>
      </w:r>
      <w:proofErr w:type="spellStart"/>
      <w:r w:rsidRPr="00D34F29">
        <w:rPr>
          <w:rFonts w:ascii="Times New Roman" w:hAnsi="Times New Roman" w:cs="Times New Roman"/>
          <w:sz w:val="24"/>
          <w:szCs w:val="24"/>
        </w:rPr>
        <w:t>Majluf</w:t>
      </w:r>
      <w:proofErr w:type="spellEnd"/>
      <w:r w:rsidRPr="00D34F29">
        <w:rPr>
          <w:rFonts w:ascii="Times New Roman" w:hAnsi="Times New Roman" w:cs="Times New Roman"/>
          <w:sz w:val="24"/>
          <w:szCs w:val="24"/>
        </w:rPr>
        <w:t xml:space="preserve"> (1984),</w:t>
      </w:r>
      <w:r w:rsidRPr="004A5284">
        <w:rPr>
          <w:rFonts w:ascii="Times New Roman" w:hAnsi="Times New Roman" w:cs="Times New Roman"/>
          <w:sz w:val="24"/>
          <w:szCs w:val="24"/>
        </w:rPr>
        <w:t xml:space="preserve"> é a de que a teoria está relacionada </w:t>
      </w:r>
      <w:r w:rsidR="00C773AC">
        <w:rPr>
          <w:rFonts w:ascii="Times New Roman" w:hAnsi="Times New Roman" w:cs="Times New Roman"/>
          <w:sz w:val="24"/>
          <w:szCs w:val="24"/>
        </w:rPr>
        <w:t>à</w:t>
      </w:r>
      <w:r w:rsidRPr="004A5284">
        <w:rPr>
          <w:rFonts w:ascii="Times New Roman" w:hAnsi="Times New Roman" w:cs="Times New Roman"/>
          <w:sz w:val="24"/>
          <w:szCs w:val="24"/>
        </w:rPr>
        <w:t xml:space="preserve"> assimetria de </w:t>
      </w:r>
      <w:r w:rsidRPr="004A5284">
        <w:rPr>
          <w:rFonts w:ascii="Times New Roman" w:hAnsi="Times New Roman" w:cs="Times New Roman"/>
          <w:sz w:val="24"/>
          <w:szCs w:val="24"/>
        </w:rPr>
        <w:lastRenderedPageBreak/>
        <w:t>informação, argumentando que as pessoas de dentro da empresa têm mais informação que as de fora</w:t>
      </w:r>
      <w:r w:rsidR="00122566" w:rsidRPr="004A5284">
        <w:rPr>
          <w:rFonts w:ascii="Times New Roman" w:hAnsi="Times New Roman" w:cs="Times New Roman"/>
          <w:sz w:val="24"/>
          <w:szCs w:val="24"/>
        </w:rPr>
        <w:t>.</w:t>
      </w:r>
    </w:p>
    <w:p w14:paraId="379D069B" w14:textId="46DE583E" w:rsidR="00140926" w:rsidRPr="004A5284" w:rsidRDefault="005B3FF4" w:rsidP="00157D35">
      <w:pPr>
        <w:spacing w:after="0" w:line="240" w:lineRule="auto"/>
        <w:ind w:firstLine="709"/>
        <w:jc w:val="both"/>
        <w:rPr>
          <w:rFonts w:ascii="Times New Roman" w:hAnsi="Times New Roman" w:cs="Times New Roman"/>
          <w:sz w:val="24"/>
          <w:szCs w:val="24"/>
        </w:rPr>
      </w:pPr>
      <w:r w:rsidRPr="004A5284">
        <w:rPr>
          <w:rFonts w:ascii="Times New Roman" w:hAnsi="Times New Roman" w:cs="Times New Roman"/>
          <w:sz w:val="24"/>
          <w:szCs w:val="24"/>
        </w:rPr>
        <w:t xml:space="preserve">Dessa forma, </w:t>
      </w:r>
      <w:r w:rsidR="00122566" w:rsidRPr="004A5284">
        <w:rPr>
          <w:rFonts w:ascii="Times New Roman" w:hAnsi="Times New Roman" w:cs="Times New Roman"/>
          <w:sz w:val="24"/>
          <w:szCs w:val="24"/>
        </w:rPr>
        <w:t>se investidores e credores são menos informados que os administradores da empresa sobre o valor de seus ativos e sobre suas perspectivas futuras, então as dívidas e as ações podem ter seus preços fixados erroneamente pelo mercado</w:t>
      </w:r>
      <w:r w:rsidRPr="004A5284">
        <w:rPr>
          <w:rFonts w:ascii="Times New Roman" w:hAnsi="Times New Roman" w:cs="Times New Roman"/>
          <w:sz w:val="24"/>
          <w:szCs w:val="24"/>
        </w:rPr>
        <w:t xml:space="preserve"> (</w:t>
      </w:r>
      <w:r w:rsidR="006E410C" w:rsidRPr="004A5284">
        <w:rPr>
          <w:rFonts w:ascii="Times New Roman" w:hAnsi="Times New Roman" w:cs="Times New Roman"/>
          <w:sz w:val="24"/>
          <w:szCs w:val="24"/>
        </w:rPr>
        <w:t>MYERS</w:t>
      </w:r>
      <w:r w:rsidR="006E410C">
        <w:rPr>
          <w:rFonts w:ascii="Times New Roman" w:hAnsi="Times New Roman" w:cs="Times New Roman"/>
          <w:sz w:val="24"/>
          <w:szCs w:val="24"/>
        </w:rPr>
        <w:t xml:space="preserve">; </w:t>
      </w:r>
      <w:r w:rsidR="006E410C" w:rsidRPr="004A5284">
        <w:rPr>
          <w:rFonts w:ascii="Times New Roman" w:hAnsi="Times New Roman" w:cs="Times New Roman"/>
          <w:sz w:val="24"/>
          <w:szCs w:val="24"/>
        </w:rPr>
        <w:t>MAJLUF</w:t>
      </w:r>
      <w:r w:rsidR="006E410C">
        <w:rPr>
          <w:rFonts w:ascii="Times New Roman" w:hAnsi="Times New Roman" w:cs="Times New Roman"/>
          <w:sz w:val="24"/>
          <w:szCs w:val="24"/>
        </w:rPr>
        <w:t>,</w:t>
      </w:r>
      <w:r w:rsidR="006E410C" w:rsidRPr="004A5284">
        <w:rPr>
          <w:rFonts w:ascii="Times New Roman" w:hAnsi="Times New Roman" w:cs="Times New Roman"/>
          <w:sz w:val="24"/>
          <w:szCs w:val="24"/>
        </w:rPr>
        <w:t xml:space="preserve"> </w:t>
      </w:r>
      <w:r w:rsidRPr="004A5284">
        <w:rPr>
          <w:rFonts w:ascii="Times New Roman" w:hAnsi="Times New Roman" w:cs="Times New Roman"/>
          <w:sz w:val="24"/>
          <w:szCs w:val="24"/>
        </w:rPr>
        <w:t>1984)</w:t>
      </w:r>
      <w:r w:rsidR="00122566" w:rsidRPr="004A5284">
        <w:rPr>
          <w:rFonts w:ascii="Times New Roman" w:hAnsi="Times New Roman" w:cs="Times New Roman"/>
          <w:sz w:val="24"/>
          <w:szCs w:val="24"/>
        </w:rPr>
        <w:t xml:space="preserve">. </w:t>
      </w:r>
      <w:r w:rsidRPr="004A5284">
        <w:rPr>
          <w:rFonts w:ascii="Times New Roman" w:hAnsi="Times New Roman" w:cs="Times New Roman"/>
          <w:sz w:val="24"/>
          <w:szCs w:val="24"/>
        </w:rPr>
        <w:t>No entanto</w:t>
      </w:r>
      <w:r w:rsidR="00122566" w:rsidRPr="004A5284">
        <w:rPr>
          <w:rFonts w:ascii="Times New Roman" w:hAnsi="Times New Roman" w:cs="Times New Roman"/>
          <w:sz w:val="24"/>
          <w:szCs w:val="24"/>
        </w:rPr>
        <w:t>, embora investidores temam a fixação dos preços das dívidas e das ações equivocadamente, o temor é muito maior para as ações. Assim, se financiamento externo é requerido, dívidas deveriam ser emitidas antes das ações. Somente quando a empresa alcançar sua capacidade máxima de endividamento é que deveria emitir ações.</w:t>
      </w:r>
    </w:p>
    <w:p w14:paraId="1833F91A" w14:textId="299DC95F" w:rsidR="00726675" w:rsidRPr="004A5284" w:rsidRDefault="007330C1" w:rsidP="00157D35">
      <w:pPr>
        <w:spacing w:after="0" w:line="240" w:lineRule="auto"/>
        <w:ind w:firstLine="709"/>
        <w:jc w:val="both"/>
        <w:rPr>
          <w:rFonts w:ascii="Times New Roman" w:hAnsi="Times New Roman" w:cs="Times New Roman"/>
          <w:sz w:val="24"/>
          <w:szCs w:val="24"/>
        </w:rPr>
      </w:pPr>
      <w:r w:rsidRPr="0003518B">
        <w:rPr>
          <w:rFonts w:ascii="Times New Roman" w:hAnsi="Times New Roman" w:cs="Times New Roman"/>
          <w:sz w:val="24"/>
          <w:szCs w:val="24"/>
        </w:rPr>
        <w:t xml:space="preserve">Em contraste às teorias predominantes e mais atual, a teoria </w:t>
      </w:r>
      <w:proofErr w:type="spellStart"/>
      <w:r w:rsidRPr="009B2C29">
        <w:rPr>
          <w:rFonts w:ascii="Times New Roman" w:hAnsi="Times New Roman" w:cs="Times New Roman"/>
          <w:i/>
          <w:sz w:val="24"/>
          <w:szCs w:val="24"/>
        </w:rPr>
        <w:t>market</w:t>
      </w:r>
      <w:proofErr w:type="spellEnd"/>
      <w:r w:rsidRPr="009B2C29">
        <w:rPr>
          <w:rFonts w:ascii="Times New Roman" w:hAnsi="Times New Roman" w:cs="Times New Roman"/>
          <w:i/>
          <w:sz w:val="24"/>
          <w:szCs w:val="24"/>
        </w:rPr>
        <w:t xml:space="preserve"> timing</w:t>
      </w:r>
      <w:r w:rsidRPr="004A5284">
        <w:rPr>
          <w:rFonts w:ascii="Times New Roman" w:hAnsi="Times New Roman" w:cs="Times New Roman"/>
          <w:sz w:val="24"/>
          <w:szCs w:val="24"/>
        </w:rPr>
        <w:t xml:space="preserve">, </w:t>
      </w:r>
      <w:r w:rsidRPr="0003518B">
        <w:rPr>
          <w:rFonts w:ascii="Times New Roman" w:hAnsi="Times New Roman" w:cs="Times New Roman"/>
          <w:sz w:val="24"/>
          <w:szCs w:val="24"/>
        </w:rPr>
        <w:t xml:space="preserve">desenvolvida por </w:t>
      </w:r>
      <w:r w:rsidRPr="00D34F29">
        <w:rPr>
          <w:rFonts w:ascii="Times New Roman" w:hAnsi="Times New Roman" w:cs="Times New Roman"/>
          <w:sz w:val="24"/>
          <w:szCs w:val="24"/>
        </w:rPr>
        <w:t xml:space="preserve">Baker e </w:t>
      </w:r>
      <w:proofErr w:type="spellStart"/>
      <w:r w:rsidRPr="00D34F29">
        <w:rPr>
          <w:rFonts w:ascii="Times New Roman" w:hAnsi="Times New Roman" w:cs="Times New Roman"/>
          <w:sz w:val="24"/>
          <w:szCs w:val="24"/>
        </w:rPr>
        <w:t>Wurgler</w:t>
      </w:r>
      <w:proofErr w:type="spellEnd"/>
      <w:r w:rsidRPr="00D34F29">
        <w:rPr>
          <w:rFonts w:ascii="Times New Roman" w:hAnsi="Times New Roman" w:cs="Times New Roman"/>
          <w:sz w:val="24"/>
          <w:szCs w:val="24"/>
        </w:rPr>
        <w:t xml:space="preserve"> (2002),</w:t>
      </w:r>
      <w:r w:rsidR="005B3FF4" w:rsidRPr="00D34F29">
        <w:rPr>
          <w:rFonts w:ascii="Times New Roman" w:hAnsi="Times New Roman" w:cs="Times New Roman"/>
          <w:sz w:val="24"/>
          <w:szCs w:val="24"/>
        </w:rPr>
        <w:t xml:space="preserve"> sugere</w:t>
      </w:r>
      <w:r w:rsidR="005B3FF4">
        <w:rPr>
          <w:rFonts w:ascii="Times New Roman" w:hAnsi="Times New Roman" w:cs="Times New Roman"/>
          <w:sz w:val="24"/>
          <w:szCs w:val="24"/>
        </w:rPr>
        <w:t xml:space="preserve"> a prática de comportamento oportunista por parte dos gestores, </w:t>
      </w:r>
      <w:r w:rsidR="005B3FF4" w:rsidRPr="004A5284">
        <w:rPr>
          <w:rFonts w:ascii="Times New Roman" w:hAnsi="Times New Roman" w:cs="Times New Roman"/>
          <w:sz w:val="24"/>
          <w:szCs w:val="24"/>
        </w:rPr>
        <w:t xml:space="preserve">emitindo ações quando os preços estão altos e recomprando-as quando o preço cai, </w:t>
      </w:r>
      <w:r w:rsidR="00726675" w:rsidRPr="004A5284">
        <w:rPr>
          <w:rFonts w:ascii="Times New Roman" w:hAnsi="Times New Roman" w:cs="Times New Roman"/>
          <w:sz w:val="24"/>
          <w:szCs w:val="24"/>
        </w:rPr>
        <w:t>com o objetivo</w:t>
      </w:r>
      <w:r w:rsidR="005B3FF4" w:rsidRPr="004A5284">
        <w:rPr>
          <w:rFonts w:ascii="Times New Roman" w:hAnsi="Times New Roman" w:cs="Times New Roman"/>
          <w:sz w:val="24"/>
          <w:szCs w:val="24"/>
        </w:rPr>
        <w:t xml:space="preserve"> de explorar a flutuação temporária do preço da ação em relação a outras formas de capital.</w:t>
      </w:r>
      <w:r w:rsidR="00726675" w:rsidRPr="004A5284">
        <w:rPr>
          <w:rFonts w:ascii="Times New Roman" w:hAnsi="Times New Roman" w:cs="Times New Roman"/>
          <w:sz w:val="24"/>
          <w:szCs w:val="24"/>
        </w:rPr>
        <w:t xml:space="preserve"> Portanto, diferentemente das abordagens da teoria </w:t>
      </w:r>
      <w:r w:rsidR="00726675" w:rsidRPr="009B2C29">
        <w:rPr>
          <w:rFonts w:ascii="Times New Roman" w:hAnsi="Times New Roman" w:cs="Times New Roman"/>
          <w:i/>
          <w:sz w:val="24"/>
          <w:szCs w:val="24"/>
        </w:rPr>
        <w:t>trade-off</w:t>
      </w:r>
      <w:r w:rsidR="00726675" w:rsidRPr="004A5284">
        <w:rPr>
          <w:rFonts w:ascii="Times New Roman" w:hAnsi="Times New Roman" w:cs="Times New Roman"/>
          <w:sz w:val="24"/>
          <w:szCs w:val="24"/>
        </w:rPr>
        <w:t xml:space="preserve"> e </w:t>
      </w:r>
      <w:proofErr w:type="spellStart"/>
      <w:r w:rsidR="00726675" w:rsidRPr="009B2C29">
        <w:rPr>
          <w:rFonts w:ascii="Times New Roman" w:hAnsi="Times New Roman" w:cs="Times New Roman"/>
          <w:i/>
          <w:sz w:val="24"/>
          <w:szCs w:val="24"/>
        </w:rPr>
        <w:t>pecking</w:t>
      </w:r>
      <w:proofErr w:type="spellEnd"/>
      <w:r w:rsidR="00726675" w:rsidRPr="009B2C29">
        <w:rPr>
          <w:rFonts w:ascii="Times New Roman" w:hAnsi="Times New Roman" w:cs="Times New Roman"/>
          <w:i/>
          <w:sz w:val="24"/>
          <w:szCs w:val="24"/>
        </w:rPr>
        <w:t xml:space="preserve"> </w:t>
      </w:r>
      <w:proofErr w:type="spellStart"/>
      <w:r w:rsidR="00726675" w:rsidRPr="009B2C29">
        <w:rPr>
          <w:rFonts w:ascii="Times New Roman" w:hAnsi="Times New Roman" w:cs="Times New Roman"/>
          <w:i/>
          <w:sz w:val="24"/>
          <w:szCs w:val="24"/>
        </w:rPr>
        <w:t>order</w:t>
      </w:r>
      <w:proofErr w:type="spellEnd"/>
      <w:r w:rsidR="00726675" w:rsidRPr="004A5284">
        <w:rPr>
          <w:rFonts w:ascii="Times New Roman" w:hAnsi="Times New Roman" w:cs="Times New Roman"/>
          <w:sz w:val="24"/>
          <w:szCs w:val="24"/>
        </w:rPr>
        <w:t xml:space="preserve">, nas quais as escolhas das fontes de financiamento são determinadas por questões internas, a teoria do </w:t>
      </w:r>
      <w:proofErr w:type="spellStart"/>
      <w:r w:rsidR="00726675" w:rsidRPr="009B2C29">
        <w:rPr>
          <w:rFonts w:ascii="Times New Roman" w:hAnsi="Times New Roman" w:cs="Times New Roman"/>
          <w:i/>
          <w:sz w:val="24"/>
          <w:szCs w:val="24"/>
        </w:rPr>
        <w:t>market</w:t>
      </w:r>
      <w:proofErr w:type="spellEnd"/>
      <w:r w:rsidR="00726675" w:rsidRPr="009B2C29">
        <w:rPr>
          <w:rFonts w:ascii="Times New Roman" w:hAnsi="Times New Roman" w:cs="Times New Roman"/>
          <w:i/>
          <w:sz w:val="24"/>
          <w:szCs w:val="24"/>
        </w:rPr>
        <w:t xml:space="preserve"> timing</w:t>
      </w:r>
      <w:r w:rsidR="00726675" w:rsidRPr="004A5284">
        <w:rPr>
          <w:rFonts w:ascii="Times New Roman" w:hAnsi="Times New Roman" w:cs="Times New Roman"/>
          <w:sz w:val="24"/>
          <w:szCs w:val="24"/>
        </w:rPr>
        <w:t xml:space="preserve"> centra-se nas condições externas dos mercados de ações e dívidas (</w:t>
      </w:r>
      <w:r w:rsidR="006E410C" w:rsidRPr="004A5284">
        <w:rPr>
          <w:rFonts w:ascii="Times New Roman" w:hAnsi="Times New Roman" w:cs="Times New Roman"/>
          <w:sz w:val="24"/>
          <w:szCs w:val="24"/>
        </w:rPr>
        <w:t>BAKER</w:t>
      </w:r>
      <w:r w:rsidR="006E410C">
        <w:rPr>
          <w:rFonts w:ascii="Times New Roman" w:hAnsi="Times New Roman" w:cs="Times New Roman"/>
          <w:sz w:val="24"/>
          <w:szCs w:val="24"/>
        </w:rPr>
        <w:t xml:space="preserve">; </w:t>
      </w:r>
      <w:r w:rsidR="006E410C" w:rsidRPr="004A5284">
        <w:rPr>
          <w:rFonts w:ascii="Times New Roman" w:hAnsi="Times New Roman" w:cs="Times New Roman"/>
          <w:sz w:val="24"/>
          <w:szCs w:val="24"/>
        </w:rPr>
        <w:t xml:space="preserve">WURGLER, </w:t>
      </w:r>
      <w:r w:rsidR="00726675" w:rsidRPr="004A5284">
        <w:rPr>
          <w:rFonts w:ascii="Times New Roman" w:hAnsi="Times New Roman" w:cs="Times New Roman"/>
          <w:sz w:val="24"/>
          <w:szCs w:val="24"/>
        </w:rPr>
        <w:t>2002).</w:t>
      </w:r>
    </w:p>
    <w:p w14:paraId="7D9ECD04" w14:textId="77777777" w:rsidR="006909D1" w:rsidRPr="0003518B" w:rsidRDefault="006909D1" w:rsidP="0056798E">
      <w:pPr>
        <w:spacing w:after="0" w:line="240" w:lineRule="auto"/>
        <w:ind w:firstLine="708"/>
        <w:jc w:val="both"/>
        <w:rPr>
          <w:rFonts w:ascii="Times New Roman" w:hAnsi="Times New Roman" w:cs="Times New Roman"/>
          <w:sz w:val="24"/>
          <w:szCs w:val="24"/>
        </w:rPr>
      </w:pPr>
    </w:p>
    <w:p w14:paraId="5E02F0A2" w14:textId="3D6C33A2" w:rsidR="007330C1" w:rsidRDefault="007B116C" w:rsidP="00157D35">
      <w:pPr>
        <w:autoSpaceDE w:val="0"/>
        <w:autoSpaceDN w:val="0"/>
        <w:adjustRightInd w:val="0"/>
        <w:spacing w:after="120" w:line="240" w:lineRule="auto"/>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2.1 </w:t>
      </w:r>
      <w:r w:rsidRPr="00CC11DC">
        <w:rPr>
          <w:rFonts w:ascii="Times New Roman" w:hAnsi="Times New Roman" w:cs="Times New Roman"/>
          <w:sz w:val="24"/>
          <w:szCs w:val="24"/>
          <w:lang w:val="pt-PT"/>
        </w:rPr>
        <w:t>Evidências Empíricas</w:t>
      </w:r>
      <w:r>
        <w:rPr>
          <w:rFonts w:ascii="Times New Roman" w:hAnsi="Times New Roman" w:cs="Times New Roman"/>
          <w:sz w:val="24"/>
          <w:szCs w:val="24"/>
          <w:lang w:val="pt-PT"/>
        </w:rPr>
        <w:t xml:space="preserve"> e Hipóteses </w:t>
      </w:r>
      <w:r w:rsidR="00C7694F">
        <w:rPr>
          <w:rFonts w:ascii="Times New Roman" w:hAnsi="Times New Roman" w:cs="Times New Roman"/>
          <w:sz w:val="24"/>
          <w:szCs w:val="24"/>
          <w:lang w:val="pt-PT"/>
        </w:rPr>
        <w:t>d</w:t>
      </w:r>
      <w:r>
        <w:rPr>
          <w:rFonts w:ascii="Times New Roman" w:hAnsi="Times New Roman" w:cs="Times New Roman"/>
          <w:sz w:val="24"/>
          <w:szCs w:val="24"/>
          <w:lang w:val="pt-PT"/>
        </w:rPr>
        <w:t>e Pesquisa</w:t>
      </w:r>
    </w:p>
    <w:p w14:paraId="6965F2FB" w14:textId="7C5B5B41" w:rsidR="0016516D" w:rsidRPr="00933491" w:rsidRDefault="0016516D" w:rsidP="00157D35">
      <w:pPr>
        <w:autoSpaceDE w:val="0"/>
        <w:autoSpaceDN w:val="0"/>
        <w:adjustRightInd w:val="0"/>
        <w:spacing w:after="0" w:line="240" w:lineRule="auto"/>
        <w:ind w:firstLine="709"/>
        <w:jc w:val="both"/>
        <w:rPr>
          <w:rFonts w:ascii="Times New Roman" w:hAnsi="Times New Roman" w:cs="Times New Roman"/>
          <w:sz w:val="24"/>
          <w:szCs w:val="24"/>
          <w:lang w:val="pt-PT"/>
        </w:rPr>
      </w:pPr>
      <w:r w:rsidRPr="003E40AC">
        <w:rPr>
          <w:rFonts w:ascii="Times New Roman" w:hAnsi="Times New Roman" w:cs="Times New Roman"/>
          <w:sz w:val="24"/>
          <w:szCs w:val="24"/>
          <w:lang w:val="pt-PT"/>
        </w:rPr>
        <w:t>Lo</w:t>
      </w:r>
      <w:r w:rsidRPr="00933491">
        <w:rPr>
          <w:rFonts w:ascii="Times New Roman" w:hAnsi="Times New Roman" w:cs="Times New Roman"/>
          <w:sz w:val="24"/>
          <w:szCs w:val="24"/>
          <w:lang w:val="pt-PT"/>
        </w:rPr>
        <w:t xml:space="preserve">ughran e Ritter (1995) documentaram o baixo desempenho operacional das empresas emissoras de IPO ou de SEO, utilizando uma amostra de 4.753 IPO’s e 3.702 SEO’s realizadas durante o período de 1970 a 1990. Os resultados apontaram que o retorno médio anual durante os cinco anos posteriores à emissão </w:t>
      </w:r>
      <w:r w:rsidR="00BC379C">
        <w:rPr>
          <w:rFonts w:ascii="Times New Roman" w:hAnsi="Times New Roman" w:cs="Times New Roman"/>
          <w:sz w:val="24"/>
          <w:szCs w:val="24"/>
          <w:lang w:val="pt-PT"/>
        </w:rPr>
        <w:t>era</w:t>
      </w:r>
      <w:r w:rsidRPr="00933491">
        <w:rPr>
          <w:rFonts w:ascii="Times New Roman" w:hAnsi="Times New Roman" w:cs="Times New Roman"/>
          <w:sz w:val="24"/>
          <w:szCs w:val="24"/>
          <w:lang w:val="pt-PT"/>
        </w:rPr>
        <w:t xml:space="preserve"> de apenas 5% para empresas que realizaram uma IPO e 7% para as empresas que realizaram SEO’s, enquanto as empresas não emissoras de ações obtiveram um retorno médio anual de 15%. Diante de tais resultados, os autores argumentam que investir em empresas emissoras de ações é muito perigoso para a riqueza dos investidores, pois as empresas que emitiram ações durante 1970 a 1990</w:t>
      </w:r>
      <w:r w:rsidR="00077BEB" w:rsidRPr="00933491">
        <w:rPr>
          <w:rFonts w:ascii="Times New Roman" w:hAnsi="Times New Roman" w:cs="Times New Roman"/>
          <w:sz w:val="24"/>
          <w:szCs w:val="24"/>
          <w:lang w:val="pt-PT"/>
        </w:rPr>
        <w:t xml:space="preserve"> </w:t>
      </w:r>
      <w:r w:rsidRPr="00933491">
        <w:rPr>
          <w:rFonts w:ascii="Times New Roman" w:hAnsi="Times New Roman" w:cs="Times New Roman"/>
          <w:sz w:val="24"/>
          <w:szCs w:val="24"/>
          <w:lang w:val="pt-PT"/>
        </w:rPr>
        <w:t>foram pobres em investimentos de longo prazo para os investidores.</w:t>
      </w:r>
    </w:p>
    <w:p w14:paraId="0727787B" w14:textId="3A2C21E2" w:rsidR="0016516D" w:rsidRPr="00933491" w:rsidRDefault="0016516D" w:rsidP="00157D35">
      <w:pPr>
        <w:autoSpaceDE w:val="0"/>
        <w:autoSpaceDN w:val="0"/>
        <w:adjustRightInd w:val="0"/>
        <w:spacing w:after="0" w:line="240" w:lineRule="auto"/>
        <w:ind w:firstLine="709"/>
        <w:jc w:val="both"/>
        <w:rPr>
          <w:rFonts w:ascii="Times New Roman" w:hAnsi="Times New Roman" w:cs="Times New Roman"/>
          <w:sz w:val="24"/>
          <w:szCs w:val="24"/>
          <w:lang w:val="pt-PT"/>
        </w:rPr>
      </w:pPr>
      <w:r w:rsidRPr="00933491">
        <w:rPr>
          <w:rFonts w:ascii="Times New Roman" w:hAnsi="Times New Roman" w:cs="Times New Roman"/>
          <w:sz w:val="24"/>
          <w:szCs w:val="24"/>
          <w:lang w:val="pt-PT"/>
        </w:rPr>
        <w:t xml:space="preserve">O desempenho das empresas que realizaram SEO’s após cinco anos posteriores à emissão foi analisado por Spiess e Affleck-Graves (1995). Os resultados evidenciaram baixo desempenho no longo prazo das empresas que realizaram SEO’s, em comparação com as empresas não emissoras de SEO’s, manifestando-se mais graves para aquelas empresas menores, mais jovens e com o menor índice </w:t>
      </w:r>
      <w:r w:rsidRPr="006C0F79">
        <w:rPr>
          <w:rFonts w:ascii="Times New Roman" w:hAnsi="Times New Roman" w:cs="Times New Roman"/>
          <w:i/>
          <w:sz w:val="24"/>
          <w:szCs w:val="24"/>
          <w:lang w:val="pt-PT"/>
        </w:rPr>
        <w:t>book-to-market</w:t>
      </w:r>
      <w:r w:rsidRPr="00933491">
        <w:rPr>
          <w:rFonts w:ascii="Times New Roman" w:hAnsi="Times New Roman" w:cs="Times New Roman"/>
          <w:sz w:val="24"/>
          <w:szCs w:val="24"/>
          <w:lang w:val="pt-PT"/>
        </w:rPr>
        <w:t>. A partir desses resultados, os autores concluíram que, no longo prazo, os retornos anormais negativos não são exclusivos para IPO’s, mas são uma característica encontrada e difundida para todas as ofertas de ações.</w:t>
      </w:r>
    </w:p>
    <w:p w14:paraId="1045AC60" w14:textId="035B8C58" w:rsidR="0016516D" w:rsidRPr="00933491" w:rsidRDefault="0016516D" w:rsidP="00157D35">
      <w:pPr>
        <w:autoSpaceDE w:val="0"/>
        <w:autoSpaceDN w:val="0"/>
        <w:adjustRightInd w:val="0"/>
        <w:spacing w:after="0" w:line="240" w:lineRule="auto"/>
        <w:ind w:firstLine="709"/>
        <w:jc w:val="both"/>
        <w:rPr>
          <w:rFonts w:ascii="Times New Roman" w:hAnsi="Times New Roman" w:cs="Times New Roman"/>
          <w:sz w:val="24"/>
          <w:szCs w:val="24"/>
          <w:lang w:val="pt-PT"/>
        </w:rPr>
      </w:pPr>
      <w:r w:rsidRPr="00933491">
        <w:rPr>
          <w:rFonts w:ascii="Times New Roman" w:hAnsi="Times New Roman" w:cs="Times New Roman"/>
          <w:sz w:val="24"/>
          <w:szCs w:val="24"/>
          <w:lang w:val="pt-PT"/>
        </w:rPr>
        <w:t>Loughran e Ritter (1997) analisaram e compararam o desempenho operacional</w:t>
      </w:r>
      <w:r w:rsidR="00D00233" w:rsidRPr="00933491">
        <w:rPr>
          <w:rFonts w:ascii="Times New Roman" w:hAnsi="Times New Roman" w:cs="Times New Roman"/>
          <w:sz w:val="24"/>
          <w:szCs w:val="24"/>
          <w:lang w:val="pt-PT"/>
        </w:rPr>
        <w:t xml:space="preserve"> de empresas que realizaram e não realizaram SEO</w:t>
      </w:r>
      <w:r w:rsidR="00A148D1" w:rsidRPr="00933491">
        <w:rPr>
          <w:rFonts w:ascii="Times New Roman" w:hAnsi="Times New Roman" w:cs="Times New Roman"/>
          <w:sz w:val="24"/>
          <w:szCs w:val="24"/>
          <w:lang w:val="pt-PT"/>
        </w:rPr>
        <w:t xml:space="preserve">. </w:t>
      </w:r>
      <w:r w:rsidRPr="00933491">
        <w:rPr>
          <w:rFonts w:ascii="Times New Roman" w:hAnsi="Times New Roman" w:cs="Times New Roman"/>
          <w:sz w:val="24"/>
          <w:szCs w:val="24"/>
          <w:lang w:val="pt-PT"/>
        </w:rPr>
        <w:t>Os resultados apontaram que</w:t>
      </w:r>
      <w:r w:rsidR="001B0BE2" w:rsidRPr="00933491">
        <w:rPr>
          <w:rFonts w:ascii="Times New Roman" w:hAnsi="Times New Roman" w:cs="Times New Roman"/>
          <w:sz w:val="24"/>
          <w:szCs w:val="24"/>
          <w:lang w:val="pt-PT"/>
        </w:rPr>
        <w:t>,</w:t>
      </w:r>
      <w:r w:rsidRPr="00933491">
        <w:rPr>
          <w:rFonts w:ascii="Times New Roman" w:hAnsi="Times New Roman" w:cs="Times New Roman"/>
          <w:sz w:val="24"/>
          <w:szCs w:val="24"/>
          <w:lang w:val="pt-PT"/>
        </w:rPr>
        <w:t xml:space="preserve"> em períodos anteriores a uma SEO, as empresas apresentaram maiores níveis de desempenho operacional, porém, posteriormente, houve uma deterioração no retorno operacional sobre o ativo (ROA), que era 6,3%, diminuindo para 3,2%, após a emissão. Outra evidência é que os retornos das SEO’s eram mais baixos para empresas que fizeram pequenas emissões de SEO’s, no entanto, a deterioração do desempenho operacional posterior à emissão atingia tanto as empresas que fizeram grandes emissões, quanto as que realizaram pequenas emissões, em comparação com as empresas não emissoras.</w:t>
      </w:r>
      <w:r w:rsidR="00BD6068">
        <w:rPr>
          <w:rFonts w:ascii="Times New Roman" w:hAnsi="Times New Roman" w:cs="Times New Roman"/>
          <w:sz w:val="24"/>
          <w:szCs w:val="24"/>
          <w:lang w:val="pt-PT"/>
        </w:rPr>
        <w:t xml:space="preserve"> Por fim, os autores conclem que o baixo retorno das ações após a SEO é devido ao seu rápido crescimento. </w:t>
      </w:r>
    </w:p>
    <w:p w14:paraId="5BF2A05C" w14:textId="0AB3489C" w:rsidR="0016516D" w:rsidRPr="00933491" w:rsidRDefault="0016516D" w:rsidP="00157D35">
      <w:pPr>
        <w:autoSpaceDE w:val="0"/>
        <w:autoSpaceDN w:val="0"/>
        <w:adjustRightInd w:val="0"/>
        <w:spacing w:after="0" w:line="240" w:lineRule="auto"/>
        <w:ind w:firstLine="709"/>
        <w:jc w:val="both"/>
        <w:rPr>
          <w:rFonts w:ascii="Times New Roman" w:hAnsi="Times New Roman" w:cs="Times New Roman"/>
          <w:sz w:val="24"/>
          <w:szCs w:val="24"/>
          <w:lang w:val="pt-PT"/>
        </w:rPr>
      </w:pPr>
      <w:r w:rsidRPr="00933491">
        <w:rPr>
          <w:rFonts w:ascii="Times New Roman" w:hAnsi="Times New Roman" w:cs="Times New Roman"/>
          <w:sz w:val="24"/>
          <w:szCs w:val="24"/>
          <w:lang w:val="pt-PT"/>
        </w:rPr>
        <w:t xml:space="preserve">O gerenciamento de resultados das empresas em torno do ano da realização da SEO foi investigado por Rangan (1998) como uma possível explicação para o baixo preço das ações e do baixo desempenho obtidos por essas empresas no ano seguinte pós emissão da SEO. Os resultados apontaram que o gerenciamento de resultados </w:t>
      </w:r>
      <w:r w:rsidR="00E83188" w:rsidRPr="00933491">
        <w:rPr>
          <w:rFonts w:ascii="Times New Roman" w:hAnsi="Times New Roman" w:cs="Times New Roman"/>
          <w:sz w:val="24"/>
          <w:szCs w:val="24"/>
          <w:lang w:val="pt-PT"/>
        </w:rPr>
        <w:t>por meio</w:t>
      </w:r>
      <w:r w:rsidRPr="00933491">
        <w:rPr>
          <w:rFonts w:ascii="Times New Roman" w:hAnsi="Times New Roman" w:cs="Times New Roman"/>
          <w:sz w:val="24"/>
          <w:szCs w:val="24"/>
          <w:lang w:val="pt-PT"/>
        </w:rPr>
        <w:t xml:space="preserve"> dos accruals discricionários durante o ano em torno da realização da SEO </w:t>
      </w:r>
      <w:r w:rsidR="00C203C6">
        <w:rPr>
          <w:rFonts w:ascii="Times New Roman" w:hAnsi="Times New Roman" w:cs="Times New Roman"/>
          <w:sz w:val="24"/>
          <w:szCs w:val="24"/>
          <w:lang w:val="pt-PT"/>
        </w:rPr>
        <w:t>era</w:t>
      </w:r>
      <w:r w:rsidRPr="00933491">
        <w:rPr>
          <w:rFonts w:ascii="Times New Roman" w:hAnsi="Times New Roman" w:cs="Times New Roman"/>
          <w:sz w:val="24"/>
          <w:szCs w:val="24"/>
          <w:lang w:val="pt-PT"/>
        </w:rPr>
        <w:t xml:space="preserve"> negativamente correlacionado com as </w:t>
      </w:r>
      <w:r w:rsidRPr="00933491">
        <w:rPr>
          <w:rFonts w:ascii="Times New Roman" w:hAnsi="Times New Roman" w:cs="Times New Roman"/>
          <w:sz w:val="24"/>
          <w:szCs w:val="24"/>
          <w:lang w:val="pt-PT"/>
        </w:rPr>
        <w:lastRenderedPageBreak/>
        <w:t xml:space="preserve">mudanças nos lucros do ano seguinte. Evidenciaram, também, que accruals discricionários em torno da realização da SEO preveem retornos das ações ajustados ao mercado no ano seguinte. </w:t>
      </w:r>
      <w:r w:rsidR="006F1F61" w:rsidRPr="00933491">
        <w:rPr>
          <w:rFonts w:ascii="Times New Roman" w:hAnsi="Times New Roman" w:cs="Times New Roman"/>
          <w:sz w:val="24"/>
          <w:szCs w:val="24"/>
          <w:lang w:val="pt-PT"/>
        </w:rPr>
        <w:t xml:space="preserve">Por fim, </w:t>
      </w:r>
      <w:r w:rsidRPr="00933491">
        <w:rPr>
          <w:rFonts w:ascii="Times New Roman" w:hAnsi="Times New Roman" w:cs="Times New Roman"/>
          <w:sz w:val="24"/>
          <w:szCs w:val="24"/>
          <w:lang w:val="pt-PT"/>
        </w:rPr>
        <w:t>concluiu que o mercado de ações não valoriza corretamente as implicações dos accruals discricionários dos lucros posteriores à realização da SEO e que as empresas emitentes podem manipular o preço de suas ações por meio do gerenciamento de resultados.</w:t>
      </w:r>
    </w:p>
    <w:p w14:paraId="05FEE030" w14:textId="7E962507" w:rsidR="0016516D" w:rsidRPr="00933491" w:rsidRDefault="0016516D" w:rsidP="00157D35">
      <w:pPr>
        <w:autoSpaceDE w:val="0"/>
        <w:autoSpaceDN w:val="0"/>
        <w:adjustRightInd w:val="0"/>
        <w:spacing w:after="0" w:line="240" w:lineRule="auto"/>
        <w:ind w:firstLine="709"/>
        <w:jc w:val="both"/>
        <w:rPr>
          <w:rFonts w:ascii="Times New Roman" w:hAnsi="Times New Roman" w:cs="Times New Roman"/>
          <w:sz w:val="24"/>
          <w:szCs w:val="24"/>
          <w:lang w:val="pt-PT"/>
        </w:rPr>
      </w:pPr>
      <w:r w:rsidRPr="00933491">
        <w:rPr>
          <w:rFonts w:ascii="Times New Roman" w:hAnsi="Times New Roman" w:cs="Times New Roman"/>
          <w:sz w:val="24"/>
          <w:szCs w:val="24"/>
          <w:lang w:val="pt-PT"/>
        </w:rPr>
        <w:t>Já Teoh, Welch e Wong (1998) verificaram se ajustes nos accruals discricionários por meio de escolhas contábeis em períodos que antecedem uma SEO poderiam explicar a baixa performance, no longo prazo, das empresas que se engajaram nesse tipo de operação, utilizando uma amostra de 1.265 empresas emissoras de SEO’s, durante o período de 1976 a 1990. Para isso, testaram a hipótese de que o gerenciamento de resultados aumenta o lucro líquido ao redor do período de uma SEO, mas, em exercícios seguintes, ocorre um declínio no lucro líquido causado pela correção dos ajustes realizados em exercícios anteriores. Os resultados apontaram que os accruals discricionários crescem antes da SEO, atingem um pico no ano de realização e declinam nos anos seguintes à realização da SEO. No entanto, observaram que, para o fluxo de caixa, ocorreu justamente o contrário, ou seja, baixos fluxos de caixa antes da emissão e melhores fluxos de caixa pós emissão da SEO.</w:t>
      </w:r>
    </w:p>
    <w:p w14:paraId="0C3355F5" w14:textId="590E41F4" w:rsidR="003B5192" w:rsidRPr="00933491" w:rsidRDefault="003B5192" w:rsidP="00157D35">
      <w:pPr>
        <w:autoSpaceDE w:val="0"/>
        <w:autoSpaceDN w:val="0"/>
        <w:adjustRightInd w:val="0"/>
        <w:spacing w:after="0" w:line="240" w:lineRule="auto"/>
        <w:ind w:firstLine="709"/>
        <w:jc w:val="both"/>
        <w:rPr>
          <w:rFonts w:ascii="Times New Roman" w:hAnsi="Times New Roman" w:cs="Times New Roman"/>
          <w:sz w:val="24"/>
          <w:szCs w:val="24"/>
          <w:lang w:val="pt-PT"/>
        </w:rPr>
      </w:pPr>
      <w:r w:rsidRPr="00933491">
        <w:rPr>
          <w:rFonts w:ascii="Times New Roman" w:hAnsi="Times New Roman" w:cs="Times New Roman"/>
          <w:sz w:val="24"/>
          <w:szCs w:val="24"/>
          <w:lang w:val="pt-PT"/>
        </w:rPr>
        <w:t xml:space="preserve">Denis e Sarin (2001) examinaram a reação dos preços das ações a anúncios de resultados das empresas nos cinco anos posteriores a uma realização de uma SEO e testaram a possibilidade </w:t>
      </w:r>
      <w:r w:rsidR="00B60DF4" w:rsidRPr="00933491">
        <w:rPr>
          <w:rFonts w:ascii="Times New Roman" w:hAnsi="Times New Roman" w:cs="Times New Roman"/>
          <w:sz w:val="24"/>
          <w:szCs w:val="24"/>
          <w:lang w:val="pt-PT"/>
        </w:rPr>
        <w:t xml:space="preserve">de </w:t>
      </w:r>
      <w:r w:rsidRPr="00933491">
        <w:rPr>
          <w:rFonts w:ascii="Times New Roman" w:hAnsi="Times New Roman" w:cs="Times New Roman"/>
          <w:sz w:val="24"/>
          <w:szCs w:val="24"/>
          <w:lang w:val="pt-PT"/>
        </w:rPr>
        <w:t xml:space="preserve">o mercado ser surpreendido pelo fraco desempenho das ações após a realização de uma SEO. Os resultados indicaram que, no longo prazo, após a realização da SEO, as empresas emissoras obtiveram baixo desempenho do preço das ações e quedas nos lucros em comparação </w:t>
      </w:r>
      <w:r w:rsidR="004778F5" w:rsidRPr="00933491">
        <w:rPr>
          <w:rFonts w:ascii="Times New Roman" w:hAnsi="Times New Roman" w:cs="Times New Roman"/>
          <w:sz w:val="24"/>
          <w:szCs w:val="24"/>
          <w:lang w:val="pt-PT"/>
        </w:rPr>
        <w:t>à</w:t>
      </w:r>
      <w:r w:rsidRPr="00933491">
        <w:rPr>
          <w:rFonts w:ascii="Times New Roman" w:hAnsi="Times New Roman" w:cs="Times New Roman"/>
          <w:sz w:val="24"/>
          <w:szCs w:val="24"/>
          <w:lang w:val="pt-PT"/>
        </w:rPr>
        <w:t>s empresas não emissoras de SEO. Além disso, verific</w:t>
      </w:r>
      <w:r w:rsidR="00EF0D92">
        <w:rPr>
          <w:rFonts w:ascii="Times New Roman" w:hAnsi="Times New Roman" w:cs="Times New Roman"/>
          <w:sz w:val="24"/>
          <w:szCs w:val="24"/>
          <w:lang w:val="pt-PT"/>
        </w:rPr>
        <w:t>aram</w:t>
      </w:r>
      <w:r w:rsidRPr="00933491">
        <w:rPr>
          <w:rFonts w:ascii="Times New Roman" w:hAnsi="Times New Roman" w:cs="Times New Roman"/>
          <w:sz w:val="24"/>
          <w:szCs w:val="24"/>
          <w:lang w:val="pt-PT"/>
        </w:rPr>
        <w:t xml:space="preserve"> que, para as empresas que realizaram pequeno volume de emissão de ações, uma parte do baixo desempenho de longo prazo é ocasionada pelo excesso de otimismo dos investidores que superestimam os lucros futuros dessas empresas. No entanto, para as grandes emissoras de açõe</w:t>
      </w:r>
      <w:r w:rsidR="004778F5" w:rsidRPr="00933491">
        <w:rPr>
          <w:rFonts w:ascii="Times New Roman" w:hAnsi="Times New Roman" w:cs="Times New Roman"/>
          <w:sz w:val="24"/>
          <w:szCs w:val="24"/>
          <w:lang w:val="pt-PT"/>
        </w:rPr>
        <w:t xml:space="preserve">s, os resultados não  fornecem </w:t>
      </w:r>
      <w:r w:rsidRPr="00933491">
        <w:rPr>
          <w:rFonts w:ascii="Times New Roman" w:hAnsi="Times New Roman" w:cs="Times New Roman"/>
          <w:sz w:val="24"/>
          <w:szCs w:val="24"/>
          <w:lang w:val="pt-PT"/>
        </w:rPr>
        <w:t xml:space="preserve">nenhum suporte para a hipótese de excesso de otimismo dos investidores. Quanto à reação dos preços das ações a anúncios de resultados pós SEO, </w:t>
      </w:r>
      <w:r w:rsidR="006F4EBC">
        <w:rPr>
          <w:rFonts w:ascii="Times New Roman" w:hAnsi="Times New Roman" w:cs="Times New Roman"/>
          <w:sz w:val="24"/>
          <w:szCs w:val="24"/>
          <w:lang w:val="pt-PT"/>
        </w:rPr>
        <w:t>foram encontradas</w:t>
      </w:r>
      <w:r w:rsidRPr="00933491">
        <w:rPr>
          <w:rFonts w:ascii="Times New Roman" w:hAnsi="Times New Roman" w:cs="Times New Roman"/>
          <w:sz w:val="24"/>
          <w:szCs w:val="24"/>
          <w:lang w:val="pt-PT"/>
        </w:rPr>
        <w:t xml:space="preserve"> evidências negativas apenas para as empresas emissoras de menor tamanho e para as empresas com as maiores accruals discricionários pré SEO.</w:t>
      </w:r>
    </w:p>
    <w:p w14:paraId="49601857" w14:textId="4E90C67F" w:rsidR="00606308" w:rsidRPr="00933491" w:rsidRDefault="00B60DF4" w:rsidP="00157D35">
      <w:pPr>
        <w:autoSpaceDE w:val="0"/>
        <w:autoSpaceDN w:val="0"/>
        <w:adjustRightInd w:val="0"/>
        <w:spacing w:after="0" w:line="240" w:lineRule="auto"/>
        <w:ind w:firstLine="709"/>
        <w:jc w:val="both"/>
        <w:rPr>
          <w:rFonts w:ascii="Times New Roman" w:hAnsi="Times New Roman" w:cs="Times New Roman"/>
          <w:sz w:val="24"/>
          <w:szCs w:val="24"/>
          <w:lang w:val="pt-PT"/>
        </w:rPr>
      </w:pPr>
      <w:r w:rsidRPr="00933491">
        <w:rPr>
          <w:rFonts w:ascii="Times New Roman" w:hAnsi="Times New Roman" w:cs="Times New Roman"/>
          <w:sz w:val="24"/>
          <w:szCs w:val="24"/>
          <w:lang w:val="pt-PT"/>
        </w:rPr>
        <w:t xml:space="preserve">Assim como </w:t>
      </w:r>
      <w:r w:rsidR="00606308" w:rsidRPr="00933491">
        <w:rPr>
          <w:rFonts w:ascii="Times New Roman" w:hAnsi="Times New Roman" w:cs="Times New Roman"/>
          <w:sz w:val="24"/>
          <w:szCs w:val="24"/>
          <w:lang w:val="pt-PT"/>
        </w:rPr>
        <w:t xml:space="preserve">Rangan (1998) e </w:t>
      </w:r>
      <w:r w:rsidR="006E410C" w:rsidRPr="00933491">
        <w:rPr>
          <w:rFonts w:ascii="Times New Roman" w:hAnsi="Times New Roman" w:cs="Times New Roman"/>
          <w:sz w:val="24"/>
          <w:szCs w:val="24"/>
          <w:lang w:val="pt-PT"/>
        </w:rPr>
        <w:t xml:space="preserve">Teoh, Welch e Wong </w:t>
      </w:r>
      <w:r w:rsidR="00606308" w:rsidRPr="00933491">
        <w:rPr>
          <w:rFonts w:ascii="Times New Roman" w:hAnsi="Times New Roman" w:cs="Times New Roman"/>
          <w:sz w:val="24"/>
          <w:szCs w:val="24"/>
          <w:lang w:val="pt-PT"/>
        </w:rPr>
        <w:t>(1998), Cohen e Zarowin (2010) analisaram se havia manipulação do gerenciamento de resultados reais e de exercício em torno de emissões de SEO’s. Os resultados indicaram que o baixo desempenho posterior à emissão de SEO’s não é ocasionado apenas por reversão nos accruals, mas também reflete as consequências reais das decisões operacionais tomadas para gerenciar lucros.</w:t>
      </w:r>
    </w:p>
    <w:p w14:paraId="0615C40C" w14:textId="12ADFCD4" w:rsidR="003B5192" w:rsidRPr="00933491" w:rsidRDefault="005A21F4" w:rsidP="00157D35">
      <w:pPr>
        <w:autoSpaceDE w:val="0"/>
        <w:autoSpaceDN w:val="0"/>
        <w:adjustRightInd w:val="0"/>
        <w:spacing w:after="0" w:line="240" w:lineRule="auto"/>
        <w:ind w:firstLine="709"/>
        <w:jc w:val="both"/>
        <w:rPr>
          <w:rFonts w:ascii="Times New Roman" w:hAnsi="Times New Roman" w:cs="Times New Roman"/>
          <w:sz w:val="24"/>
          <w:szCs w:val="24"/>
          <w:lang w:val="pt-PT"/>
        </w:rPr>
      </w:pPr>
      <w:r w:rsidRPr="00933491">
        <w:rPr>
          <w:rFonts w:ascii="Times New Roman" w:hAnsi="Times New Roman" w:cs="Times New Roman"/>
          <w:sz w:val="24"/>
          <w:szCs w:val="24"/>
          <w:lang w:val="pt-PT"/>
        </w:rPr>
        <w:t>Verificar se g</w:t>
      </w:r>
      <w:r w:rsidR="003B5192" w:rsidRPr="00933491">
        <w:rPr>
          <w:rFonts w:ascii="Times New Roman" w:hAnsi="Times New Roman" w:cs="Times New Roman"/>
          <w:sz w:val="24"/>
          <w:szCs w:val="24"/>
          <w:lang w:val="pt-PT"/>
        </w:rPr>
        <w:t xml:space="preserve">randes e pequenas empresas tratam emissões de ações de forma diferente foi a hipótese testada por Shu e Chiang (2014). De acordo com os autores, as pequenas empresas utilizam oportunidades geradas pelo tempo de mercado, ao passo que as grandes empresas usam accruals discricionários para aumentar seus rendimentos. Os resultados indicaram que as pequenas e grandes empresas adotam diferentes abordagens </w:t>
      </w:r>
      <w:r w:rsidR="00841AED" w:rsidRPr="00933491">
        <w:rPr>
          <w:rFonts w:ascii="Times New Roman" w:hAnsi="Times New Roman" w:cs="Times New Roman"/>
          <w:sz w:val="24"/>
          <w:szCs w:val="24"/>
          <w:lang w:val="pt-PT"/>
        </w:rPr>
        <w:t xml:space="preserve">ao ofertar SEO’s no mercado de </w:t>
      </w:r>
      <w:r w:rsidR="004778F5" w:rsidRPr="00933491">
        <w:rPr>
          <w:rFonts w:ascii="Times New Roman" w:hAnsi="Times New Roman" w:cs="Times New Roman"/>
          <w:sz w:val="24"/>
          <w:szCs w:val="24"/>
          <w:lang w:val="pt-PT"/>
        </w:rPr>
        <w:t>ações de Taiwan.</w:t>
      </w:r>
    </w:p>
    <w:p w14:paraId="652CFD46" w14:textId="2BD6B919" w:rsidR="0016516D" w:rsidRPr="00933491" w:rsidRDefault="00FA10B2" w:rsidP="00157D35">
      <w:pPr>
        <w:autoSpaceDE w:val="0"/>
        <w:autoSpaceDN w:val="0"/>
        <w:adjustRightInd w:val="0"/>
        <w:spacing w:after="0" w:line="240" w:lineRule="auto"/>
        <w:ind w:firstLine="709"/>
        <w:jc w:val="both"/>
        <w:rPr>
          <w:rFonts w:ascii="Times New Roman" w:hAnsi="Times New Roman" w:cs="Times New Roman"/>
          <w:sz w:val="24"/>
          <w:szCs w:val="24"/>
          <w:lang w:val="pt-PT"/>
        </w:rPr>
      </w:pPr>
      <w:r w:rsidRPr="00933491">
        <w:rPr>
          <w:rFonts w:ascii="Times New Roman" w:hAnsi="Times New Roman" w:cs="Times New Roman"/>
          <w:sz w:val="24"/>
          <w:szCs w:val="24"/>
          <w:lang w:val="pt-PT"/>
        </w:rPr>
        <w:t>Yang</w:t>
      </w:r>
      <w:r w:rsidR="0016516D" w:rsidRPr="00933491">
        <w:rPr>
          <w:rFonts w:ascii="Times New Roman" w:hAnsi="Times New Roman" w:cs="Times New Roman"/>
          <w:sz w:val="24"/>
          <w:szCs w:val="24"/>
          <w:lang w:val="pt-PT"/>
        </w:rPr>
        <w:t>, Hsu e Yang (2016) analisaram o pressuposto de que as restrições financeiras e o risco de falência poderiam levar as empresas a obterem maiores ganhos sobre Oferta P</w:t>
      </w:r>
      <w:r w:rsidR="004778F5" w:rsidRPr="00933491">
        <w:rPr>
          <w:rFonts w:ascii="Times New Roman" w:hAnsi="Times New Roman" w:cs="Times New Roman"/>
          <w:sz w:val="24"/>
          <w:szCs w:val="24"/>
          <w:lang w:val="pt-PT"/>
        </w:rPr>
        <w:t>ública de Subsequente de Ações</w:t>
      </w:r>
      <w:r w:rsidR="0016516D" w:rsidRPr="00933491">
        <w:rPr>
          <w:rFonts w:ascii="Times New Roman" w:hAnsi="Times New Roman" w:cs="Times New Roman"/>
          <w:sz w:val="24"/>
          <w:szCs w:val="24"/>
          <w:lang w:val="pt-PT"/>
        </w:rPr>
        <w:t xml:space="preserve"> (SEOs),</w:t>
      </w:r>
      <w:r w:rsidR="004778F5" w:rsidRPr="00933491">
        <w:rPr>
          <w:rFonts w:ascii="Times New Roman" w:hAnsi="Times New Roman" w:cs="Times New Roman"/>
          <w:sz w:val="24"/>
          <w:szCs w:val="24"/>
          <w:lang w:val="pt-PT"/>
        </w:rPr>
        <w:t xml:space="preserve"> mas, no longo prazo, resultaria </w:t>
      </w:r>
      <w:r w:rsidR="0016516D" w:rsidRPr="00933491">
        <w:rPr>
          <w:rFonts w:ascii="Times New Roman" w:hAnsi="Times New Roman" w:cs="Times New Roman"/>
          <w:sz w:val="24"/>
          <w:szCs w:val="24"/>
          <w:lang w:val="pt-PT"/>
        </w:rPr>
        <w:t xml:space="preserve">em desempenho diferente. Os resultados indicaram que as empresas com restrições financeiras e com gerenciamento de resultados rigorosos têm desempenho positivo após SEOs, </w:t>
      </w:r>
      <w:r w:rsidR="004778F5" w:rsidRPr="00933491">
        <w:rPr>
          <w:rFonts w:ascii="Times New Roman" w:hAnsi="Times New Roman" w:cs="Times New Roman"/>
          <w:sz w:val="24"/>
          <w:szCs w:val="24"/>
          <w:lang w:val="pt-PT"/>
        </w:rPr>
        <w:t xml:space="preserve">sugerindo </w:t>
      </w:r>
      <w:r w:rsidR="0016516D" w:rsidRPr="00933491">
        <w:rPr>
          <w:rFonts w:ascii="Times New Roman" w:hAnsi="Times New Roman" w:cs="Times New Roman"/>
          <w:sz w:val="24"/>
          <w:szCs w:val="24"/>
          <w:lang w:val="pt-PT"/>
        </w:rPr>
        <w:t>que os seus lucros sinalizam bastante a capacidade de melhorar suas operações após a libertação de inflexibilidade operacional. Em contraste, as empresas com alto risco de falência e c</w:t>
      </w:r>
      <w:r w:rsidR="00A65C31">
        <w:rPr>
          <w:rFonts w:ascii="Times New Roman" w:hAnsi="Times New Roman" w:cs="Times New Roman"/>
          <w:sz w:val="24"/>
          <w:szCs w:val="24"/>
          <w:lang w:val="pt-PT"/>
        </w:rPr>
        <w:t>om gestão de resultados rigorosa</w:t>
      </w:r>
      <w:r w:rsidR="0016516D" w:rsidRPr="00933491">
        <w:rPr>
          <w:rFonts w:ascii="Times New Roman" w:hAnsi="Times New Roman" w:cs="Times New Roman"/>
          <w:sz w:val="24"/>
          <w:szCs w:val="24"/>
          <w:lang w:val="pt-PT"/>
        </w:rPr>
        <w:t xml:space="preserve"> têm um mau desempenho após SEO, revelando que os gestores inflam ganhos para se beneficiarem de maiores receitas, mas dificilmente podem melhorar suas operações.</w:t>
      </w:r>
    </w:p>
    <w:p w14:paraId="09FD522E" w14:textId="15DB8058" w:rsidR="0016516D" w:rsidRPr="00933491" w:rsidRDefault="0016516D" w:rsidP="00157D35">
      <w:pPr>
        <w:autoSpaceDE w:val="0"/>
        <w:autoSpaceDN w:val="0"/>
        <w:adjustRightInd w:val="0"/>
        <w:spacing w:after="0" w:line="240" w:lineRule="auto"/>
        <w:ind w:firstLine="709"/>
        <w:jc w:val="both"/>
        <w:rPr>
          <w:rFonts w:ascii="Times New Roman" w:hAnsi="Times New Roman" w:cs="Times New Roman"/>
          <w:sz w:val="24"/>
          <w:szCs w:val="24"/>
          <w:lang w:val="pt-PT"/>
        </w:rPr>
      </w:pPr>
      <w:r w:rsidRPr="00933491">
        <w:rPr>
          <w:rFonts w:ascii="Times New Roman" w:hAnsi="Times New Roman" w:cs="Times New Roman"/>
          <w:sz w:val="24"/>
          <w:szCs w:val="24"/>
          <w:lang w:val="pt-PT"/>
        </w:rPr>
        <w:lastRenderedPageBreak/>
        <w:t>A persistência dos retornos anormais de longo prazo após recompra de ações e emissões de Oferta Pública Subsequente de Ações (SEOs) foi investigada por Fu e Huang (2016). Os resultados evidenciaram que</w:t>
      </w:r>
      <w:r w:rsidR="004778F5" w:rsidRPr="00933491">
        <w:rPr>
          <w:rFonts w:ascii="Times New Roman" w:hAnsi="Times New Roman" w:cs="Times New Roman"/>
          <w:sz w:val="24"/>
          <w:szCs w:val="24"/>
          <w:lang w:val="pt-PT"/>
        </w:rPr>
        <w:t>,</w:t>
      </w:r>
      <w:r w:rsidRPr="00933491">
        <w:rPr>
          <w:rFonts w:ascii="Times New Roman" w:hAnsi="Times New Roman" w:cs="Times New Roman"/>
          <w:sz w:val="24"/>
          <w:szCs w:val="24"/>
          <w:lang w:val="pt-PT"/>
        </w:rPr>
        <w:t xml:space="preserve"> para o período até 2002</w:t>
      </w:r>
      <w:r w:rsidR="004778F5" w:rsidRPr="00933491">
        <w:rPr>
          <w:rFonts w:ascii="Times New Roman" w:hAnsi="Times New Roman" w:cs="Times New Roman"/>
          <w:sz w:val="24"/>
          <w:szCs w:val="24"/>
          <w:lang w:val="pt-PT"/>
        </w:rPr>
        <w:t>,</w:t>
      </w:r>
      <w:r w:rsidRPr="00933491">
        <w:rPr>
          <w:rFonts w:ascii="Times New Roman" w:hAnsi="Times New Roman" w:cs="Times New Roman"/>
          <w:sz w:val="24"/>
          <w:szCs w:val="24"/>
          <w:lang w:val="pt-PT"/>
        </w:rPr>
        <w:t xml:space="preserve"> os retornos anormais de longo prazo </w:t>
      </w:r>
      <w:r w:rsidR="00CC1A6B">
        <w:rPr>
          <w:rFonts w:ascii="Times New Roman" w:hAnsi="Times New Roman" w:cs="Times New Roman"/>
          <w:sz w:val="24"/>
          <w:szCs w:val="24"/>
          <w:lang w:val="pt-PT"/>
        </w:rPr>
        <w:t>eram</w:t>
      </w:r>
      <w:r w:rsidRPr="00933491">
        <w:rPr>
          <w:rFonts w:ascii="Times New Roman" w:hAnsi="Times New Roman" w:cs="Times New Roman"/>
          <w:sz w:val="24"/>
          <w:szCs w:val="24"/>
          <w:lang w:val="pt-PT"/>
        </w:rPr>
        <w:t xml:space="preserve"> significativamente positivos após a recompra de ações (1984-2002) e significativamente negativos para SEOs (1980-2002). No entanto, para o período posterior a 2002 (2003-2012), os retornos anormais a longo prazo desaparecem após recompra de ações</w:t>
      </w:r>
      <w:r w:rsidR="004778F5" w:rsidRPr="00933491">
        <w:rPr>
          <w:rFonts w:ascii="Times New Roman" w:hAnsi="Times New Roman" w:cs="Times New Roman"/>
          <w:sz w:val="24"/>
          <w:szCs w:val="24"/>
          <w:lang w:val="pt-PT"/>
        </w:rPr>
        <w:t xml:space="preserve"> e SEOs.</w:t>
      </w:r>
      <w:r w:rsidRPr="00933491">
        <w:rPr>
          <w:rFonts w:ascii="Times New Roman" w:hAnsi="Times New Roman" w:cs="Times New Roman"/>
          <w:sz w:val="24"/>
          <w:szCs w:val="24"/>
          <w:lang w:val="pt-PT"/>
        </w:rPr>
        <w:t xml:space="preserve"> De acordo com os autores, o desaparecimento dos retornos anormais a longo prazo está associado tanto a fatores externos de mercado quanto a fatores internos a empresas, tais como: melhorias na eficiência dos preços, aumento do investimento institucional, redução dos custos de negociação, melhora na liquidez, aprimoramento da regulamentação da governança corporativa e da divulgação de informação.</w:t>
      </w:r>
    </w:p>
    <w:p w14:paraId="16964828" w14:textId="138B71E2" w:rsidR="007330C1" w:rsidRPr="00864E7F" w:rsidRDefault="00BA180A" w:rsidP="00157D35">
      <w:pPr>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Wadhwa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Reddy</w:t>
      </w:r>
      <w:proofErr w:type="spellEnd"/>
      <w:r>
        <w:rPr>
          <w:rFonts w:ascii="Times New Roman" w:hAnsi="Times New Roman" w:cs="Times New Roman"/>
          <w:sz w:val="24"/>
          <w:szCs w:val="24"/>
        </w:rPr>
        <w:t xml:space="preserve"> e </w:t>
      </w:r>
      <w:proofErr w:type="spellStart"/>
      <w:r w:rsidRPr="00BA180A">
        <w:rPr>
          <w:rFonts w:ascii="Times New Roman" w:hAnsi="Times New Roman" w:cs="Times New Roman"/>
          <w:sz w:val="24"/>
          <w:szCs w:val="24"/>
        </w:rPr>
        <w:t>Goyal</w:t>
      </w:r>
      <w:proofErr w:type="spellEnd"/>
      <w:r w:rsidRPr="00BA180A">
        <w:rPr>
          <w:rFonts w:ascii="Times New Roman" w:hAnsi="Times New Roman" w:cs="Times New Roman"/>
          <w:sz w:val="24"/>
          <w:szCs w:val="24"/>
        </w:rPr>
        <w:t xml:space="preserve"> </w:t>
      </w:r>
      <w:r w:rsidR="007330C1" w:rsidRPr="00BA180A">
        <w:rPr>
          <w:rFonts w:ascii="Times New Roman" w:hAnsi="Times New Roman" w:cs="Times New Roman"/>
          <w:sz w:val="24"/>
          <w:szCs w:val="24"/>
        </w:rPr>
        <w:t>(2016) examinam</w:t>
      </w:r>
      <w:r w:rsidR="007330C1" w:rsidRPr="00D73757">
        <w:rPr>
          <w:rFonts w:ascii="Times New Roman" w:hAnsi="Times New Roman" w:cs="Times New Roman"/>
          <w:sz w:val="24"/>
          <w:szCs w:val="24"/>
        </w:rPr>
        <w:t xml:space="preserve">, no mercado de capitais indiano, se as emissões de ações são devido à </w:t>
      </w:r>
      <w:proofErr w:type="spellStart"/>
      <w:r w:rsidR="007330C1" w:rsidRPr="00D73757">
        <w:rPr>
          <w:rFonts w:ascii="Times New Roman" w:hAnsi="Times New Roman" w:cs="Times New Roman"/>
          <w:i/>
          <w:sz w:val="24"/>
          <w:szCs w:val="24"/>
        </w:rPr>
        <w:t>mispricing</w:t>
      </w:r>
      <w:proofErr w:type="spellEnd"/>
      <w:r w:rsidR="007330C1" w:rsidRPr="00D73757">
        <w:rPr>
          <w:rFonts w:ascii="Times New Roman" w:hAnsi="Times New Roman" w:cs="Times New Roman"/>
          <w:i/>
          <w:sz w:val="24"/>
          <w:szCs w:val="24"/>
        </w:rPr>
        <w:t xml:space="preserve"> </w:t>
      </w:r>
      <w:r w:rsidR="007330C1" w:rsidRPr="00D73757">
        <w:rPr>
          <w:rFonts w:ascii="Times New Roman" w:hAnsi="Times New Roman" w:cs="Times New Roman"/>
          <w:sz w:val="24"/>
          <w:szCs w:val="24"/>
        </w:rPr>
        <w:t xml:space="preserve">ou à oportunidade de crescimento. Para tanto, o índice </w:t>
      </w:r>
      <w:proofErr w:type="spellStart"/>
      <w:r w:rsidR="007330C1" w:rsidRPr="00D73757">
        <w:rPr>
          <w:rFonts w:ascii="Times New Roman" w:hAnsi="Times New Roman" w:cs="Times New Roman"/>
          <w:i/>
          <w:sz w:val="24"/>
          <w:szCs w:val="24"/>
        </w:rPr>
        <w:t>market</w:t>
      </w:r>
      <w:proofErr w:type="spellEnd"/>
      <w:r w:rsidR="007330C1" w:rsidRPr="00D73757">
        <w:rPr>
          <w:rFonts w:ascii="Times New Roman" w:hAnsi="Times New Roman" w:cs="Times New Roman"/>
          <w:i/>
          <w:sz w:val="24"/>
          <w:szCs w:val="24"/>
        </w:rPr>
        <w:t>-</w:t>
      </w:r>
      <w:proofErr w:type="spellStart"/>
      <w:r w:rsidR="007330C1" w:rsidRPr="00D73757">
        <w:rPr>
          <w:rFonts w:ascii="Times New Roman" w:hAnsi="Times New Roman" w:cs="Times New Roman"/>
          <w:i/>
          <w:sz w:val="24"/>
          <w:szCs w:val="24"/>
        </w:rPr>
        <w:t>to</w:t>
      </w:r>
      <w:proofErr w:type="spellEnd"/>
      <w:r w:rsidR="007330C1" w:rsidRPr="00D73757">
        <w:rPr>
          <w:rFonts w:ascii="Times New Roman" w:hAnsi="Times New Roman" w:cs="Times New Roman"/>
          <w:i/>
          <w:sz w:val="24"/>
          <w:szCs w:val="24"/>
        </w:rPr>
        <w:t>-book</w:t>
      </w:r>
      <w:r w:rsidR="007330C1" w:rsidRPr="00D73757">
        <w:rPr>
          <w:rFonts w:ascii="Times New Roman" w:hAnsi="Times New Roman" w:cs="Times New Roman"/>
          <w:sz w:val="24"/>
          <w:szCs w:val="24"/>
        </w:rPr>
        <w:t xml:space="preserve"> foi decomp</w:t>
      </w:r>
      <w:r w:rsidR="00CC1A6B">
        <w:rPr>
          <w:rFonts w:ascii="Times New Roman" w:hAnsi="Times New Roman" w:cs="Times New Roman"/>
          <w:sz w:val="24"/>
          <w:szCs w:val="24"/>
        </w:rPr>
        <w:t xml:space="preserve">osto em duas medidas: </w:t>
      </w:r>
      <w:proofErr w:type="spellStart"/>
      <w:r w:rsidR="007330C1" w:rsidRPr="00D73757">
        <w:rPr>
          <w:rFonts w:ascii="Times New Roman" w:hAnsi="Times New Roman" w:cs="Times New Roman"/>
          <w:i/>
          <w:sz w:val="24"/>
          <w:szCs w:val="24"/>
        </w:rPr>
        <w:t>market-to-value</w:t>
      </w:r>
      <w:proofErr w:type="spellEnd"/>
      <w:r w:rsidR="007330C1" w:rsidRPr="00D73757">
        <w:rPr>
          <w:rFonts w:ascii="Times New Roman" w:hAnsi="Times New Roman" w:cs="Times New Roman"/>
          <w:i/>
          <w:sz w:val="24"/>
          <w:szCs w:val="24"/>
        </w:rPr>
        <w:t xml:space="preserve"> </w:t>
      </w:r>
      <w:proofErr w:type="spellStart"/>
      <w:r w:rsidR="007330C1" w:rsidRPr="00D73757">
        <w:rPr>
          <w:rFonts w:ascii="Times New Roman" w:hAnsi="Times New Roman" w:cs="Times New Roman"/>
          <w:i/>
          <w:sz w:val="24"/>
          <w:szCs w:val="24"/>
        </w:rPr>
        <w:t>ratio</w:t>
      </w:r>
      <w:proofErr w:type="spellEnd"/>
      <w:r w:rsidR="007330C1" w:rsidRPr="00D73757">
        <w:rPr>
          <w:rFonts w:ascii="Times New Roman" w:hAnsi="Times New Roman" w:cs="Times New Roman"/>
          <w:sz w:val="24"/>
          <w:szCs w:val="24"/>
        </w:rPr>
        <w:t xml:space="preserve"> (M/V), para mensurar o componente </w:t>
      </w:r>
      <w:proofErr w:type="spellStart"/>
      <w:r w:rsidR="007330C1" w:rsidRPr="00D73757">
        <w:rPr>
          <w:rFonts w:ascii="Times New Roman" w:hAnsi="Times New Roman" w:cs="Times New Roman"/>
          <w:i/>
          <w:sz w:val="24"/>
          <w:szCs w:val="24"/>
        </w:rPr>
        <w:t>overvaluation</w:t>
      </w:r>
      <w:proofErr w:type="spellEnd"/>
      <w:r w:rsidR="007330C1" w:rsidRPr="00D73757">
        <w:rPr>
          <w:rFonts w:ascii="Times New Roman" w:hAnsi="Times New Roman" w:cs="Times New Roman"/>
          <w:i/>
          <w:sz w:val="24"/>
          <w:szCs w:val="24"/>
        </w:rPr>
        <w:t>,</w:t>
      </w:r>
      <w:r w:rsidR="007330C1" w:rsidRPr="00D73757">
        <w:rPr>
          <w:rFonts w:ascii="Times New Roman" w:hAnsi="Times New Roman" w:cs="Times New Roman"/>
          <w:sz w:val="24"/>
          <w:szCs w:val="24"/>
        </w:rPr>
        <w:t xml:space="preserve"> e </w:t>
      </w:r>
      <w:proofErr w:type="spellStart"/>
      <w:r w:rsidR="007330C1" w:rsidRPr="00D73757">
        <w:rPr>
          <w:rFonts w:ascii="Times New Roman" w:hAnsi="Times New Roman" w:cs="Times New Roman"/>
          <w:i/>
          <w:sz w:val="24"/>
          <w:szCs w:val="24"/>
        </w:rPr>
        <w:t>value</w:t>
      </w:r>
      <w:proofErr w:type="spellEnd"/>
      <w:r w:rsidR="007330C1" w:rsidRPr="00D73757">
        <w:rPr>
          <w:rFonts w:ascii="Times New Roman" w:hAnsi="Times New Roman" w:cs="Times New Roman"/>
          <w:i/>
          <w:sz w:val="24"/>
          <w:szCs w:val="24"/>
        </w:rPr>
        <w:t>-</w:t>
      </w:r>
      <w:proofErr w:type="spellStart"/>
      <w:r w:rsidR="007330C1" w:rsidRPr="00D73757">
        <w:rPr>
          <w:rFonts w:ascii="Times New Roman" w:hAnsi="Times New Roman" w:cs="Times New Roman"/>
          <w:i/>
          <w:sz w:val="24"/>
          <w:szCs w:val="24"/>
        </w:rPr>
        <w:t>to</w:t>
      </w:r>
      <w:proofErr w:type="spellEnd"/>
      <w:r w:rsidR="007330C1" w:rsidRPr="00D73757">
        <w:rPr>
          <w:rFonts w:ascii="Times New Roman" w:hAnsi="Times New Roman" w:cs="Times New Roman"/>
          <w:i/>
          <w:sz w:val="24"/>
          <w:szCs w:val="24"/>
        </w:rPr>
        <w:t xml:space="preserve">-book </w:t>
      </w:r>
      <w:proofErr w:type="spellStart"/>
      <w:r w:rsidR="007330C1" w:rsidRPr="00D73757">
        <w:rPr>
          <w:rFonts w:ascii="Times New Roman" w:hAnsi="Times New Roman" w:cs="Times New Roman"/>
          <w:i/>
          <w:sz w:val="24"/>
          <w:szCs w:val="24"/>
        </w:rPr>
        <w:t>ratio</w:t>
      </w:r>
      <w:proofErr w:type="spellEnd"/>
      <w:r w:rsidR="007330C1" w:rsidRPr="00D73757">
        <w:rPr>
          <w:rFonts w:ascii="Times New Roman" w:hAnsi="Times New Roman" w:cs="Times New Roman"/>
          <w:i/>
          <w:sz w:val="24"/>
          <w:szCs w:val="24"/>
        </w:rPr>
        <w:t xml:space="preserve"> </w:t>
      </w:r>
      <w:r w:rsidR="007330C1" w:rsidRPr="00D73757">
        <w:rPr>
          <w:rFonts w:ascii="Times New Roman" w:hAnsi="Times New Roman" w:cs="Times New Roman"/>
          <w:sz w:val="24"/>
          <w:szCs w:val="24"/>
        </w:rPr>
        <w:t xml:space="preserve">(V/B), para mensurar a oportunidade de crescimento. Os autores argumentam </w:t>
      </w:r>
      <w:r w:rsidR="00A721B0">
        <w:rPr>
          <w:rFonts w:ascii="Times New Roman" w:hAnsi="Times New Roman" w:cs="Times New Roman"/>
          <w:sz w:val="24"/>
          <w:szCs w:val="24"/>
        </w:rPr>
        <w:t xml:space="preserve">que </w:t>
      </w:r>
      <w:r w:rsidR="007330C1" w:rsidRPr="00D73757">
        <w:rPr>
          <w:rFonts w:ascii="Times New Roman" w:hAnsi="Times New Roman" w:cs="Times New Roman"/>
          <w:sz w:val="24"/>
          <w:szCs w:val="24"/>
        </w:rPr>
        <w:t xml:space="preserve">os seus resultados a respeito do </w:t>
      </w:r>
      <w:proofErr w:type="spellStart"/>
      <w:r w:rsidR="00E1246B">
        <w:rPr>
          <w:rFonts w:ascii="Times New Roman" w:hAnsi="Times New Roman" w:cs="Times New Roman"/>
          <w:i/>
          <w:sz w:val="24"/>
          <w:szCs w:val="24"/>
        </w:rPr>
        <w:t>m</w:t>
      </w:r>
      <w:r w:rsidR="007330C1" w:rsidRPr="00864E7F">
        <w:rPr>
          <w:rFonts w:ascii="Times New Roman" w:hAnsi="Times New Roman" w:cs="Times New Roman"/>
          <w:i/>
          <w:sz w:val="24"/>
          <w:szCs w:val="24"/>
        </w:rPr>
        <w:t>arket</w:t>
      </w:r>
      <w:proofErr w:type="spellEnd"/>
      <w:r w:rsidR="007330C1" w:rsidRPr="00864E7F">
        <w:rPr>
          <w:rFonts w:ascii="Times New Roman" w:hAnsi="Times New Roman" w:cs="Times New Roman"/>
          <w:i/>
          <w:sz w:val="24"/>
          <w:szCs w:val="24"/>
        </w:rPr>
        <w:t xml:space="preserve"> timing </w:t>
      </w:r>
      <w:r w:rsidR="007330C1" w:rsidRPr="00864E7F">
        <w:rPr>
          <w:rFonts w:ascii="Times New Roman" w:hAnsi="Times New Roman" w:cs="Times New Roman"/>
          <w:sz w:val="24"/>
          <w:szCs w:val="24"/>
        </w:rPr>
        <w:t>são semelhantes aos de</w:t>
      </w:r>
      <w:r w:rsidR="00B73D08">
        <w:rPr>
          <w:rFonts w:ascii="Times New Roman" w:hAnsi="Times New Roman" w:cs="Times New Roman"/>
          <w:sz w:val="24"/>
          <w:szCs w:val="24"/>
        </w:rPr>
        <w:t xml:space="preserve"> países desenvolvidos, bem como</w:t>
      </w:r>
      <w:r w:rsidR="007330C1" w:rsidRPr="00864E7F">
        <w:rPr>
          <w:rFonts w:ascii="Times New Roman" w:hAnsi="Times New Roman" w:cs="Times New Roman"/>
          <w:sz w:val="24"/>
          <w:szCs w:val="24"/>
        </w:rPr>
        <w:t xml:space="preserve"> o recurso financeiro decorrente das emissões é usado para financiar oportunidades de investimento, como ativos reais, estoque e despesas de capital que agregam valar à empresa. Ademais, o mercado penaliza as empresas que emitem ações sobrevalorizadas para aumentar suas participações em dinheiro, como demonstrado pelo mau desempenho das ações a longo prazo. Por fim, </w:t>
      </w:r>
      <w:proofErr w:type="spellStart"/>
      <w:r w:rsidR="007330C1" w:rsidRPr="00864E7F">
        <w:rPr>
          <w:rFonts w:ascii="Times New Roman" w:hAnsi="Times New Roman" w:cs="Times New Roman"/>
          <w:i/>
          <w:sz w:val="24"/>
          <w:szCs w:val="24"/>
        </w:rPr>
        <w:t>mispricing</w:t>
      </w:r>
      <w:proofErr w:type="spellEnd"/>
      <w:r w:rsidR="007330C1" w:rsidRPr="00864E7F">
        <w:rPr>
          <w:rFonts w:ascii="Times New Roman" w:hAnsi="Times New Roman" w:cs="Times New Roman"/>
          <w:sz w:val="24"/>
          <w:szCs w:val="24"/>
        </w:rPr>
        <w:t xml:space="preserve"> impulsiona ofertas de ações mais do que oportunidades de crescimento.</w:t>
      </w:r>
    </w:p>
    <w:p w14:paraId="564669D4" w14:textId="0E2F9816" w:rsidR="0016516D" w:rsidRPr="00933491" w:rsidRDefault="0016516D" w:rsidP="00157D35">
      <w:pPr>
        <w:autoSpaceDE w:val="0"/>
        <w:autoSpaceDN w:val="0"/>
        <w:adjustRightInd w:val="0"/>
        <w:spacing w:after="0" w:line="240" w:lineRule="auto"/>
        <w:ind w:firstLine="709"/>
        <w:jc w:val="both"/>
        <w:rPr>
          <w:rFonts w:ascii="Times New Roman" w:hAnsi="Times New Roman" w:cs="Times New Roman"/>
          <w:sz w:val="24"/>
          <w:szCs w:val="24"/>
          <w:lang w:val="pt-PT"/>
        </w:rPr>
      </w:pPr>
      <w:r w:rsidRPr="003E40AC">
        <w:rPr>
          <w:rFonts w:ascii="Times New Roman" w:hAnsi="Times New Roman" w:cs="Times New Roman"/>
          <w:sz w:val="24"/>
          <w:szCs w:val="24"/>
          <w:lang w:val="pt-PT"/>
        </w:rPr>
        <w:t xml:space="preserve">A qualidade da informação e </w:t>
      </w:r>
      <w:r w:rsidR="0015199A">
        <w:rPr>
          <w:rFonts w:ascii="Times New Roman" w:hAnsi="Times New Roman" w:cs="Times New Roman"/>
          <w:sz w:val="24"/>
          <w:szCs w:val="24"/>
          <w:lang w:val="pt-PT"/>
        </w:rPr>
        <w:t xml:space="preserve">o </w:t>
      </w:r>
      <w:r w:rsidRPr="003E40AC">
        <w:rPr>
          <w:rFonts w:ascii="Times New Roman" w:hAnsi="Times New Roman" w:cs="Times New Roman"/>
          <w:sz w:val="24"/>
          <w:szCs w:val="24"/>
          <w:lang w:val="pt-PT"/>
        </w:rPr>
        <w:t>desempenho da</w:t>
      </w:r>
      <w:r w:rsidR="00551750" w:rsidRPr="003E40AC">
        <w:rPr>
          <w:rFonts w:ascii="Times New Roman" w:hAnsi="Times New Roman" w:cs="Times New Roman"/>
          <w:sz w:val="24"/>
          <w:szCs w:val="24"/>
          <w:lang w:val="pt-PT"/>
        </w:rPr>
        <w:t xml:space="preserve">s empresas em torno de Ofertas </w:t>
      </w:r>
      <w:r w:rsidRPr="003E40AC">
        <w:rPr>
          <w:rFonts w:ascii="Times New Roman" w:hAnsi="Times New Roman" w:cs="Times New Roman"/>
          <w:sz w:val="24"/>
          <w:szCs w:val="24"/>
          <w:lang w:val="pt-PT"/>
        </w:rPr>
        <w:t>Públicas Subsequentes de Ações (SEOs) em 18 países da União Eur</w:t>
      </w:r>
      <w:r w:rsidRPr="00933491">
        <w:rPr>
          <w:rFonts w:ascii="Times New Roman" w:hAnsi="Times New Roman" w:cs="Times New Roman"/>
          <w:sz w:val="24"/>
          <w:szCs w:val="24"/>
          <w:lang w:val="pt-PT"/>
        </w:rPr>
        <w:t xml:space="preserve">opeia (UE) após a promulgação da Diretriz de Abuso de Mercado (MAD) e do Prospecto Directiva (PD) foram </w:t>
      </w:r>
      <w:r w:rsidR="00BB4A2D" w:rsidRPr="00933491">
        <w:rPr>
          <w:rFonts w:ascii="Times New Roman" w:hAnsi="Times New Roman" w:cs="Times New Roman"/>
          <w:sz w:val="24"/>
          <w:szCs w:val="24"/>
          <w:lang w:val="pt-PT"/>
        </w:rPr>
        <w:t>examinad</w:t>
      </w:r>
      <w:r w:rsidR="0015199A">
        <w:rPr>
          <w:rFonts w:ascii="Times New Roman" w:hAnsi="Times New Roman" w:cs="Times New Roman"/>
          <w:sz w:val="24"/>
          <w:szCs w:val="24"/>
          <w:lang w:val="pt-PT"/>
        </w:rPr>
        <w:t>o</w:t>
      </w:r>
      <w:r w:rsidR="00BB4A2D" w:rsidRPr="00933491">
        <w:rPr>
          <w:rFonts w:ascii="Times New Roman" w:hAnsi="Times New Roman" w:cs="Times New Roman"/>
          <w:sz w:val="24"/>
          <w:szCs w:val="24"/>
          <w:lang w:val="pt-PT"/>
        </w:rPr>
        <w:t>s por Fauver, Loureiro e</w:t>
      </w:r>
      <w:r w:rsidRPr="00933491">
        <w:rPr>
          <w:rFonts w:ascii="Times New Roman" w:hAnsi="Times New Roman" w:cs="Times New Roman"/>
          <w:sz w:val="24"/>
          <w:szCs w:val="24"/>
          <w:lang w:val="pt-PT"/>
        </w:rPr>
        <w:t xml:space="preserve"> Taboada (20</w:t>
      </w:r>
      <w:r w:rsidR="00793781" w:rsidRPr="00933491">
        <w:rPr>
          <w:rFonts w:ascii="Times New Roman" w:hAnsi="Times New Roman" w:cs="Times New Roman"/>
          <w:sz w:val="24"/>
          <w:szCs w:val="24"/>
          <w:lang w:val="pt-PT"/>
        </w:rPr>
        <w:t>17). Os resultados evidenciaram</w:t>
      </w:r>
      <w:r w:rsidRPr="00933491">
        <w:rPr>
          <w:rFonts w:ascii="Times New Roman" w:hAnsi="Times New Roman" w:cs="Times New Roman"/>
          <w:sz w:val="24"/>
          <w:szCs w:val="24"/>
          <w:lang w:val="pt-PT"/>
        </w:rPr>
        <w:t xml:space="preserve"> melhor desempenho do reto</w:t>
      </w:r>
      <w:r w:rsidR="004778F5" w:rsidRPr="00933491">
        <w:rPr>
          <w:rFonts w:ascii="Times New Roman" w:hAnsi="Times New Roman" w:cs="Times New Roman"/>
          <w:sz w:val="24"/>
          <w:szCs w:val="24"/>
          <w:lang w:val="pt-PT"/>
        </w:rPr>
        <w:t xml:space="preserve">rno das ações pós SEO </w:t>
      </w:r>
      <w:r w:rsidRPr="00933491">
        <w:rPr>
          <w:rFonts w:ascii="Times New Roman" w:hAnsi="Times New Roman" w:cs="Times New Roman"/>
          <w:sz w:val="24"/>
          <w:szCs w:val="24"/>
          <w:lang w:val="pt-PT"/>
        </w:rPr>
        <w:t>e um declínio na reação adversa para anúncios de SEO após a promulgação da MAD. Resultados semelhantes, embora mais fracos, foram obtidos pós PD. Conforme os autores, esses resultados sugeriram que a promulgação dessas regulamentações melhorou a qualidade da informação e reduziu a assimetria de informação em torno de SEOs.</w:t>
      </w:r>
    </w:p>
    <w:p w14:paraId="757F34BC" w14:textId="252E968C" w:rsidR="0016516D" w:rsidRPr="00933491" w:rsidRDefault="0016516D" w:rsidP="00157D35">
      <w:pPr>
        <w:autoSpaceDE w:val="0"/>
        <w:autoSpaceDN w:val="0"/>
        <w:adjustRightInd w:val="0"/>
        <w:spacing w:after="0" w:line="240" w:lineRule="auto"/>
        <w:ind w:firstLine="709"/>
        <w:jc w:val="both"/>
        <w:rPr>
          <w:rFonts w:ascii="Times New Roman" w:hAnsi="Times New Roman" w:cs="Times New Roman"/>
          <w:sz w:val="24"/>
          <w:szCs w:val="24"/>
          <w:lang w:val="pt-PT"/>
        </w:rPr>
      </w:pPr>
      <w:r w:rsidRPr="00933491">
        <w:rPr>
          <w:rFonts w:ascii="Times New Roman" w:hAnsi="Times New Roman" w:cs="Times New Roman"/>
          <w:sz w:val="24"/>
          <w:szCs w:val="24"/>
          <w:lang w:val="pt-PT"/>
        </w:rPr>
        <w:t xml:space="preserve">No Brasil, </w:t>
      </w:r>
      <w:proofErr w:type="spellStart"/>
      <w:r w:rsidR="00345C3F" w:rsidRPr="00345C3F">
        <w:rPr>
          <w:rFonts w:ascii="Times New Roman" w:hAnsi="Times New Roman" w:cs="Times New Roman"/>
          <w:sz w:val="24"/>
          <w:szCs w:val="24"/>
          <w:lang w:val="en-US"/>
        </w:rPr>
        <w:t>Guimarães</w:t>
      </w:r>
      <w:proofErr w:type="spellEnd"/>
      <w:r w:rsidR="00924FFB">
        <w:rPr>
          <w:rFonts w:ascii="Times New Roman" w:hAnsi="Times New Roman" w:cs="Times New Roman"/>
          <w:sz w:val="24"/>
          <w:szCs w:val="24"/>
          <w:lang w:val="en-US"/>
        </w:rPr>
        <w:t xml:space="preserve"> et al.</w:t>
      </w:r>
      <w:r w:rsidR="00345C3F" w:rsidRPr="00345C3F">
        <w:rPr>
          <w:rFonts w:ascii="Times New Roman" w:hAnsi="Times New Roman" w:cs="Times New Roman"/>
          <w:sz w:val="24"/>
          <w:szCs w:val="24"/>
          <w:lang w:val="pt-PT"/>
        </w:rPr>
        <w:t xml:space="preserve"> </w:t>
      </w:r>
      <w:r w:rsidRPr="00345C3F">
        <w:rPr>
          <w:rFonts w:ascii="Times New Roman" w:hAnsi="Times New Roman" w:cs="Times New Roman"/>
          <w:sz w:val="24"/>
          <w:szCs w:val="24"/>
          <w:lang w:val="pt-PT"/>
        </w:rPr>
        <w:t>(2013)</w:t>
      </w:r>
      <w:r w:rsidRPr="00933491">
        <w:rPr>
          <w:rFonts w:ascii="Times New Roman" w:hAnsi="Times New Roman" w:cs="Times New Roman"/>
          <w:sz w:val="24"/>
          <w:szCs w:val="24"/>
          <w:lang w:val="pt-PT"/>
        </w:rPr>
        <w:t xml:space="preserve"> analisaram os impactos das ofertas públicas subsequentes nos retornos das ações de empresas participantes da carteira teórica do índice Bovespa, no período de 2001 a 2010. Por meio da metodologia de estudo de eventos, os autores concluíram que o registro da SEO na CVM não impacta significativamente nos retornos das ações das empresas.</w:t>
      </w:r>
    </w:p>
    <w:p w14:paraId="04C5395D" w14:textId="31513258" w:rsidR="007330C1" w:rsidRDefault="007330C1" w:rsidP="00157D35">
      <w:pPr>
        <w:autoSpaceDE w:val="0"/>
        <w:autoSpaceDN w:val="0"/>
        <w:adjustRightInd w:val="0"/>
        <w:spacing w:after="0" w:line="240" w:lineRule="auto"/>
        <w:ind w:firstLine="709"/>
        <w:jc w:val="both"/>
        <w:rPr>
          <w:rFonts w:ascii="Times New Roman" w:hAnsi="Times New Roman"/>
          <w:sz w:val="24"/>
          <w:szCs w:val="24"/>
        </w:rPr>
      </w:pPr>
      <w:r w:rsidRPr="0026428B">
        <w:rPr>
          <w:rFonts w:ascii="Times New Roman" w:hAnsi="Times New Roman" w:cs="Times New Roman"/>
          <w:sz w:val="24"/>
          <w:szCs w:val="24"/>
        </w:rPr>
        <w:t>Costa e Machado (2014) investigaram</w:t>
      </w:r>
      <w:r w:rsidRPr="00D73757">
        <w:rPr>
          <w:rFonts w:ascii="Times New Roman" w:hAnsi="Times New Roman" w:cs="Times New Roman"/>
          <w:sz w:val="24"/>
          <w:szCs w:val="24"/>
        </w:rPr>
        <w:t xml:space="preserve"> se a ocorrência do </w:t>
      </w:r>
      <w:proofErr w:type="spellStart"/>
      <w:r w:rsidRPr="00D73757">
        <w:rPr>
          <w:rFonts w:ascii="Times New Roman" w:hAnsi="Times New Roman" w:cs="Times New Roman"/>
          <w:i/>
          <w:sz w:val="24"/>
          <w:szCs w:val="24"/>
        </w:rPr>
        <w:t>market</w:t>
      </w:r>
      <w:proofErr w:type="spellEnd"/>
      <w:r w:rsidRPr="00D73757">
        <w:rPr>
          <w:rFonts w:ascii="Times New Roman" w:hAnsi="Times New Roman" w:cs="Times New Roman"/>
          <w:i/>
          <w:sz w:val="24"/>
          <w:szCs w:val="24"/>
        </w:rPr>
        <w:t xml:space="preserve"> timing</w:t>
      </w:r>
      <w:r w:rsidRPr="00D73757">
        <w:rPr>
          <w:rFonts w:ascii="Times New Roman" w:hAnsi="Times New Roman" w:cs="Times New Roman"/>
          <w:sz w:val="24"/>
          <w:szCs w:val="24"/>
        </w:rPr>
        <w:t xml:space="preserve"> e o estágio do ciclo de vida influ</w:t>
      </w:r>
      <w:r w:rsidR="00D73757">
        <w:rPr>
          <w:rFonts w:ascii="Times New Roman" w:hAnsi="Times New Roman" w:cs="Times New Roman"/>
          <w:sz w:val="24"/>
          <w:szCs w:val="24"/>
        </w:rPr>
        <w:t xml:space="preserve">enciam </w:t>
      </w:r>
      <w:r w:rsidRPr="00D73757">
        <w:rPr>
          <w:rFonts w:ascii="Times New Roman" w:hAnsi="Times New Roman" w:cs="Times New Roman"/>
          <w:sz w:val="24"/>
          <w:szCs w:val="24"/>
        </w:rPr>
        <w:t xml:space="preserve">na decisão de realizar SEO em empresas brasileiras. A análise investigou se a probabilidade de uma empresa realizar uma SEO </w:t>
      </w:r>
      <w:r w:rsidR="004D2828">
        <w:rPr>
          <w:rFonts w:ascii="Times New Roman" w:hAnsi="Times New Roman" w:cs="Times New Roman"/>
          <w:sz w:val="24"/>
          <w:szCs w:val="24"/>
        </w:rPr>
        <w:t>era</w:t>
      </w:r>
      <w:r w:rsidRPr="00D73757">
        <w:rPr>
          <w:rFonts w:ascii="Times New Roman" w:hAnsi="Times New Roman" w:cs="Times New Roman"/>
          <w:sz w:val="24"/>
          <w:szCs w:val="24"/>
        </w:rPr>
        <w:t xml:space="preserve"> positivamente relacionada com o índice MB (</w:t>
      </w:r>
      <w:proofErr w:type="spellStart"/>
      <w:r w:rsidRPr="00D73757">
        <w:rPr>
          <w:rFonts w:ascii="Times New Roman" w:hAnsi="Times New Roman" w:cs="Times New Roman"/>
          <w:i/>
          <w:sz w:val="24"/>
          <w:szCs w:val="24"/>
        </w:rPr>
        <w:t>market</w:t>
      </w:r>
      <w:proofErr w:type="spellEnd"/>
      <w:r w:rsidRPr="00D73757">
        <w:rPr>
          <w:rFonts w:ascii="Times New Roman" w:hAnsi="Times New Roman" w:cs="Times New Roman"/>
          <w:i/>
          <w:sz w:val="24"/>
          <w:szCs w:val="24"/>
        </w:rPr>
        <w:t>-</w:t>
      </w:r>
      <w:proofErr w:type="spellStart"/>
      <w:r w:rsidRPr="00D73757">
        <w:rPr>
          <w:rFonts w:ascii="Times New Roman" w:hAnsi="Times New Roman" w:cs="Times New Roman"/>
          <w:i/>
          <w:sz w:val="24"/>
          <w:szCs w:val="24"/>
        </w:rPr>
        <w:t>to</w:t>
      </w:r>
      <w:proofErr w:type="spellEnd"/>
      <w:r w:rsidRPr="00D73757">
        <w:rPr>
          <w:rFonts w:ascii="Times New Roman" w:hAnsi="Times New Roman" w:cs="Times New Roman"/>
          <w:i/>
          <w:sz w:val="24"/>
          <w:szCs w:val="24"/>
        </w:rPr>
        <w:t>-book</w:t>
      </w:r>
      <w:r w:rsidRPr="00D73757">
        <w:rPr>
          <w:rFonts w:ascii="Times New Roman" w:hAnsi="Times New Roman" w:cs="Times New Roman"/>
          <w:sz w:val="24"/>
          <w:szCs w:val="24"/>
        </w:rPr>
        <w:t>), retorno acionário anterior à realização da SEO e tamanho, e negativamente relacionado ao retorno acionário posterior à realização da SEO e anos de listagem da empresa na B</w:t>
      </w:r>
      <w:r w:rsidR="00886927">
        <w:rPr>
          <w:rFonts w:ascii="Times New Roman" w:hAnsi="Times New Roman" w:cs="Times New Roman"/>
          <w:sz w:val="24"/>
          <w:szCs w:val="24"/>
        </w:rPr>
        <w:t>3</w:t>
      </w:r>
      <w:r w:rsidRPr="00D73757">
        <w:rPr>
          <w:rFonts w:ascii="Times New Roman" w:hAnsi="Times New Roman" w:cs="Times New Roman"/>
          <w:sz w:val="24"/>
          <w:szCs w:val="24"/>
        </w:rPr>
        <w:t>.</w:t>
      </w:r>
      <w:r w:rsidR="009D1448">
        <w:rPr>
          <w:rFonts w:ascii="Times New Roman" w:hAnsi="Times New Roman" w:cs="Times New Roman"/>
          <w:sz w:val="24"/>
          <w:szCs w:val="24"/>
        </w:rPr>
        <w:t xml:space="preserve"> </w:t>
      </w:r>
      <w:r w:rsidR="009D1448">
        <w:rPr>
          <w:rFonts w:ascii="Times New Roman" w:hAnsi="Times New Roman"/>
          <w:sz w:val="24"/>
          <w:szCs w:val="24"/>
        </w:rPr>
        <w:t xml:space="preserve">Como resultados principais, </w:t>
      </w:r>
      <w:r w:rsidR="009B0301">
        <w:rPr>
          <w:rFonts w:ascii="Times New Roman" w:hAnsi="Times New Roman"/>
          <w:sz w:val="24"/>
          <w:szCs w:val="24"/>
        </w:rPr>
        <w:t>constataram</w:t>
      </w:r>
      <w:r w:rsidR="009D1448">
        <w:rPr>
          <w:rFonts w:ascii="Times New Roman" w:hAnsi="Times New Roman"/>
          <w:sz w:val="24"/>
          <w:szCs w:val="24"/>
        </w:rPr>
        <w:t xml:space="preserve"> que existe relação entre a realização de oferta pública de distribuição de ações subsequente e </w:t>
      </w:r>
      <w:r w:rsidR="0006287A">
        <w:rPr>
          <w:rFonts w:ascii="Times New Roman" w:hAnsi="Times New Roman"/>
          <w:sz w:val="24"/>
          <w:szCs w:val="24"/>
        </w:rPr>
        <w:t xml:space="preserve">o </w:t>
      </w:r>
      <w:r w:rsidR="009D1448">
        <w:rPr>
          <w:rFonts w:ascii="Times New Roman" w:hAnsi="Times New Roman"/>
          <w:sz w:val="24"/>
          <w:szCs w:val="24"/>
        </w:rPr>
        <w:t>índice MB e</w:t>
      </w:r>
      <w:r w:rsidR="0006287A">
        <w:rPr>
          <w:rFonts w:ascii="Times New Roman" w:hAnsi="Times New Roman"/>
          <w:sz w:val="24"/>
          <w:szCs w:val="24"/>
        </w:rPr>
        <w:t xml:space="preserve"> o</w:t>
      </w:r>
      <w:r w:rsidR="009D1448">
        <w:rPr>
          <w:rFonts w:ascii="Times New Roman" w:hAnsi="Times New Roman"/>
          <w:sz w:val="24"/>
          <w:szCs w:val="24"/>
        </w:rPr>
        <w:t xml:space="preserve"> tamanho das empresas. Por outro lado, não foram observadas evidências que confirmem a relação do estágio do ciclo de vida e do retorno acionário, tanto no ano anterior, quanto no ano subsequente à realização da oferta.</w:t>
      </w:r>
    </w:p>
    <w:p w14:paraId="1A0AC5B5" w14:textId="1346D7D3" w:rsidR="00622595" w:rsidRPr="00BF3FC4" w:rsidRDefault="00154A06" w:rsidP="00157D35">
      <w:pPr>
        <w:autoSpaceDE w:val="0"/>
        <w:autoSpaceDN w:val="0"/>
        <w:adjustRightInd w:val="0"/>
        <w:spacing w:after="0" w:line="240" w:lineRule="auto"/>
        <w:ind w:firstLine="709"/>
        <w:jc w:val="both"/>
        <w:rPr>
          <w:rFonts w:ascii="Times New Roman" w:hAnsi="Times New Roman" w:cs="Times New Roman"/>
          <w:sz w:val="24"/>
          <w:szCs w:val="24"/>
          <w:lang w:val="pt-PT"/>
        </w:rPr>
      </w:pPr>
      <w:r w:rsidRPr="00BF3FC4">
        <w:rPr>
          <w:rFonts w:ascii="Times New Roman" w:hAnsi="Times New Roman" w:cs="Times New Roman"/>
          <w:sz w:val="24"/>
          <w:szCs w:val="24"/>
          <w:lang w:val="pt-PT"/>
        </w:rPr>
        <w:t xml:space="preserve">Baseado nas evidências </w:t>
      </w:r>
      <w:r w:rsidR="00032099">
        <w:rPr>
          <w:rFonts w:ascii="Times New Roman" w:hAnsi="Times New Roman" w:cs="Times New Roman"/>
          <w:sz w:val="24"/>
          <w:szCs w:val="24"/>
          <w:lang w:val="pt-PT"/>
        </w:rPr>
        <w:t xml:space="preserve">empíricas </w:t>
      </w:r>
      <w:r w:rsidRPr="00BF3FC4">
        <w:rPr>
          <w:rFonts w:ascii="Times New Roman" w:hAnsi="Times New Roman" w:cs="Times New Roman"/>
          <w:sz w:val="24"/>
          <w:szCs w:val="24"/>
          <w:lang w:val="pt-PT"/>
        </w:rPr>
        <w:t>de que empresas que realiza</w:t>
      </w:r>
      <w:r w:rsidR="000F6AE3">
        <w:rPr>
          <w:rFonts w:ascii="Times New Roman" w:hAnsi="Times New Roman" w:cs="Times New Roman"/>
          <w:sz w:val="24"/>
          <w:szCs w:val="24"/>
          <w:lang w:val="pt-PT"/>
        </w:rPr>
        <w:t>ra</w:t>
      </w:r>
      <w:r w:rsidRPr="00BF3FC4">
        <w:rPr>
          <w:rFonts w:ascii="Times New Roman" w:hAnsi="Times New Roman" w:cs="Times New Roman"/>
          <w:sz w:val="24"/>
          <w:szCs w:val="24"/>
          <w:lang w:val="pt-PT"/>
        </w:rPr>
        <w:t xml:space="preserve">m ofertas públicas subsequentes de ações </w:t>
      </w:r>
      <w:r w:rsidR="002C1C69" w:rsidRPr="00BF3FC4">
        <w:rPr>
          <w:rFonts w:ascii="Times New Roman" w:hAnsi="Times New Roman" w:cs="Times New Roman"/>
          <w:sz w:val="24"/>
          <w:szCs w:val="24"/>
          <w:lang w:val="pt-PT"/>
        </w:rPr>
        <w:t>tiveram</w:t>
      </w:r>
      <w:r w:rsidRPr="00BF3FC4">
        <w:rPr>
          <w:rFonts w:ascii="Times New Roman" w:hAnsi="Times New Roman" w:cs="Times New Roman"/>
          <w:sz w:val="24"/>
          <w:szCs w:val="24"/>
          <w:lang w:val="pt-PT"/>
        </w:rPr>
        <w:t xml:space="preserve"> desempenho operacional e acionário inferior pós SEO </w:t>
      </w:r>
      <w:r w:rsidR="00D46FB6" w:rsidRPr="00BF3FC4">
        <w:rPr>
          <w:rFonts w:ascii="Times New Roman" w:hAnsi="Times New Roman" w:cs="Times New Roman"/>
          <w:sz w:val="24"/>
          <w:szCs w:val="24"/>
          <w:lang w:val="pt-PT"/>
        </w:rPr>
        <w:t>(COHEN</w:t>
      </w:r>
      <w:r w:rsidR="00D46FB6">
        <w:rPr>
          <w:rFonts w:ascii="Times New Roman" w:hAnsi="Times New Roman" w:cs="Times New Roman"/>
          <w:sz w:val="24"/>
          <w:szCs w:val="24"/>
          <w:lang w:val="pt-PT"/>
        </w:rPr>
        <w:t>;</w:t>
      </w:r>
      <w:r w:rsidR="00D46FB6" w:rsidRPr="00BF3FC4">
        <w:rPr>
          <w:rFonts w:ascii="Times New Roman" w:hAnsi="Times New Roman" w:cs="Times New Roman"/>
          <w:sz w:val="24"/>
          <w:szCs w:val="24"/>
          <w:lang w:val="pt-PT"/>
        </w:rPr>
        <w:t xml:space="preserve"> ZAROWIN, 2010; FU</w:t>
      </w:r>
      <w:r w:rsidR="00D46FB6">
        <w:rPr>
          <w:rFonts w:ascii="Times New Roman" w:hAnsi="Times New Roman" w:cs="Times New Roman"/>
          <w:sz w:val="24"/>
          <w:szCs w:val="24"/>
          <w:lang w:val="pt-PT"/>
        </w:rPr>
        <w:t>;</w:t>
      </w:r>
      <w:r w:rsidR="00D46FB6" w:rsidRPr="00BF3FC4">
        <w:rPr>
          <w:rFonts w:ascii="Times New Roman" w:hAnsi="Times New Roman" w:cs="Times New Roman"/>
          <w:sz w:val="24"/>
          <w:szCs w:val="24"/>
          <w:lang w:val="pt-PT"/>
        </w:rPr>
        <w:t xml:space="preserve"> HUANG, 2016; LOUGHRAN</w:t>
      </w:r>
      <w:r w:rsidR="00D46FB6">
        <w:rPr>
          <w:rFonts w:ascii="Times New Roman" w:hAnsi="Times New Roman" w:cs="Times New Roman"/>
          <w:sz w:val="24"/>
          <w:szCs w:val="24"/>
          <w:lang w:val="pt-PT"/>
        </w:rPr>
        <w:t>;</w:t>
      </w:r>
      <w:r w:rsidR="00D46FB6" w:rsidRPr="00BF3FC4">
        <w:rPr>
          <w:rFonts w:ascii="Times New Roman" w:hAnsi="Times New Roman" w:cs="Times New Roman"/>
          <w:sz w:val="24"/>
          <w:szCs w:val="24"/>
          <w:lang w:val="pt-PT"/>
        </w:rPr>
        <w:t xml:space="preserve"> RITTER, 1995, 1997; RANGAN, 1998; </w:t>
      </w:r>
      <w:r w:rsidR="00D46FB6" w:rsidRPr="00933491">
        <w:rPr>
          <w:rFonts w:ascii="Times New Roman" w:hAnsi="Times New Roman" w:cs="Times New Roman"/>
          <w:sz w:val="24"/>
          <w:szCs w:val="24"/>
          <w:lang w:val="pt-PT"/>
        </w:rPr>
        <w:t>TEOH</w:t>
      </w:r>
      <w:r w:rsidR="00D46FB6">
        <w:rPr>
          <w:rFonts w:ascii="Times New Roman" w:hAnsi="Times New Roman" w:cs="Times New Roman"/>
          <w:sz w:val="24"/>
          <w:szCs w:val="24"/>
          <w:lang w:val="pt-PT"/>
        </w:rPr>
        <w:t>;</w:t>
      </w:r>
      <w:r w:rsidR="00D46FB6" w:rsidRPr="00933491">
        <w:rPr>
          <w:rFonts w:ascii="Times New Roman" w:hAnsi="Times New Roman" w:cs="Times New Roman"/>
          <w:sz w:val="24"/>
          <w:szCs w:val="24"/>
          <w:lang w:val="pt-PT"/>
        </w:rPr>
        <w:t xml:space="preserve"> WELCH</w:t>
      </w:r>
      <w:r w:rsidR="00D46FB6">
        <w:rPr>
          <w:rFonts w:ascii="Times New Roman" w:hAnsi="Times New Roman" w:cs="Times New Roman"/>
          <w:sz w:val="24"/>
          <w:szCs w:val="24"/>
          <w:lang w:val="pt-PT"/>
        </w:rPr>
        <w:t>;</w:t>
      </w:r>
      <w:r w:rsidR="00D46FB6" w:rsidRPr="00933491">
        <w:rPr>
          <w:rFonts w:ascii="Times New Roman" w:hAnsi="Times New Roman" w:cs="Times New Roman"/>
          <w:sz w:val="24"/>
          <w:szCs w:val="24"/>
          <w:lang w:val="pt-PT"/>
        </w:rPr>
        <w:t xml:space="preserve"> WONG</w:t>
      </w:r>
      <w:r w:rsidR="00D46FB6" w:rsidRPr="00BF3FC4">
        <w:rPr>
          <w:rFonts w:ascii="Times New Roman" w:hAnsi="Times New Roman" w:cs="Times New Roman"/>
          <w:sz w:val="24"/>
          <w:szCs w:val="24"/>
          <w:lang w:val="pt-PT"/>
        </w:rPr>
        <w:t>, 1998; SPIESS</w:t>
      </w:r>
      <w:r w:rsidR="00D46FB6">
        <w:rPr>
          <w:rFonts w:ascii="Times New Roman" w:hAnsi="Times New Roman" w:cs="Times New Roman"/>
          <w:sz w:val="24"/>
          <w:szCs w:val="24"/>
          <w:lang w:val="pt-PT"/>
        </w:rPr>
        <w:t>;</w:t>
      </w:r>
      <w:r w:rsidR="00D46FB6" w:rsidRPr="00BF3FC4">
        <w:rPr>
          <w:rFonts w:ascii="Times New Roman" w:hAnsi="Times New Roman" w:cs="Times New Roman"/>
          <w:sz w:val="24"/>
          <w:szCs w:val="24"/>
          <w:lang w:val="pt-PT"/>
        </w:rPr>
        <w:t xml:space="preserve"> AFFLECK-GRAVES, 1995)</w:t>
      </w:r>
      <w:r w:rsidRPr="00BF3FC4">
        <w:rPr>
          <w:rFonts w:ascii="Times New Roman" w:hAnsi="Times New Roman" w:cs="Times New Roman"/>
          <w:sz w:val="24"/>
          <w:szCs w:val="24"/>
          <w:lang w:val="pt-PT"/>
        </w:rPr>
        <w:t xml:space="preserve">, bem como </w:t>
      </w:r>
      <w:r w:rsidR="000746D9" w:rsidRPr="00BF3FC4">
        <w:rPr>
          <w:rFonts w:ascii="Times New Roman" w:hAnsi="Times New Roman" w:cs="Times New Roman"/>
          <w:sz w:val="24"/>
          <w:szCs w:val="24"/>
          <w:lang w:val="pt-PT"/>
        </w:rPr>
        <w:t xml:space="preserve">de que </w:t>
      </w:r>
      <w:r w:rsidRPr="00BF3FC4">
        <w:rPr>
          <w:rFonts w:ascii="Times New Roman" w:hAnsi="Times New Roman" w:cs="Times New Roman"/>
          <w:sz w:val="24"/>
          <w:szCs w:val="24"/>
          <w:lang w:val="pt-PT"/>
        </w:rPr>
        <w:t>o desempenho operacional e acionário de empresas emissoras de SEO</w:t>
      </w:r>
      <w:r w:rsidR="00606308" w:rsidRPr="00BF3FC4">
        <w:rPr>
          <w:rFonts w:ascii="Times New Roman" w:hAnsi="Times New Roman" w:cs="Times New Roman"/>
          <w:sz w:val="24"/>
          <w:szCs w:val="24"/>
          <w:lang w:val="pt-PT"/>
        </w:rPr>
        <w:t>’s</w:t>
      </w:r>
      <w:r w:rsidRPr="00BF3FC4">
        <w:rPr>
          <w:rFonts w:ascii="Times New Roman" w:hAnsi="Times New Roman" w:cs="Times New Roman"/>
          <w:sz w:val="24"/>
          <w:szCs w:val="24"/>
          <w:lang w:val="pt-PT"/>
        </w:rPr>
        <w:t xml:space="preserve"> </w:t>
      </w:r>
      <w:r w:rsidR="0047062D">
        <w:rPr>
          <w:rFonts w:ascii="Times New Roman" w:hAnsi="Times New Roman" w:cs="Times New Roman"/>
          <w:sz w:val="24"/>
          <w:szCs w:val="24"/>
          <w:lang w:val="pt-PT"/>
        </w:rPr>
        <w:t>era</w:t>
      </w:r>
      <w:r w:rsidRPr="00BF3FC4">
        <w:rPr>
          <w:rFonts w:ascii="Times New Roman" w:hAnsi="Times New Roman" w:cs="Times New Roman"/>
          <w:sz w:val="24"/>
          <w:szCs w:val="24"/>
          <w:lang w:val="pt-PT"/>
        </w:rPr>
        <w:t xml:space="preserve"> </w:t>
      </w:r>
      <w:r w:rsidR="009473E7" w:rsidRPr="00BF3FC4">
        <w:rPr>
          <w:rFonts w:ascii="Times New Roman" w:hAnsi="Times New Roman" w:cs="Times New Roman"/>
          <w:sz w:val="24"/>
          <w:szCs w:val="24"/>
          <w:lang w:val="pt-PT"/>
        </w:rPr>
        <w:t>inferior</w:t>
      </w:r>
      <w:r w:rsidRPr="00BF3FC4">
        <w:rPr>
          <w:rFonts w:ascii="Times New Roman" w:hAnsi="Times New Roman" w:cs="Times New Roman"/>
          <w:sz w:val="24"/>
          <w:szCs w:val="24"/>
          <w:lang w:val="pt-PT"/>
        </w:rPr>
        <w:t xml:space="preserve"> </w:t>
      </w:r>
      <w:r w:rsidR="009473E7" w:rsidRPr="00BF3FC4">
        <w:rPr>
          <w:rFonts w:ascii="Times New Roman" w:hAnsi="Times New Roman" w:cs="Times New Roman"/>
          <w:sz w:val="24"/>
          <w:szCs w:val="24"/>
          <w:lang w:val="pt-PT"/>
        </w:rPr>
        <w:t>ao</w:t>
      </w:r>
      <w:r w:rsidRPr="00BF3FC4">
        <w:rPr>
          <w:rFonts w:ascii="Times New Roman" w:hAnsi="Times New Roman" w:cs="Times New Roman"/>
          <w:sz w:val="24"/>
          <w:szCs w:val="24"/>
          <w:lang w:val="pt-PT"/>
        </w:rPr>
        <w:t xml:space="preserve"> das </w:t>
      </w:r>
      <w:r w:rsidRPr="00BF3FC4">
        <w:rPr>
          <w:rFonts w:ascii="Times New Roman" w:hAnsi="Times New Roman" w:cs="Times New Roman"/>
          <w:sz w:val="24"/>
          <w:szCs w:val="24"/>
          <w:lang w:val="pt-PT"/>
        </w:rPr>
        <w:lastRenderedPageBreak/>
        <w:t>empresas não emissoras (</w:t>
      </w:r>
      <w:r w:rsidR="007D199A" w:rsidRPr="00BF3FC4">
        <w:rPr>
          <w:rFonts w:ascii="Times New Roman" w:hAnsi="Times New Roman" w:cs="Times New Roman"/>
          <w:sz w:val="24"/>
          <w:szCs w:val="24"/>
          <w:lang w:val="pt-PT"/>
        </w:rPr>
        <w:t>DENIS</w:t>
      </w:r>
      <w:r w:rsidR="007D199A">
        <w:rPr>
          <w:rFonts w:ascii="Times New Roman" w:hAnsi="Times New Roman" w:cs="Times New Roman"/>
          <w:sz w:val="24"/>
          <w:szCs w:val="24"/>
          <w:lang w:val="pt-PT"/>
        </w:rPr>
        <w:t>;</w:t>
      </w:r>
      <w:r w:rsidR="007D199A" w:rsidRPr="00BF3FC4">
        <w:rPr>
          <w:rFonts w:ascii="Times New Roman" w:hAnsi="Times New Roman" w:cs="Times New Roman"/>
          <w:sz w:val="24"/>
          <w:szCs w:val="24"/>
          <w:lang w:val="pt-PT"/>
        </w:rPr>
        <w:t xml:space="preserve"> SARIN, 2001</w:t>
      </w:r>
      <w:r w:rsidR="007D199A">
        <w:rPr>
          <w:rFonts w:ascii="Times New Roman" w:hAnsi="Times New Roman" w:cs="Times New Roman"/>
          <w:sz w:val="24"/>
          <w:szCs w:val="24"/>
          <w:lang w:val="pt-PT"/>
        </w:rPr>
        <w:t xml:space="preserve">; </w:t>
      </w:r>
      <w:r w:rsidR="007D199A" w:rsidRPr="00BF3FC4">
        <w:rPr>
          <w:rFonts w:ascii="Times New Roman" w:hAnsi="Times New Roman" w:cs="Times New Roman"/>
          <w:sz w:val="24"/>
          <w:szCs w:val="24"/>
          <w:lang w:val="pt-PT"/>
        </w:rPr>
        <w:t>LOUGHRAN</w:t>
      </w:r>
      <w:r w:rsidR="007D199A">
        <w:rPr>
          <w:rFonts w:ascii="Times New Roman" w:hAnsi="Times New Roman" w:cs="Times New Roman"/>
          <w:sz w:val="24"/>
          <w:szCs w:val="24"/>
          <w:lang w:val="pt-PT"/>
        </w:rPr>
        <w:t>;</w:t>
      </w:r>
      <w:r w:rsidR="007D199A" w:rsidRPr="00BF3FC4">
        <w:rPr>
          <w:rFonts w:ascii="Times New Roman" w:hAnsi="Times New Roman" w:cs="Times New Roman"/>
          <w:sz w:val="24"/>
          <w:szCs w:val="24"/>
          <w:lang w:val="pt-PT"/>
        </w:rPr>
        <w:t xml:space="preserve"> RITTER, 1995, 1997; SPIESS</w:t>
      </w:r>
      <w:r w:rsidR="007D199A">
        <w:rPr>
          <w:rFonts w:ascii="Times New Roman" w:hAnsi="Times New Roman" w:cs="Times New Roman"/>
          <w:sz w:val="24"/>
          <w:szCs w:val="24"/>
          <w:lang w:val="pt-PT"/>
        </w:rPr>
        <w:t>;</w:t>
      </w:r>
      <w:r w:rsidR="007D199A" w:rsidRPr="00BF3FC4">
        <w:rPr>
          <w:rFonts w:ascii="Times New Roman" w:hAnsi="Times New Roman" w:cs="Times New Roman"/>
          <w:sz w:val="24"/>
          <w:szCs w:val="24"/>
          <w:lang w:val="pt-PT"/>
        </w:rPr>
        <w:t xml:space="preserve"> AFFLECK-GRAVES, 1995</w:t>
      </w:r>
      <w:r w:rsidRPr="00BF3FC4">
        <w:rPr>
          <w:rFonts w:ascii="Times New Roman" w:hAnsi="Times New Roman" w:cs="Times New Roman"/>
          <w:sz w:val="24"/>
          <w:szCs w:val="24"/>
          <w:lang w:val="pt-PT"/>
        </w:rPr>
        <w:t xml:space="preserve">), </w:t>
      </w:r>
      <w:r w:rsidR="004778F5" w:rsidRPr="00BF3FC4">
        <w:rPr>
          <w:rFonts w:ascii="Times New Roman" w:hAnsi="Times New Roman" w:cs="Times New Roman"/>
          <w:sz w:val="24"/>
          <w:szCs w:val="24"/>
          <w:lang w:val="pt-PT"/>
        </w:rPr>
        <w:t>tem-se</w:t>
      </w:r>
      <w:r w:rsidRPr="00BF3FC4">
        <w:rPr>
          <w:rFonts w:ascii="Times New Roman" w:hAnsi="Times New Roman" w:cs="Times New Roman"/>
          <w:sz w:val="24"/>
          <w:szCs w:val="24"/>
          <w:lang w:val="pt-PT"/>
        </w:rPr>
        <w:t xml:space="preserve"> a</w:t>
      </w:r>
      <w:r w:rsidR="00BF0799" w:rsidRPr="00BF3FC4">
        <w:rPr>
          <w:rFonts w:ascii="Times New Roman" w:hAnsi="Times New Roman" w:cs="Times New Roman"/>
          <w:sz w:val="24"/>
          <w:szCs w:val="24"/>
          <w:lang w:val="pt-PT"/>
        </w:rPr>
        <w:t>s</w:t>
      </w:r>
      <w:r w:rsidRPr="00BF3FC4">
        <w:rPr>
          <w:rFonts w:ascii="Times New Roman" w:hAnsi="Times New Roman" w:cs="Times New Roman"/>
          <w:sz w:val="24"/>
          <w:szCs w:val="24"/>
          <w:lang w:val="pt-PT"/>
        </w:rPr>
        <w:t xml:space="preserve"> seguinte</w:t>
      </w:r>
      <w:r w:rsidR="00BF0799" w:rsidRPr="00BF3FC4">
        <w:rPr>
          <w:rFonts w:ascii="Times New Roman" w:hAnsi="Times New Roman" w:cs="Times New Roman"/>
          <w:sz w:val="24"/>
          <w:szCs w:val="24"/>
          <w:lang w:val="pt-PT"/>
        </w:rPr>
        <w:t>s</w:t>
      </w:r>
      <w:r w:rsidRPr="00BF3FC4">
        <w:rPr>
          <w:rFonts w:ascii="Times New Roman" w:hAnsi="Times New Roman" w:cs="Times New Roman"/>
          <w:sz w:val="24"/>
          <w:szCs w:val="24"/>
          <w:lang w:val="pt-PT"/>
        </w:rPr>
        <w:t xml:space="preserve"> hipótese</w:t>
      </w:r>
      <w:r w:rsidR="00BF0799" w:rsidRPr="00BF3FC4">
        <w:rPr>
          <w:rFonts w:ascii="Times New Roman" w:hAnsi="Times New Roman" w:cs="Times New Roman"/>
          <w:sz w:val="24"/>
          <w:szCs w:val="24"/>
          <w:lang w:val="pt-PT"/>
        </w:rPr>
        <w:t>s</w:t>
      </w:r>
      <w:r w:rsidRPr="00BF3FC4">
        <w:rPr>
          <w:rFonts w:ascii="Times New Roman" w:hAnsi="Times New Roman" w:cs="Times New Roman"/>
          <w:sz w:val="24"/>
          <w:szCs w:val="24"/>
          <w:lang w:val="pt-PT"/>
        </w:rPr>
        <w:t xml:space="preserve"> de pesquisa:</w:t>
      </w:r>
    </w:p>
    <w:p w14:paraId="0A8860A2" w14:textId="18F61CE8" w:rsidR="00154A06" w:rsidRDefault="00154A06" w:rsidP="00157D35">
      <w:pPr>
        <w:autoSpaceDE w:val="0"/>
        <w:autoSpaceDN w:val="0"/>
        <w:adjustRightInd w:val="0"/>
        <w:spacing w:after="0" w:line="240" w:lineRule="auto"/>
        <w:ind w:firstLine="709"/>
        <w:jc w:val="both"/>
        <w:rPr>
          <w:rFonts w:ascii="Times New Roman" w:hAnsi="Times New Roman" w:cs="Times New Roman"/>
          <w:sz w:val="24"/>
          <w:szCs w:val="24"/>
          <w:lang w:val="pt-PT"/>
        </w:rPr>
      </w:pPr>
      <w:r w:rsidRPr="003E40AC">
        <w:rPr>
          <w:rFonts w:ascii="Times New Roman" w:hAnsi="Times New Roman" w:cs="Times New Roman"/>
          <w:b/>
          <w:sz w:val="24"/>
          <w:szCs w:val="24"/>
          <w:lang w:val="pt-PT"/>
        </w:rPr>
        <w:t>H1:</w:t>
      </w:r>
      <w:r w:rsidRPr="003E40AC">
        <w:rPr>
          <w:rFonts w:ascii="Times New Roman" w:hAnsi="Times New Roman" w:cs="Times New Roman"/>
          <w:sz w:val="24"/>
          <w:szCs w:val="24"/>
          <w:lang w:val="pt-PT"/>
        </w:rPr>
        <w:t xml:space="preserve"> </w:t>
      </w:r>
      <w:r w:rsidR="006E7745" w:rsidRPr="003E40AC">
        <w:rPr>
          <w:rFonts w:ascii="Times New Roman" w:hAnsi="Times New Roman" w:cs="Times New Roman"/>
          <w:sz w:val="24"/>
          <w:szCs w:val="24"/>
          <w:lang w:val="pt-PT"/>
        </w:rPr>
        <w:t>O</w:t>
      </w:r>
      <w:r w:rsidRPr="003E40AC">
        <w:rPr>
          <w:rFonts w:ascii="Times New Roman" w:hAnsi="Times New Roman" w:cs="Times New Roman"/>
          <w:sz w:val="24"/>
          <w:szCs w:val="24"/>
          <w:lang w:val="pt-PT"/>
        </w:rPr>
        <w:t xml:space="preserve"> desempenho operacional</w:t>
      </w:r>
      <w:r w:rsidR="0057195B">
        <w:rPr>
          <w:rFonts w:ascii="Times New Roman" w:hAnsi="Times New Roman" w:cs="Times New Roman"/>
          <w:sz w:val="24"/>
          <w:szCs w:val="24"/>
          <w:lang w:val="pt-PT"/>
        </w:rPr>
        <w:t xml:space="preserve"> </w:t>
      </w:r>
      <w:r w:rsidR="00321DDA" w:rsidRPr="003E40AC">
        <w:rPr>
          <w:rFonts w:ascii="Times New Roman" w:hAnsi="Times New Roman" w:cs="Times New Roman"/>
          <w:sz w:val="24"/>
          <w:szCs w:val="24"/>
          <w:lang w:val="pt-PT"/>
        </w:rPr>
        <w:t>das empresas emissoras de SEO’s</w:t>
      </w:r>
      <w:r w:rsidR="006E7745" w:rsidRPr="003E40AC">
        <w:rPr>
          <w:rFonts w:ascii="Times New Roman" w:hAnsi="Times New Roman" w:cs="Times New Roman"/>
          <w:sz w:val="24"/>
          <w:szCs w:val="24"/>
          <w:lang w:val="pt-PT"/>
        </w:rPr>
        <w:t xml:space="preserve"> </w:t>
      </w:r>
      <w:r w:rsidR="009864F2" w:rsidRPr="003E40AC">
        <w:rPr>
          <w:rFonts w:ascii="Times New Roman" w:hAnsi="Times New Roman" w:cs="Times New Roman"/>
          <w:sz w:val="24"/>
          <w:szCs w:val="24"/>
          <w:lang w:val="pt-PT"/>
        </w:rPr>
        <w:t xml:space="preserve">piora </w:t>
      </w:r>
      <w:r w:rsidR="00031FA6" w:rsidRPr="003E40AC">
        <w:rPr>
          <w:rFonts w:ascii="Times New Roman" w:hAnsi="Times New Roman" w:cs="Times New Roman"/>
          <w:sz w:val="24"/>
          <w:szCs w:val="24"/>
          <w:lang w:val="pt-PT"/>
        </w:rPr>
        <w:t>após oferta</w:t>
      </w:r>
      <w:r w:rsidR="005526AC" w:rsidRPr="003E40AC">
        <w:rPr>
          <w:rFonts w:ascii="Times New Roman" w:hAnsi="Times New Roman" w:cs="Times New Roman"/>
          <w:sz w:val="24"/>
          <w:szCs w:val="24"/>
          <w:lang w:val="pt-PT"/>
        </w:rPr>
        <w:t xml:space="preserve"> e</w:t>
      </w:r>
      <w:r w:rsidR="009864F2" w:rsidRPr="003E40AC">
        <w:rPr>
          <w:rFonts w:ascii="Times New Roman" w:hAnsi="Times New Roman" w:cs="Times New Roman"/>
          <w:sz w:val="24"/>
          <w:szCs w:val="24"/>
          <w:lang w:val="pt-PT"/>
        </w:rPr>
        <w:t xml:space="preserve"> </w:t>
      </w:r>
      <w:r w:rsidR="006E7745" w:rsidRPr="003E40AC">
        <w:rPr>
          <w:rFonts w:ascii="Times New Roman" w:hAnsi="Times New Roman" w:cs="Times New Roman"/>
          <w:sz w:val="24"/>
          <w:szCs w:val="24"/>
          <w:lang w:val="pt-PT"/>
        </w:rPr>
        <w:t>é inferior</w:t>
      </w:r>
      <w:r w:rsidR="00321DDA" w:rsidRPr="003E40AC">
        <w:rPr>
          <w:rFonts w:ascii="Times New Roman" w:hAnsi="Times New Roman" w:cs="Times New Roman"/>
          <w:sz w:val="24"/>
          <w:szCs w:val="24"/>
          <w:lang w:val="pt-PT"/>
        </w:rPr>
        <w:t xml:space="preserve"> ao </w:t>
      </w:r>
      <w:r w:rsidRPr="003E40AC">
        <w:rPr>
          <w:rFonts w:ascii="Times New Roman" w:hAnsi="Times New Roman" w:cs="Times New Roman"/>
          <w:sz w:val="24"/>
          <w:szCs w:val="24"/>
          <w:lang w:val="pt-PT"/>
        </w:rPr>
        <w:t xml:space="preserve">das </w:t>
      </w:r>
      <w:r w:rsidRPr="00933491">
        <w:rPr>
          <w:rFonts w:ascii="Times New Roman" w:hAnsi="Times New Roman" w:cs="Times New Roman"/>
          <w:sz w:val="24"/>
          <w:szCs w:val="24"/>
          <w:lang w:val="pt-PT"/>
        </w:rPr>
        <w:t>não emissoras.</w:t>
      </w:r>
    </w:p>
    <w:p w14:paraId="1EEB546B" w14:textId="2B5BE116" w:rsidR="0057195B" w:rsidRPr="00933491" w:rsidRDefault="0057195B" w:rsidP="00157D35">
      <w:pPr>
        <w:autoSpaceDE w:val="0"/>
        <w:autoSpaceDN w:val="0"/>
        <w:adjustRightInd w:val="0"/>
        <w:spacing w:after="0" w:line="240" w:lineRule="auto"/>
        <w:ind w:firstLine="709"/>
        <w:jc w:val="both"/>
        <w:rPr>
          <w:rFonts w:ascii="Times New Roman" w:hAnsi="Times New Roman" w:cs="Times New Roman"/>
          <w:sz w:val="24"/>
          <w:szCs w:val="24"/>
          <w:lang w:val="pt-PT"/>
        </w:rPr>
      </w:pPr>
      <w:r>
        <w:rPr>
          <w:rFonts w:ascii="Times New Roman" w:hAnsi="Times New Roman" w:cs="Times New Roman"/>
          <w:b/>
          <w:sz w:val="24"/>
          <w:szCs w:val="24"/>
          <w:lang w:val="pt-PT"/>
        </w:rPr>
        <w:t>H2</w:t>
      </w:r>
      <w:r w:rsidRPr="003E40AC">
        <w:rPr>
          <w:rFonts w:ascii="Times New Roman" w:hAnsi="Times New Roman" w:cs="Times New Roman"/>
          <w:b/>
          <w:sz w:val="24"/>
          <w:szCs w:val="24"/>
          <w:lang w:val="pt-PT"/>
        </w:rPr>
        <w:t>:</w:t>
      </w:r>
      <w:r w:rsidRPr="003E40AC">
        <w:rPr>
          <w:rFonts w:ascii="Times New Roman" w:hAnsi="Times New Roman" w:cs="Times New Roman"/>
          <w:sz w:val="24"/>
          <w:szCs w:val="24"/>
          <w:lang w:val="pt-PT"/>
        </w:rPr>
        <w:t xml:space="preserve"> O</w:t>
      </w:r>
      <w:r>
        <w:rPr>
          <w:rFonts w:ascii="Times New Roman" w:hAnsi="Times New Roman" w:cs="Times New Roman"/>
          <w:sz w:val="24"/>
          <w:szCs w:val="24"/>
          <w:lang w:val="pt-PT"/>
        </w:rPr>
        <w:t xml:space="preserve"> desempenho acionário</w:t>
      </w:r>
      <w:r w:rsidRPr="003E40AC">
        <w:rPr>
          <w:rFonts w:ascii="Times New Roman" w:hAnsi="Times New Roman" w:cs="Times New Roman"/>
          <w:sz w:val="24"/>
          <w:szCs w:val="24"/>
          <w:lang w:val="pt-PT"/>
        </w:rPr>
        <w:t xml:space="preserve"> das empresas emissoras de SEO’s piora após oferta e é inferior ao das </w:t>
      </w:r>
      <w:r w:rsidRPr="00933491">
        <w:rPr>
          <w:rFonts w:ascii="Times New Roman" w:hAnsi="Times New Roman" w:cs="Times New Roman"/>
          <w:sz w:val="24"/>
          <w:szCs w:val="24"/>
          <w:lang w:val="pt-PT"/>
        </w:rPr>
        <w:t>não emissoras.</w:t>
      </w:r>
    </w:p>
    <w:p w14:paraId="2AF50CBA" w14:textId="77777777" w:rsidR="006E296C" w:rsidRPr="00933491" w:rsidRDefault="006E296C" w:rsidP="0056798E">
      <w:pPr>
        <w:pStyle w:val="PargrafodaLista"/>
        <w:spacing w:after="0" w:line="240" w:lineRule="auto"/>
        <w:ind w:left="426"/>
        <w:rPr>
          <w:rFonts w:ascii="Times New Roman" w:hAnsi="Times New Roman" w:cs="Times New Roman"/>
          <w:b/>
          <w:sz w:val="24"/>
          <w:szCs w:val="24"/>
        </w:rPr>
      </w:pPr>
    </w:p>
    <w:p w14:paraId="7ED6CAA0" w14:textId="2559FB84" w:rsidR="0057195B" w:rsidRDefault="007B116C" w:rsidP="00DB788B">
      <w:pPr>
        <w:pStyle w:val="PargrafodaLista"/>
        <w:numPr>
          <w:ilvl w:val="0"/>
          <w:numId w:val="2"/>
        </w:numPr>
        <w:spacing w:after="120" w:line="240" w:lineRule="auto"/>
        <w:ind w:left="425" w:hanging="425"/>
        <w:rPr>
          <w:rFonts w:ascii="Times New Roman" w:hAnsi="Times New Roman" w:cs="Times New Roman"/>
          <w:b/>
          <w:sz w:val="24"/>
          <w:szCs w:val="24"/>
        </w:rPr>
      </w:pPr>
      <w:r>
        <w:rPr>
          <w:rFonts w:ascii="Times New Roman" w:hAnsi="Times New Roman" w:cs="Times New Roman"/>
          <w:b/>
          <w:sz w:val="24"/>
          <w:szCs w:val="24"/>
        </w:rPr>
        <w:t>Metodologia</w:t>
      </w:r>
    </w:p>
    <w:p w14:paraId="566D08AF" w14:textId="6705C758" w:rsidR="00E916D3" w:rsidRPr="00933491" w:rsidRDefault="006D03F9" w:rsidP="00157D35">
      <w:pPr>
        <w:autoSpaceDE w:val="0"/>
        <w:autoSpaceDN w:val="0"/>
        <w:adjustRightInd w:val="0"/>
        <w:spacing w:after="0" w:line="240" w:lineRule="auto"/>
        <w:ind w:firstLine="709"/>
        <w:jc w:val="both"/>
        <w:rPr>
          <w:rFonts w:ascii="Times New Roman" w:hAnsi="Times New Roman" w:cs="Times New Roman"/>
          <w:sz w:val="24"/>
          <w:szCs w:val="24"/>
        </w:rPr>
      </w:pPr>
      <w:r w:rsidRPr="003E40AC">
        <w:rPr>
          <w:rFonts w:ascii="Times New Roman" w:hAnsi="Times New Roman" w:cs="Times New Roman"/>
          <w:sz w:val="24"/>
          <w:szCs w:val="24"/>
        </w:rPr>
        <w:t xml:space="preserve">A população consistiu de todas as empresas emissoras de ações subsequentes (SEO) listadas na </w:t>
      </w:r>
      <w:r w:rsidR="008E73A3" w:rsidRPr="003E40AC">
        <w:rPr>
          <w:rFonts w:ascii="Times New Roman" w:hAnsi="Times New Roman" w:cs="Times New Roman"/>
          <w:sz w:val="24"/>
          <w:szCs w:val="24"/>
        </w:rPr>
        <w:t>B3 (Bolsa</w:t>
      </w:r>
      <w:r w:rsidR="00D73757">
        <w:rPr>
          <w:rFonts w:ascii="Times New Roman" w:hAnsi="Times New Roman" w:cs="Times New Roman"/>
          <w:sz w:val="24"/>
          <w:szCs w:val="24"/>
        </w:rPr>
        <w:t>,</w:t>
      </w:r>
      <w:r w:rsidR="008E73A3" w:rsidRPr="003E40AC">
        <w:rPr>
          <w:rFonts w:ascii="Times New Roman" w:hAnsi="Times New Roman" w:cs="Times New Roman"/>
          <w:sz w:val="24"/>
          <w:szCs w:val="24"/>
        </w:rPr>
        <w:t xml:space="preserve"> Brasil</w:t>
      </w:r>
      <w:r w:rsidR="00D73757">
        <w:rPr>
          <w:rFonts w:ascii="Times New Roman" w:hAnsi="Times New Roman" w:cs="Times New Roman"/>
          <w:sz w:val="24"/>
          <w:szCs w:val="24"/>
        </w:rPr>
        <w:t>,</w:t>
      </w:r>
      <w:r w:rsidR="008E73A3" w:rsidRPr="003E40AC">
        <w:rPr>
          <w:rFonts w:ascii="Times New Roman" w:hAnsi="Times New Roman" w:cs="Times New Roman"/>
          <w:sz w:val="24"/>
          <w:szCs w:val="24"/>
        </w:rPr>
        <w:t xml:space="preserve"> Balcão)</w:t>
      </w:r>
      <w:r w:rsidRPr="003E40AC">
        <w:rPr>
          <w:rFonts w:ascii="Times New Roman" w:hAnsi="Times New Roman" w:cs="Times New Roman"/>
          <w:sz w:val="24"/>
          <w:szCs w:val="24"/>
        </w:rPr>
        <w:t>, no período de 2004 a 20</w:t>
      </w:r>
      <w:r w:rsidR="005704E6" w:rsidRPr="003E40AC">
        <w:rPr>
          <w:rFonts w:ascii="Times New Roman" w:hAnsi="Times New Roman" w:cs="Times New Roman"/>
          <w:sz w:val="24"/>
          <w:szCs w:val="24"/>
        </w:rPr>
        <w:t>11</w:t>
      </w:r>
      <w:r w:rsidRPr="003E40AC">
        <w:rPr>
          <w:rFonts w:ascii="Times New Roman" w:hAnsi="Times New Roman" w:cs="Times New Roman"/>
          <w:sz w:val="24"/>
          <w:szCs w:val="24"/>
        </w:rPr>
        <w:t xml:space="preserve">. Para a escolha do período inicial, consideraram-se as informações disponíveis na </w:t>
      </w:r>
      <w:r w:rsidR="008E73A3" w:rsidRPr="00933491">
        <w:rPr>
          <w:rFonts w:ascii="Times New Roman" w:hAnsi="Times New Roman" w:cs="Times New Roman"/>
          <w:sz w:val="24"/>
          <w:szCs w:val="24"/>
        </w:rPr>
        <w:t>B3</w:t>
      </w:r>
      <w:r w:rsidRPr="00933491">
        <w:rPr>
          <w:rFonts w:ascii="Times New Roman" w:hAnsi="Times New Roman" w:cs="Times New Roman"/>
          <w:sz w:val="24"/>
          <w:szCs w:val="24"/>
        </w:rPr>
        <w:t xml:space="preserve"> a respeito das </w:t>
      </w:r>
      <w:proofErr w:type="spellStart"/>
      <w:r w:rsidRPr="00933491">
        <w:rPr>
          <w:rFonts w:ascii="Times New Roman" w:hAnsi="Times New Roman" w:cs="Times New Roman"/>
          <w:sz w:val="24"/>
          <w:szCs w:val="24"/>
        </w:rPr>
        <w:t>SEO’s</w:t>
      </w:r>
      <w:proofErr w:type="spellEnd"/>
      <w:r w:rsidRPr="00933491">
        <w:rPr>
          <w:rFonts w:ascii="Times New Roman" w:hAnsi="Times New Roman" w:cs="Times New Roman"/>
          <w:sz w:val="24"/>
          <w:szCs w:val="24"/>
        </w:rPr>
        <w:t>. Já o período final</w:t>
      </w:r>
      <w:r w:rsidR="008E73A3" w:rsidRPr="00933491">
        <w:rPr>
          <w:rFonts w:ascii="Times New Roman" w:hAnsi="Times New Roman" w:cs="Times New Roman"/>
          <w:sz w:val="24"/>
          <w:szCs w:val="24"/>
        </w:rPr>
        <w:t>,</w:t>
      </w:r>
      <w:r w:rsidRPr="00933491">
        <w:rPr>
          <w:rFonts w:ascii="Times New Roman" w:hAnsi="Times New Roman" w:cs="Times New Roman"/>
          <w:sz w:val="24"/>
          <w:szCs w:val="24"/>
        </w:rPr>
        <w:t xml:space="preserve"> foi estabelecido devido à disponibilidade dos dados das empresas quatro anos após a emissão das ações. </w:t>
      </w:r>
    </w:p>
    <w:p w14:paraId="6517764A" w14:textId="1150C5B9" w:rsidR="00E916D3" w:rsidRPr="00933491" w:rsidRDefault="006D03F9" w:rsidP="00157D35">
      <w:pPr>
        <w:autoSpaceDE w:val="0"/>
        <w:autoSpaceDN w:val="0"/>
        <w:adjustRightInd w:val="0"/>
        <w:spacing w:after="0" w:line="240" w:lineRule="auto"/>
        <w:ind w:firstLine="709"/>
        <w:jc w:val="both"/>
        <w:rPr>
          <w:rFonts w:ascii="Times New Roman" w:hAnsi="Times New Roman" w:cs="Times New Roman"/>
          <w:sz w:val="24"/>
          <w:szCs w:val="24"/>
        </w:rPr>
      </w:pPr>
      <w:r w:rsidRPr="00933491">
        <w:rPr>
          <w:rFonts w:ascii="Times New Roman" w:hAnsi="Times New Roman" w:cs="Times New Roman"/>
          <w:sz w:val="24"/>
          <w:szCs w:val="24"/>
        </w:rPr>
        <w:t>A Tabela 1 evidencia o quantitativo de oferta</w:t>
      </w:r>
      <w:r w:rsidR="006805CC" w:rsidRPr="00933491">
        <w:rPr>
          <w:rFonts w:ascii="Times New Roman" w:hAnsi="Times New Roman" w:cs="Times New Roman"/>
          <w:sz w:val="24"/>
          <w:szCs w:val="24"/>
        </w:rPr>
        <w:t>s</w:t>
      </w:r>
      <w:r w:rsidRPr="00933491">
        <w:rPr>
          <w:rFonts w:ascii="Times New Roman" w:hAnsi="Times New Roman" w:cs="Times New Roman"/>
          <w:sz w:val="24"/>
          <w:szCs w:val="24"/>
        </w:rPr>
        <w:t xml:space="preserve"> </w:t>
      </w:r>
      <w:r w:rsidR="00474118" w:rsidRPr="00933491">
        <w:rPr>
          <w:rFonts w:ascii="Times New Roman" w:hAnsi="Times New Roman" w:cs="Times New Roman"/>
          <w:sz w:val="24"/>
          <w:szCs w:val="24"/>
        </w:rPr>
        <w:t>subsequentes</w:t>
      </w:r>
      <w:r w:rsidRPr="00933491">
        <w:rPr>
          <w:rFonts w:ascii="Times New Roman" w:hAnsi="Times New Roman" w:cs="Times New Roman"/>
          <w:sz w:val="24"/>
          <w:szCs w:val="24"/>
        </w:rPr>
        <w:t xml:space="preserve"> de ações</w:t>
      </w:r>
      <w:r w:rsidR="00FD3D84" w:rsidRPr="00933491">
        <w:rPr>
          <w:rFonts w:ascii="Times New Roman" w:hAnsi="Times New Roman" w:cs="Times New Roman"/>
          <w:sz w:val="24"/>
          <w:szCs w:val="24"/>
        </w:rPr>
        <w:t xml:space="preserve"> (</w:t>
      </w:r>
      <w:proofErr w:type="spellStart"/>
      <w:r w:rsidR="00FD3D84" w:rsidRPr="00933491">
        <w:rPr>
          <w:rFonts w:ascii="Times New Roman" w:hAnsi="Times New Roman" w:cs="Times New Roman"/>
          <w:sz w:val="24"/>
          <w:szCs w:val="24"/>
        </w:rPr>
        <w:t>SEO’s</w:t>
      </w:r>
      <w:proofErr w:type="spellEnd"/>
      <w:r w:rsidR="00FD3D84" w:rsidRPr="00933491">
        <w:rPr>
          <w:rFonts w:ascii="Times New Roman" w:hAnsi="Times New Roman" w:cs="Times New Roman"/>
          <w:sz w:val="24"/>
          <w:szCs w:val="24"/>
        </w:rPr>
        <w:t>)</w:t>
      </w:r>
      <w:r w:rsidRPr="00933491">
        <w:rPr>
          <w:rFonts w:ascii="Times New Roman" w:hAnsi="Times New Roman" w:cs="Times New Roman"/>
          <w:sz w:val="24"/>
          <w:szCs w:val="24"/>
        </w:rPr>
        <w:t xml:space="preserve">, totalizando </w:t>
      </w:r>
      <w:r w:rsidR="00C813E5" w:rsidRPr="00933491">
        <w:rPr>
          <w:rFonts w:ascii="Times New Roman" w:hAnsi="Times New Roman" w:cs="Times New Roman"/>
          <w:sz w:val="24"/>
          <w:szCs w:val="24"/>
        </w:rPr>
        <w:t>94</w:t>
      </w:r>
      <w:r w:rsidRPr="00933491">
        <w:rPr>
          <w:rFonts w:ascii="Times New Roman" w:hAnsi="Times New Roman" w:cs="Times New Roman"/>
          <w:sz w:val="24"/>
          <w:szCs w:val="24"/>
        </w:rPr>
        <w:t xml:space="preserve"> operações.</w:t>
      </w:r>
      <w:r w:rsidR="0011520C" w:rsidRPr="00933491">
        <w:rPr>
          <w:rFonts w:ascii="Times New Roman" w:hAnsi="Times New Roman" w:cs="Times New Roman"/>
          <w:sz w:val="24"/>
          <w:szCs w:val="24"/>
        </w:rPr>
        <w:t xml:space="preserve"> Para compor a amostra</w:t>
      </w:r>
      <w:r w:rsidRPr="00933491">
        <w:rPr>
          <w:rFonts w:ascii="Times New Roman" w:hAnsi="Times New Roman" w:cs="Times New Roman"/>
          <w:sz w:val="24"/>
          <w:szCs w:val="24"/>
        </w:rPr>
        <w:t>, foram excluídas</w:t>
      </w:r>
      <w:r w:rsidR="00100C65" w:rsidRPr="00933491">
        <w:rPr>
          <w:rFonts w:ascii="Times New Roman" w:hAnsi="Times New Roman" w:cs="Times New Roman"/>
          <w:sz w:val="24"/>
          <w:szCs w:val="24"/>
        </w:rPr>
        <w:t xml:space="preserve"> da população</w:t>
      </w:r>
      <w:r w:rsidRPr="00933491">
        <w:rPr>
          <w:rFonts w:ascii="Times New Roman" w:hAnsi="Times New Roman" w:cs="Times New Roman"/>
          <w:sz w:val="24"/>
          <w:szCs w:val="24"/>
        </w:rPr>
        <w:t xml:space="preserve"> as </w:t>
      </w:r>
      <w:r w:rsidR="007758C0" w:rsidRPr="00933491">
        <w:rPr>
          <w:rFonts w:ascii="Times New Roman" w:hAnsi="Times New Roman" w:cs="Times New Roman"/>
          <w:sz w:val="24"/>
          <w:szCs w:val="24"/>
        </w:rPr>
        <w:t xml:space="preserve">seguintes </w:t>
      </w:r>
      <w:r w:rsidRPr="00933491">
        <w:rPr>
          <w:rFonts w:ascii="Times New Roman" w:hAnsi="Times New Roman" w:cs="Times New Roman"/>
          <w:sz w:val="24"/>
          <w:szCs w:val="24"/>
        </w:rPr>
        <w:t>empresas:</w:t>
      </w:r>
    </w:p>
    <w:p w14:paraId="17BAE226" w14:textId="69686E63" w:rsidR="00E916D3" w:rsidRPr="003E40AC" w:rsidRDefault="00E916D3" w:rsidP="00157D35">
      <w:pPr>
        <w:autoSpaceDE w:val="0"/>
        <w:autoSpaceDN w:val="0"/>
        <w:adjustRightInd w:val="0"/>
        <w:spacing w:after="0" w:line="240" w:lineRule="auto"/>
        <w:ind w:firstLine="709"/>
        <w:jc w:val="both"/>
        <w:rPr>
          <w:rFonts w:ascii="Times New Roman" w:hAnsi="Times New Roman" w:cs="Times New Roman"/>
          <w:sz w:val="24"/>
          <w:szCs w:val="24"/>
        </w:rPr>
      </w:pPr>
      <w:r w:rsidRPr="00933491">
        <w:rPr>
          <w:rFonts w:ascii="Times New Roman" w:hAnsi="Times New Roman" w:cs="Times New Roman"/>
          <w:sz w:val="24"/>
          <w:szCs w:val="24"/>
        </w:rPr>
        <w:t xml:space="preserve">a) </w:t>
      </w:r>
      <w:r w:rsidR="006D03F9" w:rsidRPr="00933491">
        <w:rPr>
          <w:rFonts w:ascii="Times New Roman" w:hAnsi="Times New Roman" w:cs="Times New Roman"/>
          <w:sz w:val="24"/>
          <w:szCs w:val="24"/>
        </w:rPr>
        <w:t>que realizaram apenas ofertas secundárias</w:t>
      </w:r>
      <w:r w:rsidR="004C2D2D" w:rsidRPr="00933491">
        <w:rPr>
          <w:rFonts w:ascii="Times New Roman" w:hAnsi="Times New Roman" w:cs="Times New Roman"/>
          <w:sz w:val="24"/>
          <w:szCs w:val="24"/>
        </w:rPr>
        <w:t xml:space="preserve"> </w:t>
      </w:r>
      <w:r w:rsidR="004C2D2D" w:rsidRPr="00CC11DC">
        <w:rPr>
          <w:rFonts w:ascii="Times New Roman" w:hAnsi="Times New Roman" w:cs="Times New Roman"/>
          <w:sz w:val="24"/>
          <w:szCs w:val="24"/>
        </w:rPr>
        <w:t>(totalizando 28 ofertas exclusi</w:t>
      </w:r>
      <w:r w:rsidR="004C2D2D" w:rsidRPr="003E40AC">
        <w:rPr>
          <w:rFonts w:ascii="Times New Roman" w:hAnsi="Times New Roman" w:cs="Times New Roman"/>
          <w:sz w:val="24"/>
          <w:szCs w:val="24"/>
        </w:rPr>
        <w:t>vamente secundárias</w:t>
      </w:r>
      <w:r w:rsidR="00D10409" w:rsidRPr="003E40AC">
        <w:rPr>
          <w:rFonts w:ascii="Times New Roman" w:hAnsi="Times New Roman" w:cs="Times New Roman"/>
          <w:sz w:val="24"/>
          <w:szCs w:val="24"/>
        </w:rPr>
        <w:t>, resultando, assim, em 66 possíveis ofertas para a amostra</w:t>
      </w:r>
      <w:r w:rsidR="004C2D2D" w:rsidRPr="003E40AC">
        <w:rPr>
          <w:rFonts w:ascii="Times New Roman" w:hAnsi="Times New Roman" w:cs="Times New Roman"/>
          <w:sz w:val="24"/>
          <w:szCs w:val="24"/>
        </w:rPr>
        <w:t>)</w:t>
      </w:r>
      <w:r w:rsidR="006D03F9" w:rsidRPr="003E40AC">
        <w:rPr>
          <w:rFonts w:ascii="Times New Roman" w:hAnsi="Times New Roman" w:cs="Times New Roman"/>
          <w:sz w:val="24"/>
          <w:szCs w:val="24"/>
        </w:rPr>
        <w:t xml:space="preserve">; </w:t>
      </w:r>
    </w:p>
    <w:p w14:paraId="4BF1EA7C" w14:textId="07D4F85F" w:rsidR="00E916D3" w:rsidRPr="00933491" w:rsidRDefault="00E916D3" w:rsidP="00157D35">
      <w:pPr>
        <w:autoSpaceDE w:val="0"/>
        <w:autoSpaceDN w:val="0"/>
        <w:adjustRightInd w:val="0"/>
        <w:spacing w:after="0" w:line="240" w:lineRule="auto"/>
        <w:ind w:firstLine="709"/>
        <w:jc w:val="both"/>
        <w:rPr>
          <w:rFonts w:ascii="Times New Roman" w:hAnsi="Times New Roman" w:cs="Times New Roman"/>
          <w:sz w:val="24"/>
          <w:szCs w:val="24"/>
        </w:rPr>
      </w:pPr>
      <w:r w:rsidRPr="00933491">
        <w:rPr>
          <w:rFonts w:ascii="Times New Roman" w:hAnsi="Times New Roman" w:cs="Times New Roman"/>
          <w:sz w:val="24"/>
          <w:szCs w:val="24"/>
        </w:rPr>
        <w:t xml:space="preserve">b) </w:t>
      </w:r>
      <w:r w:rsidR="006D03F9" w:rsidRPr="00933491">
        <w:rPr>
          <w:rFonts w:ascii="Times New Roman" w:hAnsi="Times New Roman" w:cs="Times New Roman"/>
          <w:sz w:val="24"/>
          <w:szCs w:val="24"/>
        </w:rPr>
        <w:t>que, durante o interregno de cinco anos, realizaram mais de uma SEO, a fim de reduzir a dependência para os testes estatísticos</w:t>
      </w:r>
      <w:r w:rsidR="00D10409" w:rsidRPr="00933491">
        <w:rPr>
          <w:rFonts w:ascii="Times New Roman" w:hAnsi="Times New Roman" w:cs="Times New Roman"/>
          <w:sz w:val="24"/>
          <w:szCs w:val="24"/>
        </w:rPr>
        <w:t xml:space="preserve"> (totalizando 28 papeis excluídos, resultando, assim, em 38 possíveis ofertas para a amostra)</w:t>
      </w:r>
      <w:r w:rsidR="006D03F9" w:rsidRPr="00933491">
        <w:rPr>
          <w:rFonts w:ascii="Times New Roman" w:hAnsi="Times New Roman" w:cs="Times New Roman"/>
          <w:sz w:val="24"/>
          <w:szCs w:val="24"/>
        </w:rPr>
        <w:t xml:space="preserve">; </w:t>
      </w:r>
    </w:p>
    <w:p w14:paraId="6CDB1B68" w14:textId="1D7A1F37" w:rsidR="00685479" w:rsidRPr="00933491" w:rsidRDefault="00E916D3" w:rsidP="00157D35">
      <w:pPr>
        <w:autoSpaceDE w:val="0"/>
        <w:autoSpaceDN w:val="0"/>
        <w:adjustRightInd w:val="0"/>
        <w:spacing w:after="0" w:line="240" w:lineRule="auto"/>
        <w:ind w:firstLine="709"/>
        <w:jc w:val="both"/>
        <w:rPr>
          <w:rFonts w:ascii="Times New Roman" w:hAnsi="Times New Roman" w:cs="Times New Roman"/>
          <w:sz w:val="24"/>
          <w:szCs w:val="24"/>
        </w:rPr>
      </w:pPr>
      <w:r w:rsidRPr="00933491">
        <w:rPr>
          <w:rFonts w:ascii="Times New Roman" w:hAnsi="Times New Roman" w:cs="Times New Roman"/>
          <w:sz w:val="24"/>
          <w:szCs w:val="24"/>
        </w:rPr>
        <w:t>c) q</w:t>
      </w:r>
      <w:r w:rsidR="006D03F9" w:rsidRPr="00933491">
        <w:rPr>
          <w:rFonts w:ascii="Times New Roman" w:hAnsi="Times New Roman" w:cs="Times New Roman"/>
          <w:sz w:val="24"/>
          <w:szCs w:val="24"/>
        </w:rPr>
        <w:t>ue não apresentaram os dados necessários para a pesquisa</w:t>
      </w:r>
      <w:r w:rsidR="00D10409" w:rsidRPr="00933491">
        <w:rPr>
          <w:rFonts w:ascii="Times New Roman" w:hAnsi="Times New Roman" w:cs="Times New Roman"/>
          <w:sz w:val="24"/>
          <w:szCs w:val="24"/>
        </w:rPr>
        <w:t xml:space="preserve"> (totalizando 4 papeis excluídos)</w:t>
      </w:r>
      <w:r w:rsidR="006D03F9" w:rsidRPr="00933491">
        <w:rPr>
          <w:rFonts w:ascii="Times New Roman" w:hAnsi="Times New Roman" w:cs="Times New Roman"/>
          <w:sz w:val="24"/>
          <w:szCs w:val="24"/>
        </w:rPr>
        <w:t>.</w:t>
      </w:r>
    </w:p>
    <w:p w14:paraId="2739A162" w14:textId="69247328" w:rsidR="006D03F9" w:rsidRDefault="00205AC9" w:rsidP="00157D35">
      <w:pPr>
        <w:autoSpaceDE w:val="0"/>
        <w:autoSpaceDN w:val="0"/>
        <w:adjustRightInd w:val="0"/>
        <w:spacing w:after="0" w:line="240" w:lineRule="auto"/>
        <w:ind w:firstLine="709"/>
        <w:jc w:val="both"/>
        <w:rPr>
          <w:rFonts w:ascii="Times New Roman" w:hAnsi="Times New Roman" w:cs="Times New Roman"/>
          <w:sz w:val="24"/>
          <w:szCs w:val="24"/>
        </w:rPr>
      </w:pPr>
      <w:r w:rsidRPr="00933491">
        <w:rPr>
          <w:rFonts w:ascii="Times New Roman" w:hAnsi="Times New Roman" w:cs="Times New Roman"/>
          <w:sz w:val="24"/>
          <w:szCs w:val="24"/>
        </w:rPr>
        <w:t>Após a aplicaç</w:t>
      </w:r>
      <w:r w:rsidR="006270F6" w:rsidRPr="00933491">
        <w:rPr>
          <w:rFonts w:ascii="Times New Roman" w:hAnsi="Times New Roman" w:cs="Times New Roman"/>
          <w:sz w:val="24"/>
          <w:szCs w:val="24"/>
        </w:rPr>
        <w:t>ão dos filtros, segundo</w:t>
      </w:r>
      <w:r w:rsidR="007E26C1" w:rsidRPr="00933491">
        <w:rPr>
          <w:rFonts w:ascii="Times New Roman" w:hAnsi="Times New Roman" w:cs="Times New Roman"/>
          <w:sz w:val="24"/>
          <w:szCs w:val="24"/>
        </w:rPr>
        <w:t xml:space="preserve"> os</w:t>
      </w:r>
      <w:r w:rsidR="006270F6" w:rsidRPr="00933491">
        <w:rPr>
          <w:rFonts w:ascii="Times New Roman" w:hAnsi="Times New Roman" w:cs="Times New Roman"/>
          <w:sz w:val="24"/>
          <w:szCs w:val="24"/>
        </w:rPr>
        <w:t xml:space="preserve"> critérios definido</w:t>
      </w:r>
      <w:r w:rsidR="007E26C1" w:rsidRPr="00933491">
        <w:rPr>
          <w:rFonts w:ascii="Times New Roman" w:hAnsi="Times New Roman" w:cs="Times New Roman"/>
          <w:sz w:val="24"/>
          <w:szCs w:val="24"/>
        </w:rPr>
        <w:t>s</w:t>
      </w:r>
      <w:r w:rsidRPr="00933491">
        <w:rPr>
          <w:rFonts w:ascii="Times New Roman" w:hAnsi="Times New Roman" w:cs="Times New Roman"/>
          <w:sz w:val="24"/>
          <w:szCs w:val="24"/>
        </w:rPr>
        <w:t xml:space="preserve"> acima, a amostra </w:t>
      </w:r>
      <w:r w:rsidR="007E26C1" w:rsidRPr="00933491">
        <w:rPr>
          <w:rFonts w:ascii="Times New Roman" w:hAnsi="Times New Roman" w:cs="Times New Roman"/>
          <w:sz w:val="24"/>
          <w:szCs w:val="24"/>
        </w:rPr>
        <w:t>foi</w:t>
      </w:r>
      <w:r w:rsidR="009A2611" w:rsidRPr="00933491">
        <w:rPr>
          <w:rFonts w:ascii="Times New Roman" w:hAnsi="Times New Roman" w:cs="Times New Roman"/>
          <w:sz w:val="24"/>
          <w:szCs w:val="24"/>
        </w:rPr>
        <w:t xml:space="preserve"> </w:t>
      </w:r>
      <w:r w:rsidR="0057697E" w:rsidRPr="00933491">
        <w:rPr>
          <w:rFonts w:ascii="Times New Roman" w:hAnsi="Times New Roman" w:cs="Times New Roman"/>
          <w:sz w:val="24"/>
          <w:szCs w:val="24"/>
        </w:rPr>
        <w:t xml:space="preserve">composta por </w:t>
      </w:r>
      <w:r w:rsidR="00C813E5" w:rsidRPr="00933491">
        <w:rPr>
          <w:rFonts w:ascii="Times New Roman" w:hAnsi="Times New Roman" w:cs="Times New Roman"/>
          <w:sz w:val="24"/>
          <w:szCs w:val="24"/>
        </w:rPr>
        <w:t>34</w:t>
      </w:r>
      <w:r w:rsidR="009A2611" w:rsidRPr="00933491">
        <w:rPr>
          <w:rFonts w:ascii="Times New Roman" w:hAnsi="Times New Roman" w:cs="Times New Roman"/>
          <w:sz w:val="24"/>
          <w:szCs w:val="24"/>
        </w:rPr>
        <w:t xml:space="preserve"> ofertas subsequentes de ações</w:t>
      </w:r>
      <w:r w:rsidR="007E26C1" w:rsidRPr="00933491">
        <w:rPr>
          <w:rFonts w:ascii="Times New Roman" w:hAnsi="Times New Roman" w:cs="Times New Roman"/>
          <w:sz w:val="24"/>
          <w:szCs w:val="24"/>
        </w:rPr>
        <w:t>, conforme T</w:t>
      </w:r>
      <w:r w:rsidR="006D03F9" w:rsidRPr="00933491">
        <w:rPr>
          <w:rFonts w:ascii="Times New Roman" w:hAnsi="Times New Roman" w:cs="Times New Roman"/>
          <w:sz w:val="24"/>
          <w:szCs w:val="24"/>
        </w:rPr>
        <w:t>abela</w:t>
      </w:r>
      <w:r w:rsidR="006737E0" w:rsidRPr="00933491">
        <w:rPr>
          <w:rFonts w:ascii="Times New Roman" w:hAnsi="Times New Roman" w:cs="Times New Roman"/>
          <w:sz w:val="24"/>
          <w:szCs w:val="24"/>
        </w:rPr>
        <w:t xml:space="preserve"> 1</w:t>
      </w:r>
      <w:r w:rsidR="005A4385" w:rsidRPr="00933491">
        <w:rPr>
          <w:rFonts w:ascii="Times New Roman" w:hAnsi="Times New Roman" w:cs="Times New Roman"/>
          <w:sz w:val="24"/>
          <w:szCs w:val="24"/>
        </w:rPr>
        <w:t>.</w:t>
      </w:r>
    </w:p>
    <w:p w14:paraId="7D408612" w14:textId="77777777" w:rsidR="00E26FAD" w:rsidRPr="00933491" w:rsidRDefault="00E26FAD" w:rsidP="0056798E">
      <w:pPr>
        <w:autoSpaceDE w:val="0"/>
        <w:autoSpaceDN w:val="0"/>
        <w:adjustRightInd w:val="0"/>
        <w:spacing w:after="0" w:line="240" w:lineRule="auto"/>
        <w:ind w:firstLine="708"/>
        <w:jc w:val="both"/>
        <w:rPr>
          <w:rFonts w:ascii="Times New Roman" w:hAnsi="Times New Roman" w:cs="Times New Roman"/>
          <w:sz w:val="24"/>
          <w:szCs w:val="24"/>
        </w:rPr>
      </w:pPr>
    </w:p>
    <w:p w14:paraId="7F520896" w14:textId="06070910" w:rsidR="006D03F9" w:rsidRPr="004C7DD9" w:rsidRDefault="006D03F9" w:rsidP="004C7DD9">
      <w:pPr>
        <w:spacing w:after="0" w:line="240" w:lineRule="auto"/>
        <w:jc w:val="center"/>
        <w:rPr>
          <w:rFonts w:ascii="Times New Roman" w:hAnsi="Times New Roman" w:cs="Times New Roman"/>
          <w:b/>
          <w:sz w:val="20"/>
          <w:szCs w:val="24"/>
        </w:rPr>
      </w:pPr>
      <w:r w:rsidRPr="004C7DD9">
        <w:rPr>
          <w:rFonts w:ascii="Times New Roman" w:hAnsi="Times New Roman" w:cs="Times New Roman"/>
          <w:b/>
          <w:sz w:val="20"/>
          <w:szCs w:val="24"/>
        </w:rPr>
        <w:t>Tabela 1</w:t>
      </w:r>
      <w:r w:rsidR="004C7DD9">
        <w:rPr>
          <w:rFonts w:ascii="Times New Roman" w:hAnsi="Times New Roman" w:cs="Times New Roman"/>
          <w:b/>
          <w:sz w:val="20"/>
          <w:szCs w:val="24"/>
        </w:rPr>
        <w:t xml:space="preserve"> -</w:t>
      </w:r>
      <w:r w:rsidR="004C7DD9" w:rsidRPr="004C7DD9">
        <w:rPr>
          <w:rFonts w:ascii="Times New Roman" w:hAnsi="Times New Roman" w:cs="Times New Roman"/>
          <w:b/>
          <w:sz w:val="20"/>
          <w:szCs w:val="24"/>
        </w:rPr>
        <w:t xml:space="preserve"> </w:t>
      </w:r>
      <w:r w:rsidRPr="004C7DD9">
        <w:rPr>
          <w:rFonts w:ascii="Times New Roman" w:hAnsi="Times New Roman" w:cs="Times New Roman"/>
          <w:b/>
          <w:sz w:val="20"/>
          <w:szCs w:val="24"/>
        </w:rPr>
        <w:t>Quantidade de SEO</w:t>
      </w:r>
    </w:p>
    <w:tbl>
      <w:tblPr>
        <w:tblStyle w:val="Tabelacomgrade"/>
        <w:tblW w:w="0" w:type="auto"/>
        <w:jc w:val="center"/>
        <w:tblLook w:val="04A0" w:firstRow="1" w:lastRow="0" w:firstColumn="1" w:lastColumn="0" w:noHBand="0" w:noVBand="1"/>
      </w:tblPr>
      <w:tblGrid>
        <w:gridCol w:w="1323"/>
        <w:gridCol w:w="845"/>
        <w:gridCol w:w="845"/>
        <w:gridCol w:w="845"/>
        <w:gridCol w:w="845"/>
        <w:gridCol w:w="845"/>
        <w:gridCol w:w="845"/>
        <w:gridCol w:w="845"/>
        <w:gridCol w:w="845"/>
        <w:gridCol w:w="845"/>
      </w:tblGrid>
      <w:tr w:rsidR="00A35DA0" w:rsidRPr="00933491" w14:paraId="7E668183" w14:textId="77777777" w:rsidTr="005704E6">
        <w:trPr>
          <w:jc w:val="center"/>
        </w:trPr>
        <w:tc>
          <w:tcPr>
            <w:tcW w:w="1323" w:type="dxa"/>
            <w:tcBorders>
              <w:left w:val="nil"/>
            </w:tcBorders>
          </w:tcPr>
          <w:p w14:paraId="09204E78" w14:textId="77777777" w:rsidR="00A35DA0" w:rsidRPr="00933491" w:rsidRDefault="00A35DA0" w:rsidP="004C7DD9">
            <w:pPr>
              <w:jc w:val="center"/>
              <w:rPr>
                <w:rFonts w:ascii="Times New Roman" w:hAnsi="Times New Roman" w:cs="Times New Roman"/>
                <w:b/>
                <w:sz w:val="20"/>
                <w:szCs w:val="24"/>
              </w:rPr>
            </w:pPr>
            <w:r w:rsidRPr="00933491">
              <w:rPr>
                <w:rFonts w:ascii="Times New Roman" w:hAnsi="Times New Roman" w:cs="Times New Roman"/>
                <w:b/>
                <w:sz w:val="20"/>
                <w:szCs w:val="24"/>
              </w:rPr>
              <w:t>Ano</w:t>
            </w:r>
          </w:p>
        </w:tc>
        <w:tc>
          <w:tcPr>
            <w:tcW w:w="845" w:type="dxa"/>
          </w:tcPr>
          <w:p w14:paraId="376EFB54" w14:textId="77777777" w:rsidR="00A35DA0" w:rsidRPr="00933491" w:rsidRDefault="00A35DA0" w:rsidP="004C7DD9">
            <w:pPr>
              <w:jc w:val="center"/>
              <w:rPr>
                <w:rFonts w:ascii="Times New Roman" w:hAnsi="Times New Roman" w:cs="Times New Roman"/>
                <w:b/>
                <w:sz w:val="20"/>
                <w:szCs w:val="24"/>
              </w:rPr>
            </w:pPr>
            <w:r w:rsidRPr="00933491">
              <w:rPr>
                <w:rFonts w:ascii="Times New Roman" w:hAnsi="Times New Roman" w:cs="Times New Roman"/>
                <w:b/>
                <w:sz w:val="20"/>
                <w:szCs w:val="24"/>
              </w:rPr>
              <w:t>2004</w:t>
            </w:r>
          </w:p>
        </w:tc>
        <w:tc>
          <w:tcPr>
            <w:tcW w:w="845" w:type="dxa"/>
          </w:tcPr>
          <w:p w14:paraId="37ACA606" w14:textId="77777777" w:rsidR="00A35DA0" w:rsidRPr="00933491" w:rsidRDefault="00A35DA0" w:rsidP="004C7DD9">
            <w:pPr>
              <w:jc w:val="center"/>
              <w:rPr>
                <w:rFonts w:ascii="Times New Roman" w:hAnsi="Times New Roman" w:cs="Times New Roman"/>
                <w:b/>
                <w:sz w:val="20"/>
                <w:szCs w:val="24"/>
              </w:rPr>
            </w:pPr>
            <w:r w:rsidRPr="00933491">
              <w:rPr>
                <w:rFonts w:ascii="Times New Roman" w:hAnsi="Times New Roman" w:cs="Times New Roman"/>
                <w:b/>
                <w:sz w:val="20"/>
                <w:szCs w:val="24"/>
              </w:rPr>
              <w:t>2005</w:t>
            </w:r>
          </w:p>
        </w:tc>
        <w:tc>
          <w:tcPr>
            <w:tcW w:w="845" w:type="dxa"/>
          </w:tcPr>
          <w:p w14:paraId="756A0C38" w14:textId="77777777" w:rsidR="00A35DA0" w:rsidRPr="00933491" w:rsidRDefault="00A35DA0" w:rsidP="004C7DD9">
            <w:pPr>
              <w:jc w:val="center"/>
              <w:rPr>
                <w:rFonts w:ascii="Times New Roman" w:hAnsi="Times New Roman" w:cs="Times New Roman"/>
                <w:b/>
                <w:sz w:val="20"/>
                <w:szCs w:val="24"/>
              </w:rPr>
            </w:pPr>
            <w:r w:rsidRPr="00933491">
              <w:rPr>
                <w:rFonts w:ascii="Times New Roman" w:hAnsi="Times New Roman" w:cs="Times New Roman"/>
                <w:b/>
                <w:sz w:val="20"/>
                <w:szCs w:val="24"/>
              </w:rPr>
              <w:t>2006</w:t>
            </w:r>
          </w:p>
        </w:tc>
        <w:tc>
          <w:tcPr>
            <w:tcW w:w="845" w:type="dxa"/>
          </w:tcPr>
          <w:p w14:paraId="0063AA99" w14:textId="77777777" w:rsidR="00A35DA0" w:rsidRPr="00933491" w:rsidRDefault="00A35DA0" w:rsidP="004C7DD9">
            <w:pPr>
              <w:jc w:val="center"/>
              <w:rPr>
                <w:rFonts w:ascii="Times New Roman" w:hAnsi="Times New Roman" w:cs="Times New Roman"/>
                <w:b/>
                <w:sz w:val="20"/>
                <w:szCs w:val="24"/>
              </w:rPr>
            </w:pPr>
            <w:r w:rsidRPr="00933491">
              <w:rPr>
                <w:rFonts w:ascii="Times New Roman" w:hAnsi="Times New Roman" w:cs="Times New Roman"/>
                <w:b/>
                <w:sz w:val="20"/>
                <w:szCs w:val="24"/>
              </w:rPr>
              <w:t>2007</w:t>
            </w:r>
          </w:p>
        </w:tc>
        <w:tc>
          <w:tcPr>
            <w:tcW w:w="845" w:type="dxa"/>
          </w:tcPr>
          <w:p w14:paraId="0A945294" w14:textId="77777777" w:rsidR="00A35DA0" w:rsidRPr="00933491" w:rsidRDefault="00A35DA0" w:rsidP="004C7DD9">
            <w:pPr>
              <w:jc w:val="center"/>
              <w:rPr>
                <w:rFonts w:ascii="Times New Roman" w:hAnsi="Times New Roman" w:cs="Times New Roman"/>
                <w:b/>
                <w:sz w:val="20"/>
                <w:szCs w:val="24"/>
              </w:rPr>
            </w:pPr>
            <w:r w:rsidRPr="00933491">
              <w:rPr>
                <w:rFonts w:ascii="Times New Roman" w:hAnsi="Times New Roman" w:cs="Times New Roman"/>
                <w:b/>
                <w:sz w:val="20"/>
                <w:szCs w:val="24"/>
              </w:rPr>
              <w:t>2008</w:t>
            </w:r>
          </w:p>
        </w:tc>
        <w:tc>
          <w:tcPr>
            <w:tcW w:w="845" w:type="dxa"/>
          </w:tcPr>
          <w:p w14:paraId="7730A492" w14:textId="77777777" w:rsidR="00A35DA0" w:rsidRPr="00933491" w:rsidRDefault="00A35DA0" w:rsidP="004C7DD9">
            <w:pPr>
              <w:jc w:val="center"/>
              <w:rPr>
                <w:rFonts w:ascii="Times New Roman" w:hAnsi="Times New Roman" w:cs="Times New Roman"/>
                <w:b/>
                <w:sz w:val="20"/>
                <w:szCs w:val="24"/>
              </w:rPr>
            </w:pPr>
            <w:r w:rsidRPr="00933491">
              <w:rPr>
                <w:rFonts w:ascii="Times New Roman" w:hAnsi="Times New Roman" w:cs="Times New Roman"/>
                <w:b/>
                <w:sz w:val="20"/>
                <w:szCs w:val="24"/>
              </w:rPr>
              <w:t>2009</w:t>
            </w:r>
          </w:p>
        </w:tc>
        <w:tc>
          <w:tcPr>
            <w:tcW w:w="845" w:type="dxa"/>
          </w:tcPr>
          <w:p w14:paraId="07B09FE1" w14:textId="4EAD5BB4" w:rsidR="00A35DA0" w:rsidRPr="00933491" w:rsidRDefault="00A35DA0" w:rsidP="004C7DD9">
            <w:pPr>
              <w:jc w:val="center"/>
              <w:rPr>
                <w:rFonts w:ascii="Times New Roman" w:hAnsi="Times New Roman" w:cs="Times New Roman"/>
                <w:b/>
                <w:sz w:val="20"/>
                <w:szCs w:val="24"/>
              </w:rPr>
            </w:pPr>
            <w:r w:rsidRPr="00933491">
              <w:rPr>
                <w:rFonts w:ascii="Times New Roman" w:hAnsi="Times New Roman" w:cs="Times New Roman"/>
                <w:b/>
                <w:sz w:val="20"/>
                <w:szCs w:val="24"/>
              </w:rPr>
              <w:t>2010</w:t>
            </w:r>
          </w:p>
        </w:tc>
        <w:tc>
          <w:tcPr>
            <w:tcW w:w="845" w:type="dxa"/>
          </w:tcPr>
          <w:p w14:paraId="221D5CB0" w14:textId="2F267422" w:rsidR="00A35DA0" w:rsidRPr="00933491" w:rsidRDefault="00A35DA0" w:rsidP="004C7DD9">
            <w:pPr>
              <w:jc w:val="center"/>
              <w:rPr>
                <w:rFonts w:ascii="Times New Roman" w:hAnsi="Times New Roman" w:cs="Times New Roman"/>
                <w:b/>
                <w:sz w:val="20"/>
                <w:szCs w:val="24"/>
              </w:rPr>
            </w:pPr>
            <w:r w:rsidRPr="00933491">
              <w:rPr>
                <w:rFonts w:ascii="Times New Roman" w:hAnsi="Times New Roman" w:cs="Times New Roman"/>
                <w:b/>
                <w:sz w:val="20"/>
                <w:szCs w:val="24"/>
              </w:rPr>
              <w:t>2011</w:t>
            </w:r>
          </w:p>
        </w:tc>
        <w:tc>
          <w:tcPr>
            <w:tcW w:w="845" w:type="dxa"/>
            <w:tcBorders>
              <w:right w:val="nil"/>
            </w:tcBorders>
          </w:tcPr>
          <w:p w14:paraId="20267516" w14:textId="1AF773AC" w:rsidR="00A35DA0" w:rsidRPr="00933491" w:rsidRDefault="00A35DA0" w:rsidP="004C7DD9">
            <w:pPr>
              <w:jc w:val="center"/>
              <w:rPr>
                <w:rFonts w:ascii="Times New Roman" w:hAnsi="Times New Roman" w:cs="Times New Roman"/>
                <w:b/>
                <w:sz w:val="20"/>
                <w:szCs w:val="24"/>
              </w:rPr>
            </w:pPr>
            <w:r w:rsidRPr="00933491">
              <w:rPr>
                <w:rFonts w:ascii="Times New Roman" w:hAnsi="Times New Roman" w:cs="Times New Roman"/>
                <w:b/>
                <w:sz w:val="20"/>
                <w:szCs w:val="24"/>
              </w:rPr>
              <w:t>Total</w:t>
            </w:r>
          </w:p>
        </w:tc>
      </w:tr>
      <w:tr w:rsidR="00A35DA0" w:rsidRPr="00933491" w14:paraId="6704A437" w14:textId="77777777" w:rsidTr="005704E6">
        <w:trPr>
          <w:jc w:val="center"/>
        </w:trPr>
        <w:tc>
          <w:tcPr>
            <w:tcW w:w="1323" w:type="dxa"/>
            <w:tcBorders>
              <w:left w:val="nil"/>
            </w:tcBorders>
          </w:tcPr>
          <w:p w14:paraId="3D838B75" w14:textId="77777777" w:rsidR="00A35DA0" w:rsidRPr="00CC11DC" w:rsidRDefault="00A35DA0" w:rsidP="004C7DD9">
            <w:pPr>
              <w:jc w:val="center"/>
              <w:rPr>
                <w:rFonts w:ascii="Times New Roman" w:hAnsi="Times New Roman" w:cs="Times New Roman"/>
                <w:b/>
                <w:sz w:val="20"/>
                <w:szCs w:val="24"/>
              </w:rPr>
            </w:pPr>
            <w:r w:rsidRPr="00CC11DC">
              <w:rPr>
                <w:rFonts w:ascii="Times New Roman" w:hAnsi="Times New Roman" w:cs="Times New Roman"/>
                <w:b/>
                <w:sz w:val="20"/>
                <w:szCs w:val="24"/>
              </w:rPr>
              <w:t>População</w:t>
            </w:r>
          </w:p>
        </w:tc>
        <w:tc>
          <w:tcPr>
            <w:tcW w:w="845" w:type="dxa"/>
          </w:tcPr>
          <w:p w14:paraId="7A89CD8F" w14:textId="77777777" w:rsidR="00A35DA0" w:rsidRPr="003E40AC" w:rsidRDefault="00A35DA0" w:rsidP="004C7DD9">
            <w:pPr>
              <w:jc w:val="center"/>
              <w:rPr>
                <w:rFonts w:ascii="Times New Roman" w:hAnsi="Times New Roman" w:cs="Times New Roman"/>
                <w:sz w:val="20"/>
                <w:szCs w:val="24"/>
              </w:rPr>
            </w:pPr>
            <w:r w:rsidRPr="003E40AC">
              <w:rPr>
                <w:rFonts w:ascii="Times New Roman" w:hAnsi="Times New Roman" w:cs="Times New Roman"/>
                <w:sz w:val="20"/>
                <w:szCs w:val="24"/>
              </w:rPr>
              <w:t>8</w:t>
            </w:r>
          </w:p>
        </w:tc>
        <w:tc>
          <w:tcPr>
            <w:tcW w:w="845" w:type="dxa"/>
          </w:tcPr>
          <w:p w14:paraId="139FE0C9" w14:textId="77777777" w:rsidR="00A35DA0" w:rsidRPr="003E40AC" w:rsidRDefault="00A35DA0" w:rsidP="004C7DD9">
            <w:pPr>
              <w:jc w:val="center"/>
              <w:rPr>
                <w:rFonts w:ascii="Times New Roman" w:hAnsi="Times New Roman" w:cs="Times New Roman"/>
                <w:sz w:val="20"/>
                <w:szCs w:val="24"/>
              </w:rPr>
            </w:pPr>
            <w:r w:rsidRPr="003E40AC">
              <w:rPr>
                <w:rFonts w:ascii="Times New Roman" w:hAnsi="Times New Roman" w:cs="Times New Roman"/>
                <w:sz w:val="20"/>
                <w:szCs w:val="24"/>
              </w:rPr>
              <w:t>10</w:t>
            </w:r>
          </w:p>
        </w:tc>
        <w:tc>
          <w:tcPr>
            <w:tcW w:w="845" w:type="dxa"/>
          </w:tcPr>
          <w:p w14:paraId="777F3FFB" w14:textId="77777777" w:rsidR="00A35DA0" w:rsidRPr="00933491" w:rsidRDefault="00A35DA0" w:rsidP="004C7DD9">
            <w:pPr>
              <w:jc w:val="center"/>
              <w:rPr>
                <w:rFonts w:ascii="Times New Roman" w:hAnsi="Times New Roman" w:cs="Times New Roman"/>
                <w:sz w:val="20"/>
                <w:szCs w:val="24"/>
              </w:rPr>
            </w:pPr>
            <w:r w:rsidRPr="00933491">
              <w:rPr>
                <w:rFonts w:ascii="Times New Roman" w:hAnsi="Times New Roman" w:cs="Times New Roman"/>
                <w:sz w:val="20"/>
                <w:szCs w:val="24"/>
              </w:rPr>
              <w:t>16</w:t>
            </w:r>
          </w:p>
        </w:tc>
        <w:tc>
          <w:tcPr>
            <w:tcW w:w="845" w:type="dxa"/>
          </w:tcPr>
          <w:p w14:paraId="67C66C87" w14:textId="77777777" w:rsidR="00A35DA0" w:rsidRPr="00933491" w:rsidRDefault="00A35DA0" w:rsidP="004C7DD9">
            <w:pPr>
              <w:jc w:val="center"/>
              <w:rPr>
                <w:rFonts w:ascii="Times New Roman" w:hAnsi="Times New Roman" w:cs="Times New Roman"/>
                <w:sz w:val="20"/>
                <w:szCs w:val="24"/>
              </w:rPr>
            </w:pPr>
            <w:r w:rsidRPr="00933491">
              <w:rPr>
                <w:rFonts w:ascii="Times New Roman" w:hAnsi="Times New Roman" w:cs="Times New Roman"/>
                <w:sz w:val="20"/>
                <w:szCs w:val="24"/>
              </w:rPr>
              <w:t>12</w:t>
            </w:r>
          </w:p>
        </w:tc>
        <w:tc>
          <w:tcPr>
            <w:tcW w:w="845" w:type="dxa"/>
          </w:tcPr>
          <w:p w14:paraId="423E6A0F" w14:textId="77777777" w:rsidR="00A35DA0" w:rsidRPr="00933491" w:rsidRDefault="00A35DA0" w:rsidP="004C7DD9">
            <w:pPr>
              <w:jc w:val="center"/>
              <w:rPr>
                <w:rFonts w:ascii="Times New Roman" w:hAnsi="Times New Roman" w:cs="Times New Roman"/>
                <w:sz w:val="20"/>
                <w:szCs w:val="24"/>
              </w:rPr>
            </w:pPr>
            <w:r w:rsidRPr="00933491">
              <w:rPr>
                <w:rFonts w:ascii="Times New Roman" w:hAnsi="Times New Roman" w:cs="Times New Roman"/>
                <w:sz w:val="20"/>
                <w:szCs w:val="24"/>
              </w:rPr>
              <w:t>8</w:t>
            </w:r>
          </w:p>
        </w:tc>
        <w:tc>
          <w:tcPr>
            <w:tcW w:w="845" w:type="dxa"/>
          </w:tcPr>
          <w:p w14:paraId="6F779451" w14:textId="77777777" w:rsidR="00A35DA0" w:rsidRPr="00933491" w:rsidRDefault="00A35DA0" w:rsidP="004C7DD9">
            <w:pPr>
              <w:jc w:val="center"/>
              <w:rPr>
                <w:rFonts w:ascii="Times New Roman" w:hAnsi="Times New Roman" w:cs="Times New Roman"/>
                <w:sz w:val="20"/>
                <w:szCs w:val="24"/>
              </w:rPr>
            </w:pPr>
            <w:r w:rsidRPr="00933491">
              <w:rPr>
                <w:rFonts w:ascii="Times New Roman" w:hAnsi="Times New Roman" w:cs="Times New Roman"/>
                <w:sz w:val="20"/>
                <w:szCs w:val="24"/>
              </w:rPr>
              <w:t>18</w:t>
            </w:r>
          </w:p>
        </w:tc>
        <w:tc>
          <w:tcPr>
            <w:tcW w:w="845" w:type="dxa"/>
          </w:tcPr>
          <w:p w14:paraId="6FDDDA66" w14:textId="6BA3DEC8" w:rsidR="00A35DA0" w:rsidRPr="00933491" w:rsidRDefault="00A35DA0" w:rsidP="004C7DD9">
            <w:pPr>
              <w:jc w:val="center"/>
              <w:rPr>
                <w:rFonts w:ascii="Times New Roman" w:hAnsi="Times New Roman" w:cs="Times New Roman"/>
                <w:sz w:val="20"/>
                <w:szCs w:val="24"/>
              </w:rPr>
            </w:pPr>
            <w:r w:rsidRPr="00933491">
              <w:rPr>
                <w:rFonts w:ascii="Times New Roman" w:hAnsi="Times New Roman" w:cs="Times New Roman"/>
                <w:sz w:val="20"/>
                <w:szCs w:val="24"/>
              </w:rPr>
              <w:t>11</w:t>
            </w:r>
          </w:p>
        </w:tc>
        <w:tc>
          <w:tcPr>
            <w:tcW w:w="845" w:type="dxa"/>
          </w:tcPr>
          <w:p w14:paraId="5F113791" w14:textId="7141F96A" w:rsidR="00A35DA0" w:rsidRPr="00933491" w:rsidRDefault="00A35DA0" w:rsidP="004C7DD9">
            <w:pPr>
              <w:jc w:val="center"/>
              <w:rPr>
                <w:rFonts w:ascii="Times New Roman" w:hAnsi="Times New Roman" w:cs="Times New Roman"/>
                <w:sz w:val="20"/>
                <w:szCs w:val="24"/>
              </w:rPr>
            </w:pPr>
            <w:r w:rsidRPr="00933491">
              <w:rPr>
                <w:rFonts w:ascii="Times New Roman" w:hAnsi="Times New Roman" w:cs="Times New Roman"/>
                <w:sz w:val="20"/>
                <w:szCs w:val="24"/>
              </w:rPr>
              <w:t>11</w:t>
            </w:r>
          </w:p>
        </w:tc>
        <w:tc>
          <w:tcPr>
            <w:tcW w:w="845" w:type="dxa"/>
            <w:tcBorders>
              <w:right w:val="nil"/>
            </w:tcBorders>
          </w:tcPr>
          <w:p w14:paraId="5981E395" w14:textId="77AFB06A" w:rsidR="00A35DA0" w:rsidRPr="00933491" w:rsidRDefault="00A35DA0" w:rsidP="004C7DD9">
            <w:pPr>
              <w:jc w:val="center"/>
              <w:rPr>
                <w:rFonts w:ascii="Times New Roman" w:hAnsi="Times New Roman" w:cs="Times New Roman"/>
                <w:b/>
                <w:sz w:val="20"/>
                <w:szCs w:val="24"/>
              </w:rPr>
            </w:pPr>
            <w:r w:rsidRPr="00933491">
              <w:rPr>
                <w:rFonts w:ascii="Times New Roman" w:hAnsi="Times New Roman" w:cs="Times New Roman"/>
                <w:b/>
                <w:sz w:val="20"/>
                <w:szCs w:val="24"/>
              </w:rPr>
              <w:t>94</w:t>
            </w:r>
          </w:p>
        </w:tc>
      </w:tr>
      <w:tr w:rsidR="00A35DA0" w:rsidRPr="00933491" w14:paraId="6608FC88" w14:textId="77777777" w:rsidTr="005704E6">
        <w:trPr>
          <w:jc w:val="center"/>
        </w:trPr>
        <w:tc>
          <w:tcPr>
            <w:tcW w:w="1323" w:type="dxa"/>
            <w:tcBorders>
              <w:left w:val="nil"/>
            </w:tcBorders>
          </w:tcPr>
          <w:p w14:paraId="381CD10F" w14:textId="77777777" w:rsidR="00A35DA0" w:rsidRPr="00CC11DC" w:rsidRDefault="00A35DA0" w:rsidP="004C7DD9">
            <w:pPr>
              <w:jc w:val="center"/>
              <w:rPr>
                <w:rFonts w:ascii="Times New Roman" w:hAnsi="Times New Roman" w:cs="Times New Roman"/>
                <w:b/>
                <w:sz w:val="20"/>
                <w:szCs w:val="24"/>
              </w:rPr>
            </w:pPr>
            <w:r w:rsidRPr="00CC11DC">
              <w:rPr>
                <w:rFonts w:ascii="Times New Roman" w:hAnsi="Times New Roman" w:cs="Times New Roman"/>
                <w:b/>
                <w:sz w:val="20"/>
                <w:szCs w:val="24"/>
              </w:rPr>
              <w:t>Amostra</w:t>
            </w:r>
          </w:p>
        </w:tc>
        <w:tc>
          <w:tcPr>
            <w:tcW w:w="845" w:type="dxa"/>
          </w:tcPr>
          <w:p w14:paraId="448D08B0" w14:textId="2A0FCD2B" w:rsidR="00A35DA0" w:rsidRPr="003E40AC" w:rsidRDefault="00C813E5" w:rsidP="004C7DD9">
            <w:pPr>
              <w:jc w:val="center"/>
              <w:rPr>
                <w:rFonts w:ascii="Times New Roman" w:hAnsi="Times New Roman" w:cs="Times New Roman"/>
                <w:sz w:val="20"/>
                <w:szCs w:val="24"/>
              </w:rPr>
            </w:pPr>
            <w:r w:rsidRPr="003E40AC">
              <w:rPr>
                <w:rFonts w:ascii="Times New Roman" w:hAnsi="Times New Roman" w:cs="Times New Roman"/>
                <w:sz w:val="20"/>
                <w:szCs w:val="24"/>
              </w:rPr>
              <w:t>3</w:t>
            </w:r>
          </w:p>
        </w:tc>
        <w:tc>
          <w:tcPr>
            <w:tcW w:w="845" w:type="dxa"/>
          </w:tcPr>
          <w:p w14:paraId="7193126A" w14:textId="3FCD4F6D" w:rsidR="00A35DA0" w:rsidRPr="003E40AC" w:rsidRDefault="00A35DA0" w:rsidP="004C7DD9">
            <w:pPr>
              <w:jc w:val="center"/>
              <w:rPr>
                <w:rFonts w:ascii="Times New Roman" w:hAnsi="Times New Roman" w:cs="Times New Roman"/>
                <w:sz w:val="20"/>
                <w:szCs w:val="24"/>
              </w:rPr>
            </w:pPr>
            <w:r w:rsidRPr="003E40AC">
              <w:rPr>
                <w:rFonts w:ascii="Times New Roman" w:hAnsi="Times New Roman" w:cs="Times New Roman"/>
                <w:sz w:val="20"/>
                <w:szCs w:val="24"/>
              </w:rPr>
              <w:t>2</w:t>
            </w:r>
          </w:p>
        </w:tc>
        <w:tc>
          <w:tcPr>
            <w:tcW w:w="845" w:type="dxa"/>
          </w:tcPr>
          <w:p w14:paraId="32365B7A" w14:textId="3B3EAB6F" w:rsidR="00A35DA0" w:rsidRPr="00933491" w:rsidRDefault="00C813E5" w:rsidP="004C7DD9">
            <w:pPr>
              <w:jc w:val="center"/>
              <w:rPr>
                <w:rFonts w:ascii="Times New Roman" w:hAnsi="Times New Roman" w:cs="Times New Roman"/>
                <w:sz w:val="20"/>
                <w:szCs w:val="24"/>
              </w:rPr>
            </w:pPr>
            <w:r w:rsidRPr="00933491">
              <w:rPr>
                <w:rFonts w:ascii="Times New Roman" w:hAnsi="Times New Roman" w:cs="Times New Roman"/>
                <w:sz w:val="20"/>
                <w:szCs w:val="24"/>
              </w:rPr>
              <w:t>9</w:t>
            </w:r>
          </w:p>
        </w:tc>
        <w:tc>
          <w:tcPr>
            <w:tcW w:w="845" w:type="dxa"/>
          </w:tcPr>
          <w:p w14:paraId="6A60319B" w14:textId="6E439FBB" w:rsidR="00A35DA0" w:rsidRPr="00933491" w:rsidRDefault="00C813E5" w:rsidP="004C7DD9">
            <w:pPr>
              <w:jc w:val="center"/>
              <w:rPr>
                <w:rFonts w:ascii="Times New Roman" w:hAnsi="Times New Roman" w:cs="Times New Roman"/>
                <w:sz w:val="20"/>
                <w:szCs w:val="24"/>
              </w:rPr>
            </w:pPr>
            <w:r w:rsidRPr="00933491">
              <w:rPr>
                <w:rFonts w:ascii="Times New Roman" w:hAnsi="Times New Roman" w:cs="Times New Roman"/>
                <w:sz w:val="20"/>
                <w:szCs w:val="24"/>
              </w:rPr>
              <w:t>3</w:t>
            </w:r>
          </w:p>
        </w:tc>
        <w:tc>
          <w:tcPr>
            <w:tcW w:w="845" w:type="dxa"/>
          </w:tcPr>
          <w:p w14:paraId="075C02CB" w14:textId="60B8AE8F" w:rsidR="00A35DA0" w:rsidRPr="00933491" w:rsidRDefault="00A35DA0" w:rsidP="004C7DD9">
            <w:pPr>
              <w:jc w:val="center"/>
              <w:rPr>
                <w:rFonts w:ascii="Times New Roman" w:hAnsi="Times New Roman" w:cs="Times New Roman"/>
                <w:sz w:val="20"/>
                <w:szCs w:val="24"/>
              </w:rPr>
            </w:pPr>
            <w:r w:rsidRPr="00933491">
              <w:rPr>
                <w:rFonts w:ascii="Times New Roman" w:hAnsi="Times New Roman" w:cs="Times New Roman"/>
                <w:sz w:val="20"/>
                <w:szCs w:val="24"/>
              </w:rPr>
              <w:t>3</w:t>
            </w:r>
          </w:p>
        </w:tc>
        <w:tc>
          <w:tcPr>
            <w:tcW w:w="845" w:type="dxa"/>
          </w:tcPr>
          <w:p w14:paraId="6FE3E668" w14:textId="2A518C87" w:rsidR="00A35DA0" w:rsidRPr="00933491" w:rsidRDefault="00A35DA0" w:rsidP="004C7DD9">
            <w:pPr>
              <w:jc w:val="center"/>
              <w:rPr>
                <w:rFonts w:ascii="Times New Roman" w:hAnsi="Times New Roman" w:cs="Times New Roman"/>
                <w:sz w:val="20"/>
                <w:szCs w:val="24"/>
              </w:rPr>
            </w:pPr>
            <w:r w:rsidRPr="00933491">
              <w:rPr>
                <w:rFonts w:ascii="Times New Roman" w:hAnsi="Times New Roman" w:cs="Times New Roman"/>
                <w:sz w:val="20"/>
                <w:szCs w:val="24"/>
              </w:rPr>
              <w:t>3</w:t>
            </w:r>
          </w:p>
        </w:tc>
        <w:tc>
          <w:tcPr>
            <w:tcW w:w="845" w:type="dxa"/>
          </w:tcPr>
          <w:p w14:paraId="6A475C50" w14:textId="69307E26" w:rsidR="00A35DA0" w:rsidRPr="00933491" w:rsidRDefault="00C813E5" w:rsidP="004C7DD9">
            <w:pPr>
              <w:jc w:val="center"/>
              <w:rPr>
                <w:rFonts w:ascii="Times New Roman" w:hAnsi="Times New Roman" w:cs="Times New Roman"/>
                <w:sz w:val="20"/>
                <w:szCs w:val="24"/>
              </w:rPr>
            </w:pPr>
            <w:r w:rsidRPr="00933491">
              <w:rPr>
                <w:rFonts w:ascii="Times New Roman" w:hAnsi="Times New Roman" w:cs="Times New Roman"/>
                <w:sz w:val="20"/>
                <w:szCs w:val="24"/>
              </w:rPr>
              <w:t>5</w:t>
            </w:r>
          </w:p>
        </w:tc>
        <w:tc>
          <w:tcPr>
            <w:tcW w:w="845" w:type="dxa"/>
          </w:tcPr>
          <w:p w14:paraId="7D90980F" w14:textId="046466ED" w:rsidR="00A35DA0" w:rsidRPr="00933491" w:rsidRDefault="00C813E5" w:rsidP="004C7DD9">
            <w:pPr>
              <w:jc w:val="center"/>
              <w:rPr>
                <w:rFonts w:ascii="Times New Roman" w:hAnsi="Times New Roman" w:cs="Times New Roman"/>
                <w:sz w:val="20"/>
                <w:szCs w:val="24"/>
              </w:rPr>
            </w:pPr>
            <w:r w:rsidRPr="00933491">
              <w:rPr>
                <w:rFonts w:ascii="Times New Roman" w:hAnsi="Times New Roman" w:cs="Times New Roman"/>
                <w:sz w:val="20"/>
                <w:szCs w:val="24"/>
              </w:rPr>
              <w:t>6</w:t>
            </w:r>
          </w:p>
        </w:tc>
        <w:tc>
          <w:tcPr>
            <w:tcW w:w="845" w:type="dxa"/>
            <w:tcBorders>
              <w:right w:val="nil"/>
            </w:tcBorders>
          </w:tcPr>
          <w:p w14:paraId="150B1A9F" w14:textId="3353C40B" w:rsidR="00A35DA0" w:rsidRPr="00933491" w:rsidRDefault="00C813E5" w:rsidP="004C7DD9">
            <w:pPr>
              <w:jc w:val="center"/>
              <w:rPr>
                <w:rFonts w:ascii="Times New Roman" w:hAnsi="Times New Roman" w:cs="Times New Roman"/>
                <w:b/>
                <w:sz w:val="20"/>
                <w:szCs w:val="24"/>
              </w:rPr>
            </w:pPr>
            <w:r w:rsidRPr="00933491">
              <w:rPr>
                <w:rFonts w:ascii="Times New Roman" w:hAnsi="Times New Roman" w:cs="Times New Roman"/>
                <w:b/>
                <w:sz w:val="20"/>
                <w:szCs w:val="24"/>
              </w:rPr>
              <w:t>34</w:t>
            </w:r>
          </w:p>
        </w:tc>
      </w:tr>
    </w:tbl>
    <w:p w14:paraId="01CCE525" w14:textId="7579F657" w:rsidR="006D03F9" w:rsidRPr="0056798E" w:rsidRDefault="006D03F9" w:rsidP="004C7DD9">
      <w:pPr>
        <w:spacing w:after="0" w:line="240" w:lineRule="auto"/>
        <w:ind w:left="142"/>
        <w:rPr>
          <w:rFonts w:ascii="Times New Roman" w:hAnsi="Times New Roman" w:cs="Times New Roman"/>
          <w:sz w:val="18"/>
          <w:szCs w:val="18"/>
        </w:rPr>
      </w:pPr>
      <w:r w:rsidRPr="0056798E">
        <w:rPr>
          <w:rFonts w:ascii="Times New Roman" w:hAnsi="Times New Roman" w:cs="Times New Roman"/>
          <w:sz w:val="18"/>
          <w:szCs w:val="18"/>
        </w:rPr>
        <w:t xml:space="preserve">Fonte: </w:t>
      </w:r>
      <w:r w:rsidR="008E73A3" w:rsidRPr="0056798E">
        <w:rPr>
          <w:rFonts w:ascii="Times New Roman" w:hAnsi="Times New Roman" w:cs="Times New Roman"/>
          <w:sz w:val="18"/>
          <w:szCs w:val="18"/>
        </w:rPr>
        <w:t>B3</w:t>
      </w:r>
      <w:r w:rsidRPr="0056798E">
        <w:rPr>
          <w:rFonts w:ascii="Times New Roman" w:hAnsi="Times New Roman" w:cs="Times New Roman"/>
          <w:sz w:val="18"/>
          <w:szCs w:val="18"/>
        </w:rPr>
        <w:t>, 201</w:t>
      </w:r>
      <w:r w:rsidR="00E46F14" w:rsidRPr="0056798E">
        <w:rPr>
          <w:rFonts w:ascii="Times New Roman" w:hAnsi="Times New Roman" w:cs="Times New Roman"/>
          <w:sz w:val="18"/>
          <w:szCs w:val="18"/>
        </w:rPr>
        <w:t>6</w:t>
      </w:r>
    </w:p>
    <w:p w14:paraId="461ADD77" w14:textId="77777777" w:rsidR="00490D56" w:rsidRPr="00933491" w:rsidRDefault="00490D56" w:rsidP="00157D35">
      <w:pPr>
        <w:autoSpaceDE w:val="0"/>
        <w:autoSpaceDN w:val="0"/>
        <w:adjustRightInd w:val="0"/>
        <w:spacing w:after="0" w:line="240" w:lineRule="auto"/>
        <w:ind w:firstLine="709"/>
        <w:jc w:val="both"/>
        <w:rPr>
          <w:rFonts w:ascii="Times New Roman" w:hAnsi="Times New Roman" w:cs="Times New Roman"/>
          <w:sz w:val="24"/>
          <w:szCs w:val="24"/>
        </w:rPr>
      </w:pPr>
    </w:p>
    <w:p w14:paraId="236A253E" w14:textId="7CF4B5AE" w:rsidR="006F778D" w:rsidRDefault="006D03F9" w:rsidP="00157D35">
      <w:pPr>
        <w:autoSpaceDE w:val="0"/>
        <w:autoSpaceDN w:val="0"/>
        <w:adjustRightInd w:val="0"/>
        <w:spacing w:after="0" w:line="240" w:lineRule="auto"/>
        <w:ind w:firstLine="709"/>
        <w:jc w:val="both"/>
        <w:rPr>
          <w:rFonts w:ascii="Times New Roman" w:hAnsi="Times New Roman" w:cs="Times New Roman"/>
          <w:sz w:val="24"/>
          <w:szCs w:val="24"/>
        </w:rPr>
      </w:pPr>
      <w:r w:rsidRPr="00933491">
        <w:rPr>
          <w:rFonts w:ascii="Times New Roman" w:hAnsi="Times New Roman" w:cs="Times New Roman"/>
          <w:sz w:val="24"/>
          <w:szCs w:val="24"/>
        </w:rPr>
        <w:t>Em seguida,</w:t>
      </w:r>
      <w:r w:rsidR="000970EB" w:rsidRPr="00933491">
        <w:rPr>
          <w:rFonts w:ascii="Times New Roman" w:hAnsi="Times New Roman" w:cs="Times New Roman"/>
          <w:sz w:val="24"/>
          <w:szCs w:val="24"/>
        </w:rPr>
        <w:t xml:space="preserve"> </w:t>
      </w:r>
      <w:r w:rsidR="006F778D">
        <w:rPr>
          <w:rFonts w:ascii="Times New Roman" w:hAnsi="Times New Roman" w:cs="Times New Roman"/>
          <w:sz w:val="24"/>
          <w:szCs w:val="24"/>
        </w:rPr>
        <w:t xml:space="preserve">tomou-se como referência os critérios de </w:t>
      </w:r>
      <w:proofErr w:type="spellStart"/>
      <w:r w:rsidR="006F778D">
        <w:rPr>
          <w:rFonts w:ascii="Times New Roman" w:hAnsi="Times New Roman" w:cs="Times New Roman"/>
          <w:sz w:val="24"/>
          <w:szCs w:val="24"/>
        </w:rPr>
        <w:t>Loughran</w:t>
      </w:r>
      <w:proofErr w:type="spellEnd"/>
      <w:r w:rsidR="006F778D">
        <w:rPr>
          <w:rFonts w:ascii="Times New Roman" w:hAnsi="Times New Roman" w:cs="Times New Roman"/>
          <w:sz w:val="24"/>
          <w:szCs w:val="24"/>
        </w:rPr>
        <w:t xml:space="preserve"> e </w:t>
      </w:r>
      <w:proofErr w:type="spellStart"/>
      <w:r w:rsidR="006F778D">
        <w:rPr>
          <w:rFonts w:ascii="Times New Roman" w:hAnsi="Times New Roman" w:cs="Times New Roman"/>
          <w:sz w:val="24"/>
          <w:szCs w:val="24"/>
        </w:rPr>
        <w:t>Ritter</w:t>
      </w:r>
      <w:proofErr w:type="spellEnd"/>
      <w:r w:rsidR="006F778D">
        <w:rPr>
          <w:rFonts w:ascii="Times New Roman" w:hAnsi="Times New Roman" w:cs="Times New Roman"/>
          <w:sz w:val="24"/>
          <w:szCs w:val="24"/>
        </w:rPr>
        <w:t xml:space="preserve"> (1997) para selecionar 34 empresas que não emiti</w:t>
      </w:r>
      <w:r w:rsidR="000E20E3">
        <w:rPr>
          <w:rFonts w:ascii="Times New Roman" w:hAnsi="Times New Roman" w:cs="Times New Roman"/>
          <w:sz w:val="24"/>
          <w:szCs w:val="24"/>
        </w:rPr>
        <w:t>ram</w:t>
      </w:r>
      <w:r w:rsidR="006F778D">
        <w:rPr>
          <w:rFonts w:ascii="Times New Roman" w:hAnsi="Times New Roman" w:cs="Times New Roman"/>
          <w:sz w:val="24"/>
          <w:szCs w:val="24"/>
        </w:rPr>
        <w:t xml:space="preserve"> ações no período analisado</w:t>
      </w:r>
      <w:r w:rsidR="008D0911">
        <w:rPr>
          <w:rFonts w:ascii="Times New Roman" w:hAnsi="Times New Roman" w:cs="Times New Roman"/>
          <w:sz w:val="24"/>
          <w:szCs w:val="24"/>
        </w:rPr>
        <w:t>,</w:t>
      </w:r>
      <w:r w:rsidR="006F778D">
        <w:rPr>
          <w:rFonts w:ascii="Times New Roman" w:hAnsi="Times New Roman" w:cs="Times New Roman"/>
          <w:sz w:val="24"/>
          <w:szCs w:val="24"/>
        </w:rPr>
        <w:t xml:space="preserve"> para efeito de comparações com as 34 empresas emissoras. Assim, foram selecionadas empresas com características próximas às empresas emissoras</w:t>
      </w:r>
      <w:r w:rsidR="00DC3739">
        <w:rPr>
          <w:rFonts w:ascii="Times New Roman" w:hAnsi="Times New Roman" w:cs="Times New Roman"/>
          <w:sz w:val="24"/>
          <w:szCs w:val="24"/>
        </w:rPr>
        <w:t>,</w:t>
      </w:r>
      <w:r w:rsidR="006F778D">
        <w:rPr>
          <w:rFonts w:ascii="Times New Roman" w:hAnsi="Times New Roman" w:cs="Times New Roman"/>
          <w:sz w:val="24"/>
          <w:szCs w:val="24"/>
        </w:rPr>
        <w:t xml:space="preserve"> atendendo aos seguintes critérios:</w:t>
      </w:r>
    </w:p>
    <w:p w14:paraId="2BB46FBD" w14:textId="77777777" w:rsidR="004B2A01" w:rsidRPr="00933491" w:rsidRDefault="000E0255" w:rsidP="00157D35">
      <w:pPr>
        <w:spacing w:after="0" w:line="240" w:lineRule="auto"/>
        <w:ind w:firstLine="709"/>
        <w:jc w:val="both"/>
        <w:rPr>
          <w:rFonts w:ascii="Times New Roman" w:hAnsi="Times New Roman" w:cs="Times New Roman"/>
          <w:sz w:val="24"/>
          <w:szCs w:val="24"/>
        </w:rPr>
      </w:pPr>
      <w:r w:rsidRPr="00933491">
        <w:rPr>
          <w:rFonts w:ascii="Times New Roman" w:hAnsi="Times New Roman" w:cs="Times New Roman"/>
          <w:sz w:val="24"/>
          <w:szCs w:val="24"/>
        </w:rPr>
        <w:t>a</w:t>
      </w:r>
      <w:r w:rsidR="006D03F9" w:rsidRPr="00933491">
        <w:rPr>
          <w:rFonts w:ascii="Times New Roman" w:hAnsi="Times New Roman" w:cs="Times New Roman"/>
          <w:sz w:val="24"/>
          <w:szCs w:val="24"/>
        </w:rPr>
        <w:t>) serem do mesmo setor</w:t>
      </w:r>
      <w:r w:rsidR="00197B93" w:rsidRPr="00933491">
        <w:rPr>
          <w:rFonts w:ascii="Times New Roman" w:hAnsi="Times New Roman" w:cs="Times New Roman"/>
          <w:sz w:val="24"/>
          <w:szCs w:val="24"/>
        </w:rPr>
        <w:t xml:space="preserve"> NAICS (</w:t>
      </w:r>
      <w:r w:rsidR="00197B93" w:rsidRPr="00933491">
        <w:rPr>
          <w:rFonts w:ascii="Times New Roman" w:hAnsi="Times New Roman" w:cs="Times New Roman"/>
          <w:i/>
          <w:sz w:val="24"/>
          <w:szCs w:val="24"/>
        </w:rPr>
        <w:t xml:space="preserve">North American </w:t>
      </w:r>
      <w:proofErr w:type="spellStart"/>
      <w:r w:rsidR="00197B93" w:rsidRPr="00933491">
        <w:rPr>
          <w:rFonts w:ascii="Times New Roman" w:hAnsi="Times New Roman" w:cs="Times New Roman"/>
          <w:i/>
          <w:sz w:val="24"/>
          <w:szCs w:val="24"/>
        </w:rPr>
        <w:t>Industry</w:t>
      </w:r>
      <w:proofErr w:type="spellEnd"/>
      <w:r w:rsidR="00197B93" w:rsidRPr="00933491">
        <w:rPr>
          <w:rFonts w:ascii="Times New Roman" w:hAnsi="Times New Roman" w:cs="Times New Roman"/>
          <w:i/>
          <w:sz w:val="24"/>
          <w:szCs w:val="24"/>
        </w:rPr>
        <w:t xml:space="preserve"> </w:t>
      </w:r>
      <w:proofErr w:type="spellStart"/>
      <w:r w:rsidR="00197B93" w:rsidRPr="00933491">
        <w:rPr>
          <w:rFonts w:ascii="Times New Roman" w:hAnsi="Times New Roman" w:cs="Times New Roman"/>
          <w:i/>
          <w:sz w:val="24"/>
          <w:szCs w:val="24"/>
        </w:rPr>
        <w:t>Classification</w:t>
      </w:r>
      <w:proofErr w:type="spellEnd"/>
      <w:r w:rsidR="00197B93" w:rsidRPr="00933491">
        <w:rPr>
          <w:rFonts w:ascii="Times New Roman" w:hAnsi="Times New Roman" w:cs="Times New Roman"/>
          <w:i/>
          <w:sz w:val="24"/>
          <w:szCs w:val="24"/>
        </w:rPr>
        <w:t xml:space="preserve"> System</w:t>
      </w:r>
      <w:r w:rsidR="00197B93" w:rsidRPr="00933491">
        <w:rPr>
          <w:rFonts w:ascii="Times New Roman" w:hAnsi="Times New Roman" w:cs="Times New Roman"/>
          <w:sz w:val="24"/>
          <w:szCs w:val="24"/>
        </w:rPr>
        <w:t>)</w:t>
      </w:r>
      <w:r w:rsidR="006D03F9" w:rsidRPr="00933491">
        <w:rPr>
          <w:rFonts w:ascii="Times New Roman" w:hAnsi="Times New Roman" w:cs="Times New Roman"/>
          <w:sz w:val="24"/>
          <w:szCs w:val="24"/>
        </w:rPr>
        <w:t xml:space="preserve"> das empresas emissoras; </w:t>
      </w:r>
    </w:p>
    <w:p w14:paraId="442F76A8" w14:textId="77777777" w:rsidR="000E0255" w:rsidRPr="00933491" w:rsidRDefault="000E0255" w:rsidP="00157D35">
      <w:pPr>
        <w:spacing w:after="0" w:line="240" w:lineRule="auto"/>
        <w:ind w:firstLine="709"/>
        <w:jc w:val="both"/>
        <w:rPr>
          <w:rFonts w:ascii="Times New Roman" w:hAnsi="Times New Roman" w:cs="Times New Roman"/>
          <w:sz w:val="24"/>
          <w:szCs w:val="24"/>
        </w:rPr>
      </w:pPr>
      <w:r w:rsidRPr="00933491">
        <w:rPr>
          <w:rFonts w:ascii="Times New Roman" w:hAnsi="Times New Roman" w:cs="Times New Roman"/>
          <w:sz w:val="24"/>
          <w:szCs w:val="24"/>
        </w:rPr>
        <w:t>b</w:t>
      </w:r>
      <w:r w:rsidR="006D03F9" w:rsidRPr="00933491">
        <w:rPr>
          <w:rFonts w:ascii="Times New Roman" w:hAnsi="Times New Roman" w:cs="Times New Roman"/>
          <w:sz w:val="24"/>
          <w:szCs w:val="24"/>
        </w:rPr>
        <w:t xml:space="preserve">) não terem realizado SEO durante os cinco anos posteriores ao ano da oferta da empresa emissora; </w:t>
      </w:r>
    </w:p>
    <w:p w14:paraId="6BE7F26E" w14:textId="30220708" w:rsidR="000970EB" w:rsidRPr="00933491" w:rsidRDefault="000E0255" w:rsidP="00157D35">
      <w:pPr>
        <w:spacing w:after="0" w:line="240" w:lineRule="auto"/>
        <w:ind w:firstLine="709"/>
        <w:jc w:val="both"/>
        <w:rPr>
          <w:rFonts w:ascii="Times New Roman" w:hAnsi="Times New Roman" w:cs="Times New Roman"/>
          <w:sz w:val="24"/>
          <w:szCs w:val="24"/>
        </w:rPr>
      </w:pPr>
      <w:r w:rsidRPr="00933491">
        <w:rPr>
          <w:rFonts w:ascii="Times New Roman" w:hAnsi="Times New Roman" w:cs="Times New Roman"/>
          <w:sz w:val="24"/>
          <w:szCs w:val="24"/>
        </w:rPr>
        <w:t>c</w:t>
      </w:r>
      <w:r w:rsidR="006D03F9" w:rsidRPr="00933491">
        <w:rPr>
          <w:rFonts w:ascii="Times New Roman" w:hAnsi="Times New Roman" w:cs="Times New Roman"/>
          <w:sz w:val="24"/>
          <w:szCs w:val="24"/>
        </w:rPr>
        <w:t>) o tamanho do ativo</w:t>
      </w:r>
      <w:r w:rsidR="00A00A75" w:rsidRPr="00933491">
        <w:rPr>
          <w:rFonts w:ascii="Times New Roman" w:hAnsi="Times New Roman" w:cs="Times New Roman"/>
          <w:sz w:val="24"/>
          <w:szCs w:val="24"/>
        </w:rPr>
        <w:t>,</w:t>
      </w:r>
      <w:r w:rsidR="001834F4" w:rsidRPr="00933491">
        <w:rPr>
          <w:rFonts w:ascii="Times New Roman" w:hAnsi="Times New Roman" w:cs="Times New Roman"/>
          <w:sz w:val="24"/>
          <w:szCs w:val="24"/>
        </w:rPr>
        <w:t xml:space="preserve"> no ano da SEO</w:t>
      </w:r>
      <w:r w:rsidR="00A00A75" w:rsidRPr="00933491">
        <w:rPr>
          <w:rFonts w:ascii="Times New Roman" w:hAnsi="Times New Roman" w:cs="Times New Roman"/>
          <w:sz w:val="24"/>
          <w:szCs w:val="24"/>
        </w:rPr>
        <w:t>,</w:t>
      </w:r>
      <w:r w:rsidR="006D03F9" w:rsidRPr="00933491">
        <w:rPr>
          <w:rFonts w:ascii="Times New Roman" w:hAnsi="Times New Roman" w:cs="Times New Roman"/>
          <w:sz w:val="24"/>
          <w:szCs w:val="24"/>
        </w:rPr>
        <w:t xml:space="preserve"> </w:t>
      </w:r>
      <w:r w:rsidR="001834F4" w:rsidRPr="00933491">
        <w:rPr>
          <w:rFonts w:ascii="Times New Roman" w:hAnsi="Times New Roman" w:cs="Times New Roman"/>
          <w:sz w:val="24"/>
          <w:szCs w:val="24"/>
        </w:rPr>
        <w:t xml:space="preserve">da empresa </w:t>
      </w:r>
      <w:r w:rsidR="000A4BC0" w:rsidRPr="00933491">
        <w:rPr>
          <w:rFonts w:ascii="Times New Roman" w:hAnsi="Times New Roman" w:cs="Times New Roman"/>
          <w:sz w:val="24"/>
          <w:szCs w:val="24"/>
        </w:rPr>
        <w:t xml:space="preserve">não </w:t>
      </w:r>
      <w:r w:rsidR="001834F4" w:rsidRPr="00933491">
        <w:rPr>
          <w:rFonts w:ascii="Times New Roman" w:hAnsi="Times New Roman" w:cs="Times New Roman"/>
          <w:sz w:val="24"/>
          <w:szCs w:val="24"/>
        </w:rPr>
        <w:t xml:space="preserve">emissora </w:t>
      </w:r>
      <w:r w:rsidR="006D03F9" w:rsidRPr="00933491">
        <w:rPr>
          <w:rFonts w:ascii="Times New Roman" w:hAnsi="Times New Roman" w:cs="Times New Roman"/>
          <w:sz w:val="24"/>
          <w:szCs w:val="24"/>
        </w:rPr>
        <w:t>tenha entre 25% e 200% do tamanh</w:t>
      </w:r>
      <w:r w:rsidR="00277175" w:rsidRPr="00933491">
        <w:rPr>
          <w:rFonts w:ascii="Times New Roman" w:hAnsi="Times New Roman" w:cs="Times New Roman"/>
          <w:sz w:val="24"/>
          <w:szCs w:val="24"/>
        </w:rPr>
        <w:t>o do ativo da empresa emissora;</w:t>
      </w:r>
    </w:p>
    <w:p w14:paraId="3C4C5947" w14:textId="65B9F80E" w:rsidR="0002559E" w:rsidRPr="00933491" w:rsidRDefault="000E0255" w:rsidP="00157D35">
      <w:pPr>
        <w:spacing w:after="0" w:line="240" w:lineRule="auto"/>
        <w:ind w:firstLine="709"/>
        <w:jc w:val="both"/>
        <w:rPr>
          <w:rFonts w:ascii="Times New Roman" w:hAnsi="Times New Roman" w:cs="Times New Roman"/>
          <w:sz w:val="24"/>
          <w:szCs w:val="24"/>
        </w:rPr>
      </w:pPr>
      <w:r w:rsidRPr="00933491">
        <w:rPr>
          <w:rFonts w:ascii="Times New Roman" w:hAnsi="Times New Roman" w:cs="Times New Roman"/>
          <w:sz w:val="24"/>
          <w:szCs w:val="24"/>
        </w:rPr>
        <w:t>d</w:t>
      </w:r>
      <w:r w:rsidR="006D03F9" w:rsidRPr="00933491">
        <w:rPr>
          <w:rFonts w:ascii="Times New Roman" w:hAnsi="Times New Roman" w:cs="Times New Roman"/>
          <w:sz w:val="24"/>
          <w:szCs w:val="24"/>
        </w:rPr>
        <w:t>) o valor do ROA da empresa não emissora seja o mais próximo possível do ROA da empresa emissora</w:t>
      </w:r>
      <w:r w:rsidR="00F74B3D" w:rsidRPr="00933491">
        <w:rPr>
          <w:rFonts w:ascii="Times New Roman" w:hAnsi="Times New Roman" w:cs="Times New Roman"/>
          <w:sz w:val="24"/>
          <w:szCs w:val="24"/>
        </w:rPr>
        <w:t xml:space="preserve"> no ano da SEO</w:t>
      </w:r>
      <w:r w:rsidR="00277175" w:rsidRPr="00933491">
        <w:rPr>
          <w:rFonts w:ascii="Times New Roman" w:hAnsi="Times New Roman" w:cs="Times New Roman"/>
          <w:sz w:val="24"/>
          <w:szCs w:val="24"/>
        </w:rPr>
        <w:t>.</w:t>
      </w:r>
    </w:p>
    <w:p w14:paraId="5809C13F" w14:textId="1BEBA90F" w:rsidR="006D03F9" w:rsidRPr="00CC11DC" w:rsidRDefault="009708B4" w:rsidP="00157D3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Para nove papeis</w:t>
      </w:r>
      <w:r w:rsidR="00D06529">
        <w:rPr>
          <w:rFonts w:ascii="Times New Roman" w:hAnsi="Times New Roman" w:cs="Times New Roman"/>
          <w:sz w:val="24"/>
          <w:szCs w:val="24"/>
        </w:rPr>
        <w:t>,</w:t>
      </w:r>
      <w:r>
        <w:rPr>
          <w:rFonts w:ascii="Times New Roman" w:hAnsi="Times New Roman" w:cs="Times New Roman"/>
          <w:sz w:val="24"/>
          <w:szCs w:val="24"/>
        </w:rPr>
        <w:t xml:space="preserve"> não foram encontradas empresas correspondentes não emissoras</w:t>
      </w:r>
      <w:r w:rsidR="00D06529">
        <w:rPr>
          <w:rFonts w:ascii="Times New Roman" w:hAnsi="Times New Roman" w:cs="Times New Roman"/>
          <w:sz w:val="24"/>
          <w:szCs w:val="24"/>
        </w:rPr>
        <w:t>,</w:t>
      </w:r>
      <w:r>
        <w:rPr>
          <w:rFonts w:ascii="Times New Roman" w:hAnsi="Times New Roman" w:cs="Times New Roman"/>
          <w:sz w:val="24"/>
          <w:szCs w:val="24"/>
        </w:rPr>
        <w:t xml:space="preserve"> seguindo os critérios ‘a’, ‘c’ e ‘d’</w:t>
      </w:r>
      <w:r w:rsidR="00D06529">
        <w:rPr>
          <w:rFonts w:ascii="Times New Roman" w:hAnsi="Times New Roman" w:cs="Times New Roman"/>
          <w:sz w:val="24"/>
          <w:szCs w:val="24"/>
        </w:rPr>
        <w:t>.</w:t>
      </w:r>
      <w:r w:rsidR="00894BB6">
        <w:rPr>
          <w:rFonts w:ascii="Times New Roman" w:hAnsi="Times New Roman" w:cs="Times New Roman"/>
          <w:sz w:val="24"/>
          <w:szCs w:val="24"/>
        </w:rPr>
        <w:t xml:space="preserve"> </w:t>
      </w:r>
      <w:r w:rsidR="00D06529">
        <w:rPr>
          <w:rFonts w:ascii="Times New Roman" w:hAnsi="Times New Roman" w:cs="Times New Roman"/>
          <w:sz w:val="24"/>
          <w:szCs w:val="24"/>
        </w:rPr>
        <w:t>L</w:t>
      </w:r>
      <w:r w:rsidR="00894BB6">
        <w:rPr>
          <w:rFonts w:ascii="Times New Roman" w:hAnsi="Times New Roman" w:cs="Times New Roman"/>
          <w:sz w:val="24"/>
          <w:szCs w:val="24"/>
        </w:rPr>
        <w:t>ogo</w:t>
      </w:r>
      <w:r w:rsidR="00D06529">
        <w:rPr>
          <w:rFonts w:ascii="Times New Roman" w:hAnsi="Times New Roman" w:cs="Times New Roman"/>
          <w:sz w:val="24"/>
          <w:szCs w:val="24"/>
        </w:rPr>
        <w:t>,</w:t>
      </w:r>
      <w:r w:rsidR="00894BB6">
        <w:rPr>
          <w:rFonts w:ascii="Times New Roman" w:hAnsi="Times New Roman" w:cs="Times New Roman"/>
          <w:sz w:val="24"/>
          <w:szCs w:val="24"/>
        </w:rPr>
        <w:t xml:space="preserve"> </w:t>
      </w:r>
      <w:r>
        <w:rPr>
          <w:rFonts w:ascii="Times New Roman" w:hAnsi="Times New Roman" w:cs="Times New Roman"/>
          <w:sz w:val="24"/>
          <w:szCs w:val="24"/>
        </w:rPr>
        <w:t>foram selecionadas empresas</w:t>
      </w:r>
      <w:r w:rsidR="00894BB6">
        <w:rPr>
          <w:rFonts w:ascii="Times New Roman" w:hAnsi="Times New Roman" w:cs="Times New Roman"/>
          <w:sz w:val="24"/>
          <w:szCs w:val="24"/>
        </w:rPr>
        <w:t xml:space="preserve"> não emissoras</w:t>
      </w:r>
      <w:r>
        <w:rPr>
          <w:rFonts w:ascii="Times New Roman" w:hAnsi="Times New Roman" w:cs="Times New Roman"/>
          <w:sz w:val="24"/>
          <w:szCs w:val="24"/>
        </w:rPr>
        <w:t xml:space="preserve"> a partir dos seguintes critérios (</w:t>
      </w:r>
      <w:r w:rsidR="001D27B8">
        <w:rPr>
          <w:rFonts w:ascii="Times New Roman" w:hAnsi="Times New Roman" w:cs="Times New Roman"/>
          <w:sz w:val="24"/>
          <w:szCs w:val="24"/>
        </w:rPr>
        <w:t xml:space="preserve">LOUGHRAN; RITTER, </w:t>
      </w:r>
      <w:r>
        <w:rPr>
          <w:rFonts w:ascii="Times New Roman" w:hAnsi="Times New Roman" w:cs="Times New Roman"/>
          <w:sz w:val="24"/>
          <w:szCs w:val="24"/>
        </w:rPr>
        <w:t xml:space="preserve">1997): </w:t>
      </w:r>
      <w:r w:rsidR="006D03F9" w:rsidRPr="00CC11DC">
        <w:rPr>
          <w:rFonts w:ascii="Times New Roman" w:hAnsi="Times New Roman" w:cs="Times New Roman"/>
          <w:sz w:val="24"/>
          <w:szCs w:val="24"/>
        </w:rPr>
        <w:t xml:space="preserve">o tamanho do ativo deveria </w:t>
      </w:r>
      <w:r w:rsidR="001834F4" w:rsidRPr="00CC11DC">
        <w:rPr>
          <w:rFonts w:ascii="Times New Roman" w:hAnsi="Times New Roman" w:cs="Times New Roman"/>
          <w:sz w:val="24"/>
          <w:szCs w:val="24"/>
        </w:rPr>
        <w:t>estar</w:t>
      </w:r>
      <w:r w:rsidR="006D03F9" w:rsidRPr="003E40AC">
        <w:rPr>
          <w:rFonts w:ascii="Times New Roman" w:hAnsi="Times New Roman" w:cs="Times New Roman"/>
          <w:sz w:val="24"/>
          <w:szCs w:val="24"/>
        </w:rPr>
        <w:t xml:space="preserve"> entre </w:t>
      </w:r>
      <w:r w:rsidR="00C813E5" w:rsidRPr="003E40AC">
        <w:rPr>
          <w:rFonts w:ascii="Times New Roman" w:hAnsi="Times New Roman" w:cs="Times New Roman"/>
          <w:sz w:val="24"/>
          <w:szCs w:val="24"/>
        </w:rPr>
        <w:t>90</w:t>
      </w:r>
      <w:r w:rsidR="00356246" w:rsidRPr="003E40AC">
        <w:rPr>
          <w:rFonts w:ascii="Times New Roman" w:hAnsi="Times New Roman" w:cs="Times New Roman"/>
          <w:sz w:val="24"/>
          <w:szCs w:val="24"/>
        </w:rPr>
        <w:t>% a</w:t>
      </w:r>
      <w:r w:rsidR="006D03F9" w:rsidRPr="003E40AC">
        <w:rPr>
          <w:rFonts w:ascii="Times New Roman" w:hAnsi="Times New Roman" w:cs="Times New Roman"/>
          <w:sz w:val="24"/>
          <w:szCs w:val="24"/>
        </w:rPr>
        <w:t xml:space="preserve"> 1</w:t>
      </w:r>
      <w:r w:rsidR="00C813E5" w:rsidRPr="003E40AC">
        <w:rPr>
          <w:rFonts w:ascii="Times New Roman" w:hAnsi="Times New Roman" w:cs="Times New Roman"/>
          <w:sz w:val="24"/>
          <w:szCs w:val="24"/>
        </w:rPr>
        <w:t>10</w:t>
      </w:r>
      <w:r w:rsidR="006D03F9" w:rsidRPr="003E40AC">
        <w:rPr>
          <w:rFonts w:ascii="Times New Roman" w:hAnsi="Times New Roman" w:cs="Times New Roman"/>
          <w:sz w:val="24"/>
          <w:szCs w:val="24"/>
        </w:rPr>
        <w:t xml:space="preserve">% do tamanho do ativo da </w:t>
      </w:r>
      <w:r w:rsidR="0096661E" w:rsidRPr="003E40AC">
        <w:rPr>
          <w:rFonts w:ascii="Times New Roman" w:hAnsi="Times New Roman" w:cs="Times New Roman"/>
          <w:sz w:val="24"/>
          <w:szCs w:val="24"/>
        </w:rPr>
        <w:t>empresa emissora e o índice ROA</w:t>
      </w:r>
      <w:r w:rsidR="006D03F9" w:rsidRPr="003E40AC">
        <w:rPr>
          <w:rFonts w:ascii="Times New Roman" w:hAnsi="Times New Roman" w:cs="Times New Roman"/>
          <w:sz w:val="24"/>
          <w:szCs w:val="24"/>
        </w:rPr>
        <w:t xml:space="preserve"> </w:t>
      </w:r>
      <w:r w:rsidR="0096661E" w:rsidRPr="003E40AC">
        <w:rPr>
          <w:rFonts w:ascii="Times New Roman" w:hAnsi="Times New Roman" w:cs="Times New Roman"/>
          <w:sz w:val="24"/>
          <w:szCs w:val="24"/>
        </w:rPr>
        <w:t>deveria</w:t>
      </w:r>
      <w:r w:rsidR="006D03F9" w:rsidRPr="003E40AC">
        <w:rPr>
          <w:rFonts w:ascii="Times New Roman" w:hAnsi="Times New Roman" w:cs="Times New Roman"/>
          <w:sz w:val="24"/>
          <w:szCs w:val="24"/>
        </w:rPr>
        <w:t xml:space="preserve"> ser o mais próximo possível do índice ROA das emissora</w:t>
      </w:r>
      <w:r w:rsidR="00695FD1" w:rsidRPr="003E40AC">
        <w:rPr>
          <w:rFonts w:ascii="Times New Roman" w:hAnsi="Times New Roman" w:cs="Times New Roman"/>
          <w:sz w:val="24"/>
          <w:szCs w:val="24"/>
        </w:rPr>
        <w:t>s</w:t>
      </w:r>
      <w:r w:rsidR="00F71625" w:rsidRPr="003E40AC">
        <w:rPr>
          <w:rFonts w:ascii="Times New Roman" w:hAnsi="Times New Roman" w:cs="Times New Roman"/>
          <w:sz w:val="24"/>
          <w:szCs w:val="24"/>
        </w:rPr>
        <w:t>.</w:t>
      </w:r>
      <w:r w:rsidR="00D6680F" w:rsidRPr="003E40AC">
        <w:rPr>
          <w:rFonts w:ascii="Times New Roman" w:hAnsi="Times New Roman" w:cs="Times New Roman"/>
          <w:sz w:val="24"/>
          <w:szCs w:val="24"/>
        </w:rPr>
        <w:t xml:space="preserve"> Para encontrar uma empresa correspondente não emissora para as empresas Vale do Rio Doce e Petrobras, considerou-se o percentual </w:t>
      </w:r>
      <w:r w:rsidR="00D6680F" w:rsidRPr="003E40AC">
        <w:rPr>
          <w:rFonts w:ascii="Times New Roman" w:hAnsi="Times New Roman" w:cs="Times New Roman"/>
          <w:sz w:val="24"/>
          <w:szCs w:val="24"/>
        </w:rPr>
        <w:lastRenderedPageBreak/>
        <w:t>mínimo de 50%</w:t>
      </w:r>
      <w:r w:rsidR="00A00A75" w:rsidRPr="003E40AC">
        <w:rPr>
          <w:rFonts w:ascii="Times New Roman" w:hAnsi="Times New Roman" w:cs="Times New Roman"/>
          <w:sz w:val="24"/>
          <w:szCs w:val="24"/>
        </w:rPr>
        <w:t xml:space="preserve"> para o tamanho do ativo</w:t>
      </w:r>
      <w:r w:rsidR="00D6680F" w:rsidRPr="003E40AC">
        <w:rPr>
          <w:rFonts w:ascii="Times New Roman" w:hAnsi="Times New Roman" w:cs="Times New Roman"/>
          <w:sz w:val="24"/>
          <w:szCs w:val="24"/>
        </w:rPr>
        <w:t>, uma vez que não foi encontrado uma empresa que atendesse ao critério</w:t>
      </w:r>
      <w:r>
        <w:rPr>
          <w:rFonts w:ascii="Times New Roman" w:hAnsi="Times New Roman" w:cs="Times New Roman"/>
          <w:sz w:val="24"/>
          <w:szCs w:val="24"/>
        </w:rPr>
        <w:t xml:space="preserve"> de 90% do tamanho do ativo</w:t>
      </w:r>
      <w:r w:rsidR="00D6680F" w:rsidRPr="003E40AC">
        <w:rPr>
          <w:rFonts w:ascii="Times New Roman" w:hAnsi="Times New Roman" w:cs="Times New Roman"/>
          <w:sz w:val="24"/>
          <w:szCs w:val="24"/>
        </w:rPr>
        <w:t>.</w:t>
      </w:r>
      <w:r w:rsidR="00F73F73" w:rsidRPr="003E40AC">
        <w:rPr>
          <w:rFonts w:ascii="Times New Roman" w:hAnsi="Times New Roman" w:cs="Times New Roman"/>
          <w:sz w:val="24"/>
          <w:szCs w:val="24"/>
        </w:rPr>
        <w:t xml:space="preserve"> </w:t>
      </w:r>
    </w:p>
    <w:p w14:paraId="09478088" w14:textId="61F846E9" w:rsidR="008E1331" w:rsidRDefault="008E1331" w:rsidP="00157D35">
      <w:pPr>
        <w:spacing w:after="0" w:line="240" w:lineRule="auto"/>
        <w:ind w:firstLine="709"/>
        <w:jc w:val="both"/>
        <w:rPr>
          <w:rFonts w:ascii="Times New Roman" w:hAnsi="Times New Roman" w:cs="Times New Roman"/>
          <w:sz w:val="24"/>
          <w:szCs w:val="24"/>
        </w:rPr>
      </w:pPr>
      <w:r w:rsidRPr="003E40AC">
        <w:rPr>
          <w:rFonts w:ascii="Times New Roman" w:hAnsi="Times New Roman" w:cs="Times New Roman"/>
          <w:sz w:val="24"/>
          <w:szCs w:val="24"/>
        </w:rPr>
        <w:t>Por fim, em cada ano de refe</w:t>
      </w:r>
      <w:r w:rsidR="001B59EF" w:rsidRPr="003E40AC">
        <w:rPr>
          <w:rFonts w:ascii="Times New Roman" w:hAnsi="Times New Roman" w:cs="Times New Roman"/>
          <w:sz w:val="24"/>
          <w:szCs w:val="24"/>
        </w:rPr>
        <w:t>rência</w:t>
      </w:r>
      <w:r w:rsidR="001F3930" w:rsidRPr="003E40AC">
        <w:rPr>
          <w:rFonts w:ascii="Times New Roman" w:hAnsi="Times New Roman" w:cs="Times New Roman"/>
          <w:sz w:val="24"/>
          <w:szCs w:val="24"/>
        </w:rPr>
        <w:t xml:space="preserve"> de emissão de SEO</w:t>
      </w:r>
      <w:r w:rsidR="001B59EF" w:rsidRPr="003E40AC">
        <w:rPr>
          <w:rFonts w:ascii="Times New Roman" w:hAnsi="Times New Roman" w:cs="Times New Roman"/>
          <w:sz w:val="24"/>
          <w:szCs w:val="24"/>
        </w:rPr>
        <w:t xml:space="preserve"> (2004, 2005, 2006, 2007,</w:t>
      </w:r>
      <w:r w:rsidRPr="003E40AC">
        <w:rPr>
          <w:rFonts w:ascii="Times New Roman" w:hAnsi="Times New Roman" w:cs="Times New Roman"/>
          <w:sz w:val="24"/>
          <w:szCs w:val="24"/>
        </w:rPr>
        <w:t xml:space="preserve"> 2008</w:t>
      </w:r>
      <w:r w:rsidR="00446B66" w:rsidRPr="003E40AC">
        <w:rPr>
          <w:rFonts w:ascii="Times New Roman" w:hAnsi="Times New Roman" w:cs="Times New Roman"/>
          <w:sz w:val="24"/>
          <w:szCs w:val="24"/>
        </w:rPr>
        <w:t>,</w:t>
      </w:r>
      <w:r w:rsidR="001B59EF" w:rsidRPr="003E40AC">
        <w:rPr>
          <w:rFonts w:ascii="Times New Roman" w:hAnsi="Times New Roman" w:cs="Times New Roman"/>
          <w:sz w:val="24"/>
          <w:szCs w:val="24"/>
        </w:rPr>
        <w:t xml:space="preserve"> 2009</w:t>
      </w:r>
      <w:r w:rsidR="00446B66" w:rsidRPr="003E40AC">
        <w:rPr>
          <w:rFonts w:ascii="Times New Roman" w:hAnsi="Times New Roman" w:cs="Times New Roman"/>
          <w:sz w:val="24"/>
          <w:szCs w:val="24"/>
        </w:rPr>
        <w:t>, 2010 e 2011</w:t>
      </w:r>
      <w:r w:rsidRPr="00933491">
        <w:rPr>
          <w:rFonts w:ascii="Times New Roman" w:hAnsi="Times New Roman" w:cs="Times New Roman"/>
          <w:sz w:val="24"/>
          <w:szCs w:val="24"/>
        </w:rPr>
        <w:t xml:space="preserve">), obteve-se uma amostra composta por empresas que realizaram e não realizaram SEO, totalizando, </w:t>
      </w:r>
      <w:r w:rsidR="00C34610" w:rsidRPr="00933491">
        <w:rPr>
          <w:rFonts w:ascii="Times New Roman" w:hAnsi="Times New Roman" w:cs="Times New Roman"/>
          <w:sz w:val="24"/>
          <w:szCs w:val="24"/>
        </w:rPr>
        <w:t>assim, 68</w:t>
      </w:r>
      <w:r w:rsidRPr="00933491">
        <w:rPr>
          <w:rFonts w:ascii="Times New Roman" w:hAnsi="Times New Roman" w:cs="Times New Roman"/>
          <w:sz w:val="24"/>
          <w:szCs w:val="24"/>
        </w:rPr>
        <w:t xml:space="preserve"> empresas, das quais metade realizaram SEO</w:t>
      </w:r>
      <w:r w:rsidR="00C6230E" w:rsidRPr="00933491">
        <w:rPr>
          <w:rFonts w:ascii="Times New Roman" w:hAnsi="Times New Roman" w:cs="Times New Roman"/>
          <w:sz w:val="24"/>
          <w:szCs w:val="24"/>
        </w:rPr>
        <w:t xml:space="preserve"> e metade não realizaram</w:t>
      </w:r>
      <w:r w:rsidRPr="00933491">
        <w:rPr>
          <w:rFonts w:ascii="Times New Roman" w:hAnsi="Times New Roman" w:cs="Times New Roman"/>
          <w:sz w:val="24"/>
          <w:szCs w:val="24"/>
        </w:rPr>
        <w:t>. N</w:t>
      </w:r>
      <w:r w:rsidR="004C7DD9">
        <w:rPr>
          <w:rFonts w:ascii="Times New Roman" w:hAnsi="Times New Roman" w:cs="Times New Roman"/>
          <w:sz w:val="24"/>
          <w:szCs w:val="24"/>
        </w:rPr>
        <w:t>o</w:t>
      </w:r>
      <w:r w:rsidRPr="00933491">
        <w:rPr>
          <w:rFonts w:ascii="Times New Roman" w:hAnsi="Times New Roman" w:cs="Times New Roman"/>
          <w:sz w:val="24"/>
          <w:szCs w:val="24"/>
        </w:rPr>
        <w:t xml:space="preserve"> </w:t>
      </w:r>
      <w:r w:rsidR="004C7DD9">
        <w:rPr>
          <w:rFonts w:ascii="Times New Roman" w:hAnsi="Times New Roman" w:cs="Times New Roman"/>
          <w:sz w:val="24"/>
          <w:szCs w:val="24"/>
        </w:rPr>
        <w:t>Quadro</w:t>
      </w:r>
      <w:r w:rsidRPr="00933491">
        <w:rPr>
          <w:rFonts w:ascii="Times New Roman" w:hAnsi="Times New Roman" w:cs="Times New Roman"/>
          <w:sz w:val="24"/>
          <w:szCs w:val="24"/>
        </w:rPr>
        <w:t xml:space="preserve"> 1, </w:t>
      </w:r>
      <w:r w:rsidR="001E0729" w:rsidRPr="00933491">
        <w:rPr>
          <w:rFonts w:ascii="Times New Roman" w:hAnsi="Times New Roman" w:cs="Times New Roman"/>
          <w:sz w:val="24"/>
          <w:szCs w:val="24"/>
        </w:rPr>
        <w:t>são evidenciadas</w:t>
      </w:r>
      <w:r w:rsidRPr="00933491">
        <w:rPr>
          <w:rFonts w:ascii="Times New Roman" w:hAnsi="Times New Roman" w:cs="Times New Roman"/>
          <w:sz w:val="24"/>
          <w:szCs w:val="24"/>
        </w:rPr>
        <w:t xml:space="preserve"> as empresas que realizaram </w:t>
      </w:r>
      <w:r w:rsidR="001E0729" w:rsidRPr="00933491">
        <w:rPr>
          <w:rFonts w:ascii="Times New Roman" w:hAnsi="Times New Roman" w:cs="Times New Roman"/>
          <w:sz w:val="24"/>
          <w:szCs w:val="24"/>
        </w:rPr>
        <w:t xml:space="preserve">e </w:t>
      </w:r>
      <w:r w:rsidR="00816FBB" w:rsidRPr="00933491">
        <w:rPr>
          <w:rFonts w:ascii="Times New Roman" w:hAnsi="Times New Roman" w:cs="Times New Roman"/>
          <w:sz w:val="24"/>
          <w:szCs w:val="24"/>
        </w:rPr>
        <w:t xml:space="preserve">as </w:t>
      </w:r>
      <w:r w:rsidR="00396914" w:rsidRPr="00933491">
        <w:rPr>
          <w:rFonts w:ascii="Times New Roman" w:hAnsi="Times New Roman" w:cs="Times New Roman"/>
          <w:sz w:val="24"/>
          <w:szCs w:val="24"/>
        </w:rPr>
        <w:t xml:space="preserve">que </w:t>
      </w:r>
      <w:r w:rsidR="001E0729" w:rsidRPr="00933491">
        <w:rPr>
          <w:rFonts w:ascii="Times New Roman" w:hAnsi="Times New Roman" w:cs="Times New Roman"/>
          <w:sz w:val="24"/>
          <w:szCs w:val="24"/>
        </w:rPr>
        <w:t>não realizaram</w:t>
      </w:r>
      <w:r w:rsidRPr="00933491">
        <w:rPr>
          <w:rFonts w:ascii="Times New Roman" w:hAnsi="Times New Roman" w:cs="Times New Roman"/>
          <w:sz w:val="24"/>
          <w:szCs w:val="24"/>
        </w:rPr>
        <w:t xml:space="preserve"> SEO</w:t>
      </w:r>
      <w:r w:rsidR="009B3E58" w:rsidRPr="00933491">
        <w:rPr>
          <w:rFonts w:ascii="Times New Roman" w:hAnsi="Times New Roman" w:cs="Times New Roman"/>
          <w:sz w:val="24"/>
          <w:szCs w:val="24"/>
        </w:rPr>
        <w:t>.</w:t>
      </w:r>
      <w:r w:rsidRPr="00933491">
        <w:rPr>
          <w:rFonts w:ascii="Times New Roman" w:hAnsi="Times New Roman" w:cs="Times New Roman"/>
          <w:sz w:val="24"/>
          <w:szCs w:val="24"/>
        </w:rPr>
        <w:t xml:space="preserve"> A coleta dos dados foi realizada nos demonstrativo</w:t>
      </w:r>
      <w:r w:rsidR="00F5646A" w:rsidRPr="00933491">
        <w:rPr>
          <w:rFonts w:ascii="Times New Roman" w:hAnsi="Times New Roman" w:cs="Times New Roman"/>
          <w:sz w:val="24"/>
          <w:szCs w:val="24"/>
        </w:rPr>
        <w:t>s</w:t>
      </w:r>
      <w:r w:rsidRPr="00933491">
        <w:rPr>
          <w:rFonts w:ascii="Times New Roman" w:hAnsi="Times New Roman" w:cs="Times New Roman"/>
          <w:sz w:val="24"/>
          <w:szCs w:val="24"/>
        </w:rPr>
        <w:t xml:space="preserve"> financeiros das empresas que compõem a amostra divu</w:t>
      </w:r>
      <w:r w:rsidR="00FF44B9" w:rsidRPr="00933491">
        <w:rPr>
          <w:rFonts w:ascii="Times New Roman" w:hAnsi="Times New Roman" w:cs="Times New Roman"/>
          <w:sz w:val="24"/>
          <w:szCs w:val="24"/>
        </w:rPr>
        <w:t xml:space="preserve">lgados no banco de dados </w:t>
      </w:r>
      <w:proofErr w:type="spellStart"/>
      <w:r w:rsidR="00FF44B9" w:rsidRPr="00933491">
        <w:rPr>
          <w:rFonts w:ascii="Times New Roman" w:hAnsi="Times New Roman" w:cs="Times New Roman"/>
          <w:sz w:val="24"/>
          <w:szCs w:val="24"/>
        </w:rPr>
        <w:t>Economa</w:t>
      </w:r>
      <w:r w:rsidRPr="00933491">
        <w:rPr>
          <w:rFonts w:ascii="Times New Roman" w:hAnsi="Times New Roman" w:cs="Times New Roman"/>
          <w:sz w:val="24"/>
          <w:szCs w:val="24"/>
        </w:rPr>
        <w:t>tica</w:t>
      </w:r>
      <w:proofErr w:type="spellEnd"/>
      <w:r w:rsidRPr="00933491">
        <w:rPr>
          <w:rFonts w:ascii="Times New Roman" w:hAnsi="Times New Roman" w:cs="Times New Roman"/>
          <w:sz w:val="24"/>
          <w:szCs w:val="24"/>
        </w:rPr>
        <w:t>.</w:t>
      </w:r>
    </w:p>
    <w:p w14:paraId="0EFC11A8" w14:textId="77777777" w:rsidR="006909D1" w:rsidRPr="00933491" w:rsidRDefault="006909D1" w:rsidP="0056798E">
      <w:pPr>
        <w:spacing w:after="0" w:line="240" w:lineRule="auto"/>
        <w:ind w:firstLine="709"/>
        <w:jc w:val="both"/>
        <w:rPr>
          <w:rFonts w:ascii="Times New Roman" w:hAnsi="Times New Roman" w:cs="Times New Roman"/>
          <w:sz w:val="24"/>
          <w:szCs w:val="24"/>
        </w:rPr>
      </w:pPr>
    </w:p>
    <w:p w14:paraId="714A39B8" w14:textId="712113B5" w:rsidR="005626B7" w:rsidRPr="004C7DD9" w:rsidRDefault="004C7DD9" w:rsidP="004C7DD9">
      <w:pPr>
        <w:spacing w:after="0" w:line="240" w:lineRule="auto"/>
        <w:ind w:left="284"/>
        <w:jc w:val="center"/>
        <w:rPr>
          <w:rFonts w:ascii="Times New Roman" w:hAnsi="Times New Roman" w:cs="Times New Roman"/>
          <w:b/>
          <w:sz w:val="20"/>
          <w:szCs w:val="24"/>
        </w:rPr>
      </w:pPr>
      <w:r w:rsidRPr="004C7DD9">
        <w:rPr>
          <w:rFonts w:ascii="Times New Roman" w:hAnsi="Times New Roman" w:cs="Times New Roman"/>
          <w:b/>
          <w:sz w:val="20"/>
          <w:szCs w:val="24"/>
        </w:rPr>
        <w:t>Quadro</w:t>
      </w:r>
      <w:r w:rsidR="00D54DC8" w:rsidRPr="004C7DD9">
        <w:rPr>
          <w:rFonts w:ascii="Times New Roman" w:hAnsi="Times New Roman" w:cs="Times New Roman"/>
          <w:b/>
          <w:sz w:val="20"/>
          <w:szCs w:val="24"/>
        </w:rPr>
        <w:t xml:space="preserve"> 1</w:t>
      </w:r>
      <w:r w:rsidRPr="004C7DD9">
        <w:rPr>
          <w:rFonts w:ascii="Times New Roman" w:hAnsi="Times New Roman" w:cs="Times New Roman"/>
          <w:b/>
          <w:sz w:val="20"/>
          <w:szCs w:val="24"/>
        </w:rPr>
        <w:t xml:space="preserve"> - </w:t>
      </w:r>
      <w:r w:rsidR="005626B7" w:rsidRPr="004C7DD9">
        <w:rPr>
          <w:rFonts w:ascii="Times New Roman" w:hAnsi="Times New Roman" w:cs="Times New Roman"/>
          <w:b/>
          <w:sz w:val="20"/>
          <w:szCs w:val="24"/>
        </w:rPr>
        <w:t>Empresas que realizaram e não realizaram SEO</w:t>
      </w:r>
    </w:p>
    <w:tbl>
      <w:tblPr>
        <w:tblStyle w:val="Tabelacomgrade"/>
        <w:tblW w:w="0" w:type="auto"/>
        <w:jc w:val="center"/>
        <w:tblLook w:val="04A0" w:firstRow="1" w:lastRow="0" w:firstColumn="1" w:lastColumn="0" w:noHBand="0" w:noVBand="1"/>
      </w:tblPr>
      <w:tblGrid>
        <w:gridCol w:w="1526"/>
        <w:gridCol w:w="1701"/>
        <w:gridCol w:w="1276"/>
        <w:gridCol w:w="1984"/>
        <w:gridCol w:w="1843"/>
      </w:tblGrid>
      <w:tr w:rsidR="009B3E58" w:rsidRPr="00933491" w14:paraId="04E1FE4D" w14:textId="77777777" w:rsidTr="00FF724B">
        <w:trPr>
          <w:jc w:val="center"/>
        </w:trPr>
        <w:tc>
          <w:tcPr>
            <w:tcW w:w="1526" w:type="dxa"/>
            <w:vAlign w:val="center"/>
          </w:tcPr>
          <w:p w14:paraId="0985B3FD" w14:textId="1C86B090" w:rsidR="009B3E58" w:rsidRPr="00933491" w:rsidRDefault="009B3E58" w:rsidP="0056798E">
            <w:pPr>
              <w:jc w:val="center"/>
              <w:rPr>
                <w:rFonts w:ascii="Times New Roman" w:hAnsi="Times New Roman" w:cs="Times New Roman"/>
                <w:sz w:val="20"/>
                <w:szCs w:val="24"/>
              </w:rPr>
            </w:pPr>
            <w:r w:rsidRPr="00933491">
              <w:rPr>
                <w:rFonts w:ascii="Times New Roman" w:eastAsia="Times New Roman" w:hAnsi="Times New Roman" w:cs="Times New Roman"/>
                <w:b/>
                <w:bCs/>
                <w:sz w:val="20"/>
                <w:szCs w:val="20"/>
                <w:lang w:eastAsia="pt-BR"/>
              </w:rPr>
              <w:t>Ano da SEO</w:t>
            </w:r>
          </w:p>
        </w:tc>
        <w:tc>
          <w:tcPr>
            <w:tcW w:w="1701" w:type="dxa"/>
            <w:vAlign w:val="center"/>
          </w:tcPr>
          <w:p w14:paraId="69569480" w14:textId="76303D08" w:rsidR="009B3E58" w:rsidRPr="00933491" w:rsidRDefault="009B3E58" w:rsidP="0056798E">
            <w:pPr>
              <w:jc w:val="center"/>
              <w:rPr>
                <w:rFonts w:ascii="Times New Roman" w:hAnsi="Times New Roman" w:cs="Times New Roman"/>
                <w:sz w:val="20"/>
                <w:szCs w:val="24"/>
              </w:rPr>
            </w:pPr>
            <w:r w:rsidRPr="00933491">
              <w:rPr>
                <w:rFonts w:ascii="Times New Roman" w:eastAsia="Times New Roman" w:hAnsi="Times New Roman" w:cs="Times New Roman"/>
                <w:b/>
                <w:bCs/>
                <w:sz w:val="20"/>
                <w:szCs w:val="20"/>
                <w:lang w:eastAsia="pt-BR"/>
              </w:rPr>
              <w:t>Empresas emissoras</w:t>
            </w:r>
          </w:p>
        </w:tc>
        <w:tc>
          <w:tcPr>
            <w:tcW w:w="1276" w:type="dxa"/>
            <w:vAlign w:val="center"/>
          </w:tcPr>
          <w:p w14:paraId="398BD70E" w14:textId="7B2B4043" w:rsidR="009B3E58" w:rsidRPr="00933491" w:rsidRDefault="003B6F86" w:rsidP="0056798E">
            <w:pPr>
              <w:jc w:val="center"/>
              <w:rPr>
                <w:rFonts w:ascii="Times New Roman" w:hAnsi="Times New Roman" w:cs="Times New Roman"/>
                <w:sz w:val="20"/>
                <w:szCs w:val="24"/>
              </w:rPr>
            </w:pPr>
            <w:proofErr w:type="spellStart"/>
            <w:r w:rsidRPr="00933491">
              <w:rPr>
                <w:rFonts w:ascii="Times New Roman" w:eastAsia="Times New Roman" w:hAnsi="Times New Roman" w:cs="Times New Roman"/>
                <w:b/>
                <w:bCs/>
                <w:sz w:val="20"/>
                <w:szCs w:val="20"/>
                <w:lang w:eastAsia="pt-BR"/>
              </w:rPr>
              <w:t>Papel</w:t>
            </w:r>
            <w:r w:rsidRPr="00933491">
              <w:rPr>
                <w:rFonts w:ascii="Times New Roman" w:eastAsia="Times New Roman" w:hAnsi="Times New Roman" w:cs="Times New Roman"/>
                <w:b/>
                <w:bCs/>
                <w:sz w:val="20"/>
                <w:szCs w:val="20"/>
                <w:vertAlign w:val="superscript"/>
                <w:lang w:eastAsia="pt-BR"/>
              </w:rPr>
              <w:t>a</w:t>
            </w:r>
            <w:proofErr w:type="spellEnd"/>
          </w:p>
        </w:tc>
        <w:tc>
          <w:tcPr>
            <w:tcW w:w="1984" w:type="dxa"/>
            <w:vAlign w:val="center"/>
          </w:tcPr>
          <w:p w14:paraId="44C604C9" w14:textId="4F82C16E" w:rsidR="009B3E58" w:rsidRPr="00933491" w:rsidRDefault="009B3E58" w:rsidP="0056798E">
            <w:pPr>
              <w:jc w:val="center"/>
              <w:rPr>
                <w:rFonts w:ascii="Times New Roman" w:hAnsi="Times New Roman" w:cs="Times New Roman"/>
                <w:sz w:val="20"/>
                <w:szCs w:val="24"/>
              </w:rPr>
            </w:pPr>
            <w:r w:rsidRPr="00933491">
              <w:rPr>
                <w:rFonts w:ascii="Times New Roman" w:eastAsia="Times New Roman" w:hAnsi="Times New Roman" w:cs="Times New Roman"/>
                <w:b/>
                <w:bCs/>
                <w:sz w:val="20"/>
                <w:szCs w:val="20"/>
                <w:lang w:eastAsia="pt-BR"/>
              </w:rPr>
              <w:t>Empresas não emissoras</w:t>
            </w:r>
          </w:p>
        </w:tc>
        <w:tc>
          <w:tcPr>
            <w:tcW w:w="1843" w:type="dxa"/>
            <w:vAlign w:val="center"/>
          </w:tcPr>
          <w:p w14:paraId="7BB25E8B" w14:textId="60B9612C" w:rsidR="009B3E58" w:rsidRPr="00933491" w:rsidRDefault="003B6F86" w:rsidP="0056798E">
            <w:pPr>
              <w:jc w:val="center"/>
              <w:rPr>
                <w:rFonts w:ascii="Times New Roman" w:hAnsi="Times New Roman" w:cs="Times New Roman"/>
                <w:sz w:val="20"/>
                <w:szCs w:val="24"/>
              </w:rPr>
            </w:pPr>
            <w:proofErr w:type="spellStart"/>
            <w:r w:rsidRPr="00933491">
              <w:rPr>
                <w:rFonts w:ascii="Times New Roman" w:eastAsia="Times New Roman" w:hAnsi="Times New Roman" w:cs="Times New Roman"/>
                <w:b/>
                <w:bCs/>
                <w:sz w:val="20"/>
                <w:szCs w:val="20"/>
                <w:lang w:eastAsia="pt-BR"/>
              </w:rPr>
              <w:t>Papel</w:t>
            </w:r>
            <w:r w:rsidRPr="00933491">
              <w:rPr>
                <w:rFonts w:ascii="Times New Roman" w:eastAsia="Times New Roman" w:hAnsi="Times New Roman" w:cs="Times New Roman"/>
                <w:b/>
                <w:bCs/>
                <w:sz w:val="20"/>
                <w:szCs w:val="20"/>
                <w:vertAlign w:val="superscript"/>
                <w:lang w:eastAsia="pt-BR"/>
              </w:rPr>
              <w:t>b</w:t>
            </w:r>
            <w:proofErr w:type="spellEnd"/>
          </w:p>
        </w:tc>
      </w:tr>
      <w:tr w:rsidR="009B3E58" w:rsidRPr="00933491" w14:paraId="0777DE75" w14:textId="77777777" w:rsidTr="00FF724B">
        <w:trPr>
          <w:jc w:val="center"/>
        </w:trPr>
        <w:tc>
          <w:tcPr>
            <w:tcW w:w="1526" w:type="dxa"/>
          </w:tcPr>
          <w:p w14:paraId="6CE57090" w14:textId="09741641" w:rsidR="009B3E58" w:rsidRPr="00CC11DC" w:rsidRDefault="00F67515" w:rsidP="0056798E">
            <w:pPr>
              <w:jc w:val="center"/>
              <w:rPr>
                <w:rFonts w:ascii="Times New Roman" w:hAnsi="Times New Roman" w:cs="Times New Roman"/>
                <w:sz w:val="20"/>
                <w:szCs w:val="24"/>
              </w:rPr>
            </w:pPr>
            <w:r w:rsidRPr="00CC11DC">
              <w:rPr>
                <w:rFonts w:ascii="Times New Roman" w:hAnsi="Times New Roman" w:cs="Times New Roman"/>
                <w:sz w:val="20"/>
                <w:szCs w:val="24"/>
              </w:rPr>
              <w:t>2004</w:t>
            </w:r>
          </w:p>
        </w:tc>
        <w:tc>
          <w:tcPr>
            <w:tcW w:w="1701" w:type="dxa"/>
          </w:tcPr>
          <w:p w14:paraId="391C450A" w14:textId="70ADAAFC" w:rsidR="009B3E58" w:rsidRPr="003E40AC" w:rsidRDefault="00F67515" w:rsidP="0056798E">
            <w:pPr>
              <w:jc w:val="center"/>
              <w:rPr>
                <w:rFonts w:ascii="Times New Roman" w:hAnsi="Times New Roman" w:cs="Times New Roman"/>
                <w:sz w:val="20"/>
                <w:szCs w:val="24"/>
              </w:rPr>
            </w:pPr>
            <w:r w:rsidRPr="003E40AC">
              <w:rPr>
                <w:rFonts w:ascii="Times New Roman" w:hAnsi="Times New Roman" w:cs="Times New Roman"/>
                <w:sz w:val="20"/>
                <w:szCs w:val="24"/>
              </w:rPr>
              <w:t>Bradespar</w:t>
            </w:r>
          </w:p>
        </w:tc>
        <w:tc>
          <w:tcPr>
            <w:tcW w:w="1276" w:type="dxa"/>
          </w:tcPr>
          <w:p w14:paraId="0C916CDF" w14:textId="4F7C132F" w:rsidR="009B3E58" w:rsidRPr="003E40AC" w:rsidRDefault="00F67515" w:rsidP="0056798E">
            <w:pPr>
              <w:jc w:val="center"/>
              <w:rPr>
                <w:rFonts w:ascii="Times New Roman" w:hAnsi="Times New Roman" w:cs="Times New Roman"/>
                <w:sz w:val="20"/>
                <w:szCs w:val="24"/>
              </w:rPr>
            </w:pPr>
            <w:r w:rsidRPr="003E40AC">
              <w:rPr>
                <w:rFonts w:ascii="Times New Roman" w:hAnsi="Times New Roman" w:cs="Times New Roman"/>
                <w:sz w:val="20"/>
                <w:szCs w:val="24"/>
              </w:rPr>
              <w:t>BRAP4</w:t>
            </w:r>
          </w:p>
        </w:tc>
        <w:tc>
          <w:tcPr>
            <w:tcW w:w="1984" w:type="dxa"/>
          </w:tcPr>
          <w:p w14:paraId="420A717E" w14:textId="0D01E212" w:rsidR="009B3E58" w:rsidRPr="00933491" w:rsidRDefault="00F67515" w:rsidP="0056798E">
            <w:pPr>
              <w:jc w:val="center"/>
              <w:rPr>
                <w:rFonts w:ascii="Times New Roman" w:hAnsi="Times New Roman" w:cs="Times New Roman"/>
                <w:sz w:val="20"/>
                <w:szCs w:val="24"/>
              </w:rPr>
            </w:pPr>
            <w:r w:rsidRPr="00933491">
              <w:rPr>
                <w:rFonts w:ascii="Times New Roman" w:hAnsi="Times New Roman" w:cs="Times New Roman"/>
                <w:sz w:val="20"/>
                <w:szCs w:val="24"/>
              </w:rPr>
              <w:t>Jereissati</w:t>
            </w:r>
          </w:p>
        </w:tc>
        <w:tc>
          <w:tcPr>
            <w:tcW w:w="1843" w:type="dxa"/>
          </w:tcPr>
          <w:p w14:paraId="25B0B762" w14:textId="4120B34F" w:rsidR="009B3E58" w:rsidRPr="00933491" w:rsidRDefault="00F67515" w:rsidP="0056798E">
            <w:pPr>
              <w:jc w:val="center"/>
              <w:rPr>
                <w:rFonts w:ascii="Times New Roman" w:hAnsi="Times New Roman" w:cs="Times New Roman"/>
                <w:sz w:val="20"/>
                <w:szCs w:val="24"/>
              </w:rPr>
            </w:pPr>
            <w:r w:rsidRPr="00933491">
              <w:rPr>
                <w:rFonts w:ascii="Times New Roman" w:hAnsi="Times New Roman" w:cs="Times New Roman"/>
                <w:sz w:val="20"/>
                <w:szCs w:val="24"/>
              </w:rPr>
              <w:t>MLFT4</w:t>
            </w:r>
          </w:p>
        </w:tc>
      </w:tr>
      <w:tr w:rsidR="009B3E58" w:rsidRPr="00933491" w14:paraId="710A22DC" w14:textId="77777777" w:rsidTr="00FF724B">
        <w:trPr>
          <w:jc w:val="center"/>
        </w:trPr>
        <w:tc>
          <w:tcPr>
            <w:tcW w:w="1526" w:type="dxa"/>
          </w:tcPr>
          <w:p w14:paraId="1C9DD64B" w14:textId="1E8BAD80" w:rsidR="009B3E58" w:rsidRPr="00CC11DC" w:rsidRDefault="00F67515" w:rsidP="0056798E">
            <w:pPr>
              <w:jc w:val="center"/>
              <w:rPr>
                <w:rFonts w:ascii="Times New Roman" w:hAnsi="Times New Roman" w:cs="Times New Roman"/>
                <w:sz w:val="20"/>
                <w:szCs w:val="24"/>
              </w:rPr>
            </w:pPr>
            <w:r w:rsidRPr="00CC11DC">
              <w:rPr>
                <w:rFonts w:ascii="Times New Roman" w:hAnsi="Times New Roman" w:cs="Times New Roman"/>
                <w:sz w:val="20"/>
                <w:szCs w:val="24"/>
              </w:rPr>
              <w:t>2004</w:t>
            </w:r>
          </w:p>
        </w:tc>
        <w:tc>
          <w:tcPr>
            <w:tcW w:w="1701" w:type="dxa"/>
          </w:tcPr>
          <w:p w14:paraId="6E32C007" w14:textId="0B12EBB7" w:rsidR="009B3E58" w:rsidRPr="003E40AC" w:rsidRDefault="00F67515" w:rsidP="0056798E">
            <w:pPr>
              <w:jc w:val="center"/>
              <w:rPr>
                <w:rFonts w:ascii="Times New Roman" w:hAnsi="Times New Roman" w:cs="Times New Roman"/>
                <w:sz w:val="20"/>
                <w:szCs w:val="24"/>
              </w:rPr>
            </w:pPr>
            <w:r w:rsidRPr="003E40AC">
              <w:rPr>
                <w:rFonts w:ascii="Times New Roman" w:hAnsi="Times New Roman" w:cs="Times New Roman"/>
                <w:sz w:val="20"/>
                <w:szCs w:val="24"/>
              </w:rPr>
              <w:t>Braskem</w:t>
            </w:r>
          </w:p>
        </w:tc>
        <w:tc>
          <w:tcPr>
            <w:tcW w:w="1276" w:type="dxa"/>
          </w:tcPr>
          <w:p w14:paraId="2BFDC302" w14:textId="2BD8681E" w:rsidR="009B3E58" w:rsidRPr="003E40AC" w:rsidRDefault="00F67515" w:rsidP="0056798E">
            <w:pPr>
              <w:jc w:val="center"/>
              <w:rPr>
                <w:rFonts w:ascii="Times New Roman" w:hAnsi="Times New Roman" w:cs="Times New Roman"/>
                <w:sz w:val="20"/>
                <w:szCs w:val="24"/>
              </w:rPr>
            </w:pPr>
            <w:r w:rsidRPr="003E40AC">
              <w:rPr>
                <w:rFonts w:ascii="Times New Roman" w:hAnsi="Times New Roman" w:cs="Times New Roman"/>
                <w:sz w:val="20"/>
                <w:szCs w:val="24"/>
              </w:rPr>
              <w:t>BRKM5</w:t>
            </w:r>
          </w:p>
        </w:tc>
        <w:tc>
          <w:tcPr>
            <w:tcW w:w="1984" w:type="dxa"/>
          </w:tcPr>
          <w:p w14:paraId="412EDDF2" w14:textId="2A8512AD" w:rsidR="009B3E58" w:rsidRPr="00933491" w:rsidRDefault="00F67515" w:rsidP="0056798E">
            <w:pPr>
              <w:jc w:val="center"/>
              <w:rPr>
                <w:rFonts w:ascii="Times New Roman" w:hAnsi="Times New Roman" w:cs="Times New Roman"/>
                <w:sz w:val="20"/>
                <w:szCs w:val="24"/>
              </w:rPr>
            </w:pPr>
            <w:r w:rsidRPr="00933491">
              <w:rPr>
                <w:rFonts w:ascii="Times New Roman" w:hAnsi="Times New Roman" w:cs="Times New Roman"/>
                <w:sz w:val="20"/>
                <w:szCs w:val="24"/>
              </w:rPr>
              <w:t>Sid Nacional</w:t>
            </w:r>
          </w:p>
        </w:tc>
        <w:tc>
          <w:tcPr>
            <w:tcW w:w="1843" w:type="dxa"/>
          </w:tcPr>
          <w:p w14:paraId="3E056BEC" w14:textId="52FCBECE" w:rsidR="009B3E58" w:rsidRPr="00933491" w:rsidRDefault="00F67515" w:rsidP="0056798E">
            <w:pPr>
              <w:jc w:val="center"/>
              <w:rPr>
                <w:rFonts w:ascii="Times New Roman" w:hAnsi="Times New Roman" w:cs="Times New Roman"/>
                <w:sz w:val="20"/>
                <w:szCs w:val="24"/>
              </w:rPr>
            </w:pPr>
            <w:r w:rsidRPr="00933491">
              <w:rPr>
                <w:rFonts w:ascii="Times New Roman" w:hAnsi="Times New Roman" w:cs="Times New Roman"/>
                <w:sz w:val="20"/>
                <w:szCs w:val="24"/>
              </w:rPr>
              <w:t>CSNA3</w:t>
            </w:r>
          </w:p>
        </w:tc>
      </w:tr>
      <w:tr w:rsidR="009B3E58" w:rsidRPr="00933491" w14:paraId="2D1274AC" w14:textId="77777777" w:rsidTr="00FF724B">
        <w:trPr>
          <w:jc w:val="center"/>
        </w:trPr>
        <w:tc>
          <w:tcPr>
            <w:tcW w:w="1526" w:type="dxa"/>
          </w:tcPr>
          <w:p w14:paraId="2CE841DE" w14:textId="65362E44" w:rsidR="009B3E58" w:rsidRPr="00CC11DC" w:rsidRDefault="00F67515" w:rsidP="0056798E">
            <w:pPr>
              <w:jc w:val="center"/>
              <w:rPr>
                <w:rFonts w:ascii="Times New Roman" w:hAnsi="Times New Roman" w:cs="Times New Roman"/>
                <w:sz w:val="20"/>
                <w:szCs w:val="24"/>
              </w:rPr>
            </w:pPr>
            <w:r w:rsidRPr="00CC11DC">
              <w:rPr>
                <w:rFonts w:ascii="Times New Roman" w:hAnsi="Times New Roman" w:cs="Times New Roman"/>
                <w:sz w:val="20"/>
                <w:szCs w:val="24"/>
              </w:rPr>
              <w:t>2004</w:t>
            </w:r>
          </w:p>
        </w:tc>
        <w:tc>
          <w:tcPr>
            <w:tcW w:w="1701" w:type="dxa"/>
          </w:tcPr>
          <w:p w14:paraId="6533A382" w14:textId="16C508E0" w:rsidR="009B3E58" w:rsidRPr="003E40AC" w:rsidRDefault="00F67515" w:rsidP="0056798E">
            <w:pPr>
              <w:jc w:val="center"/>
              <w:rPr>
                <w:rFonts w:ascii="Times New Roman" w:hAnsi="Times New Roman" w:cs="Times New Roman"/>
                <w:sz w:val="20"/>
                <w:szCs w:val="24"/>
              </w:rPr>
            </w:pPr>
            <w:r w:rsidRPr="003E40AC">
              <w:rPr>
                <w:rFonts w:ascii="Times New Roman" w:hAnsi="Times New Roman" w:cs="Times New Roman"/>
                <w:sz w:val="20"/>
                <w:szCs w:val="24"/>
              </w:rPr>
              <w:t xml:space="preserve">Suzano </w:t>
            </w:r>
            <w:proofErr w:type="spellStart"/>
            <w:r w:rsidRPr="003E40AC">
              <w:rPr>
                <w:rFonts w:ascii="Times New Roman" w:hAnsi="Times New Roman" w:cs="Times New Roman"/>
                <w:sz w:val="20"/>
                <w:szCs w:val="24"/>
              </w:rPr>
              <w:t>Petr</w:t>
            </w:r>
            <w:proofErr w:type="spellEnd"/>
          </w:p>
        </w:tc>
        <w:tc>
          <w:tcPr>
            <w:tcW w:w="1276" w:type="dxa"/>
          </w:tcPr>
          <w:p w14:paraId="0914A578" w14:textId="51309B7C" w:rsidR="009B3E58" w:rsidRPr="003E40AC" w:rsidRDefault="00F67515" w:rsidP="0056798E">
            <w:pPr>
              <w:jc w:val="center"/>
              <w:rPr>
                <w:rFonts w:ascii="Times New Roman" w:hAnsi="Times New Roman" w:cs="Times New Roman"/>
                <w:sz w:val="20"/>
                <w:szCs w:val="24"/>
              </w:rPr>
            </w:pPr>
            <w:r w:rsidRPr="003E40AC">
              <w:rPr>
                <w:rFonts w:ascii="Times New Roman" w:hAnsi="Times New Roman" w:cs="Times New Roman"/>
                <w:sz w:val="20"/>
                <w:szCs w:val="24"/>
              </w:rPr>
              <w:t>SZPQ4</w:t>
            </w:r>
          </w:p>
        </w:tc>
        <w:tc>
          <w:tcPr>
            <w:tcW w:w="1984" w:type="dxa"/>
          </w:tcPr>
          <w:p w14:paraId="781CAE01" w14:textId="37042882" w:rsidR="009B3E58" w:rsidRPr="00933491" w:rsidRDefault="00F67515" w:rsidP="0056798E">
            <w:pPr>
              <w:jc w:val="center"/>
              <w:rPr>
                <w:rFonts w:ascii="Times New Roman" w:hAnsi="Times New Roman" w:cs="Times New Roman"/>
                <w:sz w:val="20"/>
                <w:szCs w:val="24"/>
              </w:rPr>
            </w:pPr>
            <w:r w:rsidRPr="00933491">
              <w:rPr>
                <w:rFonts w:ascii="Times New Roman" w:hAnsi="Times New Roman" w:cs="Times New Roman"/>
                <w:sz w:val="20"/>
                <w:szCs w:val="24"/>
              </w:rPr>
              <w:t>Unipar</w:t>
            </w:r>
          </w:p>
        </w:tc>
        <w:tc>
          <w:tcPr>
            <w:tcW w:w="1843" w:type="dxa"/>
          </w:tcPr>
          <w:p w14:paraId="7F4C4C27" w14:textId="77013DDB" w:rsidR="009B3E58" w:rsidRPr="00933491" w:rsidRDefault="00F67515" w:rsidP="0056798E">
            <w:pPr>
              <w:jc w:val="center"/>
              <w:rPr>
                <w:rFonts w:ascii="Times New Roman" w:hAnsi="Times New Roman" w:cs="Times New Roman"/>
                <w:sz w:val="20"/>
                <w:szCs w:val="24"/>
              </w:rPr>
            </w:pPr>
            <w:r w:rsidRPr="00933491">
              <w:rPr>
                <w:rFonts w:ascii="Times New Roman" w:hAnsi="Times New Roman" w:cs="Times New Roman"/>
                <w:sz w:val="20"/>
                <w:szCs w:val="24"/>
              </w:rPr>
              <w:t>UNIP6</w:t>
            </w:r>
          </w:p>
        </w:tc>
      </w:tr>
      <w:tr w:rsidR="00F67515" w:rsidRPr="00933491" w14:paraId="5F23374F" w14:textId="77777777" w:rsidTr="00FF724B">
        <w:trPr>
          <w:jc w:val="center"/>
        </w:trPr>
        <w:tc>
          <w:tcPr>
            <w:tcW w:w="1526" w:type="dxa"/>
          </w:tcPr>
          <w:p w14:paraId="79CEFE02" w14:textId="5FCFC016" w:rsidR="00F67515" w:rsidRPr="00CC11DC" w:rsidRDefault="00F67515" w:rsidP="0056798E">
            <w:pPr>
              <w:jc w:val="center"/>
              <w:rPr>
                <w:rFonts w:ascii="Times New Roman" w:hAnsi="Times New Roman" w:cs="Times New Roman"/>
                <w:sz w:val="20"/>
                <w:szCs w:val="24"/>
              </w:rPr>
            </w:pPr>
            <w:r w:rsidRPr="00CC11DC">
              <w:rPr>
                <w:rFonts w:ascii="Times New Roman" w:hAnsi="Times New Roman" w:cs="Times New Roman"/>
                <w:sz w:val="20"/>
                <w:szCs w:val="24"/>
              </w:rPr>
              <w:t>2005</w:t>
            </w:r>
          </w:p>
        </w:tc>
        <w:tc>
          <w:tcPr>
            <w:tcW w:w="1701" w:type="dxa"/>
          </w:tcPr>
          <w:p w14:paraId="14F38A2A" w14:textId="3A310938" w:rsidR="00F67515" w:rsidRPr="003E40AC" w:rsidRDefault="00F67515" w:rsidP="0056798E">
            <w:pPr>
              <w:jc w:val="center"/>
              <w:rPr>
                <w:rFonts w:ascii="Times New Roman" w:hAnsi="Times New Roman" w:cs="Times New Roman"/>
                <w:sz w:val="20"/>
                <w:szCs w:val="24"/>
              </w:rPr>
            </w:pPr>
            <w:r w:rsidRPr="003E40AC">
              <w:rPr>
                <w:rFonts w:ascii="Times New Roman" w:hAnsi="Times New Roman" w:cs="Times New Roman"/>
                <w:sz w:val="20"/>
                <w:szCs w:val="24"/>
              </w:rPr>
              <w:t>Lojas Renner</w:t>
            </w:r>
          </w:p>
        </w:tc>
        <w:tc>
          <w:tcPr>
            <w:tcW w:w="1276" w:type="dxa"/>
          </w:tcPr>
          <w:p w14:paraId="5E08356A" w14:textId="6FCFC281" w:rsidR="00F67515" w:rsidRPr="003E40AC" w:rsidRDefault="00F67515" w:rsidP="0056798E">
            <w:pPr>
              <w:jc w:val="center"/>
              <w:rPr>
                <w:rFonts w:ascii="Times New Roman" w:hAnsi="Times New Roman" w:cs="Times New Roman"/>
                <w:sz w:val="20"/>
                <w:szCs w:val="24"/>
              </w:rPr>
            </w:pPr>
            <w:r w:rsidRPr="003E40AC">
              <w:rPr>
                <w:rFonts w:ascii="Times New Roman" w:hAnsi="Times New Roman" w:cs="Times New Roman"/>
                <w:sz w:val="20"/>
                <w:szCs w:val="24"/>
              </w:rPr>
              <w:t>LREN3</w:t>
            </w:r>
          </w:p>
        </w:tc>
        <w:tc>
          <w:tcPr>
            <w:tcW w:w="1984" w:type="dxa"/>
          </w:tcPr>
          <w:p w14:paraId="7BF5FA45" w14:textId="57513E78" w:rsidR="00F67515" w:rsidRPr="00933491" w:rsidRDefault="00F67515" w:rsidP="0056798E">
            <w:pPr>
              <w:jc w:val="center"/>
              <w:rPr>
                <w:rFonts w:ascii="Times New Roman" w:hAnsi="Times New Roman" w:cs="Times New Roman"/>
                <w:sz w:val="20"/>
                <w:szCs w:val="24"/>
              </w:rPr>
            </w:pPr>
            <w:r w:rsidRPr="00933491">
              <w:rPr>
                <w:rFonts w:ascii="Times New Roman" w:hAnsi="Times New Roman" w:cs="Times New Roman"/>
                <w:sz w:val="20"/>
                <w:szCs w:val="24"/>
              </w:rPr>
              <w:t xml:space="preserve">Lojas </w:t>
            </w:r>
            <w:proofErr w:type="spellStart"/>
            <w:r w:rsidRPr="00933491">
              <w:rPr>
                <w:rFonts w:ascii="Times New Roman" w:hAnsi="Times New Roman" w:cs="Times New Roman"/>
                <w:sz w:val="20"/>
                <w:szCs w:val="24"/>
              </w:rPr>
              <w:t>Americ</w:t>
            </w:r>
            <w:proofErr w:type="spellEnd"/>
          </w:p>
        </w:tc>
        <w:tc>
          <w:tcPr>
            <w:tcW w:w="1843" w:type="dxa"/>
          </w:tcPr>
          <w:p w14:paraId="268F364F" w14:textId="684566B6" w:rsidR="00F67515" w:rsidRPr="00933491" w:rsidRDefault="00F67515" w:rsidP="0056798E">
            <w:pPr>
              <w:jc w:val="center"/>
              <w:rPr>
                <w:rFonts w:ascii="Times New Roman" w:hAnsi="Times New Roman" w:cs="Times New Roman"/>
                <w:sz w:val="20"/>
                <w:szCs w:val="24"/>
              </w:rPr>
            </w:pPr>
            <w:r w:rsidRPr="00933491">
              <w:rPr>
                <w:rFonts w:ascii="Times New Roman" w:hAnsi="Times New Roman" w:cs="Times New Roman"/>
                <w:sz w:val="20"/>
                <w:szCs w:val="24"/>
              </w:rPr>
              <w:t>LAME4</w:t>
            </w:r>
          </w:p>
        </w:tc>
      </w:tr>
      <w:tr w:rsidR="00F67515" w:rsidRPr="00933491" w14:paraId="1D69EDBA" w14:textId="77777777" w:rsidTr="00FF724B">
        <w:trPr>
          <w:jc w:val="center"/>
        </w:trPr>
        <w:tc>
          <w:tcPr>
            <w:tcW w:w="1526" w:type="dxa"/>
          </w:tcPr>
          <w:p w14:paraId="60AA03B6" w14:textId="0737D3ED" w:rsidR="00F67515" w:rsidRPr="00CC11DC" w:rsidRDefault="00F67515" w:rsidP="0056798E">
            <w:pPr>
              <w:jc w:val="center"/>
              <w:rPr>
                <w:rFonts w:ascii="Times New Roman" w:hAnsi="Times New Roman" w:cs="Times New Roman"/>
                <w:sz w:val="20"/>
                <w:szCs w:val="24"/>
              </w:rPr>
            </w:pPr>
            <w:r w:rsidRPr="00CC11DC">
              <w:rPr>
                <w:rFonts w:ascii="Times New Roman" w:hAnsi="Times New Roman" w:cs="Times New Roman"/>
                <w:sz w:val="20"/>
                <w:szCs w:val="24"/>
              </w:rPr>
              <w:t>2005</w:t>
            </w:r>
          </w:p>
        </w:tc>
        <w:tc>
          <w:tcPr>
            <w:tcW w:w="1701" w:type="dxa"/>
          </w:tcPr>
          <w:p w14:paraId="755D46D7" w14:textId="341EB369" w:rsidR="00F67515" w:rsidRPr="003E40AC" w:rsidRDefault="00F67515" w:rsidP="0056798E">
            <w:pPr>
              <w:jc w:val="center"/>
              <w:rPr>
                <w:rFonts w:ascii="Times New Roman" w:hAnsi="Times New Roman" w:cs="Times New Roman"/>
                <w:sz w:val="20"/>
                <w:szCs w:val="24"/>
              </w:rPr>
            </w:pPr>
            <w:r w:rsidRPr="003E40AC">
              <w:rPr>
                <w:rFonts w:ascii="Times New Roman" w:hAnsi="Times New Roman" w:cs="Times New Roman"/>
                <w:sz w:val="20"/>
                <w:szCs w:val="24"/>
              </w:rPr>
              <w:t>Ultrapar</w:t>
            </w:r>
          </w:p>
        </w:tc>
        <w:tc>
          <w:tcPr>
            <w:tcW w:w="1276" w:type="dxa"/>
          </w:tcPr>
          <w:p w14:paraId="16738B43" w14:textId="4F08089D" w:rsidR="00F67515" w:rsidRPr="003E40AC" w:rsidRDefault="00F67515" w:rsidP="0056798E">
            <w:pPr>
              <w:jc w:val="center"/>
              <w:rPr>
                <w:rFonts w:ascii="Times New Roman" w:hAnsi="Times New Roman" w:cs="Times New Roman"/>
                <w:sz w:val="20"/>
                <w:szCs w:val="24"/>
              </w:rPr>
            </w:pPr>
            <w:r w:rsidRPr="003E40AC">
              <w:rPr>
                <w:rFonts w:ascii="Times New Roman" w:hAnsi="Times New Roman" w:cs="Times New Roman"/>
                <w:sz w:val="20"/>
                <w:szCs w:val="24"/>
              </w:rPr>
              <w:t>UGPA4</w:t>
            </w:r>
          </w:p>
        </w:tc>
        <w:tc>
          <w:tcPr>
            <w:tcW w:w="1984" w:type="dxa"/>
          </w:tcPr>
          <w:p w14:paraId="69B24535" w14:textId="7A9B424A" w:rsidR="00F67515" w:rsidRPr="00933491" w:rsidRDefault="00F67515" w:rsidP="0056798E">
            <w:pPr>
              <w:jc w:val="center"/>
              <w:rPr>
                <w:rFonts w:ascii="Times New Roman" w:hAnsi="Times New Roman" w:cs="Times New Roman"/>
                <w:sz w:val="20"/>
                <w:szCs w:val="24"/>
              </w:rPr>
            </w:pPr>
            <w:r w:rsidRPr="00933491">
              <w:rPr>
                <w:rFonts w:ascii="Times New Roman" w:hAnsi="Times New Roman" w:cs="Times New Roman"/>
                <w:sz w:val="20"/>
                <w:szCs w:val="24"/>
              </w:rPr>
              <w:t xml:space="preserve">M G </w:t>
            </w:r>
            <w:proofErr w:type="spellStart"/>
            <w:r w:rsidRPr="00933491">
              <w:rPr>
                <w:rFonts w:ascii="Times New Roman" w:hAnsi="Times New Roman" w:cs="Times New Roman"/>
                <w:sz w:val="20"/>
                <w:szCs w:val="24"/>
              </w:rPr>
              <w:t>Poliest</w:t>
            </w:r>
            <w:proofErr w:type="spellEnd"/>
          </w:p>
        </w:tc>
        <w:tc>
          <w:tcPr>
            <w:tcW w:w="1843" w:type="dxa"/>
          </w:tcPr>
          <w:p w14:paraId="7715E11C" w14:textId="1FE74B13" w:rsidR="00F67515" w:rsidRPr="00933491" w:rsidRDefault="00F67515" w:rsidP="0056798E">
            <w:pPr>
              <w:jc w:val="center"/>
              <w:rPr>
                <w:rFonts w:ascii="Times New Roman" w:hAnsi="Times New Roman" w:cs="Times New Roman"/>
                <w:sz w:val="20"/>
                <w:szCs w:val="24"/>
              </w:rPr>
            </w:pPr>
            <w:r w:rsidRPr="00933491">
              <w:rPr>
                <w:rFonts w:ascii="Times New Roman" w:hAnsi="Times New Roman" w:cs="Times New Roman"/>
                <w:sz w:val="20"/>
                <w:szCs w:val="24"/>
              </w:rPr>
              <w:t>RHDS3</w:t>
            </w:r>
          </w:p>
        </w:tc>
      </w:tr>
      <w:tr w:rsidR="00F67515" w:rsidRPr="00933491" w14:paraId="5A816840" w14:textId="77777777" w:rsidTr="00FF724B">
        <w:trPr>
          <w:jc w:val="center"/>
        </w:trPr>
        <w:tc>
          <w:tcPr>
            <w:tcW w:w="1526" w:type="dxa"/>
          </w:tcPr>
          <w:p w14:paraId="2F272821" w14:textId="6369EFD7" w:rsidR="00F67515" w:rsidRPr="00CC11DC" w:rsidRDefault="00950214" w:rsidP="0056798E">
            <w:pPr>
              <w:jc w:val="center"/>
              <w:rPr>
                <w:rFonts w:ascii="Times New Roman" w:hAnsi="Times New Roman" w:cs="Times New Roman"/>
                <w:sz w:val="20"/>
                <w:szCs w:val="24"/>
              </w:rPr>
            </w:pPr>
            <w:r w:rsidRPr="00CC11DC">
              <w:rPr>
                <w:rFonts w:ascii="Times New Roman" w:hAnsi="Times New Roman" w:cs="Times New Roman"/>
                <w:sz w:val="20"/>
                <w:szCs w:val="24"/>
              </w:rPr>
              <w:t>2006</w:t>
            </w:r>
          </w:p>
        </w:tc>
        <w:tc>
          <w:tcPr>
            <w:tcW w:w="1701" w:type="dxa"/>
          </w:tcPr>
          <w:p w14:paraId="0C3B5421" w14:textId="2CEED835" w:rsidR="00F67515" w:rsidRPr="003E40AC" w:rsidRDefault="00950214" w:rsidP="0056798E">
            <w:pPr>
              <w:jc w:val="center"/>
              <w:rPr>
                <w:rFonts w:ascii="Times New Roman" w:hAnsi="Times New Roman" w:cs="Times New Roman"/>
                <w:sz w:val="20"/>
                <w:szCs w:val="24"/>
              </w:rPr>
            </w:pPr>
            <w:r w:rsidRPr="003E40AC">
              <w:rPr>
                <w:rFonts w:ascii="Times New Roman" w:hAnsi="Times New Roman" w:cs="Times New Roman"/>
                <w:sz w:val="20"/>
                <w:szCs w:val="24"/>
              </w:rPr>
              <w:t>Cesp</w:t>
            </w:r>
          </w:p>
        </w:tc>
        <w:tc>
          <w:tcPr>
            <w:tcW w:w="1276" w:type="dxa"/>
          </w:tcPr>
          <w:p w14:paraId="5B173D2B" w14:textId="67DBB809" w:rsidR="00F67515" w:rsidRPr="003E40AC" w:rsidRDefault="00950214" w:rsidP="0056798E">
            <w:pPr>
              <w:jc w:val="center"/>
              <w:rPr>
                <w:rFonts w:ascii="Times New Roman" w:hAnsi="Times New Roman" w:cs="Times New Roman"/>
                <w:sz w:val="20"/>
                <w:szCs w:val="24"/>
              </w:rPr>
            </w:pPr>
            <w:r w:rsidRPr="003E40AC">
              <w:rPr>
                <w:rFonts w:ascii="Times New Roman" w:hAnsi="Times New Roman" w:cs="Times New Roman"/>
                <w:sz w:val="20"/>
                <w:szCs w:val="24"/>
              </w:rPr>
              <w:t>CESP6</w:t>
            </w:r>
          </w:p>
        </w:tc>
        <w:tc>
          <w:tcPr>
            <w:tcW w:w="1984" w:type="dxa"/>
          </w:tcPr>
          <w:p w14:paraId="259289E4" w14:textId="7C6CAD95" w:rsidR="00F67515" w:rsidRPr="00933491" w:rsidRDefault="00950214" w:rsidP="0056798E">
            <w:pPr>
              <w:jc w:val="center"/>
              <w:rPr>
                <w:rFonts w:ascii="Times New Roman" w:hAnsi="Times New Roman" w:cs="Times New Roman"/>
                <w:sz w:val="20"/>
                <w:szCs w:val="24"/>
              </w:rPr>
            </w:pPr>
            <w:r w:rsidRPr="00933491">
              <w:rPr>
                <w:rFonts w:ascii="Times New Roman" w:hAnsi="Times New Roman" w:cs="Times New Roman"/>
                <w:sz w:val="20"/>
                <w:szCs w:val="24"/>
              </w:rPr>
              <w:t>Rede Energia</w:t>
            </w:r>
          </w:p>
        </w:tc>
        <w:tc>
          <w:tcPr>
            <w:tcW w:w="1843" w:type="dxa"/>
          </w:tcPr>
          <w:p w14:paraId="01C0BF8E" w14:textId="797B689D" w:rsidR="00F67515" w:rsidRPr="00933491" w:rsidRDefault="00950214" w:rsidP="0056798E">
            <w:pPr>
              <w:jc w:val="center"/>
              <w:rPr>
                <w:rFonts w:ascii="Times New Roman" w:hAnsi="Times New Roman" w:cs="Times New Roman"/>
                <w:sz w:val="20"/>
                <w:szCs w:val="24"/>
              </w:rPr>
            </w:pPr>
            <w:r w:rsidRPr="00933491">
              <w:rPr>
                <w:rFonts w:ascii="Times New Roman" w:hAnsi="Times New Roman" w:cs="Times New Roman"/>
                <w:sz w:val="20"/>
                <w:szCs w:val="24"/>
              </w:rPr>
              <w:t>REDE4</w:t>
            </w:r>
          </w:p>
        </w:tc>
      </w:tr>
      <w:tr w:rsidR="00F67515" w:rsidRPr="00933491" w14:paraId="1C8A278B" w14:textId="77777777" w:rsidTr="00FF724B">
        <w:trPr>
          <w:jc w:val="center"/>
        </w:trPr>
        <w:tc>
          <w:tcPr>
            <w:tcW w:w="1526" w:type="dxa"/>
          </w:tcPr>
          <w:p w14:paraId="0160FCFE" w14:textId="0E69481F" w:rsidR="00F67515" w:rsidRPr="00CC11DC" w:rsidRDefault="00950214" w:rsidP="0056798E">
            <w:pPr>
              <w:jc w:val="center"/>
              <w:rPr>
                <w:rFonts w:ascii="Times New Roman" w:hAnsi="Times New Roman" w:cs="Times New Roman"/>
                <w:sz w:val="20"/>
                <w:szCs w:val="24"/>
              </w:rPr>
            </w:pPr>
            <w:r w:rsidRPr="00CC11DC">
              <w:rPr>
                <w:rFonts w:ascii="Times New Roman" w:hAnsi="Times New Roman" w:cs="Times New Roman"/>
                <w:sz w:val="20"/>
                <w:szCs w:val="24"/>
              </w:rPr>
              <w:t>2006</w:t>
            </w:r>
          </w:p>
        </w:tc>
        <w:tc>
          <w:tcPr>
            <w:tcW w:w="1701" w:type="dxa"/>
          </w:tcPr>
          <w:p w14:paraId="00D63EBF" w14:textId="508DDC9B" w:rsidR="00F67515" w:rsidRPr="003E40AC" w:rsidRDefault="00950214" w:rsidP="0056798E">
            <w:pPr>
              <w:jc w:val="center"/>
              <w:rPr>
                <w:rFonts w:ascii="Times New Roman" w:hAnsi="Times New Roman" w:cs="Times New Roman"/>
                <w:sz w:val="20"/>
                <w:szCs w:val="24"/>
              </w:rPr>
            </w:pPr>
            <w:proofErr w:type="spellStart"/>
            <w:r w:rsidRPr="003E40AC">
              <w:rPr>
                <w:rFonts w:ascii="Times New Roman" w:hAnsi="Times New Roman" w:cs="Times New Roman"/>
                <w:sz w:val="20"/>
                <w:szCs w:val="24"/>
              </w:rPr>
              <w:t>Dasa</w:t>
            </w:r>
            <w:proofErr w:type="spellEnd"/>
          </w:p>
        </w:tc>
        <w:tc>
          <w:tcPr>
            <w:tcW w:w="1276" w:type="dxa"/>
          </w:tcPr>
          <w:p w14:paraId="3631C7C8" w14:textId="360EF248" w:rsidR="00F67515" w:rsidRPr="003E40AC" w:rsidRDefault="00950214" w:rsidP="0056798E">
            <w:pPr>
              <w:jc w:val="center"/>
              <w:rPr>
                <w:rFonts w:ascii="Times New Roman" w:hAnsi="Times New Roman" w:cs="Times New Roman"/>
                <w:sz w:val="20"/>
                <w:szCs w:val="24"/>
              </w:rPr>
            </w:pPr>
            <w:r w:rsidRPr="003E40AC">
              <w:rPr>
                <w:rFonts w:ascii="Times New Roman" w:hAnsi="Times New Roman" w:cs="Times New Roman"/>
                <w:sz w:val="20"/>
                <w:szCs w:val="24"/>
              </w:rPr>
              <w:t>DASA3</w:t>
            </w:r>
          </w:p>
        </w:tc>
        <w:tc>
          <w:tcPr>
            <w:tcW w:w="1984" w:type="dxa"/>
          </w:tcPr>
          <w:p w14:paraId="2ECA10F2" w14:textId="59FEBC70" w:rsidR="00F67515" w:rsidRPr="00933491" w:rsidRDefault="00950214" w:rsidP="0056798E">
            <w:pPr>
              <w:jc w:val="center"/>
              <w:rPr>
                <w:rFonts w:ascii="Times New Roman" w:hAnsi="Times New Roman" w:cs="Times New Roman"/>
                <w:sz w:val="20"/>
                <w:szCs w:val="24"/>
              </w:rPr>
            </w:pPr>
            <w:r w:rsidRPr="00933491">
              <w:rPr>
                <w:rFonts w:ascii="Times New Roman" w:hAnsi="Times New Roman" w:cs="Times New Roman"/>
                <w:sz w:val="20"/>
                <w:szCs w:val="24"/>
              </w:rPr>
              <w:t>Dixie Toga</w:t>
            </w:r>
          </w:p>
        </w:tc>
        <w:tc>
          <w:tcPr>
            <w:tcW w:w="1843" w:type="dxa"/>
          </w:tcPr>
          <w:p w14:paraId="18F8D182" w14:textId="5AE16F7C" w:rsidR="00F67515" w:rsidRPr="00933491" w:rsidRDefault="00950214" w:rsidP="0056798E">
            <w:pPr>
              <w:jc w:val="center"/>
              <w:rPr>
                <w:rFonts w:ascii="Times New Roman" w:hAnsi="Times New Roman" w:cs="Times New Roman"/>
                <w:sz w:val="20"/>
                <w:szCs w:val="24"/>
              </w:rPr>
            </w:pPr>
            <w:r w:rsidRPr="00933491">
              <w:rPr>
                <w:rFonts w:ascii="Times New Roman" w:hAnsi="Times New Roman" w:cs="Times New Roman"/>
                <w:sz w:val="20"/>
                <w:szCs w:val="24"/>
              </w:rPr>
              <w:t>DXTG4</w:t>
            </w:r>
          </w:p>
        </w:tc>
      </w:tr>
      <w:tr w:rsidR="00F67515" w:rsidRPr="00933491" w14:paraId="6D183337" w14:textId="77777777" w:rsidTr="00FF724B">
        <w:trPr>
          <w:jc w:val="center"/>
        </w:trPr>
        <w:tc>
          <w:tcPr>
            <w:tcW w:w="1526" w:type="dxa"/>
          </w:tcPr>
          <w:p w14:paraId="68B74F52" w14:textId="58FC570E" w:rsidR="00F67515" w:rsidRPr="00CC11DC" w:rsidRDefault="00950214" w:rsidP="0056798E">
            <w:pPr>
              <w:jc w:val="center"/>
              <w:rPr>
                <w:rFonts w:ascii="Times New Roman" w:hAnsi="Times New Roman" w:cs="Times New Roman"/>
                <w:sz w:val="20"/>
                <w:szCs w:val="24"/>
              </w:rPr>
            </w:pPr>
            <w:r w:rsidRPr="00CC11DC">
              <w:rPr>
                <w:rFonts w:ascii="Times New Roman" w:hAnsi="Times New Roman" w:cs="Times New Roman"/>
                <w:sz w:val="20"/>
                <w:szCs w:val="24"/>
              </w:rPr>
              <w:t>2006</w:t>
            </w:r>
          </w:p>
        </w:tc>
        <w:tc>
          <w:tcPr>
            <w:tcW w:w="1701" w:type="dxa"/>
          </w:tcPr>
          <w:p w14:paraId="5B6AE098" w14:textId="3D4D796B" w:rsidR="00F67515" w:rsidRPr="003E40AC" w:rsidRDefault="00950214" w:rsidP="0056798E">
            <w:pPr>
              <w:jc w:val="center"/>
              <w:rPr>
                <w:rFonts w:ascii="Times New Roman" w:hAnsi="Times New Roman" w:cs="Times New Roman"/>
                <w:sz w:val="20"/>
                <w:szCs w:val="24"/>
              </w:rPr>
            </w:pPr>
            <w:r w:rsidRPr="003E40AC">
              <w:rPr>
                <w:rFonts w:ascii="Times New Roman" w:hAnsi="Times New Roman" w:cs="Times New Roman"/>
                <w:sz w:val="20"/>
                <w:szCs w:val="24"/>
              </w:rPr>
              <w:t>Duratex</w:t>
            </w:r>
          </w:p>
        </w:tc>
        <w:tc>
          <w:tcPr>
            <w:tcW w:w="1276" w:type="dxa"/>
          </w:tcPr>
          <w:p w14:paraId="2E36FEF6" w14:textId="75BE0D5B" w:rsidR="00F67515" w:rsidRPr="003E40AC" w:rsidRDefault="00950214" w:rsidP="0056798E">
            <w:pPr>
              <w:jc w:val="center"/>
              <w:rPr>
                <w:rFonts w:ascii="Times New Roman" w:hAnsi="Times New Roman" w:cs="Times New Roman"/>
                <w:sz w:val="20"/>
                <w:szCs w:val="24"/>
              </w:rPr>
            </w:pPr>
            <w:r w:rsidRPr="003E40AC">
              <w:rPr>
                <w:rFonts w:ascii="Times New Roman" w:hAnsi="Times New Roman" w:cs="Times New Roman"/>
                <w:sz w:val="20"/>
                <w:szCs w:val="24"/>
              </w:rPr>
              <w:t>DURA3</w:t>
            </w:r>
          </w:p>
        </w:tc>
        <w:tc>
          <w:tcPr>
            <w:tcW w:w="1984" w:type="dxa"/>
          </w:tcPr>
          <w:p w14:paraId="0EDFF1BF" w14:textId="1296715A" w:rsidR="00F67515" w:rsidRPr="00933491" w:rsidRDefault="00950214" w:rsidP="0056798E">
            <w:pPr>
              <w:jc w:val="center"/>
              <w:rPr>
                <w:rFonts w:ascii="Times New Roman" w:hAnsi="Times New Roman" w:cs="Times New Roman"/>
                <w:sz w:val="20"/>
                <w:szCs w:val="24"/>
              </w:rPr>
            </w:pPr>
            <w:r w:rsidRPr="00933491">
              <w:rPr>
                <w:rFonts w:ascii="Times New Roman" w:hAnsi="Times New Roman" w:cs="Times New Roman"/>
                <w:sz w:val="20"/>
                <w:szCs w:val="24"/>
              </w:rPr>
              <w:t>Alpargatas</w:t>
            </w:r>
          </w:p>
        </w:tc>
        <w:tc>
          <w:tcPr>
            <w:tcW w:w="1843" w:type="dxa"/>
          </w:tcPr>
          <w:p w14:paraId="4049DFB7" w14:textId="0368E404" w:rsidR="00F67515" w:rsidRPr="00933491" w:rsidRDefault="00950214" w:rsidP="0056798E">
            <w:pPr>
              <w:jc w:val="center"/>
              <w:rPr>
                <w:rFonts w:ascii="Times New Roman" w:hAnsi="Times New Roman" w:cs="Times New Roman"/>
                <w:sz w:val="20"/>
                <w:szCs w:val="24"/>
              </w:rPr>
            </w:pPr>
            <w:r w:rsidRPr="00933491">
              <w:rPr>
                <w:rFonts w:ascii="Times New Roman" w:hAnsi="Times New Roman" w:cs="Times New Roman"/>
                <w:sz w:val="20"/>
                <w:szCs w:val="24"/>
              </w:rPr>
              <w:t>ALPA4</w:t>
            </w:r>
          </w:p>
        </w:tc>
      </w:tr>
      <w:tr w:rsidR="00F67515" w:rsidRPr="00933491" w14:paraId="5B079173" w14:textId="77777777" w:rsidTr="00FF724B">
        <w:trPr>
          <w:jc w:val="center"/>
        </w:trPr>
        <w:tc>
          <w:tcPr>
            <w:tcW w:w="1526" w:type="dxa"/>
          </w:tcPr>
          <w:p w14:paraId="30163B0F" w14:textId="51B3AFEA" w:rsidR="00F67515" w:rsidRPr="00CC11DC" w:rsidRDefault="00950214" w:rsidP="0056798E">
            <w:pPr>
              <w:jc w:val="center"/>
              <w:rPr>
                <w:rFonts w:ascii="Times New Roman" w:hAnsi="Times New Roman" w:cs="Times New Roman"/>
                <w:sz w:val="20"/>
                <w:szCs w:val="24"/>
              </w:rPr>
            </w:pPr>
            <w:r w:rsidRPr="00CC11DC">
              <w:rPr>
                <w:rFonts w:ascii="Times New Roman" w:hAnsi="Times New Roman" w:cs="Times New Roman"/>
                <w:sz w:val="20"/>
                <w:szCs w:val="24"/>
              </w:rPr>
              <w:t>2006</w:t>
            </w:r>
          </w:p>
        </w:tc>
        <w:tc>
          <w:tcPr>
            <w:tcW w:w="1701" w:type="dxa"/>
          </w:tcPr>
          <w:p w14:paraId="5FE47DCC" w14:textId="00D8AB6E" w:rsidR="00F67515" w:rsidRPr="003E40AC" w:rsidRDefault="00950214" w:rsidP="0056798E">
            <w:pPr>
              <w:jc w:val="center"/>
              <w:rPr>
                <w:rFonts w:ascii="Times New Roman" w:hAnsi="Times New Roman" w:cs="Times New Roman"/>
                <w:sz w:val="20"/>
                <w:szCs w:val="24"/>
              </w:rPr>
            </w:pPr>
            <w:r w:rsidRPr="003E40AC">
              <w:rPr>
                <w:rFonts w:ascii="Times New Roman" w:hAnsi="Times New Roman" w:cs="Times New Roman"/>
                <w:sz w:val="20"/>
                <w:szCs w:val="24"/>
              </w:rPr>
              <w:t>Localiza</w:t>
            </w:r>
          </w:p>
        </w:tc>
        <w:tc>
          <w:tcPr>
            <w:tcW w:w="1276" w:type="dxa"/>
          </w:tcPr>
          <w:p w14:paraId="5BBAE2A9" w14:textId="008AB80E" w:rsidR="00F67515" w:rsidRPr="003E40AC" w:rsidRDefault="00950214" w:rsidP="0056798E">
            <w:pPr>
              <w:jc w:val="center"/>
              <w:rPr>
                <w:rFonts w:ascii="Times New Roman" w:hAnsi="Times New Roman" w:cs="Times New Roman"/>
                <w:sz w:val="20"/>
                <w:szCs w:val="24"/>
              </w:rPr>
            </w:pPr>
            <w:r w:rsidRPr="003E40AC">
              <w:rPr>
                <w:rFonts w:ascii="Times New Roman" w:hAnsi="Times New Roman" w:cs="Times New Roman"/>
                <w:sz w:val="20"/>
                <w:szCs w:val="24"/>
              </w:rPr>
              <w:t>RENT3</w:t>
            </w:r>
          </w:p>
        </w:tc>
        <w:tc>
          <w:tcPr>
            <w:tcW w:w="1984" w:type="dxa"/>
          </w:tcPr>
          <w:p w14:paraId="2B964849" w14:textId="174B59D9" w:rsidR="00F67515" w:rsidRPr="00933491" w:rsidRDefault="00950214" w:rsidP="0056798E">
            <w:pPr>
              <w:jc w:val="center"/>
              <w:rPr>
                <w:rFonts w:ascii="Times New Roman" w:hAnsi="Times New Roman" w:cs="Times New Roman"/>
                <w:sz w:val="20"/>
                <w:szCs w:val="24"/>
              </w:rPr>
            </w:pPr>
            <w:r w:rsidRPr="00933491">
              <w:rPr>
                <w:rFonts w:ascii="Times New Roman" w:hAnsi="Times New Roman" w:cs="Times New Roman"/>
                <w:sz w:val="20"/>
                <w:szCs w:val="24"/>
              </w:rPr>
              <w:t>Ceg</w:t>
            </w:r>
          </w:p>
        </w:tc>
        <w:tc>
          <w:tcPr>
            <w:tcW w:w="1843" w:type="dxa"/>
          </w:tcPr>
          <w:p w14:paraId="3F5FD8A9" w14:textId="36306AA4" w:rsidR="00F67515" w:rsidRPr="00933491" w:rsidRDefault="00950214" w:rsidP="0056798E">
            <w:pPr>
              <w:jc w:val="center"/>
              <w:rPr>
                <w:rFonts w:ascii="Times New Roman" w:hAnsi="Times New Roman" w:cs="Times New Roman"/>
                <w:sz w:val="20"/>
                <w:szCs w:val="24"/>
              </w:rPr>
            </w:pPr>
            <w:r w:rsidRPr="00933491">
              <w:rPr>
                <w:rFonts w:ascii="Times New Roman" w:hAnsi="Times New Roman" w:cs="Times New Roman"/>
                <w:sz w:val="20"/>
                <w:szCs w:val="24"/>
              </w:rPr>
              <w:t>CEGR3</w:t>
            </w:r>
          </w:p>
        </w:tc>
      </w:tr>
      <w:tr w:rsidR="00F67515" w:rsidRPr="00933491" w14:paraId="0A61AA52" w14:textId="77777777" w:rsidTr="00FF724B">
        <w:trPr>
          <w:jc w:val="center"/>
        </w:trPr>
        <w:tc>
          <w:tcPr>
            <w:tcW w:w="1526" w:type="dxa"/>
          </w:tcPr>
          <w:p w14:paraId="0098C255" w14:textId="757074A1" w:rsidR="00F67515" w:rsidRPr="00CC11DC" w:rsidRDefault="00950214" w:rsidP="0056798E">
            <w:pPr>
              <w:jc w:val="center"/>
              <w:rPr>
                <w:rFonts w:ascii="Times New Roman" w:hAnsi="Times New Roman" w:cs="Times New Roman"/>
                <w:sz w:val="20"/>
                <w:szCs w:val="24"/>
              </w:rPr>
            </w:pPr>
            <w:r w:rsidRPr="00CC11DC">
              <w:rPr>
                <w:rFonts w:ascii="Times New Roman" w:hAnsi="Times New Roman" w:cs="Times New Roman"/>
                <w:sz w:val="20"/>
                <w:szCs w:val="24"/>
              </w:rPr>
              <w:t>2006</w:t>
            </w:r>
          </w:p>
        </w:tc>
        <w:tc>
          <w:tcPr>
            <w:tcW w:w="1701" w:type="dxa"/>
          </w:tcPr>
          <w:p w14:paraId="7F63EBA0" w14:textId="7700415D" w:rsidR="00F67515" w:rsidRPr="003E40AC" w:rsidRDefault="00950214" w:rsidP="0056798E">
            <w:pPr>
              <w:jc w:val="center"/>
              <w:rPr>
                <w:rFonts w:ascii="Times New Roman" w:hAnsi="Times New Roman" w:cs="Times New Roman"/>
                <w:sz w:val="20"/>
                <w:szCs w:val="24"/>
              </w:rPr>
            </w:pPr>
            <w:r w:rsidRPr="003E40AC">
              <w:rPr>
                <w:rFonts w:ascii="Times New Roman" w:hAnsi="Times New Roman" w:cs="Times New Roman"/>
                <w:sz w:val="20"/>
                <w:szCs w:val="24"/>
              </w:rPr>
              <w:t xml:space="preserve">Randon </w:t>
            </w:r>
            <w:proofErr w:type="spellStart"/>
            <w:r w:rsidRPr="003E40AC">
              <w:rPr>
                <w:rFonts w:ascii="Times New Roman" w:hAnsi="Times New Roman" w:cs="Times New Roman"/>
                <w:sz w:val="20"/>
                <w:szCs w:val="24"/>
              </w:rPr>
              <w:t>Part</w:t>
            </w:r>
            <w:proofErr w:type="spellEnd"/>
          </w:p>
        </w:tc>
        <w:tc>
          <w:tcPr>
            <w:tcW w:w="1276" w:type="dxa"/>
          </w:tcPr>
          <w:p w14:paraId="37535489" w14:textId="20DA76E7" w:rsidR="00F67515" w:rsidRPr="003E40AC" w:rsidRDefault="00950214" w:rsidP="0056798E">
            <w:pPr>
              <w:jc w:val="center"/>
              <w:rPr>
                <w:rFonts w:ascii="Times New Roman" w:hAnsi="Times New Roman" w:cs="Times New Roman"/>
                <w:sz w:val="20"/>
                <w:szCs w:val="24"/>
              </w:rPr>
            </w:pPr>
            <w:r w:rsidRPr="003E40AC">
              <w:rPr>
                <w:rFonts w:ascii="Times New Roman" w:hAnsi="Times New Roman" w:cs="Times New Roman"/>
                <w:sz w:val="20"/>
                <w:szCs w:val="24"/>
              </w:rPr>
              <w:t>RAPT4</w:t>
            </w:r>
          </w:p>
        </w:tc>
        <w:tc>
          <w:tcPr>
            <w:tcW w:w="1984" w:type="dxa"/>
          </w:tcPr>
          <w:p w14:paraId="12DED115" w14:textId="7B09F558" w:rsidR="00F67515" w:rsidRPr="00933491" w:rsidRDefault="00950214" w:rsidP="0056798E">
            <w:pPr>
              <w:jc w:val="center"/>
              <w:rPr>
                <w:rFonts w:ascii="Times New Roman" w:hAnsi="Times New Roman" w:cs="Times New Roman"/>
                <w:sz w:val="20"/>
                <w:szCs w:val="24"/>
              </w:rPr>
            </w:pPr>
            <w:r w:rsidRPr="00933491">
              <w:rPr>
                <w:rFonts w:ascii="Times New Roman" w:hAnsi="Times New Roman" w:cs="Times New Roman"/>
                <w:sz w:val="20"/>
                <w:szCs w:val="24"/>
              </w:rPr>
              <w:t>Marcopolo</w:t>
            </w:r>
          </w:p>
        </w:tc>
        <w:tc>
          <w:tcPr>
            <w:tcW w:w="1843" w:type="dxa"/>
          </w:tcPr>
          <w:p w14:paraId="0907C6C8" w14:textId="37E11A1E" w:rsidR="00F67515" w:rsidRPr="00933491" w:rsidRDefault="00950214" w:rsidP="0056798E">
            <w:pPr>
              <w:jc w:val="center"/>
              <w:rPr>
                <w:rFonts w:ascii="Times New Roman" w:hAnsi="Times New Roman" w:cs="Times New Roman"/>
                <w:sz w:val="20"/>
                <w:szCs w:val="24"/>
              </w:rPr>
            </w:pPr>
            <w:r w:rsidRPr="00933491">
              <w:rPr>
                <w:rFonts w:ascii="Times New Roman" w:hAnsi="Times New Roman" w:cs="Times New Roman"/>
                <w:sz w:val="20"/>
                <w:szCs w:val="24"/>
              </w:rPr>
              <w:t>POMO4</w:t>
            </w:r>
          </w:p>
        </w:tc>
      </w:tr>
      <w:tr w:rsidR="00950214" w:rsidRPr="00933491" w14:paraId="585F8C9D" w14:textId="77777777" w:rsidTr="00FF724B">
        <w:trPr>
          <w:jc w:val="center"/>
        </w:trPr>
        <w:tc>
          <w:tcPr>
            <w:tcW w:w="1526" w:type="dxa"/>
          </w:tcPr>
          <w:p w14:paraId="3EC17703" w14:textId="2FEECAAB" w:rsidR="00950214" w:rsidRPr="00CC11DC" w:rsidRDefault="007B13E3" w:rsidP="0056798E">
            <w:pPr>
              <w:jc w:val="center"/>
              <w:rPr>
                <w:rFonts w:ascii="Times New Roman" w:hAnsi="Times New Roman" w:cs="Times New Roman"/>
                <w:sz w:val="20"/>
                <w:szCs w:val="24"/>
              </w:rPr>
            </w:pPr>
            <w:r w:rsidRPr="00CC11DC">
              <w:rPr>
                <w:rFonts w:ascii="Times New Roman" w:hAnsi="Times New Roman" w:cs="Times New Roman"/>
                <w:sz w:val="20"/>
                <w:szCs w:val="24"/>
              </w:rPr>
              <w:t>2006</w:t>
            </w:r>
          </w:p>
        </w:tc>
        <w:tc>
          <w:tcPr>
            <w:tcW w:w="1701" w:type="dxa"/>
          </w:tcPr>
          <w:p w14:paraId="1EFF9305" w14:textId="4518AC5A" w:rsidR="00950214" w:rsidRPr="003E40AC" w:rsidRDefault="007B13E3" w:rsidP="0056798E">
            <w:pPr>
              <w:jc w:val="center"/>
              <w:rPr>
                <w:rFonts w:ascii="Times New Roman" w:hAnsi="Times New Roman" w:cs="Times New Roman"/>
                <w:sz w:val="20"/>
                <w:szCs w:val="24"/>
              </w:rPr>
            </w:pPr>
            <w:r w:rsidRPr="003E40AC">
              <w:rPr>
                <w:rFonts w:ascii="Times New Roman" w:hAnsi="Times New Roman" w:cs="Times New Roman"/>
                <w:sz w:val="20"/>
                <w:szCs w:val="24"/>
              </w:rPr>
              <w:t>São Carlos</w:t>
            </w:r>
          </w:p>
        </w:tc>
        <w:tc>
          <w:tcPr>
            <w:tcW w:w="1276" w:type="dxa"/>
          </w:tcPr>
          <w:p w14:paraId="4DB7F3FE" w14:textId="5725902E" w:rsidR="00950214" w:rsidRPr="003E40AC" w:rsidRDefault="007B13E3" w:rsidP="0056798E">
            <w:pPr>
              <w:jc w:val="center"/>
              <w:rPr>
                <w:rFonts w:ascii="Times New Roman" w:hAnsi="Times New Roman" w:cs="Times New Roman"/>
                <w:sz w:val="20"/>
                <w:szCs w:val="24"/>
              </w:rPr>
            </w:pPr>
            <w:r w:rsidRPr="003E40AC">
              <w:rPr>
                <w:rFonts w:ascii="Times New Roman" w:hAnsi="Times New Roman" w:cs="Times New Roman"/>
                <w:sz w:val="20"/>
                <w:szCs w:val="24"/>
              </w:rPr>
              <w:t>SCAR3</w:t>
            </w:r>
          </w:p>
        </w:tc>
        <w:tc>
          <w:tcPr>
            <w:tcW w:w="1984" w:type="dxa"/>
          </w:tcPr>
          <w:p w14:paraId="25183490" w14:textId="1931E47B" w:rsidR="00950214" w:rsidRPr="00933491" w:rsidRDefault="007B13E3" w:rsidP="0056798E">
            <w:pPr>
              <w:jc w:val="center"/>
              <w:rPr>
                <w:rFonts w:ascii="Times New Roman" w:hAnsi="Times New Roman" w:cs="Times New Roman"/>
                <w:sz w:val="20"/>
                <w:szCs w:val="24"/>
              </w:rPr>
            </w:pPr>
            <w:r w:rsidRPr="00933491">
              <w:rPr>
                <w:rFonts w:ascii="Times New Roman" w:hAnsi="Times New Roman" w:cs="Times New Roman"/>
                <w:sz w:val="20"/>
                <w:szCs w:val="24"/>
              </w:rPr>
              <w:t>Sultepa</w:t>
            </w:r>
          </w:p>
        </w:tc>
        <w:tc>
          <w:tcPr>
            <w:tcW w:w="1843" w:type="dxa"/>
          </w:tcPr>
          <w:p w14:paraId="2CA53142" w14:textId="3F1457DE" w:rsidR="00950214" w:rsidRPr="00933491" w:rsidRDefault="007B13E3" w:rsidP="0056798E">
            <w:pPr>
              <w:jc w:val="center"/>
              <w:rPr>
                <w:rFonts w:ascii="Times New Roman" w:hAnsi="Times New Roman" w:cs="Times New Roman"/>
                <w:sz w:val="20"/>
                <w:szCs w:val="24"/>
              </w:rPr>
            </w:pPr>
            <w:r w:rsidRPr="00933491">
              <w:rPr>
                <w:rFonts w:ascii="Times New Roman" w:hAnsi="Times New Roman" w:cs="Times New Roman"/>
                <w:sz w:val="20"/>
                <w:szCs w:val="24"/>
              </w:rPr>
              <w:t>SULT4</w:t>
            </w:r>
          </w:p>
        </w:tc>
      </w:tr>
      <w:tr w:rsidR="00950214" w:rsidRPr="00933491" w14:paraId="65BCA241" w14:textId="77777777" w:rsidTr="00FF724B">
        <w:trPr>
          <w:jc w:val="center"/>
        </w:trPr>
        <w:tc>
          <w:tcPr>
            <w:tcW w:w="1526" w:type="dxa"/>
          </w:tcPr>
          <w:p w14:paraId="22786A5D" w14:textId="76E1DE81" w:rsidR="00950214" w:rsidRPr="00CC11DC" w:rsidRDefault="007B13E3" w:rsidP="0056798E">
            <w:pPr>
              <w:jc w:val="center"/>
              <w:rPr>
                <w:rFonts w:ascii="Times New Roman" w:hAnsi="Times New Roman" w:cs="Times New Roman"/>
                <w:sz w:val="20"/>
                <w:szCs w:val="24"/>
              </w:rPr>
            </w:pPr>
            <w:r w:rsidRPr="00CC11DC">
              <w:rPr>
                <w:rFonts w:ascii="Times New Roman" w:hAnsi="Times New Roman" w:cs="Times New Roman"/>
                <w:sz w:val="20"/>
                <w:szCs w:val="24"/>
              </w:rPr>
              <w:t>2006</w:t>
            </w:r>
          </w:p>
        </w:tc>
        <w:tc>
          <w:tcPr>
            <w:tcW w:w="1701" w:type="dxa"/>
          </w:tcPr>
          <w:p w14:paraId="009545B6" w14:textId="17EE8531" w:rsidR="00950214" w:rsidRPr="003E40AC" w:rsidRDefault="007B13E3" w:rsidP="0056798E">
            <w:pPr>
              <w:jc w:val="center"/>
              <w:rPr>
                <w:rFonts w:ascii="Times New Roman" w:hAnsi="Times New Roman" w:cs="Times New Roman"/>
                <w:sz w:val="20"/>
                <w:szCs w:val="24"/>
              </w:rPr>
            </w:pPr>
            <w:r w:rsidRPr="003E40AC">
              <w:rPr>
                <w:rFonts w:ascii="Times New Roman" w:hAnsi="Times New Roman" w:cs="Times New Roman"/>
                <w:sz w:val="20"/>
                <w:szCs w:val="24"/>
              </w:rPr>
              <w:t xml:space="preserve">Saraiva </w:t>
            </w:r>
            <w:proofErr w:type="spellStart"/>
            <w:r w:rsidRPr="003E40AC">
              <w:rPr>
                <w:rFonts w:ascii="Times New Roman" w:hAnsi="Times New Roman" w:cs="Times New Roman"/>
                <w:sz w:val="20"/>
                <w:szCs w:val="24"/>
              </w:rPr>
              <w:t>Livr</w:t>
            </w:r>
            <w:proofErr w:type="spellEnd"/>
          </w:p>
        </w:tc>
        <w:tc>
          <w:tcPr>
            <w:tcW w:w="1276" w:type="dxa"/>
          </w:tcPr>
          <w:p w14:paraId="799FF503" w14:textId="6B89B60C" w:rsidR="00950214" w:rsidRPr="003E40AC" w:rsidRDefault="007B13E3" w:rsidP="0056798E">
            <w:pPr>
              <w:jc w:val="center"/>
              <w:rPr>
                <w:rFonts w:ascii="Times New Roman" w:hAnsi="Times New Roman" w:cs="Times New Roman"/>
                <w:sz w:val="20"/>
                <w:szCs w:val="24"/>
              </w:rPr>
            </w:pPr>
            <w:r w:rsidRPr="003E40AC">
              <w:rPr>
                <w:rFonts w:ascii="Times New Roman" w:hAnsi="Times New Roman" w:cs="Times New Roman"/>
                <w:sz w:val="20"/>
                <w:szCs w:val="24"/>
              </w:rPr>
              <w:t>SLED4</w:t>
            </w:r>
          </w:p>
        </w:tc>
        <w:tc>
          <w:tcPr>
            <w:tcW w:w="1984" w:type="dxa"/>
          </w:tcPr>
          <w:p w14:paraId="08876024" w14:textId="7C27B3EA" w:rsidR="00950214" w:rsidRPr="00933491" w:rsidRDefault="007B13E3" w:rsidP="0056798E">
            <w:pPr>
              <w:jc w:val="center"/>
              <w:rPr>
                <w:rFonts w:ascii="Times New Roman" w:hAnsi="Times New Roman" w:cs="Times New Roman"/>
                <w:sz w:val="20"/>
                <w:szCs w:val="24"/>
              </w:rPr>
            </w:pPr>
            <w:proofErr w:type="spellStart"/>
            <w:r w:rsidRPr="00933491">
              <w:rPr>
                <w:rFonts w:ascii="Times New Roman" w:hAnsi="Times New Roman" w:cs="Times New Roman"/>
                <w:sz w:val="20"/>
                <w:szCs w:val="24"/>
              </w:rPr>
              <w:t>Amazonia</w:t>
            </w:r>
            <w:proofErr w:type="spellEnd"/>
            <w:r w:rsidRPr="00933491">
              <w:rPr>
                <w:rFonts w:ascii="Times New Roman" w:hAnsi="Times New Roman" w:cs="Times New Roman"/>
                <w:sz w:val="20"/>
                <w:szCs w:val="24"/>
              </w:rPr>
              <w:t xml:space="preserve"> Celular</w:t>
            </w:r>
          </w:p>
        </w:tc>
        <w:tc>
          <w:tcPr>
            <w:tcW w:w="1843" w:type="dxa"/>
          </w:tcPr>
          <w:p w14:paraId="4C80013F" w14:textId="29D34576" w:rsidR="00950214" w:rsidRPr="00933491" w:rsidRDefault="007B13E3" w:rsidP="0056798E">
            <w:pPr>
              <w:jc w:val="center"/>
              <w:rPr>
                <w:rFonts w:ascii="Times New Roman" w:hAnsi="Times New Roman" w:cs="Times New Roman"/>
                <w:sz w:val="20"/>
                <w:szCs w:val="24"/>
              </w:rPr>
            </w:pPr>
            <w:r w:rsidRPr="00933491">
              <w:rPr>
                <w:rFonts w:ascii="Times New Roman" w:hAnsi="Times New Roman" w:cs="Times New Roman"/>
                <w:sz w:val="20"/>
                <w:szCs w:val="24"/>
              </w:rPr>
              <w:t>TMAC8B</w:t>
            </w:r>
          </w:p>
        </w:tc>
      </w:tr>
      <w:tr w:rsidR="00950214" w:rsidRPr="00933491" w14:paraId="724211FA" w14:textId="77777777" w:rsidTr="00FF724B">
        <w:trPr>
          <w:jc w:val="center"/>
        </w:trPr>
        <w:tc>
          <w:tcPr>
            <w:tcW w:w="1526" w:type="dxa"/>
          </w:tcPr>
          <w:p w14:paraId="263DBE36" w14:textId="295B196A" w:rsidR="00950214" w:rsidRPr="00CC11DC" w:rsidRDefault="007B13E3" w:rsidP="0056798E">
            <w:pPr>
              <w:jc w:val="center"/>
              <w:rPr>
                <w:rFonts w:ascii="Times New Roman" w:hAnsi="Times New Roman" w:cs="Times New Roman"/>
                <w:sz w:val="20"/>
                <w:szCs w:val="24"/>
              </w:rPr>
            </w:pPr>
            <w:r w:rsidRPr="00CC11DC">
              <w:rPr>
                <w:rFonts w:ascii="Times New Roman" w:hAnsi="Times New Roman" w:cs="Times New Roman"/>
                <w:sz w:val="20"/>
                <w:szCs w:val="24"/>
              </w:rPr>
              <w:t>2006</w:t>
            </w:r>
          </w:p>
        </w:tc>
        <w:tc>
          <w:tcPr>
            <w:tcW w:w="1701" w:type="dxa"/>
          </w:tcPr>
          <w:p w14:paraId="29B6E626" w14:textId="6475973A" w:rsidR="00950214" w:rsidRPr="003E40AC" w:rsidRDefault="007B13E3" w:rsidP="0056798E">
            <w:pPr>
              <w:jc w:val="center"/>
              <w:rPr>
                <w:rFonts w:ascii="Times New Roman" w:hAnsi="Times New Roman" w:cs="Times New Roman"/>
                <w:sz w:val="20"/>
                <w:szCs w:val="24"/>
              </w:rPr>
            </w:pPr>
            <w:r w:rsidRPr="003E40AC">
              <w:rPr>
                <w:rFonts w:ascii="Times New Roman" w:hAnsi="Times New Roman" w:cs="Times New Roman"/>
                <w:sz w:val="20"/>
                <w:szCs w:val="24"/>
              </w:rPr>
              <w:t>Submarino</w:t>
            </w:r>
          </w:p>
        </w:tc>
        <w:tc>
          <w:tcPr>
            <w:tcW w:w="1276" w:type="dxa"/>
          </w:tcPr>
          <w:p w14:paraId="68A8130C" w14:textId="62D45B0D" w:rsidR="00950214" w:rsidRPr="003E40AC" w:rsidRDefault="007B13E3" w:rsidP="0056798E">
            <w:pPr>
              <w:jc w:val="center"/>
              <w:rPr>
                <w:rFonts w:ascii="Times New Roman" w:hAnsi="Times New Roman" w:cs="Times New Roman"/>
                <w:sz w:val="20"/>
                <w:szCs w:val="24"/>
              </w:rPr>
            </w:pPr>
            <w:r w:rsidRPr="003E40AC">
              <w:rPr>
                <w:rFonts w:ascii="Times New Roman" w:hAnsi="Times New Roman" w:cs="Times New Roman"/>
                <w:sz w:val="20"/>
                <w:szCs w:val="24"/>
              </w:rPr>
              <w:t>SUBA3</w:t>
            </w:r>
          </w:p>
        </w:tc>
        <w:tc>
          <w:tcPr>
            <w:tcW w:w="1984" w:type="dxa"/>
          </w:tcPr>
          <w:p w14:paraId="12EFABFF" w14:textId="6E822A96" w:rsidR="00950214" w:rsidRPr="00933491" w:rsidRDefault="007B13E3" w:rsidP="0056798E">
            <w:pPr>
              <w:jc w:val="center"/>
              <w:rPr>
                <w:rFonts w:ascii="Times New Roman" w:hAnsi="Times New Roman" w:cs="Times New Roman"/>
                <w:sz w:val="20"/>
                <w:szCs w:val="24"/>
              </w:rPr>
            </w:pPr>
            <w:proofErr w:type="spellStart"/>
            <w:r w:rsidRPr="00933491">
              <w:rPr>
                <w:rFonts w:ascii="Times New Roman" w:hAnsi="Times New Roman" w:cs="Times New Roman"/>
                <w:sz w:val="20"/>
                <w:szCs w:val="24"/>
              </w:rPr>
              <w:t>Wlm</w:t>
            </w:r>
            <w:proofErr w:type="spellEnd"/>
            <w:r w:rsidRPr="00933491">
              <w:rPr>
                <w:rFonts w:ascii="Times New Roman" w:hAnsi="Times New Roman" w:cs="Times New Roman"/>
                <w:sz w:val="20"/>
                <w:szCs w:val="24"/>
              </w:rPr>
              <w:t xml:space="preserve"> </w:t>
            </w:r>
            <w:proofErr w:type="spellStart"/>
            <w:r w:rsidRPr="00933491">
              <w:rPr>
                <w:rFonts w:ascii="Times New Roman" w:hAnsi="Times New Roman" w:cs="Times New Roman"/>
                <w:sz w:val="20"/>
                <w:szCs w:val="24"/>
              </w:rPr>
              <w:t>Ind</w:t>
            </w:r>
            <w:proofErr w:type="spellEnd"/>
            <w:r w:rsidRPr="00933491">
              <w:rPr>
                <w:rFonts w:ascii="Times New Roman" w:hAnsi="Times New Roman" w:cs="Times New Roman"/>
                <w:sz w:val="20"/>
                <w:szCs w:val="24"/>
              </w:rPr>
              <w:t xml:space="preserve"> Com</w:t>
            </w:r>
          </w:p>
        </w:tc>
        <w:tc>
          <w:tcPr>
            <w:tcW w:w="1843" w:type="dxa"/>
          </w:tcPr>
          <w:p w14:paraId="0FA61A0D" w14:textId="1F76BDC6" w:rsidR="00950214" w:rsidRPr="00933491" w:rsidRDefault="007B13E3" w:rsidP="0056798E">
            <w:pPr>
              <w:jc w:val="center"/>
              <w:rPr>
                <w:rFonts w:ascii="Times New Roman" w:hAnsi="Times New Roman" w:cs="Times New Roman"/>
                <w:sz w:val="20"/>
                <w:szCs w:val="24"/>
              </w:rPr>
            </w:pPr>
            <w:r w:rsidRPr="00933491">
              <w:rPr>
                <w:rFonts w:ascii="Times New Roman" w:hAnsi="Times New Roman" w:cs="Times New Roman"/>
                <w:sz w:val="20"/>
                <w:szCs w:val="24"/>
              </w:rPr>
              <w:t>SGAS4</w:t>
            </w:r>
          </w:p>
        </w:tc>
      </w:tr>
      <w:tr w:rsidR="00950214" w:rsidRPr="00933491" w14:paraId="05530120" w14:textId="77777777" w:rsidTr="00FF724B">
        <w:trPr>
          <w:jc w:val="center"/>
        </w:trPr>
        <w:tc>
          <w:tcPr>
            <w:tcW w:w="1526" w:type="dxa"/>
          </w:tcPr>
          <w:p w14:paraId="60A86FB8" w14:textId="36DA2E00" w:rsidR="00950214" w:rsidRPr="00CC11DC" w:rsidRDefault="007B13E3" w:rsidP="0056798E">
            <w:pPr>
              <w:jc w:val="center"/>
              <w:rPr>
                <w:rFonts w:ascii="Times New Roman" w:hAnsi="Times New Roman" w:cs="Times New Roman"/>
                <w:sz w:val="20"/>
                <w:szCs w:val="24"/>
              </w:rPr>
            </w:pPr>
            <w:r w:rsidRPr="00CC11DC">
              <w:rPr>
                <w:rFonts w:ascii="Times New Roman" w:hAnsi="Times New Roman" w:cs="Times New Roman"/>
                <w:sz w:val="20"/>
                <w:szCs w:val="24"/>
              </w:rPr>
              <w:t>2006</w:t>
            </w:r>
          </w:p>
        </w:tc>
        <w:tc>
          <w:tcPr>
            <w:tcW w:w="1701" w:type="dxa"/>
          </w:tcPr>
          <w:p w14:paraId="38D2C408" w14:textId="182F2E1E" w:rsidR="00950214" w:rsidRPr="003E40AC" w:rsidRDefault="007B13E3" w:rsidP="0056798E">
            <w:pPr>
              <w:jc w:val="center"/>
              <w:rPr>
                <w:rFonts w:ascii="Times New Roman" w:hAnsi="Times New Roman" w:cs="Times New Roman"/>
                <w:sz w:val="20"/>
                <w:szCs w:val="24"/>
              </w:rPr>
            </w:pPr>
            <w:proofErr w:type="spellStart"/>
            <w:r w:rsidRPr="003E40AC">
              <w:rPr>
                <w:rFonts w:ascii="Times New Roman" w:hAnsi="Times New Roman" w:cs="Times New Roman"/>
                <w:sz w:val="20"/>
                <w:szCs w:val="24"/>
              </w:rPr>
              <w:t>Tam</w:t>
            </w:r>
            <w:proofErr w:type="spellEnd"/>
            <w:r w:rsidRPr="003E40AC">
              <w:rPr>
                <w:rFonts w:ascii="Times New Roman" w:hAnsi="Times New Roman" w:cs="Times New Roman"/>
                <w:sz w:val="20"/>
                <w:szCs w:val="24"/>
              </w:rPr>
              <w:t xml:space="preserve"> S/A</w:t>
            </w:r>
          </w:p>
        </w:tc>
        <w:tc>
          <w:tcPr>
            <w:tcW w:w="1276" w:type="dxa"/>
          </w:tcPr>
          <w:p w14:paraId="08B726C0" w14:textId="0AD1D49F" w:rsidR="00950214" w:rsidRPr="003E40AC" w:rsidRDefault="007B13E3" w:rsidP="0056798E">
            <w:pPr>
              <w:jc w:val="center"/>
              <w:rPr>
                <w:rFonts w:ascii="Times New Roman" w:hAnsi="Times New Roman" w:cs="Times New Roman"/>
                <w:sz w:val="20"/>
                <w:szCs w:val="24"/>
              </w:rPr>
            </w:pPr>
            <w:r w:rsidRPr="003E40AC">
              <w:rPr>
                <w:rFonts w:ascii="Times New Roman" w:hAnsi="Times New Roman" w:cs="Times New Roman"/>
                <w:sz w:val="20"/>
                <w:szCs w:val="24"/>
              </w:rPr>
              <w:t>TAMM4</w:t>
            </w:r>
          </w:p>
        </w:tc>
        <w:tc>
          <w:tcPr>
            <w:tcW w:w="1984" w:type="dxa"/>
          </w:tcPr>
          <w:p w14:paraId="75563DEF" w14:textId="47FD9352" w:rsidR="00950214" w:rsidRPr="00933491" w:rsidRDefault="007B13E3" w:rsidP="0056798E">
            <w:pPr>
              <w:jc w:val="center"/>
              <w:rPr>
                <w:rFonts w:ascii="Times New Roman" w:hAnsi="Times New Roman" w:cs="Times New Roman"/>
                <w:sz w:val="20"/>
                <w:szCs w:val="24"/>
              </w:rPr>
            </w:pPr>
            <w:r w:rsidRPr="00933491">
              <w:rPr>
                <w:rFonts w:ascii="Times New Roman" w:hAnsi="Times New Roman" w:cs="Times New Roman"/>
                <w:sz w:val="20"/>
                <w:szCs w:val="24"/>
              </w:rPr>
              <w:t>Mendes Jr</w:t>
            </w:r>
          </w:p>
        </w:tc>
        <w:tc>
          <w:tcPr>
            <w:tcW w:w="1843" w:type="dxa"/>
          </w:tcPr>
          <w:p w14:paraId="0892DDC8" w14:textId="5F6167DB" w:rsidR="00950214" w:rsidRPr="00933491" w:rsidRDefault="007B13E3" w:rsidP="0056798E">
            <w:pPr>
              <w:jc w:val="center"/>
              <w:rPr>
                <w:rFonts w:ascii="Times New Roman" w:hAnsi="Times New Roman" w:cs="Times New Roman"/>
                <w:sz w:val="20"/>
                <w:szCs w:val="24"/>
              </w:rPr>
            </w:pPr>
            <w:r w:rsidRPr="00933491">
              <w:rPr>
                <w:rFonts w:ascii="Times New Roman" w:hAnsi="Times New Roman" w:cs="Times New Roman"/>
                <w:sz w:val="20"/>
                <w:szCs w:val="24"/>
              </w:rPr>
              <w:t>MEND6</w:t>
            </w:r>
          </w:p>
        </w:tc>
      </w:tr>
      <w:tr w:rsidR="00950214" w:rsidRPr="00933491" w14:paraId="43D78A76" w14:textId="77777777" w:rsidTr="00FF724B">
        <w:trPr>
          <w:jc w:val="center"/>
        </w:trPr>
        <w:tc>
          <w:tcPr>
            <w:tcW w:w="1526" w:type="dxa"/>
          </w:tcPr>
          <w:p w14:paraId="77BD9126" w14:textId="6B238FFD" w:rsidR="00950214" w:rsidRPr="00CC11DC" w:rsidRDefault="007B13E3" w:rsidP="0056798E">
            <w:pPr>
              <w:jc w:val="center"/>
              <w:rPr>
                <w:rFonts w:ascii="Times New Roman" w:hAnsi="Times New Roman" w:cs="Times New Roman"/>
                <w:sz w:val="20"/>
                <w:szCs w:val="24"/>
              </w:rPr>
            </w:pPr>
            <w:r w:rsidRPr="00CC11DC">
              <w:rPr>
                <w:rFonts w:ascii="Times New Roman" w:hAnsi="Times New Roman" w:cs="Times New Roman"/>
                <w:sz w:val="20"/>
                <w:szCs w:val="24"/>
              </w:rPr>
              <w:t>2007</w:t>
            </w:r>
          </w:p>
        </w:tc>
        <w:tc>
          <w:tcPr>
            <w:tcW w:w="1701" w:type="dxa"/>
          </w:tcPr>
          <w:p w14:paraId="3E7644C8" w14:textId="1088CE0B" w:rsidR="00950214" w:rsidRPr="003E40AC" w:rsidRDefault="007B13E3" w:rsidP="0056798E">
            <w:pPr>
              <w:jc w:val="center"/>
              <w:rPr>
                <w:rFonts w:ascii="Times New Roman" w:hAnsi="Times New Roman" w:cs="Times New Roman"/>
                <w:sz w:val="20"/>
                <w:szCs w:val="24"/>
              </w:rPr>
            </w:pPr>
            <w:r w:rsidRPr="003E40AC">
              <w:rPr>
                <w:rFonts w:ascii="Times New Roman" w:hAnsi="Times New Roman" w:cs="Times New Roman"/>
                <w:sz w:val="20"/>
                <w:szCs w:val="24"/>
              </w:rPr>
              <w:t>Cia Hering</w:t>
            </w:r>
          </w:p>
        </w:tc>
        <w:tc>
          <w:tcPr>
            <w:tcW w:w="1276" w:type="dxa"/>
          </w:tcPr>
          <w:p w14:paraId="5A398EBC" w14:textId="5CC17220" w:rsidR="00950214" w:rsidRPr="003E40AC" w:rsidRDefault="007B13E3" w:rsidP="0056798E">
            <w:pPr>
              <w:jc w:val="center"/>
              <w:rPr>
                <w:rFonts w:ascii="Times New Roman" w:hAnsi="Times New Roman" w:cs="Times New Roman"/>
                <w:sz w:val="20"/>
                <w:szCs w:val="24"/>
              </w:rPr>
            </w:pPr>
            <w:r w:rsidRPr="003E40AC">
              <w:rPr>
                <w:rFonts w:ascii="Times New Roman" w:hAnsi="Times New Roman" w:cs="Times New Roman"/>
                <w:sz w:val="20"/>
                <w:szCs w:val="24"/>
              </w:rPr>
              <w:t>HGTX3</w:t>
            </w:r>
          </w:p>
        </w:tc>
        <w:tc>
          <w:tcPr>
            <w:tcW w:w="1984" w:type="dxa"/>
          </w:tcPr>
          <w:p w14:paraId="6D25B995" w14:textId="41C3B170" w:rsidR="00950214" w:rsidRPr="00933491" w:rsidRDefault="007B13E3" w:rsidP="0056798E">
            <w:pPr>
              <w:jc w:val="center"/>
              <w:rPr>
                <w:rFonts w:ascii="Times New Roman" w:hAnsi="Times New Roman" w:cs="Times New Roman"/>
                <w:sz w:val="20"/>
                <w:szCs w:val="24"/>
              </w:rPr>
            </w:pPr>
            <w:r w:rsidRPr="00933491">
              <w:rPr>
                <w:rFonts w:ascii="Times New Roman" w:hAnsi="Times New Roman" w:cs="Times New Roman"/>
                <w:sz w:val="20"/>
                <w:szCs w:val="24"/>
              </w:rPr>
              <w:t>Marisol</w:t>
            </w:r>
          </w:p>
        </w:tc>
        <w:tc>
          <w:tcPr>
            <w:tcW w:w="1843" w:type="dxa"/>
          </w:tcPr>
          <w:p w14:paraId="5B4D698F" w14:textId="6F7DD303" w:rsidR="00950214" w:rsidRPr="00933491" w:rsidRDefault="007B13E3" w:rsidP="0056798E">
            <w:pPr>
              <w:jc w:val="center"/>
              <w:rPr>
                <w:rFonts w:ascii="Times New Roman" w:hAnsi="Times New Roman" w:cs="Times New Roman"/>
                <w:sz w:val="20"/>
                <w:szCs w:val="24"/>
              </w:rPr>
            </w:pPr>
            <w:r w:rsidRPr="00933491">
              <w:rPr>
                <w:rFonts w:ascii="Times New Roman" w:hAnsi="Times New Roman" w:cs="Times New Roman"/>
                <w:sz w:val="20"/>
                <w:szCs w:val="24"/>
              </w:rPr>
              <w:t>MRSL4</w:t>
            </w:r>
          </w:p>
        </w:tc>
      </w:tr>
      <w:tr w:rsidR="00950214" w:rsidRPr="00933491" w14:paraId="1B14B443" w14:textId="77777777" w:rsidTr="00FF724B">
        <w:trPr>
          <w:jc w:val="center"/>
        </w:trPr>
        <w:tc>
          <w:tcPr>
            <w:tcW w:w="1526" w:type="dxa"/>
          </w:tcPr>
          <w:p w14:paraId="354C0523" w14:textId="282C5C64" w:rsidR="00950214" w:rsidRPr="00CC11DC" w:rsidRDefault="007B13E3" w:rsidP="0056798E">
            <w:pPr>
              <w:jc w:val="center"/>
              <w:rPr>
                <w:rFonts w:ascii="Times New Roman" w:hAnsi="Times New Roman" w:cs="Times New Roman"/>
                <w:sz w:val="20"/>
                <w:szCs w:val="24"/>
              </w:rPr>
            </w:pPr>
            <w:r w:rsidRPr="00CC11DC">
              <w:rPr>
                <w:rFonts w:ascii="Times New Roman" w:hAnsi="Times New Roman" w:cs="Times New Roman"/>
                <w:sz w:val="20"/>
                <w:szCs w:val="24"/>
              </w:rPr>
              <w:t>2007</w:t>
            </w:r>
          </w:p>
        </w:tc>
        <w:tc>
          <w:tcPr>
            <w:tcW w:w="1701" w:type="dxa"/>
          </w:tcPr>
          <w:p w14:paraId="406DED86" w14:textId="3822B889" w:rsidR="00950214" w:rsidRPr="003E40AC" w:rsidRDefault="007B13E3" w:rsidP="0056798E">
            <w:pPr>
              <w:jc w:val="center"/>
              <w:rPr>
                <w:rFonts w:ascii="Times New Roman" w:hAnsi="Times New Roman" w:cs="Times New Roman"/>
                <w:sz w:val="20"/>
                <w:szCs w:val="24"/>
              </w:rPr>
            </w:pPr>
            <w:proofErr w:type="spellStart"/>
            <w:r w:rsidRPr="003E40AC">
              <w:rPr>
                <w:rFonts w:ascii="Times New Roman" w:hAnsi="Times New Roman" w:cs="Times New Roman"/>
                <w:sz w:val="20"/>
                <w:szCs w:val="24"/>
              </w:rPr>
              <w:t>Inds</w:t>
            </w:r>
            <w:proofErr w:type="spellEnd"/>
            <w:r w:rsidRPr="003E40AC">
              <w:rPr>
                <w:rFonts w:ascii="Times New Roman" w:hAnsi="Times New Roman" w:cs="Times New Roman"/>
                <w:sz w:val="20"/>
                <w:szCs w:val="24"/>
              </w:rPr>
              <w:t xml:space="preserve"> Romi</w:t>
            </w:r>
          </w:p>
        </w:tc>
        <w:tc>
          <w:tcPr>
            <w:tcW w:w="1276" w:type="dxa"/>
          </w:tcPr>
          <w:p w14:paraId="543E1767" w14:textId="6BBA5EC2" w:rsidR="00950214" w:rsidRPr="003E40AC" w:rsidRDefault="007B13E3" w:rsidP="0056798E">
            <w:pPr>
              <w:jc w:val="center"/>
              <w:rPr>
                <w:rFonts w:ascii="Times New Roman" w:hAnsi="Times New Roman" w:cs="Times New Roman"/>
                <w:sz w:val="20"/>
                <w:szCs w:val="24"/>
              </w:rPr>
            </w:pPr>
            <w:r w:rsidRPr="003E40AC">
              <w:rPr>
                <w:rFonts w:ascii="Times New Roman" w:hAnsi="Times New Roman" w:cs="Times New Roman"/>
                <w:sz w:val="20"/>
                <w:szCs w:val="24"/>
              </w:rPr>
              <w:t>ROMI3</w:t>
            </w:r>
          </w:p>
        </w:tc>
        <w:tc>
          <w:tcPr>
            <w:tcW w:w="1984" w:type="dxa"/>
          </w:tcPr>
          <w:p w14:paraId="6D14AF92" w14:textId="65BEE707" w:rsidR="00950214" w:rsidRPr="00933491" w:rsidRDefault="007B13E3" w:rsidP="0056798E">
            <w:pPr>
              <w:jc w:val="center"/>
              <w:rPr>
                <w:rFonts w:ascii="Times New Roman" w:hAnsi="Times New Roman" w:cs="Times New Roman"/>
                <w:sz w:val="20"/>
                <w:szCs w:val="24"/>
              </w:rPr>
            </w:pPr>
            <w:r w:rsidRPr="00933491">
              <w:rPr>
                <w:rFonts w:ascii="Times New Roman" w:hAnsi="Times New Roman" w:cs="Times New Roman"/>
                <w:sz w:val="20"/>
                <w:szCs w:val="24"/>
              </w:rPr>
              <w:t>Bardella</w:t>
            </w:r>
          </w:p>
        </w:tc>
        <w:tc>
          <w:tcPr>
            <w:tcW w:w="1843" w:type="dxa"/>
          </w:tcPr>
          <w:p w14:paraId="4DA0561F" w14:textId="28C21FD8" w:rsidR="00950214" w:rsidRPr="00933491" w:rsidRDefault="007B13E3" w:rsidP="0056798E">
            <w:pPr>
              <w:jc w:val="center"/>
              <w:rPr>
                <w:rFonts w:ascii="Times New Roman" w:hAnsi="Times New Roman" w:cs="Times New Roman"/>
                <w:sz w:val="20"/>
                <w:szCs w:val="24"/>
              </w:rPr>
            </w:pPr>
            <w:r w:rsidRPr="00933491">
              <w:rPr>
                <w:rFonts w:ascii="Times New Roman" w:hAnsi="Times New Roman" w:cs="Times New Roman"/>
                <w:sz w:val="20"/>
                <w:szCs w:val="24"/>
              </w:rPr>
              <w:t>BDLL4</w:t>
            </w:r>
          </w:p>
        </w:tc>
      </w:tr>
      <w:tr w:rsidR="007B13E3" w:rsidRPr="00933491" w14:paraId="1274BFC5" w14:textId="77777777" w:rsidTr="00FF724B">
        <w:trPr>
          <w:jc w:val="center"/>
        </w:trPr>
        <w:tc>
          <w:tcPr>
            <w:tcW w:w="1526" w:type="dxa"/>
          </w:tcPr>
          <w:p w14:paraId="01774D09" w14:textId="48E137C0" w:rsidR="007B13E3" w:rsidRPr="00CC11DC" w:rsidRDefault="007B13E3" w:rsidP="0056798E">
            <w:pPr>
              <w:jc w:val="center"/>
              <w:rPr>
                <w:rFonts w:ascii="Times New Roman" w:hAnsi="Times New Roman" w:cs="Times New Roman"/>
                <w:sz w:val="20"/>
                <w:szCs w:val="24"/>
              </w:rPr>
            </w:pPr>
            <w:r w:rsidRPr="00CC11DC">
              <w:rPr>
                <w:rFonts w:ascii="Times New Roman" w:hAnsi="Times New Roman" w:cs="Times New Roman"/>
                <w:sz w:val="20"/>
                <w:szCs w:val="24"/>
              </w:rPr>
              <w:t>2007</w:t>
            </w:r>
          </w:p>
        </w:tc>
        <w:tc>
          <w:tcPr>
            <w:tcW w:w="1701" w:type="dxa"/>
          </w:tcPr>
          <w:p w14:paraId="58D2F44A" w14:textId="29D81600" w:rsidR="007B13E3" w:rsidRPr="003E40AC" w:rsidRDefault="007B13E3" w:rsidP="0056798E">
            <w:pPr>
              <w:jc w:val="center"/>
              <w:rPr>
                <w:rFonts w:ascii="Times New Roman" w:hAnsi="Times New Roman" w:cs="Times New Roman"/>
                <w:sz w:val="20"/>
                <w:szCs w:val="24"/>
              </w:rPr>
            </w:pPr>
            <w:r w:rsidRPr="003E40AC">
              <w:rPr>
                <w:rFonts w:ascii="Times New Roman" w:hAnsi="Times New Roman" w:cs="Times New Roman"/>
                <w:sz w:val="20"/>
                <w:szCs w:val="24"/>
              </w:rPr>
              <w:t>Drogasil</w:t>
            </w:r>
          </w:p>
        </w:tc>
        <w:tc>
          <w:tcPr>
            <w:tcW w:w="1276" w:type="dxa"/>
          </w:tcPr>
          <w:p w14:paraId="2FF29731" w14:textId="4B4D010B" w:rsidR="007B13E3" w:rsidRPr="003E40AC" w:rsidRDefault="007B13E3" w:rsidP="0056798E">
            <w:pPr>
              <w:jc w:val="center"/>
              <w:rPr>
                <w:rFonts w:ascii="Times New Roman" w:hAnsi="Times New Roman" w:cs="Times New Roman"/>
                <w:sz w:val="20"/>
                <w:szCs w:val="24"/>
              </w:rPr>
            </w:pPr>
            <w:r w:rsidRPr="003E40AC">
              <w:rPr>
                <w:rFonts w:ascii="Times New Roman" w:hAnsi="Times New Roman" w:cs="Times New Roman"/>
                <w:sz w:val="20"/>
                <w:szCs w:val="24"/>
              </w:rPr>
              <w:t>RADL3</w:t>
            </w:r>
          </w:p>
        </w:tc>
        <w:tc>
          <w:tcPr>
            <w:tcW w:w="1984" w:type="dxa"/>
          </w:tcPr>
          <w:p w14:paraId="089EF125" w14:textId="1D791335" w:rsidR="007B13E3" w:rsidRPr="00933491" w:rsidRDefault="007B13E3" w:rsidP="0056798E">
            <w:pPr>
              <w:jc w:val="center"/>
              <w:rPr>
                <w:rFonts w:ascii="Times New Roman" w:hAnsi="Times New Roman" w:cs="Times New Roman"/>
                <w:sz w:val="20"/>
                <w:szCs w:val="24"/>
              </w:rPr>
            </w:pPr>
            <w:r w:rsidRPr="00933491">
              <w:rPr>
                <w:rFonts w:ascii="Times New Roman" w:hAnsi="Times New Roman" w:cs="Times New Roman"/>
                <w:sz w:val="20"/>
                <w:szCs w:val="24"/>
              </w:rPr>
              <w:t>Dimed</w:t>
            </w:r>
          </w:p>
        </w:tc>
        <w:tc>
          <w:tcPr>
            <w:tcW w:w="1843" w:type="dxa"/>
          </w:tcPr>
          <w:p w14:paraId="5495D0B6" w14:textId="48CD9D55" w:rsidR="007B13E3" w:rsidRPr="00933491" w:rsidRDefault="007B13E3" w:rsidP="0056798E">
            <w:pPr>
              <w:jc w:val="center"/>
              <w:rPr>
                <w:rFonts w:ascii="Times New Roman" w:hAnsi="Times New Roman" w:cs="Times New Roman"/>
                <w:sz w:val="20"/>
                <w:szCs w:val="24"/>
              </w:rPr>
            </w:pPr>
            <w:r w:rsidRPr="00933491">
              <w:rPr>
                <w:rFonts w:ascii="Times New Roman" w:hAnsi="Times New Roman" w:cs="Times New Roman"/>
                <w:sz w:val="20"/>
                <w:szCs w:val="24"/>
              </w:rPr>
              <w:t>PNVL3</w:t>
            </w:r>
          </w:p>
        </w:tc>
      </w:tr>
      <w:tr w:rsidR="007B13E3" w:rsidRPr="00933491" w14:paraId="42B9DD64" w14:textId="77777777" w:rsidTr="00FF724B">
        <w:trPr>
          <w:jc w:val="center"/>
        </w:trPr>
        <w:tc>
          <w:tcPr>
            <w:tcW w:w="1526" w:type="dxa"/>
          </w:tcPr>
          <w:p w14:paraId="4ED911A7" w14:textId="763E277A" w:rsidR="007B13E3" w:rsidRPr="00CC11DC" w:rsidRDefault="007B13E3" w:rsidP="0056798E">
            <w:pPr>
              <w:jc w:val="center"/>
              <w:rPr>
                <w:rFonts w:ascii="Times New Roman" w:hAnsi="Times New Roman" w:cs="Times New Roman"/>
                <w:sz w:val="20"/>
                <w:szCs w:val="24"/>
              </w:rPr>
            </w:pPr>
            <w:r w:rsidRPr="00CC11DC">
              <w:rPr>
                <w:rFonts w:ascii="Times New Roman" w:hAnsi="Times New Roman" w:cs="Times New Roman"/>
                <w:sz w:val="20"/>
                <w:szCs w:val="24"/>
              </w:rPr>
              <w:t>2008</w:t>
            </w:r>
          </w:p>
        </w:tc>
        <w:tc>
          <w:tcPr>
            <w:tcW w:w="1701" w:type="dxa"/>
          </w:tcPr>
          <w:p w14:paraId="78870E7A" w14:textId="0C8C1CEB" w:rsidR="007B13E3" w:rsidRPr="003E40AC" w:rsidRDefault="007B13E3" w:rsidP="0056798E">
            <w:pPr>
              <w:jc w:val="center"/>
              <w:rPr>
                <w:rFonts w:ascii="Times New Roman" w:hAnsi="Times New Roman" w:cs="Times New Roman"/>
                <w:sz w:val="20"/>
                <w:szCs w:val="24"/>
              </w:rPr>
            </w:pPr>
            <w:r w:rsidRPr="003E40AC">
              <w:rPr>
                <w:rFonts w:ascii="Times New Roman" w:hAnsi="Times New Roman" w:cs="Times New Roman"/>
                <w:sz w:val="20"/>
                <w:szCs w:val="24"/>
              </w:rPr>
              <w:t xml:space="preserve">Gerdau </w:t>
            </w:r>
            <w:proofErr w:type="spellStart"/>
            <w:r w:rsidRPr="003E40AC">
              <w:rPr>
                <w:rFonts w:ascii="Times New Roman" w:hAnsi="Times New Roman" w:cs="Times New Roman"/>
                <w:sz w:val="20"/>
                <w:szCs w:val="24"/>
              </w:rPr>
              <w:t>Met</w:t>
            </w:r>
            <w:proofErr w:type="spellEnd"/>
          </w:p>
        </w:tc>
        <w:tc>
          <w:tcPr>
            <w:tcW w:w="1276" w:type="dxa"/>
          </w:tcPr>
          <w:p w14:paraId="70436437" w14:textId="1EEC286D" w:rsidR="007B13E3" w:rsidRPr="003E40AC" w:rsidRDefault="007B13E3" w:rsidP="0056798E">
            <w:pPr>
              <w:jc w:val="center"/>
              <w:rPr>
                <w:rFonts w:ascii="Times New Roman" w:hAnsi="Times New Roman" w:cs="Times New Roman"/>
                <w:sz w:val="20"/>
                <w:szCs w:val="24"/>
              </w:rPr>
            </w:pPr>
            <w:r w:rsidRPr="003E40AC">
              <w:rPr>
                <w:rFonts w:ascii="Times New Roman" w:hAnsi="Times New Roman" w:cs="Times New Roman"/>
                <w:sz w:val="20"/>
                <w:szCs w:val="24"/>
              </w:rPr>
              <w:t>GOAU4</w:t>
            </w:r>
          </w:p>
        </w:tc>
        <w:tc>
          <w:tcPr>
            <w:tcW w:w="1984" w:type="dxa"/>
          </w:tcPr>
          <w:p w14:paraId="64688299" w14:textId="02B829ED" w:rsidR="007B13E3" w:rsidRPr="00933491" w:rsidRDefault="007B13E3" w:rsidP="0056798E">
            <w:pPr>
              <w:jc w:val="center"/>
              <w:rPr>
                <w:rFonts w:ascii="Times New Roman" w:hAnsi="Times New Roman" w:cs="Times New Roman"/>
                <w:sz w:val="20"/>
                <w:szCs w:val="24"/>
              </w:rPr>
            </w:pPr>
            <w:r w:rsidRPr="00933491">
              <w:rPr>
                <w:rFonts w:ascii="Times New Roman" w:hAnsi="Times New Roman" w:cs="Times New Roman"/>
                <w:sz w:val="20"/>
                <w:szCs w:val="24"/>
              </w:rPr>
              <w:t>Ambev S/A</w:t>
            </w:r>
          </w:p>
        </w:tc>
        <w:tc>
          <w:tcPr>
            <w:tcW w:w="1843" w:type="dxa"/>
          </w:tcPr>
          <w:p w14:paraId="186701B9" w14:textId="7A8994F6" w:rsidR="007B13E3" w:rsidRPr="00933491" w:rsidRDefault="007B13E3" w:rsidP="0056798E">
            <w:pPr>
              <w:jc w:val="center"/>
              <w:rPr>
                <w:rFonts w:ascii="Times New Roman" w:hAnsi="Times New Roman" w:cs="Times New Roman"/>
                <w:sz w:val="20"/>
                <w:szCs w:val="24"/>
              </w:rPr>
            </w:pPr>
            <w:r w:rsidRPr="00933491">
              <w:rPr>
                <w:rFonts w:ascii="Times New Roman" w:hAnsi="Times New Roman" w:cs="Times New Roman"/>
                <w:sz w:val="20"/>
                <w:szCs w:val="24"/>
              </w:rPr>
              <w:t>ABEV3</w:t>
            </w:r>
          </w:p>
        </w:tc>
      </w:tr>
      <w:tr w:rsidR="007B13E3" w:rsidRPr="00933491" w14:paraId="2F0330F5" w14:textId="77777777" w:rsidTr="00FF724B">
        <w:trPr>
          <w:jc w:val="center"/>
        </w:trPr>
        <w:tc>
          <w:tcPr>
            <w:tcW w:w="1526" w:type="dxa"/>
          </w:tcPr>
          <w:p w14:paraId="521252F5" w14:textId="2BE5BE83" w:rsidR="007B13E3" w:rsidRPr="00CC11DC" w:rsidRDefault="005A562C" w:rsidP="0056798E">
            <w:pPr>
              <w:jc w:val="center"/>
              <w:rPr>
                <w:rFonts w:ascii="Times New Roman" w:hAnsi="Times New Roman" w:cs="Times New Roman"/>
                <w:sz w:val="20"/>
                <w:szCs w:val="24"/>
              </w:rPr>
            </w:pPr>
            <w:r w:rsidRPr="00CC11DC">
              <w:rPr>
                <w:rFonts w:ascii="Times New Roman" w:hAnsi="Times New Roman" w:cs="Times New Roman"/>
                <w:sz w:val="20"/>
                <w:szCs w:val="24"/>
              </w:rPr>
              <w:t>2008</w:t>
            </w:r>
          </w:p>
        </w:tc>
        <w:tc>
          <w:tcPr>
            <w:tcW w:w="1701" w:type="dxa"/>
          </w:tcPr>
          <w:p w14:paraId="2405608A" w14:textId="52B35AA1" w:rsidR="007B13E3" w:rsidRPr="003E40AC" w:rsidRDefault="005A562C" w:rsidP="0056798E">
            <w:pPr>
              <w:jc w:val="center"/>
              <w:rPr>
                <w:rFonts w:ascii="Times New Roman" w:hAnsi="Times New Roman" w:cs="Times New Roman"/>
                <w:sz w:val="20"/>
                <w:szCs w:val="24"/>
              </w:rPr>
            </w:pPr>
            <w:r w:rsidRPr="003E40AC">
              <w:rPr>
                <w:rFonts w:ascii="Times New Roman" w:hAnsi="Times New Roman" w:cs="Times New Roman"/>
                <w:sz w:val="20"/>
                <w:szCs w:val="24"/>
              </w:rPr>
              <w:t xml:space="preserve">SLC </w:t>
            </w:r>
            <w:proofErr w:type="spellStart"/>
            <w:r w:rsidRPr="003E40AC">
              <w:rPr>
                <w:rFonts w:ascii="Times New Roman" w:hAnsi="Times New Roman" w:cs="Times New Roman"/>
                <w:sz w:val="20"/>
                <w:szCs w:val="24"/>
              </w:rPr>
              <w:t>Agricola</w:t>
            </w:r>
            <w:proofErr w:type="spellEnd"/>
          </w:p>
        </w:tc>
        <w:tc>
          <w:tcPr>
            <w:tcW w:w="1276" w:type="dxa"/>
          </w:tcPr>
          <w:p w14:paraId="7D55584F" w14:textId="36744171" w:rsidR="007B13E3" w:rsidRPr="003E40AC" w:rsidRDefault="005A562C" w:rsidP="0056798E">
            <w:pPr>
              <w:jc w:val="center"/>
              <w:rPr>
                <w:rFonts w:ascii="Times New Roman" w:hAnsi="Times New Roman" w:cs="Times New Roman"/>
                <w:sz w:val="20"/>
                <w:szCs w:val="24"/>
              </w:rPr>
            </w:pPr>
            <w:r w:rsidRPr="003E40AC">
              <w:rPr>
                <w:rFonts w:ascii="Times New Roman" w:hAnsi="Times New Roman" w:cs="Times New Roman"/>
                <w:sz w:val="20"/>
                <w:szCs w:val="24"/>
              </w:rPr>
              <w:t>SLCE3</w:t>
            </w:r>
          </w:p>
        </w:tc>
        <w:tc>
          <w:tcPr>
            <w:tcW w:w="1984" w:type="dxa"/>
          </w:tcPr>
          <w:p w14:paraId="4E29C828" w14:textId="4E4BCAA7" w:rsidR="007B13E3" w:rsidRPr="00933491" w:rsidRDefault="005A562C" w:rsidP="0056798E">
            <w:pPr>
              <w:jc w:val="center"/>
              <w:rPr>
                <w:rFonts w:ascii="Times New Roman" w:hAnsi="Times New Roman" w:cs="Times New Roman"/>
                <w:sz w:val="20"/>
                <w:szCs w:val="24"/>
              </w:rPr>
            </w:pPr>
            <w:proofErr w:type="spellStart"/>
            <w:r w:rsidRPr="00933491">
              <w:rPr>
                <w:rFonts w:ascii="Times New Roman" w:hAnsi="Times New Roman" w:cs="Times New Roman"/>
                <w:sz w:val="20"/>
                <w:szCs w:val="24"/>
              </w:rPr>
              <w:t>Brasilagro</w:t>
            </w:r>
            <w:proofErr w:type="spellEnd"/>
          </w:p>
        </w:tc>
        <w:tc>
          <w:tcPr>
            <w:tcW w:w="1843" w:type="dxa"/>
          </w:tcPr>
          <w:p w14:paraId="33F0914E" w14:textId="1ED18EA7" w:rsidR="007B13E3" w:rsidRPr="00933491" w:rsidRDefault="005A562C" w:rsidP="0056798E">
            <w:pPr>
              <w:jc w:val="center"/>
              <w:rPr>
                <w:rFonts w:ascii="Times New Roman" w:hAnsi="Times New Roman" w:cs="Times New Roman"/>
                <w:sz w:val="20"/>
                <w:szCs w:val="24"/>
              </w:rPr>
            </w:pPr>
            <w:r w:rsidRPr="00933491">
              <w:rPr>
                <w:rFonts w:ascii="Times New Roman" w:hAnsi="Times New Roman" w:cs="Times New Roman"/>
                <w:sz w:val="20"/>
                <w:szCs w:val="24"/>
              </w:rPr>
              <w:t>AGRO3</w:t>
            </w:r>
          </w:p>
        </w:tc>
      </w:tr>
      <w:tr w:rsidR="007B13E3" w:rsidRPr="00933491" w14:paraId="075786BA" w14:textId="77777777" w:rsidTr="00FF724B">
        <w:trPr>
          <w:jc w:val="center"/>
        </w:trPr>
        <w:tc>
          <w:tcPr>
            <w:tcW w:w="1526" w:type="dxa"/>
          </w:tcPr>
          <w:p w14:paraId="7E9EAED1" w14:textId="685A6EF0" w:rsidR="007B13E3" w:rsidRPr="00CC11DC" w:rsidRDefault="005A562C" w:rsidP="0056798E">
            <w:pPr>
              <w:jc w:val="center"/>
              <w:rPr>
                <w:rFonts w:ascii="Times New Roman" w:hAnsi="Times New Roman" w:cs="Times New Roman"/>
                <w:sz w:val="20"/>
                <w:szCs w:val="24"/>
              </w:rPr>
            </w:pPr>
            <w:r w:rsidRPr="00CC11DC">
              <w:rPr>
                <w:rFonts w:ascii="Times New Roman" w:hAnsi="Times New Roman" w:cs="Times New Roman"/>
                <w:sz w:val="20"/>
                <w:szCs w:val="24"/>
              </w:rPr>
              <w:t>2008</w:t>
            </w:r>
          </w:p>
        </w:tc>
        <w:tc>
          <w:tcPr>
            <w:tcW w:w="1701" w:type="dxa"/>
          </w:tcPr>
          <w:p w14:paraId="28A5867B" w14:textId="507D62C4" w:rsidR="007B13E3" w:rsidRPr="003E40AC" w:rsidRDefault="005A562C" w:rsidP="0056798E">
            <w:pPr>
              <w:jc w:val="center"/>
              <w:rPr>
                <w:rFonts w:ascii="Times New Roman" w:hAnsi="Times New Roman" w:cs="Times New Roman"/>
                <w:sz w:val="20"/>
                <w:szCs w:val="24"/>
              </w:rPr>
            </w:pPr>
            <w:r w:rsidRPr="003E40AC">
              <w:rPr>
                <w:rFonts w:ascii="Times New Roman" w:hAnsi="Times New Roman" w:cs="Times New Roman"/>
                <w:sz w:val="20"/>
                <w:szCs w:val="24"/>
              </w:rPr>
              <w:t>Vale</w:t>
            </w:r>
            <w:r w:rsidR="003D039A" w:rsidRPr="003E40AC">
              <w:rPr>
                <w:rFonts w:ascii="Times New Roman" w:hAnsi="Times New Roman" w:cs="Times New Roman"/>
                <w:sz w:val="20"/>
                <w:szCs w:val="24"/>
              </w:rPr>
              <w:t xml:space="preserve"> R Doce</w:t>
            </w:r>
          </w:p>
        </w:tc>
        <w:tc>
          <w:tcPr>
            <w:tcW w:w="1276" w:type="dxa"/>
          </w:tcPr>
          <w:p w14:paraId="7124EE94" w14:textId="08E4C797" w:rsidR="007B13E3" w:rsidRPr="00933491" w:rsidRDefault="005A562C" w:rsidP="0056798E">
            <w:pPr>
              <w:jc w:val="center"/>
              <w:rPr>
                <w:rFonts w:ascii="Times New Roman" w:hAnsi="Times New Roman" w:cs="Times New Roman"/>
                <w:sz w:val="20"/>
                <w:szCs w:val="24"/>
              </w:rPr>
            </w:pPr>
            <w:r w:rsidRPr="00933491">
              <w:rPr>
                <w:rFonts w:ascii="Times New Roman" w:hAnsi="Times New Roman" w:cs="Times New Roman"/>
                <w:sz w:val="20"/>
                <w:szCs w:val="24"/>
              </w:rPr>
              <w:t>VALE3</w:t>
            </w:r>
          </w:p>
        </w:tc>
        <w:tc>
          <w:tcPr>
            <w:tcW w:w="1984" w:type="dxa"/>
          </w:tcPr>
          <w:p w14:paraId="30E19210" w14:textId="2A58E12B" w:rsidR="007B13E3" w:rsidRPr="00933491" w:rsidRDefault="005A562C" w:rsidP="0056798E">
            <w:pPr>
              <w:jc w:val="center"/>
              <w:rPr>
                <w:rFonts w:ascii="Times New Roman" w:hAnsi="Times New Roman" w:cs="Times New Roman"/>
                <w:sz w:val="20"/>
                <w:szCs w:val="24"/>
              </w:rPr>
            </w:pPr>
            <w:proofErr w:type="spellStart"/>
            <w:r w:rsidRPr="00933491">
              <w:rPr>
                <w:rFonts w:ascii="Times New Roman" w:hAnsi="Times New Roman" w:cs="Times New Roman"/>
                <w:sz w:val="20"/>
                <w:szCs w:val="24"/>
              </w:rPr>
              <w:t>Eletrobras</w:t>
            </w:r>
            <w:proofErr w:type="spellEnd"/>
          </w:p>
        </w:tc>
        <w:tc>
          <w:tcPr>
            <w:tcW w:w="1843" w:type="dxa"/>
          </w:tcPr>
          <w:p w14:paraId="58AD31AC" w14:textId="6AB5A485" w:rsidR="007B13E3" w:rsidRPr="00933491" w:rsidRDefault="005A562C" w:rsidP="0056798E">
            <w:pPr>
              <w:jc w:val="center"/>
              <w:rPr>
                <w:rFonts w:ascii="Times New Roman" w:hAnsi="Times New Roman" w:cs="Times New Roman"/>
                <w:sz w:val="20"/>
                <w:szCs w:val="24"/>
              </w:rPr>
            </w:pPr>
            <w:r w:rsidRPr="00933491">
              <w:rPr>
                <w:rFonts w:ascii="Times New Roman" w:hAnsi="Times New Roman" w:cs="Times New Roman"/>
                <w:sz w:val="20"/>
                <w:szCs w:val="24"/>
              </w:rPr>
              <w:t>ELET6</w:t>
            </w:r>
          </w:p>
        </w:tc>
      </w:tr>
      <w:tr w:rsidR="007B13E3" w:rsidRPr="00933491" w14:paraId="248307E7" w14:textId="77777777" w:rsidTr="00FF724B">
        <w:trPr>
          <w:jc w:val="center"/>
        </w:trPr>
        <w:tc>
          <w:tcPr>
            <w:tcW w:w="1526" w:type="dxa"/>
          </w:tcPr>
          <w:p w14:paraId="58C999B6" w14:textId="7785BB78" w:rsidR="007B13E3" w:rsidRPr="00CC11DC" w:rsidRDefault="003D039A" w:rsidP="0056798E">
            <w:pPr>
              <w:jc w:val="center"/>
              <w:rPr>
                <w:rFonts w:ascii="Times New Roman" w:hAnsi="Times New Roman" w:cs="Times New Roman"/>
                <w:sz w:val="20"/>
                <w:szCs w:val="24"/>
              </w:rPr>
            </w:pPr>
            <w:r w:rsidRPr="00CC11DC">
              <w:rPr>
                <w:rFonts w:ascii="Times New Roman" w:hAnsi="Times New Roman" w:cs="Times New Roman"/>
                <w:sz w:val="20"/>
                <w:szCs w:val="24"/>
              </w:rPr>
              <w:t>2009</w:t>
            </w:r>
          </w:p>
        </w:tc>
        <w:tc>
          <w:tcPr>
            <w:tcW w:w="1701" w:type="dxa"/>
          </w:tcPr>
          <w:p w14:paraId="491ABF25" w14:textId="10430E3C" w:rsidR="007B13E3" w:rsidRPr="003E40AC" w:rsidRDefault="003D039A" w:rsidP="0056798E">
            <w:pPr>
              <w:jc w:val="center"/>
              <w:rPr>
                <w:rFonts w:ascii="Times New Roman" w:hAnsi="Times New Roman" w:cs="Times New Roman"/>
                <w:sz w:val="20"/>
                <w:szCs w:val="24"/>
              </w:rPr>
            </w:pPr>
            <w:r w:rsidRPr="003E40AC">
              <w:rPr>
                <w:rFonts w:ascii="Times New Roman" w:hAnsi="Times New Roman" w:cs="Times New Roman"/>
                <w:sz w:val="20"/>
                <w:szCs w:val="24"/>
              </w:rPr>
              <w:t xml:space="preserve">BRF </w:t>
            </w:r>
            <w:proofErr w:type="spellStart"/>
            <w:r w:rsidRPr="003E40AC">
              <w:rPr>
                <w:rFonts w:ascii="Times New Roman" w:hAnsi="Times New Roman" w:cs="Times New Roman"/>
                <w:sz w:val="20"/>
                <w:szCs w:val="24"/>
              </w:rPr>
              <w:t>Foods</w:t>
            </w:r>
            <w:proofErr w:type="spellEnd"/>
          </w:p>
        </w:tc>
        <w:tc>
          <w:tcPr>
            <w:tcW w:w="1276" w:type="dxa"/>
          </w:tcPr>
          <w:p w14:paraId="2223DB17" w14:textId="5862DDCF" w:rsidR="007B13E3" w:rsidRPr="003E40AC" w:rsidRDefault="003D039A" w:rsidP="0056798E">
            <w:pPr>
              <w:jc w:val="center"/>
              <w:rPr>
                <w:rFonts w:ascii="Times New Roman" w:hAnsi="Times New Roman" w:cs="Times New Roman"/>
                <w:sz w:val="20"/>
                <w:szCs w:val="24"/>
              </w:rPr>
            </w:pPr>
            <w:r w:rsidRPr="003E40AC">
              <w:rPr>
                <w:rFonts w:ascii="Times New Roman" w:hAnsi="Times New Roman" w:cs="Times New Roman"/>
                <w:sz w:val="20"/>
                <w:szCs w:val="24"/>
              </w:rPr>
              <w:t>BRFS3</w:t>
            </w:r>
          </w:p>
        </w:tc>
        <w:tc>
          <w:tcPr>
            <w:tcW w:w="1984" w:type="dxa"/>
          </w:tcPr>
          <w:p w14:paraId="5498C35E" w14:textId="51CA4D1F" w:rsidR="007B13E3" w:rsidRPr="00933491" w:rsidRDefault="003D039A" w:rsidP="0056798E">
            <w:pPr>
              <w:jc w:val="center"/>
              <w:rPr>
                <w:rFonts w:ascii="Times New Roman" w:hAnsi="Times New Roman" w:cs="Times New Roman"/>
                <w:sz w:val="20"/>
                <w:szCs w:val="24"/>
              </w:rPr>
            </w:pPr>
            <w:proofErr w:type="spellStart"/>
            <w:r w:rsidRPr="00933491">
              <w:rPr>
                <w:rFonts w:ascii="Times New Roman" w:hAnsi="Times New Roman" w:cs="Times New Roman"/>
                <w:sz w:val="20"/>
                <w:szCs w:val="24"/>
              </w:rPr>
              <w:t>Cosan</w:t>
            </w:r>
            <w:proofErr w:type="spellEnd"/>
          </w:p>
        </w:tc>
        <w:tc>
          <w:tcPr>
            <w:tcW w:w="1843" w:type="dxa"/>
          </w:tcPr>
          <w:p w14:paraId="038BC7F7" w14:textId="63BF6F9C" w:rsidR="007B13E3" w:rsidRPr="00933491" w:rsidRDefault="003D039A" w:rsidP="0056798E">
            <w:pPr>
              <w:jc w:val="center"/>
              <w:rPr>
                <w:rFonts w:ascii="Times New Roman" w:hAnsi="Times New Roman" w:cs="Times New Roman"/>
                <w:sz w:val="20"/>
                <w:szCs w:val="24"/>
              </w:rPr>
            </w:pPr>
            <w:r w:rsidRPr="00933491">
              <w:rPr>
                <w:rFonts w:ascii="Times New Roman" w:hAnsi="Times New Roman" w:cs="Times New Roman"/>
                <w:sz w:val="20"/>
                <w:szCs w:val="24"/>
              </w:rPr>
              <w:t>CSAN3</w:t>
            </w:r>
          </w:p>
        </w:tc>
      </w:tr>
      <w:tr w:rsidR="007B13E3" w:rsidRPr="00933491" w14:paraId="18DE6DF0" w14:textId="77777777" w:rsidTr="00FF724B">
        <w:trPr>
          <w:jc w:val="center"/>
        </w:trPr>
        <w:tc>
          <w:tcPr>
            <w:tcW w:w="1526" w:type="dxa"/>
          </w:tcPr>
          <w:p w14:paraId="1A1B5B50" w14:textId="42299694" w:rsidR="007B13E3" w:rsidRPr="00CC11DC" w:rsidRDefault="003D039A" w:rsidP="0056798E">
            <w:pPr>
              <w:jc w:val="center"/>
              <w:rPr>
                <w:rFonts w:ascii="Times New Roman" w:hAnsi="Times New Roman" w:cs="Times New Roman"/>
                <w:sz w:val="20"/>
                <w:szCs w:val="24"/>
              </w:rPr>
            </w:pPr>
            <w:r w:rsidRPr="00CC11DC">
              <w:rPr>
                <w:rFonts w:ascii="Times New Roman" w:hAnsi="Times New Roman" w:cs="Times New Roman"/>
                <w:sz w:val="20"/>
                <w:szCs w:val="24"/>
              </w:rPr>
              <w:t>2009</w:t>
            </w:r>
          </w:p>
        </w:tc>
        <w:tc>
          <w:tcPr>
            <w:tcW w:w="1701" w:type="dxa"/>
          </w:tcPr>
          <w:p w14:paraId="268ACCA7" w14:textId="7D35BB08" w:rsidR="007B13E3" w:rsidRPr="003E40AC" w:rsidRDefault="003D039A" w:rsidP="0056798E">
            <w:pPr>
              <w:jc w:val="center"/>
              <w:rPr>
                <w:rFonts w:ascii="Times New Roman" w:hAnsi="Times New Roman" w:cs="Times New Roman"/>
                <w:sz w:val="20"/>
                <w:szCs w:val="24"/>
              </w:rPr>
            </w:pPr>
            <w:proofErr w:type="spellStart"/>
            <w:r w:rsidRPr="003E40AC">
              <w:rPr>
                <w:rFonts w:ascii="Times New Roman" w:hAnsi="Times New Roman" w:cs="Times New Roman"/>
                <w:sz w:val="20"/>
                <w:szCs w:val="24"/>
              </w:rPr>
              <w:t>Brookfield</w:t>
            </w:r>
            <w:proofErr w:type="spellEnd"/>
          </w:p>
        </w:tc>
        <w:tc>
          <w:tcPr>
            <w:tcW w:w="1276" w:type="dxa"/>
          </w:tcPr>
          <w:p w14:paraId="35D9EC2C" w14:textId="7B59771E" w:rsidR="007B13E3" w:rsidRPr="003E40AC" w:rsidRDefault="003D039A" w:rsidP="0056798E">
            <w:pPr>
              <w:jc w:val="center"/>
              <w:rPr>
                <w:rFonts w:ascii="Times New Roman" w:hAnsi="Times New Roman" w:cs="Times New Roman"/>
                <w:sz w:val="20"/>
                <w:szCs w:val="24"/>
              </w:rPr>
            </w:pPr>
            <w:r w:rsidRPr="003E40AC">
              <w:rPr>
                <w:rFonts w:ascii="Times New Roman" w:hAnsi="Times New Roman" w:cs="Times New Roman"/>
                <w:sz w:val="20"/>
                <w:szCs w:val="24"/>
              </w:rPr>
              <w:t>BISA3</w:t>
            </w:r>
          </w:p>
        </w:tc>
        <w:tc>
          <w:tcPr>
            <w:tcW w:w="1984" w:type="dxa"/>
          </w:tcPr>
          <w:p w14:paraId="04463518" w14:textId="05E2DCF9" w:rsidR="007B13E3" w:rsidRPr="00933491" w:rsidRDefault="003D039A" w:rsidP="0056798E">
            <w:pPr>
              <w:jc w:val="center"/>
              <w:rPr>
                <w:rFonts w:ascii="Times New Roman" w:hAnsi="Times New Roman" w:cs="Times New Roman"/>
                <w:sz w:val="20"/>
                <w:szCs w:val="24"/>
              </w:rPr>
            </w:pPr>
            <w:proofErr w:type="spellStart"/>
            <w:r w:rsidRPr="00933491">
              <w:rPr>
                <w:rFonts w:ascii="Times New Roman" w:hAnsi="Times New Roman" w:cs="Times New Roman"/>
                <w:sz w:val="20"/>
                <w:szCs w:val="24"/>
              </w:rPr>
              <w:t>Rodobensimob</w:t>
            </w:r>
            <w:proofErr w:type="spellEnd"/>
          </w:p>
        </w:tc>
        <w:tc>
          <w:tcPr>
            <w:tcW w:w="1843" w:type="dxa"/>
          </w:tcPr>
          <w:p w14:paraId="146F9CC8" w14:textId="59C00B1D" w:rsidR="007B13E3" w:rsidRPr="00933491" w:rsidRDefault="003D039A" w:rsidP="0056798E">
            <w:pPr>
              <w:jc w:val="center"/>
              <w:rPr>
                <w:rFonts w:ascii="Times New Roman" w:hAnsi="Times New Roman" w:cs="Times New Roman"/>
                <w:sz w:val="20"/>
                <w:szCs w:val="24"/>
              </w:rPr>
            </w:pPr>
            <w:r w:rsidRPr="00933491">
              <w:rPr>
                <w:rFonts w:ascii="Times New Roman" w:hAnsi="Times New Roman" w:cs="Times New Roman"/>
                <w:sz w:val="20"/>
                <w:szCs w:val="24"/>
              </w:rPr>
              <w:t>RDNI3</w:t>
            </w:r>
          </w:p>
        </w:tc>
      </w:tr>
      <w:tr w:rsidR="003D039A" w:rsidRPr="00933491" w14:paraId="4793F68B" w14:textId="77777777" w:rsidTr="00FF724B">
        <w:trPr>
          <w:jc w:val="center"/>
        </w:trPr>
        <w:tc>
          <w:tcPr>
            <w:tcW w:w="1526" w:type="dxa"/>
          </w:tcPr>
          <w:p w14:paraId="5E0B88E9" w14:textId="46BB26F1" w:rsidR="003D039A" w:rsidRPr="00CC11DC" w:rsidRDefault="002934CF" w:rsidP="0056798E">
            <w:pPr>
              <w:jc w:val="center"/>
              <w:rPr>
                <w:rFonts w:ascii="Times New Roman" w:hAnsi="Times New Roman" w:cs="Times New Roman"/>
                <w:sz w:val="20"/>
                <w:szCs w:val="24"/>
              </w:rPr>
            </w:pPr>
            <w:r w:rsidRPr="00CC11DC">
              <w:rPr>
                <w:rFonts w:ascii="Times New Roman" w:hAnsi="Times New Roman" w:cs="Times New Roman"/>
                <w:sz w:val="20"/>
                <w:szCs w:val="24"/>
              </w:rPr>
              <w:t>2009</w:t>
            </w:r>
          </w:p>
        </w:tc>
        <w:tc>
          <w:tcPr>
            <w:tcW w:w="1701" w:type="dxa"/>
          </w:tcPr>
          <w:p w14:paraId="7B9037CB" w14:textId="6CFB2092" w:rsidR="003D039A" w:rsidRPr="003E40AC" w:rsidRDefault="002934CF" w:rsidP="0056798E">
            <w:pPr>
              <w:jc w:val="center"/>
              <w:rPr>
                <w:rFonts w:ascii="Times New Roman" w:hAnsi="Times New Roman" w:cs="Times New Roman"/>
                <w:sz w:val="20"/>
                <w:szCs w:val="24"/>
              </w:rPr>
            </w:pPr>
            <w:r w:rsidRPr="003E40AC">
              <w:rPr>
                <w:rFonts w:ascii="Times New Roman" w:hAnsi="Times New Roman" w:cs="Times New Roman"/>
                <w:sz w:val="20"/>
                <w:szCs w:val="24"/>
              </w:rPr>
              <w:t>MRV</w:t>
            </w:r>
          </w:p>
        </w:tc>
        <w:tc>
          <w:tcPr>
            <w:tcW w:w="1276" w:type="dxa"/>
          </w:tcPr>
          <w:p w14:paraId="66B96F30" w14:textId="6BEEC1AB" w:rsidR="003D039A" w:rsidRPr="003E40AC" w:rsidRDefault="002934CF" w:rsidP="0056798E">
            <w:pPr>
              <w:jc w:val="center"/>
              <w:rPr>
                <w:rFonts w:ascii="Times New Roman" w:hAnsi="Times New Roman" w:cs="Times New Roman"/>
                <w:sz w:val="20"/>
                <w:szCs w:val="24"/>
              </w:rPr>
            </w:pPr>
            <w:r w:rsidRPr="003E40AC">
              <w:rPr>
                <w:rFonts w:ascii="Times New Roman" w:hAnsi="Times New Roman" w:cs="Times New Roman"/>
                <w:sz w:val="20"/>
                <w:szCs w:val="24"/>
              </w:rPr>
              <w:t>MRVE3</w:t>
            </w:r>
          </w:p>
        </w:tc>
        <w:tc>
          <w:tcPr>
            <w:tcW w:w="1984" w:type="dxa"/>
          </w:tcPr>
          <w:p w14:paraId="72EB7BCC" w14:textId="4A0A38AA" w:rsidR="003D039A" w:rsidRPr="00933491" w:rsidRDefault="002934CF" w:rsidP="0056798E">
            <w:pPr>
              <w:jc w:val="center"/>
              <w:rPr>
                <w:rFonts w:ascii="Times New Roman" w:hAnsi="Times New Roman" w:cs="Times New Roman"/>
                <w:sz w:val="20"/>
                <w:szCs w:val="24"/>
              </w:rPr>
            </w:pPr>
            <w:r w:rsidRPr="00933491">
              <w:rPr>
                <w:rFonts w:ascii="Times New Roman" w:hAnsi="Times New Roman" w:cs="Times New Roman"/>
                <w:sz w:val="20"/>
                <w:szCs w:val="24"/>
              </w:rPr>
              <w:t xml:space="preserve">Ampla </w:t>
            </w:r>
            <w:proofErr w:type="spellStart"/>
            <w:r w:rsidRPr="00933491">
              <w:rPr>
                <w:rFonts w:ascii="Times New Roman" w:hAnsi="Times New Roman" w:cs="Times New Roman"/>
                <w:sz w:val="20"/>
                <w:szCs w:val="24"/>
              </w:rPr>
              <w:t>Energ</w:t>
            </w:r>
            <w:proofErr w:type="spellEnd"/>
          </w:p>
        </w:tc>
        <w:tc>
          <w:tcPr>
            <w:tcW w:w="1843" w:type="dxa"/>
          </w:tcPr>
          <w:p w14:paraId="4EF92883" w14:textId="1188C35B" w:rsidR="003D039A" w:rsidRPr="00933491" w:rsidRDefault="002934CF" w:rsidP="0056798E">
            <w:pPr>
              <w:jc w:val="center"/>
              <w:rPr>
                <w:rFonts w:ascii="Times New Roman" w:hAnsi="Times New Roman" w:cs="Times New Roman"/>
                <w:sz w:val="20"/>
                <w:szCs w:val="24"/>
              </w:rPr>
            </w:pPr>
            <w:r w:rsidRPr="00933491">
              <w:rPr>
                <w:rFonts w:ascii="Times New Roman" w:hAnsi="Times New Roman" w:cs="Times New Roman"/>
                <w:sz w:val="20"/>
                <w:szCs w:val="24"/>
              </w:rPr>
              <w:t>CBEE3</w:t>
            </w:r>
          </w:p>
        </w:tc>
      </w:tr>
      <w:tr w:rsidR="003D039A" w:rsidRPr="00933491" w14:paraId="6C2BB0EB" w14:textId="77777777" w:rsidTr="00FF724B">
        <w:trPr>
          <w:jc w:val="center"/>
        </w:trPr>
        <w:tc>
          <w:tcPr>
            <w:tcW w:w="1526" w:type="dxa"/>
          </w:tcPr>
          <w:p w14:paraId="2A45A36C" w14:textId="14D1BDD3" w:rsidR="003D039A" w:rsidRPr="003E40AC" w:rsidRDefault="002934CF" w:rsidP="0056798E">
            <w:pPr>
              <w:jc w:val="center"/>
              <w:rPr>
                <w:rFonts w:ascii="Times New Roman" w:hAnsi="Times New Roman" w:cs="Times New Roman"/>
                <w:sz w:val="20"/>
                <w:szCs w:val="24"/>
              </w:rPr>
            </w:pPr>
            <w:r w:rsidRPr="00CC11DC">
              <w:rPr>
                <w:rFonts w:ascii="Times New Roman" w:hAnsi="Times New Roman" w:cs="Times New Roman"/>
                <w:sz w:val="20"/>
                <w:szCs w:val="24"/>
              </w:rPr>
              <w:t>2010</w:t>
            </w:r>
          </w:p>
        </w:tc>
        <w:tc>
          <w:tcPr>
            <w:tcW w:w="1701" w:type="dxa"/>
          </w:tcPr>
          <w:p w14:paraId="4C9B38BB" w14:textId="0A536A7E" w:rsidR="003D039A" w:rsidRPr="003E40AC" w:rsidRDefault="002934CF" w:rsidP="0056798E">
            <w:pPr>
              <w:jc w:val="center"/>
              <w:rPr>
                <w:rFonts w:ascii="Times New Roman" w:hAnsi="Times New Roman" w:cs="Times New Roman"/>
                <w:sz w:val="20"/>
                <w:szCs w:val="24"/>
              </w:rPr>
            </w:pPr>
            <w:proofErr w:type="spellStart"/>
            <w:r w:rsidRPr="003E40AC">
              <w:rPr>
                <w:rFonts w:ascii="Times New Roman" w:hAnsi="Times New Roman" w:cs="Times New Roman"/>
                <w:sz w:val="20"/>
                <w:szCs w:val="24"/>
              </w:rPr>
              <w:t>Even</w:t>
            </w:r>
            <w:proofErr w:type="spellEnd"/>
          </w:p>
        </w:tc>
        <w:tc>
          <w:tcPr>
            <w:tcW w:w="1276" w:type="dxa"/>
          </w:tcPr>
          <w:p w14:paraId="79DC373F" w14:textId="4E517D86" w:rsidR="003D039A" w:rsidRPr="00933491" w:rsidRDefault="002934CF" w:rsidP="0056798E">
            <w:pPr>
              <w:jc w:val="center"/>
              <w:rPr>
                <w:rFonts w:ascii="Times New Roman" w:hAnsi="Times New Roman" w:cs="Times New Roman"/>
                <w:sz w:val="20"/>
                <w:szCs w:val="24"/>
              </w:rPr>
            </w:pPr>
            <w:r w:rsidRPr="00933491">
              <w:rPr>
                <w:rFonts w:ascii="Times New Roman" w:hAnsi="Times New Roman" w:cs="Times New Roman"/>
                <w:sz w:val="20"/>
                <w:szCs w:val="24"/>
              </w:rPr>
              <w:t>EVEN3</w:t>
            </w:r>
          </w:p>
        </w:tc>
        <w:tc>
          <w:tcPr>
            <w:tcW w:w="1984" w:type="dxa"/>
          </w:tcPr>
          <w:p w14:paraId="10405983" w14:textId="43E20392" w:rsidR="003D039A" w:rsidRPr="00933491" w:rsidRDefault="002934CF" w:rsidP="0056798E">
            <w:pPr>
              <w:jc w:val="center"/>
              <w:rPr>
                <w:rFonts w:ascii="Times New Roman" w:hAnsi="Times New Roman" w:cs="Times New Roman"/>
                <w:sz w:val="20"/>
                <w:szCs w:val="24"/>
              </w:rPr>
            </w:pPr>
            <w:r w:rsidRPr="00933491">
              <w:rPr>
                <w:rFonts w:ascii="Times New Roman" w:hAnsi="Times New Roman" w:cs="Times New Roman"/>
                <w:sz w:val="20"/>
                <w:szCs w:val="24"/>
              </w:rPr>
              <w:t>João Fortes</w:t>
            </w:r>
          </w:p>
        </w:tc>
        <w:tc>
          <w:tcPr>
            <w:tcW w:w="1843" w:type="dxa"/>
          </w:tcPr>
          <w:p w14:paraId="0FB6A02E" w14:textId="76BE8738" w:rsidR="003D039A" w:rsidRPr="00933491" w:rsidRDefault="002934CF" w:rsidP="0056798E">
            <w:pPr>
              <w:jc w:val="center"/>
              <w:rPr>
                <w:rFonts w:ascii="Times New Roman" w:hAnsi="Times New Roman" w:cs="Times New Roman"/>
                <w:sz w:val="20"/>
                <w:szCs w:val="24"/>
              </w:rPr>
            </w:pPr>
            <w:r w:rsidRPr="00933491">
              <w:rPr>
                <w:rFonts w:ascii="Times New Roman" w:hAnsi="Times New Roman" w:cs="Times New Roman"/>
                <w:sz w:val="20"/>
                <w:szCs w:val="24"/>
              </w:rPr>
              <w:t>JFEN3</w:t>
            </w:r>
          </w:p>
        </w:tc>
      </w:tr>
      <w:tr w:rsidR="003D039A" w:rsidRPr="00933491" w14:paraId="4A427EBB" w14:textId="77777777" w:rsidTr="00FF724B">
        <w:trPr>
          <w:jc w:val="center"/>
        </w:trPr>
        <w:tc>
          <w:tcPr>
            <w:tcW w:w="1526" w:type="dxa"/>
          </w:tcPr>
          <w:p w14:paraId="16730D53" w14:textId="06566762" w:rsidR="003D039A" w:rsidRPr="00CC11DC" w:rsidRDefault="002934CF" w:rsidP="0056798E">
            <w:pPr>
              <w:jc w:val="center"/>
              <w:rPr>
                <w:rFonts w:ascii="Times New Roman" w:hAnsi="Times New Roman" w:cs="Times New Roman"/>
                <w:sz w:val="20"/>
                <w:szCs w:val="24"/>
              </w:rPr>
            </w:pPr>
            <w:r w:rsidRPr="00CC11DC">
              <w:rPr>
                <w:rFonts w:ascii="Times New Roman" w:hAnsi="Times New Roman" w:cs="Times New Roman"/>
                <w:sz w:val="20"/>
                <w:szCs w:val="24"/>
              </w:rPr>
              <w:t>2010</w:t>
            </w:r>
          </w:p>
        </w:tc>
        <w:tc>
          <w:tcPr>
            <w:tcW w:w="1701" w:type="dxa"/>
          </w:tcPr>
          <w:p w14:paraId="56D2D6B5" w14:textId="08AF6905" w:rsidR="003D039A" w:rsidRPr="003E40AC" w:rsidRDefault="002934CF" w:rsidP="0056798E">
            <w:pPr>
              <w:jc w:val="center"/>
              <w:rPr>
                <w:rFonts w:ascii="Times New Roman" w:hAnsi="Times New Roman" w:cs="Times New Roman"/>
                <w:sz w:val="20"/>
                <w:szCs w:val="24"/>
              </w:rPr>
            </w:pPr>
            <w:r w:rsidRPr="003E40AC">
              <w:rPr>
                <w:rFonts w:ascii="Times New Roman" w:hAnsi="Times New Roman" w:cs="Times New Roman"/>
                <w:sz w:val="20"/>
                <w:szCs w:val="24"/>
              </w:rPr>
              <w:t>JBS</w:t>
            </w:r>
          </w:p>
        </w:tc>
        <w:tc>
          <w:tcPr>
            <w:tcW w:w="1276" w:type="dxa"/>
          </w:tcPr>
          <w:p w14:paraId="7183C860" w14:textId="5A1517F2" w:rsidR="003D039A" w:rsidRPr="003E40AC" w:rsidRDefault="002934CF" w:rsidP="0056798E">
            <w:pPr>
              <w:jc w:val="center"/>
              <w:rPr>
                <w:rFonts w:ascii="Times New Roman" w:hAnsi="Times New Roman" w:cs="Times New Roman"/>
                <w:sz w:val="20"/>
                <w:szCs w:val="24"/>
              </w:rPr>
            </w:pPr>
            <w:r w:rsidRPr="003E40AC">
              <w:rPr>
                <w:rFonts w:ascii="Times New Roman" w:hAnsi="Times New Roman" w:cs="Times New Roman"/>
                <w:sz w:val="20"/>
                <w:szCs w:val="24"/>
              </w:rPr>
              <w:t>JBSS3</w:t>
            </w:r>
          </w:p>
        </w:tc>
        <w:tc>
          <w:tcPr>
            <w:tcW w:w="1984" w:type="dxa"/>
          </w:tcPr>
          <w:p w14:paraId="67AAF6EB" w14:textId="198430DF" w:rsidR="003D039A" w:rsidRPr="00933491" w:rsidRDefault="002934CF" w:rsidP="0056798E">
            <w:pPr>
              <w:jc w:val="center"/>
              <w:rPr>
                <w:rFonts w:ascii="Times New Roman" w:hAnsi="Times New Roman" w:cs="Times New Roman"/>
                <w:sz w:val="20"/>
                <w:szCs w:val="24"/>
              </w:rPr>
            </w:pPr>
            <w:r w:rsidRPr="00933491">
              <w:rPr>
                <w:rFonts w:ascii="Times New Roman" w:hAnsi="Times New Roman" w:cs="Times New Roman"/>
                <w:sz w:val="20"/>
                <w:szCs w:val="24"/>
              </w:rPr>
              <w:t>Klabin S/A</w:t>
            </w:r>
          </w:p>
        </w:tc>
        <w:tc>
          <w:tcPr>
            <w:tcW w:w="1843" w:type="dxa"/>
          </w:tcPr>
          <w:p w14:paraId="24CF92E1" w14:textId="08E4BFD0" w:rsidR="003D039A" w:rsidRPr="00933491" w:rsidRDefault="002934CF" w:rsidP="0056798E">
            <w:pPr>
              <w:jc w:val="center"/>
              <w:rPr>
                <w:rFonts w:ascii="Times New Roman" w:hAnsi="Times New Roman" w:cs="Times New Roman"/>
                <w:sz w:val="20"/>
                <w:szCs w:val="24"/>
              </w:rPr>
            </w:pPr>
            <w:r w:rsidRPr="00933491">
              <w:rPr>
                <w:rFonts w:ascii="Times New Roman" w:hAnsi="Times New Roman" w:cs="Times New Roman"/>
                <w:sz w:val="20"/>
                <w:szCs w:val="24"/>
              </w:rPr>
              <w:t>KLBN4</w:t>
            </w:r>
          </w:p>
        </w:tc>
      </w:tr>
      <w:tr w:rsidR="003D039A" w:rsidRPr="00933491" w14:paraId="504F04E2" w14:textId="77777777" w:rsidTr="00FF724B">
        <w:trPr>
          <w:jc w:val="center"/>
        </w:trPr>
        <w:tc>
          <w:tcPr>
            <w:tcW w:w="1526" w:type="dxa"/>
          </w:tcPr>
          <w:p w14:paraId="22B1E820" w14:textId="4A9F3D51" w:rsidR="003D039A" w:rsidRPr="00CC11DC" w:rsidRDefault="002934CF" w:rsidP="0056798E">
            <w:pPr>
              <w:jc w:val="center"/>
              <w:rPr>
                <w:rFonts w:ascii="Times New Roman" w:hAnsi="Times New Roman" w:cs="Times New Roman"/>
                <w:sz w:val="20"/>
                <w:szCs w:val="24"/>
              </w:rPr>
            </w:pPr>
            <w:r w:rsidRPr="00CC11DC">
              <w:rPr>
                <w:rFonts w:ascii="Times New Roman" w:hAnsi="Times New Roman" w:cs="Times New Roman"/>
                <w:sz w:val="20"/>
                <w:szCs w:val="24"/>
              </w:rPr>
              <w:t>2010</w:t>
            </w:r>
          </w:p>
        </w:tc>
        <w:tc>
          <w:tcPr>
            <w:tcW w:w="1701" w:type="dxa"/>
          </w:tcPr>
          <w:p w14:paraId="1E22DD6F" w14:textId="7560A9E7" w:rsidR="003D039A" w:rsidRPr="003E40AC" w:rsidRDefault="002934CF" w:rsidP="0056798E">
            <w:pPr>
              <w:jc w:val="center"/>
              <w:rPr>
                <w:rFonts w:ascii="Times New Roman" w:hAnsi="Times New Roman" w:cs="Times New Roman"/>
                <w:sz w:val="20"/>
                <w:szCs w:val="24"/>
              </w:rPr>
            </w:pPr>
            <w:r w:rsidRPr="003E40AC">
              <w:rPr>
                <w:rFonts w:ascii="Times New Roman" w:hAnsi="Times New Roman" w:cs="Times New Roman"/>
                <w:sz w:val="20"/>
                <w:szCs w:val="24"/>
              </w:rPr>
              <w:t>Lopes Brasil</w:t>
            </w:r>
          </w:p>
        </w:tc>
        <w:tc>
          <w:tcPr>
            <w:tcW w:w="1276" w:type="dxa"/>
          </w:tcPr>
          <w:p w14:paraId="3A959B94" w14:textId="0CFAD926" w:rsidR="003D039A" w:rsidRPr="003E40AC" w:rsidRDefault="002934CF" w:rsidP="0056798E">
            <w:pPr>
              <w:jc w:val="center"/>
              <w:rPr>
                <w:rFonts w:ascii="Times New Roman" w:hAnsi="Times New Roman" w:cs="Times New Roman"/>
                <w:sz w:val="20"/>
                <w:szCs w:val="24"/>
              </w:rPr>
            </w:pPr>
            <w:r w:rsidRPr="003E40AC">
              <w:rPr>
                <w:rFonts w:ascii="Times New Roman" w:hAnsi="Times New Roman" w:cs="Times New Roman"/>
                <w:sz w:val="20"/>
                <w:szCs w:val="24"/>
              </w:rPr>
              <w:t>LPSB3</w:t>
            </w:r>
          </w:p>
        </w:tc>
        <w:tc>
          <w:tcPr>
            <w:tcW w:w="1984" w:type="dxa"/>
          </w:tcPr>
          <w:p w14:paraId="187E55B5" w14:textId="2CD570B6" w:rsidR="003D039A" w:rsidRPr="00933491" w:rsidRDefault="002934CF" w:rsidP="0056798E">
            <w:pPr>
              <w:jc w:val="center"/>
              <w:rPr>
                <w:rFonts w:ascii="Times New Roman" w:hAnsi="Times New Roman" w:cs="Times New Roman"/>
                <w:sz w:val="20"/>
                <w:szCs w:val="24"/>
              </w:rPr>
            </w:pPr>
            <w:proofErr w:type="spellStart"/>
            <w:r w:rsidRPr="00933491">
              <w:rPr>
                <w:rFonts w:ascii="Times New Roman" w:hAnsi="Times New Roman" w:cs="Times New Roman"/>
                <w:sz w:val="20"/>
                <w:szCs w:val="24"/>
              </w:rPr>
              <w:t>Odontoprev</w:t>
            </w:r>
            <w:proofErr w:type="spellEnd"/>
          </w:p>
        </w:tc>
        <w:tc>
          <w:tcPr>
            <w:tcW w:w="1843" w:type="dxa"/>
          </w:tcPr>
          <w:p w14:paraId="41AACB88" w14:textId="1FC569B3" w:rsidR="003D039A" w:rsidRPr="00933491" w:rsidRDefault="002934CF" w:rsidP="0056798E">
            <w:pPr>
              <w:jc w:val="center"/>
              <w:rPr>
                <w:rFonts w:ascii="Times New Roman" w:hAnsi="Times New Roman" w:cs="Times New Roman"/>
                <w:sz w:val="20"/>
                <w:szCs w:val="24"/>
              </w:rPr>
            </w:pPr>
            <w:r w:rsidRPr="00933491">
              <w:rPr>
                <w:rFonts w:ascii="Times New Roman" w:hAnsi="Times New Roman" w:cs="Times New Roman"/>
                <w:sz w:val="20"/>
                <w:szCs w:val="24"/>
              </w:rPr>
              <w:t>ODPV3</w:t>
            </w:r>
          </w:p>
        </w:tc>
      </w:tr>
      <w:tr w:rsidR="003D039A" w:rsidRPr="00933491" w14:paraId="775BD02C" w14:textId="77777777" w:rsidTr="00FF724B">
        <w:trPr>
          <w:jc w:val="center"/>
        </w:trPr>
        <w:tc>
          <w:tcPr>
            <w:tcW w:w="1526" w:type="dxa"/>
          </w:tcPr>
          <w:p w14:paraId="698B3AD6" w14:textId="7374AB80" w:rsidR="003D039A" w:rsidRPr="00CC11DC" w:rsidRDefault="002934CF" w:rsidP="0056798E">
            <w:pPr>
              <w:jc w:val="center"/>
              <w:rPr>
                <w:rFonts w:ascii="Times New Roman" w:hAnsi="Times New Roman" w:cs="Times New Roman"/>
                <w:sz w:val="20"/>
                <w:szCs w:val="24"/>
              </w:rPr>
            </w:pPr>
            <w:r w:rsidRPr="00CC11DC">
              <w:rPr>
                <w:rFonts w:ascii="Times New Roman" w:hAnsi="Times New Roman" w:cs="Times New Roman"/>
                <w:sz w:val="20"/>
                <w:szCs w:val="24"/>
              </w:rPr>
              <w:t>2010</w:t>
            </w:r>
          </w:p>
        </w:tc>
        <w:tc>
          <w:tcPr>
            <w:tcW w:w="1701" w:type="dxa"/>
          </w:tcPr>
          <w:p w14:paraId="1D5D1EDA" w14:textId="22550483" w:rsidR="003D039A" w:rsidRPr="003E40AC" w:rsidRDefault="002934CF" w:rsidP="0056798E">
            <w:pPr>
              <w:jc w:val="center"/>
              <w:rPr>
                <w:rFonts w:ascii="Times New Roman" w:hAnsi="Times New Roman" w:cs="Times New Roman"/>
                <w:sz w:val="20"/>
                <w:szCs w:val="24"/>
              </w:rPr>
            </w:pPr>
            <w:r w:rsidRPr="003E40AC">
              <w:rPr>
                <w:rFonts w:ascii="Times New Roman" w:hAnsi="Times New Roman" w:cs="Times New Roman"/>
                <w:sz w:val="20"/>
                <w:szCs w:val="24"/>
              </w:rPr>
              <w:t>Petrobras</w:t>
            </w:r>
          </w:p>
        </w:tc>
        <w:tc>
          <w:tcPr>
            <w:tcW w:w="1276" w:type="dxa"/>
          </w:tcPr>
          <w:p w14:paraId="18755562" w14:textId="329AE158" w:rsidR="003D039A" w:rsidRPr="003E40AC" w:rsidRDefault="002934CF" w:rsidP="0056798E">
            <w:pPr>
              <w:jc w:val="center"/>
              <w:rPr>
                <w:rFonts w:ascii="Times New Roman" w:hAnsi="Times New Roman" w:cs="Times New Roman"/>
                <w:sz w:val="20"/>
                <w:szCs w:val="24"/>
              </w:rPr>
            </w:pPr>
            <w:r w:rsidRPr="003E40AC">
              <w:rPr>
                <w:rFonts w:ascii="Times New Roman" w:hAnsi="Times New Roman" w:cs="Times New Roman"/>
                <w:sz w:val="20"/>
                <w:szCs w:val="24"/>
              </w:rPr>
              <w:t>PETR3</w:t>
            </w:r>
          </w:p>
        </w:tc>
        <w:tc>
          <w:tcPr>
            <w:tcW w:w="1984" w:type="dxa"/>
          </w:tcPr>
          <w:p w14:paraId="68594F50" w14:textId="3E5FF7F2" w:rsidR="003D039A" w:rsidRPr="00CC11DC" w:rsidRDefault="002934CF" w:rsidP="0056798E">
            <w:pPr>
              <w:jc w:val="center"/>
              <w:rPr>
                <w:rFonts w:ascii="Times New Roman" w:hAnsi="Times New Roman" w:cs="Times New Roman"/>
                <w:sz w:val="20"/>
                <w:szCs w:val="24"/>
              </w:rPr>
            </w:pPr>
            <w:r w:rsidRPr="003E40AC">
              <w:rPr>
                <w:rFonts w:ascii="Times New Roman" w:hAnsi="Times New Roman" w:cs="Times New Roman"/>
                <w:sz w:val="20"/>
                <w:szCs w:val="24"/>
              </w:rPr>
              <w:t>Itausa</w:t>
            </w:r>
          </w:p>
        </w:tc>
        <w:tc>
          <w:tcPr>
            <w:tcW w:w="1843" w:type="dxa"/>
          </w:tcPr>
          <w:p w14:paraId="4544B18A" w14:textId="61758CDE" w:rsidR="003D039A" w:rsidRPr="003E40AC" w:rsidRDefault="002934CF" w:rsidP="0056798E">
            <w:pPr>
              <w:jc w:val="center"/>
              <w:rPr>
                <w:rFonts w:ascii="Times New Roman" w:hAnsi="Times New Roman" w:cs="Times New Roman"/>
                <w:sz w:val="20"/>
                <w:szCs w:val="24"/>
              </w:rPr>
            </w:pPr>
            <w:r w:rsidRPr="003E40AC">
              <w:rPr>
                <w:rFonts w:ascii="Times New Roman" w:hAnsi="Times New Roman" w:cs="Times New Roman"/>
                <w:sz w:val="20"/>
                <w:szCs w:val="24"/>
              </w:rPr>
              <w:t>ITSA3</w:t>
            </w:r>
          </w:p>
        </w:tc>
      </w:tr>
      <w:tr w:rsidR="002934CF" w:rsidRPr="00933491" w14:paraId="4149FEEC" w14:textId="77777777" w:rsidTr="00FF724B">
        <w:trPr>
          <w:jc w:val="center"/>
        </w:trPr>
        <w:tc>
          <w:tcPr>
            <w:tcW w:w="1526" w:type="dxa"/>
          </w:tcPr>
          <w:p w14:paraId="529CAFC4" w14:textId="5CAFB7ED" w:rsidR="002934CF" w:rsidRPr="00CC11DC" w:rsidRDefault="002934CF" w:rsidP="0056798E">
            <w:pPr>
              <w:jc w:val="center"/>
              <w:rPr>
                <w:rFonts w:ascii="Times New Roman" w:hAnsi="Times New Roman" w:cs="Times New Roman"/>
                <w:sz w:val="20"/>
                <w:szCs w:val="24"/>
              </w:rPr>
            </w:pPr>
            <w:r w:rsidRPr="00CC11DC">
              <w:rPr>
                <w:rFonts w:ascii="Times New Roman" w:hAnsi="Times New Roman" w:cs="Times New Roman"/>
                <w:sz w:val="20"/>
                <w:szCs w:val="24"/>
              </w:rPr>
              <w:t>2010</w:t>
            </w:r>
          </w:p>
        </w:tc>
        <w:tc>
          <w:tcPr>
            <w:tcW w:w="1701" w:type="dxa"/>
          </w:tcPr>
          <w:p w14:paraId="600FC2C0" w14:textId="549D7804" w:rsidR="002934CF" w:rsidRPr="003E40AC" w:rsidRDefault="002934CF" w:rsidP="0056798E">
            <w:pPr>
              <w:jc w:val="center"/>
              <w:rPr>
                <w:rFonts w:ascii="Times New Roman" w:hAnsi="Times New Roman" w:cs="Times New Roman"/>
                <w:sz w:val="20"/>
                <w:szCs w:val="24"/>
              </w:rPr>
            </w:pPr>
            <w:proofErr w:type="spellStart"/>
            <w:r w:rsidRPr="003E40AC">
              <w:rPr>
                <w:rFonts w:ascii="Times New Roman" w:hAnsi="Times New Roman" w:cs="Times New Roman"/>
                <w:sz w:val="20"/>
                <w:szCs w:val="24"/>
              </w:rPr>
              <w:t>Inpar</w:t>
            </w:r>
            <w:proofErr w:type="spellEnd"/>
            <w:r w:rsidRPr="003E40AC">
              <w:rPr>
                <w:rFonts w:ascii="Times New Roman" w:hAnsi="Times New Roman" w:cs="Times New Roman"/>
                <w:sz w:val="20"/>
                <w:szCs w:val="24"/>
              </w:rPr>
              <w:t xml:space="preserve"> S/A</w:t>
            </w:r>
          </w:p>
        </w:tc>
        <w:tc>
          <w:tcPr>
            <w:tcW w:w="1276" w:type="dxa"/>
          </w:tcPr>
          <w:p w14:paraId="57AF23B4" w14:textId="29C3EEDF" w:rsidR="002934CF" w:rsidRPr="003E40AC" w:rsidRDefault="002934CF" w:rsidP="0056798E">
            <w:pPr>
              <w:jc w:val="center"/>
              <w:rPr>
                <w:rFonts w:ascii="Times New Roman" w:hAnsi="Times New Roman" w:cs="Times New Roman"/>
                <w:sz w:val="20"/>
                <w:szCs w:val="24"/>
              </w:rPr>
            </w:pPr>
            <w:r w:rsidRPr="003E40AC">
              <w:rPr>
                <w:rFonts w:ascii="Times New Roman" w:hAnsi="Times New Roman" w:cs="Times New Roman"/>
                <w:sz w:val="20"/>
                <w:szCs w:val="24"/>
              </w:rPr>
              <w:t>VIVR3</w:t>
            </w:r>
          </w:p>
        </w:tc>
        <w:tc>
          <w:tcPr>
            <w:tcW w:w="1984" w:type="dxa"/>
          </w:tcPr>
          <w:p w14:paraId="74F99611" w14:textId="1D123D95" w:rsidR="002934CF" w:rsidRPr="00933491" w:rsidRDefault="000319F6" w:rsidP="0056798E">
            <w:pPr>
              <w:jc w:val="center"/>
              <w:rPr>
                <w:rFonts w:ascii="Times New Roman" w:hAnsi="Times New Roman" w:cs="Times New Roman"/>
                <w:sz w:val="20"/>
                <w:szCs w:val="24"/>
              </w:rPr>
            </w:pPr>
            <w:r w:rsidRPr="00933491">
              <w:rPr>
                <w:rFonts w:ascii="Times New Roman" w:hAnsi="Times New Roman" w:cs="Times New Roman"/>
                <w:sz w:val="20"/>
                <w:szCs w:val="24"/>
              </w:rPr>
              <w:t>Trisul</w:t>
            </w:r>
          </w:p>
        </w:tc>
        <w:tc>
          <w:tcPr>
            <w:tcW w:w="1843" w:type="dxa"/>
          </w:tcPr>
          <w:p w14:paraId="25FEF6AD" w14:textId="22081852" w:rsidR="002934CF" w:rsidRPr="00933491" w:rsidRDefault="000319F6" w:rsidP="0056798E">
            <w:pPr>
              <w:jc w:val="center"/>
              <w:rPr>
                <w:rFonts w:ascii="Times New Roman" w:hAnsi="Times New Roman" w:cs="Times New Roman"/>
                <w:sz w:val="20"/>
                <w:szCs w:val="24"/>
              </w:rPr>
            </w:pPr>
            <w:r w:rsidRPr="00933491">
              <w:rPr>
                <w:rFonts w:ascii="Times New Roman" w:hAnsi="Times New Roman" w:cs="Times New Roman"/>
                <w:sz w:val="20"/>
                <w:szCs w:val="24"/>
              </w:rPr>
              <w:t>TRIS3</w:t>
            </w:r>
          </w:p>
        </w:tc>
      </w:tr>
      <w:tr w:rsidR="00A728E3" w:rsidRPr="00933491" w14:paraId="1BCA18E3" w14:textId="77777777" w:rsidTr="00FF724B">
        <w:trPr>
          <w:jc w:val="center"/>
        </w:trPr>
        <w:tc>
          <w:tcPr>
            <w:tcW w:w="1526" w:type="dxa"/>
          </w:tcPr>
          <w:p w14:paraId="48754F96" w14:textId="0A82C8DF" w:rsidR="00A728E3" w:rsidRPr="00CC11DC" w:rsidRDefault="00A728E3" w:rsidP="0056798E">
            <w:pPr>
              <w:jc w:val="center"/>
              <w:rPr>
                <w:rFonts w:ascii="Times New Roman" w:hAnsi="Times New Roman" w:cs="Times New Roman"/>
                <w:sz w:val="20"/>
                <w:szCs w:val="24"/>
              </w:rPr>
            </w:pPr>
            <w:r w:rsidRPr="00CC11DC">
              <w:rPr>
                <w:rFonts w:ascii="Times New Roman" w:hAnsi="Times New Roman" w:cs="Times New Roman"/>
                <w:sz w:val="20"/>
                <w:szCs w:val="24"/>
              </w:rPr>
              <w:t>2011</w:t>
            </w:r>
          </w:p>
        </w:tc>
        <w:tc>
          <w:tcPr>
            <w:tcW w:w="1701" w:type="dxa"/>
          </w:tcPr>
          <w:p w14:paraId="577B0E99" w14:textId="5009408B" w:rsidR="00A728E3" w:rsidRPr="003E40AC" w:rsidRDefault="00A728E3" w:rsidP="0056798E">
            <w:pPr>
              <w:jc w:val="center"/>
              <w:rPr>
                <w:rFonts w:ascii="Times New Roman" w:hAnsi="Times New Roman" w:cs="Times New Roman"/>
                <w:sz w:val="20"/>
                <w:szCs w:val="24"/>
              </w:rPr>
            </w:pPr>
            <w:r w:rsidRPr="003E40AC">
              <w:rPr>
                <w:rFonts w:ascii="Times New Roman" w:hAnsi="Times New Roman" w:cs="Times New Roman"/>
                <w:sz w:val="20"/>
                <w:szCs w:val="24"/>
              </w:rPr>
              <w:t xml:space="preserve">BR </w:t>
            </w:r>
            <w:proofErr w:type="spellStart"/>
            <w:r w:rsidRPr="003E40AC">
              <w:rPr>
                <w:rFonts w:ascii="Times New Roman" w:hAnsi="Times New Roman" w:cs="Times New Roman"/>
                <w:sz w:val="20"/>
                <w:szCs w:val="24"/>
              </w:rPr>
              <w:t>Brokers</w:t>
            </w:r>
            <w:proofErr w:type="spellEnd"/>
          </w:p>
        </w:tc>
        <w:tc>
          <w:tcPr>
            <w:tcW w:w="1276" w:type="dxa"/>
          </w:tcPr>
          <w:p w14:paraId="26EBED02" w14:textId="5956D1D1" w:rsidR="00A728E3" w:rsidRPr="003E40AC" w:rsidRDefault="00A728E3" w:rsidP="0056798E">
            <w:pPr>
              <w:jc w:val="center"/>
              <w:rPr>
                <w:rFonts w:ascii="Times New Roman" w:hAnsi="Times New Roman" w:cs="Times New Roman"/>
                <w:sz w:val="20"/>
                <w:szCs w:val="24"/>
              </w:rPr>
            </w:pPr>
            <w:r w:rsidRPr="003E40AC">
              <w:rPr>
                <w:rFonts w:ascii="Times New Roman" w:hAnsi="Times New Roman" w:cs="Times New Roman"/>
                <w:sz w:val="20"/>
                <w:szCs w:val="24"/>
              </w:rPr>
              <w:t>BBRK3</w:t>
            </w:r>
          </w:p>
        </w:tc>
        <w:tc>
          <w:tcPr>
            <w:tcW w:w="1984" w:type="dxa"/>
          </w:tcPr>
          <w:p w14:paraId="43F02F02" w14:textId="286BC7F7" w:rsidR="00A728E3" w:rsidRPr="00933491" w:rsidRDefault="00A728E3" w:rsidP="0056798E">
            <w:pPr>
              <w:jc w:val="center"/>
              <w:rPr>
                <w:rFonts w:ascii="Times New Roman" w:hAnsi="Times New Roman" w:cs="Times New Roman"/>
                <w:sz w:val="20"/>
                <w:szCs w:val="24"/>
              </w:rPr>
            </w:pPr>
            <w:proofErr w:type="spellStart"/>
            <w:r w:rsidRPr="00933491">
              <w:rPr>
                <w:rFonts w:ascii="Times New Roman" w:hAnsi="Times New Roman" w:cs="Times New Roman"/>
                <w:sz w:val="20"/>
                <w:szCs w:val="24"/>
              </w:rPr>
              <w:t>Cyre</w:t>
            </w:r>
            <w:proofErr w:type="spellEnd"/>
            <w:r w:rsidRPr="00933491">
              <w:rPr>
                <w:rFonts w:ascii="Times New Roman" w:hAnsi="Times New Roman" w:cs="Times New Roman"/>
                <w:sz w:val="20"/>
                <w:szCs w:val="24"/>
              </w:rPr>
              <w:t xml:space="preserve"> </w:t>
            </w:r>
            <w:proofErr w:type="spellStart"/>
            <w:r w:rsidRPr="00933491">
              <w:rPr>
                <w:rFonts w:ascii="Times New Roman" w:hAnsi="Times New Roman" w:cs="Times New Roman"/>
                <w:sz w:val="20"/>
                <w:szCs w:val="24"/>
              </w:rPr>
              <w:t>Com-Ccp</w:t>
            </w:r>
            <w:proofErr w:type="spellEnd"/>
          </w:p>
        </w:tc>
        <w:tc>
          <w:tcPr>
            <w:tcW w:w="1843" w:type="dxa"/>
          </w:tcPr>
          <w:p w14:paraId="70482BED" w14:textId="67293D7E" w:rsidR="00A728E3" w:rsidRPr="00933491" w:rsidRDefault="00A728E3" w:rsidP="0056798E">
            <w:pPr>
              <w:jc w:val="center"/>
              <w:rPr>
                <w:rFonts w:ascii="Times New Roman" w:hAnsi="Times New Roman" w:cs="Times New Roman"/>
                <w:sz w:val="20"/>
                <w:szCs w:val="24"/>
              </w:rPr>
            </w:pPr>
            <w:r w:rsidRPr="00933491">
              <w:rPr>
                <w:rFonts w:ascii="Times New Roman" w:hAnsi="Times New Roman" w:cs="Times New Roman"/>
                <w:sz w:val="20"/>
                <w:szCs w:val="24"/>
              </w:rPr>
              <w:t>CCPR3</w:t>
            </w:r>
          </w:p>
        </w:tc>
      </w:tr>
      <w:tr w:rsidR="00A728E3" w:rsidRPr="00933491" w14:paraId="32A43DA8" w14:textId="77777777" w:rsidTr="00FF724B">
        <w:trPr>
          <w:jc w:val="center"/>
        </w:trPr>
        <w:tc>
          <w:tcPr>
            <w:tcW w:w="1526" w:type="dxa"/>
          </w:tcPr>
          <w:p w14:paraId="7DFBB54B" w14:textId="3428F94B" w:rsidR="00A728E3" w:rsidRPr="00CC11DC" w:rsidRDefault="00A728E3" w:rsidP="0056798E">
            <w:pPr>
              <w:jc w:val="center"/>
              <w:rPr>
                <w:rFonts w:ascii="Times New Roman" w:hAnsi="Times New Roman" w:cs="Times New Roman"/>
                <w:sz w:val="20"/>
                <w:szCs w:val="24"/>
              </w:rPr>
            </w:pPr>
            <w:r w:rsidRPr="00CC11DC">
              <w:rPr>
                <w:rFonts w:ascii="Times New Roman" w:hAnsi="Times New Roman" w:cs="Times New Roman"/>
                <w:sz w:val="20"/>
                <w:szCs w:val="24"/>
              </w:rPr>
              <w:t>2011</w:t>
            </w:r>
          </w:p>
        </w:tc>
        <w:tc>
          <w:tcPr>
            <w:tcW w:w="1701" w:type="dxa"/>
          </w:tcPr>
          <w:p w14:paraId="3C66F169" w14:textId="0C159B98" w:rsidR="00A728E3" w:rsidRPr="003E40AC" w:rsidRDefault="00A728E3" w:rsidP="0056798E">
            <w:pPr>
              <w:jc w:val="center"/>
              <w:rPr>
                <w:rFonts w:ascii="Times New Roman" w:hAnsi="Times New Roman" w:cs="Times New Roman"/>
                <w:sz w:val="20"/>
                <w:szCs w:val="24"/>
              </w:rPr>
            </w:pPr>
            <w:r w:rsidRPr="003E40AC">
              <w:rPr>
                <w:rFonts w:ascii="Times New Roman" w:hAnsi="Times New Roman" w:cs="Times New Roman"/>
                <w:sz w:val="20"/>
                <w:szCs w:val="24"/>
              </w:rPr>
              <w:t xml:space="preserve">BR </w:t>
            </w:r>
            <w:proofErr w:type="spellStart"/>
            <w:r w:rsidRPr="003E40AC">
              <w:rPr>
                <w:rFonts w:ascii="Times New Roman" w:hAnsi="Times New Roman" w:cs="Times New Roman"/>
                <w:sz w:val="20"/>
                <w:szCs w:val="24"/>
              </w:rPr>
              <w:t>Propert</w:t>
            </w:r>
            <w:proofErr w:type="spellEnd"/>
          </w:p>
        </w:tc>
        <w:tc>
          <w:tcPr>
            <w:tcW w:w="1276" w:type="dxa"/>
          </w:tcPr>
          <w:p w14:paraId="54482A07" w14:textId="4560A3BE" w:rsidR="00A728E3" w:rsidRPr="003E40AC" w:rsidRDefault="00A728E3" w:rsidP="0056798E">
            <w:pPr>
              <w:jc w:val="center"/>
              <w:rPr>
                <w:rFonts w:ascii="Times New Roman" w:hAnsi="Times New Roman" w:cs="Times New Roman"/>
                <w:sz w:val="20"/>
                <w:szCs w:val="24"/>
              </w:rPr>
            </w:pPr>
            <w:r w:rsidRPr="003E40AC">
              <w:rPr>
                <w:rFonts w:ascii="Times New Roman" w:hAnsi="Times New Roman" w:cs="Times New Roman"/>
                <w:sz w:val="20"/>
                <w:szCs w:val="24"/>
              </w:rPr>
              <w:t>BRPR3</w:t>
            </w:r>
          </w:p>
        </w:tc>
        <w:tc>
          <w:tcPr>
            <w:tcW w:w="1984" w:type="dxa"/>
          </w:tcPr>
          <w:p w14:paraId="6F81230F" w14:textId="07423017" w:rsidR="00A728E3" w:rsidRPr="00933491" w:rsidRDefault="00A728E3" w:rsidP="0056798E">
            <w:pPr>
              <w:jc w:val="center"/>
              <w:rPr>
                <w:rFonts w:ascii="Times New Roman" w:hAnsi="Times New Roman" w:cs="Times New Roman"/>
                <w:sz w:val="20"/>
                <w:szCs w:val="24"/>
              </w:rPr>
            </w:pPr>
            <w:r w:rsidRPr="00933491">
              <w:rPr>
                <w:rFonts w:ascii="Times New Roman" w:hAnsi="Times New Roman" w:cs="Times New Roman"/>
                <w:sz w:val="20"/>
                <w:szCs w:val="24"/>
              </w:rPr>
              <w:t>Coelba</w:t>
            </w:r>
          </w:p>
        </w:tc>
        <w:tc>
          <w:tcPr>
            <w:tcW w:w="1843" w:type="dxa"/>
          </w:tcPr>
          <w:p w14:paraId="482AF275" w14:textId="41B0224E" w:rsidR="00A728E3" w:rsidRPr="00933491" w:rsidRDefault="00A728E3" w:rsidP="0056798E">
            <w:pPr>
              <w:jc w:val="center"/>
              <w:rPr>
                <w:rFonts w:ascii="Times New Roman" w:hAnsi="Times New Roman" w:cs="Times New Roman"/>
                <w:sz w:val="20"/>
                <w:szCs w:val="24"/>
              </w:rPr>
            </w:pPr>
            <w:r w:rsidRPr="00933491">
              <w:rPr>
                <w:rFonts w:ascii="Times New Roman" w:hAnsi="Times New Roman" w:cs="Times New Roman"/>
                <w:sz w:val="20"/>
                <w:szCs w:val="24"/>
              </w:rPr>
              <w:t>CEEB3</w:t>
            </w:r>
          </w:p>
        </w:tc>
      </w:tr>
      <w:tr w:rsidR="00A728E3" w:rsidRPr="00933491" w14:paraId="0CFF44B0" w14:textId="77777777" w:rsidTr="00FF724B">
        <w:trPr>
          <w:jc w:val="center"/>
        </w:trPr>
        <w:tc>
          <w:tcPr>
            <w:tcW w:w="1526" w:type="dxa"/>
          </w:tcPr>
          <w:p w14:paraId="15B859B6" w14:textId="37FACDEF" w:rsidR="00A728E3" w:rsidRPr="00CC11DC" w:rsidRDefault="00A728E3" w:rsidP="0056798E">
            <w:pPr>
              <w:jc w:val="center"/>
              <w:rPr>
                <w:rFonts w:ascii="Times New Roman" w:hAnsi="Times New Roman" w:cs="Times New Roman"/>
                <w:sz w:val="20"/>
                <w:szCs w:val="24"/>
              </w:rPr>
            </w:pPr>
            <w:r w:rsidRPr="00CC11DC">
              <w:rPr>
                <w:rFonts w:ascii="Times New Roman" w:hAnsi="Times New Roman" w:cs="Times New Roman"/>
                <w:sz w:val="20"/>
                <w:szCs w:val="24"/>
              </w:rPr>
              <w:t>2011</w:t>
            </w:r>
          </w:p>
        </w:tc>
        <w:tc>
          <w:tcPr>
            <w:tcW w:w="1701" w:type="dxa"/>
          </w:tcPr>
          <w:p w14:paraId="5C56588F" w14:textId="54B920CB" w:rsidR="00A728E3" w:rsidRPr="003E40AC" w:rsidRDefault="00A728E3" w:rsidP="0056798E">
            <w:pPr>
              <w:jc w:val="center"/>
              <w:rPr>
                <w:rFonts w:ascii="Times New Roman" w:hAnsi="Times New Roman" w:cs="Times New Roman"/>
                <w:sz w:val="20"/>
                <w:szCs w:val="24"/>
              </w:rPr>
            </w:pPr>
            <w:r w:rsidRPr="003E40AC">
              <w:rPr>
                <w:rFonts w:ascii="Times New Roman" w:hAnsi="Times New Roman" w:cs="Times New Roman"/>
                <w:sz w:val="20"/>
                <w:szCs w:val="24"/>
              </w:rPr>
              <w:t>Direcional</w:t>
            </w:r>
          </w:p>
        </w:tc>
        <w:tc>
          <w:tcPr>
            <w:tcW w:w="1276" w:type="dxa"/>
          </w:tcPr>
          <w:p w14:paraId="77903DB0" w14:textId="69692A15" w:rsidR="00A728E3" w:rsidRPr="003E40AC" w:rsidRDefault="00A728E3" w:rsidP="0056798E">
            <w:pPr>
              <w:jc w:val="center"/>
              <w:rPr>
                <w:rFonts w:ascii="Times New Roman" w:hAnsi="Times New Roman" w:cs="Times New Roman"/>
                <w:sz w:val="20"/>
                <w:szCs w:val="24"/>
              </w:rPr>
            </w:pPr>
            <w:r w:rsidRPr="003E40AC">
              <w:rPr>
                <w:rFonts w:ascii="Times New Roman" w:hAnsi="Times New Roman" w:cs="Times New Roman"/>
                <w:sz w:val="20"/>
                <w:szCs w:val="24"/>
              </w:rPr>
              <w:t>DIRR3</w:t>
            </w:r>
          </w:p>
        </w:tc>
        <w:tc>
          <w:tcPr>
            <w:tcW w:w="1984" w:type="dxa"/>
          </w:tcPr>
          <w:p w14:paraId="739B7DAC" w14:textId="5590B8FC" w:rsidR="00A728E3" w:rsidRPr="00933491" w:rsidRDefault="00A728E3" w:rsidP="0056798E">
            <w:pPr>
              <w:jc w:val="center"/>
              <w:rPr>
                <w:rFonts w:ascii="Times New Roman" w:hAnsi="Times New Roman" w:cs="Times New Roman"/>
                <w:sz w:val="20"/>
                <w:szCs w:val="24"/>
              </w:rPr>
            </w:pPr>
            <w:r w:rsidRPr="00933491">
              <w:rPr>
                <w:rFonts w:ascii="Times New Roman" w:hAnsi="Times New Roman" w:cs="Times New Roman"/>
                <w:sz w:val="20"/>
                <w:szCs w:val="24"/>
              </w:rPr>
              <w:t xml:space="preserve">JHSF </w:t>
            </w:r>
            <w:proofErr w:type="spellStart"/>
            <w:r w:rsidRPr="00933491">
              <w:rPr>
                <w:rFonts w:ascii="Times New Roman" w:hAnsi="Times New Roman" w:cs="Times New Roman"/>
                <w:sz w:val="20"/>
                <w:szCs w:val="24"/>
              </w:rPr>
              <w:t>Part</w:t>
            </w:r>
            <w:proofErr w:type="spellEnd"/>
          </w:p>
        </w:tc>
        <w:tc>
          <w:tcPr>
            <w:tcW w:w="1843" w:type="dxa"/>
          </w:tcPr>
          <w:p w14:paraId="2F312FB0" w14:textId="2ECD1A50" w:rsidR="00A728E3" w:rsidRPr="00933491" w:rsidRDefault="00A728E3" w:rsidP="0056798E">
            <w:pPr>
              <w:jc w:val="center"/>
              <w:rPr>
                <w:rFonts w:ascii="Times New Roman" w:hAnsi="Times New Roman" w:cs="Times New Roman"/>
                <w:sz w:val="20"/>
                <w:szCs w:val="24"/>
              </w:rPr>
            </w:pPr>
            <w:r w:rsidRPr="00933491">
              <w:rPr>
                <w:rFonts w:ascii="Times New Roman" w:hAnsi="Times New Roman" w:cs="Times New Roman"/>
                <w:sz w:val="20"/>
                <w:szCs w:val="24"/>
              </w:rPr>
              <w:t>JHSF3</w:t>
            </w:r>
          </w:p>
        </w:tc>
      </w:tr>
      <w:tr w:rsidR="00A728E3" w:rsidRPr="00933491" w14:paraId="5E0841D2" w14:textId="77777777" w:rsidTr="00FF724B">
        <w:trPr>
          <w:jc w:val="center"/>
        </w:trPr>
        <w:tc>
          <w:tcPr>
            <w:tcW w:w="1526" w:type="dxa"/>
          </w:tcPr>
          <w:p w14:paraId="08541C76" w14:textId="7DD206A8" w:rsidR="00A728E3" w:rsidRPr="00CC11DC" w:rsidRDefault="00A728E3" w:rsidP="0056798E">
            <w:pPr>
              <w:jc w:val="center"/>
              <w:rPr>
                <w:rFonts w:ascii="Times New Roman" w:hAnsi="Times New Roman" w:cs="Times New Roman"/>
                <w:sz w:val="20"/>
                <w:szCs w:val="24"/>
              </w:rPr>
            </w:pPr>
            <w:r w:rsidRPr="00CC11DC">
              <w:rPr>
                <w:rFonts w:ascii="Times New Roman" w:hAnsi="Times New Roman" w:cs="Times New Roman"/>
                <w:sz w:val="20"/>
                <w:szCs w:val="24"/>
              </w:rPr>
              <w:t>2011</w:t>
            </w:r>
          </w:p>
        </w:tc>
        <w:tc>
          <w:tcPr>
            <w:tcW w:w="1701" w:type="dxa"/>
          </w:tcPr>
          <w:p w14:paraId="1DD4861A" w14:textId="7D51C0FB" w:rsidR="00A728E3" w:rsidRPr="003E40AC" w:rsidRDefault="00A728E3" w:rsidP="0056798E">
            <w:pPr>
              <w:jc w:val="center"/>
              <w:rPr>
                <w:rFonts w:ascii="Times New Roman" w:hAnsi="Times New Roman" w:cs="Times New Roman"/>
                <w:sz w:val="20"/>
                <w:szCs w:val="24"/>
              </w:rPr>
            </w:pPr>
            <w:r w:rsidRPr="003E40AC">
              <w:rPr>
                <w:rFonts w:ascii="Times New Roman" w:hAnsi="Times New Roman" w:cs="Times New Roman"/>
                <w:sz w:val="20"/>
                <w:szCs w:val="24"/>
              </w:rPr>
              <w:t>Magnesita SA</w:t>
            </w:r>
          </w:p>
        </w:tc>
        <w:tc>
          <w:tcPr>
            <w:tcW w:w="1276" w:type="dxa"/>
          </w:tcPr>
          <w:p w14:paraId="7D2965DD" w14:textId="535F5EDC" w:rsidR="00A728E3" w:rsidRPr="003E40AC" w:rsidRDefault="00A728E3" w:rsidP="0056798E">
            <w:pPr>
              <w:jc w:val="center"/>
              <w:rPr>
                <w:rFonts w:ascii="Times New Roman" w:hAnsi="Times New Roman" w:cs="Times New Roman"/>
                <w:sz w:val="20"/>
                <w:szCs w:val="24"/>
              </w:rPr>
            </w:pPr>
            <w:r w:rsidRPr="003E40AC">
              <w:rPr>
                <w:rFonts w:ascii="Times New Roman" w:hAnsi="Times New Roman" w:cs="Times New Roman"/>
                <w:sz w:val="20"/>
                <w:szCs w:val="24"/>
              </w:rPr>
              <w:t>MAGG3</w:t>
            </w:r>
          </w:p>
        </w:tc>
        <w:tc>
          <w:tcPr>
            <w:tcW w:w="1984" w:type="dxa"/>
          </w:tcPr>
          <w:p w14:paraId="3835C7FF" w14:textId="5716A04E" w:rsidR="00A728E3" w:rsidRPr="00933491" w:rsidRDefault="00A728E3" w:rsidP="0056798E">
            <w:pPr>
              <w:jc w:val="center"/>
              <w:rPr>
                <w:rFonts w:ascii="Times New Roman" w:hAnsi="Times New Roman" w:cs="Times New Roman"/>
                <w:sz w:val="20"/>
                <w:szCs w:val="24"/>
              </w:rPr>
            </w:pPr>
            <w:r w:rsidRPr="00933491">
              <w:rPr>
                <w:rFonts w:ascii="Times New Roman" w:hAnsi="Times New Roman" w:cs="Times New Roman"/>
                <w:sz w:val="20"/>
                <w:szCs w:val="24"/>
              </w:rPr>
              <w:t>MMX Miner</w:t>
            </w:r>
          </w:p>
        </w:tc>
        <w:tc>
          <w:tcPr>
            <w:tcW w:w="1843" w:type="dxa"/>
          </w:tcPr>
          <w:p w14:paraId="02464D18" w14:textId="53FAA0C2" w:rsidR="00A728E3" w:rsidRPr="00933491" w:rsidRDefault="00A728E3" w:rsidP="0056798E">
            <w:pPr>
              <w:jc w:val="center"/>
              <w:rPr>
                <w:rFonts w:ascii="Times New Roman" w:hAnsi="Times New Roman" w:cs="Times New Roman"/>
                <w:sz w:val="20"/>
                <w:szCs w:val="24"/>
              </w:rPr>
            </w:pPr>
            <w:r w:rsidRPr="00933491">
              <w:rPr>
                <w:rFonts w:ascii="Times New Roman" w:hAnsi="Times New Roman" w:cs="Times New Roman"/>
                <w:sz w:val="20"/>
                <w:szCs w:val="24"/>
              </w:rPr>
              <w:t>MMXM3</w:t>
            </w:r>
          </w:p>
        </w:tc>
      </w:tr>
      <w:tr w:rsidR="00A728E3" w:rsidRPr="00933491" w14:paraId="58B10CF5" w14:textId="77777777" w:rsidTr="00FF724B">
        <w:trPr>
          <w:jc w:val="center"/>
        </w:trPr>
        <w:tc>
          <w:tcPr>
            <w:tcW w:w="1526" w:type="dxa"/>
          </w:tcPr>
          <w:p w14:paraId="2A97578B" w14:textId="1B4AEA5F" w:rsidR="00A728E3" w:rsidRPr="00CC11DC" w:rsidRDefault="00A728E3" w:rsidP="0056798E">
            <w:pPr>
              <w:jc w:val="center"/>
              <w:rPr>
                <w:rFonts w:ascii="Times New Roman" w:hAnsi="Times New Roman" w:cs="Times New Roman"/>
                <w:sz w:val="20"/>
                <w:szCs w:val="24"/>
              </w:rPr>
            </w:pPr>
            <w:r w:rsidRPr="00CC11DC">
              <w:rPr>
                <w:rFonts w:ascii="Times New Roman" w:hAnsi="Times New Roman" w:cs="Times New Roman"/>
                <w:sz w:val="20"/>
                <w:szCs w:val="24"/>
              </w:rPr>
              <w:t>2011</w:t>
            </w:r>
          </w:p>
        </w:tc>
        <w:tc>
          <w:tcPr>
            <w:tcW w:w="1701" w:type="dxa"/>
          </w:tcPr>
          <w:p w14:paraId="0B0648BD" w14:textId="49932EA9" w:rsidR="00A728E3" w:rsidRPr="003E40AC" w:rsidRDefault="00A728E3" w:rsidP="0056798E">
            <w:pPr>
              <w:jc w:val="center"/>
              <w:rPr>
                <w:rFonts w:ascii="Times New Roman" w:hAnsi="Times New Roman" w:cs="Times New Roman"/>
                <w:sz w:val="20"/>
                <w:szCs w:val="24"/>
              </w:rPr>
            </w:pPr>
            <w:r w:rsidRPr="003E40AC">
              <w:rPr>
                <w:rFonts w:ascii="Times New Roman" w:hAnsi="Times New Roman" w:cs="Times New Roman"/>
                <w:sz w:val="20"/>
                <w:szCs w:val="24"/>
              </w:rPr>
              <w:t>Tecnisa</w:t>
            </w:r>
          </w:p>
        </w:tc>
        <w:tc>
          <w:tcPr>
            <w:tcW w:w="1276" w:type="dxa"/>
          </w:tcPr>
          <w:p w14:paraId="0B213AF4" w14:textId="3D906E3C" w:rsidR="00A728E3" w:rsidRPr="003E40AC" w:rsidRDefault="00A728E3" w:rsidP="0056798E">
            <w:pPr>
              <w:jc w:val="center"/>
              <w:rPr>
                <w:rFonts w:ascii="Times New Roman" w:hAnsi="Times New Roman" w:cs="Times New Roman"/>
                <w:sz w:val="20"/>
                <w:szCs w:val="24"/>
              </w:rPr>
            </w:pPr>
            <w:r w:rsidRPr="003E40AC">
              <w:rPr>
                <w:rFonts w:ascii="Times New Roman" w:hAnsi="Times New Roman" w:cs="Times New Roman"/>
                <w:sz w:val="20"/>
                <w:szCs w:val="24"/>
              </w:rPr>
              <w:t>TCSA3</w:t>
            </w:r>
          </w:p>
        </w:tc>
        <w:tc>
          <w:tcPr>
            <w:tcW w:w="1984" w:type="dxa"/>
          </w:tcPr>
          <w:p w14:paraId="14DF5046" w14:textId="6CEF2B15" w:rsidR="00A728E3" w:rsidRPr="00933491" w:rsidRDefault="00A728E3" w:rsidP="0056798E">
            <w:pPr>
              <w:jc w:val="center"/>
              <w:rPr>
                <w:rFonts w:ascii="Times New Roman" w:hAnsi="Times New Roman" w:cs="Times New Roman"/>
                <w:sz w:val="20"/>
                <w:szCs w:val="24"/>
              </w:rPr>
            </w:pPr>
            <w:proofErr w:type="spellStart"/>
            <w:r w:rsidRPr="00933491">
              <w:rPr>
                <w:rFonts w:ascii="Times New Roman" w:hAnsi="Times New Roman" w:cs="Times New Roman"/>
                <w:sz w:val="20"/>
                <w:szCs w:val="24"/>
              </w:rPr>
              <w:t>Eztec</w:t>
            </w:r>
            <w:proofErr w:type="spellEnd"/>
          </w:p>
        </w:tc>
        <w:tc>
          <w:tcPr>
            <w:tcW w:w="1843" w:type="dxa"/>
          </w:tcPr>
          <w:p w14:paraId="561758A8" w14:textId="3FDF6EE5" w:rsidR="00A728E3" w:rsidRPr="00933491" w:rsidRDefault="00A728E3" w:rsidP="0056798E">
            <w:pPr>
              <w:jc w:val="center"/>
              <w:rPr>
                <w:rFonts w:ascii="Times New Roman" w:hAnsi="Times New Roman" w:cs="Times New Roman"/>
                <w:sz w:val="20"/>
                <w:szCs w:val="24"/>
              </w:rPr>
            </w:pPr>
            <w:r w:rsidRPr="00933491">
              <w:rPr>
                <w:rFonts w:ascii="Times New Roman" w:hAnsi="Times New Roman" w:cs="Times New Roman"/>
                <w:sz w:val="20"/>
                <w:szCs w:val="24"/>
              </w:rPr>
              <w:t>EZTC3</w:t>
            </w:r>
          </w:p>
        </w:tc>
      </w:tr>
      <w:tr w:rsidR="00A728E3" w:rsidRPr="00933491" w14:paraId="376DF6E7" w14:textId="77777777" w:rsidTr="00FF724B">
        <w:trPr>
          <w:jc w:val="center"/>
        </w:trPr>
        <w:tc>
          <w:tcPr>
            <w:tcW w:w="1526" w:type="dxa"/>
          </w:tcPr>
          <w:p w14:paraId="38A59A0D" w14:textId="10A5D4A3" w:rsidR="00A728E3" w:rsidRPr="00CC11DC" w:rsidRDefault="00A728E3" w:rsidP="0056798E">
            <w:pPr>
              <w:jc w:val="center"/>
              <w:rPr>
                <w:rFonts w:ascii="Times New Roman" w:hAnsi="Times New Roman" w:cs="Times New Roman"/>
                <w:sz w:val="20"/>
                <w:szCs w:val="24"/>
              </w:rPr>
            </w:pPr>
            <w:r w:rsidRPr="00CC11DC">
              <w:rPr>
                <w:rFonts w:ascii="Times New Roman" w:hAnsi="Times New Roman" w:cs="Times New Roman"/>
                <w:sz w:val="20"/>
                <w:szCs w:val="24"/>
              </w:rPr>
              <w:t>2011</w:t>
            </w:r>
          </w:p>
        </w:tc>
        <w:tc>
          <w:tcPr>
            <w:tcW w:w="1701" w:type="dxa"/>
          </w:tcPr>
          <w:p w14:paraId="4413BFE9" w14:textId="5EFAC937" w:rsidR="00A728E3" w:rsidRPr="003E40AC" w:rsidRDefault="00A728E3" w:rsidP="0056798E">
            <w:pPr>
              <w:jc w:val="center"/>
              <w:rPr>
                <w:rFonts w:ascii="Times New Roman" w:hAnsi="Times New Roman" w:cs="Times New Roman"/>
                <w:sz w:val="20"/>
                <w:szCs w:val="24"/>
              </w:rPr>
            </w:pPr>
            <w:r w:rsidRPr="003E40AC">
              <w:rPr>
                <w:rFonts w:ascii="Times New Roman" w:hAnsi="Times New Roman" w:cs="Times New Roman"/>
                <w:sz w:val="20"/>
                <w:szCs w:val="24"/>
              </w:rPr>
              <w:t xml:space="preserve">Tim </w:t>
            </w:r>
            <w:proofErr w:type="spellStart"/>
            <w:r w:rsidRPr="003E40AC">
              <w:rPr>
                <w:rFonts w:ascii="Times New Roman" w:hAnsi="Times New Roman" w:cs="Times New Roman"/>
                <w:sz w:val="20"/>
                <w:szCs w:val="24"/>
              </w:rPr>
              <w:t>Part</w:t>
            </w:r>
            <w:proofErr w:type="spellEnd"/>
            <w:r w:rsidRPr="003E40AC">
              <w:rPr>
                <w:rFonts w:ascii="Times New Roman" w:hAnsi="Times New Roman" w:cs="Times New Roman"/>
                <w:sz w:val="20"/>
                <w:szCs w:val="24"/>
              </w:rPr>
              <w:t xml:space="preserve"> S/A</w:t>
            </w:r>
          </w:p>
        </w:tc>
        <w:tc>
          <w:tcPr>
            <w:tcW w:w="1276" w:type="dxa"/>
          </w:tcPr>
          <w:p w14:paraId="44B629A8" w14:textId="1878C69D" w:rsidR="00A728E3" w:rsidRPr="003E40AC" w:rsidRDefault="00A728E3" w:rsidP="0056798E">
            <w:pPr>
              <w:jc w:val="center"/>
              <w:rPr>
                <w:rFonts w:ascii="Times New Roman" w:hAnsi="Times New Roman" w:cs="Times New Roman"/>
                <w:sz w:val="20"/>
                <w:szCs w:val="24"/>
              </w:rPr>
            </w:pPr>
            <w:r w:rsidRPr="003E40AC">
              <w:rPr>
                <w:rFonts w:ascii="Times New Roman" w:hAnsi="Times New Roman" w:cs="Times New Roman"/>
                <w:sz w:val="20"/>
                <w:szCs w:val="24"/>
              </w:rPr>
              <w:t>TIMP3</w:t>
            </w:r>
          </w:p>
        </w:tc>
        <w:tc>
          <w:tcPr>
            <w:tcW w:w="1984" w:type="dxa"/>
          </w:tcPr>
          <w:p w14:paraId="1B68EDF9" w14:textId="1A329785" w:rsidR="00A728E3" w:rsidRPr="00933491" w:rsidRDefault="00A728E3" w:rsidP="0056798E">
            <w:pPr>
              <w:jc w:val="center"/>
              <w:rPr>
                <w:rFonts w:ascii="Times New Roman" w:hAnsi="Times New Roman" w:cs="Times New Roman"/>
                <w:sz w:val="20"/>
                <w:szCs w:val="24"/>
              </w:rPr>
            </w:pPr>
            <w:r w:rsidRPr="00933491">
              <w:rPr>
                <w:rFonts w:ascii="Times New Roman" w:hAnsi="Times New Roman" w:cs="Times New Roman"/>
                <w:sz w:val="20"/>
                <w:szCs w:val="24"/>
              </w:rPr>
              <w:t xml:space="preserve">Embratel </w:t>
            </w:r>
            <w:proofErr w:type="spellStart"/>
            <w:r w:rsidRPr="00933491">
              <w:rPr>
                <w:rFonts w:ascii="Times New Roman" w:hAnsi="Times New Roman" w:cs="Times New Roman"/>
                <w:sz w:val="20"/>
                <w:szCs w:val="24"/>
              </w:rPr>
              <w:t>Part</w:t>
            </w:r>
            <w:proofErr w:type="spellEnd"/>
          </w:p>
        </w:tc>
        <w:tc>
          <w:tcPr>
            <w:tcW w:w="1843" w:type="dxa"/>
          </w:tcPr>
          <w:p w14:paraId="237E1811" w14:textId="2B7F5E44" w:rsidR="00A728E3" w:rsidRPr="00933491" w:rsidRDefault="00A728E3" w:rsidP="0056798E">
            <w:pPr>
              <w:jc w:val="center"/>
              <w:rPr>
                <w:rFonts w:ascii="Times New Roman" w:hAnsi="Times New Roman" w:cs="Times New Roman"/>
                <w:sz w:val="20"/>
                <w:szCs w:val="24"/>
              </w:rPr>
            </w:pPr>
            <w:r w:rsidRPr="00933491">
              <w:rPr>
                <w:rFonts w:ascii="Times New Roman" w:hAnsi="Times New Roman" w:cs="Times New Roman"/>
                <w:sz w:val="20"/>
                <w:szCs w:val="24"/>
              </w:rPr>
              <w:t>EBTP4</w:t>
            </w:r>
          </w:p>
        </w:tc>
      </w:tr>
    </w:tbl>
    <w:p w14:paraId="2C4D0AB4" w14:textId="77777777" w:rsidR="005216EB" w:rsidRPr="00D54DC8" w:rsidRDefault="005216EB" w:rsidP="005216EB">
      <w:pPr>
        <w:spacing w:after="0" w:line="240" w:lineRule="auto"/>
        <w:ind w:left="426"/>
        <w:jc w:val="both"/>
        <w:rPr>
          <w:rFonts w:ascii="Times New Roman" w:hAnsi="Times New Roman" w:cs="Times New Roman"/>
          <w:sz w:val="18"/>
          <w:szCs w:val="18"/>
        </w:rPr>
      </w:pPr>
      <w:r w:rsidRPr="00D54DC8">
        <w:rPr>
          <w:rFonts w:ascii="Times New Roman" w:hAnsi="Times New Roman" w:cs="Times New Roman"/>
          <w:sz w:val="18"/>
          <w:szCs w:val="18"/>
        </w:rPr>
        <w:t>Nota: O grupo de empresas emissoras é composto por 34 empresas e o grupo de empresas não emissoras composto por 34 empresas. Os testes realizados não compararam as empresas pareadas, mas sim os grupos como um todo.</w:t>
      </w:r>
    </w:p>
    <w:p w14:paraId="3A58BFB8" w14:textId="3C31D2C6" w:rsidR="006D03F9" w:rsidRPr="00D54DC8" w:rsidRDefault="003B6F86" w:rsidP="0056798E">
      <w:pPr>
        <w:spacing w:after="0" w:line="240" w:lineRule="auto"/>
        <w:ind w:left="426"/>
        <w:jc w:val="both"/>
        <w:rPr>
          <w:rFonts w:ascii="Times New Roman" w:hAnsi="Times New Roman" w:cs="Times New Roman"/>
          <w:sz w:val="18"/>
          <w:szCs w:val="18"/>
        </w:rPr>
      </w:pPr>
      <w:proofErr w:type="gramStart"/>
      <w:r w:rsidRPr="00D54DC8">
        <w:rPr>
          <w:rFonts w:ascii="Times New Roman" w:hAnsi="Times New Roman" w:cs="Times New Roman"/>
          <w:sz w:val="18"/>
          <w:szCs w:val="18"/>
          <w:vertAlign w:val="superscript"/>
        </w:rPr>
        <w:t>a</w:t>
      </w:r>
      <w:proofErr w:type="gramEnd"/>
      <w:r w:rsidR="00CB14E9" w:rsidRPr="00D54DC8">
        <w:rPr>
          <w:rFonts w:ascii="Times New Roman" w:hAnsi="Times New Roman" w:cs="Times New Roman"/>
          <w:sz w:val="18"/>
          <w:szCs w:val="18"/>
          <w:vertAlign w:val="superscript"/>
        </w:rPr>
        <w:t xml:space="preserve"> </w:t>
      </w:r>
      <w:r w:rsidR="00CB14E9" w:rsidRPr="00D54DC8">
        <w:rPr>
          <w:rFonts w:ascii="Times New Roman" w:hAnsi="Times New Roman" w:cs="Times New Roman"/>
          <w:sz w:val="18"/>
          <w:szCs w:val="18"/>
        </w:rPr>
        <w:t>Para definir o papel, foi verificado se a oferta pública se tratava de ações ordinárias ou preferenciais.</w:t>
      </w:r>
    </w:p>
    <w:p w14:paraId="74AFC6CC" w14:textId="4B1F360E" w:rsidR="00CB14E9" w:rsidRPr="00D54DC8" w:rsidRDefault="003B6F86" w:rsidP="0056798E">
      <w:pPr>
        <w:spacing w:after="0" w:line="240" w:lineRule="auto"/>
        <w:ind w:left="426"/>
        <w:jc w:val="both"/>
        <w:rPr>
          <w:rFonts w:ascii="Times New Roman" w:hAnsi="Times New Roman" w:cs="Times New Roman"/>
          <w:sz w:val="18"/>
          <w:szCs w:val="18"/>
        </w:rPr>
      </w:pPr>
      <w:proofErr w:type="gramStart"/>
      <w:r w:rsidRPr="00D54DC8">
        <w:rPr>
          <w:rFonts w:ascii="Times New Roman" w:hAnsi="Times New Roman" w:cs="Times New Roman"/>
          <w:sz w:val="18"/>
          <w:szCs w:val="18"/>
          <w:vertAlign w:val="superscript"/>
        </w:rPr>
        <w:t>b</w:t>
      </w:r>
      <w:proofErr w:type="gramEnd"/>
      <w:r w:rsidRPr="00D54DC8">
        <w:rPr>
          <w:rFonts w:ascii="Times New Roman" w:hAnsi="Times New Roman" w:cs="Times New Roman"/>
          <w:sz w:val="18"/>
          <w:szCs w:val="18"/>
        </w:rPr>
        <w:t xml:space="preserve"> </w:t>
      </w:r>
      <w:r w:rsidR="00CB14E9" w:rsidRPr="00D54DC8">
        <w:rPr>
          <w:rFonts w:ascii="Times New Roman" w:hAnsi="Times New Roman" w:cs="Times New Roman"/>
          <w:sz w:val="18"/>
          <w:szCs w:val="18"/>
        </w:rPr>
        <w:t>Para definir o papel, escolheu-se o papel com maior liquidez.</w:t>
      </w:r>
    </w:p>
    <w:p w14:paraId="1CA2A42B" w14:textId="77777777" w:rsidR="002F1C45" w:rsidRPr="005216EB" w:rsidRDefault="002F1C45" w:rsidP="0056798E">
      <w:pPr>
        <w:spacing w:after="0" w:line="240" w:lineRule="auto"/>
        <w:ind w:firstLine="709"/>
        <w:jc w:val="both"/>
        <w:rPr>
          <w:rFonts w:ascii="Times New Roman" w:hAnsi="Times New Roman" w:cs="Times New Roman"/>
          <w:sz w:val="24"/>
          <w:szCs w:val="24"/>
        </w:rPr>
      </w:pPr>
    </w:p>
    <w:p w14:paraId="7D900212" w14:textId="31FA5FBC" w:rsidR="001F3930" w:rsidRPr="00933491" w:rsidRDefault="006D03F9" w:rsidP="00157D35">
      <w:pPr>
        <w:spacing w:after="0" w:line="240" w:lineRule="auto"/>
        <w:ind w:firstLine="709"/>
        <w:jc w:val="both"/>
        <w:rPr>
          <w:rFonts w:ascii="Times New Roman" w:hAnsi="Times New Roman" w:cs="Times New Roman"/>
          <w:sz w:val="24"/>
          <w:szCs w:val="24"/>
        </w:rPr>
      </w:pPr>
      <w:r w:rsidRPr="00933491">
        <w:rPr>
          <w:rFonts w:ascii="Times New Roman" w:hAnsi="Times New Roman" w:cs="Times New Roman"/>
          <w:sz w:val="24"/>
          <w:szCs w:val="24"/>
        </w:rPr>
        <w:t>As variáveis analisadas neste estudo foram: ROA Passado, ROA Futuro e retorno das ações</w:t>
      </w:r>
      <w:r w:rsidR="001C470F" w:rsidRPr="00933491">
        <w:rPr>
          <w:rFonts w:ascii="Times New Roman" w:hAnsi="Times New Roman" w:cs="Times New Roman"/>
          <w:sz w:val="24"/>
          <w:szCs w:val="24"/>
        </w:rPr>
        <w:t xml:space="preserve"> passado e futuro</w:t>
      </w:r>
      <w:r w:rsidRPr="00933491">
        <w:rPr>
          <w:rFonts w:ascii="Times New Roman" w:hAnsi="Times New Roman" w:cs="Times New Roman"/>
          <w:sz w:val="24"/>
          <w:szCs w:val="24"/>
        </w:rPr>
        <w:t>. O ROA foi obtido por meio da divisão do EBIT (</w:t>
      </w:r>
      <w:proofErr w:type="spellStart"/>
      <w:r w:rsidRPr="00933491">
        <w:rPr>
          <w:rFonts w:ascii="Times New Roman" w:hAnsi="Times New Roman" w:cs="Times New Roman"/>
          <w:i/>
          <w:sz w:val="24"/>
          <w:szCs w:val="24"/>
        </w:rPr>
        <w:t>Earning</w:t>
      </w:r>
      <w:proofErr w:type="spellEnd"/>
      <w:r w:rsidRPr="00933491">
        <w:rPr>
          <w:rFonts w:ascii="Times New Roman" w:hAnsi="Times New Roman" w:cs="Times New Roman"/>
          <w:i/>
          <w:sz w:val="24"/>
          <w:szCs w:val="24"/>
        </w:rPr>
        <w:t xml:space="preserve"> </w:t>
      </w:r>
      <w:proofErr w:type="spellStart"/>
      <w:r w:rsidRPr="00933491">
        <w:rPr>
          <w:rFonts w:ascii="Times New Roman" w:hAnsi="Times New Roman" w:cs="Times New Roman"/>
          <w:i/>
          <w:sz w:val="24"/>
          <w:szCs w:val="24"/>
        </w:rPr>
        <w:t>Before</w:t>
      </w:r>
      <w:proofErr w:type="spellEnd"/>
      <w:r w:rsidRPr="00933491">
        <w:rPr>
          <w:rFonts w:ascii="Times New Roman" w:hAnsi="Times New Roman" w:cs="Times New Roman"/>
          <w:i/>
          <w:sz w:val="24"/>
          <w:szCs w:val="24"/>
        </w:rPr>
        <w:t xml:space="preserve"> </w:t>
      </w:r>
      <w:proofErr w:type="spellStart"/>
      <w:r w:rsidRPr="00933491">
        <w:rPr>
          <w:rFonts w:ascii="Times New Roman" w:hAnsi="Times New Roman" w:cs="Times New Roman"/>
          <w:i/>
          <w:sz w:val="24"/>
          <w:szCs w:val="24"/>
        </w:rPr>
        <w:t>Interest</w:t>
      </w:r>
      <w:proofErr w:type="spellEnd"/>
      <w:r w:rsidRPr="00933491">
        <w:rPr>
          <w:rFonts w:ascii="Times New Roman" w:hAnsi="Times New Roman" w:cs="Times New Roman"/>
          <w:i/>
          <w:sz w:val="24"/>
          <w:szCs w:val="24"/>
        </w:rPr>
        <w:t xml:space="preserve"> </w:t>
      </w:r>
      <w:proofErr w:type="spellStart"/>
      <w:r w:rsidRPr="00933491">
        <w:rPr>
          <w:rFonts w:ascii="Times New Roman" w:hAnsi="Times New Roman" w:cs="Times New Roman"/>
          <w:i/>
          <w:sz w:val="24"/>
          <w:szCs w:val="24"/>
        </w:rPr>
        <w:t>and</w:t>
      </w:r>
      <w:proofErr w:type="spellEnd"/>
      <w:r w:rsidRPr="00933491">
        <w:rPr>
          <w:rFonts w:ascii="Times New Roman" w:hAnsi="Times New Roman" w:cs="Times New Roman"/>
          <w:i/>
          <w:sz w:val="24"/>
          <w:szCs w:val="24"/>
        </w:rPr>
        <w:t xml:space="preserve"> Taxes</w:t>
      </w:r>
      <w:r w:rsidRPr="00933491">
        <w:rPr>
          <w:rFonts w:ascii="Times New Roman" w:hAnsi="Times New Roman" w:cs="Times New Roman"/>
          <w:sz w:val="24"/>
          <w:szCs w:val="24"/>
        </w:rPr>
        <w:t>) pelo Ativo</w:t>
      </w:r>
      <w:r w:rsidR="0092540B" w:rsidRPr="00933491">
        <w:rPr>
          <w:rFonts w:ascii="Times New Roman" w:hAnsi="Times New Roman" w:cs="Times New Roman"/>
          <w:sz w:val="24"/>
          <w:szCs w:val="24"/>
        </w:rPr>
        <w:t xml:space="preserve"> Operacional</w:t>
      </w:r>
      <w:r w:rsidR="0043448E" w:rsidRPr="00933491">
        <w:rPr>
          <w:rFonts w:ascii="Times New Roman" w:hAnsi="Times New Roman" w:cs="Times New Roman"/>
          <w:sz w:val="24"/>
          <w:szCs w:val="24"/>
        </w:rPr>
        <w:t>.</w:t>
      </w:r>
      <w:r w:rsidR="003E386A" w:rsidRPr="00933491">
        <w:rPr>
          <w:rFonts w:ascii="Times New Roman" w:hAnsi="Times New Roman" w:cs="Times New Roman"/>
          <w:sz w:val="24"/>
          <w:szCs w:val="24"/>
        </w:rPr>
        <w:t xml:space="preserve"> </w:t>
      </w:r>
      <w:r w:rsidRPr="00933491">
        <w:rPr>
          <w:rFonts w:ascii="Times New Roman" w:hAnsi="Times New Roman" w:cs="Times New Roman"/>
          <w:sz w:val="24"/>
          <w:szCs w:val="24"/>
        </w:rPr>
        <w:t xml:space="preserve">O embasamento teórico para a utilização da variável ROA </w:t>
      </w:r>
      <w:r w:rsidR="001F3930" w:rsidRPr="00933491">
        <w:rPr>
          <w:rFonts w:ascii="Times New Roman" w:hAnsi="Times New Roman" w:cs="Times New Roman"/>
          <w:sz w:val="24"/>
          <w:szCs w:val="24"/>
        </w:rPr>
        <w:t xml:space="preserve">para mensurar o desempenho operacional </w:t>
      </w:r>
      <w:r w:rsidRPr="00933491">
        <w:rPr>
          <w:rFonts w:ascii="Times New Roman" w:hAnsi="Times New Roman" w:cs="Times New Roman"/>
          <w:sz w:val="24"/>
          <w:szCs w:val="24"/>
        </w:rPr>
        <w:t xml:space="preserve">na presente pesquisa encontra-se nos trabalhos de </w:t>
      </w:r>
      <w:proofErr w:type="spellStart"/>
      <w:r w:rsidRPr="00933491">
        <w:rPr>
          <w:rFonts w:ascii="Times New Roman" w:hAnsi="Times New Roman" w:cs="Times New Roman"/>
          <w:sz w:val="24"/>
          <w:szCs w:val="24"/>
        </w:rPr>
        <w:t>Loughran</w:t>
      </w:r>
      <w:proofErr w:type="spellEnd"/>
      <w:r w:rsidRPr="00933491">
        <w:rPr>
          <w:rFonts w:ascii="Times New Roman" w:hAnsi="Times New Roman" w:cs="Times New Roman"/>
          <w:sz w:val="24"/>
          <w:szCs w:val="24"/>
        </w:rPr>
        <w:t xml:space="preserve"> e </w:t>
      </w:r>
      <w:proofErr w:type="spellStart"/>
      <w:r w:rsidRPr="00933491">
        <w:rPr>
          <w:rFonts w:ascii="Times New Roman" w:hAnsi="Times New Roman" w:cs="Times New Roman"/>
          <w:sz w:val="24"/>
          <w:szCs w:val="24"/>
        </w:rPr>
        <w:t>Ritter</w:t>
      </w:r>
      <w:proofErr w:type="spellEnd"/>
      <w:r w:rsidRPr="00933491">
        <w:rPr>
          <w:rFonts w:ascii="Times New Roman" w:hAnsi="Times New Roman" w:cs="Times New Roman"/>
          <w:sz w:val="24"/>
          <w:szCs w:val="24"/>
        </w:rPr>
        <w:t xml:space="preserve"> (1995, 1997)</w:t>
      </w:r>
      <w:r w:rsidR="001F3930" w:rsidRPr="00933491">
        <w:rPr>
          <w:rFonts w:ascii="Times New Roman" w:hAnsi="Times New Roman" w:cs="Times New Roman"/>
          <w:sz w:val="24"/>
          <w:szCs w:val="24"/>
        </w:rPr>
        <w:t xml:space="preserve">, os quais utilizaram o ROA como </w:t>
      </w:r>
      <w:r w:rsidR="001F3930" w:rsidRPr="00933491">
        <w:rPr>
          <w:rFonts w:ascii="Times New Roman" w:hAnsi="Times New Roman" w:cs="Times New Roman"/>
          <w:i/>
          <w:sz w:val="24"/>
          <w:szCs w:val="24"/>
        </w:rPr>
        <w:t xml:space="preserve">proxy </w:t>
      </w:r>
      <w:r w:rsidR="001F3930" w:rsidRPr="00933491">
        <w:rPr>
          <w:rFonts w:ascii="Times New Roman" w:hAnsi="Times New Roman" w:cs="Times New Roman"/>
          <w:sz w:val="24"/>
          <w:szCs w:val="24"/>
        </w:rPr>
        <w:t xml:space="preserve">do desempenho </w:t>
      </w:r>
      <w:r w:rsidR="001F3930" w:rsidRPr="00933491">
        <w:rPr>
          <w:rFonts w:ascii="Times New Roman" w:hAnsi="Times New Roman" w:cs="Times New Roman"/>
          <w:sz w:val="24"/>
          <w:szCs w:val="24"/>
        </w:rPr>
        <w:lastRenderedPageBreak/>
        <w:t>operacional para analisar o desempenho operacional das empresas que realizaram e não rea</w:t>
      </w:r>
      <w:r w:rsidR="001F7B34" w:rsidRPr="00933491">
        <w:rPr>
          <w:rFonts w:ascii="Times New Roman" w:hAnsi="Times New Roman" w:cs="Times New Roman"/>
          <w:sz w:val="24"/>
          <w:szCs w:val="24"/>
        </w:rPr>
        <w:t>lizaram IPO ou SEO.</w:t>
      </w:r>
    </w:p>
    <w:p w14:paraId="499DA8A8" w14:textId="2167D543" w:rsidR="005926F5" w:rsidRPr="00933491" w:rsidRDefault="005926F5" w:rsidP="00157D35">
      <w:pPr>
        <w:spacing w:after="0" w:line="240" w:lineRule="auto"/>
        <w:ind w:firstLine="709"/>
        <w:jc w:val="both"/>
        <w:rPr>
          <w:rFonts w:ascii="Times New Roman" w:hAnsi="Times New Roman" w:cs="Times New Roman"/>
          <w:sz w:val="24"/>
          <w:szCs w:val="24"/>
        </w:rPr>
      </w:pPr>
      <w:r w:rsidRPr="00933491">
        <w:rPr>
          <w:rFonts w:ascii="Times New Roman" w:hAnsi="Times New Roman" w:cs="Times New Roman"/>
          <w:sz w:val="24"/>
          <w:szCs w:val="24"/>
        </w:rPr>
        <w:t xml:space="preserve">Para cada variável da empresa, foram coletadas as informações referentes a quatro anos anteriores e posteriores </w:t>
      </w:r>
      <w:r w:rsidR="001F7B34" w:rsidRPr="00933491">
        <w:rPr>
          <w:rFonts w:ascii="Times New Roman" w:hAnsi="Times New Roman" w:cs="Times New Roman"/>
          <w:sz w:val="24"/>
          <w:szCs w:val="24"/>
        </w:rPr>
        <w:t>ao ano de referência</w:t>
      </w:r>
      <w:r w:rsidRPr="00933491">
        <w:rPr>
          <w:rFonts w:ascii="Times New Roman" w:hAnsi="Times New Roman" w:cs="Times New Roman"/>
          <w:sz w:val="24"/>
          <w:szCs w:val="24"/>
        </w:rPr>
        <w:t>, ou seja, sendo, por exemplo, 2004 o ano de referência, os dados coletados referem-se a 2000, 2001, 2002, 2003, 2004, 2005, 2006, 2007, 2008. Os dados coletados foram trimestrais, com o intuito de implementar técnicas estatísticas paramétricas. Por exemplo</w:t>
      </w:r>
      <w:r w:rsidR="00167B53" w:rsidRPr="00933491">
        <w:rPr>
          <w:rFonts w:ascii="Times New Roman" w:hAnsi="Times New Roman" w:cs="Times New Roman"/>
          <w:sz w:val="24"/>
          <w:szCs w:val="24"/>
        </w:rPr>
        <w:t xml:space="preserve">, para o ano </w:t>
      </w:r>
      <w:r w:rsidR="00393F51" w:rsidRPr="00933491">
        <w:rPr>
          <w:rFonts w:ascii="Times New Roman" w:hAnsi="Times New Roman" w:cs="Times New Roman"/>
          <w:i/>
          <w:sz w:val="24"/>
          <w:szCs w:val="24"/>
        </w:rPr>
        <w:t>t</w:t>
      </w:r>
      <w:r w:rsidR="005B5C7F" w:rsidRPr="00933491">
        <w:rPr>
          <w:rFonts w:ascii="Times New Roman" w:hAnsi="Times New Roman" w:cs="Times New Roman"/>
          <w:i/>
          <w:sz w:val="24"/>
          <w:szCs w:val="24"/>
        </w:rPr>
        <w:t>,</w:t>
      </w:r>
      <w:r w:rsidR="00393F51" w:rsidRPr="00933491">
        <w:rPr>
          <w:rFonts w:ascii="Times New Roman" w:hAnsi="Times New Roman" w:cs="Times New Roman"/>
          <w:sz w:val="24"/>
          <w:szCs w:val="24"/>
        </w:rPr>
        <w:t xml:space="preserve"> </w:t>
      </w:r>
      <w:r w:rsidR="00AE25CE" w:rsidRPr="00933491">
        <w:rPr>
          <w:rFonts w:ascii="Times New Roman" w:hAnsi="Times New Roman" w:cs="Times New Roman"/>
          <w:sz w:val="24"/>
          <w:szCs w:val="24"/>
        </w:rPr>
        <w:t>há no máximo</w:t>
      </w:r>
      <w:r w:rsidR="005B5C7F" w:rsidRPr="00933491">
        <w:rPr>
          <w:rFonts w:ascii="Times New Roman" w:hAnsi="Times New Roman" w:cs="Times New Roman"/>
          <w:sz w:val="24"/>
          <w:szCs w:val="24"/>
        </w:rPr>
        <w:t>,</w:t>
      </w:r>
      <w:r w:rsidR="00AE25CE" w:rsidRPr="00933491">
        <w:rPr>
          <w:rFonts w:ascii="Times New Roman" w:hAnsi="Times New Roman" w:cs="Times New Roman"/>
          <w:sz w:val="24"/>
          <w:szCs w:val="24"/>
        </w:rPr>
        <w:t xml:space="preserve"> </w:t>
      </w:r>
      <w:r w:rsidR="00661880" w:rsidRPr="00933491">
        <w:rPr>
          <w:rFonts w:ascii="Times New Roman" w:hAnsi="Times New Roman" w:cs="Times New Roman"/>
          <w:sz w:val="24"/>
          <w:szCs w:val="24"/>
        </w:rPr>
        <w:t>136</w:t>
      </w:r>
      <w:r w:rsidR="0073338C" w:rsidRPr="00933491">
        <w:rPr>
          <w:rFonts w:ascii="Times New Roman" w:hAnsi="Times New Roman" w:cs="Times New Roman"/>
          <w:sz w:val="24"/>
          <w:szCs w:val="24"/>
        </w:rPr>
        <w:t xml:space="preserve"> observações </w:t>
      </w:r>
      <w:r w:rsidR="0072372A" w:rsidRPr="00933491">
        <w:rPr>
          <w:rFonts w:ascii="Times New Roman" w:hAnsi="Times New Roman" w:cs="Times New Roman"/>
          <w:sz w:val="24"/>
          <w:szCs w:val="24"/>
        </w:rPr>
        <w:t xml:space="preserve">de cada variável estudada </w:t>
      </w:r>
      <w:r w:rsidR="0073338C" w:rsidRPr="00933491">
        <w:rPr>
          <w:rFonts w:ascii="Times New Roman" w:hAnsi="Times New Roman" w:cs="Times New Roman"/>
          <w:sz w:val="24"/>
          <w:szCs w:val="24"/>
        </w:rPr>
        <w:t xml:space="preserve">(4 trimestres vezes </w:t>
      </w:r>
      <w:r w:rsidR="00661880" w:rsidRPr="00933491">
        <w:rPr>
          <w:rFonts w:ascii="Times New Roman" w:hAnsi="Times New Roman" w:cs="Times New Roman"/>
          <w:sz w:val="24"/>
          <w:szCs w:val="24"/>
        </w:rPr>
        <w:t>34</w:t>
      </w:r>
      <w:r w:rsidR="0073338C" w:rsidRPr="00933491">
        <w:rPr>
          <w:rFonts w:ascii="Times New Roman" w:hAnsi="Times New Roman" w:cs="Times New Roman"/>
          <w:sz w:val="24"/>
          <w:szCs w:val="24"/>
        </w:rPr>
        <w:t xml:space="preserve"> empresas)</w:t>
      </w:r>
      <w:r w:rsidR="00AE25CE" w:rsidRPr="00933491">
        <w:rPr>
          <w:rFonts w:ascii="Times New Roman" w:hAnsi="Times New Roman" w:cs="Times New Roman"/>
          <w:sz w:val="24"/>
          <w:szCs w:val="24"/>
        </w:rPr>
        <w:t xml:space="preserve">, onde </w:t>
      </w:r>
      <w:r w:rsidR="00AE25CE" w:rsidRPr="00933491">
        <w:rPr>
          <w:rFonts w:ascii="Times New Roman" w:hAnsi="Times New Roman" w:cs="Times New Roman"/>
          <w:i/>
          <w:sz w:val="24"/>
          <w:szCs w:val="24"/>
        </w:rPr>
        <w:t>t</w:t>
      </w:r>
      <w:r w:rsidR="00AE25CE" w:rsidRPr="00933491">
        <w:rPr>
          <w:rFonts w:ascii="Times New Roman" w:hAnsi="Times New Roman" w:cs="Times New Roman"/>
          <w:sz w:val="24"/>
          <w:szCs w:val="24"/>
        </w:rPr>
        <w:t xml:space="preserve"> varia de -4 a +4</w:t>
      </w:r>
      <w:r w:rsidR="009D5B40" w:rsidRPr="00933491">
        <w:rPr>
          <w:rFonts w:ascii="Times New Roman" w:hAnsi="Times New Roman" w:cs="Times New Roman"/>
          <w:sz w:val="24"/>
          <w:szCs w:val="24"/>
        </w:rPr>
        <w:t xml:space="preserve"> anos</w:t>
      </w:r>
      <w:r w:rsidR="00AE25CE" w:rsidRPr="00933491">
        <w:rPr>
          <w:rFonts w:ascii="Times New Roman" w:hAnsi="Times New Roman" w:cs="Times New Roman"/>
          <w:sz w:val="24"/>
          <w:szCs w:val="24"/>
        </w:rPr>
        <w:t>, representando o período</w:t>
      </w:r>
      <w:r w:rsidR="0012108D" w:rsidRPr="00933491">
        <w:rPr>
          <w:rFonts w:ascii="Times New Roman" w:hAnsi="Times New Roman" w:cs="Times New Roman"/>
          <w:sz w:val="24"/>
          <w:szCs w:val="24"/>
        </w:rPr>
        <w:t xml:space="preserve"> que antecede ou sucede à oferta subsequente de ações.</w:t>
      </w:r>
    </w:p>
    <w:p w14:paraId="232BA41F" w14:textId="4EBCC8CF" w:rsidR="00407FCA" w:rsidRPr="003E40AC" w:rsidRDefault="00407FCA" w:rsidP="00157D35">
      <w:pPr>
        <w:spacing w:after="0" w:line="240" w:lineRule="auto"/>
        <w:ind w:firstLine="709"/>
        <w:jc w:val="both"/>
        <w:rPr>
          <w:rFonts w:ascii="Times New Roman" w:hAnsi="Times New Roman" w:cs="Times New Roman"/>
          <w:sz w:val="24"/>
          <w:szCs w:val="24"/>
        </w:rPr>
      </w:pPr>
      <w:r w:rsidRPr="00933491">
        <w:rPr>
          <w:rFonts w:ascii="Times New Roman" w:hAnsi="Times New Roman" w:cs="Times New Roman"/>
          <w:sz w:val="24"/>
          <w:szCs w:val="24"/>
        </w:rPr>
        <w:t xml:space="preserve">Com o propósito de verificar se existiam ou não diferenças significativas no desempenho operacional e acionário das empresas </w:t>
      </w:r>
      <w:r w:rsidR="004A1E98">
        <w:rPr>
          <w:rFonts w:ascii="Times New Roman" w:hAnsi="Times New Roman" w:cs="Times New Roman"/>
          <w:sz w:val="24"/>
          <w:szCs w:val="24"/>
        </w:rPr>
        <w:t xml:space="preserve">emissoras antes e após a emissão de </w:t>
      </w:r>
      <w:proofErr w:type="spellStart"/>
      <w:r w:rsidR="004A1E98">
        <w:rPr>
          <w:rFonts w:ascii="Times New Roman" w:hAnsi="Times New Roman" w:cs="Times New Roman"/>
          <w:sz w:val="24"/>
          <w:szCs w:val="24"/>
        </w:rPr>
        <w:t>SEO’s</w:t>
      </w:r>
      <w:proofErr w:type="spellEnd"/>
      <w:r w:rsidR="004A1E98" w:rsidRPr="00933491">
        <w:rPr>
          <w:rFonts w:ascii="Times New Roman" w:hAnsi="Times New Roman" w:cs="Times New Roman"/>
          <w:sz w:val="24"/>
          <w:szCs w:val="24"/>
        </w:rPr>
        <w:t xml:space="preserve"> </w:t>
      </w:r>
      <w:r w:rsidRPr="00933491">
        <w:rPr>
          <w:rFonts w:ascii="Times New Roman" w:hAnsi="Times New Roman" w:cs="Times New Roman"/>
          <w:sz w:val="24"/>
          <w:szCs w:val="24"/>
        </w:rPr>
        <w:t>no horizonte temporal de quatro anos anteriores e posteriores à realização da SEO</w:t>
      </w:r>
      <w:r w:rsidR="00CB6CB7">
        <w:rPr>
          <w:rFonts w:ascii="Times New Roman" w:hAnsi="Times New Roman" w:cs="Times New Roman"/>
          <w:sz w:val="24"/>
          <w:szCs w:val="24"/>
        </w:rPr>
        <w:t xml:space="preserve"> (primeiro objetivo específico)</w:t>
      </w:r>
      <w:r w:rsidRPr="00933491">
        <w:rPr>
          <w:rFonts w:ascii="Times New Roman" w:hAnsi="Times New Roman" w:cs="Times New Roman"/>
          <w:sz w:val="24"/>
          <w:szCs w:val="24"/>
        </w:rPr>
        <w:t xml:space="preserve">, foi realizado o teste </w:t>
      </w:r>
      <w:r w:rsidRPr="00933491">
        <w:rPr>
          <w:rFonts w:ascii="Times New Roman" w:hAnsi="Times New Roman" w:cs="Times New Roman"/>
          <w:i/>
          <w:sz w:val="24"/>
          <w:szCs w:val="24"/>
        </w:rPr>
        <w:t xml:space="preserve">t </w:t>
      </w:r>
      <w:r w:rsidRPr="00933491">
        <w:rPr>
          <w:rFonts w:ascii="Times New Roman" w:hAnsi="Times New Roman" w:cs="Times New Roman"/>
          <w:sz w:val="24"/>
          <w:szCs w:val="24"/>
        </w:rPr>
        <w:t>para amostras emparelhadas.</w:t>
      </w:r>
      <w:r w:rsidR="004A1E98">
        <w:rPr>
          <w:rFonts w:ascii="Times New Roman" w:hAnsi="Times New Roman" w:cs="Times New Roman"/>
          <w:sz w:val="24"/>
          <w:szCs w:val="24"/>
        </w:rPr>
        <w:t xml:space="preserve"> O teste </w:t>
      </w:r>
      <w:r w:rsidR="004A1E98">
        <w:rPr>
          <w:rFonts w:ascii="Times New Roman" w:hAnsi="Times New Roman" w:cs="Times New Roman"/>
          <w:i/>
          <w:sz w:val="24"/>
          <w:szCs w:val="24"/>
        </w:rPr>
        <w:t xml:space="preserve">t </w:t>
      </w:r>
      <w:r w:rsidR="004A1E98" w:rsidRPr="00643AFC">
        <w:rPr>
          <w:rFonts w:ascii="Times New Roman" w:hAnsi="Times New Roman" w:cs="Times New Roman"/>
          <w:sz w:val="24"/>
          <w:szCs w:val="24"/>
        </w:rPr>
        <w:t>para amostras independentes</w:t>
      </w:r>
      <w:r w:rsidR="004A1E98">
        <w:rPr>
          <w:rFonts w:ascii="Times New Roman" w:hAnsi="Times New Roman" w:cs="Times New Roman"/>
          <w:sz w:val="24"/>
          <w:szCs w:val="24"/>
        </w:rPr>
        <w:t xml:space="preserve"> </w:t>
      </w:r>
      <w:r w:rsidR="00886927">
        <w:rPr>
          <w:rFonts w:ascii="Times New Roman" w:hAnsi="Times New Roman" w:cs="Times New Roman"/>
          <w:sz w:val="24"/>
          <w:szCs w:val="24"/>
        </w:rPr>
        <w:t>foi utilizado para realizar as comparações entre as empresas emissora</w:t>
      </w:r>
      <w:r w:rsidR="0057195B">
        <w:rPr>
          <w:rFonts w:ascii="Times New Roman" w:hAnsi="Times New Roman" w:cs="Times New Roman"/>
          <w:sz w:val="24"/>
          <w:szCs w:val="24"/>
        </w:rPr>
        <w:t>s e não emissoras n</w:t>
      </w:r>
      <w:r w:rsidR="00886927">
        <w:rPr>
          <w:rFonts w:ascii="Times New Roman" w:hAnsi="Times New Roman" w:cs="Times New Roman"/>
          <w:sz w:val="24"/>
          <w:szCs w:val="24"/>
        </w:rPr>
        <w:t>o segundo, terceiro e quarto objetivos específicos.</w:t>
      </w:r>
      <w:r w:rsidR="004A1E98" w:rsidRPr="00643AFC">
        <w:rPr>
          <w:rFonts w:ascii="Times New Roman" w:hAnsi="Times New Roman" w:cs="Times New Roman"/>
          <w:sz w:val="24"/>
          <w:szCs w:val="24"/>
        </w:rPr>
        <w:t xml:space="preserve"> </w:t>
      </w:r>
      <w:r w:rsidR="00A728E3" w:rsidRPr="00CC11DC">
        <w:rPr>
          <w:rFonts w:ascii="Times New Roman" w:hAnsi="Times New Roman" w:cs="Times New Roman"/>
          <w:sz w:val="24"/>
          <w:szCs w:val="24"/>
        </w:rPr>
        <w:t>Alternativamente, foram utilizados testes não paramétricos</w:t>
      </w:r>
      <w:r w:rsidR="005B5C7F" w:rsidRPr="003E40AC">
        <w:rPr>
          <w:rFonts w:ascii="Times New Roman" w:hAnsi="Times New Roman" w:cs="Times New Roman"/>
          <w:sz w:val="24"/>
          <w:szCs w:val="24"/>
        </w:rPr>
        <w:t>,</w:t>
      </w:r>
      <w:r w:rsidR="00A728E3" w:rsidRPr="003E40AC">
        <w:rPr>
          <w:rFonts w:ascii="Times New Roman" w:hAnsi="Times New Roman" w:cs="Times New Roman"/>
          <w:sz w:val="24"/>
          <w:szCs w:val="24"/>
        </w:rPr>
        <w:t xml:space="preserve"> com o intuito de corroborar com os resultados encontrados.</w:t>
      </w:r>
    </w:p>
    <w:p w14:paraId="04A3513E" w14:textId="358C17F7" w:rsidR="004D1173" w:rsidRDefault="004D1173" w:rsidP="00157D35">
      <w:pPr>
        <w:spacing w:after="0" w:line="240" w:lineRule="auto"/>
        <w:ind w:firstLine="709"/>
        <w:jc w:val="both"/>
        <w:rPr>
          <w:rFonts w:ascii="Times New Roman" w:hAnsi="Times New Roman" w:cs="Times New Roman"/>
          <w:sz w:val="24"/>
          <w:szCs w:val="24"/>
        </w:rPr>
      </w:pPr>
      <w:r w:rsidRPr="00336D20">
        <w:rPr>
          <w:rFonts w:ascii="Times New Roman" w:hAnsi="Times New Roman" w:cs="Times New Roman"/>
          <w:sz w:val="24"/>
          <w:szCs w:val="24"/>
        </w:rPr>
        <w:t>Por fim,</w:t>
      </w:r>
      <w:r w:rsidR="00F37240">
        <w:rPr>
          <w:rFonts w:ascii="Times New Roman" w:hAnsi="Times New Roman" w:cs="Times New Roman"/>
          <w:sz w:val="24"/>
          <w:szCs w:val="24"/>
        </w:rPr>
        <w:t xml:space="preserve"> </w:t>
      </w:r>
      <w:r w:rsidR="00F37240" w:rsidRPr="00933491">
        <w:rPr>
          <w:rFonts w:ascii="Times New Roman" w:hAnsi="Times New Roman" w:cs="Times New Roman"/>
          <w:sz w:val="24"/>
          <w:szCs w:val="24"/>
        </w:rPr>
        <w:t>buscou-se verificar se o baixo desempenho acionário das empresas emissoras pós SEO é justificado pelo fato d</w:t>
      </w:r>
      <w:r w:rsidR="00873689">
        <w:rPr>
          <w:rFonts w:ascii="Times New Roman" w:hAnsi="Times New Roman" w:cs="Times New Roman"/>
          <w:sz w:val="24"/>
          <w:szCs w:val="24"/>
        </w:rPr>
        <w:t xml:space="preserve">e </w:t>
      </w:r>
      <w:r w:rsidR="00F37240" w:rsidRPr="00933491">
        <w:rPr>
          <w:rFonts w:ascii="Times New Roman" w:hAnsi="Times New Roman" w:cs="Times New Roman"/>
          <w:sz w:val="24"/>
          <w:szCs w:val="24"/>
        </w:rPr>
        <w:t>essas empresas crescerem mais rapidamente, uma vez que as empresas emissoras tendem a ter: (a) alto crescimento; (b) baixo retorno das ações pós SEO</w:t>
      </w:r>
      <w:r w:rsidR="00105B57">
        <w:rPr>
          <w:rFonts w:ascii="Times New Roman" w:hAnsi="Times New Roman" w:cs="Times New Roman"/>
          <w:sz w:val="24"/>
          <w:szCs w:val="24"/>
        </w:rPr>
        <w:t xml:space="preserve"> (LOUGHRAN; RITTER, 1997)</w:t>
      </w:r>
      <w:r w:rsidR="00F37240" w:rsidRPr="00933491">
        <w:rPr>
          <w:rFonts w:ascii="Times New Roman" w:hAnsi="Times New Roman" w:cs="Times New Roman"/>
          <w:sz w:val="24"/>
          <w:szCs w:val="24"/>
        </w:rPr>
        <w:t>.</w:t>
      </w:r>
      <w:r w:rsidR="00F37240">
        <w:rPr>
          <w:rFonts w:ascii="Times New Roman" w:hAnsi="Times New Roman" w:cs="Times New Roman"/>
          <w:sz w:val="24"/>
          <w:szCs w:val="24"/>
        </w:rPr>
        <w:t xml:space="preserve"> Assim,</w:t>
      </w:r>
      <w:r w:rsidRPr="00336D20">
        <w:rPr>
          <w:rFonts w:ascii="Times New Roman" w:hAnsi="Times New Roman" w:cs="Times New Roman"/>
          <w:sz w:val="24"/>
          <w:szCs w:val="24"/>
        </w:rPr>
        <w:t xml:space="preserve"> </w:t>
      </w:r>
      <w:r w:rsidR="00336D20">
        <w:rPr>
          <w:rFonts w:ascii="Times New Roman" w:hAnsi="Times New Roman" w:cs="Times New Roman"/>
          <w:sz w:val="24"/>
          <w:szCs w:val="24"/>
        </w:rPr>
        <w:t>p</w:t>
      </w:r>
      <w:r w:rsidR="00886927">
        <w:rPr>
          <w:rFonts w:ascii="Times New Roman" w:hAnsi="Times New Roman" w:cs="Times New Roman"/>
          <w:sz w:val="24"/>
          <w:szCs w:val="24"/>
        </w:rPr>
        <w:t xml:space="preserve">ara </w:t>
      </w:r>
      <w:r w:rsidR="00886927" w:rsidRPr="00933491">
        <w:rPr>
          <w:rStyle w:val="hps"/>
          <w:rFonts w:ascii="Times New Roman" w:hAnsi="Times New Roman" w:cs="Times New Roman"/>
          <w:sz w:val="24"/>
          <w:szCs w:val="24"/>
          <w:lang w:val="pt-PT"/>
        </w:rPr>
        <w:t xml:space="preserve">verificar se há relação entre o retorno das ações pós SEO com o crescimento </w:t>
      </w:r>
      <w:r w:rsidR="00886927" w:rsidRPr="00737840">
        <w:rPr>
          <w:rStyle w:val="hps"/>
          <w:rFonts w:ascii="Times New Roman" w:hAnsi="Times New Roman" w:cs="Times New Roman"/>
          <w:sz w:val="24"/>
          <w:szCs w:val="24"/>
          <w:lang w:val="pt-PT"/>
        </w:rPr>
        <w:t xml:space="preserve">passado da empresa (último objetivo específico), </w:t>
      </w:r>
      <w:r w:rsidRPr="00737840">
        <w:rPr>
          <w:rFonts w:ascii="Times New Roman" w:hAnsi="Times New Roman" w:cs="Times New Roman"/>
          <w:sz w:val="24"/>
          <w:szCs w:val="24"/>
        </w:rPr>
        <w:t>realizou-se uma regressão</w:t>
      </w:r>
      <w:r w:rsidR="001C43C9">
        <w:rPr>
          <w:rFonts w:ascii="Times New Roman" w:hAnsi="Times New Roman" w:cs="Times New Roman"/>
          <w:sz w:val="24"/>
          <w:szCs w:val="24"/>
        </w:rPr>
        <w:t>, conforme Equação 1,</w:t>
      </w:r>
      <w:r w:rsidRPr="00737840">
        <w:rPr>
          <w:rFonts w:ascii="Times New Roman" w:hAnsi="Times New Roman" w:cs="Times New Roman"/>
          <w:sz w:val="24"/>
          <w:szCs w:val="24"/>
        </w:rPr>
        <w:t xml:space="preserve"> em que a variável dependente é o retorno </w:t>
      </w:r>
      <w:r w:rsidR="00737840" w:rsidRPr="00737840">
        <w:rPr>
          <w:rFonts w:ascii="Times New Roman" w:hAnsi="Times New Roman" w:cs="Times New Roman"/>
          <w:sz w:val="24"/>
          <w:szCs w:val="24"/>
        </w:rPr>
        <w:t xml:space="preserve">anual </w:t>
      </w:r>
      <w:r w:rsidRPr="00737840">
        <w:rPr>
          <w:rFonts w:ascii="Times New Roman" w:hAnsi="Times New Roman" w:cs="Times New Roman"/>
          <w:sz w:val="24"/>
          <w:szCs w:val="24"/>
        </w:rPr>
        <w:t xml:space="preserve">da ação e as variáveis independentes são a taxa </w:t>
      </w:r>
      <w:r w:rsidR="00737840" w:rsidRPr="00737840">
        <w:rPr>
          <w:rFonts w:ascii="Times New Roman" w:hAnsi="Times New Roman" w:cs="Times New Roman"/>
          <w:sz w:val="24"/>
          <w:szCs w:val="24"/>
        </w:rPr>
        <w:t xml:space="preserve">anual </w:t>
      </w:r>
      <w:r w:rsidRPr="00737840">
        <w:rPr>
          <w:rFonts w:ascii="Times New Roman" w:hAnsi="Times New Roman" w:cs="Times New Roman"/>
          <w:sz w:val="24"/>
          <w:szCs w:val="24"/>
        </w:rPr>
        <w:t xml:space="preserve">de crescimento da empresa e </w:t>
      </w:r>
      <w:r w:rsidR="004C136C" w:rsidRPr="00737840">
        <w:rPr>
          <w:rFonts w:ascii="Times New Roman" w:hAnsi="Times New Roman" w:cs="Times New Roman"/>
          <w:sz w:val="24"/>
          <w:szCs w:val="24"/>
        </w:rPr>
        <w:t xml:space="preserve">duas variáveis </w:t>
      </w:r>
      <w:proofErr w:type="spellStart"/>
      <w:r w:rsidRPr="00737840">
        <w:rPr>
          <w:rFonts w:ascii="Times New Roman" w:hAnsi="Times New Roman" w:cs="Times New Roman"/>
          <w:i/>
          <w:sz w:val="24"/>
          <w:szCs w:val="24"/>
        </w:rPr>
        <w:t>dumm</w:t>
      </w:r>
      <w:r w:rsidR="004C136C" w:rsidRPr="00737840">
        <w:rPr>
          <w:rFonts w:ascii="Times New Roman" w:hAnsi="Times New Roman" w:cs="Times New Roman"/>
          <w:i/>
          <w:sz w:val="24"/>
          <w:szCs w:val="24"/>
        </w:rPr>
        <w:t>ies</w:t>
      </w:r>
      <w:proofErr w:type="spellEnd"/>
      <w:r w:rsidRPr="00737840">
        <w:rPr>
          <w:rFonts w:ascii="Times New Roman" w:hAnsi="Times New Roman" w:cs="Times New Roman"/>
          <w:i/>
          <w:sz w:val="24"/>
          <w:szCs w:val="24"/>
        </w:rPr>
        <w:t xml:space="preserve">, </w:t>
      </w:r>
      <w:r w:rsidRPr="00737840">
        <w:rPr>
          <w:rFonts w:ascii="Times New Roman" w:hAnsi="Times New Roman" w:cs="Times New Roman"/>
          <w:sz w:val="24"/>
          <w:szCs w:val="24"/>
        </w:rPr>
        <w:t>conforme</w:t>
      </w:r>
      <w:r w:rsidR="004C136C" w:rsidRPr="00737840">
        <w:rPr>
          <w:rFonts w:ascii="Times New Roman" w:hAnsi="Times New Roman" w:cs="Times New Roman"/>
          <w:sz w:val="24"/>
          <w:szCs w:val="24"/>
        </w:rPr>
        <w:t xml:space="preserve"> </w:t>
      </w:r>
      <w:r w:rsidR="004C136C" w:rsidRPr="00737840">
        <w:rPr>
          <w:rFonts w:ascii="Times New Roman" w:hAnsi="Times New Roman" w:cs="Times New Roman"/>
          <w:sz w:val="24"/>
          <w:szCs w:val="24"/>
          <w:lang w:val="pt-PT"/>
        </w:rPr>
        <w:t>Loughran e Ritter (1997)</w:t>
      </w:r>
      <w:r w:rsidRPr="00737840">
        <w:rPr>
          <w:rFonts w:ascii="Times New Roman" w:hAnsi="Times New Roman" w:cs="Times New Roman"/>
          <w:sz w:val="24"/>
          <w:szCs w:val="24"/>
        </w:rPr>
        <w:t>.</w:t>
      </w:r>
    </w:p>
    <w:p w14:paraId="00792D37" w14:textId="77777777" w:rsidR="005216EB" w:rsidRPr="00933491" w:rsidRDefault="005216EB" w:rsidP="00157D35">
      <w:pPr>
        <w:spacing w:after="0" w:line="240" w:lineRule="auto"/>
        <w:ind w:firstLine="709"/>
        <w:jc w:val="both"/>
        <w:rPr>
          <w:rFonts w:ascii="Times New Roman" w:hAnsi="Times New Roman" w:cs="Times New Roman"/>
          <w:sz w:val="24"/>
          <w:szCs w:val="24"/>
        </w:rPr>
      </w:pPr>
    </w:p>
    <w:p w14:paraId="5D387FFD" w14:textId="07397A77" w:rsidR="004D1173" w:rsidRPr="00CC11DC" w:rsidRDefault="00D5537B" w:rsidP="00157D35">
      <w:pPr>
        <w:spacing w:after="0" w:line="240" w:lineRule="auto"/>
        <w:ind w:firstLine="709"/>
        <w:jc w:val="both"/>
        <w:rPr>
          <w:rFonts w:ascii="Times New Roman" w:eastAsiaTheme="minorEastAsia" w:hAnsi="Times New Roman" w:cs="Times New Roman"/>
          <w:sz w:val="20"/>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m</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Crescimento</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DummySEO</m:t>
              </m:r>
            </m:e>
            <m:sub>
              <m:r>
                <w:rPr>
                  <w:rFonts w:ascii="Cambria Math" w:hAnsi="Cambria Math" w:cs="Times New Roman"/>
                  <w:sz w:val="24"/>
                  <w:szCs w:val="24"/>
                </w:rPr>
                <m:t>i</m:t>
              </m:r>
            </m:sub>
          </m:sSub>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j=2004</m:t>
              </m:r>
            </m:sub>
            <m:sup>
              <m:r>
                <w:rPr>
                  <w:rFonts w:ascii="Cambria Math" w:hAnsi="Cambria Math" w:cs="Times New Roman"/>
                  <w:sz w:val="24"/>
                  <w:szCs w:val="24"/>
                </w:rPr>
                <m:t>2011</m:t>
              </m:r>
            </m:sup>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Dummy</m:t>
                  </m:r>
                </m:e>
                <m:sub>
                  <m:r>
                    <w:rPr>
                      <w:rFonts w:ascii="Cambria Math" w:hAnsi="Cambria Math" w:cs="Times New Roman"/>
                      <w:sz w:val="24"/>
                      <w:szCs w:val="24"/>
                    </w:rPr>
                    <m:t>j</m:t>
                  </m:r>
                </m:sub>
              </m:sSub>
            </m:e>
          </m:nary>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m:t>
              </m:r>
            </m:sub>
          </m:sSub>
          <m:r>
            <w:rPr>
              <w:rFonts w:ascii="Cambria Math" w:hAnsi="Cambria Math" w:cs="Times New Roman"/>
              <w:sz w:val="24"/>
              <w:szCs w:val="24"/>
            </w:rPr>
            <m:t xml:space="preserve">                    (1)</m:t>
          </m:r>
        </m:oMath>
      </m:oMathPara>
    </w:p>
    <w:p w14:paraId="43C839D2" w14:textId="77777777" w:rsidR="005216EB" w:rsidRDefault="005216EB" w:rsidP="00157D35">
      <w:pPr>
        <w:spacing w:after="0" w:line="240" w:lineRule="auto"/>
        <w:ind w:firstLine="709"/>
        <w:jc w:val="both"/>
        <w:rPr>
          <w:rFonts w:ascii="Times New Roman" w:hAnsi="Times New Roman" w:cs="Times New Roman"/>
          <w:sz w:val="24"/>
          <w:szCs w:val="24"/>
        </w:rPr>
      </w:pPr>
    </w:p>
    <w:p w14:paraId="3FEE0D74" w14:textId="36A46C5B" w:rsidR="004D1173" w:rsidRPr="00105B57" w:rsidRDefault="004D1173" w:rsidP="00157D35">
      <w:pPr>
        <w:spacing w:after="0" w:line="240" w:lineRule="auto"/>
        <w:ind w:firstLine="709"/>
        <w:jc w:val="both"/>
        <w:rPr>
          <w:rFonts w:ascii="Times New Roman" w:hAnsi="Times New Roman" w:cs="Times New Roman"/>
          <w:sz w:val="24"/>
          <w:szCs w:val="24"/>
        </w:rPr>
      </w:pPr>
      <w:r w:rsidRPr="003E40AC">
        <w:rPr>
          <w:rFonts w:ascii="Times New Roman" w:hAnsi="Times New Roman" w:cs="Times New Roman"/>
          <w:sz w:val="24"/>
          <w:szCs w:val="24"/>
        </w:rPr>
        <w:t xml:space="preserve">O crescimento da empresa foi mensurado pela taxa de variação percentual anual do ativo total. O retorno utilizado </w:t>
      </w:r>
      <w:r w:rsidR="002204A3" w:rsidRPr="003E40AC">
        <w:rPr>
          <w:rFonts w:ascii="Times New Roman" w:hAnsi="Times New Roman" w:cs="Times New Roman"/>
          <w:sz w:val="24"/>
          <w:szCs w:val="24"/>
        </w:rPr>
        <w:t>(r</w:t>
      </w:r>
      <w:r w:rsidR="002204A3" w:rsidRPr="003E40AC">
        <w:rPr>
          <w:rFonts w:ascii="Times New Roman" w:hAnsi="Times New Roman" w:cs="Times New Roman"/>
          <w:sz w:val="24"/>
          <w:szCs w:val="24"/>
          <w:vertAlign w:val="subscript"/>
        </w:rPr>
        <w:t>i</w:t>
      </w:r>
      <w:r w:rsidR="002204A3" w:rsidRPr="003E40AC">
        <w:rPr>
          <w:rFonts w:ascii="Times New Roman" w:hAnsi="Times New Roman" w:cs="Times New Roman"/>
          <w:sz w:val="24"/>
          <w:szCs w:val="24"/>
        </w:rPr>
        <w:t xml:space="preserve">) </w:t>
      </w:r>
      <w:r w:rsidRPr="003E40AC">
        <w:rPr>
          <w:rFonts w:ascii="Times New Roman" w:hAnsi="Times New Roman" w:cs="Times New Roman"/>
          <w:sz w:val="24"/>
          <w:szCs w:val="24"/>
        </w:rPr>
        <w:t xml:space="preserve">refere-se ao retorno um ano após a </w:t>
      </w:r>
      <w:r w:rsidR="00737840">
        <w:rPr>
          <w:rFonts w:ascii="Times New Roman" w:hAnsi="Times New Roman" w:cs="Times New Roman"/>
          <w:sz w:val="24"/>
          <w:szCs w:val="24"/>
        </w:rPr>
        <w:t>SEO</w:t>
      </w:r>
      <w:r w:rsidRPr="003E40AC">
        <w:rPr>
          <w:rFonts w:ascii="Times New Roman" w:hAnsi="Times New Roman" w:cs="Times New Roman"/>
          <w:sz w:val="24"/>
          <w:szCs w:val="24"/>
        </w:rPr>
        <w:t xml:space="preserve"> menos o retorno do Ibovespa (</w:t>
      </w:r>
      <w:proofErr w:type="spellStart"/>
      <w:r w:rsidR="00FF724B" w:rsidRPr="00933491">
        <w:rPr>
          <w:rFonts w:ascii="Times New Roman" w:hAnsi="Times New Roman" w:cs="Times New Roman"/>
          <w:sz w:val="24"/>
          <w:szCs w:val="24"/>
        </w:rPr>
        <w:t>r</w:t>
      </w:r>
      <w:r w:rsidRPr="00933491">
        <w:rPr>
          <w:rFonts w:ascii="Times New Roman" w:hAnsi="Times New Roman" w:cs="Times New Roman"/>
          <w:sz w:val="24"/>
          <w:szCs w:val="24"/>
          <w:vertAlign w:val="subscript"/>
        </w:rPr>
        <w:t>m</w:t>
      </w:r>
      <w:proofErr w:type="spellEnd"/>
      <w:r w:rsidRPr="00933491">
        <w:rPr>
          <w:rFonts w:ascii="Times New Roman" w:hAnsi="Times New Roman" w:cs="Times New Roman"/>
          <w:sz w:val="24"/>
          <w:szCs w:val="24"/>
        </w:rPr>
        <w:t>)</w:t>
      </w:r>
      <w:r w:rsidR="004C136C">
        <w:rPr>
          <w:rFonts w:ascii="Times New Roman" w:hAnsi="Times New Roman" w:cs="Times New Roman"/>
          <w:sz w:val="24"/>
          <w:szCs w:val="24"/>
        </w:rPr>
        <w:t xml:space="preserve"> referente ao</w:t>
      </w:r>
      <w:r w:rsidR="00BD6068">
        <w:rPr>
          <w:rFonts w:ascii="Times New Roman" w:hAnsi="Times New Roman" w:cs="Times New Roman"/>
          <w:sz w:val="24"/>
          <w:szCs w:val="24"/>
        </w:rPr>
        <w:t xml:space="preserve"> </w:t>
      </w:r>
      <w:r w:rsidR="004C136C">
        <w:rPr>
          <w:rFonts w:ascii="Times New Roman" w:hAnsi="Times New Roman" w:cs="Times New Roman"/>
          <w:sz w:val="24"/>
          <w:szCs w:val="24"/>
        </w:rPr>
        <w:t>mesmo período</w:t>
      </w:r>
      <w:r w:rsidRPr="00933491">
        <w:rPr>
          <w:rFonts w:ascii="Times New Roman" w:hAnsi="Times New Roman" w:cs="Times New Roman"/>
          <w:sz w:val="24"/>
          <w:szCs w:val="24"/>
        </w:rPr>
        <w:t xml:space="preserve">. A variável </w:t>
      </w:r>
      <w:proofErr w:type="spellStart"/>
      <w:r w:rsidRPr="00933491">
        <w:rPr>
          <w:rFonts w:ascii="Times New Roman" w:hAnsi="Times New Roman" w:cs="Times New Roman"/>
          <w:i/>
          <w:sz w:val="24"/>
          <w:szCs w:val="24"/>
        </w:rPr>
        <w:t>dummy</w:t>
      </w:r>
      <w:r w:rsidR="00105B57">
        <w:rPr>
          <w:rFonts w:ascii="Times New Roman" w:hAnsi="Times New Roman" w:cs="Times New Roman"/>
          <w:i/>
          <w:sz w:val="24"/>
          <w:szCs w:val="24"/>
        </w:rPr>
        <w:t>SEO</w:t>
      </w:r>
      <w:r w:rsidR="00105B57">
        <w:rPr>
          <w:rFonts w:ascii="Times New Roman" w:hAnsi="Times New Roman" w:cs="Times New Roman"/>
          <w:i/>
          <w:sz w:val="24"/>
          <w:szCs w:val="24"/>
          <w:vertAlign w:val="subscript"/>
        </w:rPr>
        <w:t>i</w:t>
      </w:r>
      <w:proofErr w:type="spellEnd"/>
      <w:r w:rsidRPr="00933491">
        <w:rPr>
          <w:rFonts w:ascii="Times New Roman" w:hAnsi="Times New Roman" w:cs="Times New Roman"/>
          <w:sz w:val="24"/>
          <w:szCs w:val="24"/>
        </w:rPr>
        <w:t xml:space="preserve"> utilizada refere-se ao fato da empresa ter realizado ou não SEO, sendo atribuído o valor 1 se a empresa tiver </w:t>
      </w:r>
      <w:r w:rsidR="00105B57">
        <w:rPr>
          <w:rFonts w:ascii="Times New Roman" w:hAnsi="Times New Roman" w:cs="Times New Roman"/>
          <w:sz w:val="24"/>
          <w:szCs w:val="24"/>
        </w:rPr>
        <w:t xml:space="preserve">realizado </w:t>
      </w:r>
      <w:r w:rsidRPr="00933491">
        <w:rPr>
          <w:rFonts w:ascii="Times New Roman" w:hAnsi="Times New Roman" w:cs="Times New Roman"/>
          <w:sz w:val="24"/>
          <w:szCs w:val="24"/>
        </w:rPr>
        <w:t xml:space="preserve">e 0 caso contrário. </w:t>
      </w:r>
      <w:r w:rsidR="00105B57">
        <w:rPr>
          <w:rFonts w:ascii="Times New Roman" w:hAnsi="Times New Roman" w:cs="Times New Roman"/>
          <w:sz w:val="24"/>
          <w:szCs w:val="24"/>
        </w:rPr>
        <w:t xml:space="preserve">A variável </w:t>
      </w:r>
      <w:proofErr w:type="spellStart"/>
      <w:r w:rsidR="00105B57" w:rsidRPr="00737840">
        <w:rPr>
          <w:rFonts w:ascii="Times New Roman" w:hAnsi="Times New Roman" w:cs="Times New Roman"/>
          <w:i/>
          <w:sz w:val="24"/>
          <w:szCs w:val="24"/>
        </w:rPr>
        <w:t>dummy</w:t>
      </w:r>
      <w:r w:rsidR="00105B57" w:rsidRPr="00737840">
        <w:rPr>
          <w:rFonts w:ascii="Times New Roman" w:hAnsi="Times New Roman" w:cs="Times New Roman"/>
          <w:i/>
          <w:sz w:val="24"/>
          <w:szCs w:val="24"/>
          <w:vertAlign w:val="subscript"/>
        </w:rPr>
        <w:t>j</w:t>
      </w:r>
      <w:proofErr w:type="spellEnd"/>
      <w:r w:rsidR="00105B57">
        <w:rPr>
          <w:rFonts w:ascii="Times New Roman" w:hAnsi="Times New Roman" w:cs="Times New Roman"/>
          <w:sz w:val="24"/>
          <w:szCs w:val="24"/>
          <w:vertAlign w:val="subscript"/>
        </w:rPr>
        <w:t xml:space="preserve"> </w:t>
      </w:r>
      <w:r w:rsidR="00105B57">
        <w:rPr>
          <w:rFonts w:ascii="Times New Roman" w:hAnsi="Times New Roman" w:cs="Times New Roman"/>
          <w:sz w:val="24"/>
          <w:szCs w:val="24"/>
        </w:rPr>
        <w:t>utilizada refere-se ao ano de realização de SEO, sendo 1 para o ano da emissão e 0 caso contrário.</w:t>
      </w:r>
    </w:p>
    <w:p w14:paraId="641976C3" w14:textId="77777777" w:rsidR="004D1173" w:rsidRPr="00933491" w:rsidRDefault="004D1173" w:rsidP="0056798E">
      <w:pPr>
        <w:spacing w:after="0" w:line="240" w:lineRule="auto"/>
        <w:ind w:firstLine="709"/>
        <w:jc w:val="both"/>
        <w:rPr>
          <w:rFonts w:ascii="Times New Roman" w:hAnsi="Times New Roman" w:cs="Times New Roman"/>
          <w:sz w:val="24"/>
          <w:szCs w:val="24"/>
        </w:rPr>
      </w:pPr>
    </w:p>
    <w:p w14:paraId="5CCB5A94" w14:textId="13342510" w:rsidR="00BF7431" w:rsidRDefault="007B116C" w:rsidP="00DB788B">
      <w:pPr>
        <w:pStyle w:val="PargrafodaLista"/>
        <w:numPr>
          <w:ilvl w:val="0"/>
          <w:numId w:val="2"/>
        </w:numPr>
        <w:spacing w:after="120" w:line="240" w:lineRule="auto"/>
        <w:ind w:left="425" w:hanging="425"/>
        <w:rPr>
          <w:rFonts w:ascii="Times New Roman" w:hAnsi="Times New Roman" w:cs="Times New Roman"/>
          <w:b/>
          <w:sz w:val="24"/>
          <w:szCs w:val="24"/>
        </w:rPr>
      </w:pPr>
      <w:r w:rsidRPr="00933491">
        <w:rPr>
          <w:rFonts w:ascii="Times New Roman" w:hAnsi="Times New Roman" w:cs="Times New Roman"/>
          <w:b/>
          <w:sz w:val="24"/>
          <w:szCs w:val="24"/>
        </w:rPr>
        <w:t xml:space="preserve">Análise </w:t>
      </w:r>
      <w:r>
        <w:rPr>
          <w:rFonts w:ascii="Times New Roman" w:hAnsi="Times New Roman" w:cs="Times New Roman"/>
          <w:b/>
          <w:sz w:val="24"/>
          <w:szCs w:val="24"/>
        </w:rPr>
        <w:t>d</w:t>
      </w:r>
      <w:r w:rsidRPr="00933491">
        <w:rPr>
          <w:rFonts w:ascii="Times New Roman" w:hAnsi="Times New Roman" w:cs="Times New Roman"/>
          <w:b/>
          <w:sz w:val="24"/>
          <w:szCs w:val="24"/>
        </w:rPr>
        <w:t>os Resultados</w:t>
      </w:r>
    </w:p>
    <w:p w14:paraId="005EBD0E" w14:textId="1BCFAB5D" w:rsidR="00ED236D" w:rsidRPr="00933491" w:rsidRDefault="001F2E64" w:rsidP="00157D35">
      <w:pPr>
        <w:spacing w:after="0" w:line="240" w:lineRule="auto"/>
        <w:ind w:firstLine="709"/>
        <w:jc w:val="both"/>
        <w:rPr>
          <w:rFonts w:ascii="Times New Roman" w:hAnsi="Times New Roman" w:cs="Times New Roman"/>
          <w:sz w:val="24"/>
          <w:szCs w:val="24"/>
        </w:rPr>
      </w:pPr>
      <w:r w:rsidRPr="00933491">
        <w:rPr>
          <w:rFonts w:ascii="Times New Roman" w:hAnsi="Times New Roman" w:cs="Times New Roman"/>
          <w:sz w:val="24"/>
          <w:szCs w:val="24"/>
        </w:rPr>
        <w:t xml:space="preserve">A amostra é composta por empresas </w:t>
      </w:r>
      <w:r w:rsidR="00CA112C" w:rsidRPr="00933491">
        <w:rPr>
          <w:rFonts w:ascii="Times New Roman" w:hAnsi="Times New Roman" w:cs="Times New Roman"/>
          <w:sz w:val="24"/>
          <w:szCs w:val="24"/>
        </w:rPr>
        <w:t xml:space="preserve">listadas na </w:t>
      </w:r>
      <w:r w:rsidR="00095E4D" w:rsidRPr="00933491">
        <w:rPr>
          <w:rFonts w:ascii="Times New Roman" w:hAnsi="Times New Roman" w:cs="Times New Roman"/>
          <w:sz w:val="24"/>
          <w:szCs w:val="24"/>
        </w:rPr>
        <w:t>B3</w:t>
      </w:r>
      <w:r w:rsidR="005A5CA6">
        <w:rPr>
          <w:rFonts w:ascii="Times New Roman" w:hAnsi="Times New Roman" w:cs="Times New Roman"/>
          <w:sz w:val="24"/>
          <w:szCs w:val="24"/>
        </w:rPr>
        <w:t xml:space="preserve"> (</w:t>
      </w:r>
      <w:r w:rsidR="00645B0F">
        <w:rPr>
          <w:rFonts w:ascii="Times New Roman" w:hAnsi="Times New Roman" w:cs="Times New Roman"/>
          <w:sz w:val="24"/>
          <w:szCs w:val="24"/>
        </w:rPr>
        <w:t>B</w:t>
      </w:r>
      <w:r w:rsidR="005A5CA6">
        <w:rPr>
          <w:rFonts w:ascii="Times New Roman" w:hAnsi="Times New Roman" w:cs="Times New Roman"/>
          <w:sz w:val="24"/>
          <w:szCs w:val="24"/>
        </w:rPr>
        <w:t>rasil, Bolsa, Balcão)</w:t>
      </w:r>
      <w:r w:rsidRPr="00933491">
        <w:rPr>
          <w:rFonts w:ascii="Times New Roman" w:hAnsi="Times New Roman" w:cs="Times New Roman"/>
          <w:sz w:val="24"/>
          <w:szCs w:val="24"/>
        </w:rPr>
        <w:t xml:space="preserve"> que realizara</w:t>
      </w:r>
      <w:r w:rsidR="00B574DE" w:rsidRPr="00933491">
        <w:rPr>
          <w:rFonts w:ascii="Times New Roman" w:hAnsi="Times New Roman" w:cs="Times New Roman"/>
          <w:sz w:val="24"/>
          <w:szCs w:val="24"/>
        </w:rPr>
        <w:t>m ofertas subsequentes de ações</w:t>
      </w:r>
      <w:r w:rsidR="00E13E2A" w:rsidRPr="00933491">
        <w:rPr>
          <w:rFonts w:ascii="Times New Roman" w:hAnsi="Times New Roman" w:cs="Times New Roman"/>
          <w:sz w:val="24"/>
          <w:szCs w:val="24"/>
        </w:rPr>
        <w:t>,</w:t>
      </w:r>
      <w:r w:rsidR="00B574DE" w:rsidRPr="00933491">
        <w:rPr>
          <w:rFonts w:ascii="Times New Roman" w:hAnsi="Times New Roman" w:cs="Times New Roman"/>
          <w:sz w:val="24"/>
          <w:szCs w:val="24"/>
        </w:rPr>
        <w:t xml:space="preserve"> </w:t>
      </w:r>
      <w:r w:rsidRPr="00933491">
        <w:rPr>
          <w:rFonts w:ascii="Times New Roman" w:hAnsi="Times New Roman" w:cs="Times New Roman"/>
          <w:sz w:val="24"/>
          <w:szCs w:val="24"/>
        </w:rPr>
        <w:t>no período de 2004 a 20</w:t>
      </w:r>
      <w:r w:rsidR="001445BF" w:rsidRPr="00933491">
        <w:rPr>
          <w:rFonts w:ascii="Times New Roman" w:hAnsi="Times New Roman" w:cs="Times New Roman"/>
          <w:sz w:val="24"/>
          <w:szCs w:val="24"/>
        </w:rPr>
        <w:t>11</w:t>
      </w:r>
      <w:r w:rsidR="006A0EB4" w:rsidRPr="00933491">
        <w:rPr>
          <w:rFonts w:ascii="Times New Roman" w:hAnsi="Times New Roman" w:cs="Times New Roman"/>
          <w:sz w:val="24"/>
          <w:szCs w:val="24"/>
        </w:rPr>
        <w:t>. Para comparar o desempenho operacional e acionário das empresas que realizaram SEO, foi obtida uma</w:t>
      </w:r>
      <w:r w:rsidR="001959B4" w:rsidRPr="00933491">
        <w:rPr>
          <w:rFonts w:ascii="Times New Roman" w:hAnsi="Times New Roman" w:cs="Times New Roman"/>
          <w:sz w:val="24"/>
          <w:szCs w:val="24"/>
        </w:rPr>
        <w:t xml:space="preserve"> amostra de empresas que não realizaram SEO</w:t>
      </w:r>
      <w:r w:rsidR="00E13E2A" w:rsidRPr="00933491">
        <w:rPr>
          <w:rFonts w:ascii="Times New Roman" w:hAnsi="Times New Roman" w:cs="Times New Roman"/>
          <w:sz w:val="24"/>
          <w:szCs w:val="24"/>
        </w:rPr>
        <w:t>,</w:t>
      </w:r>
      <w:r w:rsidR="002F610E" w:rsidRPr="00933491">
        <w:rPr>
          <w:rFonts w:ascii="Times New Roman" w:hAnsi="Times New Roman" w:cs="Times New Roman"/>
          <w:sz w:val="24"/>
          <w:szCs w:val="24"/>
        </w:rPr>
        <w:t xml:space="preserve"> conforme critérios definidos </w:t>
      </w:r>
      <w:r w:rsidR="00925658" w:rsidRPr="00933491">
        <w:rPr>
          <w:rFonts w:ascii="Times New Roman" w:hAnsi="Times New Roman" w:cs="Times New Roman"/>
          <w:sz w:val="24"/>
          <w:szCs w:val="24"/>
        </w:rPr>
        <w:t xml:space="preserve">na </w:t>
      </w:r>
      <w:r w:rsidR="005A5CA6">
        <w:rPr>
          <w:rFonts w:ascii="Times New Roman" w:hAnsi="Times New Roman" w:cs="Times New Roman"/>
          <w:sz w:val="24"/>
          <w:szCs w:val="24"/>
        </w:rPr>
        <w:t>metodologia</w:t>
      </w:r>
      <w:r w:rsidR="00E13E2A" w:rsidRPr="00933491">
        <w:rPr>
          <w:rFonts w:ascii="Times New Roman" w:hAnsi="Times New Roman" w:cs="Times New Roman"/>
          <w:sz w:val="24"/>
          <w:szCs w:val="24"/>
        </w:rPr>
        <w:t>.</w:t>
      </w:r>
    </w:p>
    <w:p w14:paraId="4D877B08" w14:textId="53A2EBDF" w:rsidR="00357781" w:rsidRDefault="001959B4" w:rsidP="00157D35">
      <w:pPr>
        <w:spacing w:after="0" w:line="240" w:lineRule="auto"/>
        <w:ind w:firstLine="709"/>
        <w:jc w:val="both"/>
        <w:rPr>
          <w:rFonts w:ascii="Times New Roman" w:hAnsi="Times New Roman" w:cs="Times New Roman"/>
          <w:sz w:val="24"/>
          <w:szCs w:val="24"/>
        </w:rPr>
      </w:pPr>
      <w:r w:rsidRPr="00933491">
        <w:rPr>
          <w:rFonts w:ascii="Times New Roman" w:hAnsi="Times New Roman" w:cs="Times New Roman"/>
          <w:sz w:val="24"/>
          <w:szCs w:val="24"/>
        </w:rPr>
        <w:t xml:space="preserve">Na </w:t>
      </w:r>
      <w:r w:rsidR="00721FC7" w:rsidRPr="00933491">
        <w:rPr>
          <w:rFonts w:ascii="Times New Roman" w:hAnsi="Times New Roman" w:cs="Times New Roman"/>
          <w:sz w:val="24"/>
          <w:szCs w:val="24"/>
        </w:rPr>
        <w:t>Tabela</w:t>
      </w:r>
      <w:r w:rsidR="00B574DE" w:rsidRPr="00933491">
        <w:rPr>
          <w:rFonts w:ascii="Times New Roman" w:hAnsi="Times New Roman" w:cs="Times New Roman"/>
          <w:sz w:val="24"/>
          <w:szCs w:val="24"/>
        </w:rPr>
        <w:t xml:space="preserve"> 2,</w:t>
      </w:r>
      <w:r w:rsidRPr="00933491">
        <w:rPr>
          <w:rFonts w:ascii="Times New Roman" w:hAnsi="Times New Roman" w:cs="Times New Roman"/>
          <w:sz w:val="24"/>
          <w:szCs w:val="24"/>
        </w:rPr>
        <w:t xml:space="preserve"> </w:t>
      </w:r>
      <w:r w:rsidR="008879D6" w:rsidRPr="00933491">
        <w:rPr>
          <w:rFonts w:ascii="Times New Roman" w:hAnsi="Times New Roman" w:cs="Times New Roman"/>
          <w:sz w:val="24"/>
          <w:szCs w:val="24"/>
        </w:rPr>
        <w:t>apresenta</w:t>
      </w:r>
      <w:r w:rsidR="00E13E2A" w:rsidRPr="00933491">
        <w:rPr>
          <w:rFonts w:ascii="Times New Roman" w:hAnsi="Times New Roman" w:cs="Times New Roman"/>
          <w:sz w:val="24"/>
          <w:szCs w:val="24"/>
        </w:rPr>
        <w:t>-se</w:t>
      </w:r>
      <w:r w:rsidR="008879D6" w:rsidRPr="00933491">
        <w:rPr>
          <w:rFonts w:ascii="Times New Roman" w:hAnsi="Times New Roman" w:cs="Times New Roman"/>
          <w:sz w:val="24"/>
          <w:szCs w:val="24"/>
        </w:rPr>
        <w:t xml:space="preserve"> a estatística descritiva da</w:t>
      </w:r>
      <w:r w:rsidR="004F3B57" w:rsidRPr="00933491">
        <w:rPr>
          <w:rFonts w:ascii="Times New Roman" w:hAnsi="Times New Roman" w:cs="Times New Roman"/>
          <w:sz w:val="24"/>
          <w:szCs w:val="24"/>
        </w:rPr>
        <w:t>s empresas que foram sel</w:t>
      </w:r>
      <w:r w:rsidR="00721FC7" w:rsidRPr="00933491">
        <w:rPr>
          <w:rFonts w:ascii="Times New Roman" w:hAnsi="Times New Roman" w:cs="Times New Roman"/>
          <w:sz w:val="24"/>
          <w:szCs w:val="24"/>
        </w:rPr>
        <w:t xml:space="preserve">ecionadas para compor a amostra </w:t>
      </w:r>
      <w:r w:rsidR="008879D6" w:rsidRPr="00933491">
        <w:rPr>
          <w:rFonts w:ascii="Times New Roman" w:hAnsi="Times New Roman" w:cs="Times New Roman"/>
          <w:sz w:val="24"/>
          <w:szCs w:val="24"/>
        </w:rPr>
        <w:t>referente ao</w:t>
      </w:r>
      <w:r w:rsidR="00C069A8" w:rsidRPr="00933491">
        <w:rPr>
          <w:rFonts w:ascii="Times New Roman" w:hAnsi="Times New Roman" w:cs="Times New Roman"/>
          <w:sz w:val="24"/>
          <w:szCs w:val="24"/>
        </w:rPr>
        <w:t xml:space="preserve"> volume da oferta</w:t>
      </w:r>
      <w:r w:rsidR="00DE61D3" w:rsidRPr="00933491">
        <w:rPr>
          <w:rFonts w:ascii="Times New Roman" w:hAnsi="Times New Roman" w:cs="Times New Roman"/>
          <w:sz w:val="24"/>
          <w:szCs w:val="24"/>
        </w:rPr>
        <w:t xml:space="preserve"> primária, secundária e total</w:t>
      </w:r>
      <w:r w:rsidR="00095E4D" w:rsidRPr="00933491">
        <w:rPr>
          <w:rFonts w:ascii="Times New Roman" w:hAnsi="Times New Roman" w:cs="Times New Roman"/>
          <w:sz w:val="24"/>
          <w:szCs w:val="24"/>
        </w:rPr>
        <w:t>, bem</w:t>
      </w:r>
      <w:r w:rsidR="00DE61D3" w:rsidRPr="00933491">
        <w:rPr>
          <w:rFonts w:ascii="Times New Roman" w:hAnsi="Times New Roman" w:cs="Times New Roman"/>
          <w:sz w:val="24"/>
          <w:szCs w:val="24"/>
        </w:rPr>
        <w:t xml:space="preserve"> </w:t>
      </w:r>
      <w:r w:rsidR="00095E4D" w:rsidRPr="00933491">
        <w:rPr>
          <w:rFonts w:ascii="Times New Roman" w:hAnsi="Times New Roman" w:cs="Times New Roman"/>
          <w:sz w:val="24"/>
          <w:szCs w:val="24"/>
        </w:rPr>
        <w:t>como</w:t>
      </w:r>
      <w:r w:rsidR="00C069A8" w:rsidRPr="00933491">
        <w:rPr>
          <w:rFonts w:ascii="Times New Roman" w:hAnsi="Times New Roman" w:cs="Times New Roman"/>
          <w:sz w:val="24"/>
          <w:szCs w:val="24"/>
        </w:rPr>
        <w:t xml:space="preserve"> o tamanho do ativo</w:t>
      </w:r>
      <w:r w:rsidR="00863F65" w:rsidRPr="00933491">
        <w:rPr>
          <w:rFonts w:ascii="Times New Roman" w:hAnsi="Times New Roman" w:cs="Times New Roman"/>
          <w:sz w:val="24"/>
          <w:szCs w:val="24"/>
        </w:rPr>
        <w:t xml:space="preserve"> referente ao ano da SEO</w:t>
      </w:r>
      <w:r w:rsidR="00C069A8" w:rsidRPr="00933491">
        <w:rPr>
          <w:rFonts w:ascii="Times New Roman" w:hAnsi="Times New Roman" w:cs="Times New Roman"/>
          <w:sz w:val="24"/>
          <w:szCs w:val="24"/>
        </w:rPr>
        <w:t>.</w:t>
      </w:r>
      <w:r w:rsidR="00ED236D" w:rsidRPr="00933491">
        <w:rPr>
          <w:rFonts w:ascii="Times New Roman" w:hAnsi="Times New Roman" w:cs="Times New Roman"/>
          <w:sz w:val="24"/>
          <w:szCs w:val="24"/>
        </w:rPr>
        <w:t xml:space="preserve"> </w:t>
      </w:r>
      <w:r w:rsidR="00017FAF" w:rsidRPr="00933491">
        <w:rPr>
          <w:rFonts w:ascii="Times New Roman" w:hAnsi="Times New Roman" w:cs="Times New Roman"/>
          <w:sz w:val="24"/>
          <w:szCs w:val="24"/>
        </w:rPr>
        <w:t xml:space="preserve">Em média, as empresas </w:t>
      </w:r>
      <w:r w:rsidR="00320753" w:rsidRPr="00933491">
        <w:rPr>
          <w:rFonts w:ascii="Times New Roman" w:hAnsi="Times New Roman" w:cs="Times New Roman"/>
          <w:sz w:val="24"/>
          <w:szCs w:val="24"/>
        </w:rPr>
        <w:t>ofertaram em torno de</w:t>
      </w:r>
      <w:r w:rsidR="00BF3EC5" w:rsidRPr="00933491">
        <w:rPr>
          <w:rFonts w:ascii="Times New Roman" w:hAnsi="Times New Roman" w:cs="Times New Roman"/>
          <w:sz w:val="24"/>
          <w:szCs w:val="24"/>
        </w:rPr>
        <w:t xml:space="preserve"> </w:t>
      </w:r>
      <w:r w:rsidR="00AD4591" w:rsidRPr="00933491">
        <w:rPr>
          <w:rFonts w:ascii="Times New Roman" w:hAnsi="Times New Roman" w:cs="Times New Roman"/>
          <w:sz w:val="24"/>
          <w:szCs w:val="24"/>
        </w:rPr>
        <w:t>4,927</w:t>
      </w:r>
      <w:r w:rsidR="00B5707D" w:rsidRPr="00933491">
        <w:rPr>
          <w:rFonts w:ascii="Times New Roman" w:hAnsi="Times New Roman" w:cs="Times New Roman"/>
          <w:sz w:val="24"/>
          <w:szCs w:val="24"/>
        </w:rPr>
        <w:t xml:space="preserve"> b</w:t>
      </w:r>
      <w:r w:rsidR="000A0E29" w:rsidRPr="00933491">
        <w:rPr>
          <w:rFonts w:ascii="Times New Roman" w:hAnsi="Times New Roman" w:cs="Times New Roman"/>
          <w:sz w:val="24"/>
          <w:szCs w:val="24"/>
        </w:rPr>
        <w:t>ilh</w:t>
      </w:r>
      <w:r w:rsidR="00143D2C" w:rsidRPr="00933491">
        <w:rPr>
          <w:rFonts w:ascii="Times New Roman" w:hAnsi="Times New Roman" w:cs="Times New Roman"/>
          <w:sz w:val="24"/>
          <w:szCs w:val="24"/>
        </w:rPr>
        <w:t>õe</w:t>
      </w:r>
      <w:r w:rsidR="00DF715A" w:rsidRPr="00933491">
        <w:rPr>
          <w:rFonts w:ascii="Times New Roman" w:hAnsi="Times New Roman" w:cs="Times New Roman"/>
          <w:sz w:val="24"/>
          <w:szCs w:val="24"/>
        </w:rPr>
        <w:t xml:space="preserve">s de reais em ações, sendo R$ </w:t>
      </w:r>
      <w:r w:rsidR="00AD4591" w:rsidRPr="00933491">
        <w:rPr>
          <w:rFonts w:ascii="Times New Roman" w:hAnsi="Times New Roman" w:cs="Times New Roman"/>
          <w:sz w:val="24"/>
          <w:szCs w:val="24"/>
        </w:rPr>
        <w:t>4</w:t>
      </w:r>
      <w:r w:rsidR="00DF715A" w:rsidRPr="00933491">
        <w:rPr>
          <w:rFonts w:ascii="Times New Roman" w:hAnsi="Times New Roman" w:cs="Times New Roman"/>
          <w:sz w:val="24"/>
          <w:szCs w:val="24"/>
        </w:rPr>
        <w:t>,7</w:t>
      </w:r>
      <w:r w:rsidR="00BF3EC5" w:rsidRPr="00933491">
        <w:rPr>
          <w:rFonts w:ascii="Times New Roman" w:hAnsi="Times New Roman" w:cs="Times New Roman"/>
          <w:sz w:val="24"/>
          <w:szCs w:val="24"/>
        </w:rPr>
        <w:t>6</w:t>
      </w:r>
      <w:r w:rsidR="00AD4591" w:rsidRPr="00933491">
        <w:rPr>
          <w:rFonts w:ascii="Times New Roman" w:hAnsi="Times New Roman" w:cs="Times New Roman"/>
          <w:sz w:val="24"/>
          <w:szCs w:val="24"/>
        </w:rPr>
        <w:t>4</w:t>
      </w:r>
      <w:r w:rsidR="00DF715A" w:rsidRPr="00933491">
        <w:rPr>
          <w:rFonts w:ascii="Times New Roman" w:hAnsi="Times New Roman" w:cs="Times New Roman"/>
          <w:sz w:val="24"/>
          <w:szCs w:val="24"/>
        </w:rPr>
        <w:t xml:space="preserve"> b</w:t>
      </w:r>
      <w:r w:rsidR="00143D2C" w:rsidRPr="00933491">
        <w:rPr>
          <w:rFonts w:ascii="Times New Roman" w:hAnsi="Times New Roman" w:cs="Times New Roman"/>
          <w:sz w:val="24"/>
          <w:szCs w:val="24"/>
        </w:rPr>
        <w:t>ilhões referente</w:t>
      </w:r>
      <w:r w:rsidR="00147842" w:rsidRPr="00933491">
        <w:rPr>
          <w:rFonts w:ascii="Times New Roman" w:hAnsi="Times New Roman" w:cs="Times New Roman"/>
          <w:sz w:val="24"/>
          <w:szCs w:val="24"/>
        </w:rPr>
        <w:t>s</w:t>
      </w:r>
      <w:r w:rsidR="00143D2C" w:rsidRPr="00933491">
        <w:rPr>
          <w:rFonts w:ascii="Times New Roman" w:hAnsi="Times New Roman" w:cs="Times New Roman"/>
          <w:sz w:val="24"/>
          <w:szCs w:val="24"/>
        </w:rPr>
        <w:t xml:space="preserve"> à oferta primária</w:t>
      </w:r>
      <w:r w:rsidR="00357781" w:rsidRPr="00933491">
        <w:rPr>
          <w:rFonts w:ascii="Times New Roman" w:hAnsi="Times New Roman" w:cs="Times New Roman"/>
          <w:sz w:val="24"/>
          <w:szCs w:val="24"/>
        </w:rPr>
        <w:t xml:space="preserve">. </w:t>
      </w:r>
      <w:r w:rsidR="00845060" w:rsidRPr="00933491">
        <w:rPr>
          <w:rFonts w:ascii="Times New Roman" w:hAnsi="Times New Roman" w:cs="Times New Roman"/>
          <w:sz w:val="24"/>
          <w:szCs w:val="24"/>
        </w:rPr>
        <w:t>A</w:t>
      </w:r>
      <w:r w:rsidR="00357781" w:rsidRPr="00933491">
        <w:rPr>
          <w:rFonts w:ascii="Times New Roman" w:hAnsi="Times New Roman" w:cs="Times New Roman"/>
          <w:sz w:val="24"/>
          <w:szCs w:val="24"/>
        </w:rPr>
        <w:t xml:space="preserve">s empresas </w:t>
      </w:r>
      <w:r w:rsidR="008739D0" w:rsidRPr="00933491">
        <w:rPr>
          <w:rFonts w:ascii="Times New Roman" w:hAnsi="Times New Roman" w:cs="Times New Roman"/>
          <w:sz w:val="24"/>
          <w:szCs w:val="24"/>
        </w:rPr>
        <w:t>fizeram uma oferta primária de</w:t>
      </w:r>
      <w:r w:rsidR="00845060" w:rsidRPr="00933491">
        <w:rPr>
          <w:rFonts w:ascii="Times New Roman" w:hAnsi="Times New Roman" w:cs="Times New Roman"/>
          <w:sz w:val="24"/>
          <w:szCs w:val="24"/>
        </w:rPr>
        <w:t>, no mínimo,</w:t>
      </w:r>
      <w:r w:rsidR="008739D0" w:rsidRPr="00933491">
        <w:rPr>
          <w:rFonts w:ascii="Times New Roman" w:hAnsi="Times New Roman" w:cs="Times New Roman"/>
          <w:sz w:val="24"/>
          <w:szCs w:val="24"/>
        </w:rPr>
        <w:t xml:space="preserve"> </w:t>
      </w:r>
      <w:r w:rsidR="00357781" w:rsidRPr="00933491">
        <w:rPr>
          <w:rFonts w:ascii="Times New Roman" w:hAnsi="Times New Roman" w:cs="Times New Roman"/>
          <w:sz w:val="24"/>
          <w:szCs w:val="24"/>
        </w:rPr>
        <w:t xml:space="preserve">R$ </w:t>
      </w:r>
      <w:r w:rsidR="00AD4591" w:rsidRPr="00933491">
        <w:rPr>
          <w:rFonts w:ascii="Times New Roman" w:hAnsi="Times New Roman" w:cs="Times New Roman"/>
          <w:sz w:val="24"/>
          <w:szCs w:val="24"/>
        </w:rPr>
        <w:t>31</w:t>
      </w:r>
      <w:r w:rsidR="00357781" w:rsidRPr="00933491">
        <w:rPr>
          <w:rFonts w:ascii="Times New Roman" w:hAnsi="Times New Roman" w:cs="Times New Roman"/>
          <w:sz w:val="24"/>
          <w:szCs w:val="24"/>
        </w:rPr>
        <w:t>,</w:t>
      </w:r>
      <w:r w:rsidR="00AD4591" w:rsidRPr="00933491">
        <w:rPr>
          <w:rFonts w:ascii="Times New Roman" w:hAnsi="Times New Roman" w:cs="Times New Roman"/>
          <w:sz w:val="24"/>
          <w:szCs w:val="24"/>
        </w:rPr>
        <w:t>9</w:t>
      </w:r>
      <w:r w:rsidR="008739D0" w:rsidRPr="00933491">
        <w:rPr>
          <w:rFonts w:ascii="Times New Roman" w:hAnsi="Times New Roman" w:cs="Times New Roman"/>
          <w:sz w:val="24"/>
          <w:szCs w:val="24"/>
        </w:rPr>
        <w:t xml:space="preserve"> milhões em aç</w:t>
      </w:r>
      <w:r w:rsidR="008B1649" w:rsidRPr="00933491">
        <w:rPr>
          <w:rFonts w:ascii="Times New Roman" w:hAnsi="Times New Roman" w:cs="Times New Roman"/>
          <w:sz w:val="24"/>
          <w:szCs w:val="24"/>
        </w:rPr>
        <w:t>ões</w:t>
      </w:r>
      <w:r w:rsidR="00845060" w:rsidRPr="00933491">
        <w:rPr>
          <w:rFonts w:ascii="Times New Roman" w:hAnsi="Times New Roman" w:cs="Times New Roman"/>
          <w:sz w:val="24"/>
          <w:szCs w:val="24"/>
        </w:rPr>
        <w:t xml:space="preserve"> e, no máximo, de R$ </w:t>
      </w:r>
      <w:r w:rsidR="00AD4591" w:rsidRPr="00933491">
        <w:rPr>
          <w:rFonts w:ascii="Times New Roman" w:hAnsi="Times New Roman" w:cs="Times New Roman"/>
          <w:sz w:val="24"/>
          <w:szCs w:val="24"/>
        </w:rPr>
        <w:t>120</w:t>
      </w:r>
      <w:r w:rsidR="004654F4" w:rsidRPr="00933491">
        <w:rPr>
          <w:rFonts w:ascii="Times New Roman" w:hAnsi="Times New Roman" w:cs="Times New Roman"/>
          <w:sz w:val="24"/>
          <w:szCs w:val="24"/>
        </w:rPr>
        <w:t>,</w:t>
      </w:r>
      <w:r w:rsidR="00AD4591" w:rsidRPr="00933491">
        <w:rPr>
          <w:rFonts w:ascii="Times New Roman" w:hAnsi="Times New Roman" w:cs="Times New Roman"/>
          <w:sz w:val="24"/>
          <w:szCs w:val="24"/>
        </w:rPr>
        <w:t>248</w:t>
      </w:r>
      <w:r w:rsidR="004654F4" w:rsidRPr="00933491">
        <w:rPr>
          <w:rFonts w:ascii="Times New Roman" w:hAnsi="Times New Roman" w:cs="Times New Roman"/>
          <w:sz w:val="24"/>
          <w:szCs w:val="24"/>
        </w:rPr>
        <w:t xml:space="preserve"> bilhões de ações. </w:t>
      </w:r>
      <w:r w:rsidR="008B1649" w:rsidRPr="00933491">
        <w:rPr>
          <w:rFonts w:ascii="Times New Roman" w:hAnsi="Times New Roman" w:cs="Times New Roman"/>
          <w:sz w:val="24"/>
          <w:szCs w:val="24"/>
        </w:rPr>
        <w:t>Já a oferta secundária</w:t>
      </w:r>
      <w:r w:rsidR="0078595A" w:rsidRPr="00933491">
        <w:rPr>
          <w:rFonts w:ascii="Times New Roman" w:hAnsi="Times New Roman" w:cs="Times New Roman"/>
          <w:sz w:val="24"/>
          <w:szCs w:val="24"/>
        </w:rPr>
        <w:t xml:space="preserve"> emitida pelas empre</w:t>
      </w:r>
      <w:r w:rsidR="002C581B" w:rsidRPr="00933491">
        <w:rPr>
          <w:rFonts w:ascii="Times New Roman" w:hAnsi="Times New Roman" w:cs="Times New Roman"/>
          <w:sz w:val="24"/>
          <w:szCs w:val="24"/>
        </w:rPr>
        <w:t xml:space="preserve">sas foi, em média, de R$ </w:t>
      </w:r>
      <w:r w:rsidR="00AD4591" w:rsidRPr="00933491">
        <w:rPr>
          <w:rFonts w:ascii="Times New Roman" w:hAnsi="Times New Roman" w:cs="Times New Roman"/>
          <w:sz w:val="24"/>
          <w:szCs w:val="24"/>
        </w:rPr>
        <w:t>162</w:t>
      </w:r>
      <w:r w:rsidR="00524916" w:rsidRPr="00933491">
        <w:rPr>
          <w:rFonts w:ascii="Times New Roman" w:hAnsi="Times New Roman" w:cs="Times New Roman"/>
          <w:sz w:val="24"/>
          <w:szCs w:val="24"/>
        </w:rPr>
        <w:t>,</w:t>
      </w:r>
      <w:r w:rsidR="00AD4591" w:rsidRPr="00933491">
        <w:rPr>
          <w:rFonts w:ascii="Times New Roman" w:hAnsi="Times New Roman" w:cs="Times New Roman"/>
          <w:sz w:val="24"/>
          <w:szCs w:val="24"/>
        </w:rPr>
        <w:t>512</w:t>
      </w:r>
      <w:r w:rsidR="0078595A" w:rsidRPr="00933491">
        <w:rPr>
          <w:rFonts w:ascii="Times New Roman" w:hAnsi="Times New Roman" w:cs="Times New Roman"/>
          <w:sz w:val="24"/>
          <w:szCs w:val="24"/>
        </w:rPr>
        <w:t xml:space="preserve"> milhões em ações</w:t>
      </w:r>
      <w:r w:rsidR="00C65B3B" w:rsidRPr="00933491">
        <w:rPr>
          <w:rFonts w:ascii="Times New Roman" w:hAnsi="Times New Roman" w:cs="Times New Roman"/>
          <w:sz w:val="24"/>
          <w:szCs w:val="24"/>
        </w:rPr>
        <w:t xml:space="preserve">, </w:t>
      </w:r>
      <w:r w:rsidR="005B5C7F" w:rsidRPr="00933491">
        <w:rPr>
          <w:rFonts w:ascii="Times New Roman" w:hAnsi="Times New Roman" w:cs="Times New Roman"/>
          <w:sz w:val="24"/>
          <w:szCs w:val="24"/>
        </w:rPr>
        <w:t>havendo casos de empresas que não realizara</w:t>
      </w:r>
      <w:r w:rsidR="000E0639" w:rsidRPr="00933491">
        <w:rPr>
          <w:rFonts w:ascii="Times New Roman" w:hAnsi="Times New Roman" w:cs="Times New Roman"/>
          <w:sz w:val="24"/>
          <w:szCs w:val="24"/>
        </w:rPr>
        <w:t>m</w:t>
      </w:r>
      <w:r w:rsidR="005B5C7F" w:rsidRPr="00933491">
        <w:rPr>
          <w:rFonts w:ascii="Times New Roman" w:hAnsi="Times New Roman" w:cs="Times New Roman"/>
          <w:sz w:val="24"/>
          <w:szCs w:val="24"/>
        </w:rPr>
        <w:t xml:space="preserve"> ofertas secundárias (oferta</w:t>
      </w:r>
      <w:r w:rsidR="00C65B3B" w:rsidRPr="00933491">
        <w:rPr>
          <w:rFonts w:ascii="Times New Roman" w:hAnsi="Times New Roman" w:cs="Times New Roman"/>
          <w:sz w:val="24"/>
          <w:szCs w:val="24"/>
        </w:rPr>
        <w:t xml:space="preserve"> zero</w:t>
      </w:r>
      <w:r w:rsidR="005B5C7F" w:rsidRPr="00933491">
        <w:rPr>
          <w:rFonts w:ascii="Times New Roman" w:hAnsi="Times New Roman" w:cs="Times New Roman"/>
          <w:sz w:val="24"/>
          <w:szCs w:val="24"/>
        </w:rPr>
        <w:t>)</w:t>
      </w:r>
      <w:r w:rsidR="00C65B3B" w:rsidRPr="00933491">
        <w:rPr>
          <w:rFonts w:ascii="Times New Roman" w:hAnsi="Times New Roman" w:cs="Times New Roman"/>
          <w:sz w:val="24"/>
          <w:szCs w:val="24"/>
        </w:rPr>
        <w:t xml:space="preserve"> e</w:t>
      </w:r>
      <w:r w:rsidR="000E0639" w:rsidRPr="00933491">
        <w:rPr>
          <w:rFonts w:ascii="Times New Roman" w:hAnsi="Times New Roman" w:cs="Times New Roman"/>
          <w:sz w:val="24"/>
          <w:szCs w:val="24"/>
        </w:rPr>
        <w:t>,</w:t>
      </w:r>
      <w:r w:rsidR="00C65B3B" w:rsidRPr="00933491">
        <w:rPr>
          <w:rFonts w:ascii="Times New Roman" w:hAnsi="Times New Roman" w:cs="Times New Roman"/>
          <w:sz w:val="24"/>
          <w:szCs w:val="24"/>
        </w:rPr>
        <w:t xml:space="preserve"> no má</w:t>
      </w:r>
      <w:r w:rsidR="00E558B6" w:rsidRPr="00933491">
        <w:rPr>
          <w:rFonts w:ascii="Times New Roman" w:hAnsi="Times New Roman" w:cs="Times New Roman"/>
          <w:sz w:val="24"/>
          <w:szCs w:val="24"/>
        </w:rPr>
        <w:t>ximo</w:t>
      </w:r>
      <w:r w:rsidR="000E0639" w:rsidRPr="00933491">
        <w:rPr>
          <w:rFonts w:ascii="Times New Roman" w:hAnsi="Times New Roman" w:cs="Times New Roman"/>
          <w:sz w:val="24"/>
          <w:szCs w:val="24"/>
        </w:rPr>
        <w:t>,</w:t>
      </w:r>
      <w:r w:rsidR="00E558B6" w:rsidRPr="00933491">
        <w:rPr>
          <w:rFonts w:ascii="Times New Roman" w:hAnsi="Times New Roman" w:cs="Times New Roman"/>
          <w:sz w:val="24"/>
          <w:szCs w:val="24"/>
        </w:rPr>
        <w:t xml:space="preserve"> R$ 1,28</w:t>
      </w:r>
      <w:r w:rsidR="00757129" w:rsidRPr="00933491">
        <w:rPr>
          <w:rFonts w:ascii="Times New Roman" w:hAnsi="Times New Roman" w:cs="Times New Roman"/>
          <w:sz w:val="24"/>
          <w:szCs w:val="24"/>
        </w:rPr>
        <w:t>5</w:t>
      </w:r>
      <w:r w:rsidR="002E41BE" w:rsidRPr="00933491">
        <w:rPr>
          <w:rFonts w:ascii="Times New Roman" w:hAnsi="Times New Roman" w:cs="Times New Roman"/>
          <w:sz w:val="24"/>
          <w:szCs w:val="24"/>
        </w:rPr>
        <w:t xml:space="preserve"> </w:t>
      </w:r>
      <w:r w:rsidR="00E558B6" w:rsidRPr="00933491">
        <w:rPr>
          <w:rFonts w:ascii="Times New Roman" w:hAnsi="Times New Roman" w:cs="Times New Roman"/>
          <w:sz w:val="24"/>
          <w:szCs w:val="24"/>
        </w:rPr>
        <w:t xml:space="preserve">bilhão em ações. </w:t>
      </w:r>
      <w:r w:rsidR="00E13E2A" w:rsidRPr="00933491">
        <w:rPr>
          <w:rFonts w:ascii="Times New Roman" w:hAnsi="Times New Roman" w:cs="Times New Roman"/>
          <w:sz w:val="24"/>
          <w:szCs w:val="24"/>
        </w:rPr>
        <w:t>No que diz respeito</w:t>
      </w:r>
      <w:r w:rsidR="00E558B6" w:rsidRPr="00933491">
        <w:rPr>
          <w:rFonts w:ascii="Times New Roman" w:hAnsi="Times New Roman" w:cs="Times New Roman"/>
          <w:sz w:val="24"/>
          <w:szCs w:val="24"/>
        </w:rPr>
        <w:t xml:space="preserve"> ao tamanho do ativo das empresas</w:t>
      </w:r>
      <w:r w:rsidR="00AF7C2D" w:rsidRPr="00933491">
        <w:rPr>
          <w:rFonts w:ascii="Times New Roman" w:hAnsi="Times New Roman" w:cs="Times New Roman"/>
          <w:sz w:val="24"/>
          <w:szCs w:val="24"/>
        </w:rPr>
        <w:t xml:space="preserve"> no ano de realização da SEO</w:t>
      </w:r>
      <w:r w:rsidR="00E558B6" w:rsidRPr="00933491">
        <w:rPr>
          <w:rFonts w:ascii="Times New Roman" w:hAnsi="Times New Roman" w:cs="Times New Roman"/>
          <w:sz w:val="24"/>
          <w:szCs w:val="24"/>
        </w:rPr>
        <w:t xml:space="preserve">, </w:t>
      </w:r>
      <w:r w:rsidR="00555666" w:rsidRPr="00933491">
        <w:rPr>
          <w:rFonts w:ascii="Times New Roman" w:hAnsi="Times New Roman" w:cs="Times New Roman"/>
          <w:sz w:val="24"/>
          <w:szCs w:val="24"/>
        </w:rPr>
        <w:t xml:space="preserve">verifica-se que o tamanho médio é de R$ </w:t>
      </w:r>
      <w:r w:rsidR="00AD4591" w:rsidRPr="00933491">
        <w:rPr>
          <w:rFonts w:ascii="Times New Roman" w:hAnsi="Times New Roman" w:cs="Times New Roman"/>
          <w:sz w:val="24"/>
          <w:szCs w:val="24"/>
        </w:rPr>
        <w:t>28</w:t>
      </w:r>
      <w:r w:rsidR="00555666" w:rsidRPr="00933491">
        <w:rPr>
          <w:rFonts w:ascii="Times New Roman" w:hAnsi="Times New Roman" w:cs="Times New Roman"/>
          <w:sz w:val="24"/>
          <w:szCs w:val="24"/>
        </w:rPr>
        <w:t>,</w:t>
      </w:r>
      <w:r w:rsidR="00AD4591" w:rsidRPr="00933491">
        <w:rPr>
          <w:rFonts w:ascii="Times New Roman" w:hAnsi="Times New Roman" w:cs="Times New Roman"/>
          <w:sz w:val="24"/>
          <w:szCs w:val="24"/>
        </w:rPr>
        <w:t>238</w:t>
      </w:r>
      <w:r w:rsidR="000278CE" w:rsidRPr="00933491">
        <w:rPr>
          <w:rFonts w:ascii="Times New Roman" w:hAnsi="Times New Roman" w:cs="Times New Roman"/>
          <w:sz w:val="24"/>
          <w:szCs w:val="24"/>
        </w:rPr>
        <w:t xml:space="preserve"> </w:t>
      </w:r>
      <w:r w:rsidR="000278CE" w:rsidRPr="00933491">
        <w:rPr>
          <w:rFonts w:ascii="Times New Roman" w:hAnsi="Times New Roman" w:cs="Times New Roman"/>
          <w:sz w:val="24"/>
          <w:szCs w:val="24"/>
        </w:rPr>
        <w:lastRenderedPageBreak/>
        <w:t xml:space="preserve">bilhões, variando de R$ </w:t>
      </w:r>
      <w:r w:rsidR="00AD4591" w:rsidRPr="00933491">
        <w:rPr>
          <w:rFonts w:ascii="Times New Roman" w:hAnsi="Times New Roman" w:cs="Times New Roman"/>
          <w:sz w:val="24"/>
          <w:szCs w:val="24"/>
        </w:rPr>
        <w:t>415</w:t>
      </w:r>
      <w:r w:rsidR="000278CE" w:rsidRPr="00933491">
        <w:rPr>
          <w:rFonts w:ascii="Times New Roman" w:hAnsi="Times New Roman" w:cs="Times New Roman"/>
          <w:sz w:val="24"/>
          <w:szCs w:val="24"/>
        </w:rPr>
        <w:t>,</w:t>
      </w:r>
      <w:r w:rsidR="00AD4591" w:rsidRPr="00933491">
        <w:rPr>
          <w:rFonts w:ascii="Times New Roman" w:hAnsi="Times New Roman" w:cs="Times New Roman"/>
          <w:sz w:val="24"/>
          <w:szCs w:val="24"/>
        </w:rPr>
        <w:t>920</w:t>
      </w:r>
      <w:r w:rsidR="008849A4" w:rsidRPr="00933491">
        <w:rPr>
          <w:rFonts w:ascii="Times New Roman" w:hAnsi="Times New Roman" w:cs="Times New Roman"/>
          <w:sz w:val="24"/>
          <w:szCs w:val="24"/>
        </w:rPr>
        <w:t xml:space="preserve"> </w:t>
      </w:r>
      <w:r w:rsidR="000278CE" w:rsidRPr="00933491">
        <w:rPr>
          <w:rFonts w:ascii="Times New Roman" w:hAnsi="Times New Roman" w:cs="Times New Roman"/>
          <w:sz w:val="24"/>
          <w:szCs w:val="24"/>
        </w:rPr>
        <w:t xml:space="preserve">milhões </w:t>
      </w:r>
      <w:r w:rsidR="00B72AF2" w:rsidRPr="00933491">
        <w:rPr>
          <w:rFonts w:ascii="Times New Roman" w:hAnsi="Times New Roman" w:cs="Times New Roman"/>
          <w:sz w:val="24"/>
          <w:szCs w:val="24"/>
        </w:rPr>
        <w:t xml:space="preserve">(correspondente a </w:t>
      </w:r>
      <w:r w:rsidR="00AD4591" w:rsidRPr="00933491">
        <w:rPr>
          <w:rFonts w:ascii="Times New Roman" w:hAnsi="Times New Roman" w:cs="Times New Roman"/>
          <w:sz w:val="24"/>
          <w:szCs w:val="24"/>
        </w:rPr>
        <w:t>RAPT4</w:t>
      </w:r>
      <w:r w:rsidR="00B72AF2" w:rsidRPr="00933491">
        <w:rPr>
          <w:rFonts w:ascii="Times New Roman" w:hAnsi="Times New Roman" w:cs="Times New Roman"/>
          <w:sz w:val="24"/>
          <w:szCs w:val="20"/>
        </w:rPr>
        <w:t>)</w:t>
      </w:r>
      <w:r w:rsidR="00B72AF2" w:rsidRPr="00933491">
        <w:rPr>
          <w:rFonts w:ascii="Times New Roman" w:hAnsi="Times New Roman" w:cs="Times New Roman"/>
          <w:sz w:val="24"/>
          <w:szCs w:val="24"/>
        </w:rPr>
        <w:t xml:space="preserve"> </w:t>
      </w:r>
      <w:r w:rsidR="000278CE" w:rsidRPr="00933491">
        <w:rPr>
          <w:rFonts w:ascii="Times New Roman" w:hAnsi="Times New Roman" w:cs="Times New Roman"/>
          <w:sz w:val="24"/>
          <w:szCs w:val="24"/>
        </w:rPr>
        <w:t xml:space="preserve">a R$ </w:t>
      </w:r>
      <w:r w:rsidR="00AD4591" w:rsidRPr="00933491">
        <w:rPr>
          <w:rFonts w:ascii="Times New Roman" w:hAnsi="Times New Roman" w:cs="Times New Roman"/>
          <w:sz w:val="24"/>
          <w:szCs w:val="24"/>
        </w:rPr>
        <w:t>519,970</w:t>
      </w:r>
      <w:r w:rsidR="000278CE" w:rsidRPr="00933491">
        <w:rPr>
          <w:rFonts w:ascii="Times New Roman" w:hAnsi="Times New Roman" w:cs="Times New Roman"/>
          <w:sz w:val="24"/>
          <w:szCs w:val="24"/>
        </w:rPr>
        <w:t xml:space="preserve"> bilhões</w:t>
      </w:r>
      <w:r w:rsidR="00B72AF2" w:rsidRPr="00933491">
        <w:rPr>
          <w:rFonts w:ascii="Times New Roman" w:hAnsi="Times New Roman" w:cs="Times New Roman"/>
          <w:sz w:val="24"/>
          <w:szCs w:val="24"/>
        </w:rPr>
        <w:t xml:space="preserve"> (correspondente a </w:t>
      </w:r>
      <w:r w:rsidR="00AD4591" w:rsidRPr="00933491">
        <w:rPr>
          <w:rFonts w:ascii="Times New Roman" w:hAnsi="Times New Roman" w:cs="Times New Roman"/>
          <w:sz w:val="24"/>
          <w:szCs w:val="24"/>
        </w:rPr>
        <w:t>PETR</w:t>
      </w:r>
      <w:r w:rsidR="00B72AF2" w:rsidRPr="00933491">
        <w:rPr>
          <w:rFonts w:ascii="Times New Roman" w:hAnsi="Times New Roman" w:cs="Times New Roman"/>
          <w:sz w:val="24"/>
          <w:szCs w:val="24"/>
        </w:rPr>
        <w:t>3)</w:t>
      </w:r>
      <w:r w:rsidR="000278CE" w:rsidRPr="00933491">
        <w:rPr>
          <w:rFonts w:ascii="Times New Roman" w:hAnsi="Times New Roman" w:cs="Times New Roman"/>
          <w:sz w:val="24"/>
          <w:szCs w:val="24"/>
        </w:rPr>
        <w:t>.</w:t>
      </w:r>
    </w:p>
    <w:p w14:paraId="131B5557" w14:textId="77777777" w:rsidR="006909D1" w:rsidRPr="00933491" w:rsidRDefault="006909D1" w:rsidP="0056798E">
      <w:pPr>
        <w:spacing w:after="0" w:line="240" w:lineRule="auto"/>
        <w:ind w:firstLine="567"/>
        <w:jc w:val="both"/>
        <w:rPr>
          <w:rFonts w:ascii="Times New Roman" w:hAnsi="Times New Roman" w:cs="Times New Roman"/>
          <w:sz w:val="24"/>
          <w:szCs w:val="24"/>
        </w:rPr>
      </w:pPr>
    </w:p>
    <w:p w14:paraId="2F7F6B58" w14:textId="064DD848" w:rsidR="002F172F" w:rsidRPr="004C7DD9" w:rsidRDefault="00B574DE" w:rsidP="004C7DD9">
      <w:pPr>
        <w:spacing w:after="0" w:line="240" w:lineRule="auto"/>
        <w:jc w:val="center"/>
        <w:rPr>
          <w:rFonts w:ascii="Times New Roman" w:hAnsi="Times New Roman" w:cs="Times New Roman"/>
          <w:b/>
          <w:sz w:val="20"/>
          <w:szCs w:val="20"/>
        </w:rPr>
      </w:pPr>
      <w:r w:rsidRPr="004C7DD9">
        <w:rPr>
          <w:rFonts w:ascii="Times New Roman" w:hAnsi="Times New Roman" w:cs="Times New Roman"/>
          <w:b/>
          <w:sz w:val="20"/>
          <w:szCs w:val="20"/>
        </w:rPr>
        <w:t>Tabela 2</w:t>
      </w:r>
      <w:r w:rsidR="004C7DD9" w:rsidRPr="004C7DD9">
        <w:rPr>
          <w:rFonts w:ascii="Times New Roman" w:hAnsi="Times New Roman" w:cs="Times New Roman"/>
          <w:b/>
          <w:sz w:val="20"/>
          <w:szCs w:val="20"/>
        </w:rPr>
        <w:t xml:space="preserve"> - </w:t>
      </w:r>
      <w:r w:rsidR="0005690A" w:rsidRPr="004C7DD9">
        <w:rPr>
          <w:rFonts w:ascii="Times New Roman" w:hAnsi="Times New Roman" w:cs="Times New Roman"/>
          <w:b/>
          <w:sz w:val="20"/>
          <w:szCs w:val="20"/>
        </w:rPr>
        <w:t>Estatística descritiva</w:t>
      </w:r>
      <w:r w:rsidR="00210C0D" w:rsidRPr="004C7DD9">
        <w:rPr>
          <w:rFonts w:ascii="Times New Roman" w:hAnsi="Times New Roman" w:cs="Times New Roman"/>
          <w:b/>
          <w:sz w:val="20"/>
          <w:szCs w:val="20"/>
        </w:rPr>
        <w:t xml:space="preserve"> (em milhares de reais)</w:t>
      </w:r>
    </w:p>
    <w:tbl>
      <w:tblPr>
        <w:tblW w:w="8999" w:type="dxa"/>
        <w:jc w:val="center"/>
        <w:tblCellMar>
          <w:left w:w="70" w:type="dxa"/>
          <w:right w:w="70" w:type="dxa"/>
        </w:tblCellMar>
        <w:tblLook w:val="04A0" w:firstRow="1" w:lastRow="0" w:firstColumn="1" w:lastColumn="0" w:noHBand="0" w:noVBand="1"/>
      </w:tblPr>
      <w:tblGrid>
        <w:gridCol w:w="1556"/>
        <w:gridCol w:w="1907"/>
        <w:gridCol w:w="2103"/>
        <w:gridCol w:w="1819"/>
        <w:gridCol w:w="1614"/>
      </w:tblGrid>
      <w:tr w:rsidR="005A5CA6" w:rsidRPr="00933491" w14:paraId="48FB8C22" w14:textId="77777777" w:rsidTr="004C7DD9">
        <w:trPr>
          <w:trHeight w:val="261"/>
          <w:jc w:val="center"/>
        </w:trPr>
        <w:tc>
          <w:tcPr>
            <w:tcW w:w="1556" w:type="dxa"/>
            <w:tcBorders>
              <w:top w:val="single" w:sz="4" w:space="0" w:color="auto"/>
              <w:left w:val="nil"/>
              <w:bottom w:val="nil"/>
              <w:right w:val="nil"/>
            </w:tcBorders>
            <w:shd w:val="clear" w:color="auto" w:fill="auto"/>
            <w:noWrap/>
            <w:vAlign w:val="bottom"/>
          </w:tcPr>
          <w:p w14:paraId="7EE50E33" w14:textId="65957051" w:rsidR="005A5CA6" w:rsidRPr="003E40AC" w:rsidRDefault="005A5CA6" w:rsidP="0056798E">
            <w:pPr>
              <w:spacing w:after="0" w:line="240" w:lineRule="auto"/>
              <w:jc w:val="center"/>
              <w:rPr>
                <w:rFonts w:ascii="Times New Roman" w:eastAsia="Times New Roman" w:hAnsi="Times New Roman" w:cs="Times New Roman"/>
                <w:b/>
                <w:bCs/>
                <w:sz w:val="20"/>
                <w:szCs w:val="20"/>
                <w:lang w:eastAsia="pt-BR"/>
              </w:rPr>
            </w:pPr>
            <w:r>
              <w:rPr>
                <w:rFonts w:ascii="Times New Roman" w:eastAsia="Times New Roman" w:hAnsi="Times New Roman" w:cs="Times New Roman"/>
                <w:b/>
                <w:bCs/>
                <w:sz w:val="20"/>
                <w:szCs w:val="20"/>
                <w:lang w:eastAsia="pt-BR"/>
              </w:rPr>
              <w:t>SEO</w:t>
            </w:r>
          </w:p>
        </w:tc>
        <w:tc>
          <w:tcPr>
            <w:tcW w:w="1907" w:type="dxa"/>
            <w:tcBorders>
              <w:top w:val="single" w:sz="4" w:space="0" w:color="auto"/>
              <w:left w:val="nil"/>
              <w:bottom w:val="single" w:sz="4" w:space="0" w:color="auto"/>
              <w:right w:val="nil"/>
            </w:tcBorders>
            <w:shd w:val="clear" w:color="auto" w:fill="auto"/>
            <w:noWrap/>
            <w:vAlign w:val="bottom"/>
            <w:hideMark/>
          </w:tcPr>
          <w:p w14:paraId="345EC66B" w14:textId="4D6DD9EE" w:rsidR="005A5CA6" w:rsidRPr="00933491" w:rsidRDefault="005A5CA6" w:rsidP="0056798E">
            <w:pPr>
              <w:spacing w:after="0" w:line="240" w:lineRule="auto"/>
              <w:jc w:val="center"/>
              <w:rPr>
                <w:rFonts w:ascii="Times New Roman" w:eastAsia="Times New Roman" w:hAnsi="Times New Roman" w:cs="Times New Roman"/>
                <w:b/>
                <w:bCs/>
                <w:sz w:val="20"/>
                <w:szCs w:val="20"/>
                <w:lang w:eastAsia="pt-BR"/>
              </w:rPr>
            </w:pPr>
            <w:r w:rsidRPr="00933491">
              <w:rPr>
                <w:rFonts w:ascii="Times New Roman" w:eastAsia="Times New Roman" w:hAnsi="Times New Roman" w:cs="Times New Roman"/>
                <w:b/>
                <w:bCs/>
                <w:sz w:val="20"/>
                <w:szCs w:val="20"/>
                <w:lang w:eastAsia="pt-BR"/>
              </w:rPr>
              <w:t>Volume primária</w:t>
            </w:r>
          </w:p>
        </w:tc>
        <w:tc>
          <w:tcPr>
            <w:tcW w:w="2103" w:type="dxa"/>
            <w:tcBorders>
              <w:top w:val="single" w:sz="4" w:space="0" w:color="auto"/>
              <w:left w:val="nil"/>
              <w:bottom w:val="single" w:sz="4" w:space="0" w:color="auto"/>
              <w:right w:val="nil"/>
            </w:tcBorders>
            <w:shd w:val="clear" w:color="auto" w:fill="auto"/>
            <w:noWrap/>
            <w:vAlign w:val="bottom"/>
            <w:hideMark/>
          </w:tcPr>
          <w:p w14:paraId="32EED582" w14:textId="77777777" w:rsidR="005A5CA6" w:rsidRPr="00CC11DC" w:rsidRDefault="005A5CA6" w:rsidP="0056798E">
            <w:pPr>
              <w:spacing w:after="0" w:line="240" w:lineRule="auto"/>
              <w:jc w:val="center"/>
              <w:rPr>
                <w:rFonts w:ascii="Times New Roman" w:eastAsia="Times New Roman" w:hAnsi="Times New Roman" w:cs="Times New Roman"/>
                <w:b/>
                <w:bCs/>
                <w:sz w:val="20"/>
                <w:szCs w:val="20"/>
                <w:lang w:eastAsia="pt-BR"/>
              </w:rPr>
            </w:pPr>
            <w:r w:rsidRPr="00933491">
              <w:rPr>
                <w:rFonts w:ascii="Times New Roman" w:eastAsia="Times New Roman" w:hAnsi="Times New Roman" w:cs="Times New Roman"/>
                <w:b/>
                <w:bCs/>
                <w:sz w:val="20"/>
                <w:szCs w:val="20"/>
                <w:lang w:eastAsia="pt-BR"/>
              </w:rPr>
              <w:t>Volume Secundária</w:t>
            </w:r>
          </w:p>
        </w:tc>
        <w:tc>
          <w:tcPr>
            <w:tcW w:w="1819" w:type="dxa"/>
            <w:tcBorders>
              <w:top w:val="single" w:sz="4" w:space="0" w:color="auto"/>
              <w:left w:val="nil"/>
              <w:bottom w:val="single" w:sz="4" w:space="0" w:color="auto"/>
              <w:right w:val="nil"/>
            </w:tcBorders>
            <w:shd w:val="clear" w:color="auto" w:fill="auto"/>
            <w:noWrap/>
            <w:vAlign w:val="bottom"/>
            <w:hideMark/>
          </w:tcPr>
          <w:p w14:paraId="0F819F84" w14:textId="0A4E515C" w:rsidR="005A5CA6" w:rsidRPr="003E40AC" w:rsidRDefault="005A5CA6" w:rsidP="0056798E">
            <w:pPr>
              <w:spacing w:after="0" w:line="240" w:lineRule="auto"/>
              <w:jc w:val="center"/>
              <w:rPr>
                <w:rFonts w:ascii="Times New Roman" w:eastAsia="Times New Roman" w:hAnsi="Times New Roman" w:cs="Times New Roman"/>
                <w:b/>
                <w:bCs/>
                <w:sz w:val="20"/>
                <w:szCs w:val="20"/>
                <w:lang w:eastAsia="pt-BR"/>
              </w:rPr>
            </w:pPr>
            <w:r w:rsidRPr="003E40AC">
              <w:rPr>
                <w:rFonts w:ascii="Times New Roman" w:eastAsia="Times New Roman" w:hAnsi="Times New Roman" w:cs="Times New Roman"/>
                <w:b/>
                <w:bCs/>
                <w:sz w:val="20"/>
                <w:szCs w:val="20"/>
                <w:lang w:eastAsia="pt-BR"/>
              </w:rPr>
              <w:t>Volume Total</w:t>
            </w:r>
          </w:p>
        </w:tc>
        <w:tc>
          <w:tcPr>
            <w:tcW w:w="1614" w:type="dxa"/>
            <w:tcBorders>
              <w:top w:val="single" w:sz="4" w:space="0" w:color="auto"/>
              <w:left w:val="nil"/>
              <w:bottom w:val="nil"/>
              <w:right w:val="nil"/>
            </w:tcBorders>
            <w:shd w:val="clear" w:color="auto" w:fill="auto"/>
            <w:noWrap/>
            <w:vAlign w:val="bottom"/>
            <w:hideMark/>
          </w:tcPr>
          <w:p w14:paraId="7AD142C5" w14:textId="77777777" w:rsidR="005A5CA6" w:rsidRPr="003E40AC" w:rsidRDefault="005A5CA6" w:rsidP="0056798E">
            <w:pPr>
              <w:spacing w:after="0" w:line="240" w:lineRule="auto"/>
              <w:jc w:val="center"/>
              <w:rPr>
                <w:rFonts w:ascii="Times New Roman" w:eastAsia="Times New Roman" w:hAnsi="Times New Roman" w:cs="Times New Roman"/>
                <w:b/>
                <w:bCs/>
                <w:sz w:val="20"/>
                <w:szCs w:val="20"/>
                <w:lang w:eastAsia="pt-BR"/>
              </w:rPr>
            </w:pPr>
            <w:r w:rsidRPr="003E40AC">
              <w:rPr>
                <w:rFonts w:ascii="Times New Roman" w:eastAsia="Times New Roman" w:hAnsi="Times New Roman" w:cs="Times New Roman"/>
                <w:b/>
                <w:bCs/>
                <w:sz w:val="20"/>
                <w:szCs w:val="20"/>
                <w:lang w:eastAsia="pt-BR"/>
              </w:rPr>
              <w:t>Ativo</w:t>
            </w:r>
          </w:p>
        </w:tc>
      </w:tr>
      <w:tr w:rsidR="001B62E3" w:rsidRPr="00933491" w14:paraId="5C840C73" w14:textId="77777777" w:rsidTr="004C7DD9">
        <w:trPr>
          <w:trHeight w:val="306"/>
          <w:jc w:val="center"/>
        </w:trPr>
        <w:tc>
          <w:tcPr>
            <w:tcW w:w="1556" w:type="dxa"/>
            <w:tcBorders>
              <w:top w:val="single" w:sz="4" w:space="0" w:color="auto"/>
              <w:left w:val="nil"/>
              <w:bottom w:val="nil"/>
              <w:right w:val="nil"/>
            </w:tcBorders>
            <w:shd w:val="clear" w:color="auto" w:fill="auto"/>
            <w:noWrap/>
            <w:vAlign w:val="bottom"/>
            <w:hideMark/>
          </w:tcPr>
          <w:p w14:paraId="753BC4E6" w14:textId="77777777" w:rsidR="001B62E3" w:rsidRPr="00CC11DC" w:rsidRDefault="001B62E3" w:rsidP="0056798E">
            <w:pPr>
              <w:spacing w:after="0" w:line="240" w:lineRule="auto"/>
              <w:jc w:val="center"/>
              <w:rPr>
                <w:rFonts w:ascii="Times New Roman" w:eastAsia="Times New Roman" w:hAnsi="Times New Roman" w:cs="Times New Roman"/>
                <w:sz w:val="20"/>
                <w:szCs w:val="20"/>
                <w:lang w:eastAsia="pt-BR"/>
              </w:rPr>
            </w:pPr>
            <w:r w:rsidRPr="00CC11DC">
              <w:rPr>
                <w:rFonts w:ascii="Times New Roman" w:eastAsia="Times New Roman" w:hAnsi="Times New Roman" w:cs="Times New Roman"/>
                <w:sz w:val="20"/>
                <w:szCs w:val="20"/>
                <w:lang w:eastAsia="pt-BR"/>
              </w:rPr>
              <w:t>Média</w:t>
            </w:r>
          </w:p>
        </w:tc>
        <w:tc>
          <w:tcPr>
            <w:tcW w:w="1907" w:type="dxa"/>
            <w:tcBorders>
              <w:top w:val="single" w:sz="4" w:space="0" w:color="auto"/>
              <w:left w:val="nil"/>
              <w:bottom w:val="nil"/>
              <w:right w:val="nil"/>
            </w:tcBorders>
            <w:shd w:val="clear" w:color="auto" w:fill="auto"/>
            <w:noWrap/>
          </w:tcPr>
          <w:p w14:paraId="10FD8F83" w14:textId="3D91AAEC" w:rsidR="001B62E3" w:rsidRPr="003E40AC" w:rsidRDefault="001B62E3" w:rsidP="0056798E">
            <w:pPr>
              <w:spacing w:after="0" w:line="240" w:lineRule="auto"/>
              <w:jc w:val="center"/>
              <w:rPr>
                <w:rFonts w:ascii="Times New Roman" w:eastAsia="Times New Roman" w:hAnsi="Times New Roman" w:cs="Times New Roman"/>
                <w:sz w:val="20"/>
                <w:szCs w:val="20"/>
                <w:lang w:eastAsia="pt-BR"/>
              </w:rPr>
            </w:pPr>
            <w:r w:rsidRPr="003E40AC">
              <w:rPr>
                <w:rFonts w:ascii="Times New Roman" w:eastAsia="Times New Roman" w:hAnsi="Times New Roman" w:cs="Times New Roman"/>
                <w:sz w:val="20"/>
                <w:szCs w:val="20"/>
                <w:lang w:eastAsia="pt-BR"/>
              </w:rPr>
              <w:t>4.764.991</w:t>
            </w:r>
          </w:p>
        </w:tc>
        <w:tc>
          <w:tcPr>
            <w:tcW w:w="2103" w:type="dxa"/>
            <w:tcBorders>
              <w:top w:val="single" w:sz="4" w:space="0" w:color="auto"/>
              <w:left w:val="nil"/>
              <w:bottom w:val="nil"/>
              <w:right w:val="nil"/>
            </w:tcBorders>
            <w:shd w:val="clear" w:color="auto" w:fill="auto"/>
            <w:noWrap/>
            <w:hideMark/>
          </w:tcPr>
          <w:p w14:paraId="6A77540D" w14:textId="59C2E451" w:rsidR="001B62E3" w:rsidRPr="003E40AC" w:rsidRDefault="001B62E3" w:rsidP="0056798E">
            <w:pPr>
              <w:spacing w:after="0" w:line="240" w:lineRule="auto"/>
              <w:jc w:val="center"/>
              <w:rPr>
                <w:rFonts w:ascii="Times New Roman" w:eastAsia="Times New Roman" w:hAnsi="Times New Roman" w:cs="Times New Roman"/>
                <w:sz w:val="20"/>
                <w:szCs w:val="20"/>
                <w:lang w:eastAsia="pt-BR"/>
              </w:rPr>
            </w:pPr>
            <w:r w:rsidRPr="003E40AC">
              <w:rPr>
                <w:rFonts w:ascii="Times New Roman" w:eastAsia="Times New Roman" w:hAnsi="Times New Roman" w:cs="Times New Roman"/>
                <w:sz w:val="20"/>
                <w:szCs w:val="20"/>
                <w:lang w:eastAsia="pt-BR"/>
              </w:rPr>
              <w:t>162.512</w:t>
            </w:r>
          </w:p>
        </w:tc>
        <w:tc>
          <w:tcPr>
            <w:tcW w:w="1819" w:type="dxa"/>
            <w:tcBorders>
              <w:top w:val="single" w:sz="4" w:space="0" w:color="auto"/>
              <w:left w:val="nil"/>
              <w:bottom w:val="nil"/>
              <w:right w:val="nil"/>
            </w:tcBorders>
            <w:shd w:val="clear" w:color="auto" w:fill="auto"/>
            <w:noWrap/>
            <w:hideMark/>
          </w:tcPr>
          <w:p w14:paraId="7EE07127" w14:textId="23BE1099" w:rsidR="001B62E3" w:rsidRPr="00933491" w:rsidRDefault="001B62E3" w:rsidP="0056798E">
            <w:pPr>
              <w:spacing w:after="0" w:line="240" w:lineRule="auto"/>
              <w:jc w:val="center"/>
              <w:rPr>
                <w:rFonts w:ascii="Times New Roman" w:eastAsia="Times New Roman" w:hAnsi="Times New Roman" w:cs="Times New Roman"/>
                <w:sz w:val="20"/>
                <w:szCs w:val="20"/>
                <w:lang w:eastAsia="pt-BR"/>
              </w:rPr>
            </w:pPr>
            <w:r w:rsidRPr="00933491">
              <w:rPr>
                <w:rFonts w:ascii="Times New Roman" w:eastAsia="Times New Roman" w:hAnsi="Times New Roman" w:cs="Times New Roman"/>
                <w:sz w:val="20"/>
                <w:szCs w:val="20"/>
                <w:lang w:eastAsia="pt-BR"/>
              </w:rPr>
              <w:t>4.927.503</w:t>
            </w:r>
          </w:p>
        </w:tc>
        <w:tc>
          <w:tcPr>
            <w:tcW w:w="1614" w:type="dxa"/>
            <w:tcBorders>
              <w:top w:val="single" w:sz="4" w:space="0" w:color="auto"/>
              <w:left w:val="nil"/>
              <w:bottom w:val="nil"/>
              <w:right w:val="nil"/>
            </w:tcBorders>
            <w:shd w:val="clear" w:color="auto" w:fill="auto"/>
            <w:noWrap/>
          </w:tcPr>
          <w:p w14:paraId="0361DDBB" w14:textId="155E0231" w:rsidR="001B62E3" w:rsidRPr="00933491" w:rsidRDefault="001B62E3" w:rsidP="0056798E">
            <w:pPr>
              <w:spacing w:after="0" w:line="240" w:lineRule="auto"/>
              <w:jc w:val="center"/>
              <w:rPr>
                <w:rFonts w:ascii="Times New Roman" w:eastAsia="Times New Roman" w:hAnsi="Times New Roman" w:cs="Times New Roman"/>
                <w:sz w:val="20"/>
                <w:szCs w:val="20"/>
                <w:lang w:eastAsia="pt-BR"/>
              </w:rPr>
            </w:pPr>
            <w:r w:rsidRPr="00933491">
              <w:rPr>
                <w:rFonts w:ascii="Times New Roman" w:eastAsia="Times New Roman" w:hAnsi="Times New Roman" w:cs="Times New Roman"/>
                <w:sz w:val="20"/>
                <w:szCs w:val="20"/>
                <w:lang w:eastAsia="pt-BR"/>
              </w:rPr>
              <w:t>28.238.287</w:t>
            </w:r>
          </w:p>
        </w:tc>
      </w:tr>
      <w:tr w:rsidR="001B62E3" w:rsidRPr="00933491" w14:paraId="51CDF569" w14:textId="77777777" w:rsidTr="004C7DD9">
        <w:trPr>
          <w:trHeight w:val="306"/>
          <w:jc w:val="center"/>
        </w:trPr>
        <w:tc>
          <w:tcPr>
            <w:tcW w:w="1556" w:type="dxa"/>
            <w:tcBorders>
              <w:top w:val="nil"/>
              <w:left w:val="nil"/>
              <w:bottom w:val="nil"/>
              <w:right w:val="nil"/>
            </w:tcBorders>
            <w:shd w:val="clear" w:color="auto" w:fill="auto"/>
            <w:noWrap/>
            <w:vAlign w:val="bottom"/>
            <w:hideMark/>
          </w:tcPr>
          <w:p w14:paraId="50DE767C" w14:textId="77777777" w:rsidR="001B62E3" w:rsidRPr="00CC11DC" w:rsidRDefault="001B62E3" w:rsidP="0056798E">
            <w:pPr>
              <w:spacing w:after="0" w:line="240" w:lineRule="auto"/>
              <w:jc w:val="center"/>
              <w:rPr>
                <w:rFonts w:ascii="Times New Roman" w:eastAsia="Times New Roman" w:hAnsi="Times New Roman" w:cs="Times New Roman"/>
                <w:sz w:val="20"/>
                <w:szCs w:val="20"/>
                <w:lang w:eastAsia="pt-BR"/>
              </w:rPr>
            </w:pPr>
            <w:r w:rsidRPr="00CC11DC">
              <w:rPr>
                <w:rFonts w:ascii="Times New Roman" w:eastAsia="Times New Roman" w:hAnsi="Times New Roman" w:cs="Times New Roman"/>
                <w:sz w:val="20"/>
                <w:szCs w:val="20"/>
                <w:lang w:eastAsia="pt-BR"/>
              </w:rPr>
              <w:t>Mínimo</w:t>
            </w:r>
          </w:p>
        </w:tc>
        <w:tc>
          <w:tcPr>
            <w:tcW w:w="1907" w:type="dxa"/>
            <w:tcBorders>
              <w:top w:val="nil"/>
              <w:left w:val="nil"/>
              <w:bottom w:val="nil"/>
              <w:right w:val="nil"/>
            </w:tcBorders>
            <w:shd w:val="clear" w:color="auto" w:fill="auto"/>
            <w:noWrap/>
            <w:hideMark/>
          </w:tcPr>
          <w:p w14:paraId="017463AB" w14:textId="160ED4B2" w:rsidR="001B62E3" w:rsidRPr="003E40AC" w:rsidRDefault="001B62E3" w:rsidP="0056798E">
            <w:pPr>
              <w:spacing w:after="0" w:line="240" w:lineRule="auto"/>
              <w:jc w:val="center"/>
              <w:rPr>
                <w:rFonts w:ascii="Times New Roman" w:eastAsia="Times New Roman" w:hAnsi="Times New Roman" w:cs="Times New Roman"/>
                <w:sz w:val="20"/>
                <w:szCs w:val="20"/>
                <w:lang w:eastAsia="pt-BR"/>
              </w:rPr>
            </w:pPr>
            <w:r w:rsidRPr="003E40AC">
              <w:rPr>
                <w:rFonts w:ascii="Times New Roman" w:eastAsia="Times New Roman" w:hAnsi="Times New Roman" w:cs="Times New Roman"/>
                <w:sz w:val="20"/>
                <w:szCs w:val="20"/>
                <w:lang w:eastAsia="pt-BR"/>
              </w:rPr>
              <w:t>31.900</w:t>
            </w:r>
          </w:p>
        </w:tc>
        <w:tc>
          <w:tcPr>
            <w:tcW w:w="2103" w:type="dxa"/>
            <w:tcBorders>
              <w:top w:val="nil"/>
              <w:left w:val="nil"/>
              <w:bottom w:val="nil"/>
              <w:right w:val="nil"/>
            </w:tcBorders>
            <w:shd w:val="clear" w:color="auto" w:fill="auto"/>
            <w:noWrap/>
            <w:hideMark/>
          </w:tcPr>
          <w:p w14:paraId="69204AD2" w14:textId="0B9E70D7" w:rsidR="001B62E3" w:rsidRPr="003E40AC" w:rsidRDefault="00822B71" w:rsidP="0056798E">
            <w:pPr>
              <w:spacing w:after="0" w:line="240" w:lineRule="auto"/>
              <w:jc w:val="center"/>
              <w:rPr>
                <w:rFonts w:ascii="Times New Roman" w:eastAsia="Times New Roman" w:hAnsi="Times New Roman" w:cs="Times New Roman"/>
                <w:sz w:val="20"/>
                <w:szCs w:val="20"/>
                <w:lang w:eastAsia="pt-BR"/>
              </w:rPr>
            </w:pPr>
            <w:r w:rsidRPr="003E40AC">
              <w:rPr>
                <w:rFonts w:ascii="Times New Roman" w:eastAsia="Times New Roman" w:hAnsi="Times New Roman" w:cs="Times New Roman"/>
                <w:sz w:val="20"/>
                <w:szCs w:val="20"/>
                <w:lang w:eastAsia="pt-BR"/>
              </w:rPr>
              <w:t>-</w:t>
            </w:r>
          </w:p>
        </w:tc>
        <w:tc>
          <w:tcPr>
            <w:tcW w:w="1819" w:type="dxa"/>
            <w:tcBorders>
              <w:top w:val="nil"/>
              <w:left w:val="nil"/>
              <w:bottom w:val="nil"/>
              <w:right w:val="nil"/>
            </w:tcBorders>
            <w:shd w:val="clear" w:color="auto" w:fill="auto"/>
            <w:noWrap/>
            <w:hideMark/>
          </w:tcPr>
          <w:p w14:paraId="16E340DF" w14:textId="3E51FC07" w:rsidR="001B62E3" w:rsidRPr="00933491" w:rsidRDefault="001B62E3" w:rsidP="0056798E">
            <w:pPr>
              <w:spacing w:after="0" w:line="240" w:lineRule="auto"/>
              <w:jc w:val="center"/>
              <w:rPr>
                <w:rFonts w:ascii="Times New Roman" w:eastAsia="Times New Roman" w:hAnsi="Times New Roman" w:cs="Times New Roman"/>
                <w:sz w:val="20"/>
                <w:szCs w:val="20"/>
                <w:lang w:eastAsia="pt-BR"/>
              </w:rPr>
            </w:pPr>
            <w:r w:rsidRPr="00933491">
              <w:rPr>
                <w:rFonts w:ascii="Times New Roman" w:eastAsia="Times New Roman" w:hAnsi="Times New Roman" w:cs="Times New Roman"/>
                <w:sz w:val="20"/>
                <w:szCs w:val="20"/>
                <w:lang w:eastAsia="pt-BR"/>
              </w:rPr>
              <w:t>178.640</w:t>
            </w:r>
          </w:p>
        </w:tc>
        <w:tc>
          <w:tcPr>
            <w:tcW w:w="1614" w:type="dxa"/>
            <w:tcBorders>
              <w:top w:val="nil"/>
              <w:left w:val="nil"/>
              <w:bottom w:val="nil"/>
              <w:right w:val="nil"/>
            </w:tcBorders>
            <w:shd w:val="clear" w:color="auto" w:fill="auto"/>
            <w:noWrap/>
          </w:tcPr>
          <w:p w14:paraId="273C5D24" w14:textId="77A2F7B0" w:rsidR="001B62E3" w:rsidRPr="00933491" w:rsidRDefault="001B62E3" w:rsidP="0056798E">
            <w:pPr>
              <w:spacing w:after="0" w:line="240" w:lineRule="auto"/>
              <w:jc w:val="center"/>
              <w:rPr>
                <w:rFonts w:ascii="Times New Roman" w:eastAsia="Times New Roman" w:hAnsi="Times New Roman" w:cs="Times New Roman"/>
                <w:sz w:val="20"/>
                <w:szCs w:val="20"/>
                <w:lang w:eastAsia="pt-BR"/>
              </w:rPr>
            </w:pPr>
            <w:r w:rsidRPr="00933491">
              <w:rPr>
                <w:rFonts w:ascii="Times New Roman" w:eastAsia="Times New Roman" w:hAnsi="Times New Roman" w:cs="Times New Roman"/>
                <w:sz w:val="20"/>
                <w:szCs w:val="20"/>
                <w:lang w:eastAsia="pt-BR"/>
              </w:rPr>
              <w:t>415.920</w:t>
            </w:r>
          </w:p>
        </w:tc>
      </w:tr>
      <w:tr w:rsidR="001B62E3" w:rsidRPr="00933491" w14:paraId="2F72580C" w14:textId="77777777" w:rsidTr="004C7DD9">
        <w:trPr>
          <w:trHeight w:val="306"/>
          <w:jc w:val="center"/>
        </w:trPr>
        <w:tc>
          <w:tcPr>
            <w:tcW w:w="1556" w:type="dxa"/>
            <w:tcBorders>
              <w:top w:val="nil"/>
              <w:left w:val="nil"/>
              <w:bottom w:val="single" w:sz="4" w:space="0" w:color="auto"/>
              <w:right w:val="nil"/>
            </w:tcBorders>
            <w:shd w:val="clear" w:color="auto" w:fill="auto"/>
            <w:noWrap/>
            <w:vAlign w:val="bottom"/>
            <w:hideMark/>
          </w:tcPr>
          <w:p w14:paraId="654C93FC" w14:textId="77777777" w:rsidR="001B62E3" w:rsidRPr="00CC11DC" w:rsidRDefault="001B62E3" w:rsidP="0056798E">
            <w:pPr>
              <w:spacing w:after="0" w:line="240" w:lineRule="auto"/>
              <w:jc w:val="center"/>
              <w:rPr>
                <w:rFonts w:ascii="Times New Roman" w:eastAsia="Times New Roman" w:hAnsi="Times New Roman" w:cs="Times New Roman"/>
                <w:sz w:val="20"/>
                <w:szCs w:val="20"/>
                <w:lang w:eastAsia="pt-BR"/>
              </w:rPr>
            </w:pPr>
            <w:r w:rsidRPr="00CC11DC">
              <w:rPr>
                <w:rFonts w:ascii="Times New Roman" w:eastAsia="Times New Roman" w:hAnsi="Times New Roman" w:cs="Times New Roman"/>
                <w:sz w:val="20"/>
                <w:szCs w:val="20"/>
                <w:lang w:eastAsia="pt-BR"/>
              </w:rPr>
              <w:t>Máximo</w:t>
            </w:r>
          </w:p>
        </w:tc>
        <w:tc>
          <w:tcPr>
            <w:tcW w:w="1907" w:type="dxa"/>
            <w:tcBorders>
              <w:top w:val="nil"/>
              <w:left w:val="nil"/>
              <w:bottom w:val="single" w:sz="4" w:space="0" w:color="auto"/>
              <w:right w:val="nil"/>
            </w:tcBorders>
            <w:shd w:val="clear" w:color="auto" w:fill="auto"/>
            <w:noWrap/>
            <w:hideMark/>
          </w:tcPr>
          <w:p w14:paraId="45D61864" w14:textId="54E9F41F" w:rsidR="001B62E3" w:rsidRPr="003E40AC" w:rsidRDefault="001B62E3" w:rsidP="0056798E">
            <w:pPr>
              <w:spacing w:after="0" w:line="240" w:lineRule="auto"/>
              <w:jc w:val="center"/>
              <w:rPr>
                <w:rFonts w:ascii="Times New Roman" w:eastAsia="Times New Roman" w:hAnsi="Times New Roman" w:cs="Times New Roman"/>
                <w:sz w:val="20"/>
                <w:szCs w:val="20"/>
                <w:lang w:eastAsia="pt-BR"/>
              </w:rPr>
            </w:pPr>
            <w:r w:rsidRPr="003E40AC">
              <w:rPr>
                <w:rFonts w:ascii="Times New Roman" w:eastAsia="Times New Roman" w:hAnsi="Times New Roman" w:cs="Times New Roman"/>
                <w:sz w:val="20"/>
                <w:szCs w:val="20"/>
                <w:lang w:eastAsia="pt-BR"/>
              </w:rPr>
              <w:t>120.248.559</w:t>
            </w:r>
          </w:p>
        </w:tc>
        <w:tc>
          <w:tcPr>
            <w:tcW w:w="2103" w:type="dxa"/>
            <w:tcBorders>
              <w:top w:val="nil"/>
              <w:left w:val="nil"/>
              <w:bottom w:val="single" w:sz="4" w:space="0" w:color="auto"/>
              <w:right w:val="nil"/>
            </w:tcBorders>
            <w:shd w:val="clear" w:color="auto" w:fill="auto"/>
            <w:noWrap/>
            <w:hideMark/>
          </w:tcPr>
          <w:p w14:paraId="4172991B" w14:textId="7DB5249A" w:rsidR="001B62E3" w:rsidRPr="003E40AC" w:rsidRDefault="001B62E3" w:rsidP="0056798E">
            <w:pPr>
              <w:spacing w:after="0" w:line="240" w:lineRule="auto"/>
              <w:jc w:val="center"/>
              <w:rPr>
                <w:rFonts w:ascii="Times New Roman" w:eastAsia="Times New Roman" w:hAnsi="Times New Roman" w:cs="Times New Roman"/>
                <w:sz w:val="20"/>
                <w:szCs w:val="20"/>
                <w:lang w:eastAsia="pt-BR"/>
              </w:rPr>
            </w:pPr>
            <w:r w:rsidRPr="003E40AC">
              <w:rPr>
                <w:rFonts w:ascii="Times New Roman" w:eastAsia="Times New Roman" w:hAnsi="Times New Roman" w:cs="Times New Roman"/>
                <w:sz w:val="20"/>
                <w:szCs w:val="20"/>
                <w:lang w:eastAsia="pt-BR"/>
              </w:rPr>
              <w:t>1.285.960</w:t>
            </w:r>
          </w:p>
        </w:tc>
        <w:tc>
          <w:tcPr>
            <w:tcW w:w="1819" w:type="dxa"/>
            <w:tcBorders>
              <w:top w:val="nil"/>
              <w:left w:val="nil"/>
              <w:bottom w:val="single" w:sz="4" w:space="0" w:color="auto"/>
              <w:right w:val="nil"/>
            </w:tcBorders>
            <w:shd w:val="clear" w:color="auto" w:fill="auto"/>
            <w:noWrap/>
            <w:hideMark/>
          </w:tcPr>
          <w:p w14:paraId="64688669" w14:textId="1A1BCC59" w:rsidR="001B62E3" w:rsidRPr="00933491" w:rsidRDefault="001B62E3" w:rsidP="0056798E">
            <w:pPr>
              <w:spacing w:after="0" w:line="240" w:lineRule="auto"/>
              <w:jc w:val="center"/>
              <w:rPr>
                <w:rFonts w:ascii="Times New Roman" w:eastAsia="Times New Roman" w:hAnsi="Times New Roman" w:cs="Times New Roman"/>
                <w:sz w:val="20"/>
                <w:szCs w:val="20"/>
                <w:lang w:eastAsia="pt-BR"/>
              </w:rPr>
            </w:pPr>
            <w:r w:rsidRPr="00933491">
              <w:rPr>
                <w:rFonts w:ascii="Times New Roman" w:eastAsia="Times New Roman" w:hAnsi="Times New Roman" w:cs="Times New Roman"/>
                <w:sz w:val="20"/>
                <w:szCs w:val="20"/>
                <w:lang w:eastAsia="pt-BR"/>
              </w:rPr>
              <w:t>120.248.559</w:t>
            </w:r>
          </w:p>
        </w:tc>
        <w:tc>
          <w:tcPr>
            <w:tcW w:w="1614" w:type="dxa"/>
            <w:tcBorders>
              <w:top w:val="nil"/>
              <w:left w:val="nil"/>
              <w:bottom w:val="single" w:sz="4" w:space="0" w:color="auto"/>
              <w:right w:val="nil"/>
            </w:tcBorders>
            <w:shd w:val="clear" w:color="auto" w:fill="auto"/>
            <w:noWrap/>
          </w:tcPr>
          <w:p w14:paraId="18F94FAD" w14:textId="0D7144D4" w:rsidR="001B62E3" w:rsidRPr="00933491" w:rsidRDefault="001B62E3" w:rsidP="0056798E">
            <w:pPr>
              <w:spacing w:after="0" w:line="240" w:lineRule="auto"/>
              <w:jc w:val="center"/>
              <w:rPr>
                <w:rFonts w:ascii="Times New Roman" w:eastAsia="Times New Roman" w:hAnsi="Times New Roman" w:cs="Times New Roman"/>
                <w:sz w:val="20"/>
                <w:szCs w:val="20"/>
                <w:lang w:eastAsia="pt-BR"/>
              </w:rPr>
            </w:pPr>
            <w:r w:rsidRPr="00933491">
              <w:rPr>
                <w:rFonts w:ascii="Times New Roman" w:eastAsia="Times New Roman" w:hAnsi="Times New Roman" w:cs="Times New Roman"/>
                <w:sz w:val="20"/>
                <w:szCs w:val="20"/>
                <w:lang w:eastAsia="pt-BR"/>
              </w:rPr>
              <w:t>519.970.003</w:t>
            </w:r>
          </w:p>
        </w:tc>
      </w:tr>
    </w:tbl>
    <w:p w14:paraId="64F5E876" w14:textId="27862978" w:rsidR="00261571" w:rsidRPr="005216EB" w:rsidRDefault="008969D3" w:rsidP="004C7DD9">
      <w:pPr>
        <w:spacing w:after="0" w:line="240" w:lineRule="auto"/>
        <w:ind w:left="142"/>
        <w:rPr>
          <w:rFonts w:ascii="Times New Roman" w:hAnsi="Times New Roman" w:cs="Times New Roman"/>
          <w:sz w:val="18"/>
          <w:szCs w:val="18"/>
        </w:rPr>
      </w:pPr>
      <w:r w:rsidRPr="005216EB">
        <w:rPr>
          <w:rFonts w:ascii="Times New Roman" w:hAnsi="Times New Roman" w:cs="Times New Roman"/>
          <w:sz w:val="18"/>
          <w:szCs w:val="18"/>
        </w:rPr>
        <w:t xml:space="preserve">Fonte: </w:t>
      </w:r>
      <w:r w:rsidR="002530B8" w:rsidRPr="005216EB">
        <w:rPr>
          <w:rFonts w:ascii="Times New Roman" w:hAnsi="Times New Roman" w:cs="Times New Roman"/>
          <w:sz w:val="18"/>
          <w:szCs w:val="18"/>
        </w:rPr>
        <w:t>B3</w:t>
      </w:r>
      <w:r w:rsidRPr="005216EB">
        <w:rPr>
          <w:rFonts w:ascii="Times New Roman" w:hAnsi="Times New Roman" w:cs="Times New Roman"/>
          <w:sz w:val="18"/>
          <w:szCs w:val="18"/>
        </w:rPr>
        <w:t xml:space="preserve"> (201</w:t>
      </w:r>
      <w:r w:rsidR="001E408A" w:rsidRPr="005216EB">
        <w:rPr>
          <w:rFonts w:ascii="Times New Roman" w:hAnsi="Times New Roman" w:cs="Times New Roman"/>
          <w:sz w:val="18"/>
          <w:szCs w:val="18"/>
        </w:rPr>
        <w:t>6</w:t>
      </w:r>
      <w:r w:rsidRPr="005216EB">
        <w:rPr>
          <w:rFonts w:ascii="Times New Roman" w:hAnsi="Times New Roman" w:cs="Times New Roman"/>
          <w:sz w:val="18"/>
          <w:szCs w:val="18"/>
        </w:rPr>
        <w:t>)</w:t>
      </w:r>
    </w:p>
    <w:p w14:paraId="5AD965DF" w14:textId="77777777" w:rsidR="00A728E3" w:rsidRPr="00933491" w:rsidRDefault="00A728E3" w:rsidP="0056798E">
      <w:pPr>
        <w:spacing w:after="0" w:line="240" w:lineRule="auto"/>
        <w:ind w:firstLine="709"/>
        <w:jc w:val="both"/>
        <w:rPr>
          <w:rFonts w:ascii="Times New Roman" w:hAnsi="Times New Roman" w:cs="Times New Roman"/>
          <w:sz w:val="24"/>
          <w:szCs w:val="24"/>
        </w:rPr>
      </w:pPr>
    </w:p>
    <w:p w14:paraId="79CF238F" w14:textId="19C956B8" w:rsidR="00500A93" w:rsidRPr="00933491" w:rsidRDefault="009477D3" w:rsidP="00157D35">
      <w:pPr>
        <w:spacing w:after="0" w:line="240" w:lineRule="auto"/>
        <w:ind w:firstLine="709"/>
        <w:jc w:val="both"/>
        <w:rPr>
          <w:rFonts w:ascii="Times New Roman" w:hAnsi="Times New Roman" w:cs="Times New Roman"/>
          <w:sz w:val="24"/>
          <w:szCs w:val="24"/>
        </w:rPr>
      </w:pPr>
      <w:r w:rsidRPr="00933491">
        <w:rPr>
          <w:rFonts w:ascii="Times New Roman" w:hAnsi="Times New Roman" w:cs="Times New Roman"/>
          <w:sz w:val="24"/>
          <w:szCs w:val="24"/>
        </w:rPr>
        <w:t xml:space="preserve">Na Tabela </w:t>
      </w:r>
      <w:r w:rsidR="00B574DE" w:rsidRPr="00933491">
        <w:rPr>
          <w:rFonts w:ascii="Times New Roman" w:hAnsi="Times New Roman" w:cs="Times New Roman"/>
          <w:sz w:val="24"/>
          <w:szCs w:val="24"/>
        </w:rPr>
        <w:t>3</w:t>
      </w:r>
      <w:r w:rsidRPr="00933491">
        <w:rPr>
          <w:rFonts w:ascii="Times New Roman" w:hAnsi="Times New Roman" w:cs="Times New Roman"/>
          <w:sz w:val="24"/>
          <w:szCs w:val="24"/>
        </w:rPr>
        <w:t>,</w:t>
      </w:r>
      <w:r w:rsidR="009614C9" w:rsidRPr="00933491">
        <w:rPr>
          <w:rFonts w:ascii="Times New Roman" w:hAnsi="Times New Roman" w:cs="Times New Roman"/>
          <w:sz w:val="24"/>
          <w:szCs w:val="24"/>
        </w:rPr>
        <w:t xml:space="preserve"> evidencia</w:t>
      </w:r>
      <w:r w:rsidR="00A81B71" w:rsidRPr="00933491">
        <w:rPr>
          <w:rFonts w:ascii="Times New Roman" w:hAnsi="Times New Roman" w:cs="Times New Roman"/>
          <w:sz w:val="24"/>
          <w:szCs w:val="24"/>
        </w:rPr>
        <w:t>m</w:t>
      </w:r>
      <w:r w:rsidR="009614C9" w:rsidRPr="00933491">
        <w:rPr>
          <w:rFonts w:ascii="Times New Roman" w:hAnsi="Times New Roman" w:cs="Times New Roman"/>
          <w:sz w:val="24"/>
          <w:szCs w:val="24"/>
        </w:rPr>
        <w:t>-se as</w:t>
      </w:r>
      <w:r w:rsidRPr="00933491">
        <w:rPr>
          <w:rFonts w:ascii="Times New Roman" w:hAnsi="Times New Roman" w:cs="Times New Roman"/>
          <w:sz w:val="24"/>
          <w:szCs w:val="24"/>
        </w:rPr>
        <w:t xml:space="preserve"> </w:t>
      </w:r>
      <w:r w:rsidR="006C5494" w:rsidRPr="00933491">
        <w:rPr>
          <w:rFonts w:ascii="Times New Roman" w:hAnsi="Times New Roman" w:cs="Times New Roman"/>
          <w:sz w:val="24"/>
          <w:szCs w:val="24"/>
        </w:rPr>
        <w:t xml:space="preserve">médias e </w:t>
      </w:r>
      <w:r w:rsidRPr="00933491">
        <w:rPr>
          <w:rFonts w:ascii="Times New Roman" w:hAnsi="Times New Roman" w:cs="Times New Roman"/>
          <w:sz w:val="24"/>
          <w:szCs w:val="24"/>
        </w:rPr>
        <w:t xml:space="preserve">medianas </w:t>
      </w:r>
      <w:r w:rsidR="00533780" w:rsidRPr="00933491">
        <w:rPr>
          <w:rFonts w:ascii="Times New Roman" w:hAnsi="Times New Roman" w:cs="Times New Roman"/>
          <w:sz w:val="24"/>
          <w:szCs w:val="24"/>
        </w:rPr>
        <w:t xml:space="preserve">do desempenho operacional das empresas que realizaram </w:t>
      </w:r>
      <w:r w:rsidR="00A81B71" w:rsidRPr="00933491">
        <w:rPr>
          <w:rFonts w:ascii="Times New Roman" w:hAnsi="Times New Roman" w:cs="Times New Roman"/>
          <w:sz w:val="24"/>
          <w:szCs w:val="24"/>
        </w:rPr>
        <w:t>e</w:t>
      </w:r>
      <w:r w:rsidR="00533780" w:rsidRPr="00933491">
        <w:rPr>
          <w:rFonts w:ascii="Times New Roman" w:hAnsi="Times New Roman" w:cs="Times New Roman"/>
          <w:sz w:val="24"/>
          <w:szCs w:val="24"/>
        </w:rPr>
        <w:t xml:space="preserve"> não </w:t>
      </w:r>
      <w:r w:rsidR="00A81B71" w:rsidRPr="00933491">
        <w:rPr>
          <w:rFonts w:ascii="Times New Roman" w:hAnsi="Times New Roman" w:cs="Times New Roman"/>
          <w:sz w:val="24"/>
          <w:szCs w:val="24"/>
        </w:rPr>
        <w:t xml:space="preserve">realizaram </w:t>
      </w:r>
      <w:r w:rsidR="00533780" w:rsidRPr="00933491">
        <w:rPr>
          <w:rFonts w:ascii="Times New Roman" w:hAnsi="Times New Roman" w:cs="Times New Roman"/>
          <w:sz w:val="24"/>
          <w:szCs w:val="24"/>
        </w:rPr>
        <w:t xml:space="preserve">SEO. </w:t>
      </w:r>
      <w:r w:rsidR="004C5D66" w:rsidRPr="00933491">
        <w:rPr>
          <w:rFonts w:ascii="Times New Roman" w:hAnsi="Times New Roman" w:cs="Times New Roman"/>
          <w:sz w:val="24"/>
          <w:szCs w:val="24"/>
        </w:rPr>
        <w:t xml:space="preserve">A </w:t>
      </w:r>
      <w:r w:rsidR="004C5D66" w:rsidRPr="00933491">
        <w:rPr>
          <w:rFonts w:ascii="Times New Roman" w:hAnsi="Times New Roman" w:cs="Times New Roman"/>
          <w:i/>
          <w:sz w:val="24"/>
          <w:szCs w:val="24"/>
        </w:rPr>
        <w:t>proxy</w:t>
      </w:r>
      <w:r w:rsidR="006C5494" w:rsidRPr="00933491">
        <w:rPr>
          <w:rFonts w:ascii="Times New Roman" w:hAnsi="Times New Roman" w:cs="Times New Roman"/>
          <w:sz w:val="24"/>
          <w:szCs w:val="24"/>
        </w:rPr>
        <w:t xml:space="preserve"> utilizada para o</w:t>
      </w:r>
      <w:r w:rsidR="004C5D66" w:rsidRPr="00933491">
        <w:rPr>
          <w:rFonts w:ascii="Times New Roman" w:hAnsi="Times New Roman" w:cs="Times New Roman"/>
          <w:sz w:val="24"/>
          <w:szCs w:val="24"/>
        </w:rPr>
        <w:t xml:space="preserve"> desempen</w:t>
      </w:r>
      <w:r w:rsidR="00A81B71" w:rsidRPr="00933491">
        <w:rPr>
          <w:rFonts w:ascii="Times New Roman" w:hAnsi="Times New Roman" w:cs="Times New Roman"/>
          <w:sz w:val="24"/>
          <w:szCs w:val="24"/>
        </w:rPr>
        <w:t>ho operacional</w:t>
      </w:r>
      <w:r w:rsidR="004C5D66" w:rsidRPr="00933491">
        <w:rPr>
          <w:rFonts w:ascii="Times New Roman" w:hAnsi="Times New Roman" w:cs="Times New Roman"/>
          <w:sz w:val="24"/>
          <w:szCs w:val="24"/>
        </w:rPr>
        <w:t xml:space="preserve"> foi</w:t>
      </w:r>
      <w:r w:rsidR="00386B2D" w:rsidRPr="00933491">
        <w:rPr>
          <w:rFonts w:ascii="Times New Roman" w:hAnsi="Times New Roman" w:cs="Times New Roman"/>
          <w:sz w:val="24"/>
          <w:szCs w:val="24"/>
        </w:rPr>
        <w:t xml:space="preserve"> o Retorno Operacional do Ativo (ROA). </w:t>
      </w:r>
      <w:r w:rsidR="00C20296" w:rsidRPr="00933491">
        <w:rPr>
          <w:rFonts w:ascii="Times New Roman" w:hAnsi="Times New Roman" w:cs="Times New Roman"/>
          <w:sz w:val="24"/>
          <w:szCs w:val="24"/>
        </w:rPr>
        <w:t xml:space="preserve">Percebe-se uma tendência decrescente quase </w:t>
      </w:r>
      <w:proofErr w:type="spellStart"/>
      <w:r w:rsidR="00C20296" w:rsidRPr="00933491">
        <w:rPr>
          <w:rFonts w:ascii="Times New Roman" w:hAnsi="Times New Roman" w:cs="Times New Roman"/>
          <w:sz w:val="24"/>
          <w:szCs w:val="24"/>
        </w:rPr>
        <w:t>monotônica</w:t>
      </w:r>
      <w:proofErr w:type="spellEnd"/>
      <w:r w:rsidR="00C20296" w:rsidRPr="00933491">
        <w:rPr>
          <w:rFonts w:ascii="Times New Roman" w:hAnsi="Times New Roman" w:cs="Times New Roman"/>
          <w:sz w:val="24"/>
          <w:szCs w:val="24"/>
        </w:rPr>
        <w:t xml:space="preserve"> do desempenho operacional para as empresas que realizaram SEO</w:t>
      </w:r>
      <w:r w:rsidR="006C5494" w:rsidRPr="00933491">
        <w:rPr>
          <w:rFonts w:ascii="Times New Roman" w:hAnsi="Times New Roman" w:cs="Times New Roman"/>
          <w:sz w:val="24"/>
          <w:szCs w:val="24"/>
        </w:rPr>
        <w:t xml:space="preserve"> [-4; +4]</w:t>
      </w:r>
      <w:r w:rsidR="00C20296" w:rsidRPr="00933491">
        <w:rPr>
          <w:rFonts w:ascii="Times New Roman" w:hAnsi="Times New Roman" w:cs="Times New Roman"/>
          <w:sz w:val="24"/>
          <w:szCs w:val="24"/>
        </w:rPr>
        <w:t>.</w:t>
      </w:r>
      <w:r w:rsidR="007216FE" w:rsidRPr="00933491">
        <w:rPr>
          <w:rFonts w:ascii="Times New Roman" w:hAnsi="Times New Roman" w:cs="Times New Roman"/>
          <w:sz w:val="24"/>
          <w:szCs w:val="24"/>
        </w:rPr>
        <w:t xml:space="preserve"> </w:t>
      </w:r>
      <w:r w:rsidR="006C5494" w:rsidRPr="00933491">
        <w:rPr>
          <w:rFonts w:ascii="Times New Roman" w:hAnsi="Times New Roman" w:cs="Times New Roman"/>
          <w:sz w:val="24"/>
          <w:szCs w:val="24"/>
        </w:rPr>
        <w:t>Observa-se que um ano antes da oferta, há uma melhoria no desempenho operacional das empresas emissoras</w:t>
      </w:r>
      <w:r w:rsidR="00794684" w:rsidRPr="00933491">
        <w:rPr>
          <w:rFonts w:ascii="Times New Roman" w:hAnsi="Times New Roman" w:cs="Times New Roman"/>
          <w:sz w:val="24"/>
          <w:szCs w:val="24"/>
        </w:rPr>
        <w:t xml:space="preserve"> e,</w:t>
      </w:r>
      <w:r w:rsidR="006C5494" w:rsidRPr="00933491">
        <w:rPr>
          <w:rFonts w:ascii="Times New Roman" w:hAnsi="Times New Roman" w:cs="Times New Roman"/>
          <w:sz w:val="24"/>
          <w:szCs w:val="24"/>
        </w:rPr>
        <w:t xml:space="preserve"> </w:t>
      </w:r>
      <w:r w:rsidR="00794684" w:rsidRPr="00933491">
        <w:rPr>
          <w:rFonts w:ascii="Times New Roman" w:hAnsi="Times New Roman" w:cs="Times New Roman"/>
          <w:sz w:val="24"/>
          <w:szCs w:val="24"/>
        </w:rPr>
        <w:t>a</w:t>
      </w:r>
      <w:r w:rsidR="000921C5" w:rsidRPr="00933491">
        <w:rPr>
          <w:rFonts w:ascii="Times New Roman" w:hAnsi="Times New Roman" w:cs="Times New Roman"/>
          <w:sz w:val="24"/>
          <w:szCs w:val="24"/>
        </w:rPr>
        <w:t xml:space="preserve">pós a emissão, </w:t>
      </w:r>
      <w:r w:rsidR="00E4750E" w:rsidRPr="00933491">
        <w:rPr>
          <w:rFonts w:ascii="Times New Roman" w:hAnsi="Times New Roman" w:cs="Times New Roman"/>
          <w:sz w:val="24"/>
          <w:szCs w:val="24"/>
        </w:rPr>
        <w:t>o desempenho operacional das empresas emissoras declina</w:t>
      </w:r>
      <w:r w:rsidR="00CC04A2" w:rsidRPr="00933491">
        <w:rPr>
          <w:rFonts w:ascii="Times New Roman" w:hAnsi="Times New Roman" w:cs="Times New Roman"/>
          <w:sz w:val="24"/>
          <w:szCs w:val="24"/>
        </w:rPr>
        <w:t xml:space="preserve">, corroborando os achados de Cohen e </w:t>
      </w:r>
      <w:proofErr w:type="spellStart"/>
      <w:r w:rsidR="00CC04A2" w:rsidRPr="00933491">
        <w:rPr>
          <w:rFonts w:ascii="Times New Roman" w:hAnsi="Times New Roman" w:cs="Times New Roman"/>
          <w:sz w:val="24"/>
          <w:szCs w:val="24"/>
        </w:rPr>
        <w:t>Zarowin</w:t>
      </w:r>
      <w:proofErr w:type="spellEnd"/>
      <w:r w:rsidR="00CC04A2" w:rsidRPr="00933491">
        <w:rPr>
          <w:rFonts w:ascii="Times New Roman" w:hAnsi="Times New Roman" w:cs="Times New Roman"/>
          <w:sz w:val="24"/>
          <w:szCs w:val="24"/>
        </w:rPr>
        <w:t xml:space="preserve"> (2010)</w:t>
      </w:r>
      <w:r w:rsidR="00E4750E" w:rsidRPr="00933491">
        <w:rPr>
          <w:rFonts w:ascii="Times New Roman" w:hAnsi="Times New Roman" w:cs="Times New Roman"/>
          <w:sz w:val="24"/>
          <w:szCs w:val="24"/>
        </w:rPr>
        <w:t>.</w:t>
      </w:r>
      <w:r w:rsidR="0042283C" w:rsidRPr="00933491">
        <w:rPr>
          <w:rFonts w:ascii="Times New Roman" w:hAnsi="Times New Roman" w:cs="Times New Roman"/>
          <w:sz w:val="24"/>
          <w:szCs w:val="24"/>
        </w:rPr>
        <w:t xml:space="preserve"> </w:t>
      </w:r>
      <w:r w:rsidR="0048052C" w:rsidRPr="00933491">
        <w:rPr>
          <w:rFonts w:ascii="Times New Roman" w:hAnsi="Times New Roman" w:cs="Times New Roman"/>
          <w:sz w:val="24"/>
          <w:szCs w:val="24"/>
        </w:rPr>
        <w:t>Por outro lado, q</w:t>
      </w:r>
      <w:r w:rsidR="003B11C9" w:rsidRPr="00933491">
        <w:rPr>
          <w:rFonts w:ascii="Times New Roman" w:hAnsi="Times New Roman" w:cs="Times New Roman"/>
          <w:sz w:val="24"/>
          <w:szCs w:val="24"/>
        </w:rPr>
        <w:t xml:space="preserve">uando se analisa as empresas não emissoras, </w:t>
      </w:r>
      <w:r w:rsidR="0042283C" w:rsidRPr="00933491">
        <w:rPr>
          <w:rFonts w:ascii="Times New Roman" w:hAnsi="Times New Roman" w:cs="Times New Roman"/>
          <w:sz w:val="24"/>
          <w:szCs w:val="24"/>
        </w:rPr>
        <w:t>percebe-se que</w:t>
      </w:r>
      <w:r w:rsidR="006C5494" w:rsidRPr="00933491">
        <w:rPr>
          <w:rFonts w:ascii="Times New Roman" w:hAnsi="Times New Roman" w:cs="Times New Roman"/>
          <w:sz w:val="24"/>
          <w:szCs w:val="24"/>
        </w:rPr>
        <w:t xml:space="preserve"> não</w:t>
      </w:r>
      <w:r w:rsidR="0042283C" w:rsidRPr="00933491">
        <w:rPr>
          <w:rFonts w:ascii="Times New Roman" w:hAnsi="Times New Roman" w:cs="Times New Roman"/>
          <w:sz w:val="24"/>
          <w:szCs w:val="24"/>
        </w:rPr>
        <w:t xml:space="preserve"> </w:t>
      </w:r>
      <w:r w:rsidR="004812B0" w:rsidRPr="00933491">
        <w:rPr>
          <w:rFonts w:ascii="Times New Roman" w:hAnsi="Times New Roman" w:cs="Times New Roman"/>
          <w:sz w:val="24"/>
          <w:szCs w:val="24"/>
        </w:rPr>
        <w:t>há uma tendência</w:t>
      </w:r>
      <w:r w:rsidR="006C5494" w:rsidRPr="00933491">
        <w:rPr>
          <w:rFonts w:ascii="Times New Roman" w:hAnsi="Times New Roman" w:cs="Times New Roman"/>
          <w:sz w:val="24"/>
          <w:szCs w:val="24"/>
        </w:rPr>
        <w:t xml:space="preserve"> </w:t>
      </w:r>
      <w:r w:rsidR="00794684" w:rsidRPr="00933491">
        <w:rPr>
          <w:rFonts w:ascii="Times New Roman" w:hAnsi="Times New Roman" w:cs="Times New Roman"/>
          <w:sz w:val="24"/>
          <w:szCs w:val="24"/>
        </w:rPr>
        <w:t>n</w:t>
      </w:r>
      <w:r w:rsidR="006C5494" w:rsidRPr="00933491">
        <w:rPr>
          <w:rFonts w:ascii="Times New Roman" w:hAnsi="Times New Roman" w:cs="Times New Roman"/>
          <w:sz w:val="24"/>
          <w:szCs w:val="24"/>
        </w:rPr>
        <w:t>o desempenho operacional.</w:t>
      </w:r>
      <w:r w:rsidR="003B11C9" w:rsidRPr="00933491">
        <w:rPr>
          <w:rFonts w:ascii="Times New Roman" w:hAnsi="Times New Roman" w:cs="Times New Roman"/>
          <w:sz w:val="24"/>
          <w:szCs w:val="24"/>
        </w:rPr>
        <w:t xml:space="preserve"> Dessa forma, p</w:t>
      </w:r>
      <w:r w:rsidR="00E930C2" w:rsidRPr="00933491">
        <w:rPr>
          <w:rFonts w:ascii="Times New Roman" w:hAnsi="Times New Roman" w:cs="Times New Roman"/>
          <w:sz w:val="24"/>
          <w:szCs w:val="24"/>
        </w:rPr>
        <w:t>ercebe-se que, em geral, as empresas emissoras</w:t>
      </w:r>
      <w:r w:rsidR="00407FCA" w:rsidRPr="00933491">
        <w:rPr>
          <w:rFonts w:ascii="Times New Roman" w:hAnsi="Times New Roman" w:cs="Times New Roman"/>
          <w:sz w:val="24"/>
          <w:szCs w:val="24"/>
        </w:rPr>
        <w:t>, ao longo do tempo,</w:t>
      </w:r>
      <w:r w:rsidR="00E930C2" w:rsidRPr="00933491">
        <w:rPr>
          <w:rFonts w:ascii="Times New Roman" w:hAnsi="Times New Roman" w:cs="Times New Roman"/>
          <w:sz w:val="24"/>
          <w:szCs w:val="24"/>
        </w:rPr>
        <w:t xml:space="preserve"> possuem um desempenho operacional pior em relação às empresas não emissoras. </w:t>
      </w:r>
    </w:p>
    <w:p w14:paraId="1753FCFC" w14:textId="31ED0B88" w:rsidR="0036141B" w:rsidRDefault="00500A93" w:rsidP="00157D35">
      <w:pPr>
        <w:spacing w:after="0" w:line="240" w:lineRule="auto"/>
        <w:ind w:firstLine="709"/>
        <w:jc w:val="both"/>
        <w:rPr>
          <w:rFonts w:ascii="Times New Roman" w:hAnsi="Times New Roman" w:cs="Times New Roman"/>
          <w:sz w:val="24"/>
          <w:szCs w:val="24"/>
        </w:rPr>
      </w:pPr>
      <w:r w:rsidRPr="00933491">
        <w:rPr>
          <w:rFonts w:ascii="Times New Roman" w:hAnsi="Times New Roman" w:cs="Times New Roman"/>
          <w:sz w:val="24"/>
          <w:szCs w:val="24"/>
        </w:rPr>
        <w:t xml:space="preserve">Logo, os resultados encontrados na Tabela 3 corroboram </w:t>
      </w:r>
      <w:r w:rsidRPr="00933491">
        <w:rPr>
          <w:rFonts w:ascii="Times New Roman" w:hAnsi="Times New Roman" w:cs="Times New Roman"/>
          <w:color w:val="000000" w:themeColor="text1"/>
          <w:sz w:val="24"/>
          <w:szCs w:val="24"/>
        </w:rPr>
        <w:t xml:space="preserve">os achados de </w:t>
      </w:r>
      <w:proofErr w:type="spellStart"/>
      <w:r w:rsidRPr="00933491">
        <w:rPr>
          <w:rFonts w:ascii="Times New Roman" w:hAnsi="Times New Roman" w:cs="Times New Roman"/>
          <w:color w:val="000000" w:themeColor="text1"/>
          <w:sz w:val="24"/>
          <w:szCs w:val="24"/>
        </w:rPr>
        <w:t>Spiess</w:t>
      </w:r>
      <w:proofErr w:type="spellEnd"/>
      <w:r w:rsidRPr="00933491">
        <w:rPr>
          <w:rFonts w:ascii="Times New Roman" w:hAnsi="Times New Roman" w:cs="Times New Roman"/>
          <w:color w:val="000000" w:themeColor="text1"/>
          <w:sz w:val="24"/>
          <w:szCs w:val="24"/>
        </w:rPr>
        <w:t xml:space="preserve"> e Affleck-Graves (1995) e </w:t>
      </w:r>
      <w:proofErr w:type="spellStart"/>
      <w:r w:rsidR="00582F0F" w:rsidRPr="00933491">
        <w:rPr>
          <w:rFonts w:ascii="Times New Roman" w:hAnsi="Times New Roman" w:cs="Times New Roman"/>
          <w:color w:val="000000" w:themeColor="text1"/>
          <w:sz w:val="24"/>
          <w:szCs w:val="24"/>
        </w:rPr>
        <w:t>Lo</w:t>
      </w:r>
      <w:r w:rsidR="005C3B69" w:rsidRPr="00933491">
        <w:rPr>
          <w:rFonts w:ascii="Times New Roman" w:hAnsi="Times New Roman" w:cs="Times New Roman"/>
          <w:color w:val="000000" w:themeColor="text1"/>
          <w:sz w:val="24"/>
          <w:szCs w:val="24"/>
        </w:rPr>
        <w:t>ughran</w:t>
      </w:r>
      <w:proofErr w:type="spellEnd"/>
      <w:r w:rsidR="005C3B69" w:rsidRPr="00933491">
        <w:rPr>
          <w:rFonts w:ascii="Times New Roman" w:hAnsi="Times New Roman" w:cs="Times New Roman"/>
          <w:color w:val="000000" w:themeColor="text1"/>
          <w:sz w:val="24"/>
          <w:szCs w:val="24"/>
        </w:rPr>
        <w:t xml:space="preserve"> e </w:t>
      </w:r>
      <w:proofErr w:type="spellStart"/>
      <w:r w:rsidR="005C3B69" w:rsidRPr="00933491">
        <w:rPr>
          <w:rFonts w:ascii="Times New Roman" w:hAnsi="Times New Roman" w:cs="Times New Roman"/>
          <w:color w:val="000000" w:themeColor="text1"/>
          <w:sz w:val="24"/>
          <w:szCs w:val="24"/>
        </w:rPr>
        <w:t>Ritter</w:t>
      </w:r>
      <w:proofErr w:type="spellEnd"/>
      <w:r w:rsidR="005C3B69" w:rsidRPr="00933491">
        <w:rPr>
          <w:rFonts w:ascii="Times New Roman" w:hAnsi="Times New Roman" w:cs="Times New Roman"/>
          <w:color w:val="000000" w:themeColor="text1"/>
          <w:sz w:val="24"/>
          <w:szCs w:val="24"/>
        </w:rPr>
        <w:t xml:space="preserve"> (1997)</w:t>
      </w:r>
      <w:r w:rsidRPr="00933491">
        <w:rPr>
          <w:rFonts w:ascii="Times New Roman" w:hAnsi="Times New Roman" w:cs="Times New Roman"/>
          <w:color w:val="000000" w:themeColor="text1"/>
          <w:sz w:val="24"/>
          <w:szCs w:val="24"/>
        </w:rPr>
        <w:t xml:space="preserve">. Os primeiros encontraram baixo desempenho no longo prazo das empresas que realizaram SEO, em comparação </w:t>
      </w:r>
      <w:r w:rsidR="00F43610" w:rsidRPr="00933491">
        <w:rPr>
          <w:rFonts w:ascii="Times New Roman" w:hAnsi="Times New Roman" w:cs="Times New Roman"/>
          <w:color w:val="000000" w:themeColor="text1"/>
          <w:sz w:val="24"/>
          <w:szCs w:val="24"/>
        </w:rPr>
        <w:t>à</w:t>
      </w:r>
      <w:r w:rsidRPr="00933491">
        <w:rPr>
          <w:rFonts w:ascii="Times New Roman" w:hAnsi="Times New Roman" w:cs="Times New Roman"/>
          <w:color w:val="000000" w:themeColor="text1"/>
          <w:sz w:val="24"/>
          <w:szCs w:val="24"/>
        </w:rPr>
        <w:t>s empresas não emissoras</w:t>
      </w:r>
      <w:r w:rsidR="00A06928" w:rsidRPr="00933491">
        <w:rPr>
          <w:rFonts w:ascii="Times New Roman" w:hAnsi="Times New Roman" w:cs="Times New Roman"/>
          <w:color w:val="FF0000"/>
          <w:sz w:val="24"/>
          <w:szCs w:val="24"/>
        </w:rPr>
        <w:t xml:space="preserve">. </w:t>
      </w:r>
      <w:r w:rsidR="00A06928" w:rsidRPr="00933491">
        <w:rPr>
          <w:rFonts w:ascii="Times New Roman" w:hAnsi="Times New Roman" w:cs="Times New Roman"/>
          <w:sz w:val="24"/>
          <w:szCs w:val="24"/>
        </w:rPr>
        <w:t>Os últimos</w:t>
      </w:r>
      <w:r w:rsidR="005C3B69" w:rsidRPr="00933491">
        <w:rPr>
          <w:rFonts w:ascii="Times New Roman" w:hAnsi="Times New Roman" w:cs="Times New Roman"/>
          <w:sz w:val="24"/>
          <w:szCs w:val="24"/>
        </w:rPr>
        <w:t xml:space="preserve"> encontraram, tanto para emissoras</w:t>
      </w:r>
      <w:r w:rsidR="008F0708" w:rsidRPr="00933491">
        <w:rPr>
          <w:rFonts w:ascii="Times New Roman" w:hAnsi="Times New Roman" w:cs="Times New Roman"/>
          <w:sz w:val="24"/>
          <w:szCs w:val="24"/>
        </w:rPr>
        <w:t>,</w:t>
      </w:r>
      <w:r w:rsidR="005C3B69" w:rsidRPr="00933491">
        <w:rPr>
          <w:rFonts w:ascii="Times New Roman" w:hAnsi="Times New Roman" w:cs="Times New Roman"/>
          <w:sz w:val="24"/>
          <w:szCs w:val="24"/>
        </w:rPr>
        <w:t xml:space="preserve"> </w:t>
      </w:r>
      <w:r w:rsidR="008F0708" w:rsidRPr="00933491">
        <w:rPr>
          <w:rFonts w:ascii="Times New Roman" w:hAnsi="Times New Roman" w:cs="Times New Roman"/>
          <w:sz w:val="24"/>
          <w:szCs w:val="24"/>
        </w:rPr>
        <w:t>quanto para</w:t>
      </w:r>
      <w:r w:rsidR="007B58C9" w:rsidRPr="00933491">
        <w:rPr>
          <w:rFonts w:ascii="Times New Roman" w:hAnsi="Times New Roman" w:cs="Times New Roman"/>
          <w:sz w:val="24"/>
          <w:szCs w:val="24"/>
        </w:rPr>
        <w:t xml:space="preserve"> </w:t>
      </w:r>
      <w:r w:rsidR="005C3B69" w:rsidRPr="00933491">
        <w:rPr>
          <w:rFonts w:ascii="Times New Roman" w:hAnsi="Times New Roman" w:cs="Times New Roman"/>
          <w:sz w:val="24"/>
          <w:szCs w:val="24"/>
        </w:rPr>
        <w:t>não emissoras, que o desempenho operacional cai no período de quatro anos antece</w:t>
      </w:r>
      <w:r w:rsidR="00EA41B8" w:rsidRPr="00933491">
        <w:rPr>
          <w:rFonts w:ascii="Times New Roman" w:hAnsi="Times New Roman" w:cs="Times New Roman"/>
          <w:sz w:val="24"/>
          <w:szCs w:val="24"/>
        </w:rPr>
        <w:t>dentes e posteriores à emissão.</w:t>
      </w:r>
    </w:p>
    <w:p w14:paraId="6DE02590" w14:textId="77777777" w:rsidR="005216EB" w:rsidRPr="00933491" w:rsidRDefault="005216EB" w:rsidP="0056798E">
      <w:pPr>
        <w:spacing w:after="0" w:line="240" w:lineRule="auto"/>
        <w:ind w:firstLine="567"/>
        <w:jc w:val="both"/>
        <w:rPr>
          <w:rFonts w:ascii="Times New Roman" w:hAnsi="Times New Roman" w:cs="Times New Roman"/>
          <w:sz w:val="24"/>
          <w:szCs w:val="24"/>
        </w:rPr>
      </w:pPr>
    </w:p>
    <w:p w14:paraId="01FB522A" w14:textId="7B1E08F9" w:rsidR="00FD2859" w:rsidRPr="004C7DD9" w:rsidRDefault="00FD2859" w:rsidP="004C7DD9">
      <w:pPr>
        <w:spacing w:after="0" w:line="240" w:lineRule="auto"/>
        <w:jc w:val="center"/>
        <w:rPr>
          <w:rFonts w:ascii="Times New Roman" w:hAnsi="Times New Roman" w:cs="Times New Roman"/>
          <w:b/>
          <w:sz w:val="20"/>
          <w:szCs w:val="20"/>
        </w:rPr>
      </w:pPr>
      <w:r w:rsidRPr="004C7DD9">
        <w:rPr>
          <w:rFonts w:ascii="Times New Roman" w:hAnsi="Times New Roman" w:cs="Times New Roman"/>
          <w:b/>
          <w:sz w:val="20"/>
          <w:szCs w:val="20"/>
        </w:rPr>
        <w:t>Tabela 3</w:t>
      </w:r>
      <w:r w:rsidR="004C7DD9" w:rsidRPr="004C7DD9">
        <w:rPr>
          <w:rFonts w:ascii="Times New Roman" w:hAnsi="Times New Roman" w:cs="Times New Roman"/>
          <w:b/>
          <w:sz w:val="20"/>
          <w:szCs w:val="20"/>
        </w:rPr>
        <w:t xml:space="preserve"> - </w:t>
      </w:r>
      <w:r w:rsidRPr="004C7DD9">
        <w:rPr>
          <w:rFonts w:ascii="Times New Roman" w:hAnsi="Times New Roman" w:cs="Times New Roman"/>
          <w:b/>
          <w:sz w:val="20"/>
          <w:szCs w:val="20"/>
        </w:rPr>
        <w:t>Desempenho Operacional</w:t>
      </w:r>
      <w:r w:rsidR="005A5CA6" w:rsidRPr="004C7DD9">
        <w:rPr>
          <w:rFonts w:ascii="Times New Roman" w:hAnsi="Times New Roman" w:cs="Times New Roman"/>
          <w:b/>
          <w:sz w:val="20"/>
          <w:szCs w:val="20"/>
        </w:rPr>
        <w:t xml:space="preserve"> (ROA) </w:t>
      </w:r>
      <w:r w:rsidRPr="004C7DD9">
        <w:rPr>
          <w:rFonts w:ascii="Times New Roman" w:hAnsi="Times New Roman" w:cs="Times New Roman"/>
          <w:b/>
          <w:sz w:val="20"/>
          <w:szCs w:val="20"/>
        </w:rPr>
        <w:t>das empresas emissoras e não emissoras</w:t>
      </w:r>
    </w:p>
    <w:tbl>
      <w:tblPr>
        <w:tblW w:w="7844"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617"/>
        <w:gridCol w:w="1430"/>
        <w:gridCol w:w="1656"/>
        <w:gridCol w:w="1321"/>
        <w:gridCol w:w="1820"/>
      </w:tblGrid>
      <w:tr w:rsidR="0036141B" w:rsidRPr="00933491" w14:paraId="6F1EC6AC" w14:textId="77777777" w:rsidTr="004C7DD9">
        <w:trPr>
          <w:trHeight w:val="280"/>
          <w:jc w:val="center"/>
        </w:trPr>
        <w:tc>
          <w:tcPr>
            <w:tcW w:w="1617" w:type="dxa"/>
            <w:vMerge w:val="restart"/>
            <w:tcBorders>
              <w:top w:val="single" w:sz="4" w:space="0" w:color="auto"/>
              <w:bottom w:val="nil"/>
              <w:right w:val="single" w:sz="4" w:space="0" w:color="auto"/>
            </w:tcBorders>
            <w:vAlign w:val="center"/>
          </w:tcPr>
          <w:p w14:paraId="156B3375" w14:textId="77777777" w:rsidR="0036141B" w:rsidRPr="003E40AC" w:rsidRDefault="0036141B" w:rsidP="004C7DD9">
            <w:pPr>
              <w:spacing w:after="0" w:line="240" w:lineRule="auto"/>
              <w:jc w:val="center"/>
              <w:rPr>
                <w:rFonts w:ascii="Times New Roman" w:eastAsia="Times New Roman" w:hAnsi="Times New Roman" w:cs="Times New Roman"/>
                <w:b/>
                <w:color w:val="000000"/>
                <w:sz w:val="20"/>
                <w:szCs w:val="20"/>
                <w:lang w:eastAsia="pt-BR"/>
              </w:rPr>
            </w:pPr>
            <w:r w:rsidRPr="003E40AC">
              <w:rPr>
                <w:rFonts w:ascii="Times New Roman" w:eastAsia="Times New Roman" w:hAnsi="Times New Roman" w:cs="Times New Roman"/>
                <w:b/>
                <w:color w:val="000000"/>
                <w:sz w:val="20"/>
                <w:szCs w:val="20"/>
                <w:lang w:eastAsia="pt-BR"/>
              </w:rPr>
              <w:t>Ano Fiscal</w:t>
            </w:r>
          </w:p>
        </w:tc>
        <w:tc>
          <w:tcPr>
            <w:tcW w:w="30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1D39D" w14:textId="77777777" w:rsidR="0036141B" w:rsidRPr="003E40AC" w:rsidRDefault="0036141B" w:rsidP="004C7DD9">
            <w:pPr>
              <w:spacing w:after="0" w:line="240" w:lineRule="auto"/>
              <w:jc w:val="center"/>
              <w:rPr>
                <w:rFonts w:ascii="Times New Roman" w:eastAsia="Times New Roman" w:hAnsi="Times New Roman" w:cs="Times New Roman"/>
                <w:b/>
                <w:color w:val="000000"/>
                <w:sz w:val="20"/>
                <w:szCs w:val="20"/>
                <w:lang w:eastAsia="pt-BR"/>
              </w:rPr>
            </w:pPr>
            <w:r w:rsidRPr="003E40AC">
              <w:rPr>
                <w:rFonts w:ascii="Times New Roman" w:eastAsia="Times New Roman" w:hAnsi="Times New Roman" w:cs="Times New Roman"/>
                <w:b/>
                <w:color w:val="000000"/>
                <w:sz w:val="20"/>
                <w:szCs w:val="20"/>
                <w:lang w:eastAsia="pt-BR"/>
              </w:rPr>
              <w:t>Emissoras</w:t>
            </w:r>
          </w:p>
        </w:tc>
        <w:tc>
          <w:tcPr>
            <w:tcW w:w="3141" w:type="dxa"/>
            <w:gridSpan w:val="2"/>
            <w:tcBorders>
              <w:top w:val="single" w:sz="4" w:space="0" w:color="auto"/>
              <w:left w:val="single" w:sz="4" w:space="0" w:color="auto"/>
              <w:bottom w:val="single" w:sz="4" w:space="0" w:color="auto"/>
            </w:tcBorders>
            <w:shd w:val="clear" w:color="auto" w:fill="auto"/>
            <w:noWrap/>
            <w:vAlign w:val="bottom"/>
            <w:hideMark/>
          </w:tcPr>
          <w:p w14:paraId="77400C24" w14:textId="26619D92" w:rsidR="0036141B" w:rsidRPr="00933491" w:rsidRDefault="008144ED" w:rsidP="004C7DD9">
            <w:pPr>
              <w:spacing w:after="0" w:line="240" w:lineRule="auto"/>
              <w:jc w:val="center"/>
              <w:rPr>
                <w:rFonts w:ascii="Times New Roman" w:eastAsia="Times New Roman" w:hAnsi="Times New Roman" w:cs="Times New Roman"/>
                <w:b/>
                <w:color w:val="000000"/>
                <w:sz w:val="20"/>
                <w:szCs w:val="20"/>
                <w:lang w:eastAsia="pt-BR"/>
              </w:rPr>
            </w:pPr>
            <w:r>
              <w:rPr>
                <w:rFonts w:ascii="Times New Roman" w:eastAsia="Times New Roman" w:hAnsi="Times New Roman" w:cs="Times New Roman"/>
                <w:b/>
                <w:color w:val="000000"/>
                <w:sz w:val="20"/>
                <w:szCs w:val="20"/>
                <w:lang w:eastAsia="pt-BR"/>
              </w:rPr>
              <w:t>Não Emissoras</w:t>
            </w:r>
          </w:p>
        </w:tc>
      </w:tr>
      <w:tr w:rsidR="0036141B" w:rsidRPr="00933491" w14:paraId="3A238DAD" w14:textId="77777777" w:rsidTr="004C7DD9">
        <w:trPr>
          <w:trHeight w:val="280"/>
          <w:jc w:val="center"/>
        </w:trPr>
        <w:tc>
          <w:tcPr>
            <w:tcW w:w="1617" w:type="dxa"/>
            <w:vMerge/>
            <w:tcBorders>
              <w:top w:val="nil"/>
              <w:bottom w:val="single" w:sz="4" w:space="0" w:color="auto"/>
              <w:right w:val="single" w:sz="4" w:space="0" w:color="auto"/>
            </w:tcBorders>
          </w:tcPr>
          <w:p w14:paraId="0AB8AF98" w14:textId="77777777" w:rsidR="0036141B" w:rsidRPr="00933491" w:rsidRDefault="0036141B" w:rsidP="004C7DD9">
            <w:pPr>
              <w:spacing w:after="0" w:line="240" w:lineRule="auto"/>
              <w:jc w:val="center"/>
              <w:rPr>
                <w:rFonts w:ascii="Times New Roman" w:eastAsia="Times New Roman" w:hAnsi="Times New Roman" w:cs="Times New Roman"/>
                <w:color w:val="000000"/>
                <w:sz w:val="20"/>
                <w:szCs w:val="20"/>
                <w:lang w:eastAsia="pt-BR"/>
              </w:rPr>
            </w:pPr>
          </w:p>
        </w:tc>
        <w:tc>
          <w:tcPr>
            <w:tcW w:w="1430" w:type="dxa"/>
            <w:tcBorders>
              <w:top w:val="single" w:sz="4" w:space="0" w:color="auto"/>
              <w:left w:val="single" w:sz="4" w:space="0" w:color="auto"/>
              <w:bottom w:val="single" w:sz="4" w:space="0" w:color="auto"/>
            </w:tcBorders>
            <w:shd w:val="clear" w:color="auto" w:fill="auto"/>
            <w:noWrap/>
            <w:vAlign w:val="bottom"/>
            <w:hideMark/>
          </w:tcPr>
          <w:p w14:paraId="6A351E7A" w14:textId="77777777" w:rsidR="0036141B" w:rsidRPr="00933491" w:rsidRDefault="0036141B" w:rsidP="004C7DD9">
            <w:pPr>
              <w:spacing w:after="0" w:line="240" w:lineRule="auto"/>
              <w:jc w:val="center"/>
              <w:rPr>
                <w:rFonts w:ascii="Times New Roman" w:eastAsia="Times New Roman" w:hAnsi="Times New Roman" w:cs="Times New Roman"/>
                <w:b/>
                <w:color w:val="000000"/>
                <w:sz w:val="20"/>
                <w:szCs w:val="20"/>
                <w:lang w:eastAsia="pt-BR"/>
              </w:rPr>
            </w:pPr>
            <w:r w:rsidRPr="00933491">
              <w:rPr>
                <w:rFonts w:ascii="Times New Roman" w:eastAsia="Times New Roman" w:hAnsi="Times New Roman" w:cs="Times New Roman"/>
                <w:b/>
                <w:color w:val="000000"/>
                <w:sz w:val="20"/>
                <w:szCs w:val="20"/>
                <w:lang w:eastAsia="pt-BR"/>
              </w:rPr>
              <w:t>Média</w:t>
            </w:r>
          </w:p>
        </w:tc>
        <w:tc>
          <w:tcPr>
            <w:tcW w:w="1656" w:type="dxa"/>
            <w:tcBorders>
              <w:top w:val="single" w:sz="4" w:space="0" w:color="auto"/>
              <w:bottom w:val="single" w:sz="4" w:space="0" w:color="auto"/>
              <w:right w:val="single" w:sz="4" w:space="0" w:color="auto"/>
            </w:tcBorders>
            <w:shd w:val="clear" w:color="auto" w:fill="auto"/>
            <w:noWrap/>
            <w:vAlign w:val="bottom"/>
            <w:hideMark/>
          </w:tcPr>
          <w:p w14:paraId="12DF1A5F" w14:textId="77777777" w:rsidR="0036141B" w:rsidRPr="00933491" w:rsidRDefault="0036141B" w:rsidP="004C7DD9">
            <w:pPr>
              <w:spacing w:after="0" w:line="240" w:lineRule="auto"/>
              <w:jc w:val="center"/>
              <w:rPr>
                <w:rFonts w:ascii="Times New Roman" w:eastAsia="Times New Roman" w:hAnsi="Times New Roman" w:cs="Times New Roman"/>
                <w:b/>
                <w:color w:val="000000"/>
                <w:sz w:val="20"/>
                <w:szCs w:val="20"/>
                <w:lang w:eastAsia="pt-BR"/>
              </w:rPr>
            </w:pPr>
            <w:r w:rsidRPr="00933491">
              <w:rPr>
                <w:rFonts w:ascii="Times New Roman" w:eastAsia="Times New Roman" w:hAnsi="Times New Roman" w:cs="Times New Roman"/>
                <w:b/>
                <w:color w:val="000000"/>
                <w:sz w:val="20"/>
                <w:szCs w:val="20"/>
                <w:lang w:eastAsia="pt-BR"/>
              </w:rPr>
              <w:t>Mediana</w:t>
            </w:r>
          </w:p>
        </w:tc>
        <w:tc>
          <w:tcPr>
            <w:tcW w:w="1321" w:type="dxa"/>
            <w:tcBorders>
              <w:top w:val="single" w:sz="4" w:space="0" w:color="auto"/>
              <w:left w:val="single" w:sz="4" w:space="0" w:color="auto"/>
              <w:bottom w:val="single" w:sz="4" w:space="0" w:color="auto"/>
            </w:tcBorders>
            <w:shd w:val="clear" w:color="auto" w:fill="auto"/>
            <w:noWrap/>
            <w:vAlign w:val="bottom"/>
            <w:hideMark/>
          </w:tcPr>
          <w:p w14:paraId="14035F25" w14:textId="77777777" w:rsidR="0036141B" w:rsidRPr="00933491" w:rsidRDefault="0036141B" w:rsidP="004C7DD9">
            <w:pPr>
              <w:spacing w:after="0" w:line="240" w:lineRule="auto"/>
              <w:jc w:val="center"/>
              <w:rPr>
                <w:rFonts w:ascii="Times New Roman" w:eastAsia="Times New Roman" w:hAnsi="Times New Roman" w:cs="Times New Roman"/>
                <w:b/>
                <w:color w:val="000000"/>
                <w:sz w:val="20"/>
                <w:szCs w:val="20"/>
                <w:lang w:eastAsia="pt-BR"/>
              </w:rPr>
            </w:pPr>
            <w:r w:rsidRPr="00933491">
              <w:rPr>
                <w:rFonts w:ascii="Times New Roman" w:eastAsia="Times New Roman" w:hAnsi="Times New Roman" w:cs="Times New Roman"/>
                <w:b/>
                <w:color w:val="000000"/>
                <w:sz w:val="20"/>
                <w:szCs w:val="20"/>
                <w:lang w:eastAsia="pt-BR"/>
              </w:rPr>
              <w:t>Média</w:t>
            </w:r>
          </w:p>
        </w:tc>
        <w:tc>
          <w:tcPr>
            <w:tcW w:w="1820" w:type="dxa"/>
            <w:tcBorders>
              <w:top w:val="single" w:sz="4" w:space="0" w:color="auto"/>
              <w:bottom w:val="single" w:sz="4" w:space="0" w:color="auto"/>
            </w:tcBorders>
            <w:shd w:val="clear" w:color="auto" w:fill="auto"/>
            <w:noWrap/>
            <w:vAlign w:val="bottom"/>
            <w:hideMark/>
          </w:tcPr>
          <w:p w14:paraId="6065BD7F" w14:textId="77777777" w:rsidR="0036141B" w:rsidRPr="00933491" w:rsidRDefault="0036141B" w:rsidP="004C7DD9">
            <w:pPr>
              <w:spacing w:after="0" w:line="240" w:lineRule="auto"/>
              <w:jc w:val="center"/>
              <w:rPr>
                <w:rFonts w:ascii="Times New Roman" w:eastAsia="Times New Roman" w:hAnsi="Times New Roman" w:cs="Times New Roman"/>
                <w:b/>
                <w:color w:val="000000"/>
                <w:sz w:val="20"/>
                <w:szCs w:val="20"/>
                <w:lang w:eastAsia="pt-BR"/>
              </w:rPr>
            </w:pPr>
            <w:r w:rsidRPr="00933491">
              <w:rPr>
                <w:rFonts w:ascii="Times New Roman" w:eastAsia="Times New Roman" w:hAnsi="Times New Roman" w:cs="Times New Roman"/>
                <w:b/>
                <w:color w:val="000000"/>
                <w:sz w:val="20"/>
                <w:szCs w:val="20"/>
                <w:lang w:eastAsia="pt-BR"/>
              </w:rPr>
              <w:t>Mediana</w:t>
            </w:r>
          </w:p>
        </w:tc>
      </w:tr>
      <w:tr w:rsidR="0036141B" w:rsidRPr="00933491" w14:paraId="5D19097D" w14:textId="77777777" w:rsidTr="004C7DD9">
        <w:trPr>
          <w:trHeight w:val="280"/>
          <w:jc w:val="center"/>
        </w:trPr>
        <w:tc>
          <w:tcPr>
            <w:tcW w:w="1617" w:type="dxa"/>
            <w:tcBorders>
              <w:top w:val="single" w:sz="4" w:space="0" w:color="auto"/>
              <w:right w:val="single" w:sz="4" w:space="0" w:color="auto"/>
            </w:tcBorders>
            <w:vAlign w:val="center"/>
          </w:tcPr>
          <w:p w14:paraId="00FEE5D7" w14:textId="77777777" w:rsidR="0036141B" w:rsidRPr="00CC11DC" w:rsidRDefault="0036141B" w:rsidP="004C7DD9">
            <w:pPr>
              <w:spacing w:after="0" w:line="240" w:lineRule="auto"/>
              <w:jc w:val="center"/>
              <w:rPr>
                <w:rFonts w:ascii="Times New Roman" w:eastAsia="Times New Roman" w:hAnsi="Times New Roman" w:cs="Times New Roman"/>
                <w:b/>
                <w:color w:val="000000"/>
                <w:sz w:val="20"/>
                <w:szCs w:val="20"/>
                <w:lang w:eastAsia="pt-BR"/>
              </w:rPr>
            </w:pPr>
            <w:r w:rsidRPr="00CC11DC">
              <w:rPr>
                <w:rFonts w:ascii="Times New Roman" w:eastAsia="Times New Roman" w:hAnsi="Times New Roman" w:cs="Times New Roman"/>
                <w:b/>
                <w:color w:val="000000"/>
                <w:sz w:val="20"/>
                <w:szCs w:val="20"/>
                <w:lang w:eastAsia="pt-BR"/>
              </w:rPr>
              <w:t>-4</w:t>
            </w:r>
          </w:p>
        </w:tc>
        <w:tc>
          <w:tcPr>
            <w:tcW w:w="1430" w:type="dxa"/>
            <w:tcBorders>
              <w:top w:val="single" w:sz="4" w:space="0" w:color="auto"/>
              <w:left w:val="single" w:sz="4" w:space="0" w:color="auto"/>
            </w:tcBorders>
            <w:shd w:val="clear" w:color="auto" w:fill="auto"/>
            <w:noWrap/>
            <w:vAlign w:val="center"/>
            <w:hideMark/>
          </w:tcPr>
          <w:p w14:paraId="4DC4213A" w14:textId="77777777" w:rsidR="0036141B" w:rsidRPr="003E40AC" w:rsidRDefault="0036141B" w:rsidP="004C7DD9">
            <w:pPr>
              <w:spacing w:after="0" w:line="240" w:lineRule="auto"/>
              <w:jc w:val="center"/>
              <w:rPr>
                <w:rFonts w:ascii="Times New Roman" w:eastAsia="Times New Roman" w:hAnsi="Times New Roman" w:cs="Times New Roman"/>
                <w:color w:val="000000"/>
                <w:sz w:val="20"/>
                <w:szCs w:val="20"/>
                <w:lang w:eastAsia="pt-BR"/>
              </w:rPr>
            </w:pPr>
            <w:r w:rsidRPr="003E40AC">
              <w:rPr>
                <w:rFonts w:ascii="Times New Roman" w:eastAsia="Times New Roman" w:hAnsi="Times New Roman" w:cs="Times New Roman"/>
                <w:color w:val="000000"/>
                <w:sz w:val="20"/>
                <w:szCs w:val="20"/>
                <w:lang w:eastAsia="pt-BR"/>
              </w:rPr>
              <w:t>10.79%</w:t>
            </w:r>
          </w:p>
        </w:tc>
        <w:tc>
          <w:tcPr>
            <w:tcW w:w="1656" w:type="dxa"/>
            <w:tcBorders>
              <w:top w:val="single" w:sz="4" w:space="0" w:color="auto"/>
              <w:right w:val="single" w:sz="4" w:space="0" w:color="auto"/>
            </w:tcBorders>
            <w:shd w:val="clear" w:color="auto" w:fill="auto"/>
            <w:noWrap/>
            <w:vAlign w:val="center"/>
            <w:hideMark/>
          </w:tcPr>
          <w:p w14:paraId="783B89C8" w14:textId="77777777" w:rsidR="0036141B" w:rsidRPr="003E40AC" w:rsidRDefault="0036141B" w:rsidP="004C7DD9">
            <w:pPr>
              <w:spacing w:after="0" w:line="240" w:lineRule="auto"/>
              <w:jc w:val="center"/>
              <w:rPr>
                <w:rFonts w:ascii="Times New Roman" w:eastAsia="Times New Roman" w:hAnsi="Times New Roman" w:cs="Times New Roman"/>
                <w:color w:val="000000"/>
                <w:sz w:val="20"/>
                <w:szCs w:val="20"/>
                <w:lang w:eastAsia="pt-BR"/>
              </w:rPr>
            </w:pPr>
            <w:r w:rsidRPr="003E40AC">
              <w:rPr>
                <w:rFonts w:ascii="Times New Roman" w:eastAsia="Times New Roman" w:hAnsi="Times New Roman" w:cs="Times New Roman"/>
                <w:color w:val="000000"/>
                <w:sz w:val="20"/>
                <w:szCs w:val="20"/>
                <w:lang w:eastAsia="pt-BR"/>
              </w:rPr>
              <w:t>6.53%</w:t>
            </w:r>
          </w:p>
        </w:tc>
        <w:tc>
          <w:tcPr>
            <w:tcW w:w="1321" w:type="dxa"/>
            <w:tcBorders>
              <w:top w:val="single" w:sz="4" w:space="0" w:color="auto"/>
              <w:left w:val="single" w:sz="4" w:space="0" w:color="auto"/>
            </w:tcBorders>
            <w:shd w:val="clear" w:color="auto" w:fill="auto"/>
            <w:noWrap/>
            <w:vAlign w:val="center"/>
            <w:hideMark/>
          </w:tcPr>
          <w:p w14:paraId="1F21AF8D" w14:textId="77777777" w:rsidR="0036141B" w:rsidRPr="00933491" w:rsidRDefault="0036141B" w:rsidP="004C7DD9">
            <w:pPr>
              <w:spacing w:after="0" w:line="240" w:lineRule="auto"/>
              <w:jc w:val="center"/>
              <w:rPr>
                <w:rFonts w:ascii="Times New Roman" w:eastAsia="Times New Roman" w:hAnsi="Times New Roman" w:cs="Times New Roman"/>
                <w:color w:val="000000"/>
                <w:sz w:val="20"/>
                <w:szCs w:val="20"/>
                <w:lang w:eastAsia="pt-BR"/>
              </w:rPr>
            </w:pPr>
            <w:r w:rsidRPr="00933491">
              <w:rPr>
                <w:rFonts w:ascii="Times New Roman" w:eastAsia="Times New Roman" w:hAnsi="Times New Roman" w:cs="Times New Roman"/>
                <w:color w:val="000000"/>
                <w:sz w:val="20"/>
                <w:szCs w:val="20"/>
                <w:lang w:eastAsia="pt-BR"/>
              </w:rPr>
              <w:t>8.30%</w:t>
            </w:r>
          </w:p>
        </w:tc>
        <w:tc>
          <w:tcPr>
            <w:tcW w:w="1820" w:type="dxa"/>
            <w:tcBorders>
              <w:top w:val="single" w:sz="4" w:space="0" w:color="auto"/>
            </w:tcBorders>
            <w:shd w:val="clear" w:color="auto" w:fill="auto"/>
            <w:noWrap/>
            <w:vAlign w:val="center"/>
            <w:hideMark/>
          </w:tcPr>
          <w:p w14:paraId="6A586B4B" w14:textId="77777777" w:rsidR="0036141B" w:rsidRPr="00933491" w:rsidRDefault="0036141B" w:rsidP="004C7DD9">
            <w:pPr>
              <w:spacing w:after="0" w:line="240" w:lineRule="auto"/>
              <w:jc w:val="center"/>
              <w:rPr>
                <w:rFonts w:ascii="Times New Roman" w:eastAsia="Times New Roman" w:hAnsi="Times New Roman" w:cs="Times New Roman"/>
                <w:color w:val="000000"/>
                <w:sz w:val="20"/>
                <w:szCs w:val="20"/>
                <w:lang w:eastAsia="pt-BR"/>
              </w:rPr>
            </w:pPr>
            <w:r w:rsidRPr="00933491">
              <w:rPr>
                <w:rFonts w:ascii="Times New Roman" w:eastAsia="Times New Roman" w:hAnsi="Times New Roman" w:cs="Times New Roman"/>
                <w:color w:val="000000"/>
                <w:sz w:val="20"/>
                <w:szCs w:val="20"/>
                <w:lang w:eastAsia="pt-BR"/>
              </w:rPr>
              <w:t>4.49%</w:t>
            </w:r>
          </w:p>
        </w:tc>
      </w:tr>
      <w:tr w:rsidR="0036141B" w:rsidRPr="00933491" w14:paraId="60E7C24A" w14:textId="77777777" w:rsidTr="004C7DD9">
        <w:trPr>
          <w:trHeight w:val="280"/>
          <w:jc w:val="center"/>
        </w:trPr>
        <w:tc>
          <w:tcPr>
            <w:tcW w:w="1617" w:type="dxa"/>
            <w:tcBorders>
              <w:right w:val="single" w:sz="4" w:space="0" w:color="auto"/>
            </w:tcBorders>
            <w:vAlign w:val="center"/>
          </w:tcPr>
          <w:p w14:paraId="248DFA2C" w14:textId="77777777" w:rsidR="0036141B" w:rsidRPr="00CC11DC" w:rsidRDefault="0036141B" w:rsidP="004C7DD9">
            <w:pPr>
              <w:spacing w:after="0" w:line="240" w:lineRule="auto"/>
              <w:jc w:val="center"/>
              <w:rPr>
                <w:rFonts w:ascii="Times New Roman" w:eastAsia="Times New Roman" w:hAnsi="Times New Roman" w:cs="Times New Roman"/>
                <w:b/>
                <w:color w:val="000000"/>
                <w:sz w:val="20"/>
                <w:szCs w:val="20"/>
                <w:lang w:eastAsia="pt-BR"/>
              </w:rPr>
            </w:pPr>
            <w:r w:rsidRPr="00CC11DC">
              <w:rPr>
                <w:rFonts w:ascii="Times New Roman" w:eastAsia="Times New Roman" w:hAnsi="Times New Roman" w:cs="Times New Roman"/>
                <w:b/>
                <w:color w:val="000000"/>
                <w:sz w:val="20"/>
                <w:szCs w:val="20"/>
                <w:lang w:eastAsia="pt-BR"/>
              </w:rPr>
              <w:t>-3</w:t>
            </w:r>
          </w:p>
        </w:tc>
        <w:tc>
          <w:tcPr>
            <w:tcW w:w="1430" w:type="dxa"/>
            <w:tcBorders>
              <w:left w:val="single" w:sz="4" w:space="0" w:color="auto"/>
            </w:tcBorders>
            <w:shd w:val="clear" w:color="auto" w:fill="auto"/>
            <w:noWrap/>
            <w:vAlign w:val="center"/>
            <w:hideMark/>
          </w:tcPr>
          <w:p w14:paraId="75C323D3" w14:textId="77777777" w:rsidR="0036141B" w:rsidRPr="003E40AC" w:rsidRDefault="0036141B" w:rsidP="004C7DD9">
            <w:pPr>
              <w:spacing w:after="0" w:line="240" w:lineRule="auto"/>
              <w:jc w:val="center"/>
              <w:rPr>
                <w:rFonts w:ascii="Times New Roman" w:eastAsia="Times New Roman" w:hAnsi="Times New Roman" w:cs="Times New Roman"/>
                <w:color w:val="000000"/>
                <w:sz w:val="20"/>
                <w:szCs w:val="20"/>
                <w:lang w:eastAsia="pt-BR"/>
              </w:rPr>
            </w:pPr>
            <w:r w:rsidRPr="003E40AC">
              <w:rPr>
                <w:rFonts w:ascii="Times New Roman" w:eastAsia="Times New Roman" w:hAnsi="Times New Roman" w:cs="Times New Roman"/>
                <w:color w:val="000000"/>
                <w:sz w:val="20"/>
                <w:szCs w:val="20"/>
                <w:lang w:eastAsia="pt-BR"/>
              </w:rPr>
              <w:t>8.87%</w:t>
            </w:r>
          </w:p>
        </w:tc>
        <w:tc>
          <w:tcPr>
            <w:tcW w:w="1656" w:type="dxa"/>
            <w:tcBorders>
              <w:right w:val="single" w:sz="4" w:space="0" w:color="auto"/>
            </w:tcBorders>
            <w:shd w:val="clear" w:color="auto" w:fill="auto"/>
            <w:noWrap/>
            <w:vAlign w:val="center"/>
            <w:hideMark/>
          </w:tcPr>
          <w:p w14:paraId="5A425E8C" w14:textId="77777777" w:rsidR="0036141B" w:rsidRPr="003E40AC" w:rsidRDefault="0036141B" w:rsidP="004C7DD9">
            <w:pPr>
              <w:spacing w:after="0" w:line="240" w:lineRule="auto"/>
              <w:jc w:val="center"/>
              <w:rPr>
                <w:rFonts w:ascii="Times New Roman" w:eastAsia="Times New Roman" w:hAnsi="Times New Roman" w:cs="Times New Roman"/>
                <w:color w:val="000000"/>
                <w:sz w:val="20"/>
                <w:szCs w:val="20"/>
                <w:lang w:eastAsia="pt-BR"/>
              </w:rPr>
            </w:pPr>
            <w:r w:rsidRPr="003E40AC">
              <w:rPr>
                <w:rFonts w:ascii="Times New Roman" w:eastAsia="Times New Roman" w:hAnsi="Times New Roman" w:cs="Times New Roman"/>
                <w:color w:val="000000"/>
                <w:sz w:val="20"/>
                <w:szCs w:val="20"/>
                <w:lang w:eastAsia="pt-BR"/>
              </w:rPr>
              <w:t>5.29%</w:t>
            </w:r>
          </w:p>
        </w:tc>
        <w:tc>
          <w:tcPr>
            <w:tcW w:w="1321" w:type="dxa"/>
            <w:tcBorders>
              <w:left w:val="single" w:sz="4" w:space="0" w:color="auto"/>
            </w:tcBorders>
            <w:shd w:val="clear" w:color="auto" w:fill="auto"/>
            <w:noWrap/>
            <w:vAlign w:val="center"/>
            <w:hideMark/>
          </w:tcPr>
          <w:p w14:paraId="3F31F54E" w14:textId="77777777" w:rsidR="0036141B" w:rsidRPr="00933491" w:rsidRDefault="0036141B" w:rsidP="004C7DD9">
            <w:pPr>
              <w:spacing w:after="0" w:line="240" w:lineRule="auto"/>
              <w:jc w:val="center"/>
              <w:rPr>
                <w:rFonts w:ascii="Times New Roman" w:eastAsia="Times New Roman" w:hAnsi="Times New Roman" w:cs="Times New Roman"/>
                <w:color w:val="000000"/>
                <w:sz w:val="20"/>
                <w:szCs w:val="20"/>
                <w:lang w:eastAsia="pt-BR"/>
              </w:rPr>
            </w:pPr>
            <w:r w:rsidRPr="00933491">
              <w:rPr>
                <w:rFonts w:ascii="Times New Roman" w:eastAsia="Times New Roman" w:hAnsi="Times New Roman" w:cs="Times New Roman"/>
                <w:color w:val="000000"/>
                <w:sz w:val="20"/>
                <w:szCs w:val="20"/>
                <w:lang w:eastAsia="pt-BR"/>
              </w:rPr>
              <w:t>6.70%</w:t>
            </w:r>
          </w:p>
        </w:tc>
        <w:tc>
          <w:tcPr>
            <w:tcW w:w="1820" w:type="dxa"/>
            <w:shd w:val="clear" w:color="auto" w:fill="auto"/>
            <w:noWrap/>
            <w:vAlign w:val="center"/>
            <w:hideMark/>
          </w:tcPr>
          <w:p w14:paraId="7A9C8002" w14:textId="77777777" w:rsidR="0036141B" w:rsidRPr="00933491" w:rsidRDefault="0036141B" w:rsidP="004C7DD9">
            <w:pPr>
              <w:spacing w:after="0" w:line="240" w:lineRule="auto"/>
              <w:jc w:val="center"/>
              <w:rPr>
                <w:rFonts w:ascii="Times New Roman" w:eastAsia="Times New Roman" w:hAnsi="Times New Roman" w:cs="Times New Roman"/>
                <w:color w:val="000000"/>
                <w:sz w:val="20"/>
                <w:szCs w:val="20"/>
                <w:lang w:eastAsia="pt-BR"/>
              </w:rPr>
            </w:pPr>
            <w:r w:rsidRPr="00933491">
              <w:rPr>
                <w:rFonts w:ascii="Times New Roman" w:eastAsia="Times New Roman" w:hAnsi="Times New Roman" w:cs="Times New Roman"/>
                <w:color w:val="000000"/>
                <w:sz w:val="20"/>
                <w:szCs w:val="20"/>
                <w:lang w:eastAsia="pt-BR"/>
              </w:rPr>
              <w:t>4.33%</w:t>
            </w:r>
          </w:p>
        </w:tc>
      </w:tr>
      <w:tr w:rsidR="0036141B" w:rsidRPr="00933491" w14:paraId="09CA623A" w14:textId="77777777" w:rsidTr="004C7DD9">
        <w:trPr>
          <w:trHeight w:val="280"/>
          <w:jc w:val="center"/>
        </w:trPr>
        <w:tc>
          <w:tcPr>
            <w:tcW w:w="1617" w:type="dxa"/>
            <w:tcBorders>
              <w:right w:val="single" w:sz="4" w:space="0" w:color="auto"/>
            </w:tcBorders>
            <w:vAlign w:val="center"/>
          </w:tcPr>
          <w:p w14:paraId="36156A93" w14:textId="77777777" w:rsidR="0036141B" w:rsidRPr="00CC11DC" w:rsidRDefault="0036141B" w:rsidP="004C7DD9">
            <w:pPr>
              <w:spacing w:after="0" w:line="240" w:lineRule="auto"/>
              <w:jc w:val="center"/>
              <w:rPr>
                <w:rFonts w:ascii="Times New Roman" w:eastAsia="Times New Roman" w:hAnsi="Times New Roman" w:cs="Times New Roman"/>
                <w:b/>
                <w:color w:val="000000"/>
                <w:sz w:val="20"/>
                <w:szCs w:val="20"/>
                <w:lang w:eastAsia="pt-BR"/>
              </w:rPr>
            </w:pPr>
            <w:r w:rsidRPr="00CC11DC">
              <w:rPr>
                <w:rFonts w:ascii="Times New Roman" w:eastAsia="Times New Roman" w:hAnsi="Times New Roman" w:cs="Times New Roman"/>
                <w:b/>
                <w:color w:val="000000"/>
                <w:sz w:val="20"/>
                <w:szCs w:val="20"/>
                <w:lang w:eastAsia="pt-BR"/>
              </w:rPr>
              <w:t>-2</w:t>
            </w:r>
          </w:p>
        </w:tc>
        <w:tc>
          <w:tcPr>
            <w:tcW w:w="1430" w:type="dxa"/>
            <w:tcBorders>
              <w:left w:val="single" w:sz="4" w:space="0" w:color="auto"/>
            </w:tcBorders>
            <w:shd w:val="clear" w:color="auto" w:fill="auto"/>
            <w:noWrap/>
            <w:vAlign w:val="center"/>
            <w:hideMark/>
          </w:tcPr>
          <w:p w14:paraId="6EA64D23" w14:textId="77777777" w:rsidR="0036141B" w:rsidRPr="003E40AC" w:rsidRDefault="0036141B" w:rsidP="004C7DD9">
            <w:pPr>
              <w:spacing w:after="0" w:line="240" w:lineRule="auto"/>
              <w:jc w:val="center"/>
              <w:rPr>
                <w:rFonts w:ascii="Times New Roman" w:eastAsia="Times New Roman" w:hAnsi="Times New Roman" w:cs="Times New Roman"/>
                <w:color w:val="000000"/>
                <w:sz w:val="20"/>
                <w:szCs w:val="20"/>
                <w:lang w:eastAsia="pt-BR"/>
              </w:rPr>
            </w:pPr>
            <w:r w:rsidRPr="003E40AC">
              <w:rPr>
                <w:rFonts w:ascii="Times New Roman" w:eastAsia="Times New Roman" w:hAnsi="Times New Roman" w:cs="Times New Roman"/>
                <w:color w:val="000000"/>
                <w:sz w:val="20"/>
                <w:szCs w:val="20"/>
                <w:lang w:eastAsia="pt-BR"/>
              </w:rPr>
              <w:t>7.78%</w:t>
            </w:r>
          </w:p>
        </w:tc>
        <w:tc>
          <w:tcPr>
            <w:tcW w:w="1656" w:type="dxa"/>
            <w:tcBorders>
              <w:right w:val="single" w:sz="4" w:space="0" w:color="auto"/>
            </w:tcBorders>
            <w:shd w:val="clear" w:color="auto" w:fill="auto"/>
            <w:noWrap/>
            <w:vAlign w:val="center"/>
            <w:hideMark/>
          </w:tcPr>
          <w:p w14:paraId="7CEA1958" w14:textId="77777777" w:rsidR="0036141B" w:rsidRPr="003E40AC" w:rsidRDefault="0036141B" w:rsidP="004C7DD9">
            <w:pPr>
              <w:spacing w:after="0" w:line="240" w:lineRule="auto"/>
              <w:jc w:val="center"/>
              <w:rPr>
                <w:rFonts w:ascii="Times New Roman" w:eastAsia="Times New Roman" w:hAnsi="Times New Roman" w:cs="Times New Roman"/>
                <w:color w:val="000000"/>
                <w:sz w:val="20"/>
                <w:szCs w:val="20"/>
                <w:lang w:eastAsia="pt-BR"/>
              </w:rPr>
            </w:pPr>
            <w:r w:rsidRPr="003E40AC">
              <w:rPr>
                <w:rFonts w:ascii="Times New Roman" w:eastAsia="Times New Roman" w:hAnsi="Times New Roman" w:cs="Times New Roman"/>
                <w:color w:val="000000"/>
                <w:sz w:val="20"/>
                <w:szCs w:val="20"/>
                <w:lang w:eastAsia="pt-BR"/>
              </w:rPr>
              <w:t>5.16%</w:t>
            </w:r>
          </w:p>
        </w:tc>
        <w:tc>
          <w:tcPr>
            <w:tcW w:w="1321" w:type="dxa"/>
            <w:tcBorders>
              <w:left w:val="single" w:sz="4" w:space="0" w:color="auto"/>
            </w:tcBorders>
            <w:shd w:val="clear" w:color="auto" w:fill="auto"/>
            <w:noWrap/>
            <w:vAlign w:val="center"/>
            <w:hideMark/>
          </w:tcPr>
          <w:p w14:paraId="3BDB38E2" w14:textId="77777777" w:rsidR="0036141B" w:rsidRPr="00933491" w:rsidRDefault="0036141B" w:rsidP="004C7DD9">
            <w:pPr>
              <w:spacing w:after="0" w:line="240" w:lineRule="auto"/>
              <w:jc w:val="center"/>
              <w:rPr>
                <w:rFonts w:ascii="Times New Roman" w:eastAsia="Times New Roman" w:hAnsi="Times New Roman" w:cs="Times New Roman"/>
                <w:color w:val="000000"/>
                <w:sz w:val="20"/>
                <w:szCs w:val="20"/>
                <w:lang w:eastAsia="pt-BR"/>
              </w:rPr>
            </w:pPr>
            <w:r w:rsidRPr="00933491">
              <w:rPr>
                <w:rFonts w:ascii="Times New Roman" w:eastAsia="Times New Roman" w:hAnsi="Times New Roman" w:cs="Times New Roman"/>
                <w:color w:val="000000"/>
                <w:sz w:val="20"/>
                <w:szCs w:val="20"/>
                <w:lang w:eastAsia="pt-BR"/>
              </w:rPr>
              <w:t>5.90%</w:t>
            </w:r>
          </w:p>
        </w:tc>
        <w:tc>
          <w:tcPr>
            <w:tcW w:w="1820" w:type="dxa"/>
            <w:shd w:val="clear" w:color="auto" w:fill="auto"/>
            <w:noWrap/>
            <w:vAlign w:val="center"/>
            <w:hideMark/>
          </w:tcPr>
          <w:p w14:paraId="64220FF0" w14:textId="77777777" w:rsidR="0036141B" w:rsidRPr="00933491" w:rsidRDefault="0036141B" w:rsidP="004C7DD9">
            <w:pPr>
              <w:spacing w:after="0" w:line="240" w:lineRule="auto"/>
              <w:jc w:val="center"/>
              <w:rPr>
                <w:rFonts w:ascii="Times New Roman" w:eastAsia="Times New Roman" w:hAnsi="Times New Roman" w:cs="Times New Roman"/>
                <w:color w:val="000000"/>
                <w:sz w:val="20"/>
                <w:szCs w:val="20"/>
                <w:lang w:eastAsia="pt-BR"/>
              </w:rPr>
            </w:pPr>
            <w:r w:rsidRPr="00933491">
              <w:rPr>
                <w:rFonts w:ascii="Times New Roman" w:eastAsia="Times New Roman" w:hAnsi="Times New Roman" w:cs="Times New Roman"/>
                <w:color w:val="000000"/>
                <w:sz w:val="20"/>
                <w:szCs w:val="20"/>
                <w:lang w:eastAsia="pt-BR"/>
              </w:rPr>
              <w:t>4.47%</w:t>
            </w:r>
          </w:p>
        </w:tc>
      </w:tr>
      <w:tr w:rsidR="0036141B" w:rsidRPr="00933491" w14:paraId="2526DB2D" w14:textId="77777777" w:rsidTr="004C7DD9">
        <w:trPr>
          <w:trHeight w:val="280"/>
          <w:jc w:val="center"/>
        </w:trPr>
        <w:tc>
          <w:tcPr>
            <w:tcW w:w="1617" w:type="dxa"/>
            <w:tcBorders>
              <w:right w:val="single" w:sz="4" w:space="0" w:color="auto"/>
            </w:tcBorders>
            <w:vAlign w:val="center"/>
          </w:tcPr>
          <w:p w14:paraId="3426FE19" w14:textId="77777777" w:rsidR="0036141B" w:rsidRPr="00CC11DC" w:rsidRDefault="0036141B" w:rsidP="004C7DD9">
            <w:pPr>
              <w:spacing w:after="0" w:line="240" w:lineRule="auto"/>
              <w:jc w:val="center"/>
              <w:rPr>
                <w:rFonts w:ascii="Times New Roman" w:eastAsia="Times New Roman" w:hAnsi="Times New Roman" w:cs="Times New Roman"/>
                <w:b/>
                <w:color w:val="000000"/>
                <w:sz w:val="20"/>
                <w:szCs w:val="20"/>
                <w:lang w:eastAsia="pt-BR"/>
              </w:rPr>
            </w:pPr>
            <w:r w:rsidRPr="00CC11DC">
              <w:rPr>
                <w:rFonts w:ascii="Times New Roman" w:eastAsia="Times New Roman" w:hAnsi="Times New Roman" w:cs="Times New Roman"/>
                <w:b/>
                <w:color w:val="000000"/>
                <w:sz w:val="20"/>
                <w:szCs w:val="20"/>
                <w:lang w:eastAsia="pt-BR"/>
              </w:rPr>
              <w:t>-1</w:t>
            </w:r>
          </w:p>
        </w:tc>
        <w:tc>
          <w:tcPr>
            <w:tcW w:w="1430" w:type="dxa"/>
            <w:tcBorders>
              <w:left w:val="single" w:sz="4" w:space="0" w:color="auto"/>
            </w:tcBorders>
            <w:shd w:val="clear" w:color="auto" w:fill="auto"/>
            <w:noWrap/>
            <w:vAlign w:val="center"/>
            <w:hideMark/>
          </w:tcPr>
          <w:p w14:paraId="56EED34E" w14:textId="77777777" w:rsidR="0036141B" w:rsidRPr="003E40AC" w:rsidRDefault="0036141B" w:rsidP="004C7DD9">
            <w:pPr>
              <w:spacing w:after="0" w:line="240" w:lineRule="auto"/>
              <w:jc w:val="center"/>
              <w:rPr>
                <w:rFonts w:ascii="Times New Roman" w:eastAsia="Times New Roman" w:hAnsi="Times New Roman" w:cs="Times New Roman"/>
                <w:color w:val="000000"/>
                <w:sz w:val="20"/>
                <w:szCs w:val="20"/>
                <w:lang w:eastAsia="pt-BR"/>
              </w:rPr>
            </w:pPr>
            <w:r w:rsidRPr="003E40AC">
              <w:rPr>
                <w:rFonts w:ascii="Times New Roman" w:eastAsia="Times New Roman" w:hAnsi="Times New Roman" w:cs="Times New Roman"/>
                <w:color w:val="000000"/>
                <w:sz w:val="20"/>
                <w:szCs w:val="20"/>
                <w:lang w:eastAsia="pt-BR"/>
              </w:rPr>
              <w:t>8.70%</w:t>
            </w:r>
          </w:p>
        </w:tc>
        <w:tc>
          <w:tcPr>
            <w:tcW w:w="1656" w:type="dxa"/>
            <w:tcBorders>
              <w:right w:val="single" w:sz="4" w:space="0" w:color="auto"/>
            </w:tcBorders>
            <w:shd w:val="clear" w:color="auto" w:fill="auto"/>
            <w:noWrap/>
            <w:vAlign w:val="center"/>
            <w:hideMark/>
          </w:tcPr>
          <w:p w14:paraId="232D4974" w14:textId="77777777" w:rsidR="0036141B" w:rsidRPr="003E40AC" w:rsidRDefault="0036141B" w:rsidP="004C7DD9">
            <w:pPr>
              <w:spacing w:after="0" w:line="240" w:lineRule="auto"/>
              <w:jc w:val="center"/>
              <w:rPr>
                <w:rFonts w:ascii="Times New Roman" w:eastAsia="Times New Roman" w:hAnsi="Times New Roman" w:cs="Times New Roman"/>
                <w:color w:val="000000"/>
                <w:sz w:val="20"/>
                <w:szCs w:val="20"/>
                <w:lang w:eastAsia="pt-BR"/>
              </w:rPr>
            </w:pPr>
            <w:r w:rsidRPr="003E40AC">
              <w:rPr>
                <w:rFonts w:ascii="Times New Roman" w:eastAsia="Times New Roman" w:hAnsi="Times New Roman" w:cs="Times New Roman"/>
                <w:color w:val="000000"/>
                <w:sz w:val="20"/>
                <w:szCs w:val="20"/>
                <w:lang w:eastAsia="pt-BR"/>
              </w:rPr>
              <w:t>6.90%</w:t>
            </w:r>
          </w:p>
        </w:tc>
        <w:tc>
          <w:tcPr>
            <w:tcW w:w="1321" w:type="dxa"/>
            <w:tcBorders>
              <w:left w:val="single" w:sz="4" w:space="0" w:color="auto"/>
            </w:tcBorders>
            <w:shd w:val="clear" w:color="auto" w:fill="auto"/>
            <w:noWrap/>
            <w:vAlign w:val="center"/>
            <w:hideMark/>
          </w:tcPr>
          <w:p w14:paraId="1B67B31F" w14:textId="77777777" w:rsidR="0036141B" w:rsidRPr="00933491" w:rsidRDefault="0036141B" w:rsidP="004C7DD9">
            <w:pPr>
              <w:spacing w:after="0" w:line="240" w:lineRule="auto"/>
              <w:jc w:val="center"/>
              <w:rPr>
                <w:rFonts w:ascii="Times New Roman" w:eastAsia="Times New Roman" w:hAnsi="Times New Roman" w:cs="Times New Roman"/>
                <w:color w:val="000000"/>
                <w:sz w:val="20"/>
                <w:szCs w:val="20"/>
                <w:lang w:eastAsia="pt-BR"/>
              </w:rPr>
            </w:pPr>
            <w:r w:rsidRPr="00933491">
              <w:rPr>
                <w:rFonts w:ascii="Times New Roman" w:eastAsia="Times New Roman" w:hAnsi="Times New Roman" w:cs="Times New Roman"/>
                <w:color w:val="000000"/>
                <w:sz w:val="20"/>
                <w:szCs w:val="20"/>
                <w:lang w:eastAsia="pt-BR"/>
              </w:rPr>
              <w:t>5.71%</w:t>
            </w:r>
          </w:p>
        </w:tc>
        <w:tc>
          <w:tcPr>
            <w:tcW w:w="1820" w:type="dxa"/>
            <w:shd w:val="clear" w:color="auto" w:fill="auto"/>
            <w:noWrap/>
            <w:vAlign w:val="center"/>
            <w:hideMark/>
          </w:tcPr>
          <w:p w14:paraId="744F66C7" w14:textId="77777777" w:rsidR="0036141B" w:rsidRPr="00933491" w:rsidRDefault="0036141B" w:rsidP="004C7DD9">
            <w:pPr>
              <w:spacing w:after="0" w:line="240" w:lineRule="auto"/>
              <w:jc w:val="center"/>
              <w:rPr>
                <w:rFonts w:ascii="Times New Roman" w:eastAsia="Times New Roman" w:hAnsi="Times New Roman" w:cs="Times New Roman"/>
                <w:color w:val="000000"/>
                <w:sz w:val="20"/>
                <w:szCs w:val="20"/>
                <w:lang w:eastAsia="pt-BR"/>
              </w:rPr>
            </w:pPr>
            <w:r w:rsidRPr="00933491">
              <w:rPr>
                <w:rFonts w:ascii="Times New Roman" w:eastAsia="Times New Roman" w:hAnsi="Times New Roman" w:cs="Times New Roman"/>
                <w:color w:val="000000"/>
                <w:sz w:val="20"/>
                <w:szCs w:val="20"/>
                <w:lang w:eastAsia="pt-BR"/>
              </w:rPr>
              <w:t>4.40%</w:t>
            </w:r>
          </w:p>
        </w:tc>
      </w:tr>
      <w:tr w:rsidR="0036141B" w:rsidRPr="00933491" w14:paraId="163FF0B0" w14:textId="77777777" w:rsidTr="004C7DD9">
        <w:trPr>
          <w:trHeight w:val="280"/>
          <w:jc w:val="center"/>
        </w:trPr>
        <w:tc>
          <w:tcPr>
            <w:tcW w:w="1617" w:type="dxa"/>
            <w:tcBorders>
              <w:right w:val="single" w:sz="4" w:space="0" w:color="auto"/>
            </w:tcBorders>
            <w:vAlign w:val="center"/>
          </w:tcPr>
          <w:p w14:paraId="5EB322FD" w14:textId="77777777" w:rsidR="0036141B" w:rsidRPr="00CC11DC" w:rsidRDefault="0036141B" w:rsidP="004C7DD9">
            <w:pPr>
              <w:spacing w:after="0" w:line="240" w:lineRule="auto"/>
              <w:jc w:val="center"/>
              <w:rPr>
                <w:rFonts w:ascii="Times New Roman" w:eastAsia="Times New Roman" w:hAnsi="Times New Roman" w:cs="Times New Roman"/>
                <w:b/>
                <w:color w:val="000000"/>
                <w:sz w:val="20"/>
                <w:szCs w:val="20"/>
                <w:lang w:eastAsia="pt-BR"/>
              </w:rPr>
            </w:pPr>
            <w:r w:rsidRPr="00CC11DC">
              <w:rPr>
                <w:rFonts w:ascii="Times New Roman" w:eastAsia="Times New Roman" w:hAnsi="Times New Roman" w:cs="Times New Roman"/>
                <w:b/>
                <w:color w:val="000000"/>
                <w:sz w:val="20"/>
                <w:szCs w:val="20"/>
                <w:lang w:eastAsia="pt-BR"/>
              </w:rPr>
              <w:t>0</w:t>
            </w:r>
          </w:p>
        </w:tc>
        <w:tc>
          <w:tcPr>
            <w:tcW w:w="1430" w:type="dxa"/>
            <w:tcBorders>
              <w:left w:val="single" w:sz="4" w:space="0" w:color="auto"/>
            </w:tcBorders>
            <w:shd w:val="clear" w:color="auto" w:fill="auto"/>
            <w:noWrap/>
            <w:vAlign w:val="center"/>
            <w:hideMark/>
          </w:tcPr>
          <w:p w14:paraId="1952355B" w14:textId="77777777" w:rsidR="0036141B" w:rsidRPr="003E40AC" w:rsidRDefault="0036141B" w:rsidP="004C7DD9">
            <w:pPr>
              <w:spacing w:after="0" w:line="240" w:lineRule="auto"/>
              <w:jc w:val="center"/>
              <w:rPr>
                <w:rFonts w:ascii="Times New Roman" w:eastAsia="Times New Roman" w:hAnsi="Times New Roman" w:cs="Times New Roman"/>
                <w:color w:val="000000"/>
                <w:sz w:val="20"/>
                <w:szCs w:val="20"/>
                <w:lang w:eastAsia="pt-BR"/>
              </w:rPr>
            </w:pPr>
            <w:r w:rsidRPr="003E40AC">
              <w:rPr>
                <w:rFonts w:ascii="Times New Roman" w:eastAsia="Times New Roman" w:hAnsi="Times New Roman" w:cs="Times New Roman"/>
                <w:color w:val="000000"/>
                <w:sz w:val="20"/>
                <w:szCs w:val="20"/>
                <w:lang w:eastAsia="pt-BR"/>
              </w:rPr>
              <w:t>7.66%</w:t>
            </w:r>
          </w:p>
        </w:tc>
        <w:tc>
          <w:tcPr>
            <w:tcW w:w="1656" w:type="dxa"/>
            <w:tcBorders>
              <w:right w:val="single" w:sz="4" w:space="0" w:color="auto"/>
            </w:tcBorders>
            <w:shd w:val="clear" w:color="auto" w:fill="auto"/>
            <w:noWrap/>
            <w:vAlign w:val="center"/>
            <w:hideMark/>
          </w:tcPr>
          <w:p w14:paraId="01D597B0" w14:textId="77777777" w:rsidR="0036141B" w:rsidRPr="003E40AC" w:rsidRDefault="0036141B" w:rsidP="004C7DD9">
            <w:pPr>
              <w:spacing w:after="0" w:line="240" w:lineRule="auto"/>
              <w:jc w:val="center"/>
              <w:rPr>
                <w:rFonts w:ascii="Times New Roman" w:eastAsia="Times New Roman" w:hAnsi="Times New Roman" w:cs="Times New Roman"/>
                <w:color w:val="000000"/>
                <w:sz w:val="20"/>
                <w:szCs w:val="20"/>
                <w:lang w:eastAsia="pt-BR"/>
              </w:rPr>
            </w:pPr>
            <w:r w:rsidRPr="003E40AC">
              <w:rPr>
                <w:rFonts w:ascii="Times New Roman" w:eastAsia="Times New Roman" w:hAnsi="Times New Roman" w:cs="Times New Roman"/>
                <w:color w:val="000000"/>
                <w:sz w:val="20"/>
                <w:szCs w:val="20"/>
                <w:lang w:eastAsia="pt-BR"/>
              </w:rPr>
              <w:t>5.76%</w:t>
            </w:r>
          </w:p>
        </w:tc>
        <w:tc>
          <w:tcPr>
            <w:tcW w:w="1321" w:type="dxa"/>
            <w:tcBorders>
              <w:left w:val="single" w:sz="4" w:space="0" w:color="auto"/>
            </w:tcBorders>
            <w:shd w:val="clear" w:color="auto" w:fill="auto"/>
            <w:noWrap/>
            <w:vAlign w:val="center"/>
            <w:hideMark/>
          </w:tcPr>
          <w:p w14:paraId="7A28F42E" w14:textId="77777777" w:rsidR="0036141B" w:rsidRPr="00933491" w:rsidRDefault="0036141B" w:rsidP="004C7DD9">
            <w:pPr>
              <w:spacing w:after="0" w:line="240" w:lineRule="auto"/>
              <w:jc w:val="center"/>
              <w:rPr>
                <w:rFonts w:ascii="Times New Roman" w:eastAsia="Times New Roman" w:hAnsi="Times New Roman" w:cs="Times New Roman"/>
                <w:color w:val="000000"/>
                <w:sz w:val="20"/>
                <w:szCs w:val="20"/>
                <w:lang w:eastAsia="pt-BR"/>
              </w:rPr>
            </w:pPr>
            <w:r w:rsidRPr="00933491">
              <w:rPr>
                <w:rFonts w:ascii="Times New Roman" w:eastAsia="Times New Roman" w:hAnsi="Times New Roman" w:cs="Times New Roman"/>
                <w:color w:val="000000"/>
                <w:sz w:val="20"/>
                <w:szCs w:val="20"/>
                <w:lang w:eastAsia="pt-BR"/>
              </w:rPr>
              <w:t>5.35%</w:t>
            </w:r>
          </w:p>
        </w:tc>
        <w:tc>
          <w:tcPr>
            <w:tcW w:w="1820" w:type="dxa"/>
            <w:shd w:val="clear" w:color="auto" w:fill="auto"/>
            <w:noWrap/>
            <w:vAlign w:val="center"/>
            <w:hideMark/>
          </w:tcPr>
          <w:p w14:paraId="102C803A" w14:textId="77777777" w:rsidR="0036141B" w:rsidRPr="00933491" w:rsidRDefault="0036141B" w:rsidP="004C7DD9">
            <w:pPr>
              <w:spacing w:after="0" w:line="240" w:lineRule="auto"/>
              <w:jc w:val="center"/>
              <w:rPr>
                <w:rFonts w:ascii="Times New Roman" w:eastAsia="Times New Roman" w:hAnsi="Times New Roman" w:cs="Times New Roman"/>
                <w:color w:val="000000"/>
                <w:sz w:val="20"/>
                <w:szCs w:val="20"/>
                <w:lang w:eastAsia="pt-BR"/>
              </w:rPr>
            </w:pPr>
            <w:r w:rsidRPr="00933491">
              <w:rPr>
                <w:rFonts w:ascii="Times New Roman" w:eastAsia="Times New Roman" w:hAnsi="Times New Roman" w:cs="Times New Roman"/>
                <w:color w:val="000000"/>
                <w:sz w:val="20"/>
                <w:szCs w:val="20"/>
                <w:lang w:eastAsia="pt-BR"/>
              </w:rPr>
              <w:t>4.47%</w:t>
            </w:r>
          </w:p>
        </w:tc>
      </w:tr>
      <w:tr w:rsidR="0036141B" w:rsidRPr="00933491" w14:paraId="75122B3C" w14:textId="77777777" w:rsidTr="004C7DD9">
        <w:trPr>
          <w:trHeight w:val="280"/>
          <w:jc w:val="center"/>
        </w:trPr>
        <w:tc>
          <w:tcPr>
            <w:tcW w:w="1617" w:type="dxa"/>
            <w:tcBorders>
              <w:right w:val="single" w:sz="4" w:space="0" w:color="auto"/>
            </w:tcBorders>
            <w:vAlign w:val="center"/>
          </w:tcPr>
          <w:p w14:paraId="2E014B95" w14:textId="77777777" w:rsidR="0036141B" w:rsidRPr="00CC11DC" w:rsidRDefault="0036141B" w:rsidP="004C7DD9">
            <w:pPr>
              <w:spacing w:after="0" w:line="240" w:lineRule="auto"/>
              <w:jc w:val="center"/>
              <w:rPr>
                <w:rFonts w:ascii="Times New Roman" w:eastAsia="Times New Roman" w:hAnsi="Times New Roman" w:cs="Times New Roman"/>
                <w:b/>
                <w:color w:val="000000"/>
                <w:sz w:val="20"/>
                <w:szCs w:val="20"/>
                <w:lang w:eastAsia="pt-BR"/>
              </w:rPr>
            </w:pPr>
            <w:r w:rsidRPr="00CC11DC">
              <w:rPr>
                <w:rFonts w:ascii="Times New Roman" w:eastAsia="Times New Roman" w:hAnsi="Times New Roman" w:cs="Times New Roman"/>
                <w:b/>
                <w:color w:val="000000"/>
                <w:sz w:val="20"/>
                <w:szCs w:val="20"/>
                <w:lang w:eastAsia="pt-BR"/>
              </w:rPr>
              <w:t>+1</w:t>
            </w:r>
          </w:p>
        </w:tc>
        <w:tc>
          <w:tcPr>
            <w:tcW w:w="1430" w:type="dxa"/>
            <w:tcBorders>
              <w:left w:val="single" w:sz="4" w:space="0" w:color="auto"/>
            </w:tcBorders>
            <w:shd w:val="clear" w:color="auto" w:fill="auto"/>
            <w:noWrap/>
            <w:vAlign w:val="center"/>
            <w:hideMark/>
          </w:tcPr>
          <w:p w14:paraId="02BD5D16" w14:textId="77777777" w:rsidR="0036141B" w:rsidRPr="003E40AC" w:rsidRDefault="0036141B" w:rsidP="004C7DD9">
            <w:pPr>
              <w:spacing w:after="0" w:line="240" w:lineRule="auto"/>
              <w:jc w:val="center"/>
              <w:rPr>
                <w:rFonts w:ascii="Times New Roman" w:eastAsia="Times New Roman" w:hAnsi="Times New Roman" w:cs="Times New Roman"/>
                <w:color w:val="000000"/>
                <w:sz w:val="20"/>
                <w:szCs w:val="20"/>
                <w:lang w:eastAsia="pt-BR"/>
              </w:rPr>
            </w:pPr>
            <w:r w:rsidRPr="003E40AC">
              <w:rPr>
                <w:rFonts w:ascii="Times New Roman" w:eastAsia="Times New Roman" w:hAnsi="Times New Roman" w:cs="Times New Roman"/>
                <w:color w:val="000000"/>
                <w:sz w:val="20"/>
                <w:szCs w:val="20"/>
                <w:lang w:eastAsia="pt-BR"/>
              </w:rPr>
              <w:t>6.38%</w:t>
            </w:r>
          </w:p>
        </w:tc>
        <w:tc>
          <w:tcPr>
            <w:tcW w:w="1656" w:type="dxa"/>
            <w:tcBorders>
              <w:right w:val="single" w:sz="4" w:space="0" w:color="auto"/>
            </w:tcBorders>
            <w:shd w:val="clear" w:color="auto" w:fill="auto"/>
            <w:noWrap/>
            <w:vAlign w:val="center"/>
            <w:hideMark/>
          </w:tcPr>
          <w:p w14:paraId="35A8D32F" w14:textId="77777777" w:rsidR="0036141B" w:rsidRPr="003E40AC" w:rsidRDefault="0036141B" w:rsidP="004C7DD9">
            <w:pPr>
              <w:spacing w:after="0" w:line="240" w:lineRule="auto"/>
              <w:jc w:val="center"/>
              <w:rPr>
                <w:rFonts w:ascii="Times New Roman" w:eastAsia="Times New Roman" w:hAnsi="Times New Roman" w:cs="Times New Roman"/>
                <w:color w:val="000000"/>
                <w:sz w:val="20"/>
                <w:szCs w:val="20"/>
                <w:lang w:eastAsia="pt-BR"/>
              </w:rPr>
            </w:pPr>
            <w:r w:rsidRPr="003E40AC">
              <w:rPr>
                <w:rFonts w:ascii="Times New Roman" w:eastAsia="Times New Roman" w:hAnsi="Times New Roman" w:cs="Times New Roman"/>
                <w:color w:val="000000"/>
                <w:sz w:val="20"/>
                <w:szCs w:val="20"/>
                <w:lang w:eastAsia="pt-BR"/>
              </w:rPr>
              <w:t>4.80%</w:t>
            </w:r>
          </w:p>
        </w:tc>
        <w:tc>
          <w:tcPr>
            <w:tcW w:w="1321" w:type="dxa"/>
            <w:tcBorders>
              <w:left w:val="single" w:sz="4" w:space="0" w:color="auto"/>
            </w:tcBorders>
            <w:shd w:val="clear" w:color="auto" w:fill="auto"/>
            <w:noWrap/>
            <w:vAlign w:val="center"/>
            <w:hideMark/>
          </w:tcPr>
          <w:p w14:paraId="28BA82C7" w14:textId="77777777" w:rsidR="0036141B" w:rsidRPr="00933491" w:rsidRDefault="0036141B" w:rsidP="004C7DD9">
            <w:pPr>
              <w:spacing w:after="0" w:line="240" w:lineRule="auto"/>
              <w:jc w:val="center"/>
              <w:rPr>
                <w:rFonts w:ascii="Times New Roman" w:eastAsia="Times New Roman" w:hAnsi="Times New Roman" w:cs="Times New Roman"/>
                <w:color w:val="000000"/>
                <w:sz w:val="20"/>
                <w:szCs w:val="20"/>
                <w:lang w:eastAsia="pt-BR"/>
              </w:rPr>
            </w:pPr>
            <w:r w:rsidRPr="00933491">
              <w:rPr>
                <w:rFonts w:ascii="Times New Roman" w:eastAsia="Times New Roman" w:hAnsi="Times New Roman" w:cs="Times New Roman"/>
                <w:color w:val="000000"/>
                <w:sz w:val="20"/>
                <w:szCs w:val="20"/>
                <w:lang w:eastAsia="pt-BR"/>
              </w:rPr>
              <w:t>5.07%</w:t>
            </w:r>
          </w:p>
        </w:tc>
        <w:tc>
          <w:tcPr>
            <w:tcW w:w="1820" w:type="dxa"/>
            <w:shd w:val="clear" w:color="auto" w:fill="auto"/>
            <w:noWrap/>
            <w:vAlign w:val="center"/>
            <w:hideMark/>
          </w:tcPr>
          <w:p w14:paraId="1637C877" w14:textId="77777777" w:rsidR="0036141B" w:rsidRPr="00933491" w:rsidRDefault="0036141B" w:rsidP="004C7DD9">
            <w:pPr>
              <w:spacing w:after="0" w:line="240" w:lineRule="auto"/>
              <w:jc w:val="center"/>
              <w:rPr>
                <w:rFonts w:ascii="Times New Roman" w:eastAsia="Times New Roman" w:hAnsi="Times New Roman" w:cs="Times New Roman"/>
                <w:color w:val="000000"/>
                <w:sz w:val="20"/>
                <w:szCs w:val="20"/>
                <w:lang w:eastAsia="pt-BR"/>
              </w:rPr>
            </w:pPr>
            <w:r w:rsidRPr="00933491">
              <w:rPr>
                <w:rFonts w:ascii="Times New Roman" w:eastAsia="Times New Roman" w:hAnsi="Times New Roman" w:cs="Times New Roman"/>
                <w:color w:val="000000"/>
                <w:sz w:val="20"/>
                <w:szCs w:val="20"/>
                <w:lang w:eastAsia="pt-BR"/>
              </w:rPr>
              <w:t>4.94%</w:t>
            </w:r>
          </w:p>
        </w:tc>
      </w:tr>
      <w:tr w:rsidR="0036141B" w:rsidRPr="00933491" w14:paraId="59EBE62A" w14:textId="77777777" w:rsidTr="004C7DD9">
        <w:trPr>
          <w:trHeight w:val="280"/>
          <w:jc w:val="center"/>
        </w:trPr>
        <w:tc>
          <w:tcPr>
            <w:tcW w:w="1617" w:type="dxa"/>
            <w:tcBorders>
              <w:right w:val="single" w:sz="4" w:space="0" w:color="auto"/>
            </w:tcBorders>
            <w:vAlign w:val="center"/>
          </w:tcPr>
          <w:p w14:paraId="55118ADE" w14:textId="77777777" w:rsidR="0036141B" w:rsidRPr="00CC11DC" w:rsidRDefault="0036141B" w:rsidP="004C7DD9">
            <w:pPr>
              <w:spacing w:after="0" w:line="240" w:lineRule="auto"/>
              <w:jc w:val="center"/>
              <w:rPr>
                <w:rFonts w:ascii="Times New Roman" w:eastAsia="Times New Roman" w:hAnsi="Times New Roman" w:cs="Times New Roman"/>
                <w:b/>
                <w:color w:val="000000"/>
                <w:sz w:val="20"/>
                <w:szCs w:val="20"/>
                <w:lang w:eastAsia="pt-BR"/>
              </w:rPr>
            </w:pPr>
            <w:r w:rsidRPr="00CC11DC">
              <w:rPr>
                <w:rFonts w:ascii="Times New Roman" w:eastAsia="Times New Roman" w:hAnsi="Times New Roman" w:cs="Times New Roman"/>
                <w:b/>
                <w:color w:val="000000"/>
                <w:sz w:val="20"/>
                <w:szCs w:val="20"/>
                <w:lang w:eastAsia="pt-BR"/>
              </w:rPr>
              <w:t>+2</w:t>
            </w:r>
          </w:p>
        </w:tc>
        <w:tc>
          <w:tcPr>
            <w:tcW w:w="1430" w:type="dxa"/>
            <w:tcBorders>
              <w:left w:val="single" w:sz="4" w:space="0" w:color="auto"/>
            </w:tcBorders>
            <w:shd w:val="clear" w:color="auto" w:fill="auto"/>
            <w:noWrap/>
            <w:vAlign w:val="center"/>
            <w:hideMark/>
          </w:tcPr>
          <w:p w14:paraId="1D093A0C" w14:textId="77777777" w:rsidR="0036141B" w:rsidRPr="003E40AC" w:rsidRDefault="0036141B" w:rsidP="004C7DD9">
            <w:pPr>
              <w:spacing w:after="0" w:line="240" w:lineRule="auto"/>
              <w:jc w:val="center"/>
              <w:rPr>
                <w:rFonts w:ascii="Times New Roman" w:eastAsia="Times New Roman" w:hAnsi="Times New Roman" w:cs="Times New Roman"/>
                <w:color w:val="000000"/>
                <w:sz w:val="20"/>
                <w:szCs w:val="20"/>
                <w:lang w:eastAsia="pt-BR"/>
              </w:rPr>
            </w:pPr>
            <w:r w:rsidRPr="003E40AC">
              <w:rPr>
                <w:rFonts w:ascii="Times New Roman" w:eastAsia="Times New Roman" w:hAnsi="Times New Roman" w:cs="Times New Roman"/>
                <w:color w:val="000000"/>
                <w:sz w:val="20"/>
                <w:szCs w:val="20"/>
                <w:lang w:eastAsia="pt-BR"/>
              </w:rPr>
              <w:t>6.34%</w:t>
            </w:r>
          </w:p>
        </w:tc>
        <w:tc>
          <w:tcPr>
            <w:tcW w:w="1656" w:type="dxa"/>
            <w:tcBorders>
              <w:right w:val="single" w:sz="4" w:space="0" w:color="auto"/>
            </w:tcBorders>
            <w:shd w:val="clear" w:color="auto" w:fill="auto"/>
            <w:noWrap/>
            <w:vAlign w:val="center"/>
            <w:hideMark/>
          </w:tcPr>
          <w:p w14:paraId="06049835" w14:textId="77777777" w:rsidR="0036141B" w:rsidRPr="003E40AC" w:rsidRDefault="0036141B" w:rsidP="004C7DD9">
            <w:pPr>
              <w:spacing w:after="0" w:line="240" w:lineRule="auto"/>
              <w:jc w:val="center"/>
              <w:rPr>
                <w:rFonts w:ascii="Times New Roman" w:eastAsia="Times New Roman" w:hAnsi="Times New Roman" w:cs="Times New Roman"/>
                <w:color w:val="000000"/>
                <w:sz w:val="20"/>
                <w:szCs w:val="20"/>
                <w:lang w:eastAsia="pt-BR"/>
              </w:rPr>
            </w:pPr>
            <w:r w:rsidRPr="003E40AC">
              <w:rPr>
                <w:rFonts w:ascii="Times New Roman" w:eastAsia="Times New Roman" w:hAnsi="Times New Roman" w:cs="Times New Roman"/>
                <w:color w:val="000000"/>
                <w:sz w:val="20"/>
                <w:szCs w:val="20"/>
                <w:lang w:eastAsia="pt-BR"/>
              </w:rPr>
              <w:t>4.76%</w:t>
            </w:r>
          </w:p>
        </w:tc>
        <w:tc>
          <w:tcPr>
            <w:tcW w:w="1321" w:type="dxa"/>
            <w:tcBorders>
              <w:left w:val="single" w:sz="4" w:space="0" w:color="auto"/>
            </w:tcBorders>
            <w:shd w:val="clear" w:color="auto" w:fill="auto"/>
            <w:noWrap/>
            <w:vAlign w:val="center"/>
            <w:hideMark/>
          </w:tcPr>
          <w:p w14:paraId="794FE56B" w14:textId="77777777" w:rsidR="0036141B" w:rsidRPr="00933491" w:rsidRDefault="0036141B" w:rsidP="004C7DD9">
            <w:pPr>
              <w:spacing w:after="0" w:line="240" w:lineRule="auto"/>
              <w:jc w:val="center"/>
              <w:rPr>
                <w:rFonts w:ascii="Times New Roman" w:eastAsia="Times New Roman" w:hAnsi="Times New Roman" w:cs="Times New Roman"/>
                <w:color w:val="000000"/>
                <w:sz w:val="20"/>
                <w:szCs w:val="20"/>
                <w:lang w:eastAsia="pt-BR"/>
              </w:rPr>
            </w:pPr>
            <w:r w:rsidRPr="00933491">
              <w:rPr>
                <w:rFonts w:ascii="Times New Roman" w:eastAsia="Times New Roman" w:hAnsi="Times New Roman" w:cs="Times New Roman"/>
                <w:color w:val="000000"/>
                <w:sz w:val="20"/>
                <w:szCs w:val="20"/>
                <w:lang w:eastAsia="pt-BR"/>
              </w:rPr>
              <w:t>5.27%</w:t>
            </w:r>
          </w:p>
        </w:tc>
        <w:tc>
          <w:tcPr>
            <w:tcW w:w="1820" w:type="dxa"/>
            <w:shd w:val="clear" w:color="auto" w:fill="auto"/>
            <w:noWrap/>
            <w:vAlign w:val="center"/>
            <w:hideMark/>
          </w:tcPr>
          <w:p w14:paraId="0921349B" w14:textId="77777777" w:rsidR="0036141B" w:rsidRPr="00933491" w:rsidRDefault="0036141B" w:rsidP="004C7DD9">
            <w:pPr>
              <w:spacing w:after="0" w:line="240" w:lineRule="auto"/>
              <w:jc w:val="center"/>
              <w:rPr>
                <w:rFonts w:ascii="Times New Roman" w:eastAsia="Times New Roman" w:hAnsi="Times New Roman" w:cs="Times New Roman"/>
                <w:color w:val="000000"/>
                <w:sz w:val="20"/>
                <w:szCs w:val="20"/>
                <w:lang w:eastAsia="pt-BR"/>
              </w:rPr>
            </w:pPr>
            <w:r w:rsidRPr="00933491">
              <w:rPr>
                <w:rFonts w:ascii="Times New Roman" w:eastAsia="Times New Roman" w:hAnsi="Times New Roman" w:cs="Times New Roman"/>
                <w:color w:val="000000"/>
                <w:sz w:val="20"/>
                <w:szCs w:val="20"/>
                <w:lang w:eastAsia="pt-BR"/>
              </w:rPr>
              <w:t>5.28%</w:t>
            </w:r>
          </w:p>
        </w:tc>
      </w:tr>
      <w:tr w:rsidR="0036141B" w:rsidRPr="00933491" w14:paraId="7DC6FF09" w14:textId="77777777" w:rsidTr="004C7DD9">
        <w:trPr>
          <w:trHeight w:val="280"/>
          <w:jc w:val="center"/>
        </w:trPr>
        <w:tc>
          <w:tcPr>
            <w:tcW w:w="1617" w:type="dxa"/>
            <w:tcBorders>
              <w:right w:val="single" w:sz="4" w:space="0" w:color="auto"/>
            </w:tcBorders>
            <w:vAlign w:val="center"/>
          </w:tcPr>
          <w:p w14:paraId="49E9BA84" w14:textId="77777777" w:rsidR="0036141B" w:rsidRPr="00CC11DC" w:rsidRDefault="0036141B" w:rsidP="004C7DD9">
            <w:pPr>
              <w:spacing w:after="0" w:line="240" w:lineRule="auto"/>
              <w:jc w:val="center"/>
              <w:rPr>
                <w:rFonts w:ascii="Times New Roman" w:eastAsia="Times New Roman" w:hAnsi="Times New Roman" w:cs="Times New Roman"/>
                <w:b/>
                <w:color w:val="000000"/>
                <w:sz w:val="20"/>
                <w:szCs w:val="20"/>
                <w:lang w:eastAsia="pt-BR"/>
              </w:rPr>
            </w:pPr>
            <w:r w:rsidRPr="00CC11DC">
              <w:rPr>
                <w:rFonts w:ascii="Times New Roman" w:eastAsia="Times New Roman" w:hAnsi="Times New Roman" w:cs="Times New Roman"/>
                <w:b/>
                <w:color w:val="000000"/>
                <w:sz w:val="20"/>
                <w:szCs w:val="20"/>
                <w:lang w:eastAsia="pt-BR"/>
              </w:rPr>
              <w:t>+3</w:t>
            </w:r>
          </w:p>
        </w:tc>
        <w:tc>
          <w:tcPr>
            <w:tcW w:w="1430" w:type="dxa"/>
            <w:tcBorders>
              <w:left w:val="single" w:sz="4" w:space="0" w:color="auto"/>
            </w:tcBorders>
            <w:shd w:val="clear" w:color="auto" w:fill="auto"/>
            <w:noWrap/>
            <w:vAlign w:val="center"/>
            <w:hideMark/>
          </w:tcPr>
          <w:p w14:paraId="26A52AF4" w14:textId="77777777" w:rsidR="0036141B" w:rsidRPr="003E40AC" w:rsidRDefault="0036141B" w:rsidP="004C7DD9">
            <w:pPr>
              <w:spacing w:after="0" w:line="240" w:lineRule="auto"/>
              <w:jc w:val="center"/>
              <w:rPr>
                <w:rFonts w:ascii="Times New Roman" w:eastAsia="Times New Roman" w:hAnsi="Times New Roman" w:cs="Times New Roman"/>
                <w:color w:val="000000"/>
                <w:sz w:val="20"/>
                <w:szCs w:val="20"/>
                <w:lang w:eastAsia="pt-BR"/>
              </w:rPr>
            </w:pPr>
            <w:r w:rsidRPr="003E40AC">
              <w:rPr>
                <w:rFonts w:ascii="Times New Roman" w:eastAsia="Times New Roman" w:hAnsi="Times New Roman" w:cs="Times New Roman"/>
                <w:color w:val="000000"/>
                <w:sz w:val="20"/>
                <w:szCs w:val="20"/>
                <w:lang w:eastAsia="pt-BR"/>
              </w:rPr>
              <w:t>6.10%</w:t>
            </w:r>
          </w:p>
        </w:tc>
        <w:tc>
          <w:tcPr>
            <w:tcW w:w="1656" w:type="dxa"/>
            <w:tcBorders>
              <w:right w:val="single" w:sz="4" w:space="0" w:color="auto"/>
            </w:tcBorders>
            <w:shd w:val="clear" w:color="auto" w:fill="auto"/>
            <w:noWrap/>
            <w:vAlign w:val="center"/>
            <w:hideMark/>
          </w:tcPr>
          <w:p w14:paraId="296D93AE" w14:textId="77777777" w:rsidR="0036141B" w:rsidRPr="003E40AC" w:rsidRDefault="0036141B" w:rsidP="004C7DD9">
            <w:pPr>
              <w:spacing w:after="0" w:line="240" w:lineRule="auto"/>
              <w:jc w:val="center"/>
              <w:rPr>
                <w:rFonts w:ascii="Times New Roman" w:eastAsia="Times New Roman" w:hAnsi="Times New Roman" w:cs="Times New Roman"/>
                <w:color w:val="000000"/>
                <w:sz w:val="20"/>
                <w:szCs w:val="20"/>
                <w:lang w:eastAsia="pt-BR"/>
              </w:rPr>
            </w:pPr>
            <w:r w:rsidRPr="003E40AC">
              <w:rPr>
                <w:rFonts w:ascii="Times New Roman" w:eastAsia="Times New Roman" w:hAnsi="Times New Roman" w:cs="Times New Roman"/>
                <w:color w:val="000000"/>
                <w:sz w:val="20"/>
                <w:szCs w:val="20"/>
                <w:lang w:eastAsia="pt-BR"/>
              </w:rPr>
              <w:t>4.83%</w:t>
            </w:r>
          </w:p>
        </w:tc>
        <w:tc>
          <w:tcPr>
            <w:tcW w:w="1321" w:type="dxa"/>
            <w:tcBorders>
              <w:left w:val="single" w:sz="4" w:space="0" w:color="auto"/>
            </w:tcBorders>
            <w:shd w:val="clear" w:color="auto" w:fill="auto"/>
            <w:noWrap/>
            <w:vAlign w:val="center"/>
            <w:hideMark/>
          </w:tcPr>
          <w:p w14:paraId="6BC74729" w14:textId="77777777" w:rsidR="0036141B" w:rsidRPr="00933491" w:rsidRDefault="0036141B" w:rsidP="004C7DD9">
            <w:pPr>
              <w:spacing w:after="0" w:line="240" w:lineRule="auto"/>
              <w:jc w:val="center"/>
              <w:rPr>
                <w:rFonts w:ascii="Times New Roman" w:eastAsia="Times New Roman" w:hAnsi="Times New Roman" w:cs="Times New Roman"/>
                <w:color w:val="000000"/>
                <w:sz w:val="20"/>
                <w:szCs w:val="20"/>
                <w:lang w:eastAsia="pt-BR"/>
              </w:rPr>
            </w:pPr>
            <w:r w:rsidRPr="00933491">
              <w:rPr>
                <w:rFonts w:ascii="Times New Roman" w:eastAsia="Times New Roman" w:hAnsi="Times New Roman" w:cs="Times New Roman"/>
                <w:color w:val="000000"/>
                <w:sz w:val="20"/>
                <w:szCs w:val="20"/>
                <w:lang w:eastAsia="pt-BR"/>
              </w:rPr>
              <w:t>4.18%</w:t>
            </w:r>
          </w:p>
        </w:tc>
        <w:tc>
          <w:tcPr>
            <w:tcW w:w="1820" w:type="dxa"/>
            <w:shd w:val="clear" w:color="auto" w:fill="auto"/>
            <w:noWrap/>
            <w:vAlign w:val="center"/>
            <w:hideMark/>
          </w:tcPr>
          <w:p w14:paraId="5701DEA3" w14:textId="77777777" w:rsidR="0036141B" w:rsidRPr="00933491" w:rsidRDefault="0036141B" w:rsidP="004C7DD9">
            <w:pPr>
              <w:spacing w:after="0" w:line="240" w:lineRule="auto"/>
              <w:jc w:val="center"/>
              <w:rPr>
                <w:rFonts w:ascii="Times New Roman" w:eastAsia="Times New Roman" w:hAnsi="Times New Roman" w:cs="Times New Roman"/>
                <w:color w:val="000000"/>
                <w:sz w:val="20"/>
                <w:szCs w:val="20"/>
                <w:lang w:eastAsia="pt-BR"/>
              </w:rPr>
            </w:pPr>
            <w:r w:rsidRPr="00933491">
              <w:rPr>
                <w:rFonts w:ascii="Times New Roman" w:eastAsia="Times New Roman" w:hAnsi="Times New Roman" w:cs="Times New Roman"/>
                <w:color w:val="000000"/>
                <w:sz w:val="20"/>
                <w:szCs w:val="20"/>
                <w:lang w:eastAsia="pt-BR"/>
              </w:rPr>
              <w:t>4.26%</w:t>
            </w:r>
          </w:p>
        </w:tc>
      </w:tr>
      <w:tr w:rsidR="0036141B" w:rsidRPr="00933491" w14:paraId="32643634" w14:textId="77777777" w:rsidTr="004C7DD9">
        <w:trPr>
          <w:trHeight w:val="280"/>
          <w:jc w:val="center"/>
        </w:trPr>
        <w:tc>
          <w:tcPr>
            <w:tcW w:w="1617" w:type="dxa"/>
            <w:tcBorders>
              <w:right w:val="single" w:sz="4" w:space="0" w:color="auto"/>
            </w:tcBorders>
            <w:vAlign w:val="center"/>
          </w:tcPr>
          <w:p w14:paraId="5632E4B8" w14:textId="77777777" w:rsidR="0036141B" w:rsidRPr="00CC11DC" w:rsidRDefault="0036141B" w:rsidP="004C7DD9">
            <w:pPr>
              <w:spacing w:after="0" w:line="240" w:lineRule="auto"/>
              <w:jc w:val="center"/>
              <w:rPr>
                <w:rFonts w:ascii="Times New Roman" w:eastAsia="Times New Roman" w:hAnsi="Times New Roman" w:cs="Times New Roman"/>
                <w:b/>
                <w:color w:val="000000"/>
                <w:sz w:val="20"/>
                <w:szCs w:val="20"/>
                <w:lang w:eastAsia="pt-BR"/>
              </w:rPr>
            </w:pPr>
            <w:r w:rsidRPr="00CC11DC">
              <w:rPr>
                <w:rFonts w:ascii="Times New Roman" w:eastAsia="Times New Roman" w:hAnsi="Times New Roman" w:cs="Times New Roman"/>
                <w:b/>
                <w:color w:val="000000"/>
                <w:sz w:val="20"/>
                <w:szCs w:val="20"/>
                <w:lang w:eastAsia="pt-BR"/>
              </w:rPr>
              <w:t>+4</w:t>
            </w:r>
          </w:p>
        </w:tc>
        <w:tc>
          <w:tcPr>
            <w:tcW w:w="1430" w:type="dxa"/>
            <w:tcBorders>
              <w:left w:val="single" w:sz="4" w:space="0" w:color="auto"/>
              <w:bottom w:val="single" w:sz="4" w:space="0" w:color="auto"/>
            </w:tcBorders>
            <w:shd w:val="clear" w:color="auto" w:fill="auto"/>
            <w:noWrap/>
            <w:vAlign w:val="center"/>
            <w:hideMark/>
          </w:tcPr>
          <w:p w14:paraId="797D48C6" w14:textId="77777777" w:rsidR="0036141B" w:rsidRPr="003E40AC" w:rsidRDefault="0036141B" w:rsidP="004C7DD9">
            <w:pPr>
              <w:spacing w:after="0" w:line="240" w:lineRule="auto"/>
              <w:jc w:val="center"/>
              <w:rPr>
                <w:rFonts w:ascii="Times New Roman" w:eastAsia="Times New Roman" w:hAnsi="Times New Roman" w:cs="Times New Roman"/>
                <w:color w:val="000000"/>
                <w:sz w:val="20"/>
                <w:szCs w:val="20"/>
                <w:lang w:eastAsia="pt-BR"/>
              </w:rPr>
            </w:pPr>
            <w:r w:rsidRPr="003E40AC">
              <w:rPr>
                <w:rFonts w:ascii="Times New Roman" w:eastAsia="Times New Roman" w:hAnsi="Times New Roman" w:cs="Times New Roman"/>
                <w:color w:val="000000"/>
                <w:sz w:val="20"/>
                <w:szCs w:val="20"/>
                <w:lang w:eastAsia="pt-BR"/>
              </w:rPr>
              <w:t>4.81%</w:t>
            </w:r>
          </w:p>
        </w:tc>
        <w:tc>
          <w:tcPr>
            <w:tcW w:w="1656" w:type="dxa"/>
            <w:tcBorders>
              <w:bottom w:val="single" w:sz="4" w:space="0" w:color="auto"/>
              <w:right w:val="single" w:sz="4" w:space="0" w:color="auto"/>
            </w:tcBorders>
            <w:shd w:val="clear" w:color="auto" w:fill="auto"/>
            <w:noWrap/>
            <w:vAlign w:val="center"/>
            <w:hideMark/>
          </w:tcPr>
          <w:p w14:paraId="565DBD47" w14:textId="77777777" w:rsidR="0036141B" w:rsidRPr="003E40AC" w:rsidRDefault="0036141B" w:rsidP="004C7DD9">
            <w:pPr>
              <w:spacing w:after="0" w:line="240" w:lineRule="auto"/>
              <w:jc w:val="center"/>
              <w:rPr>
                <w:rFonts w:ascii="Times New Roman" w:eastAsia="Times New Roman" w:hAnsi="Times New Roman" w:cs="Times New Roman"/>
                <w:color w:val="000000"/>
                <w:sz w:val="20"/>
                <w:szCs w:val="20"/>
                <w:lang w:eastAsia="pt-BR"/>
              </w:rPr>
            </w:pPr>
            <w:r w:rsidRPr="003E40AC">
              <w:rPr>
                <w:rFonts w:ascii="Times New Roman" w:eastAsia="Times New Roman" w:hAnsi="Times New Roman" w:cs="Times New Roman"/>
                <w:color w:val="000000"/>
                <w:sz w:val="20"/>
                <w:szCs w:val="20"/>
                <w:lang w:eastAsia="pt-BR"/>
              </w:rPr>
              <w:t>3.23%</w:t>
            </w:r>
          </w:p>
        </w:tc>
        <w:tc>
          <w:tcPr>
            <w:tcW w:w="1321" w:type="dxa"/>
            <w:tcBorders>
              <w:left w:val="single" w:sz="4" w:space="0" w:color="auto"/>
            </w:tcBorders>
            <w:shd w:val="clear" w:color="auto" w:fill="auto"/>
            <w:noWrap/>
            <w:vAlign w:val="center"/>
            <w:hideMark/>
          </w:tcPr>
          <w:p w14:paraId="6533359E" w14:textId="77777777" w:rsidR="0036141B" w:rsidRPr="00933491" w:rsidRDefault="0036141B" w:rsidP="004C7DD9">
            <w:pPr>
              <w:spacing w:after="0" w:line="240" w:lineRule="auto"/>
              <w:jc w:val="center"/>
              <w:rPr>
                <w:rFonts w:ascii="Times New Roman" w:eastAsia="Times New Roman" w:hAnsi="Times New Roman" w:cs="Times New Roman"/>
                <w:color w:val="000000"/>
                <w:sz w:val="20"/>
                <w:szCs w:val="20"/>
                <w:lang w:eastAsia="pt-BR"/>
              </w:rPr>
            </w:pPr>
            <w:r w:rsidRPr="00933491">
              <w:rPr>
                <w:rFonts w:ascii="Times New Roman" w:eastAsia="Times New Roman" w:hAnsi="Times New Roman" w:cs="Times New Roman"/>
                <w:color w:val="000000"/>
                <w:sz w:val="20"/>
                <w:szCs w:val="20"/>
                <w:lang w:eastAsia="pt-BR"/>
              </w:rPr>
              <w:t>5.81%</w:t>
            </w:r>
          </w:p>
        </w:tc>
        <w:tc>
          <w:tcPr>
            <w:tcW w:w="1820" w:type="dxa"/>
            <w:shd w:val="clear" w:color="auto" w:fill="auto"/>
            <w:noWrap/>
            <w:vAlign w:val="center"/>
            <w:hideMark/>
          </w:tcPr>
          <w:p w14:paraId="789CCCA8" w14:textId="77777777" w:rsidR="0036141B" w:rsidRPr="00933491" w:rsidRDefault="0036141B" w:rsidP="004C7DD9">
            <w:pPr>
              <w:spacing w:after="0" w:line="240" w:lineRule="auto"/>
              <w:jc w:val="center"/>
              <w:rPr>
                <w:rFonts w:ascii="Times New Roman" w:eastAsia="Times New Roman" w:hAnsi="Times New Roman" w:cs="Times New Roman"/>
                <w:color w:val="000000"/>
                <w:sz w:val="20"/>
                <w:szCs w:val="20"/>
                <w:lang w:eastAsia="pt-BR"/>
              </w:rPr>
            </w:pPr>
            <w:r w:rsidRPr="00933491">
              <w:rPr>
                <w:rFonts w:ascii="Times New Roman" w:eastAsia="Times New Roman" w:hAnsi="Times New Roman" w:cs="Times New Roman"/>
                <w:color w:val="000000"/>
                <w:sz w:val="20"/>
                <w:szCs w:val="20"/>
                <w:lang w:eastAsia="pt-BR"/>
              </w:rPr>
              <w:t>4.77%</w:t>
            </w:r>
          </w:p>
        </w:tc>
      </w:tr>
    </w:tbl>
    <w:p w14:paraId="0C1D0C2B" w14:textId="77777777" w:rsidR="0036141B" w:rsidRPr="005216EB" w:rsidRDefault="0036141B" w:rsidP="0056798E">
      <w:pPr>
        <w:spacing w:after="0" w:line="240" w:lineRule="auto"/>
        <w:jc w:val="center"/>
        <w:rPr>
          <w:rFonts w:ascii="Times New Roman" w:hAnsi="Times New Roman" w:cs="Times New Roman"/>
          <w:sz w:val="24"/>
          <w:szCs w:val="24"/>
        </w:rPr>
      </w:pPr>
    </w:p>
    <w:p w14:paraId="5C4BE57F" w14:textId="461D1552" w:rsidR="00D94C91" w:rsidRPr="00933491" w:rsidRDefault="00D94C91" w:rsidP="00157D35">
      <w:pPr>
        <w:spacing w:after="0" w:line="240" w:lineRule="auto"/>
        <w:ind w:firstLine="709"/>
        <w:jc w:val="both"/>
        <w:rPr>
          <w:rFonts w:ascii="Times New Roman" w:hAnsi="Times New Roman" w:cs="Times New Roman"/>
          <w:sz w:val="24"/>
          <w:szCs w:val="24"/>
        </w:rPr>
      </w:pPr>
      <w:r w:rsidRPr="003E40AC">
        <w:rPr>
          <w:rFonts w:ascii="Times New Roman" w:hAnsi="Times New Roman" w:cs="Times New Roman"/>
          <w:sz w:val="24"/>
          <w:szCs w:val="24"/>
        </w:rPr>
        <w:t xml:space="preserve">Para verificar se há diferenças no desempenho operacional anterior e posterior à emissão, bem como se há diferenças no desempenho operacional das empresas que emitem ou não SEO, realizou-se </w:t>
      </w:r>
      <w:r w:rsidR="007F68B1" w:rsidRPr="003E40AC">
        <w:rPr>
          <w:rFonts w:ascii="Times New Roman" w:hAnsi="Times New Roman" w:cs="Times New Roman"/>
          <w:sz w:val="24"/>
          <w:szCs w:val="24"/>
        </w:rPr>
        <w:t xml:space="preserve">o </w:t>
      </w:r>
      <w:r w:rsidRPr="003E40AC">
        <w:rPr>
          <w:rFonts w:ascii="Times New Roman" w:hAnsi="Times New Roman" w:cs="Times New Roman"/>
          <w:sz w:val="24"/>
          <w:szCs w:val="24"/>
        </w:rPr>
        <w:t>teste de igualdade de médias. Para isso, realizou-se o teste de</w:t>
      </w:r>
      <w:r w:rsidR="00660065" w:rsidRPr="003E40AC">
        <w:rPr>
          <w:rFonts w:ascii="Times New Roman" w:hAnsi="Times New Roman" w:cs="Times New Roman"/>
          <w:sz w:val="24"/>
          <w:szCs w:val="24"/>
        </w:rPr>
        <w:t xml:space="preserve"> </w:t>
      </w:r>
      <w:r w:rsidR="00660065" w:rsidRPr="003E40AC">
        <w:rPr>
          <w:rFonts w:ascii="Times New Roman" w:hAnsi="Times New Roman" w:cs="Times New Roman"/>
          <w:i/>
          <w:sz w:val="24"/>
          <w:szCs w:val="24"/>
        </w:rPr>
        <w:t>t</w:t>
      </w:r>
      <w:r w:rsidR="007F68B1" w:rsidRPr="00933491">
        <w:rPr>
          <w:rFonts w:ascii="Times New Roman" w:hAnsi="Times New Roman" w:cs="Times New Roman"/>
          <w:i/>
          <w:sz w:val="24"/>
          <w:szCs w:val="24"/>
        </w:rPr>
        <w:t xml:space="preserve"> de </w:t>
      </w:r>
      <w:proofErr w:type="spellStart"/>
      <w:r w:rsidR="007F68B1" w:rsidRPr="00933491">
        <w:rPr>
          <w:rFonts w:ascii="Times New Roman" w:hAnsi="Times New Roman" w:cs="Times New Roman"/>
          <w:i/>
          <w:sz w:val="24"/>
          <w:szCs w:val="24"/>
        </w:rPr>
        <w:t>student</w:t>
      </w:r>
      <w:proofErr w:type="spellEnd"/>
      <w:r w:rsidR="00660065" w:rsidRPr="00933491">
        <w:rPr>
          <w:rFonts w:ascii="Times New Roman" w:hAnsi="Times New Roman" w:cs="Times New Roman"/>
          <w:sz w:val="24"/>
          <w:szCs w:val="24"/>
        </w:rPr>
        <w:t xml:space="preserve"> para amostras emparelhadas</w:t>
      </w:r>
      <w:r w:rsidR="005B728A" w:rsidRPr="00933491">
        <w:rPr>
          <w:rFonts w:ascii="Times New Roman" w:hAnsi="Times New Roman" w:cs="Times New Roman"/>
          <w:sz w:val="24"/>
          <w:szCs w:val="24"/>
        </w:rPr>
        <w:t>,</w:t>
      </w:r>
      <w:r w:rsidR="00660065" w:rsidRPr="00933491">
        <w:rPr>
          <w:rFonts w:ascii="Times New Roman" w:hAnsi="Times New Roman" w:cs="Times New Roman"/>
          <w:sz w:val="24"/>
          <w:szCs w:val="24"/>
        </w:rPr>
        <w:t xml:space="preserve"> </w:t>
      </w:r>
      <w:r w:rsidRPr="00933491">
        <w:rPr>
          <w:rFonts w:ascii="Times New Roman" w:hAnsi="Times New Roman" w:cs="Times New Roman"/>
          <w:sz w:val="24"/>
          <w:szCs w:val="24"/>
        </w:rPr>
        <w:t xml:space="preserve">com o intuito de verificar se o desempenho operacional antes da emissão da SEO </w:t>
      </w:r>
      <w:r w:rsidR="00DF01D2" w:rsidRPr="00933491">
        <w:rPr>
          <w:rFonts w:ascii="Times New Roman" w:hAnsi="Times New Roman" w:cs="Times New Roman"/>
          <w:sz w:val="24"/>
          <w:szCs w:val="24"/>
        </w:rPr>
        <w:t>era</w:t>
      </w:r>
      <w:r w:rsidRPr="00933491">
        <w:rPr>
          <w:rFonts w:ascii="Times New Roman" w:hAnsi="Times New Roman" w:cs="Times New Roman"/>
          <w:sz w:val="24"/>
          <w:szCs w:val="24"/>
        </w:rPr>
        <w:t xml:space="preserve"> igual ao desempenho operacional após a emissão. Além disso, realizou-se o teste </w:t>
      </w:r>
      <w:r w:rsidR="00237E47" w:rsidRPr="00933491">
        <w:rPr>
          <w:rFonts w:ascii="Times New Roman" w:hAnsi="Times New Roman" w:cs="Times New Roman"/>
          <w:i/>
          <w:sz w:val="24"/>
          <w:szCs w:val="24"/>
        </w:rPr>
        <w:t xml:space="preserve">t </w:t>
      </w:r>
      <w:r w:rsidR="00237E47" w:rsidRPr="00933491">
        <w:rPr>
          <w:rFonts w:ascii="Times New Roman" w:hAnsi="Times New Roman" w:cs="Times New Roman"/>
          <w:sz w:val="24"/>
          <w:szCs w:val="24"/>
        </w:rPr>
        <w:t>para amostras independentes</w:t>
      </w:r>
      <w:r w:rsidR="002530B8" w:rsidRPr="00933491">
        <w:rPr>
          <w:rFonts w:ascii="Times New Roman" w:hAnsi="Times New Roman" w:cs="Times New Roman"/>
          <w:sz w:val="24"/>
          <w:szCs w:val="24"/>
        </w:rPr>
        <w:t>,</w:t>
      </w:r>
      <w:r w:rsidR="00237E47" w:rsidRPr="00933491">
        <w:rPr>
          <w:rFonts w:ascii="Times New Roman" w:hAnsi="Times New Roman" w:cs="Times New Roman"/>
          <w:sz w:val="24"/>
          <w:szCs w:val="24"/>
        </w:rPr>
        <w:t xml:space="preserve"> </w:t>
      </w:r>
      <w:r w:rsidRPr="00933491">
        <w:rPr>
          <w:rFonts w:ascii="Times New Roman" w:hAnsi="Times New Roman" w:cs="Times New Roman"/>
          <w:sz w:val="24"/>
          <w:szCs w:val="24"/>
        </w:rPr>
        <w:t>para verificar se o desempenho operacional das empresas que realizaram SEO é igual ao desempenho operacional das empresas que não realizaram.</w:t>
      </w:r>
    </w:p>
    <w:p w14:paraId="087124DB" w14:textId="5F0B69EE" w:rsidR="001141D5" w:rsidRDefault="001141D5" w:rsidP="00157D35">
      <w:pPr>
        <w:spacing w:after="0" w:line="240" w:lineRule="auto"/>
        <w:ind w:firstLine="709"/>
        <w:jc w:val="both"/>
        <w:rPr>
          <w:rFonts w:ascii="Times New Roman" w:hAnsi="Times New Roman" w:cs="Times New Roman"/>
          <w:sz w:val="24"/>
          <w:szCs w:val="24"/>
        </w:rPr>
      </w:pPr>
      <w:r w:rsidRPr="00933491">
        <w:rPr>
          <w:rFonts w:ascii="Times New Roman" w:hAnsi="Times New Roman" w:cs="Times New Roman"/>
          <w:sz w:val="24"/>
          <w:szCs w:val="24"/>
        </w:rPr>
        <w:t xml:space="preserve">Os resultados apresentados na Tabela 4 evidenciam que, independente do horizonte temporal, há diferença significativa </w:t>
      </w:r>
      <w:r w:rsidR="002530B8" w:rsidRPr="00933491">
        <w:rPr>
          <w:rFonts w:ascii="Times New Roman" w:hAnsi="Times New Roman" w:cs="Times New Roman"/>
          <w:sz w:val="24"/>
          <w:szCs w:val="24"/>
        </w:rPr>
        <w:t>n</w:t>
      </w:r>
      <w:r w:rsidRPr="00933491">
        <w:rPr>
          <w:rFonts w:ascii="Times New Roman" w:hAnsi="Times New Roman" w:cs="Times New Roman"/>
          <w:sz w:val="24"/>
          <w:szCs w:val="24"/>
        </w:rPr>
        <w:t>o desempenho operacional das empresas antes e após a oferta subsequente de ações</w:t>
      </w:r>
      <w:r w:rsidR="008144ED">
        <w:rPr>
          <w:rFonts w:ascii="Times New Roman" w:hAnsi="Times New Roman" w:cs="Times New Roman"/>
          <w:sz w:val="24"/>
          <w:szCs w:val="24"/>
        </w:rPr>
        <w:t xml:space="preserve"> (primeiro objetivo específico)</w:t>
      </w:r>
      <w:r w:rsidRPr="00933491">
        <w:rPr>
          <w:rFonts w:ascii="Times New Roman" w:hAnsi="Times New Roman" w:cs="Times New Roman"/>
          <w:sz w:val="24"/>
          <w:szCs w:val="24"/>
        </w:rPr>
        <w:t xml:space="preserve">. Os resultados evidenciados nas Tabelas 3 e 4 corroboram os achados de </w:t>
      </w:r>
      <w:proofErr w:type="spellStart"/>
      <w:r w:rsidR="003E431A" w:rsidRPr="00933491">
        <w:rPr>
          <w:rFonts w:ascii="Times New Roman" w:hAnsi="Times New Roman" w:cs="Times New Roman"/>
          <w:color w:val="000000" w:themeColor="text1"/>
          <w:sz w:val="24"/>
          <w:szCs w:val="24"/>
        </w:rPr>
        <w:t>Spiess</w:t>
      </w:r>
      <w:proofErr w:type="spellEnd"/>
      <w:r w:rsidR="003E431A" w:rsidRPr="00933491">
        <w:rPr>
          <w:rFonts w:ascii="Times New Roman" w:hAnsi="Times New Roman" w:cs="Times New Roman"/>
          <w:color w:val="000000" w:themeColor="text1"/>
          <w:sz w:val="24"/>
          <w:szCs w:val="24"/>
        </w:rPr>
        <w:t xml:space="preserve"> e Affleck-Graves (1995)</w:t>
      </w:r>
      <w:r w:rsidR="003E431A">
        <w:rPr>
          <w:rFonts w:ascii="Times New Roman" w:hAnsi="Times New Roman" w:cs="Times New Roman"/>
          <w:color w:val="000000" w:themeColor="text1"/>
          <w:sz w:val="24"/>
          <w:szCs w:val="24"/>
        </w:rPr>
        <w:t>,</w:t>
      </w:r>
      <w:r w:rsidR="003E431A" w:rsidRPr="00933491">
        <w:rPr>
          <w:rFonts w:ascii="Times New Roman" w:hAnsi="Times New Roman" w:cs="Times New Roman"/>
          <w:color w:val="000000" w:themeColor="text1"/>
          <w:sz w:val="24"/>
          <w:szCs w:val="24"/>
        </w:rPr>
        <w:t xml:space="preserve"> </w:t>
      </w:r>
      <w:proofErr w:type="spellStart"/>
      <w:r w:rsidR="003E431A" w:rsidRPr="00933491">
        <w:rPr>
          <w:rFonts w:ascii="Times New Roman" w:hAnsi="Times New Roman" w:cs="Times New Roman"/>
          <w:color w:val="000000" w:themeColor="text1"/>
          <w:sz w:val="24"/>
          <w:szCs w:val="24"/>
        </w:rPr>
        <w:t>Loughran</w:t>
      </w:r>
      <w:proofErr w:type="spellEnd"/>
      <w:r w:rsidR="003E431A" w:rsidRPr="00933491">
        <w:rPr>
          <w:rFonts w:ascii="Times New Roman" w:hAnsi="Times New Roman" w:cs="Times New Roman"/>
          <w:color w:val="000000" w:themeColor="text1"/>
          <w:sz w:val="24"/>
          <w:szCs w:val="24"/>
        </w:rPr>
        <w:t xml:space="preserve"> e </w:t>
      </w:r>
      <w:proofErr w:type="spellStart"/>
      <w:r w:rsidR="003E431A" w:rsidRPr="00933491">
        <w:rPr>
          <w:rFonts w:ascii="Times New Roman" w:hAnsi="Times New Roman" w:cs="Times New Roman"/>
          <w:color w:val="000000" w:themeColor="text1"/>
          <w:sz w:val="24"/>
          <w:szCs w:val="24"/>
        </w:rPr>
        <w:t>Ritter</w:t>
      </w:r>
      <w:proofErr w:type="spellEnd"/>
      <w:r w:rsidR="003E431A" w:rsidRPr="00933491">
        <w:rPr>
          <w:rFonts w:ascii="Times New Roman" w:hAnsi="Times New Roman" w:cs="Times New Roman"/>
          <w:color w:val="000000" w:themeColor="text1"/>
          <w:sz w:val="24"/>
          <w:szCs w:val="24"/>
        </w:rPr>
        <w:t xml:space="preserve"> </w:t>
      </w:r>
      <w:r w:rsidR="003E431A" w:rsidRPr="00933491">
        <w:rPr>
          <w:rFonts w:ascii="Times New Roman" w:hAnsi="Times New Roman" w:cs="Times New Roman"/>
          <w:color w:val="000000" w:themeColor="text1"/>
          <w:sz w:val="24"/>
          <w:szCs w:val="24"/>
        </w:rPr>
        <w:lastRenderedPageBreak/>
        <w:t>(1997)</w:t>
      </w:r>
      <w:r w:rsidR="003E431A">
        <w:rPr>
          <w:rFonts w:ascii="Times New Roman" w:hAnsi="Times New Roman" w:cs="Times New Roman"/>
          <w:color w:val="000000" w:themeColor="text1"/>
          <w:sz w:val="24"/>
          <w:szCs w:val="24"/>
        </w:rPr>
        <w:t xml:space="preserve"> e</w:t>
      </w:r>
      <w:r w:rsidR="003E431A" w:rsidRPr="00933491">
        <w:rPr>
          <w:rFonts w:ascii="Times New Roman" w:hAnsi="Times New Roman" w:cs="Times New Roman"/>
          <w:color w:val="000000" w:themeColor="text1"/>
          <w:sz w:val="24"/>
          <w:szCs w:val="24"/>
        </w:rPr>
        <w:t xml:space="preserve"> </w:t>
      </w:r>
      <w:r w:rsidRPr="00933491">
        <w:rPr>
          <w:rFonts w:ascii="Times New Roman" w:hAnsi="Times New Roman" w:cs="Times New Roman"/>
          <w:sz w:val="24"/>
          <w:szCs w:val="24"/>
        </w:rPr>
        <w:t xml:space="preserve">Cohen e </w:t>
      </w:r>
      <w:proofErr w:type="spellStart"/>
      <w:r w:rsidRPr="00933491">
        <w:rPr>
          <w:rFonts w:ascii="Times New Roman" w:hAnsi="Times New Roman" w:cs="Times New Roman"/>
          <w:sz w:val="24"/>
          <w:szCs w:val="24"/>
        </w:rPr>
        <w:t>Zarowin</w:t>
      </w:r>
      <w:proofErr w:type="spellEnd"/>
      <w:r w:rsidRPr="00933491">
        <w:rPr>
          <w:rFonts w:ascii="Times New Roman" w:hAnsi="Times New Roman" w:cs="Times New Roman"/>
          <w:sz w:val="24"/>
          <w:szCs w:val="24"/>
        </w:rPr>
        <w:t xml:space="preserve"> (2010), em que foi detectado que</w:t>
      </w:r>
      <w:r w:rsidR="00A33B7C">
        <w:rPr>
          <w:rFonts w:ascii="Times New Roman" w:hAnsi="Times New Roman" w:cs="Times New Roman"/>
          <w:sz w:val="24"/>
          <w:szCs w:val="24"/>
        </w:rPr>
        <w:t xml:space="preserve"> há um declínio no desempenho operacional das empresas </w:t>
      </w:r>
      <w:r w:rsidR="00F505F7">
        <w:rPr>
          <w:rFonts w:ascii="Times New Roman" w:hAnsi="Times New Roman" w:cs="Times New Roman"/>
          <w:sz w:val="24"/>
          <w:szCs w:val="24"/>
        </w:rPr>
        <w:t>após a SEO</w:t>
      </w:r>
      <w:r w:rsidR="00A33B7C">
        <w:rPr>
          <w:rFonts w:ascii="Times New Roman" w:hAnsi="Times New Roman" w:cs="Times New Roman"/>
          <w:sz w:val="24"/>
          <w:szCs w:val="24"/>
        </w:rPr>
        <w:t>.</w:t>
      </w:r>
    </w:p>
    <w:p w14:paraId="20B092E6" w14:textId="77777777" w:rsidR="005216EB" w:rsidRPr="00CC11DC" w:rsidRDefault="005216EB" w:rsidP="0056798E">
      <w:pPr>
        <w:spacing w:after="0" w:line="240" w:lineRule="auto"/>
        <w:ind w:firstLine="567"/>
        <w:jc w:val="both"/>
        <w:rPr>
          <w:rFonts w:ascii="Times New Roman" w:hAnsi="Times New Roman" w:cs="Times New Roman"/>
          <w:sz w:val="24"/>
          <w:szCs w:val="24"/>
        </w:rPr>
      </w:pPr>
    </w:p>
    <w:p w14:paraId="5C6B253D" w14:textId="624A1335" w:rsidR="004B301B" w:rsidRPr="004C7DD9" w:rsidRDefault="004B301B" w:rsidP="004C7DD9">
      <w:pPr>
        <w:spacing w:after="0" w:line="240" w:lineRule="auto"/>
        <w:jc w:val="center"/>
        <w:rPr>
          <w:rFonts w:ascii="Times New Roman" w:hAnsi="Times New Roman" w:cs="Times New Roman"/>
          <w:b/>
          <w:sz w:val="20"/>
          <w:szCs w:val="20"/>
        </w:rPr>
      </w:pPr>
      <w:r w:rsidRPr="004C7DD9">
        <w:rPr>
          <w:rFonts w:ascii="Times New Roman" w:hAnsi="Times New Roman" w:cs="Times New Roman"/>
          <w:b/>
          <w:sz w:val="20"/>
          <w:szCs w:val="20"/>
        </w:rPr>
        <w:t>Tabela 4</w:t>
      </w:r>
      <w:r w:rsidR="004C7DD9" w:rsidRPr="004C7DD9">
        <w:rPr>
          <w:rFonts w:ascii="Times New Roman" w:hAnsi="Times New Roman" w:cs="Times New Roman"/>
          <w:b/>
          <w:sz w:val="20"/>
          <w:szCs w:val="20"/>
        </w:rPr>
        <w:t xml:space="preserve"> - </w:t>
      </w:r>
      <w:r w:rsidRPr="004C7DD9">
        <w:rPr>
          <w:rFonts w:ascii="Times New Roman" w:hAnsi="Times New Roman" w:cs="Times New Roman"/>
          <w:b/>
          <w:sz w:val="20"/>
          <w:szCs w:val="20"/>
        </w:rPr>
        <w:t>Análise do desempenho operacional anterior e posterior à emissão de SEO</w:t>
      </w:r>
    </w:p>
    <w:tbl>
      <w:tblPr>
        <w:tblW w:w="4085"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303"/>
        <w:gridCol w:w="871"/>
        <w:gridCol w:w="1272"/>
        <w:gridCol w:w="1272"/>
        <w:gridCol w:w="850"/>
        <w:gridCol w:w="847"/>
        <w:gridCol w:w="988"/>
      </w:tblGrid>
      <w:tr w:rsidR="00B43BF7" w:rsidRPr="00933491" w14:paraId="3499B942" w14:textId="77777777" w:rsidTr="004C7DD9">
        <w:trPr>
          <w:cantSplit/>
          <w:tblHeader/>
          <w:jc w:val="center"/>
        </w:trPr>
        <w:tc>
          <w:tcPr>
            <w:tcW w:w="881" w:type="pct"/>
            <w:tcBorders>
              <w:top w:val="single" w:sz="4" w:space="0" w:color="auto"/>
              <w:left w:val="single" w:sz="4" w:space="0" w:color="FFFFFF" w:themeColor="background1"/>
              <w:bottom w:val="single" w:sz="4" w:space="0" w:color="auto"/>
              <w:right w:val="single" w:sz="4" w:space="0" w:color="auto"/>
            </w:tcBorders>
            <w:shd w:val="clear" w:color="auto" w:fill="FFFFFF"/>
            <w:vAlign w:val="center"/>
          </w:tcPr>
          <w:p w14:paraId="11E18E90" w14:textId="064FD03D" w:rsidR="00A728E3" w:rsidRPr="00933491" w:rsidRDefault="004B301B" w:rsidP="0056798E">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3E40AC">
              <w:rPr>
                <w:rFonts w:ascii="Times New Roman" w:hAnsi="Times New Roman" w:cs="Times New Roman"/>
                <w:b/>
                <w:color w:val="000000"/>
                <w:sz w:val="20"/>
                <w:szCs w:val="20"/>
              </w:rPr>
              <w:t>Comparação dos Períodos</w:t>
            </w:r>
          </w:p>
        </w:tc>
        <w:tc>
          <w:tcPr>
            <w:tcW w:w="588" w:type="pct"/>
            <w:tcBorders>
              <w:top w:val="single" w:sz="4" w:space="0" w:color="auto"/>
              <w:left w:val="single" w:sz="4" w:space="0" w:color="auto"/>
              <w:bottom w:val="nil"/>
            </w:tcBorders>
            <w:shd w:val="clear" w:color="auto" w:fill="FFFFFF"/>
            <w:vAlign w:val="center"/>
          </w:tcPr>
          <w:p w14:paraId="45D341C0" w14:textId="3BD3559D" w:rsidR="00A728E3" w:rsidRPr="00933491" w:rsidRDefault="00A728E3" w:rsidP="0056798E">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933491">
              <w:rPr>
                <w:rFonts w:ascii="Times New Roman" w:hAnsi="Times New Roman" w:cs="Times New Roman"/>
                <w:b/>
                <w:color w:val="000000"/>
                <w:sz w:val="20"/>
                <w:szCs w:val="20"/>
              </w:rPr>
              <w:t>Média</w:t>
            </w:r>
          </w:p>
        </w:tc>
        <w:tc>
          <w:tcPr>
            <w:tcW w:w="859" w:type="pct"/>
            <w:tcBorders>
              <w:top w:val="single" w:sz="4" w:space="0" w:color="auto"/>
              <w:bottom w:val="nil"/>
            </w:tcBorders>
            <w:shd w:val="clear" w:color="auto" w:fill="FFFFFF"/>
            <w:vAlign w:val="center"/>
          </w:tcPr>
          <w:p w14:paraId="548E44E8" w14:textId="3588409A" w:rsidR="00A728E3" w:rsidRPr="00933491" w:rsidRDefault="00A728E3" w:rsidP="0056798E">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933491">
              <w:rPr>
                <w:rFonts w:ascii="Times New Roman" w:hAnsi="Times New Roman" w:cs="Times New Roman"/>
                <w:b/>
                <w:color w:val="000000"/>
                <w:sz w:val="20"/>
                <w:szCs w:val="20"/>
              </w:rPr>
              <w:t>Desvio-Padrão</w:t>
            </w:r>
          </w:p>
        </w:tc>
        <w:tc>
          <w:tcPr>
            <w:tcW w:w="859" w:type="pct"/>
            <w:tcBorders>
              <w:top w:val="single" w:sz="4" w:space="0" w:color="auto"/>
              <w:bottom w:val="nil"/>
            </w:tcBorders>
            <w:shd w:val="clear" w:color="auto" w:fill="FFFFFF"/>
            <w:vAlign w:val="center"/>
          </w:tcPr>
          <w:p w14:paraId="70F6502B" w14:textId="4723223F" w:rsidR="00A728E3" w:rsidRPr="00933491" w:rsidRDefault="00A728E3" w:rsidP="0056798E">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933491">
              <w:rPr>
                <w:rFonts w:ascii="Times New Roman" w:hAnsi="Times New Roman" w:cs="Times New Roman"/>
                <w:b/>
                <w:color w:val="000000"/>
                <w:sz w:val="20"/>
                <w:szCs w:val="20"/>
              </w:rPr>
              <w:t>Erro Padrão Médio</w:t>
            </w:r>
          </w:p>
        </w:tc>
        <w:tc>
          <w:tcPr>
            <w:tcW w:w="574" w:type="pct"/>
            <w:tcBorders>
              <w:top w:val="single" w:sz="4" w:space="0" w:color="auto"/>
              <w:bottom w:val="nil"/>
            </w:tcBorders>
            <w:shd w:val="clear" w:color="auto" w:fill="FFFFFF"/>
            <w:vAlign w:val="center"/>
          </w:tcPr>
          <w:p w14:paraId="48F1E8EF" w14:textId="20A0FB19" w:rsidR="00A728E3" w:rsidRPr="00933491" w:rsidRDefault="00A728E3" w:rsidP="0056798E">
            <w:pPr>
              <w:autoSpaceDE w:val="0"/>
              <w:autoSpaceDN w:val="0"/>
              <w:adjustRightInd w:val="0"/>
              <w:spacing w:after="0" w:line="240" w:lineRule="auto"/>
              <w:ind w:left="60" w:right="60"/>
              <w:jc w:val="center"/>
              <w:rPr>
                <w:rFonts w:ascii="Times New Roman" w:hAnsi="Times New Roman" w:cs="Times New Roman"/>
                <w:b/>
                <w:i/>
                <w:color w:val="000000"/>
                <w:sz w:val="20"/>
                <w:szCs w:val="20"/>
              </w:rPr>
            </w:pPr>
            <w:proofErr w:type="gramStart"/>
            <w:r w:rsidRPr="00933491">
              <w:rPr>
                <w:rFonts w:ascii="Times New Roman" w:hAnsi="Times New Roman" w:cs="Times New Roman"/>
                <w:b/>
                <w:i/>
                <w:color w:val="000000"/>
                <w:sz w:val="20"/>
                <w:szCs w:val="20"/>
              </w:rPr>
              <w:t>t</w:t>
            </w:r>
            <w:proofErr w:type="gramEnd"/>
          </w:p>
        </w:tc>
        <w:tc>
          <w:tcPr>
            <w:tcW w:w="572" w:type="pct"/>
            <w:tcBorders>
              <w:top w:val="single" w:sz="4" w:space="0" w:color="auto"/>
              <w:bottom w:val="nil"/>
            </w:tcBorders>
            <w:shd w:val="clear" w:color="auto" w:fill="FFFFFF"/>
            <w:vAlign w:val="center"/>
          </w:tcPr>
          <w:p w14:paraId="0381F36B" w14:textId="5C9B6566" w:rsidR="00A728E3" w:rsidRPr="00933491" w:rsidRDefault="002646A0" w:rsidP="0056798E">
            <w:pPr>
              <w:autoSpaceDE w:val="0"/>
              <w:autoSpaceDN w:val="0"/>
              <w:adjustRightInd w:val="0"/>
              <w:spacing w:after="0" w:line="240" w:lineRule="auto"/>
              <w:ind w:left="60" w:right="60"/>
              <w:jc w:val="center"/>
              <w:rPr>
                <w:rFonts w:ascii="Times New Roman" w:hAnsi="Times New Roman" w:cs="Times New Roman"/>
                <w:b/>
                <w:color w:val="000000"/>
                <w:sz w:val="20"/>
                <w:szCs w:val="20"/>
              </w:rPr>
            </w:pPr>
            <w:proofErr w:type="spellStart"/>
            <w:r w:rsidRPr="00933491">
              <w:rPr>
                <w:rFonts w:ascii="Times New Roman" w:hAnsi="Times New Roman" w:cs="Times New Roman"/>
                <w:b/>
                <w:color w:val="000000"/>
                <w:sz w:val="20"/>
                <w:szCs w:val="20"/>
              </w:rPr>
              <w:t>D</w:t>
            </w:r>
            <w:r w:rsidR="00A728E3" w:rsidRPr="00933491">
              <w:rPr>
                <w:rFonts w:ascii="Times New Roman" w:hAnsi="Times New Roman" w:cs="Times New Roman"/>
                <w:b/>
                <w:color w:val="000000"/>
                <w:sz w:val="20"/>
                <w:szCs w:val="20"/>
              </w:rPr>
              <w:t>f</w:t>
            </w:r>
            <w:proofErr w:type="spellEnd"/>
          </w:p>
        </w:tc>
        <w:tc>
          <w:tcPr>
            <w:tcW w:w="668" w:type="pct"/>
            <w:tcBorders>
              <w:top w:val="single" w:sz="4" w:space="0" w:color="auto"/>
              <w:bottom w:val="nil"/>
              <w:right w:val="single" w:sz="4" w:space="0" w:color="FFFFFF" w:themeColor="background1"/>
            </w:tcBorders>
            <w:shd w:val="clear" w:color="auto" w:fill="FFFFFF"/>
            <w:vAlign w:val="center"/>
          </w:tcPr>
          <w:p w14:paraId="2B63F423" w14:textId="1979E744" w:rsidR="00A728E3" w:rsidRPr="00933491" w:rsidRDefault="001141D5" w:rsidP="0056798E">
            <w:pPr>
              <w:autoSpaceDE w:val="0"/>
              <w:autoSpaceDN w:val="0"/>
              <w:adjustRightInd w:val="0"/>
              <w:spacing w:after="0" w:line="240" w:lineRule="auto"/>
              <w:ind w:left="60" w:right="60"/>
              <w:jc w:val="center"/>
              <w:rPr>
                <w:rFonts w:ascii="Times New Roman" w:hAnsi="Times New Roman" w:cs="Times New Roman"/>
                <w:b/>
                <w:color w:val="000000"/>
                <w:sz w:val="20"/>
                <w:szCs w:val="20"/>
              </w:rPr>
            </w:pPr>
            <w:proofErr w:type="gramStart"/>
            <w:r w:rsidRPr="00933491">
              <w:rPr>
                <w:rFonts w:ascii="Times New Roman" w:hAnsi="Times New Roman" w:cs="Times New Roman"/>
                <w:b/>
                <w:i/>
                <w:color w:val="000000"/>
                <w:sz w:val="20"/>
                <w:szCs w:val="20"/>
              </w:rPr>
              <w:t>p</w:t>
            </w:r>
            <w:proofErr w:type="gramEnd"/>
            <w:r w:rsidRPr="00933491">
              <w:rPr>
                <w:rFonts w:ascii="Times New Roman" w:hAnsi="Times New Roman" w:cs="Times New Roman"/>
                <w:b/>
                <w:color w:val="000000"/>
                <w:sz w:val="20"/>
                <w:szCs w:val="20"/>
              </w:rPr>
              <w:t>-valor</w:t>
            </w:r>
          </w:p>
        </w:tc>
      </w:tr>
      <w:tr w:rsidR="00B43BF7" w:rsidRPr="00933491" w14:paraId="1294692B" w14:textId="77777777" w:rsidTr="004C7DD9">
        <w:trPr>
          <w:cantSplit/>
          <w:tblHeader/>
          <w:jc w:val="center"/>
        </w:trPr>
        <w:tc>
          <w:tcPr>
            <w:tcW w:w="881" w:type="pct"/>
            <w:tcBorders>
              <w:top w:val="single" w:sz="4" w:space="0" w:color="auto"/>
              <w:left w:val="single" w:sz="4" w:space="0" w:color="FFFFFF" w:themeColor="background1"/>
              <w:bottom w:val="nil"/>
              <w:right w:val="nil"/>
            </w:tcBorders>
            <w:shd w:val="clear" w:color="auto" w:fill="FFFFFF"/>
            <w:vAlign w:val="bottom"/>
          </w:tcPr>
          <w:p w14:paraId="340E8596" w14:textId="472A04AB" w:rsidR="00A728E3" w:rsidRPr="00CC11DC" w:rsidRDefault="00A728E3"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CC11DC">
              <w:rPr>
                <w:rFonts w:ascii="Times New Roman" w:hAnsi="Times New Roman" w:cs="Times New Roman"/>
                <w:color w:val="000000"/>
                <w:sz w:val="20"/>
                <w:szCs w:val="20"/>
              </w:rPr>
              <w:t>-4 e +4</w:t>
            </w:r>
          </w:p>
        </w:tc>
        <w:tc>
          <w:tcPr>
            <w:tcW w:w="588" w:type="pct"/>
            <w:tcBorders>
              <w:top w:val="single" w:sz="4" w:space="0" w:color="auto"/>
              <w:left w:val="single" w:sz="4" w:space="0" w:color="auto"/>
              <w:bottom w:val="nil"/>
            </w:tcBorders>
            <w:shd w:val="clear" w:color="auto" w:fill="FFFFFF"/>
            <w:vAlign w:val="bottom"/>
          </w:tcPr>
          <w:p w14:paraId="057D7C65" w14:textId="2DA46B44" w:rsidR="00A728E3" w:rsidRPr="003E40AC" w:rsidRDefault="00A728E3"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6,29</w:t>
            </w:r>
          </w:p>
        </w:tc>
        <w:tc>
          <w:tcPr>
            <w:tcW w:w="859" w:type="pct"/>
            <w:tcBorders>
              <w:top w:val="single" w:sz="4" w:space="0" w:color="auto"/>
              <w:bottom w:val="nil"/>
            </w:tcBorders>
            <w:shd w:val="clear" w:color="auto" w:fill="FFFFFF"/>
            <w:vAlign w:val="bottom"/>
          </w:tcPr>
          <w:p w14:paraId="3A19DFFF" w14:textId="17B3C880" w:rsidR="00A728E3" w:rsidRPr="003E40AC" w:rsidRDefault="00A728E3"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28,52</w:t>
            </w:r>
          </w:p>
        </w:tc>
        <w:tc>
          <w:tcPr>
            <w:tcW w:w="859" w:type="pct"/>
            <w:tcBorders>
              <w:top w:val="single" w:sz="4" w:space="0" w:color="auto"/>
              <w:bottom w:val="nil"/>
            </w:tcBorders>
            <w:shd w:val="clear" w:color="auto" w:fill="FFFFFF"/>
          </w:tcPr>
          <w:p w14:paraId="0DB3010C" w14:textId="671FA433" w:rsidR="00A728E3" w:rsidRPr="00933491" w:rsidRDefault="00A728E3"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3,41</w:t>
            </w:r>
          </w:p>
        </w:tc>
        <w:tc>
          <w:tcPr>
            <w:tcW w:w="574" w:type="pct"/>
            <w:tcBorders>
              <w:top w:val="single" w:sz="4" w:space="0" w:color="auto"/>
              <w:bottom w:val="nil"/>
            </w:tcBorders>
            <w:shd w:val="clear" w:color="auto" w:fill="FFFFFF"/>
            <w:vAlign w:val="bottom"/>
          </w:tcPr>
          <w:p w14:paraId="1C1CDB1B" w14:textId="3C9DC2C8" w:rsidR="00A728E3" w:rsidRPr="00933491" w:rsidRDefault="00A728E3"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1,85</w:t>
            </w:r>
          </w:p>
        </w:tc>
        <w:tc>
          <w:tcPr>
            <w:tcW w:w="572" w:type="pct"/>
            <w:tcBorders>
              <w:top w:val="single" w:sz="4" w:space="0" w:color="auto"/>
              <w:bottom w:val="nil"/>
            </w:tcBorders>
            <w:shd w:val="clear" w:color="auto" w:fill="FFFFFF"/>
            <w:vAlign w:val="bottom"/>
          </w:tcPr>
          <w:p w14:paraId="1A0E5687" w14:textId="0B463798" w:rsidR="00A728E3" w:rsidRPr="00933491" w:rsidRDefault="00A728E3"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69</w:t>
            </w:r>
          </w:p>
        </w:tc>
        <w:tc>
          <w:tcPr>
            <w:tcW w:w="668" w:type="pct"/>
            <w:tcBorders>
              <w:top w:val="single" w:sz="4" w:space="0" w:color="auto"/>
              <w:bottom w:val="nil"/>
              <w:right w:val="single" w:sz="4" w:space="0" w:color="FFFFFF" w:themeColor="background1"/>
            </w:tcBorders>
            <w:shd w:val="clear" w:color="auto" w:fill="FFFFFF"/>
          </w:tcPr>
          <w:p w14:paraId="331A49F7" w14:textId="1FCF79E5" w:rsidR="00A728E3" w:rsidRPr="00933491" w:rsidRDefault="00A728E3" w:rsidP="0056798E">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933491">
              <w:rPr>
                <w:rFonts w:ascii="Times New Roman" w:hAnsi="Times New Roman" w:cs="Times New Roman"/>
                <w:b/>
                <w:color w:val="000000"/>
                <w:sz w:val="20"/>
                <w:szCs w:val="20"/>
              </w:rPr>
              <w:t>0,069</w:t>
            </w:r>
          </w:p>
        </w:tc>
      </w:tr>
      <w:tr w:rsidR="00B43BF7" w:rsidRPr="00933491" w14:paraId="146393BE" w14:textId="77777777" w:rsidTr="004C7DD9">
        <w:trPr>
          <w:cantSplit/>
          <w:tblHeader/>
          <w:jc w:val="center"/>
        </w:trPr>
        <w:tc>
          <w:tcPr>
            <w:tcW w:w="881" w:type="pct"/>
            <w:tcBorders>
              <w:top w:val="nil"/>
              <w:left w:val="single" w:sz="4" w:space="0" w:color="FFFFFF" w:themeColor="background1"/>
              <w:bottom w:val="nil"/>
              <w:right w:val="nil"/>
            </w:tcBorders>
            <w:shd w:val="clear" w:color="auto" w:fill="FFFFFF"/>
          </w:tcPr>
          <w:p w14:paraId="62934154" w14:textId="3201F514" w:rsidR="00A728E3" w:rsidRPr="00CC11DC" w:rsidRDefault="00A728E3"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CC11DC">
              <w:rPr>
                <w:rFonts w:ascii="Times New Roman" w:hAnsi="Times New Roman" w:cs="Times New Roman"/>
                <w:color w:val="000000"/>
                <w:sz w:val="20"/>
                <w:szCs w:val="20"/>
              </w:rPr>
              <w:t>-3 e +3</w:t>
            </w:r>
          </w:p>
        </w:tc>
        <w:tc>
          <w:tcPr>
            <w:tcW w:w="588" w:type="pct"/>
            <w:tcBorders>
              <w:top w:val="nil"/>
              <w:left w:val="single" w:sz="4" w:space="0" w:color="auto"/>
              <w:bottom w:val="nil"/>
            </w:tcBorders>
            <w:shd w:val="clear" w:color="auto" w:fill="FFFFFF"/>
          </w:tcPr>
          <w:p w14:paraId="58A6CA4B" w14:textId="7583F817" w:rsidR="00A728E3" w:rsidRPr="003E40AC" w:rsidRDefault="00A728E3"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2,73</w:t>
            </w:r>
          </w:p>
        </w:tc>
        <w:tc>
          <w:tcPr>
            <w:tcW w:w="859" w:type="pct"/>
            <w:tcBorders>
              <w:top w:val="nil"/>
              <w:bottom w:val="nil"/>
            </w:tcBorders>
            <w:shd w:val="clear" w:color="auto" w:fill="FFFFFF"/>
          </w:tcPr>
          <w:p w14:paraId="11AB8E5E" w14:textId="62D18982" w:rsidR="00A728E3" w:rsidRPr="003E40AC" w:rsidRDefault="00A728E3"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13,10</w:t>
            </w:r>
          </w:p>
        </w:tc>
        <w:tc>
          <w:tcPr>
            <w:tcW w:w="859" w:type="pct"/>
            <w:tcBorders>
              <w:top w:val="nil"/>
              <w:bottom w:val="nil"/>
            </w:tcBorders>
            <w:shd w:val="clear" w:color="auto" w:fill="FFFFFF"/>
          </w:tcPr>
          <w:p w14:paraId="7D816DEF" w14:textId="1B952382" w:rsidR="00A728E3" w:rsidRPr="00933491" w:rsidRDefault="00A728E3"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1,31</w:t>
            </w:r>
          </w:p>
        </w:tc>
        <w:tc>
          <w:tcPr>
            <w:tcW w:w="574" w:type="pct"/>
            <w:tcBorders>
              <w:top w:val="nil"/>
              <w:bottom w:val="nil"/>
            </w:tcBorders>
            <w:shd w:val="clear" w:color="auto" w:fill="FFFFFF"/>
            <w:vAlign w:val="bottom"/>
          </w:tcPr>
          <w:p w14:paraId="233BD054" w14:textId="44067F7B" w:rsidR="00A728E3" w:rsidRPr="00933491" w:rsidRDefault="00A728E3"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2,09</w:t>
            </w:r>
          </w:p>
        </w:tc>
        <w:tc>
          <w:tcPr>
            <w:tcW w:w="572" w:type="pct"/>
            <w:tcBorders>
              <w:top w:val="nil"/>
              <w:bottom w:val="nil"/>
            </w:tcBorders>
            <w:shd w:val="clear" w:color="auto" w:fill="FFFFFF"/>
            <w:vAlign w:val="bottom"/>
          </w:tcPr>
          <w:p w14:paraId="48B3D9B1" w14:textId="48556E12" w:rsidR="00A728E3" w:rsidRPr="00933491" w:rsidRDefault="00A728E3"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99</w:t>
            </w:r>
          </w:p>
        </w:tc>
        <w:tc>
          <w:tcPr>
            <w:tcW w:w="668" w:type="pct"/>
            <w:tcBorders>
              <w:top w:val="nil"/>
              <w:bottom w:val="nil"/>
              <w:right w:val="single" w:sz="4" w:space="0" w:color="FFFFFF" w:themeColor="background1"/>
            </w:tcBorders>
            <w:shd w:val="clear" w:color="auto" w:fill="FFFFFF"/>
          </w:tcPr>
          <w:p w14:paraId="36B33777" w14:textId="106C80F5" w:rsidR="00A728E3" w:rsidRPr="00933491" w:rsidRDefault="00A728E3" w:rsidP="0056798E">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933491">
              <w:rPr>
                <w:rFonts w:ascii="Times New Roman" w:hAnsi="Times New Roman" w:cs="Times New Roman"/>
                <w:b/>
                <w:color w:val="000000"/>
                <w:sz w:val="20"/>
                <w:szCs w:val="20"/>
              </w:rPr>
              <w:t>0,040</w:t>
            </w:r>
          </w:p>
        </w:tc>
      </w:tr>
      <w:tr w:rsidR="00B43BF7" w:rsidRPr="00933491" w14:paraId="6F79757B" w14:textId="77777777" w:rsidTr="004C7DD9">
        <w:trPr>
          <w:cantSplit/>
          <w:tblHeader/>
          <w:jc w:val="center"/>
        </w:trPr>
        <w:tc>
          <w:tcPr>
            <w:tcW w:w="881" w:type="pct"/>
            <w:tcBorders>
              <w:top w:val="nil"/>
              <w:left w:val="single" w:sz="4" w:space="0" w:color="FFFFFF" w:themeColor="background1"/>
              <w:bottom w:val="nil"/>
              <w:right w:val="nil"/>
            </w:tcBorders>
            <w:shd w:val="clear" w:color="auto" w:fill="FFFFFF"/>
          </w:tcPr>
          <w:p w14:paraId="4B27ACC0" w14:textId="1023DBC2" w:rsidR="00A728E3" w:rsidRPr="00CC11DC" w:rsidRDefault="00A728E3"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CC11DC">
              <w:rPr>
                <w:rFonts w:ascii="Times New Roman" w:hAnsi="Times New Roman" w:cs="Times New Roman"/>
                <w:color w:val="000000"/>
                <w:sz w:val="20"/>
                <w:szCs w:val="20"/>
              </w:rPr>
              <w:t>-2 e +2</w:t>
            </w:r>
          </w:p>
        </w:tc>
        <w:tc>
          <w:tcPr>
            <w:tcW w:w="588" w:type="pct"/>
            <w:tcBorders>
              <w:top w:val="nil"/>
              <w:left w:val="single" w:sz="4" w:space="0" w:color="auto"/>
              <w:bottom w:val="nil"/>
            </w:tcBorders>
            <w:shd w:val="clear" w:color="auto" w:fill="FFFFFF"/>
          </w:tcPr>
          <w:p w14:paraId="46FE4187" w14:textId="2D9BF75E" w:rsidR="00A728E3" w:rsidRPr="003E40AC" w:rsidRDefault="00A728E3"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1,44</w:t>
            </w:r>
          </w:p>
        </w:tc>
        <w:tc>
          <w:tcPr>
            <w:tcW w:w="859" w:type="pct"/>
            <w:tcBorders>
              <w:top w:val="nil"/>
              <w:bottom w:val="nil"/>
            </w:tcBorders>
            <w:shd w:val="clear" w:color="auto" w:fill="FFFFFF"/>
          </w:tcPr>
          <w:p w14:paraId="2324B16F" w14:textId="536DAC1C" w:rsidR="00A728E3" w:rsidRPr="003E40AC" w:rsidRDefault="00A728E3"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8,87</w:t>
            </w:r>
          </w:p>
        </w:tc>
        <w:tc>
          <w:tcPr>
            <w:tcW w:w="859" w:type="pct"/>
            <w:tcBorders>
              <w:top w:val="nil"/>
              <w:bottom w:val="nil"/>
            </w:tcBorders>
            <w:shd w:val="clear" w:color="auto" w:fill="FFFFFF"/>
          </w:tcPr>
          <w:p w14:paraId="51B7BD8C" w14:textId="31709BA5" w:rsidR="00A728E3" w:rsidRPr="00933491" w:rsidRDefault="00A728E3"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0,83</w:t>
            </w:r>
          </w:p>
        </w:tc>
        <w:tc>
          <w:tcPr>
            <w:tcW w:w="574" w:type="pct"/>
            <w:tcBorders>
              <w:top w:val="nil"/>
              <w:bottom w:val="nil"/>
            </w:tcBorders>
            <w:shd w:val="clear" w:color="auto" w:fill="FFFFFF"/>
          </w:tcPr>
          <w:p w14:paraId="4A5669FE" w14:textId="563550C8" w:rsidR="00A728E3" w:rsidRPr="00933491" w:rsidRDefault="00A728E3"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1,73</w:t>
            </w:r>
          </w:p>
        </w:tc>
        <w:tc>
          <w:tcPr>
            <w:tcW w:w="572" w:type="pct"/>
            <w:tcBorders>
              <w:top w:val="nil"/>
              <w:bottom w:val="nil"/>
            </w:tcBorders>
            <w:shd w:val="clear" w:color="auto" w:fill="FFFFFF"/>
          </w:tcPr>
          <w:p w14:paraId="702D09CA" w14:textId="5668F8D3" w:rsidR="00A728E3" w:rsidRPr="00933491" w:rsidRDefault="00A728E3"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113</w:t>
            </w:r>
          </w:p>
        </w:tc>
        <w:tc>
          <w:tcPr>
            <w:tcW w:w="668" w:type="pct"/>
            <w:tcBorders>
              <w:top w:val="nil"/>
              <w:bottom w:val="nil"/>
              <w:right w:val="single" w:sz="4" w:space="0" w:color="FFFFFF" w:themeColor="background1"/>
            </w:tcBorders>
            <w:shd w:val="clear" w:color="auto" w:fill="FFFFFF"/>
          </w:tcPr>
          <w:p w14:paraId="0ADD8665" w14:textId="141E8D46" w:rsidR="00A728E3" w:rsidRPr="00933491" w:rsidRDefault="00A728E3" w:rsidP="0056798E">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933491">
              <w:rPr>
                <w:rFonts w:ascii="Times New Roman" w:hAnsi="Times New Roman" w:cs="Times New Roman"/>
                <w:b/>
                <w:color w:val="000000"/>
                <w:sz w:val="20"/>
                <w:szCs w:val="20"/>
              </w:rPr>
              <w:t>0,086</w:t>
            </w:r>
          </w:p>
        </w:tc>
      </w:tr>
      <w:tr w:rsidR="00B43BF7" w:rsidRPr="00933491" w14:paraId="3E91C555" w14:textId="77777777" w:rsidTr="004C7DD9">
        <w:trPr>
          <w:cantSplit/>
          <w:jc w:val="center"/>
        </w:trPr>
        <w:tc>
          <w:tcPr>
            <w:tcW w:w="881" w:type="pct"/>
            <w:tcBorders>
              <w:top w:val="nil"/>
              <w:left w:val="single" w:sz="4" w:space="0" w:color="FFFFFF" w:themeColor="background1"/>
              <w:bottom w:val="single" w:sz="4" w:space="0" w:color="auto"/>
              <w:right w:val="nil"/>
            </w:tcBorders>
            <w:shd w:val="clear" w:color="auto" w:fill="FFFFFF"/>
          </w:tcPr>
          <w:p w14:paraId="219CD0A5" w14:textId="4AB24CA3" w:rsidR="00A728E3" w:rsidRPr="00CC11DC" w:rsidRDefault="00A728E3"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CC11DC">
              <w:rPr>
                <w:rFonts w:ascii="Times New Roman" w:hAnsi="Times New Roman" w:cs="Times New Roman"/>
                <w:color w:val="000000"/>
                <w:sz w:val="20"/>
                <w:szCs w:val="20"/>
              </w:rPr>
              <w:t>-1 e +1</w:t>
            </w:r>
          </w:p>
        </w:tc>
        <w:tc>
          <w:tcPr>
            <w:tcW w:w="588" w:type="pct"/>
            <w:tcBorders>
              <w:top w:val="nil"/>
              <w:left w:val="single" w:sz="4" w:space="0" w:color="auto"/>
              <w:bottom w:val="single" w:sz="4" w:space="0" w:color="auto"/>
            </w:tcBorders>
            <w:shd w:val="clear" w:color="auto" w:fill="FFFFFF"/>
          </w:tcPr>
          <w:p w14:paraId="5FD7C070" w14:textId="731E6901" w:rsidR="00A728E3" w:rsidRPr="003E40AC" w:rsidRDefault="00A728E3"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2,34</w:t>
            </w:r>
          </w:p>
        </w:tc>
        <w:tc>
          <w:tcPr>
            <w:tcW w:w="859" w:type="pct"/>
            <w:tcBorders>
              <w:top w:val="nil"/>
              <w:bottom w:val="single" w:sz="4" w:space="0" w:color="auto"/>
            </w:tcBorders>
            <w:shd w:val="clear" w:color="auto" w:fill="FFFFFF"/>
          </w:tcPr>
          <w:p w14:paraId="72FE7242" w14:textId="70AF3C81" w:rsidR="00A728E3" w:rsidRPr="003E40AC" w:rsidRDefault="00A728E3"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5,58</w:t>
            </w:r>
          </w:p>
        </w:tc>
        <w:tc>
          <w:tcPr>
            <w:tcW w:w="859" w:type="pct"/>
            <w:tcBorders>
              <w:top w:val="nil"/>
              <w:bottom w:val="single" w:sz="4" w:space="0" w:color="auto"/>
            </w:tcBorders>
            <w:shd w:val="clear" w:color="auto" w:fill="FFFFFF"/>
          </w:tcPr>
          <w:p w14:paraId="26724B8F" w14:textId="0DB1057F" w:rsidR="00A728E3" w:rsidRPr="00933491" w:rsidRDefault="00A728E3"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0,51</w:t>
            </w:r>
          </w:p>
        </w:tc>
        <w:tc>
          <w:tcPr>
            <w:tcW w:w="574" w:type="pct"/>
            <w:tcBorders>
              <w:top w:val="nil"/>
              <w:bottom w:val="single" w:sz="4" w:space="0" w:color="auto"/>
            </w:tcBorders>
            <w:shd w:val="clear" w:color="auto" w:fill="FFFFFF"/>
          </w:tcPr>
          <w:p w14:paraId="07F7BB68" w14:textId="3A0E4835" w:rsidR="00A728E3" w:rsidRPr="00933491" w:rsidRDefault="00A728E3"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4,64</w:t>
            </w:r>
          </w:p>
        </w:tc>
        <w:tc>
          <w:tcPr>
            <w:tcW w:w="572" w:type="pct"/>
            <w:tcBorders>
              <w:top w:val="nil"/>
              <w:bottom w:val="single" w:sz="4" w:space="0" w:color="auto"/>
            </w:tcBorders>
            <w:shd w:val="clear" w:color="auto" w:fill="FFFFFF"/>
          </w:tcPr>
          <w:p w14:paraId="45DD3256" w14:textId="50F4DCFD" w:rsidR="00A728E3" w:rsidRPr="00933491" w:rsidRDefault="00A728E3"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121</w:t>
            </w:r>
          </w:p>
        </w:tc>
        <w:tc>
          <w:tcPr>
            <w:tcW w:w="668" w:type="pct"/>
            <w:tcBorders>
              <w:top w:val="nil"/>
              <w:bottom w:val="single" w:sz="4" w:space="0" w:color="auto"/>
              <w:right w:val="single" w:sz="4" w:space="0" w:color="FFFFFF" w:themeColor="background1"/>
            </w:tcBorders>
            <w:shd w:val="clear" w:color="auto" w:fill="FFFFFF"/>
          </w:tcPr>
          <w:p w14:paraId="51E0F7DD" w14:textId="5CCEB78A" w:rsidR="00A728E3" w:rsidRPr="00CC11DC" w:rsidRDefault="00A728E3" w:rsidP="0056798E">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933491">
              <w:rPr>
                <w:rFonts w:ascii="Times New Roman" w:hAnsi="Times New Roman" w:cs="Times New Roman"/>
                <w:b/>
                <w:color w:val="000000"/>
                <w:sz w:val="20"/>
                <w:szCs w:val="20"/>
              </w:rPr>
              <w:t>0,000</w:t>
            </w:r>
          </w:p>
        </w:tc>
      </w:tr>
    </w:tbl>
    <w:p w14:paraId="036231D3" w14:textId="77777777" w:rsidR="001E697A" w:rsidRPr="00CC11DC" w:rsidRDefault="001E697A" w:rsidP="0056798E">
      <w:pPr>
        <w:spacing w:after="0" w:line="240" w:lineRule="auto"/>
        <w:ind w:firstLine="708"/>
        <w:jc w:val="both"/>
        <w:rPr>
          <w:rFonts w:ascii="Times New Roman" w:hAnsi="Times New Roman" w:cs="Times New Roman"/>
          <w:sz w:val="24"/>
          <w:szCs w:val="24"/>
        </w:rPr>
      </w:pPr>
    </w:p>
    <w:p w14:paraId="651C9991" w14:textId="5C6FDC56" w:rsidR="00C70A54" w:rsidRDefault="00AA681A" w:rsidP="00157D35">
      <w:pPr>
        <w:spacing w:after="0" w:line="240" w:lineRule="auto"/>
        <w:ind w:firstLine="709"/>
        <w:jc w:val="both"/>
        <w:rPr>
          <w:rFonts w:ascii="Times New Roman" w:hAnsi="Times New Roman" w:cs="Times New Roman"/>
          <w:sz w:val="24"/>
          <w:szCs w:val="24"/>
        </w:rPr>
      </w:pPr>
      <w:r w:rsidRPr="003E40AC">
        <w:rPr>
          <w:rFonts w:ascii="Times New Roman" w:hAnsi="Times New Roman" w:cs="Times New Roman"/>
          <w:sz w:val="24"/>
          <w:szCs w:val="24"/>
        </w:rPr>
        <w:t>Na Tabela 5</w:t>
      </w:r>
      <w:r w:rsidR="00C70A54" w:rsidRPr="003E40AC">
        <w:rPr>
          <w:rFonts w:ascii="Times New Roman" w:hAnsi="Times New Roman" w:cs="Times New Roman"/>
          <w:sz w:val="24"/>
          <w:szCs w:val="24"/>
        </w:rPr>
        <w:t xml:space="preserve">, é apresentado o resultado </w:t>
      </w:r>
      <w:r w:rsidR="004B77B7" w:rsidRPr="003E40AC">
        <w:rPr>
          <w:rFonts w:ascii="Times New Roman" w:hAnsi="Times New Roman" w:cs="Times New Roman"/>
          <w:sz w:val="24"/>
          <w:szCs w:val="24"/>
        </w:rPr>
        <w:t>do teste paramétrico para diferença de média</w:t>
      </w:r>
      <w:r w:rsidR="00020F9D" w:rsidRPr="003E40AC">
        <w:rPr>
          <w:rFonts w:ascii="Times New Roman" w:hAnsi="Times New Roman" w:cs="Times New Roman"/>
          <w:sz w:val="24"/>
          <w:szCs w:val="24"/>
        </w:rPr>
        <w:t>s</w:t>
      </w:r>
      <w:r w:rsidR="007F68B1" w:rsidRPr="003E40AC">
        <w:rPr>
          <w:rFonts w:ascii="Times New Roman" w:hAnsi="Times New Roman" w:cs="Times New Roman"/>
          <w:sz w:val="24"/>
          <w:szCs w:val="24"/>
        </w:rPr>
        <w:t xml:space="preserve"> </w:t>
      </w:r>
      <w:r w:rsidR="00380976" w:rsidRPr="00933491">
        <w:rPr>
          <w:rFonts w:ascii="Times New Roman" w:hAnsi="Times New Roman" w:cs="Times New Roman"/>
          <w:sz w:val="24"/>
          <w:szCs w:val="24"/>
        </w:rPr>
        <w:t>(</w:t>
      </w:r>
      <w:r w:rsidR="007F68B1" w:rsidRPr="00933491">
        <w:rPr>
          <w:rFonts w:ascii="Times New Roman" w:hAnsi="Times New Roman" w:cs="Times New Roman"/>
          <w:sz w:val="24"/>
          <w:szCs w:val="24"/>
        </w:rPr>
        <w:t xml:space="preserve">teste </w:t>
      </w:r>
      <w:r w:rsidR="007F68B1" w:rsidRPr="00933491">
        <w:rPr>
          <w:rFonts w:ascii="Times New Roman" w:hAnsi="Times New Roman" w:cs="Times New Roman"/>
          <w:i/>
          <w:sz w:val="24"/>
          <w:szCs w:val="24"/>
        </w:rPr>
        <w:t xml:space="preserve">t de </w:t>
      </w:r>
      <w:proofErr w:type="spellStart"/>
      <w:r w:rsidR="007F68B1" w:rsidRPr="00933491">
        <w:rPr>
          <w:rFonts w:ascii="Times New Roman" w:hAnsi="Times New Roman" w:cs="Times New Roman"/>
          <w:i/>
          <w:sz w:val="24"/>
          <w:szCs w:val="24"/>
        </w:rPr>
        <w:t>student</w:t>
      </w:r>
      <w:proofErr w:type="spellEnd"/>
      <w:r w:rsidR="00380976" w:rsidRPr="00933491">
        <w:rPr>
          <w:rFonts w:ascii="Times New Roman" w:hAnsi="Times New Roman" w:cs="Times New Roman"/>
          <w:sz w:val="24"/>
          <w:szCs w:val="24"/>
        </w:rPr>
        <w:t>)</w:t>
      </w:r>
      <w:r w:rsidR="001F3306" w:rsidRPr="00933491">
        <w:rPr>
          <w:rFonts w:ascii="Times New Roman" w:hAnsi="Times New Roman" w:cs="Times New Roman"/>
          <w:sz w:val="24"/>
          <w:szCs w:val="24"/>
        </w:rPr>
        <w:t>. Verifica-se que,</w:t>
      </w:r>
      <w:r w:rsidR="003E512B" w:rsidRPr="00933491">
        <w:rPr>
          <w:rFonts w:ascii="Times New Roman" w:hAnsi="Times New Roman" w:cs="Times New Roman"/>
          <w:sz w:val="24"/>
          <w:szCs w:val="24"/>
        </w:rPr>
        <w:t xml:space="preserve"> ao nível de significância de </w:t>
      </w:r>
      <w:r w:rsidR="00B03208" w:rsidRPr="00933491">
        <w:rPr>
          <w:rFonts w:ascii="Times New Roman" w:hAnsi="Times New Roman" w:cs="Times New Roman"/>
          <w:sz w:val="24"/>
          <w:szCs w:val="24"/>
        </w:rPr>
        <w:t>1</w:t>
      </w:r>
      <w:r w:rsidR="003E512B" w:rsidRPr="00933491">
        <w:rPr>
          <w:rFonts w:ascii="Times New Roman" w:hAnsi="Times New Roman" w:cs="Times New Roman"/>
          <w:sz w:val="24"/>
          <w:szCs w:val="24"/>
        </w:rPr>
        <w:t>%,</w:t>
      </w:r>
      <w:r w:rsidR="001F3306" w:rsidRPr="00933491">
        <w:rPr>
          <w:rFonts w:ascii="Times New Roman" w:hAnsi="Times New Roman" w:cs="Times New Roman"/>
          <w:sz w:val="24"/>
          <w:szCs w:val="24"/>
        </w:rPr>
        <w:t xml:space="preserve"> </w:t>
      </w:r>
      <w:r w:rsidRPr="00933491">
        <w:rPr>
          <w:rFonts w:ascii="Times New Roman" w:hAnsi="Times New Roman" w:cs="Times New Roman"/>
          <w:sz w:val="24"/>
          <w:szCs w:val="24"/>
        </w:rPr>
        <w:t xml:space="preserve">no ano anterior </w:t>
      </w:r>
      <w:r w:rsidR="005B728A" w:rsidRPr="00933491">
        <w:rPr>
          <w:rFonts w:ascii="Times New Roman" w:hAnsi="Times New Roman" w:cs="Times New Roman"/>
          <w:sz w:val="24"/>
          <w:szCs w:val="24"/>
        </w:rPr>
        <w:t>à</w:t>
      </w:r>
      <w:r w:rsidR="00AA12E8" w:rsidRPr="00933491">
        <w:rPr>
          <w:rFonts w:ascii="Times New Roman" w:hAnsi="Times New Roman" w:cs="Times New Roman"/>
          <w:sz w:val="24"/>
          <w:szCs w:val="24"/>
        </w:rPr>
        <w:t xml:space="preserve"> SEO </w:t>
      </w:r>
      <w:r w:rsidR="00453150" w:rsidRPr="00933491">
        <w:rPr>
          <w:rFonts w:ascii="Times New Roman" w:hAnsi="Times New Roman" w:cs="Times New Roman"/>
          <w:sz w:val="24"/>
          <w:szCs w:val="24"/>
        </w:rPr>
        <w:t>e no ano da</w:t>
      </w:r>
      <w:r w:rsidR="00966E8D" w:rsidRPr="00933491">
        <w:rPr>
          <w:rFonts w:ascii="Times New Roman" w:hAnsi="Times New Roman" w:cs="Times New Roman"/>
          <w:sz w:val="24"/>
          <w:szCs w:val="24"/>
        </w:rPr>
        <w:t xml:space="preserve"> realização da</w:t>
      </w:r>
      <w:r w:rsidR="00453150" w:rsidRPr="00933491">
        <w:rPr>
          <w:rFonts w:ascii="Times New Roman" w:hAnsi="Times New Roman" w:cs="Times New Roman"/>
          <w:sz w:val="24"/>
          <w:szCs w:val="24"/>
        </w:rPr>
        <w:t xml:space="preserve"> SEO</w:t>
      </w:r>
      <w:r w:rsidR="001F3306" w:rsidRPr="00933491">
        <w:rPr>
          <w:rFonts w:ascii="Times New Roman" w:hAnsi="Times New Roman" w:cs="Times New Roman"/>
          <w:sz w:val="24"/>
          <w:szCs w:val="24"/>
        </w:rPr>
        <w:t xml:space="preserve">, </w:t>
      </w:r>
      <w:r w:rsidR="007F68B1" w:rsidRPr="00933491">
        <w:rPr>
          <w:rFonts w:ascii="Times New Roman" w:hAnsi="Times New Roman" w:cs="Times New Roman"/>
          <w:sz w:val="24"/>
          <w:szCs w:val="24"/>
        </w:rPr>
        <w:t>pode-se</w:t>
      </w:r>
      <w:r w:rsidR="001F3306" w:rsidRPr="00933491">
        <w:rPr>
          <w:rFonts w:ascii="Times New Roman" w:hAnsi="Times New Roman" w:cs="Times New Roman"/>
          <w:sz w:val="24"/>
          <w:szCs w:val="24"/>
        </w:rPr>
        <w:t xml:space="preserve"> </w:t>
      </w:r>
      <w:r w:rsidR="005E1F3C" w:rsidRPr="00933491">
        <w:rPr>
          <w:rFonts w:ascii="Times New Roman" w:hAnsi="Times New Roman" w:cs="Times New Roman"/>
          <w:sz w:val="24"/>
          <w:szCs w:val="24"/>
        </w:rPr>
        <w:t>rejeitar a hipótese de que</w:t>
      </w:r>
      <w:r w:rsidR="00C3627E" w:rsidRPr="00933491">
        <w:rPr>
          <w:rFonts w:ascii="Times New Roman" w:hAnsi="Times New Roman" w:cs="Times New Roman"/>
          <w:sz w:val="24"/>
          <w:szCs w:val="24"/>
        </w:rPr>
        <w:t xml:space="preserve"> </w:t>
      </w:r>
      <w:r w:rsidR="00C43A5D" w:rsidRPr="00933491">
        <w:rPr>
          <w:rFonts w:ascii="Times New Roman" w:hAnsi="Times New Roman" w:cs="Times New Roman"/>
          <w:sz w:val="24"/>
          <w:szCs w:val="24"/>
        </w:rPr>
        <w:t>o desempenho operacional das empresas que realizaram e não realizaram oferta subsequente de ações é</w:t>
      </w:r>
      <w:r w:rsidR="00020F9D" w:rsidRPr="00933491">
        <w:rPr>
          <w:rFonts w:ascii="Times New Roman" w:hAnsi="Times New Roman" w:cs="Times New Roman"/>
          <w:sz w:val="24"/>
          <w:szCs w:val="24"/>
        </w:rPr>
        <w:t xml:space="preserve"> </w:t>
      </w:r>
      <w:r w:rsidR="00C43A5D" w:rsidRPr="00933491">
        <w:rPr>
          <w:rFonts w:ascii="Times New Roman" w:hAnsi="Times New Roman" w:cs="Times New Roman"/>
          <w:sz w:val="24"/>
          <w:szCs w:val="24"/>
        </w:rPr>
        <w:t>igual</w:t>
      </w:r>
      <w:r w:rsidR="00020F9D" w:rsidRPr="00933491">
        <w:rPr>
          <w:rFonts w:ascii="Times New Roman" w:hAnsi="Times New Roman" w:cs="Times New Roman"/>
          <w:sz w:val="24"/>
          <w:szCs w:val="24"/>
        </w:rPr>
        <w:t xml:space="preserve">. </w:t>
      </w:r>
      <w:r w:rsidR="00AA12E8" w:rsidRPr="00933491">
        <w:rPr>
          <w:rFonts w:ascii="Times New Roman" w:hAnsi="Times New Roman" w:cs="Times New Roman"/>
          <w:sz w:val="24"/>
          <w:szCs w:val="24"/>
        </w:rPr>
        <w:t>Nos demais anos, não se pode rejeitar a hipótese de que o desempenho operacional das empresas é igual</w:t>
      </w:r>
      <w:r w:rsidR="009E6577" w:rsidRPr="00933491">
        <w:rPr>
          <w:rFonts w:ascii="Times New Roman" w:hAnsi="Times New Roman" w:cs="Times New Roman"/>
          <w:sz w:val="24"/>
          <w:szCs w:val="24"/>
        </w:rPr>
        <w:t>,</w:t>
      </w:r>
      <w:r w:rsidR="00AA12E8" w:rsidRPr="00933491">
        <w:rPr>
          <w:rFonts w:ascii="Times New Roman" w:hAnsi="Times New Roman" w:cs="Times New Roman"/>
          <w:sz w:val="24"/>
          <w:szCs w:val="24"/>
        </w:rPr>
        <w:t xml:space="preserve"> independentemente de ter realizado SEO.</w:t>
      </w:r>
    </w:p>
    <w:p w14:paraId="01CE427E" w14:textId="77777777" w:rsidR="00291830" w:rsidRDefault="00291830" w:rsidP="00157D35">
      <w:pPr>
        <w:spacing w:after="0" w:line="240" w:lineRule="auto"/>
        <w:ind w:firstLine="709"/>
        <w:jc w:val="both"/>
        <w:rPr>
          <w:rFonts w:ascii="Times New Roman" w:hAnsi="Times New Roman" w:cs="Times New Roman"/>
          <w:sz w:val="24"/>
          <w:szCs w:val="24"/>
        </w:rPr>
      </w:pPr>
      <w:r w:rsidRPr="003E40AC">
        <w:rPr>
          <w:rFonts w:ascii="Times New Roman" w:hAnsi="Times New Roman" w:cs="Times New Roman"/>
          <w:sz w:val="24"/>
          <w:szCs w:val="24"/>
        </w:rPr>
        <w:t>Embora se verifique, na Tabela 3</w:t>
      </w:r>
      <w:r w:rsidRPr="00933491">
        <w:rPr>
          <w:rFonts w:ascii="Times New Roman" w:hAnsi="Times New Roman" w:cs="Times New Roman"/>
          <w:sz w:val="24"/>
          <w:szCs w:val="24"/>
        </w:rPr>
        <w:t>, diferença no desempenho operacional das empresas que realizaram e não realizaram SEO, pode-se constatar, na Tabela 5, que essa diferença no desempenho operacional é significativa apenas no ano da oferta e no ano que antecede à oferta pública subsequente. Isto é, com exceção do ano que antecede à SEO e do ano da oferta subsequente, não existem evidências para afirmar que há diferença significativa entre o desempenho operacional das empresas que realizaram SEO e o das que não realizaram.</w:t>
      </w:r>
    </w:p>
    <w:p w14:paraId="37C37903" w14:textId="77777777" w:rsidR="005216EB" w:rsidRDefault="005216EB" w:rsidP="0056798E">
      <w:pPr>
        <w:spacing w:after="0" w:line="240" w:lineRule="auto"/>
        <w:ind w:firstLine="567"/>
        <w:jc w:val="both"/>
        <w:rPr>
          <w:rFonts w:ascii="Times New Roman" w:hAnsi="Times New Roman" w:cs="Times New Roman"/>
          <w:sz w:val="24"/>
          <w:szCs w:val="24"/>
        </w:rPr>
      </w:pPr>
    </w:p>
    <w:p w14:paraId="45685884" w14:textId="2A0C53E1" w:rsidR="007D6B99" w:rsidRPr="004C7DD9" w:rsidRDefault="007D6B99" w:rsidP="004C7DD9">
      <w:pPr>
        <w:spacing w:after="0" w:line="240" w:lineRule="auto"/>
        <w:jc w:val="center"/>
        <w:rPr>
          <w:rFonts w:ascii="Times New Roman" w:hAnsi="Times New Roman" w:cs="Times New Roman"/>
          <w:b/>
          <w:sz w:val="20"/>
          <w:szCs w:val="20"/>
        </w:rPr>
      </w:pPr>
      <w:r w:rsidRPr="004C7DD9">
        <w:rPr>
          <w:rFonts w:ascii="Times New Roman" w:hAnsi="Times New Roman" w:cs="Times New Roman"/>
          <w:b/>
          <w:sz w:val="20"/>
          <w:szCs w:val="20"/>
        </w:rPr>
        <w:t xml:space="preserve">Tabela </w:t>
      </w:r>
      <w:r w:rsidR="00AA681A" w:rsidRPr="004C7DD9">
        <w:rPr>
          <w:rFonts w:ascii="Times New Roman" w:hAnsi="Times New Roman" w:cs="Times New Roman"/>
          <w:b/>
          <w:sz w:val="20"/>
          <w:szCs w:val="20"/>
        </w:rPr>
        <w:t>5</w:t>
      </w:r>
      <w:r w:rsidR="004C7DD9" w:rsidRPr="004C7DD9">
        <w:rPr>
          <w:rFonts w:ascii="Times New Roman" w:hAnsi="Times New Roman" w:cs="Times New Roman"/>
          <w:b/>
          <w:sz w:val="20"/>
          <w:szCs w:val="20"/>
        </w:rPr>
        <w:t xml:space="preserve"> - </w:t>
      </w:r>
      <w:r w:rsidRPr="004C7DD9">
        <w:rPr>
          <w:rFonts w:ascii="Times New Roman" w:hAnsi="Times New Roman" w:cs="Times New Roman"/>
          <w:b/>
          <w:sz w:val="20"/>
          <w:szCs w:val="20"/>
        </w:rPr>
        <w:t>Análise do desempenho operacional das empresas emissoras e não emissoras de SEO</w:t>
      </w:r>
    </w:p>
    <w:tbl>
      <w:tblPr>
        <w:tblW w:w="4842"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298"/>
        <w:gridCol w:w="1415"/>
        <w:gridCol w:w="1274"/>
        <w:gridCol w:w="1415"/>
        <w:gridCol w:w="969"/>
        <w:gridCol w:w="1132"/>
        <w:gridCol w:w="1272"/>
      </w:tblGrid>
      <w:tr w:rsidR="00AA12E8" w:rsidRPr="00933491" w14:paraId="0B26AF5A" w14:textId="77777777" w:rsidTr="004C7DD9">
        <w:trPr>
          <w:cantSplit/>
          <w:trHeight w:val="484"/>
          <w:tblHeader/>
          <w:jc w:val="center"/>
        </w:trPr>
        <w:tc>
          <w:tcPr>
            <w:tcW w:w="740" w:type="pct"/>
            <w:vMerge w:val="restart"/>
            <w:tcBorders>
              <w:top w:val="single" w:sz="4" w:space="0" w:color="auto"/>
              <w:left w:val="single" w:sz="4" w:space="0" w:color="FFFFFF" w:themeColor="background1"/>
              <w:bottom w:val="single" w:sz="4" w:space="0" w:color="auto"/>
              <w:right w:val="single" w:sz="4" w:space="0" w:color="auto"/>
            </w:tcBorders>
            <w:shd w:val="clear" w:color="auto" w:fill="FFFFFF"/>
            <w:vAlign w:val="center"/>
          </w:tcPr>
          <w:p w14:paraId="6F74D7B9" w14:textId="474514DB" w:rsidR="00AA12E8" w:rsidRPr="00933491" w:rsidRDefault="00AA12E8" w:rsidP="0056798E">
            <w:pPr>
              <w:autoSpaceDE w:val="0"/>
              <w:autoSpaceDN w:val="0"/>
              <w:adjustRightInd w:val="0"/>
              <w:spacing w:after="0" w:line="240" w:lineRule="auto"/>
              <w:jc w:val="center"/>
              <w:rPr>
                <w:rFonts w:ascii="Times New Roman" w:hAnsi="Times New Roman" w:cs="Times New Roman"/>
                <w:b/>
                <w:color w:val="000000"/>
                <w:sz w:val="20"/>
                <w:szCs w:val="20"/>
                <w:lang w:val="en-US"/>
              </w:rPr>
            </w:pPr>
            <w:proofErr w:type="spellStart"/>
            <w:r w:rsidRPr="00933491">
              <w:rPr>
                <w:rFonts w:ascii="Times New Roman" w:hAnsi="Times New Roman" w:cs="Times New Roman"/>
                <w:b/>
                <w:color w:val="000000"/>
                <w:sz w:val="20"/>
                <w:szCs w:val="20"/>
                <w:lang w:val="en-US"/>
              </w:rPr>
              <w:t>Ano</w:t>
            </w:r>
            <w:proofErr w:type="spellEnd"/>
            <w:r w:rsidR="00A31027" w:rsidRPr="00933491">
              <w:rPr>
                <w:rFonts w:ascii="Times New Roman" w:hAnsi="Times New Roman" w:cs="Times New Roman"/>
                <w:b/>
                <w:color w:val="000000"/>
                <w:sz w:val="20"/>
                <w:szCs w:val="20"/>
                <w:lang w:val="en-US"/>
              </w:rPr>
              <w:t xml:space="preserve"> </w:t>
            </w:r>
            <w:r w:rsidRPr="00933491">
              <w:rPr>
                <w:rFonts w:ascii="Times New Roman" w:hAnsi="Times New Roman" w:cs="Times New Roman"/>
                <w:b/>
                <w:color w:val="000000"/>
                <w:sz w:val="20"/>
                <w:szCs w:val="20"/>
                <w:lang w:val="en-US"/>
              </w:rPr>
              <w:t>Fiscal</w:t>
            </w:r>
          </w:p>
        </w:tc>
        <w:tc>
          <w:tcPr>
            <w:tcW w:w="806" w:type="pct"/>
            <w:vMerge w:val="restart"/>
            <w:tcBorders>
              <w:top w:val="single" w:sz="4" w:space="0" w:color="auto"/>
              <w:left w:val="single" w:sz="4" w:space="0" w:color="FFFFFF" w:themeColor="background1"/>
              <w:bottom w:val="single" w:sz="4" w:space="0" w:color="auto"/>
              <w:right w:val="single" w:sz="4" w:space="0" w:color="auto"/>
            </w:tcBorders>
            <w:shd w:val="clear" w:color="auto" w:fill="FFFFFF"/>
            <w:vAlign w:val="center"/>
          </w:tcPr>
          <w:p w14:paraId="7DB9D373" w14:textId="09D82616" w:rsidR="00AA12E8" w:rsidRPr="00933491" w:rsidRDefault="00DF463F" w:rsidP="0056798E">
            <w:pPr>
              <w:autoSpaceDE w:val="0"/>
              <w:autoSpaceDN w:val="0"/>
              <w:adjustRightInd w:val="0"/>
              <w:spacing w:after="0" w:line="240" w:lineRule="auto"/>
              <w:jc w:val="center"/>
              <w:rPr>
                <w:rFonts w:ascii="Times New Roman" w:hAnsi="Times New Roman" w:cs="Times New Roman"/>
                <w:b/>
                <w:color w:val="000000"/>
                <w:sz w:val="20"/>
                <w:szCs w:val="20"/>
                <w:lang w:val="en-US"/>
              </w:rPr>
            </w:pPr>
            <w:proofErr w:type="spellStart"/>
            <w:r w:rsidRPr="00933491">
              <w:rPr>
                <w:rFonts w:ascii="Times New Roman" w:hAnsi="Times New Roman" w:cs="Times New Roman"/>
                <w:b/>
                <w:color w:val="000000"/>
                <w:sz w:val="20"/>
                <w:szCs w:val="20"/>
                <w:lang w:val="en-US"/>
              </w:rPr>
              <w:t>Há</w:t>
            </w:r>
            <w:proofErr w:type="spellEnd"/>
            <w:r w:rsidRPr="00933491">
              <w:rPr>
                <w:rFonts w:ascii="Times New Roman" w:hAnsi="Times New Roman" w:cs="Times New Roman"/>
                <w:b/>
                <w:color w:val="000000"/>
                <w:sz w:val="20"/>
                <w:szCs w:val="20"/>
                <w:lang w:val="en-US"/>
              </w:rPr>
              <w:t xml:space="preserve"> </w:t>
            </w:r>
            <w:proofErr w:type="spellStart"/>
            <w:r w:rsidRPr="00933491">
              <w:rPr>
                <w:rFonts w:ascii="Times New Roman" w:hAnsi="Times New Roman" w:cs="Times New Roman"/>
                <w:b/>
                <w:color w:val="000000"/>
                <w:sz w:val="20"/>
                <w:szCs w:val="20"/>
                <w:lang w:val="en-US"/>
              </w:rPr>
              <w:t>i</w:t>
            </w:r>
            <w:r w:rsidR="00A31027" w:rsidRPr="00933491">
              <w:rPr>
                <w:rFonts w:ascii="Times New Roman" w:hAnsi="Times New Roman" w:cs="Times New Roman"/>
                <w:b/>
                <w:color w:val="000000"/>
                <w:sz w:val="20"/>
                <w:szCs w:val="20"/>
                <w:lang w:val="en-US"/>
              </w:rPr>
              <w:t>gualdade</w:t>
            </w:r>
            <w:proofErr w:type="spellEnd"/>
            <w:r w:rsidR="00A31027" w:rsidRPr="00933491">
              <w:rPr>
                <w:rFonts w:ascii="Times New Roman" w:hAnsi="Times New Roman" w:cs="Times New Roman"/>
                <w:b/>
                <w:color w:val="000000"/>
                <w:sz w:val="20"/>
                <w:szCs w:val="20"/>
                <w:lang w:val="en-US"/>
              </w:rPr>
              <w:t xml:space="preserve"> da </w:t>
            </w:r>
            <w:proofErr w:type="spellStart"/>
            <w:r w:rsidR="00A31027" w:rsidRPr="00933491">
              <w:rPr>
                <w:rFonts w:ascii="Times New Roman" w:hAnsi="Times New Roman" w:cs="Times New Roman"/>
                <w:b/>
                <w:color w:val="000000"/>
                <w:sz w:val="20"/>
                <w:szCs w:val="20"/>
                <w:lang w:val="en-US"/>
              </w:rPr>
              <w:t>variância</w:t>
            </w:r>
            <w:proofErr w:type="spellEnd"/>
            <w:r w:rsidR="00A31027" w:rsidRPr="00933491">
              <w:rPr>
                <w:rFonts w:ascii="Times New Roman" w:hAnsi="Times New Roman" w:cs="Times New Roman"/>
                <w:b/>
                <w:color w:val="000000"/>
                <w:sz w:val="20"/>
                <w:szCs w:val="20"/>
                <w:lang w:val="en-US"/>
              </w:rPr>
              <w:t>?</w:t>
            </w:r>
          </w:p>
        </w:tc>
        <w:tc>
          <w:tcPr>
            <w:tcW w:w="153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CF1DD22" w14:textId="18A08BB4" w:rsidR="00AA12E8" w:rsidRPr="00933491" w:rsidRDefault="006337BF" w:rsidP="0056798E">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933491">
              <w:rPr>
                <w:rFonts w:ascii="Times New Roman" w:hAnsi="Times New Roman" w:cs="Times New Roman"/>
                <w:b/>
                <w:color w:val="000000"/>
                <w:sz w:val="20"/>
                <w:szCs w:val="20"/>
              </w:rPr>
              <w:t xml:space="preserve">Teste </w:t>
            </w:r>
            <w:proofErr w:type="spellStart"/>
            <w:r w:rsidRPr="00933491">
              <w:rPr>
                <w:rFonts w:ascii="Times New Roman" w:hAnsi="Times New Roman" w:cs="Times New Roman"/>
                <w:b/>
                <w:color w:val="000000"/>
                <w:sz w:val="20"/>
                <w:szCs w:val="20"/>
              </w:rPr>
              <w:t>Levene</w:t>
            </w:r>
            <w:proofErr w:type="spellEnd"/>
            <w:r w:rsidRPr="00933491">
              <w:rPr>
                <w:rFonts w:ascii="Times New Roman" w:hAnsi="Times New Roman" w:cs="Times New Roman"/>
                <w:b/>
                <w:color w:val="000000"/>
                <w:sz w:val="20"/>
                <w:szCs w:val="20"/>
              </w:rPr>
              <w:t xml:space="preserve"> para igualdade da</w:t>
            </w:r>
            <w:r w:rsidR="00A31027" w:rsidRPr="00933491">
              <w:rPr>
                <w:rFonts w:ascii="Times New Roman" w:hAnsi="Times New Roman" w:cs="Times New Roman"/>
                <w:b/>
                <w:color w:val="000000"/>
                <w:sz w:val="20"/>
                <w:szCs w:val="20"/>
              </w:rPr>
              <w:t xml:space="preserve"> variância</w:t>
            </w:r>
          </w:p>
        </w:tc>
        <w:tc>
          <w:tcPr>
            <w:tcW w:w="1922" w:type="pct"/>
            <w:gridSpan w:val="3"/>
            <w:tcBorders>
              <w:top w:val="single" w:sz="4" w:space="0" w:color="auto"/>
              <w:left w:val="single" w:sz="4" w:space="0" w:color="auto"/>
              <w:bottom w:val="single" w:sz="4" w:space="0" w:color="auto"/>
              <w:right w:val="single" w:sz="4" w:space="0" w:color="FFFFFF" w:themeColor="background1"/>
            </w:tcBorders>
            <w:shd w:val="clear" w:color="auto" w:fill="FFFFFF"/>
            <w:vAlign w:val="center"/>
          </w:tcPr>
          <w:p w14:paraId="45BD5305" w14:textId="32F94016" w:rsidR="00AA12E8" w:rsidRPr="00933491" w:rsidRDefault="00A31027" w:rsidP="0056798E">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933491">
              <w:rPr>
                <w:rFonts w:ascii="Times New Roman" w:hAnsi="Times New Roman" w:cs="Times New Roman"/>
                <w:b/>
                <w:color w:val="000000"/>
                <w:sz w:val="20"/>
                <w:szCs w:val="20"/>
              </w:rPr>
              <w:t xml:space="preserve">Teste </w:t>
            </w:r>
            <w:r w:rsidRPr="00933491">
              <w:rPr>
                <w:rFonts w:ascii="Times New Roman" w:hAnsi="Times New Roman" w:cs="Times New Roman"/>
                <w:b/>
                <w:i/>
                <w:color w:val="000000"/>
                <w:sz w:val="20"/>
                <w:szCs w:val="20"/>
              </w:rPr>
              <w:t>t</w:t>
            </w:r>
            <w:r w:rsidRPr="00933491">
              <w:rPr>
                <w:rFonts w:ascii="Times New Roman" w:hAnsi="Times New Roman" w:cs="Times New Roman"/>
                <w:b/>
                <w:color w:val="000000"/>
                <w:sz w:val="20"/>
                <w:szCs w:val="20"/>
              </w:rPr>
              <w:t xml:space="preserve"> para igualdade de </w:t>
            </w:r>
            <w:r w:rsidR="006337BF" w:rsidRPr="00933491">
              <w:rPr>
                <w:rFonts w:ascii="Times New Roman" w:hAnsi="Times New Roman" w:cs="Times New Roman"/>
                <w:b/>
                <w:color w:val="000000"/>
                <w:sz w:val="20"/>
                <w:szCs w:val="20"/>
              </w:rPr>
              <w:t>médias</w:t>
            </w:r>
          </w:p>
        </w:tc>
      </w:tr>
      <w:tr w:rsidR="00A31027" w:rsidRPr="00933491" w14:paraId="3A6CD856" w14:textId="77777777" w:rsidTr="004C7DD9">
        <w:trPr>
          <w:cantSplit/>
          <w:trHeight w:val="230"/>
          <w:tblHeader/>
          <w:jc w:val="center"/>
        </w:trPr>
        <w:tc>
          <w:tcPr>
            <w:tcW w:w="740" w:type="pct"/>
            <w:vMerge/>
            <w:tcBorders>
              <w:top w:val="single" w:sz="18" w:space="0" w:color="000000"/>
              <w:left w:val="single" w:sz="4" w:space="0" w:color="FFFFFF" w:themeColor="background1"/>
              <w:bottom w:val="single" w:sz="4" w:space="0" w:color="auto"/>
              <w:right w:val="single" w:sz="4" w:space="0" w:color="auto"/>
            </w:tcBorders>
            <w:shd w:val="clear" w:color="auto" w:fill="FFFFFF"/>
            <w:vAlign w:val="center"/>
          </w:tcPr>
          <w:p w14:paraId="797886A7" w14:textId="77777777" w:rsidR="00AA12E8" w:rsidRPr="00933491" w:rsidRDefault="00AA12E8" w:rsidP="0056798E">
            <w:pPr>
              <w:autoSpaceDE w:val="0"/>
              <w:autoSpaceDN w:val="0"/>
              <w:adjustRightInd w:val="0"/>
              <w:spacing w:after="0" w:line="240" w:lineRule="auto"/>
              <w:jc w:val="center"/>
              <w:rPr>
                <w:rFonts w:ascii="Times New Roman" w:hAnsi="Times New Roman" w:cs="Times New Roman"/>
                <w:color w:val="000000"/>
                <w:sz w:val="20"/>
                <w:szCs w:val="20"/>
              </w:rPr>
            </w:pPr>
          </w:p>
        </w:tc>
        <w:tc>
          <w:tcPr>
            <w:tcW w:w="806" w:type="pct"/>
            <w:vMerge/>
            <w:tcBorders>
              <w:top w:val="single" w:sz="18" w:space="0" w:color="000000"/>
              <w:left w:val="single" w:sz="4" w:space="0" w:color="FFFFFF" w:themeColor="background1"/>
              <w:bottom w:val="single" w:sz="4" w:space="0" w:color="auto"/>
              <w:right w:val="single" w:sz="4" w:space="0" w:color="auto"/>
            </w:tcBorders>
            <w:shd w:val="clear" w:color="auto" w:fill="FFFFFF"/>
            <w:vAlign w:val="center"/>
          </w:tcPr>
          <w:p w14:paraId="6621BC93" w14:textId="20C9D18B" w:rsidR="00AA12E8" w:rsidRPr="00933491" w:rsidRDefault="00AA12E8" w:rsidP="0056798E">
            <w:pPr>
              <w:autoSpaceDE w:val="0"/>
              <w:autoSpaceDN w:val="0"/>
              <w:adjustRightInd w:val="0"/>
              <w:spacing w:after="0" w:line="240" w:lineRule="auto"/>
              <w:jc w:val="center"/>
              <w:rPr>
                <w:rFonts w:ascii="Times New Roman" w:hAnsi="Times New Roman" w:cs="Times New Roman"/>
                <w:color w:val="000000"/>
                <w:sz w:val="20"/>
                <w:szCs w:val="20"/>
              </w:rPr>
            </w:pPr>
          </w:p>
        </w:tc>
        <w:tc>
          <w:tcPr>
            <w:tcW w:w="726" w:type="pct"/>
            <w:vMerge w:val="restart"/>
            <w:tcBorders>
              <w:top w:val="single" w:sz="4" w:space="0" w:color="auto"/>
              <w:left w:val="single" w:sz="4" w:space="0" w:color="auto"/>
              <w:bottom w:val="single" w:sz="4" w:space="0" w:color="auto"/>
            </w:tcBorders>
            <w:shd w:val="clear" w:color="auto" w:fill="FFFFFF"/>
            <w:vAlign w:val="center"/>
          </w:tcPr>
          <w:p w14:paraId="374C4C0A" w14:textId="77777777" w:rsidR="00AA12E8" w:rsidRPr="00933491" w:rsidRDefault="00AA12E8" w:rsidP="0056798E">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933491">
              <w:rPr>
                <w:rFonts w:ascii="Times New Roman" w:hAnsi="Times New Roman" w:cs="Times New Roman"/>
                <w:b/>
                <w:color w:val="000000"/>
                <w:sz w:val="20"/>
                <w:szCs w:val="20"/>
              </w:rPr>
              <w:t>F</w:t>
            </w:r>
          </w:p>
        </w:tc>
        <w:tc>
          <w:tcPr>
            <w:tcW w:w="806" w:type="pct"/>
            <w:vMerge w:val="restart"/>
            <w:tcBorders>
              <w:top w:val="single" w:sz="4" w:space="0" w:color="auto"/>
              <w:bottom w:val="single" w:sz="4" w:space="0" w:color="auto"/>
            </w:tcBorders>
            <w:shd w:val="clear" w:color="auto" w:fill="FFFFFF"/>
            <w:vAlign w:val="center"/>
          </w:tcPr>
          <w:p w14:paraId="050DE00C" w14:textId="5B7A17E0" w:rsidR="00AA12E8" w:rsidRPr="00933491" w:rsidRDefault="001141D5" w:rsidP="0056798E">
            <w:pPr>
              <w:autoSpaceDE w:val="0"/>
              <w:autoSpaceDN w:val="0"/>
              <w:adjustRightInd w:val="0"/>
              <w:spacing w:after="0" w:line="240" w:lineRule="auto"/>
              <w:ind w:left="60" w:right="60"/>
              <w:jc w:val="center"/>
              <w:rPr>
                <w:rFonts w:ascii="Times New Roman" w:hAnsi="Times New Roman" w:cs="Times New Roman"/>
                <w:b/>
                <w:color w:val="000000"/>
                <w:sz w:val="20"/>
                <w:szCs w:val="20"/>
              </w:rPr>
            </w:pPr>
            <w:proofErr w:type="gramStart"/>
            <w:r w:rsidRPr="00933491">
              <w:rPr>
                <w:rFonts w:ascii="Times New Roman" w:hAnsi="Times New Roman" w:cs="Times New Roman"/>
                <w:b/>
                <w:color w:val="000000"/>
                <w:sz w:val="20"/>
                <w:szCs w:val="20"/>
              </w:rPr>
              <w:t>p</w:t>
            </w:r>
            <w:proofErr w:type="gramEnd"/>
            <w:r w:rsidRPr="00933491">
              <w:rPr>
                <w:rFonts w:ascii="Times New Roman" w:hAnsi="Times New Roman" w:cs="Times New Roman"/>
                <w:b/>
                <w:color w:val="000000"/>
                <w:sz w:val="20"/>
                <w:szCs w:val="20"/>
              </w:rPr>
              <w:t>-valor</w:t>
            </w:r>
          </w:p>
        </w:tc>
        <w:tc>
          <w:tcPr>
            <w:tcW w:w="552" w:type="pct"/>
            <w:vMerge w:val="restart"/>
            <w:tcBorders>
              <w:top w:val="single" w:sz="4" w:space="0" w:color="auto"/>
              <w:bottom w:val="single" w:sz="4" w:space="0" w:color="auto"/>
            </w:tcBorders>
            <w:shd w:val="clear" w:color="auto" w:fill="FFFFFF"/>
            <w:vAlign w:val="center"/>
          </w:tcPr>
          <w:p w14:paraId="0058D99F" w14:textId="42C0BFB8" w:rsidR="00AA12E8" w:rsidRPr="00933491" w:rsidRDefault="00A31027" w:rsidP="0056798E">
            <w:pPr>
              <w:autoSpaceDE w:val="0"/>
              <w:autoSpaceDN w:val="0"/>
              <w:adjustRightInd w:val="0"/>
              <w:spacing w:after="0" w:line="240" w:lineRule="auto"/>
              <w:ind w:left="60" w:right="60"/>
              <w:jc w:val="center"/>
              <w:rPr>
                <w:rFonts w:ascii="Times New Roman" w:hAnsi="Times New Roman" w:cs="Times New Roman"/>
                <w:b/>
                <w:color w:val="000000"/>
                <w:sz w:val="20"/>
                <w:szCs w:val="20"/>
              </w:rPr>
            </w:pPr>
            <w:proofErr w:type="gramStart"/>
            <w:r w:rsidRPr="00933491">
              <w:rPr>
                <w:rFonts w:ascii="Times New Roman" w:hAnsi="Times New Roman" w:cs="Times New Roman"/>
                <w:b/>
                <w:color w:val="000000"/>
                <w:sz w:val="20"/>
                <w:szCs w:val="20"/>
              </w:rPr>
              <w:t>t</w:t>
            </w:r>
            <w:proofErr w:type="gramEnd"/>
          </w:p>
        </w:tc>
        <w:tc>
          <w:tcPr>
            <w:tcW w:w="645" w:type="pct"/>
            <w:vMerge w:val="restart"/>
            <w:tcBorders>
              <w:top w:val="single" w:sz="4" w:space="0" w:color="auto"/>
              <w:bottom w:val="single" w:sz="4" w:space="0" w:color="auto"/>
            </w:tcBorders>
            <w:shd w:val="clear" w:color="auto" w:fill="FFFFFF"/>
            <w:vAlign w:val="center"/>
          </w:tcPr>
          <w:p w14:paraId="6BA15125" w14:textId="617BF1F7" w:rsidR="00AA12E8" w:rsidRPr="00933491" w:rsidRDefault="00D00C50" w:rsidP="0056798E">
            <w:pPr>
              <w:autoSpaceDE w:val="0"/>
              <w:autoSpaceDN w:val="0"/>
              <w:adjustRightInd w:val="0"/>
              <w:spacing w:after="0" w:line="240" w:lineRule="auto"/>
              <w:ind w:left="60" w:right="60"/>
              <w:jc w:val="center"/>
              <w:rPr>
                <w:rFonts w:ascii="Times New Roman" w:hAnsi="Times New Roman" w:cs="Times New Roman"/>
                <w:b/>
                <w:color w:val="000000"/>
                <w:sz w:val="20"/>
                <w:szCs w:val="20"/>
              </w:rPr>
            </w:pPr>
            <w:proofErr w:type="spellStart"/>
            <w:r w:rsidRPr="00933491">
              <w:rPr>
                <w:rFonts w:ascii="Times New Roman" w:hAnsi="Times New Roman" w:cs="Times New Roman"/>
                <w:b/>
                <w:color w:val="000000"/>
                <w:sz w:val="20"/>
                <w:szCs w:val="20"/>
              </w:rPr>
              <w:t>D</w:t>
            </w:r>
            <w:r w:rsidR="00AA12E8" w:rsidRPr="00933491">
              <w:rPr>
                <w:rFonts w:ascii="Times New Roman" w:hAnsi="Times New Roman" w:cs="Times New Roman"/>
                <w:b/>
                <w:color w:val="000000"/>
                <w:sz w:val="20"/>
                <w:szCs w:val="20"/>
              </w:rPr>
              <w:t>f</w:t>
            </w:r>
            <w:proofErr w:type="spellEnd"/>
          </w:p>
        </w:tc>
        <w:tc>
          <w:tcPr>
            <w:tcW w:w="725" w:type="pct"/>
            <w:vMerge w:val="restart"/>
            <w:tcBorders>
              <w:top w:val="single" w:sz="4" w:space="0" w:color="auto"/>
              <w:bottom w:val="single" w:sz="4" w:space="0" w:color="auto"/>
              <w:right w:val="single" w:sz="4" w:space="0" w:color="FFFFFF" w:themeColor="background1"/>
            </w:tcBorders>
            <w:shd w:val="clear" w:color="auto" w:fill="FFFFFF"/>
            <w:vAlign w:val="center"/>
          </w:tcPr>
          <w:p w14:paraId="26B2F4FA" w14:textId="7E1BCE2D" w:rsidR="00AA12E8" w:rsidRPr="00933491" w:rsidRDefault="001141D5" w:rsidP="0056798E">
            <w:pPr>
              <w:autoSpaceDE w:val="0"/>
              <w:autoSpaceDN w:val="0"/>
              <w:adjustRightInd w:val="0"/>
              <w:spacing w:after="0" w:line="240" w:lineRule="auto"/>
              <w:ind w:left="60" w:right="60"/>
              <w:jc w:val="center"/>
              <w:rPr>
                <w:rFonts w:ascii="Times New Roman" w:hAnsi="Times New Roman" w:cs="Times New Roman"/>
                <w:b/>
                <w:color w:val="000000"/>
                <w:sz w:val="20"/>
                <w:szCs w:val="20"/>
              </w:rPr>
            </w:pPr>
            <w:proofErr w:type="gramStart"/>
            <w:r w:rsidRPr="00933491">
              <w:rPr>
                <w:rFonts w:ascii="Times New Roman" w:hAnsi="Times New Roman" w:cs="Times New Roman"/>
                <w:b/>
                <w:color w:val="000000"/>
                <w:sz w:val="20"/>
                <w:szCs w:val="20"/>
              </w:rPr>
              <w:t>p</w:t>
            </w:r>
            <w:proofErr w:type="gramEnd"/>
            <w:r w:rsidRPr="00933491">
              <w:rPr>
                <w:rFonts w:ascii="Times New Roman" w:hAnsi="Times New Roman" w:cs="Times New Roman"/>
                <w:b/>
                <w:color w:val="000000"/>
                <w:sz w:val="20"/>
                <w:szCs w:val="20"/>
              </w:rPr>
              <w:t>-valor</w:t>
            </w:r>
          </w:p>
        </w:tc>
      </w:tr>
      <w:tr w:rsidR="00A31027" w:rsidRPr="00933491" w14:paraId="5B5BE8B4" w14:textId="77777777" w:rsidTr="004C7DD9">
        <w:trPr>
          <w:cantSplit/>
          <w:trHeight w:val="230"/>
          <w:tblHeader/>
          <w:jc w:val="center"/>
        </w:trPr>
        <w:tc>
          <w:tcPr>
            <w:tcW w:w="740" w:type="pct"/>
            <w:vMerge/>
            <w:tcBorders>
              <w:top w:val="single" w:sz="18" w:space="0" w:color="000000"/>
              <w:left w:val="single" w:sz="4" w:space="0" w:color="FFFFFF" w:themeColor="background1"/>
              <w:bottom w:val="single" w:sz="4" w:space="0" w:color="auto"/>
              <w:right w:val="single" w:sz="4" w:space="0" w:color="auto"/>
            </w:tcBorders>
            <w:shd w:val="clear" w:color="auto" w:fill="FFFFFF"/>
            <w:vAlign w:val="center"/>
          </w:tcPr>
          <w:p w14:paraId="4087475F" w14:textId="77777777" w:rsidR="00AA12E8" w:rsidRPr="00933491" w:rsidRDefault="00AA12E8" w:rsidP="0056798E">
            <w:pPr>
              <w:autoSpaceDE w:val="0"/>
              <w:autoSpaceDN w:val="0"/>
              <w:adjustRightInd w:val="0"/>
              <w:spacing w:after="0" w:line="240" w:lineRule="auto"/>
              <w:jc w:val="center"/>
              <w:rPr>
                <w:rFonts w:ascii="Times New Roman" w:hAnsi="Times New Roman" w:cs="Times New Roman"/>
                <w:sz w:val="20"/>
                <w:szCs w:val="20"/>
                <w:lang w:val="en-US"/>
              </w:rPr>
            </w:pPr>
          </w:p>
        </w:tc>
        <w:tc>
          <w:tcPr>
            <w:tcW w:w="806" w:type="pct"/>
            <w:vMerge/>
            <w:tcBorders>
              <w:top w:val="single" w:sz="18" w:space="0" w:color="000000"/>
              <w:left w:val="single" w:sz="4" w:space="0" w:color="FFFFFF" w:themeColor="background1"/>
              <w:bottom w:val="single" w:sz="4" w:space="0" w:color="auto"/>
              <w:right w:val="single" w:sz="4" w:space="0" w:color="auto"/>
            </w:tcBorders>
            <w:shd w:val="clear" w:color="auto" w:fill="FFFFFF"/>
            <w:vAlign w:val="center"/>
          </w:tcPr>
          <w:p w14:paraId="7CB439F3" w14:textId="688B3BF0" w:rsidR="00AA12E8" w:rsidRPr="00933491" w:rsidRDefault="00AA12E8" w:rsidP="0056798E">
            <w:pPr>
              <w:autoSpaceDE w:val="0"/>
              <w:autoSpaceDN w:val="0"/>
              <w:adjustRightInd w:val="0"/>
              <w:spacing w:after="0" w:line="240" w:lineRule="auto"/>
              <w:jc w:val="center"/>
              <w:rPr>
                <w:rFonts w:ascii="Times New Roman" w:hAnsi="Times New Roman" w:cs="Times New Roman"/>
                <w:sz w:val="20"/>
                <w:szCs w:val="20"/>
                <w:lang w:val="en-US"/>
              </w:rPr>
            </w:pPr>
          </w:p>
        </w:tc>
        <w:tc>
          <w:tcPr>
            <w:tcW w:w="726" w:type="pct"/>
            <w:vMerge/>
            <w:tcBorders>
              <w:left w:val="single" w:sz="4" w:space="0" w:color="auto"/>
              <w:bottom w:val="single" w:sz="4" w:space="0" w:color="auto"/>
            </w:tcBorders>
            <w:shd w:val="clear" w:color="auto" w:fill="FFFFFF"/>
            <w:vAlign w:val="bottom"/>
          </w:tcPr>
          <w:p w14:paraId="29200FE5" w14:textId="77777777" w:rsidR="00AA12E8" w:rsidRPr="00933491" w:rsidRDefault="00AA12E8" w:rsidP="0056798E">
            <w:pPr>
              <w:autoSpaceDE w:val="0"/>
              <w:autoSpaceDN w:val="0"/>
              <w:adjustRightInd w:val="0"/>
              <w:spacing w:after="0" w:line="240" w:lineRule="auto"/>
              <w:jc w:val="center"/>
              <w:rPr>
                <w:rFonts w:ascii="Times New Roman" w:hAnsi="Times New Roman" w:cs="Times New Roman"/>
                <w:sz w:val="20"/>
                <w:szCs w:val="20"/>
                <w:lang w:val="en-US"/>
              </w:rPr>
            </w:pPr>
          </w:p>
        </w:tc>
        <w:tc>
          <w:tcPr>
            <w:tcW w:w="806" w:type="pct"/>
            <w:vMerge/>
            <w:tcBorders>
              <w:bottom w:val="single" w:sz="4" w:space="0" w:color="auto"/>
            </w:tcBorders>
            <w:shd w:val="clear" w:color="auto" w:fill="FFFFFF"/>
            <w:vAlign w:val="bottom"/>
          </w:tcPr>
          <w:p w14:paraId="4E0E9E54" w14:textId="77777777" w:rsidR="00AA12E8" w:rsidRPr="00933491" w:rsidRDefault="00AA12E8" w:rsidP="0056798E">
            <w:pPr>
              <w:autoSpaceDE w:val="0"/>
              <w:autoSpaceDN w:val="0"/>
              <w:adjustRightInd w:val="0"/>
              <w:spacing w:after="0" w:line="240" w:lineRule="auto"/>
              <w:jc w:val="center"/>
              <w:rPr>
                <w:rFonts w:ascii="Times New Roman" w:hAnsi="Times New Roman" w:cs="Times New Roman"/>
                <w:sz w:val="20"/>
                <w:szCs w:val="20"/>
                <w:lang w:val="en-US"/>
              </w:rPr>
            </w:pPr>
          </w:p>
        </w:tc>
        <w:tc>
          <w:tcPr>
            <w:tcW w:w="552" w:type="pct"/>
            <w:vMerge/>
            <w:tcBorders>
              <w:bottom w:val="single" w:sz="4" w:space="0" w:color="auto"/>
            </w:tcBorders>
            <w:shd w:val="clear" w:color="auto" w:fill="FFFFFF"/>
            <w:vAlign w:val="bottom"/>
          </w:tcPr>
          <w:p w14:paraId="21DCEA10" w14:textId="77777777" w:rsidR="00AA12E8" w:rsidRPr="00933491" w:rsidRDefault="00AA12E8" w:rsidP="0056798E">
            <w:pPr>
              <w:autoSpaceDE w:val="0"/>
              <w:autoSpaceDN w:val="0"/>
              <w:adjustRightInd w:val="0"/>
              <w:spacing w:after="0" w:line="240" w:lineRule="auto"/>
              <w:jc w:val="center"/>
              <w:rPr>
                <w:rFonts w:ascii="Times New Roman" w:hAnsi="Times New Roman" w:cs="Times New Roman"/>
                <w:sz w:val="20"/>
                <w:szCs w:val="20"/>
                <w:lang w:val="en-US"/>
              </w:rPr>
            </w:pPr>
          </w:p>
        </w:tc>
        <w:tc>
          <w:tcPr>
            <w:tcW w:w="645" w:type="pct"/>
            <w:vMerge/>
            <w:tcBorders>
              <w:bottom w:val="single" w:sz="4" w:space="0" w:color="auto"/>
            </w:tcBorders>
            <w:shd w:val="clear" w:color="auto" w:fill="FFFFFF"/>
            <w:vAlign w:val="bottom"/>
          </w:tcPr>
          <w:p w14:paraId="330C30B8" w14:textId="77777777" w:rsidR="00AA12E8" w:rsidRPr="00933491" w:rsidRDefault="00AA12E8" w:rsidP="0056798E">
            <w:pPr>
              <w:autoSpaceDE w:val="0"/>
              <w:autoSpaceDN w:val="0"/>
              <w:adjustRightInd w:val="0"/>
              <w:spacing w:after="0" w:line="240" w:lineRule="auto"/>
              <w:jc w:val="center"/>
              <w:rPr>
                <w:rFonts w:ascii="Times New Roman" w:hAnsi="Times New Roman" w:cs="Times New Roman"/>
                <w:sz w:val="20"/>
                <w:szCs w:val="20"/>
                <w:lang w:val="en-US"/>
              </w:rPr>
            </w:pPr>
          </w:p>
        </w:tc>
        <w:tc>
          <w:tcPr>
            <w:tcW w:w="725" w:type="pct"/>
            <w:vMerge/>
            <w:tcBorders>
              <w:bottom w:val="single" w:sz="4" w:space="0" w:color="auto"/>
              <w:right w:val="single" w:sz="4" w:space="0" w:color="FFFFFF" w:themeColor="background1"/>
            </w:tcBorders>
            <w:shd w:val="clear" w:color="auto" w:fill="FFFFFF"/>
            <w:vAlign w:val="bottom"/>
          </w:tcPr>
          <w:p w14:paraId="75B5D291" w14:textId="77777777" w:rsidR="00AA12E8" w:rsidRPr="00933491" w:rsidRDefault="00AA12E8" w:rsidP="0056798E">
            <w:pPr>
              <w:autoSpaceDE w:val="0"/>
              <w:autoSpaceDN w:val="0"/>
              <w:adjustRightInd w:val="0"/>
              <w:spacing w:after="0" w:line="240" w:lineRule="auto"/>
              <w:jc w:val="center"/>
              <w:rPr>
                <w:rFonts w:ascii="Times New Roman" w:hAnsi="Times New Roman" w:cs="Times New Roman"/>
                <w:sz w:val="20"/>
                <w:szCs w:val="20"/>
                <w:lang w:val="en-US"/>
              </w:rPr>
            </w:pPr>
          </w:p>
        </w:tc>
      </w:tr>
      <w:tr w:rsidR="00A31027" w:rsidRPr="00933491" w14:paraId="0BAB5CAF" w14:textId="77777777" w:rsidTr="004C7DD9">
        <w:trPr>
          <w:cantSplit/>
          <w:tblHeader/>
          <w:jc w:val="center"/>
        </w:trPr>
        <w:tc>
          <w:tcPr>
            <w:tcW w:w="740" w:type="pct"/>
            <w:vMerge w:val="restart"/>
            <w:tcBorders>
              <w:top w:val="single" w:sz="4" w:space="0" w:color="auto"/>
              <w:left w:val="single" w:sz="4" w:space="0" w:color="FFFFFF" w:themeColor="background1"/>
              <w:right w:val="single" w:sz="4" w:space="0" w:color="auto"/>
            </w:tcBorders>
            <w:shd w:val="clear" w:color="auto" w:fill="FFFFFF"/>
            <w:vAlign w:val="center"/>
          </w:tcPr>
          <w:p w14:paraId="6FFB2E1C" w14:textId="77777777" w:rsidR="00276977" w:rsidRPr="00CC11DC" w:rsidRDefault="0027697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CC11DC">
              <w:rPr>
                <w:rFonts w:ascii="Times New Roman" w:hAnsi="Times New Roman" w:cs="Times New Roman"/>
                <w:color w:val="000000"/>
                <w:sz w:val="20"/>
                <w:szCs w:val="20"/>
              </w:rPr>
              <w:t>-4</w:t>
            </w:r>
          </w:p>
        </w:tc>
        <w:tc>
          <w:tcPr>
            <w:tcW w:w="806" w:type="pct"/>
            <w:tcBorders>
              <w:top w:val="single" w:sz="4" w:space="0" w:color="auto"/>
              <w:left w:val="single" w:sz="4" w:space="0" w:color="auto"/>
              <w:bottom w:val="nil"/>
              <w:right w:val="single" w:sz="4" w:space="0" w:color="auto"/>
            </w:tcBorders>
            <w:shd w:val="clear" w:color="auto" w:fill="FFFFFF"/>
          </w:tcPr>
          <w:p w14:paraId="1224D785" w14:textId="376864A5" w:rsidR="00276977" w:rsidRPr="003E40AC"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Sim</w:t>
            </w:r>
          </w:p>
        </w:tc>
        <w:tc>
          <w:tcPr>
            <w:tcW w:w="726" w:type="pct"/>
            <w:tcBorders>
              <w:top w:val="single" w:sz="4" w:space="0" w:color="auto"/>
              <w:left w:val="single" w:sz="4" w:space="0" w:color="auto"/>
              <w:bottom w:val="nil"/>
              <w:right w:val="single" w:sz="4" w:space="0" w:color="auto"/>
            </w:tcBorders>
            <w:shd w:val="clear" w:color="auto" w:fill="FFFFFF"/>
          </w:tcPr>
          <w:p w14:paraId="2A6CB9CC" w14:textId="16501284" w:rsidR="00276977" w:rsidRPr="003E40AC" w:rsidRDefault="0027697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0,689</w:t>
            </w:r>
          </w:p>
        </w:tc>
        <w:tc>
          <w:tcPr>
            <w:tcW w:w="806" w:type="pct"/>
            <w:tcBorders>
              <w:top w:val="single" w:sz="4" w:space="0" w:color="auto"/>
              <w:left w:val="single" w:sz="4" w:space="0" w:color="auto"/>
              <w:bottom w:val="nil"/>
            </w:tcBorders>
            <w:shd w:val="clear" w:color="auto" w:fill="FFFFFF"/>
          </w:tcPr>
          <w:p w14:paraId="28208E98" w14:textId="18E30C06" w:rsidR="00276977" w:rsidRPr="00933491" w:rsidRDefault="0027697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0,408</w:t>
            </w:r>
          </w:p>
        </w:tc>
        <w:tc>
          <w:tcPr>
            <w:tcW w:w="552" w:type="pct"/>
            <w:tcBorders>
              <w:top w:val="single" w:sz="4" w:space="0" w:color="auto"/>
              <w:bottom w:val="nil"/>
            </w:tcBorders>
            <w:shd w:val="clear" w:color="auto" w:fill="FFFFFF"/>
          </w:tcPr>
          <w:p w14:paraId="040B1BA3" w14:textId="59511340" w:rsidR="00276977" w:rsidRPr="00933491" w:rsidRDefault="0027697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0,841</w:t>
            </w:r>
          </w:p>
        </w:tc>
        <w:tc>
          <w:tcPr>
            <w:tcW w:w="645" w:type="pct"/>
            <w:tcBorders>
              <w:top w:val="single" w:sz="4" w:space="0" w:color="auto"/>
              <w:bottom w:val="nil"/>
            </w:tcBorders>
            <w:shd w:val="clear" w:color="auto" w:fill="FFFFFF"/>
          </w:tcPr>
          <w:p w14:paraId="392FFB74" w14:textId="165C6C9F" w:rsidR="00276977" w:rsidRPr="00933491" w:rsidRDefault="0027697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183</w:t>
            </w:r>
          </w:p>
        </w:tc>
        <w:tc>
          <w:tcPr>
            <w:tcW w:w="725" w:type="pct"/>
            <w:tcBorders>
              <w:top w:val="single" w:sz="4" w:space="0" w:color="auto"/>
              <w:bottom w:val="nil"/>
              <w:right w:val="single" w:sz="4" w:space="0" w:color="FFFFFF" w:themeColor="background1"/>
            </w:tcBorders>
            <w:shd w:val="clear" w:color="auto" w:fill="FFFFFF"/>
          </w:tcPr>
          <w:p w14:paraId="00CE76AC" w14:textId="72BFD897" w:rsidR="00276977" w:rsidRPr="00933491" w:rsidRDefault="00276977" w:rsidP="0056798E">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933491">
              <w:rPr>
                <w:rFonts w:ascii="Times New Roman" w:hAnsi="Times New Roman" w:cs="Times New Roman"/>
                <w:b/>
                <w:color w:val="000000"/>
                <w:sz w:val="20"/>
                <w:szCs w:val="20"/>
              </w:rPr>
              <w:t>0,402</w:t>
            </w:r>
          </w:p>
        </w:tc>
      </w:tr>
      <w:tr w:rsidR="00A31027" w:rsidRPr="00933491" w14:paraId="5D2549A7" w14:textId="77777777" w:rsidTr="004C7DD9">
        <w:trPr>
          <w:cantSplit/>
          <w:tblHeader/>
          <w:jc w:val="center"/>
        </w:trPr>
        <w:tc>
          <w:tcPr>
            <w:tcW w:w="740" w:type="pct"/>
            <w:vMerge/>
            <w:tcBorders>
              <w:top w:val="single" w:sz="16" w:space="0" w:color="000000"/>
              <w:left w:val="single" w:sz="4" w:space="0" w:color="FFFFFF" w:themeColor="background1"/>
              <w:right w:val="single" w:sz="4" w:space="0" w:color="auto"/>
            </w:tcBorders>
            <w:shd w:val="clear" w:color="auto" w:fill="FFFFFF"/>
            <w:vAlign w:val="center"/>
          </w:tcPr>
          <w:p w14:paraId="480F61E4" w14:textId="77777777" w:rsidR="00276977" w:rsidRPr="00933491" w:rsidRDefault="00276977" w:rsidP="0056798E">
            <w:pPr>
              <w:autoSpaceDE w:val="0"/>
              <w:autoSpaceDN w:val="0"/>
              <w:adjustRightInd w:val="0"/>
              <w:spacing w:after="0" w:line="240" w:lineRule="auto"/>
              <w:jc w:val="center"/>
              <w:rPr>
                <w:rFonts w:ascii="Times New Roman" w:hAnsi="Times New Roman" w:cs="Times New Roman"/>
                <w:color w:val="000000"/>
                <w:sz w:val="20"/>
                <w:szCs w:val="20"/>
              </w:rPr>
            </w:pPr>
          </w:p>
        </w:tc>
        <w:tc>
          <w:tcPr>
            <w:tcW w:w="806" w:type="pct"/>
            <w:tcBorders>
              <w:top w:val="nil"/>
              <w:left w:val="single" w:sz="4" w:space="0" w:color="auto"/>
              <w:right w:val="single" w:sz="4" w:space="0" w:color="auto"/>
            </w:tcBorders>
            <w:shd w:val="clear" w:color="auto" w:fill="FFFFFF"/>
          </w:tcPr>
          <w:p w14:paraId="112B55A4" w14:textId="5EA685D4" w:rsidR="00276977" w:rsidRPr="00933491"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Não</w:t>
            </w:r>
          </w:p>
        </w:tc>
        <w:tc>
          <w:tcPr>
            <w:tcW w:w="726" w:type="pct"/>
            <w:tcBorders>
              <w:top w:val="nil"/>
              <w:left w:val="single" w:sz="4" w:space="0" w:color="auto"/>
              <w:right w:val="single" w:sz="4" w:space="0" w:color="auto"/>
            </w:tcBorders>
            <w:shd w:val="clear" w:color="auto" w:fill="FFFFFF"/>
            <w:vAlign w:val="center"/>
          </w:tcPr>
          <w:p w14:paraId="46811C4A" w14:textId="77777777" w:rsidR="00276977" w:rsidRPr="00933491" w:rsidRDefault="0027697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806" w:type="pct"/>
            <w:tcBorders>
              <w:top w:val="nil"/>
              <w:left w:val="single" w:sz="4" w:space="0" w:color="auto"/>
            </w:tcBorders>
            <w:shd w:val="clear" w:color="auto" w:fill="FFFFFF"/>
            <w:vAlign w:val="center"/>
          </w:tcPr>
          <w:p w14:paraId="6227270F" w14:textId="77777777" w:rsidR="00276977" w:rsidRPr="00933491" w:rsidRDefault="0027697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552" w:type="pct"/>
            <w:tcBorders>
              <w:top w:val="nil"/>
            </w:tcBorders>
            <w:shd w:val="clear" w:color="auto" w:fill="FFFFFF"/>
          </w:tcPr>
          <w:p w14:paraId="13126509" w14:textId="216FC3AF" w:rsidR="00276977" w:rsidRPr="00933491" w:rsidRDefault="0027697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0,792</w:t>
            </w:r>
          </w:p>
        </w:tc>
        <w:tc>
          <w:tcPr>
            <w:tcW w:w="645" w:type="pct"/>
            <w:tcBorders>
              <w:top w:val="nil"/>
            </w:tcBorders>
            <w:shd w:val="clear" w:color="auto" w:fill="FFFFFF"/>
          </w:tcPr>
          <w:p w14:paraId="43BAC40A" w14:textId="57B2DD73" w:rsidR="00276977" w:rsidRPr="00933491" w:rsidRDefault="0027697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124,718</w:t>
            </w:r>
          </w:p>
        </w:tc>
        <w:tc>
          <w:tcPr>
            <w:tcW w:w="725" w:type="pct"/>
            <w:tcBorders>
              <w:top w:val="nil"/>
              <w:right w:val="single" w:sz="4" w:space="0" w:color="FFFFFF" w:themeColor="background1"/>
            </w:tcBorders>
            <w:shd w:val="clear" w:color="auto" w:fill="FFFFFF"/>
          </w:tcPr>
          <w:p w14:paraId="6EFF8F31" w14:textId="03E66C8F" w:rsidR="00276977" w:rsidRPr="00933491" w:rsidRDefault="0027697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0,430</w:t>
            </w:r>
          </w:p>
        </w:tc>
      </w:tr>
      <w:tr w:rsidR="00A31027" w:rsidRPr="00933491" w14:paraId="40A84CB1" w14:textId="77777777" w:rsidTr="004C7DD9">
        <w:trPr>
          <w:cantSplit/>
          <w:tblHeader/>
          <w:jc w:val="center"/>
        </w:trPr>
        <w:tc>
          <w:tcPr>
            <w:tcW w:w="740" w:type="pct"/>
            <w:vMerge w:val="restart"/>
            <w:tcBorders>
              <w:left w:val="single" w:sz="4" w:space="0" w:color="FFFFFF" w:themeColor="background1"/>
              <w:right w:val="single" w:sz="4" w:space="0" w:color="auto"/>
            </w:tcBorders>
            <w:shd w:val="clear" w:color="auto" w:fill="FFFFFF"/>
            <w:vAlign w:val="center"/>
          </w:tcPr>
          <w:p w14:paraId="7A87796F" w14:textId="77777777" w:rsidR="00A31027" w:rsidRPr="00CC11DC"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CC11DC">
              <w:rPr>
                <w:rFonts w:ascii="Times New Roman" w:hAnsi="Times New Roman" w:cs="Times New Roman"/>
                <w:color w:val="000000"/>
                <w:sz w:val="20"/>
                <w:szCs w:val="20"/>
              </w:rPr>
              <w:t>-3</w:t>
            </w:r>
          </w:p>
        </w:tc>
        <w:tc>
          <w:tcPr>
            <w:tcW w:w="806" w:type="pct"/>
            <w:tcBorders>
              <w:left w:val="single" w:sz="4" w:space="0" w:color="auto"/>
              <w:bottom w:val="nil"/>
              <w:right w:val="single" w:sz="4" w:space="0" w:color="auto"/>
            </w:tcBorders>
            <w:shd w:val="clear" w:color="auto" w:fill="FFFFFF"/>
          </w:tcPr>
          <w:p w14:paraId="3A4A9B80" w14:textId="3771CF7C" w:rsidR="00A31027" w:rsidRPr="003E40AC"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Sim</w:t>
            </w:r>
          </w:p>
        </w:tc>
        <w:tc>
          <w:tcPr>
            <w:tcW w:w="726" w:type="pct"/>
            <w:tcBorders>
              <w:left w:val="single" w:sz="4" w:space="0" w:color="auto"/>
              <w:bottom w:val="nil"/>
              <w:right w:val="single" w:sz="4" w:space="0" w:color="auto"/>
            </w:tcBorders>
            <w:shd w:val="clear" w:color="auto" w:fill="FFFFFF"/>
          </w:tcPr>
          <w:p w14:paraId="5B3C40DC" w14:textId="39DF4D04" w:rsidR="00A31027" w:rsidRPr="003E40AC"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1,568</w:t>
            </w:r>
          </w:p>
        </w:tc>
        <w:tc>
          <w:tcPr>
            <w:tcW w:w="806" w:type="pct"/>
            <w:tcBorders>
              <w:left w:val="single" w:sz="4" w:space="0" w:color="auto"/>
              <w:bottom w:val="nil"/>
            </w:tcBorders>
            <w:shd w:val="clear" w:color="auto" w:fill="FFFFFF"/>
          </w:tcPr>
          <w:p w14:paraId="31911D14" w14:textId="469A6C97"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0,212</w:t>
            </w:r>
          </w:p>
        </w:tc>
        <w:tc>
          <w:tcPr>
            <w:tcW w:w="552" w:type="pct"/>
            <w:tcBorders>
              <w:bottom w:val="nil"/>
            </w:tcBorders>
            <w:shd w:val="clear" w:color="auto" w:fill="FFFFFF"/>
          </w:tcPr>
          <w:p w14:paraId="271543FC" w14:textId="2D44CA67"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1,342</w:t>
            </w:r>
          </w:p>
        </w:tc>
        <w:tc>
          <w:tcPr>
            <w:tcW w:w="645" w:type="pct"/>
            <w:tcBorders>
              <w:bottom w:val="nil"/>
            </w:tcBorders>
            <w:shd w:val="clear" w:color="auto" w:fill="FFFFFF"/>
          </w:tcPr>
          <w:p w14:paraId="75DDEB77" w14:textId="43159A53"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220</w:t>
            </w:r>
          </w:p>
        </w:tc>
        <w:tc>
          <w:tcPr>
            <w:tcW w:w="725" w:type="pct"/>
            <w:tcBorders>
              <w:bottom w:val="nil"/>
              <w:right w:val="single" w:sz="4" w:space="0" w:color="FFFFFF" w:themeColor="background1"/>
            </w:tcBorders>
            <w:shd w:val="clear" w:color="auto" w:fill="FFFFFF"/>
          </w:tcPr>
          <w:p w14:paraId="5D9F3B06" w14:textId="6DE4E5A7"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933491">
              <w:rPr>
                <w:rFonts w:ascii="Times New Roman" w:hAnsi="Times New Roman" w:cs="Times New Roman"/>
                <w:b/>
                <w:color w:val="000000"/>
                <w:sz w:val="20"/>
                <w:szCs w:val="20"/>
              </w:rPr>
              <w:t>0,324</w:t>
            </w:r>
          </w:p>
        </w:tc>
      </w:tr>
      <w:tr w:rsidR="00A31027" w:rsidRPr="00933491" w14:paraId="22EFE675" w14:textId="77777777" w:rsidTr="004C7DD9">
        <w:trPr>
          <w:cantSplit/>
          <w:tblHeader/>
          <w:jc w:val="center"/>
        </w:trPr>
        <w:tc>
          <w:tcPr>
            <w:tcW w:w="740" w:type="pct"/>
            <w:vMerge/>
            <w:tcBorders>
              <w:left w:val="single" w:sz="4" w:space="0" w:color="FFFFFF" w:themeColor="background1"/>
              <w:right w:val="single" w:sz="4" w:space="0" w:color="auto"/>
            </w:tcBorders>
            <w:shd w:val="clear" w:color="auto" w:fill="FFFFFF"/>
            <w:vAlign w:val="center"/>
          </w:tcPr>
          <w:p w14:paraId="1392F147" w14:textId="77777777" w:rsidR="00A31027" w:rsidRPr="00933491" w:rsidRDefault="00A31027" w:rsidP="0056798E">
            <w:pPr>
              <w:autoSpaceDE w:val="0"/>
              <w:autoSpaceDN w:val="0"/>
              <w:adjustRightInd w:val="0"/>
              <w:spacing w:after="0" w:line="240" w:lineRule="auto"/>
              <w:jc w:val="center"/>
              <w:rPr>
                <w:rFonts w:ascii="Times New Roman" w:hAnsi="Times New Roman" w:cs="Times New Roman"/>
                <w:color w:val="000000"/>
                <w:sz w:val="20"/>
                <w:szCs w:val="20"/>
              </w:rPr>
            </w:pPr>
          </w:p>
        </w:tc>
        <w:tc>
          <w:tcPr>
            <w:tcW w:w="806" w:type="pct"/>
            <w:tcBorders>
              <w:top w:val="nil"/>
              <w:left w:val="single" w:sz="4" w:space="0" w:color="auto"/>
              <w:right w:val="single" w:sz="4" w:space="0" w:color="auto"/>
            </w:tcBorders>
            <w:shd w:val="clear" w:color="auto" w:fill="FFFFFF"/>
          </w:tcPr>
          <w:p w14:paraId="073EF582" w14:textId="1C1715EE"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Não</w:t>
            </w:r>
          </w:p>
        </w:tc>
        <w:tc>
          <w:tcPr>
            <w:tcW w:w="726" w:type="pct"/>
            <w:tcBorders>
              <w:top w:val="nil"/>
              <w:left w:val="single" w:sz="4" w:space="0" w:color="auto"/>
              <w:right w:val="single" w:sz="4" w:space="0" w:color="auto"/>
            </w:tcBorders>
            <w:shd w:val="clear" w:color="auto" w:fill="FFFFFF"/>
            <w:vAlign w:val="center"/>
          </w:tcPr>
          <w:p w14:paraId="155D1EFF" w14:textId="77777777"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806" w:type="pct"/>
            <w:tcBorders>
              <w:top w:val="nil"/>
              <w:left w:val="single" w:sz="4" w:space="0" w:color="auto"/>
            </w:tcBorders>
            <w:shd w:val="clear" w:color="auto" w:fill="FFFFFF"/>
            <w:vAlign w:val="center"/>
          </w:tcPr>
          <w:p w14:paraId="307ADAE7" w14:textId="77777777"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552" w:type="pct"/>
            <w:tcBorders>
              <w:top w:val="nil"/>
            </w:tcBorders>
            <w:shd w:val="clear" w:color="auto" w:fill="FFFFFF"/>
          </w:tcPr>
          <w:p w14:paraId="742CA795" w14:textId="2ECE31E1"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1,332</w:t>
            </w:r>
          </w:p>
        </w:tc>
        <w:tc>
          <w:tcPr>
            <w:tcW w:w="645" w:type="pct"/>
            <w:tcBorders>
              <w:top w:val="nil"/>
            </w:tcBorders>
            <w:shd w:val="clear" w:color="auto" w:fill="FFFFFF"/>
          </w:tcPr>
          <w:p w14:paraId="7025ECE5" w14:textId="375C4268"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206,761</w:t>
            </w:r>
          </w:p>
        </w:tc>
        <w:tc>
          <w:tcPr>
            <w:tcW w:w="725" w:type="pct"/>
            <w:tcBorders>
              <w:top w:val="nil"/>
              <w:right w:val="single" w:sz="4" w:space="0" w:color="FFFFFF" w:themeColor="background1"/>
            </w:tcBorders>
            <w:shd w:val="clear" w:color="auto" w:fill="FFFFFF"/>
          </w:tcPr>
          <w:p w14:paraId="79FE1170" w14:textId="696C5610"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0,184</w:t>
            </w:r>
          </w:p>
        </w:tc>
      </w:tr>
      <w:tr w:rsidR="00A31027" w:rsidRPr="00933491" w14:paraId="1545F547" w14:textId="77777777" w:rsidTr="004C7DD9">
        <w:trPr>
          <w:cantSplit/>
          <w:tblHeader/>
          <w:jc w:val="center"/>
        </w:trPr>
        <w:tc>
          <w:tcPr>
            <w:tcW w:w="740" w:type="pct"/>
            <w:vMerge w:val="restart"/>
            <w:tcBorders>
              <w:left w:val="single" w:sz="4" w:space="0" w:color="FFFFFF" w:themeColor="background1"/>
              <w:right w:val="single" w:sz="4" w:space="0" w:color="auto"/>
            </w:tcBorders>
            <w:shd w:val="clear" w:color="auto" w:fill="FFFFFF"/>
            <w:vAlign w:val="center"/>
          </w:tcPr>
          <w:p w14:paraId="6868D837" w14:textId="77777777" w:rsidR="00A31027" w:rsidRPr="00CC11DC"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CC11DC">
              <w:rPr>
                <w:rFonts w:ascii="Times New Roman" w:hAnsi="Times New Roman" w:cs="Times New Roman"/>
                <w:color w:val="000000"/>
                <w:sz w:val="20"/>
                <w:szCs w:val="20"/>
              </w:rPr>
              <w:t>-2</w:t>
            </w:r>
          </w:p>
        </w:tc>
        <w:tc>
          <w:tcPr>
            <w:tcW w:w="806" w:type="pct"/>
            <w:tcBorders>
              <w:left w:val="single" w:sz="4" w:space="0" w:color="auto"/>
              <w:bottom w:val="nil"/>
              <w:right w:val="single" w:sz="4" w:space="0" w:color="auto"/>
            </w:tcBorders>
            <w:shd w:val="clear" w:color="auto" w:fill="FFFFFF"/>
          </w:tcPr>
          <w:p w14:paraId="193B9B49" w14:textId="6C87767D" w:rsidR="00A31027" w:rsidRPr="003E40AC"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Sim</w:t>
            </w:r>
          </w:p>
        </w:tc>
        <w:tc>
          <w:tcPr>
            <w:tcW w:w="726" w:type="pct"/>
            <w:tcBorders>
              <w:left w:val="single" w:sz="4" w:space="0" w:color="auto"/>
              <w:bottom w:val="nil"/>
              <w:right w:val="single" w:sz="4" w:space="0" w:color="auto"/>
            </w:tcBorders>
            <w:shd w:val="clear" w:color="auto" w:fill="FFFFFF"/>
          </w:tcPr>
          <w:p w14:paraId="1EC1092D" w14:textId="7C2E8C2F" w:rsidR="00A31027" w:rsidRPr="003E40AC"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0,956</w:t>
            </w:r>
          </w:p>
        </w:tc>
        <w:tc>
          <w:tcPr>
            <w:tcW w:w="806" w:type="pct"/>
            <w:tcBorders>
              <w:left w:val="single" w:sz="4" w:space="0" w:color="auto"/>
              <w:bottom w:val="nil"/>
            </w:tcBorders>
            <w:shd w:val="clear" w:color="auto" w:fill="FFFFFF"/>
          </w:tcPr>
          <w:p w14:paraId="6E89CC07" w14:textId="20C4E841"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0,329</w:t>
            </w:r>
          </w:p>
        </w:tc>
        <w:tc>
          <w:tcPr>
            <w:tcW w:w="552" w:type="pct"/>
            <w:tcBorders>
              <w:bottom w:val="nil"/>
            </w:tcBorders>
            <w:shd w:val="clear" w:color="auto" w:fill="FFFFFF"/>
          </w:tcPr>
          <w:p w14:paraId="376509BA" w14:textId="3D0EBEC9"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1,267</w:t>
            </w:r>
          </w:p>
        </w:tc>
        <w:tc>
          <w:tcPr>
            <w:tcW w:w="645" w:type="pct"/>
            <w:tcBorders>
              <w:bottom w:val="nil"/>
            </w:tcBorders>
            <w:shd w:val="clear" w:color="auto" w:fill="FFFFFF"/>
          </w:tcPr>
          <w:p w14:paraId="3A32EEAD" w14:textId="79B9EF32"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237</w:t>
            </w:r>
          </w:p>
        </w:tc>
        <w:tc>
          <w:tcPr>
            <w:tcW w:w="725" w:type="pct"/>
            <w:tcBorders>
              <w:bottom w:val="nil"/>
              <w:right w:val="single" w:sz="4" w:space="0" w:color="FFFFFF" w:themeColor="background1"/>
            </w:tcBorders>
            <w:shd w:val="clear" w:color="auto" w:fill="FFFFFF"/>
          </w:tcPr>
          <w:p w14:paraId="4EFB2EF9" w14:textId="6D1A4A9F"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933491">
              <w:rPr>
                <w:rFonts w:ascii="Times New Roman" w:hAnsi="Times New Roman" w:cs="Times New Roman"/>
                <w:b/>
                <w:color w:val="000000"/>
                <w:sz w:val="20"/>
                <w:szCs w:val="20"/>
              </w:rPr>
              <w:t>0,206</w:t>
            </w:r>
          </w:p>
        </w:tc>
      </w:tr>
      <w:tr w:rsidR="00A31027" w:rsidRPr="00933491" w14:paraId="18444B9E" w14:textId="77777777" w:rsidTr="004C7DD9">
        <w:trPr>
          <w:cantSplit/>
          <w:tblHeader/>
          <w:jc w:val="center"/>
        </w:trPr>
        <w:tc>
          <w:tcPr>
            <w:tcW w:w="740" w:type="pct"/>
            <w:vMerge/>
            <w:tcBorders>
              <w:left w:val="single" w:sz="4" w:space="0" w:color="FFFFFF" w:themeColor="background1"/>
              <w:right w:val="single" w:sz="4" w:space="0" w:color="auto"/>
            </w:tcBorders>
            <w:shd w:val="clear" w:color="auto" w:fill="FFFFFF"/>
            <w:vAlign w:val="center"/>
          </w:tcPr>
          <w:p w14:paraId="37DF7112" w14:textId="77777777" w:rsidR="00A31027" w:rsidRPr="00933491" w:rsidRDefault="00A31027" w:rsidP="0056798E">
            <w:pPr>
              <w:autoSpaceDE w:val="0"/>
              <w:autoSpaceDN w:val="0"/>
              <w:adjustRightInd w:val="0"/>
              <w:spacing w:after="0" w:line="240" w:lineRule="auto"/>
              <w:jc w:val="center"/>
              <w:rPr>
                <w:rFonts w:ascii="Times New Roman" w:hAnsi="Times New Roman" w:cs="Times New Roman"/>
                <w:color w:val="000000"/>
                <w:sz w:val="20"/>
                <w:szCs w:val="20"/>
              </w:rPr>
            </w:pPr>
          </w:p>
        </w:tc>
        <w:tc>
          <w:tcPr>
            <w:tcW w:w="806" w:type="pct"/>
            <w:tcBorders>
              <w:top w:val="nil"/>
              <w:left w:val="single" w:sz="4" w:space="0" w:color="auto"/>
              <w:right w:val="single" w:sz="4" w:space="0" w:color="auto"/>
            </w:tcBorders>
            <w:shd w:val="clear" w:color="auto" w:fill="FFFFFF"/>
          </w:tcPr>
          <w:p w14:paraId="120195EF" w14:textId="6A073A79"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Não</w:t>
            </w:r>
          </w:p>
        </w:tc>
        <w:tc>
          <w:tcPr>
            <w:tcW w:w="726" w:type="pct"/>
            <w:tcBorders>
              <w:top w:val="nil"/>
              <w:left w:val="single" w:sz="4" w:space="0" w:color="auto"/>
              <w:right w:val="single" w:sz="4" w:space="0" w:color="auto"/>
            </w:tcBorders>
            <w:shd w:val="clear" w:color="auto" w:fill="FFFFFF"/>
            <w:vAlign w:val="center"/>
          </w:tcPr>
          <w:p w14:paraId="61E1B5DB" w14:textId="77777777"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806" w:type="pct"/>
            <w:tcBorders>
              <w:top w:val="nil"/>
              <w:left w:val="single" w:sz="4" w:space="0" w:color="auto"/>
            </w:tcBorders>
            <w:shd w:val="clear" w:color="auto" w:fill="FFFFFF"/>
            <w:vAlign w:val="center"/>
          </w:tcPr>
          <w:p w14:paraId="2B0A9011" w14:textId="77777777"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552" w:type="pct"/>
            <w:tcBorders>
              <w:top w:val="nil"/>
            </w:tcBorders>
            <w:shd w:val="clear" w:color="auto" w:fill="FFFFFF"/>
          </w:tcPr>
          <w:p w14:paraId="4F45992B" w14:textId="24ADA089"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1,286</w:t>
            </w:r>
          </w:p>
        </w:tc>
        <w:tc>
          <w:tcPr>
            <w:tcW w:w="645" w:type="pct"/>
            <w:tcBorders>
              <w:top w:val="nil"/>
            </w:tcBorders>
            <w:shd w:val="clear" w:color="auto" w:fill="FFFFFF"/>
          </w:tcPr>
          <w:p w14:paraId="3C11DAEA" w14:textId="33F47B77"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224,798</w:t>
            </w:r>
          </w:p>
        </w:tc>
        <w:tc>
          <w:tcPr>
            <w:tcW w:w="725" w:type="pct"/>
            <w:tcBorders>
              <w:top w:val="nil"/>
              <w:right w:val="single" w:sz="4" w:space="0" w:color="FFFFFF" w:themeColor="background1"/>
            </w:tcBorders>
            <w:shd w:val="clear" w:color="auto" w:fill="FFFFFF"/>
          </w:tcPr>
          <w:p w14:paraId="14082A1D" w14:textId="7F827D67" w:rsidR="00A31027" w:rsidRPr="00933491" w:rsidRDefault="00264AE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w:t>
            </w:r>
            <w:r w:rsidR="00A31027" w:rsidRPr="00933491">
              <w:rPr>
                <w:rFonts w:ascii="Times New Roman" w:hAnsi="Times New Roman" w:cs="Times New Roman"/>
                <w:color w:val="000000"/>
                <w:sz w:val="20"/>
                <w:szCs w:val="20"/>
              </w:rPr>
              <w:t>,200</w:t>
            </w:r>
          </w:p>
        </w:tc>
      </w:tr>
      <w:tr w:rsidR="00A31027" w:rsidRPr="00933491" w14:paraId="4340A2C8" w14:textId="77777777" w:rsidTr="004C7DD9">
        <w:trPr>
          <w:cantSplit/>
          <w:tblHeader/>
          <w:jc w:val="center"/>
        </w:trPr>
        <w:tc>
          <w:tcPr>
            <w:tcW w:w="740" w:type="pct"/>
            <w:vMerge w:val="restart"/>
            <w:tcBorders>
              <w:left w:val="single" w:sz="4" w:space="0" w:color="FFFFFF" w:themeColor="background1"/>
              <w:right w:val="single" w:sz="4" w:space="0" w:color="auto"/>
            </w:tcBorders>
            <w:shd w:val="clear" w:color="auto" w:fill="FFFFFF"/>
            <w:vAlign w:val="center"/>
          </w:tcPr>
          <w:p w14:paraId="0F159EE7" w14:textId="77777777" w:rsidR="00A31027" w:rsidRPr="00CC11DC"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CC11DC">
              <w:rPr>
                <w:rFonts w:ascii="Times New Roman" w:hAnsi="Times New Roman" w:cs="Times New Roman"/>
                <w:color w:val="000000"/>
                <w:sz w:val="20"/>
                <w:szCs w:val="20"/>
              </w:rPr>
              <w:t>-1</w:t>
            </w:r>
          </w:p>
        </w:tc>
        <w:tc>
          <w:tcPr>
            <w:tcW w:w="806" w:type="pct"/>
            <w:tcBorders>
              <w:left w:val="single" w:sz="4" w:space="0" w:color="auto"/>
              <w:bottom w:val="nil"/>
              <w:right w:val="single" w:sz="4" w:space="0" w:color="auto"/>
            </w:tcBorders>
            <w:shd w:val="clear" w:color="auto" w:fill="FFFFFF"/>
          </w:tcPr>
          <w:p w14:paraId="4B7DC7BA" w14:textId="32BAB020" w:rsidR="00A31027" w:rsidRPr="003E40AC"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Sim</w:t>
            </w:r>
          </w:p>
        </w:tc>
        <w:tc>
          <w:tcPr>
            <w:tcW w:w="726" w:type="pct"/>
            <w:tcBorders>
              <w:left w:val="single" w:sz="4" w:space="0" w:color="auto"/>
              <w:bottom w:val="nil"/>
              <w:right w:val="single" w:sz="4" w:space="0" w:color="auto"/>
            </w:tcBorders>
            <w:shd w:val="clear" w:color="auto" w:fill="FFFFFF"/>
          </w:tcPr>
          <w:p w14:paraId="3364132C" w14:textId="11549154" w:rsidR="00A31027" w:rsidRPr="003E40AC"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1,789</w:t>
            </w:r>
          </w:p>
        </w:tc>
        <w:tc>
          <w:tcPr>
            <w:tcW w:w="806" w:type="pct"/>
            <w:tcBorders>
              <w:left w:val="single" w:sz="4" w:space="0" w:color="auto"/>
              <w:bottom w:val="nil"/>
            </w:tcBorders>
            <w:shd w:val="clear" w:color="auto" w:fill="FFFFFF"/>
          </w:tcPr>
          <w:p w14:paraId="21404857" w14:textId="7457F304"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0,182</w:t>
            </w:r>
          </w:p>
        </w:tc>
        <w:tc>
          <w:tcPr>
            <w:tcW w:w="552" w:type="pct"/>
            <w:tcBorders>
              <w:bottom w:val="nil"/>
            </w:tcBorders>
            <w:shd w:val="clear" w:color="auto" w:fill="FFFFFF"/>
          </w:tcPr>
          <w:p w14:paraId="3A2404C7" w14:textId="6D12E6CC"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3,360</w:t>
            </w:r>
          </w:p>
        </w:tc>
        <w:tc>
          <w:tcPr>
            <w:tcW w:w="645" w:type="pct"/>
            <w:tcBorders>
              <w:bottom w:val="nil"/>
            </w:tcBorders>
            <w:shd w:val="clear" w:color="auto" w:fill="FFFFFF"/>
          </w:tcPr>
          <w:p w14:paraId="12D81199" w14:textId="092D142D"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254</w:t>
            </w:r>
          </w:p>
        </w:tc>
        <w:tc>
          <w:tcPr>
            <w:tcW w:w="725" w:type="pct"/>
            <w:tcBorders>
              <w:bottom w:val="nil"/>
              <w:right w:val="single" w:sz="4" w:space="0" w:color="FFFFFF" w:themeColor="background1"/>
            </w:tcBorders>
            <w:shd w:val="clear" w:color="auto" w:fill="FFFFFF"/>
          </w:tcPr>
          <w:p w14:paraId="0627E31E" w14:textId="216BC3C3"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933491">
              <w:rPr>
                <w:rFonts w:ascii="Times New Roman" w:hAnsi="Times New Roman" w:cs="Times New Roman"/>
                <w:b/>
                <w:color w:val="000000"/>
                <w:sz w:val="20"/>
                <w:szCs w:val="20"/>
              </w:rPr>
              <w:t>0,001</w:t>
            </w:r>
          </w:p>
        </w:tc>
      </w:tr>
      <w:tr w:rsidR="00A31027" w:rsidRPr="00933491" w14:paraId="6B0F4B97" w14:textId="77777777" w:rsidTr="004C7DD9">
        <w:trPr>
          <w:cantSplit/>
          <w:tblHeader/>
          <w:jc w:val="center"/>
        </w:trPr>
        <w:tc>
          <w:tcPr>
            <w:tcW w:w="740" w:type="pct"/>
            <w:vMerge/>
            <w:tcBorders>
              <w:left w:val="single" w:sz="4" w:space="0" w:color="FFFFFF" w:themeColor="background1"/>
              <w:right w:val="single" w:sz="4" w:space="0" w:color="auto"/>
            </w:tcBorders>
            <w:shd w:val="clear" w:color="auto" w:fill="FFFFFF"/>
            <w:vAlign w:val="center"/>
          </w:tcPr>
          <w:p w14:paraId="21B1A4EE" w14:textId="77777777" w:rsidR="00A31027" w:rsidRPr="00933491" w:rsidRDefault="00A31027" w:rsidP="0056798E">
            <w:pPr>
              <w:autoSpaceDE w:val="0"/>
              <w:autoSpaceDN w:val="0"/>
              <w:adjustRightInd w:val="0"/>
              <w:spacing w:after="0" w:line="240" w:lineRule="auto"/>
              <w:jc w:val="center"/>
              <w:rPr>
                <w:rFonts w:ascii="Times New Roman" w:hAnsi="Times New Roman" w:cs="Times New Roman"/>
                <w:color w:val="000000"/>
                <w:sz w:val="20"/>
                <w:szCs w:val="20"/>
              </w:rPr>
            </w:pPr>
          </w:p>
        </w:tc>
        <w:tc>
          <w:tcPr>
            <w:tcW w:w="806" w:type="pct"/>
            <w:tcBorders>
              <w:top w:val="nil"/>
              <w:left w:val="single" w:sz="4" w:space="0" w:color="auto"/>
              <w:right w:val="single" w:sz="4" w:space="0" w:color="auto"/>
            </w:tcBorders>
            <w:shd w:val="clear" w:color="auto" w:fill="FFFFFF"/>
          </w:tcPr>
          <w:p w14:paraId="371102DF" w14:textId="0495C9EB"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Não</w:t>
            </w:r>
          </w:p>
        </w:tc>
        <w:tc>
          <w:tcPr>
            <w:tcW w:w="726" w:type="pct"/>
            <w:tcBorders>
              <w:top w:val="nil"/>
              <w:left w:val="single" w:sz="4" w:space="0" w:color="auto"/>
              <w:right w:val="single" w:sz="4" w:space="0" w:color="auto"/>
            </w:tcBorders>
            <w:shd w:val="clear" w:color="auto" w:fill="FFFFFF"/>
            <w:vAlign w:val="center"/>
          </w:tcPr>
          <w:p w14:paraId="22A7F8A2" w14:textId="77777777"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806" w:type="pct"/>
            <w:tcBorders>
              <w:top w:val="nil"/>
              <w:left w:val="single" w:sz="4" w:space="0" w:color="auto"/>
            </w:tcBorders>
            <w:shd w:val="clear" w:color="auto" w:fill="FFFFFF"/>
            <w:vAlign w:val="center"/>
          </w:tcPr>
          <w:p w14:paraId="20FA2D9A" w14:textId="77777777"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552" w:type="pct"/>
            <w:tcBorders>
              <w:top w:val="nil"/>
            </w:tcBorders>
            <w:shd w:val="clear" w:color="auto" w:fill="FFFFFF"/>
          </w:tcPr>
          <w:p w14:paraId="38B4431D" w14:textId="3E41D945"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3,337</w:t>
            </w:r>
          </w:p>
        </w:tc>
        <w:tc>
          <w:tcPr>
            <w:tcW w:w="645" w:type="pct"/>
            <w:tcBorders>
              <w:top w:val="nil"/>
            </w:tcBorders>
            <w:shd w:val="clear" w:color="auto" w:fill="FFFFFF"/>
          </w:tcPr>
          <w:p w14:paraId="767F8506" w14:textId="7F390634"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238,139</w:t>
            </w:r>
          </w:p>
        </w:tc>
        <w:tc>
          <w:tcPr>
            <w:tcW w:w="725" w:type="pct"/>
            <w:tcBorders>
              <w:top w:val="nil"/>
              <w:right w:val="single" w:sz="4" w:space="0" w:color="FFFFFF" w:themeColor="background1"/>
            </w:tcBorders>
            <w:shd w:val="clear" w:color="auto" w:fill="FFFFFF"/>
          </w:tcPr>
          <w:p w14:paraId="151F410D" w14:textId="49AFE66F"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0,001</w:t>
            </w:r>
          </w:p>
        </w:tc>
      </w:tr>
      <w:tr w:rsidR="00A31027" w:rsidRPr="00933491" w14:paraId="4BE0303E" w14:textId="77777777" w:rsidTr="004C7DD9">
        <w:trPr>
          <w:cantSplit/>
          <w:tblHeader/>
          <w:jc w:val="center"/>
        </w:trPr>
        <w:tc>
          <w:tcPr>
            <w:tcW w:w="740" w:type="pct"/>
            <w:vMerge w:val="restart"/>
            <w:tcBorders>
              <w:left w:val="single" w:sz="4" w:space="0" w:color="FFFFFF" w:themeColor="background1"/>
              <w:right w:val="single" w:sz="4" w:space="0" w:color="auto"/>
            </w:tcBorders>
            <w:shd w:val="clear" w:color="auto" w:fill="FFFFFF"/>
            <w:vAlign w:val="center"/>
          </w:tcPr>
          <w:p w14:paraId="44D3BEB7" w14:textId="77777777" w:rsidR="00A31027" w:rsidRPr="00CC11DC"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CC11DC">
              <w:rPr>
                <w:rFonts w:ascii="Times New Roman" w:hAnsi="Times New Roman" w:cs="Times New Roman"/>
                <w:color w:val="000000"/>
                <w:sz w:val="20"/>
                <w:szCs w:val="20"/>
              </w:rPr>
              <w:t>0</w:t>
            </w:r>
          </w:p>
        </w:tc>
        <w:tc>
          <w:tcPr>
            <w:tcW w:w="806" w:type="pct"/>
            <w:tcBorders>
              <w:left w:val="single" w:sz="4" w:space="0" w:color="auto"/>
              <w:bottom w:val="nil"/>
              <w:right w:val="single" w:sz="4" w:space="0" w:color="auto"/>
            </w:tcBorders>
            <w:shd w:val="clear" w:color="auto" w:fill="FFFFFF"/>
          </w:tcPr>
          <w:p w14:paraId="0A484AD3" w14:textId="3FB2B999" w:rsidR="00A31027" w:rsidRPr="003E40AC"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Sim</w:t>
            </w:r>
          </w:p>
        </w:tc>
        <w:tc>
          <w:tcPr>
            <w:tcW w:w="726" w:type="pct"/>
            <w:tcBorders>
              <w:left w:val="single" w:sz="4" w:space="0" w:color="auto"/>
              <w:bottom w:val="nil"/>
              <w:right w:val="single" w:sz="4" w:space="0" w:color="auto"/>
            </w:tcBorders>
            <w:shd w:val="clear" w:color="auto" w:fill="FFFFFF"/>
          </w:tcPr>
          <w:p w14:paraId="126B3A0D" w14:textId="7C281FBD" w:rsidR="00A31027" w:rsidRPr="003E40AC"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0,268</w:t>
            </w:r>
          </w:p>
        </w:tc>
        <w:tc>
          <w:tcPr>
            <w:tcW w:w="806" w:type="pct"/>
            <w:tcBorders>
              <w:left w:val="single" w:sz="4" w:space="0" w:color="auto"/>
              <w:bottom w:val="nil"/>
            </w:tcBorders>
            <w:shd w:val="clear" w:color="auto" w:fill="FFFFFF"/>
          </w:tcPr>
          <w:p w14:paraId="369EBD72" w14:textId="2A5699AF"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0,605</w:t>
            </w:r>
          </w:p>
        </w:tc>
        <w:tc>
          <w:tcPr>
            <w:tcW w:w="552" w:type="pct"/>
            <w:tcBorders>
              <w:bottom w:val="nil"/>
            </w:tcBorders>
            <w:shd w:val="clear" w:color="auto" w:fill="FFFFFF"/>
          </w:tcPr>
          <w:p w14:paraId="02D68527" w14:textId="5752AA83"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2,811</w:t>
            </w:r>
          </w:p>
        </w:tc>
        <w:tc>
          <w:tcPr>
            <w:tcW w:w="645" w:type="pct"/>
            <w:tcBorders>
              <w:bottom w:val="nil"/>
            </w:tcBorders>
            <w:shd w:val="clear" w:color="auto" w:fill="FFFFFF"/>
          </w:tcPr>
          <w:p w14:paraId="7ABEC843" w14:textId="19643890"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259</w:t>
            </w:r>
          </w:p>
        </w:tc>
        <w:tc>
          <w:tcPr>
            <w:tcW w:w="725" w:type="pct"/>
            <w:tcBorders>
              <w:bottom w:val="nil"/>
              <w:right w:val="single" w:sz="4" w:space="0" w:color="FFFFFF" w:themeColor="background1"/>
            </w:tcBorders>
            <w:shd w:val="clear" w:color="auto" w:fill="FFFFFF"/>
          </w:tcPr>
          <w:p w14:paraId="04159ACC" w14:textId="34DA9F0A"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933491">
              <w:rPr>
                <w:rFonts w:ascii="Times New Roman" w:hAnsi="Times New Roman" w:cs="Times New Roman"/>
                <w:b/>
                <w:color w:val="000000"/>
                <w:sz w:val="20"/>
                <w:szCs w:val="20"/>
              </w:rPr>
              <w:t>0,005</w:t>
            </w:r>
          </w:p>
        </w:tc>
      </w:tr>
      <w:tr w:rsidR="00A31027" w:rsidRPr="00933491" w14:paraId="46F0947B" w14:textId="77777777" w:rsidTr="004C7DD9">
        <w:trPr>
          <w:cantSplit/>
          <w:tblHeader/>
          <w:jc w:val="center"/>
        </w:trPr>
        <w:tc>
          <w:tcPr>
            <w:tcW w:w="740" w:type="pct"/>
            <w:vMerge/>
            <w:tcBorders>
              <w:left w:val="single" w:sz="4" w:space="0" w:color="FFFFFF" w:themeColor="background1"/>
              <w:right w:val="single" w:sz="4" w:space="0" w:color="auto"/>
            </w:tcBorders>
            <w:shd w:val="clear" w:color="auto" w:fill="FFFFFF"/>
            <w:vAlign w:val="center"/>
          </w:tcPr>
          <w:p w14:paraId="72A793D6" w14:textId="77777777" w:rsidR="00A31027" w:rsidRPr="00933491" w:rsidRDefault="00A31027" w:rsidP="0056798E">
            <w:pPr>
              <w:autoSpaceDE w:val="0"/>
              <w:autoSpaceDN w:val="0"/>
              <w:adjustRightInd w:val="0"/>
              <w:spacing w:after="0" w:line="240" w:lineRule="auto"/>
              <w:jc w:val="center"/>
              <w:rPr>
                <w:rFonts w:ascii="Times New Roman" w:hAnsi="Times New Roman" w:cs="Times New Roman"/>
                <w:color w:val="000000"/>
                <w:sz w:val="20"/>
                <w:szCs w:val="20"/>
              </w:rPr>
            </w:pPr>
          </w:p>
        </w:tc>
        <w:tc>
          <w:tcPr>
            <w:tcW w:w="806" w:type="pct"/>
            <w:tcBorders>
              <w:top w:val="nil"/>
              <w:left w:val="single" w:sz="4" w:space="0" w:color="auto"/>
              <w:right w:val="single" w:sz="4" w:space="0" w:color="auto"/>
            </w:tcBorders>
            <w:shd w:val="clear" w:color="auto" w:fill="FFFFFF"/>
          </w:tcPr>
          <w:p w14:paraId="21DF665D" w14:textId="4244073E"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Não</w:t>
            </w:r>
          </w:p>
        </w:tc>
        <w:tc>
          <w:tcPr>
            <w:tcW w:w="726" w:type="pct"/>
            <w:tcBorders>
              <w:top w:val="nil"/>
              <w:left w:val="single" w:sz="4" w:space="0" w:color="auto"/>
              <w:right w:val="single" w:sz="4" w:space="0" w:color="auto"/>
            </w:tcBorders>
            <w:shd w:val="clear" w:color="auto" w:fill="FFFFFF"/>
            <w:vAlign w:val="center"/>
          </w:tcPr>
          <w:p w14:paraId="1266CDBD" w14:textId="77777777"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806" w:type="pct"/>
            <w:tcBorders>
              <w:top w:val="nil"/>
              <w:left w:val="single" w:sz="4" w:space="0" w:color="auto"/>
            </w:tcBorders>
            <w:shd w:val="clear" w:color="auto" w:fill="FFFFFF"/>
            <w:vAlign w:val="center"/>
          </w:tcPr>
          <w:p w14:paraId="0CEF77DF" w14:textId="77777777"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552" w:type="pct"/>
            <w:tcBorders>
              <w:top w:val="nil"/>
            </w:tcBorders>
            <w:shd w:val="clear" w:color="auto" w:fill="FFFFFF"/>
          </w:tcPr>
          <w:p w14:paraId="59D65FEE" w14:textId="42141B59"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0,268</w:t>
            </w:r>
          </w:p>
        </w:tc>
        <w:tc>
          <w:tcPr>
            <w:tcW w:w="645" w:type="pct"/>
            <w:tcBorders>
              <w:top w:val="nil"/>
            </w:tcBorders>
            <w:shd w:val="clear" w:color="auto" w:fill="FFFFFF"/>
          </w:tcPr>
          <w:p w14:paraId="102B16F7" w14:textId="186A0192"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0,605</w:t>
            </w:r>
          </w:p>
        </w:tc>
        <w:tc>
          <w:tcPr>
            <w:tcW w:w="725" w:type="pct"/>
            <w:tcBorders>
              <w:top w:val="nil"/>
              <w:right w:val="single" w:sz="4" w:space="0" w:color="FFFFFF" w:themeColor="background1"/>
            </w:tcBorders>
            <w:shd w:val="clear" w:color="auto" w:fill="FFFFFF"/>
          </w:tcPr>
          <w:p w14:paraId="601CAB9D" w14:textId="35CB0885"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2,811</w:t>
            </w:r>
          </w:p>
        </w:tc>
      </w:tr>
      <w:tr w:rsidR="00A31027" w:rsidRPr="00933491" w14:paraId="37DB0AB4" w14:textId="77777777" w:rsidTr="004C7DD9">
        <w:trPr>
          <w:cantSplit/>
          <w:tblHeader/>
          <w:jc w:val="center"/>
        </w:trPr>
        <w:tc>
          <w:tcPr>
            <w:tcW w:w="740" w:type="pct"/>
            <w:vMerge w:val="restart"/>
            <w:tcBorders>
              <w:left w:val="single" w:sz="4" w:space="0" w:color="FFFFFF" w:themeColor="background1"/>
              <w:right w:val="single" w:sz="4" w:space="0" w:color="auto"/>
            </w:tcBorders>
            <w:shd w:val="clear" w:color="auto" w:fill="FFFFFF"/>
            <w:vAlign w:val="center"/>
          </w:tcPr>
          <w:p w14:paraId="167D027C" w14:textId="77777777" w:rsidR="00A31027" w:rsidRPr="00CC11DC"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CC11DC">
              <w:rPr>
                <w:rFonts w:ascii="Times New Roman" w:hAnsi="Times New Roman" w:cs="Times New Roman"/>
                <w:color w:val="000000"/>
                <w:sz w:val="20"/>
                <w:szCs w:val="20"/>
              </w:rPr>
              <w:t>+1</w:t>
            </w:r>
          </w:p>
        </w:tc>
        <w:tc>
          <w:tcPr>
            <w:tcW w:w="806" w:type="pct"/>
            <w:tcBorders>
              <w:left w:val="single" w:sz="4" w:space="0" w:color="auto"/>
              <w:bottom w:val="nil"/>
              <w:right w:val="single" w:sz="4" w:space="0" w:color="auto"/>
            </w:tcBorders>
            <w:shd w:val="clear" w:color="auto" w:fill="FFFFFF"/>
          </w:tcPr>
          <w:p w14:paraId="54D513AE" w14:textId="35D5CBAA" w:rsidR="00A31027" w:rsidRPr="003E40AC"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Sim</w:t>
            </w:r>
          </w:p>
        </w:tc>
        <w:tc>
          <w:tcPr>
            <w:tcW w:w="726" w:type="pct"/>
            <w:tcBorders>
              <w:left w:val="single" w:sz="4" w:space="0" w:color="auto"/>
              <w:bottom w:val="nil"/>
              <w:right w:val="single" w:sz="4" w:space="0" w:color="auto"/>
            </w:tcBorders>
            <w:shd w:val="clear" w:color="auto" w:fill="FFFFFF"/>
          </w:tcPr>
          <w:p w14:paraId="0D60E2BD" w14:textId="49129EEC" w:rsidR="00A31027" w:rsidRPr="003E40AC"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1,462</w:t>
            </w:r>
          </w:p>
        </w:tc>
        <w:tc>
          <w:tcPr>
            <w:tcW w:w="806" w:type="pct"/>
            <w:tcBorders>
              <w:left w:val="single" w:sz="4" w:space="0" w:color="auto"/>
              <w:bottom w:val="nil"/>
            </w:tcBorders>
            <w:shd w:val="clear" w:color="auto" w:fill="FFFFFF"/>
          </w:tcPr>
          <w:p w14:paraId="58E72F0C" w14:textId="6A679DF2"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0,228</w:t>
            </w:r>
          </w:p>
        </w:tc>
        <w:tc>
          <w:tcPr>
            <w:tcW w:w="552" w:type="pct"/>
            <w:tcBorders>
              <w:bottom w:val="nil"/>
            </w:tcBorders>
            <w:shd w:val="clear" w:color="auto" w:fill="FFFFFF"/>
          </w:tcPr>
          <w:p w14:paraId="3804B6A7" w14:textId="2423416E"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1,633</w:t>
            </w:r>
          </w:p>
        </w:tc>
        <w:tc>
          <w:tcPr>
            <w:tcW w:w="645" w:type="pct"/>
            <w:tcBorders>
              <w:bottom w:val="nil"/>
            </w:tcBorders>
            <w:shd w:val="clear" w:color="auto" w:fill="FFFFFF"/>
          </w:tcPr>
          <w:p w14:paraId="27DFEF99" w14:textId="7791DDBE"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260</w:t>
            </w:r>
          </w:p>
        </w:tc>
        <w:tc>
          <w:tcPr>
            <w:tcW w:w="725" w:type="pct"/>
            <w:tcBorders>
              <w:bottom w:val="nil"/>
              <w:right w:val="single" w:sz="4" w:space="0" w:color="FFFFFF" w:themeColor="background1"/>
            </w:tcBorders>
            <w:shd w:val="clear" w:color="auto" w:fill="FFFFFF"/>
          </w:tcPr>
          <w:p w14:paraId="54F78CA2" w14:textId="31F4B87C"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933491">
              <w:rPr>
                <w:rFonts w:ascii="Times New Roman" w:hAnsi="Times New Roman" w:cs="Times New Roman"/>
                <w:b/>
                <w:color w:val="000000"/>
                <w:sz w:val="20"/>
                <w:szCs w:val="20"/>
              </w:rPr>
              <w:t>0,104</w:t>
            </w:r>
          </w:p>
        </w:tc>
      </w:tr>
      <w:tr w:rsidR="00A31027" w:rsidRPr="00933491" w14:paraId="6EFC4414" w14:textId="77777777" w:rsidTr="004C7DD9">
        <w:trPr>
          <w:cantSplit/>
          <w:tblHeader/>
          <w:jc w:val="center"/>
        </w:trPr>
        <w:tc>
          <w:tcPr>
            <w:tcW w:w="740" w:type="pct"/>
            <w:vMerge/>
            <w:tcBorders>
              <w:left w:val="single" w:sz="4" w:space="0" w:color="FFFFFF" w:themeColor="background1"/>
              <w:right w:val="single" w:sz="4" w:space="0" w:color="auto"/>
            </w:tcBorders>
            <w:shd w:val="clear" w:color="auto" w:fill="FFFFFF"/>
            <w:vAlign w:val="center"/>
          </w:tcPr>
          <w:p w14:paraId="69366BC9" w14:textId="77777777" w:rsidR="00A31027" w:rsidRPr="00933491" w:rsidRDefault="00A31027" w:rsidP="0056798E">
            <w:pPr>
              <w:autoSpaceDE w:val="0"/>
              <w:autoSpaceDN w:val="0"/>
              <w:adjustRightInd w:val="0"/>
              <w:spacing w:after="0" w:line="240" w:lineRule="auto"/>
              <w:jc w:val="center"/>
              <w:rPr>
                <w:rFonts w:ascii="Times New Roman" w:hAnsi="Times New Roman" w:cs="Times New Roman"/>
                <w:color w:val="000000"/>
                <w:sz w:val="20"/>
                <w:szCs w:val="20"/>
              </w:rPr>
            </w:pPr>
          </w:p>
        </w:tc>
        <w:tc>
          <w:tcPr>
            <w:tcW w:w="806" w:type="pct"/>
            <w:tcBorders>
              <w:top w:val="nil"/>
              <w:left w:val="single" w:sz="4" w:space="0" w:color="auto"/>
              <w:right w:val="single" w:sz="4" w:space="0" w:color="auto"/>
            </w:tcBorders>
            <w:shd w:val="clear" w:color="auto" w:fill="FFFFFF"/>
          </w:tcPr>
          <w:p w14:paraId="67D1FA66" w14:textId="374B9E35"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Não</w:t>
            </w:r>
          </w:p>
        </w:tc>
        <w:tc>
          <w:tcPr>
            <w:tcW w:w="726" w:type="pct"/>
            <w:tcBorders>
              <w:top w:val="nil"/>
              <w:left w:val="single" w:sz="4" w:space="0" w:color="auto"/>
              <w:right w:val="single" w:sz="4" w:space="0" w:color="auto"/>
            </w:tcBorders>
            <w:shd w:val="clear" w:color="auto" w:fill="FFFFFF"/>
            <w:vAlign w:val="center"/>
          </w:tcPr>
          <w:p w14:paraId="7D8008F9" w14:textId="77777777"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806" w:type="pct"/>
            <w:tcBorders>
              <w:top w:val="nil"/>
              <w:left w:val="single" w:sz="4" w:space="0" w:color="auto"/>
            </w:tcBorders>
            <w:shd w:val="clear" w:color="auto" w:fill="FFFFFF"/>
            <w:vAlign w:val="center"/>
          </w:tcPr>
          <w:p w14:paraId="33E52434" w14:textId="77777777"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552" w:type="pct"/>
            <w:tcBorders>
              <w:top w:val="nil"/>
            </w:tcBorders>
            <w:shd w:val="clear" w:color="auto" w:fill="FFFFFF"/>
          </w:tcPr>
          <w:p w14:paraId="78AAC085" w14:textId="14564DA2"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1,638</w:t>
            </w:r>
          </w:p>
        </w:tc>
        <w:tc>
          <w:tcPr>
            <w:tcW w:w="645" w:type="pct"/>
            <w:tcBorders>
              <w:top w:val="nil"/>
            </w:tcBorders>
            <w:shd w:val="clear" w:color="auto" w:fill="FFFFFF"/>
          </w:tcPr>
          <w:p w14:paraId="49A8A228" w14:textId="4DECF87F"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252,251</w:t>
            </w:r>
          </w:p>
        </w:tc>
        <w:tc>
          <w:tcPr>
            <w:tcW w:w="725" w:type="pct"/>
            <w:tcBorders>
              <w:top w:val="nil"/>
              <w:right w:val="single" w:sz="4" w:space="0" w:color="FFFFFF" w:themeColor="background1"/>
            </w:tcBorders>
            <w:shd w:val="clear" w:color="auto" w:fill="FFFFFF"/>
          </w:tcPr>
          <w:p w14:paraId="6561AB7A" w14:textId="17060644"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0,103</w:t>
            </w:r>
          </w:p>
        </w:tc>
      </w:tr>
      <w:tr w:rsidR="00A31027" w:rsidRPr="00933491" w14:paraId="6127197A" w14:textId="77777777" w:rsidTr="004C7DD9">
        <w:trPr>
          <w:cantSplit/>
          <w:tblHeader/>
          <w:jc w:val="center"/>
        </w:trPr>
        <w:tc>
          <w:tcPr>
            <w:tcW w:w="740" w:type="pct"/>
            <w:vMerge w:val="restart"/>
            <w:tcBorders>
              <w:left w:val="single" w:sz="4" w:space="0" w:color="FFFFFF" w:themeColor="background1"/>
              <w:right w:val="single" w:sz="4" w:space="0" w:color="auto"/>
            </w:tcBorders>
            <w:shd w:val="clear" w:color="auto" w:fill="FFFFFF"/>
            <w:vAlign w:val="center"/>
          </w:tcPr>
          <w:p w14:paraId="5ECCAE85" w14:textId="77777777" w:rsidR="00A31027" w:rsidRPr="00CC11DC"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CC11DC">
              <w:rPr>
                <w:rFonts w:ascii="Times New Roman" w:hAnsi="Times New Roman" w:cs="Times New Roman"/>
                <w:color w:val="000000"/>
                <w:sz w:val="20"/>
                <w:szCs w:val="20"/>
              </w:rPr>
              <w:t>+2</w:t>
            </w:r>
          </w:p>
        </w:tc>
        <w:tc>
          <w:tcPr>
            <w:tcW w:w="806" w:type="pct"/>
            <w:tcBorders>
              <w:left w:val="single" w:sz="4" w:space="0" w:color="auto"/>
              <w:bottom w:val="nil"/>
              <w:right w:val="single" w:sz="4" w:space="0" w:color="auto"/>
            </w:tcBorders>
            <w:shd w:val="clear" w:color="auto" w:fill="FFFFFF"/>
          </w:tcPr>
          <w:p w14:paraId="6D501CE0" w14:textId="24445FBE" w:rsidR="00A31027" w:rsidRPr="003E40AC"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Sim</w:t>
            </w:r>
          </w:p>
        </w:tc>
        <w:tc>
          <w:tcPr>
            <w:tcW w:w="726" w:type="pct"/>
            <w:tcBorders>
              <w:left w:val="single" w:sz="4" w:space="0" w:color="auto"/>
              <w:bottom w:val="nil"/>
              <w:right w:val="single" w:sz="4" w:space="0" w:color="auto"/>
            </w:tcBorders>
            <w:shd w:val="clear" w:color="auto" w:fill="FFFFFF"/>
          </w:tcPr>
          <w:p w14:paraId="3570A12E" w14:textId="5D2B2848" w:rsidR="00A31027" w:rsidRPr="003E40AC"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3,293</w:t>
            </w:r>
          </w:p>
        </w:tc>
        <w:tc>
          <w:tcPr>
            <w:tcW w:w="806" w:type="pct"/>
            <w:tcBorders>
              <w:left w:val="single" w:sz="4" w:space="0" w:color="auto"/>
              <w:bottom w:val="nil"/>
            </w:tcBorders>
            <w:shd w:val="clear" w:color="auto" w:fill="FFFFFF"/>
          </w:tcPr>
          <w:p w14:paraId="3CE43974" w14:textId="5BB53A3B"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0,071</w:t>
            </w:r>
          </w:p>
        </w:tc>
        <w:tc>
          <w:tcPr>
            <w:tcW w:w="552" w:type="pct"/>
            <w:tcBorders>
              <w:bottom w:val="nil"/>
            </w:tcBorders>
            <w:shd w:val="clear" w:color="auto" w:fill="FFFFFF"/>
          </w:tcPr>
          <w:p w14:paraId="1A7CE585" w14:textId="5287CEBC"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0,877</w:t>
            </w:r>
          </w:p>
        </w:tc>
        <w:tc>
          <w:tcPr>
            <w:tcW w:w="645" w:type="pct"/>
            <w:tcBorders>
              <w:bottom w:val="nil"/>
            </w:tcBorders>
            <w:shd w:val="clear" w:color="auto" w:fill="FFFFFF"/>
          </w:tcPr>
          <w:p w14:paraId="447DD2A4" w14:textId="3F12F251"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260</w:t>
            </w:r>
          </w:p>
        </w:tc>
        <w:tc>
          <w:tcPr>
            <w:tcW w:w="725" w:type="pct"/>
            <w:tcBorders>
              <w:bottom w:val="nil"/>
              <w:right w:val="single" w:sz="4" w:space="0" w:color="FFFFFF" w:themeColor="background1"/>
            </w:tcBorders>
            <w:shd w:val="clear" w:color="auto" w:fill="FFFFFF"/>
          </w:tcPr>
          <w:p w14:paraId="2A06C7AE" w14:textId="54E6D61B"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0,382</w:t>
            </w:r>
          </w:p>
        </w:tc>
      </w:tr>
      <w:tr w:rsidR="00A31027" w:rsidRPr="00933491" w14:paraId="5DC30F4A" w14:textId="77777777" w:rsidTr="004C7DD9">
        <w:trPr>
          <w:cantSplit/>
          <w:tblHeader/>
          <w:jc w:val="center"/>
        </w:trPr>
        <w:tc>
          <w:tcPr>
            <w:tcW w:w="740" w:type="pct"/>
            <w:vMerge/>
            <w:tcBorders>
              <w:left w:val="single" w:sz="4" w:space="0" w:color="FFFFFF" w:themeColor="background1"/>
              <w:right w:val="single" w:sz="4" w:space="0" w:color="auto"/>
            </w:tcBorders>
            <w:shd w:val="clear" w:color="auto" w:fill="FFFFFF"/>
            <w:vAlign w:val="center"/>
          </w:tcPr>
          <w:p w14:paraId="34095129" w14:textId="77777777" w:rsidR="00A31027" w:rsidRPr="00933491" w:rsidRDefault="00A31027" w:rsidP="0056798E">
            <w:pPr>
              <w:autoSpaceDE w:val="0"/>
              <w:autoSpaceDN w:val="0"/>
              <w:adjustRightInd w:val="0"/>
              <w:spacing w:after="0" w:line="240" w:lineRule="auto"/>
              <w:jc w:val="center"/>
              <w:rPr>
                <w:rFonts w:ascii="Times New Roman" w:hAnsi="Times New Roman" w:cs="Times New Roman"/>
                <w:color w:val="000000"/>
                <w:sz w:val="20"/>
                <w:szCs w:val="20"/>
              </w:rPr>
            </w:pPr>
          </w:p>
        </w:tc>
        <w:tc>
          <w:tcPr>
            <w:tcW w:w="806" w:type="pct"/>
            <w:tcBorders>
              <w:top w:val="nil"/>
              <w:left w:val="single" w:sz="4" w:space="0" w:color="auto"/>
              <w:right w:val="single" w:sz="4" w:space="0" w:color="auto"/>
            </w:tcBorders>
            <w:shd w:val="clear" w:color="auto" w:fill="FFFFFF"/>
          </w:tcPr>
          <w:p w14:paraId="647B64B0" w14:textId="6D59F18B"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Não</w:t>
            </w:r>
          </w:p>
        </w:tc>
        <w:tc>
          <w:tcPr>
            <w:tcW w:w="726" w:type="pct"/>
            <w:tcBorders>
              <w:top w:val="nil"/>
              <w:left w:val="single" w:sz="4" w:space="0" w:color="auto"/>
              <w:right w:val="single" w:sz="4" w:space="0" w:color="auto"/>
            </w:tcBorders>
            <w:shd w:val="clear" w:color="auto" w:fill="FFFFFF"/>
            <w:vAlign w:val="center"/>
          </w:tcPr>
          <w:p w14:paraId="6CD2A91F" w14:textId="77777777"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806" w:type="pct"/>
            <w:tcBorders>
              <w:top w:val="nil"/>
              <w:left w:val="single" w:sz="4" w:space="0" w:color="auto"/>
            </w:tcBorders>
            <w:shd w:val="clear" w:color="auto" w:fill="FFFFFF"/>
            <w:vAlign w:val="center"/>
          </w:tcPr>
          <w:p w14:paraId="68AF0DC2" w14:textId="77777777"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552" w:type="pct"/>
            <w:tcBorders>
              <w:top w:val="nil"/>
            </w:tcBorders>
            <w:shd w:val="clear" w:color="auto" w:fill="FFFFFF"/>
          </w:tcPr>
          <w:p w14:paraId="1EAFC34A" w14:textId="36B0AAFE"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0,884</w:t>
            </w:r>
          </w:p>
        </w:tc>
        <w:tc>
          <w:tcPr>
            <w:tcW w:w="645" w:type="pct"/>
            <w:tcBorders>
              <w:top w:val="nil"/>
            </w:tcBorders>
            <w:shd w:val="clear" w:color="auto" w:fill="FFFFFF"/>
          </w:tcPr>
          <w:p w14:paraId="57E3B25E" w14:textId="329C9C4E"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208,862</w:t>
            </w:r>
          </w:p>
        </w:tc>
        <w:tc>
          <w:tcPr>
            <w:tcW w:w="725" w:type="pct"/>
            <w:tcBorders>
              <w:top w:val="nil"/>
              <w:right w:val="single" w:sz="4" w:space="0" w:color="FFFFFF" w:themeColor="background1"/>
            </w:tcBorders>
            <w:shd w:val="clear" w:color="auto" w:fill="FFFFFF"/>
          </w:tcPr>
          <w:p w14:paraId="553E9ABC" w14:textId="3D25217F"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933491">
              <w:rPr>
                <w:rFonts w:ascii="Times New Roman" w:hAnsi="Times New Roman" w:cs="Times New Roman"/>
                <w:b/>
                <w:color w:val="000000"/>
                <w:sz w:val="20"/>
                <w:szCs w:val="20"/>
              </w:rPr>
              <w:t>0,378</w:t>
            </w:r>
          </w:p>
        </w:tc>
      </w:tr>
      <w:tr w:rsidR="00A31027" w:rsidRPr="00933491" w14:paraId="3E9923DB" w14:textId="77777777" w:rsidTr="004C7DD9">
        <w:trPr>
          <w:cantSplit/>
          <w:tblHeader/>
          <w:jc w:val="center"/>
        </w:trPr>
        <w:tc>
          <w:tcPr>
            <w:tcW w:w="740" w:type="pct"/>
            <w:vMerge w:val="restart"/>
            <w:tcBorders>
              <w:left w:val="single" w:sz="4" w:space="0" w:color="FFFFFF" w:themeColor="background1"/>
              <w:right w:val="single" w:sz="4" w:space="0" w:color="auto"/>
            </w:tcBorders>
            <w:shd w:val="clear" w:color="auto" w:fill="FFFFFF"/>
            <w:vAlign w:val="center"/>
          </w:tcPr>
          <w:p w14:paraId="1F2E606D" w14:textId="77777777" w:rsidR="00A31027" w:rsidRPr="00CC11DC"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CC11DC">
              <w:rPr>
                <w:rFonts w:ascii="Times New Roman" w:hAnsi="Times New Roman" w:cs="Times New Roman"/>
                <w:color w:val="000000"/>
                <w:sz w:val="20"/>
                <w:szCs w:val="20"/>
              </w:rPr>
              <w:t>+3</w:t>
            </w:r>
          </w:p>
        </w:tc>
        <w:tc>
          <w:tcPr>
            <w:tcW w:w="806" w:type="pct"/>
            <w:tcBorders>
              <w:left w:val="single" w:sz="4" w:space="0" w:color="auto"/>
              <w:bottom w:val="nil"/>
              <w:right w:val="single" w:sz="4" w:space="0" w:color="auto"/>
            </w:tcBorders>
            <w:shd w:val="clear" w:color="auto" w:fill="FFFFFF"/>
          </w:tcPr>
          <w:p w14:paraId="51360792" w14:textId="628D1018" w:rsidR="00A31027" w:rsidRPr="003E40AC"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Sim</w:t>
            </w:r>
          </w:p>
        </w:tc>
        <w:tc>
          <w:tcPr>
            <w:tcW w:w="726" w:type="pct"/>
            <w:tcBorders>
              <w:left w:val="single" w:sz="4" w:space="0" w:color="auto"/>
              <w:bottom w:val="nil"/>
              <w:right w:val="single" w:sz="4" w:space="0" w:color="auto"/>
            </w:tcBorders>
            <w:shd w:val="clear" w:color="auto" w:fill="FFFFFF"/>
          </w:tcPr>
          <w:p w14:paraId="20CD3AF1" w14:textId="5482D1B6" w:rsidR="00A31027" w:rsidRPr="003E40AC"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3,225</w:t>
            </w:r>
          </w:p>
        </w:tc>
        <w:tc>
          <w:tcPr>
            <w:tcW w:w="806" w:type="pct"/>
            <w:tcBorders>
              <w:left w:val="single" w:sz="4" w:space="0" w:color="auto"/>
              <w:bottom w:val="nil"/>
            </w:tcBorders>
            <w:shd w:val="clear" w:color="auto" w:fill="FFFFFF"/>
          </w:tcPr>
          <w:p w14:paraId="7C5AED4A" w14:textId="39B42562"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0,074</w:t>
            </w:r>
          </w:p>
        </w:tc>
        <w:tc>
          <w:tcPr>
            <w:tcW w:w="552" w:type="pct"/>
            <w:tcBorders>
              <w:bottom w:val="nil"/>
            </w:tcBorders>
            <w:shd w:val="clear" w:color="auto" w:fill="FFFFFF"/>
          </w:tcPr>
          <w:p w14:paraId="474E237F" w14:textId="4F0AFA84"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1,176</w:t>
            </w:r>
          </w:p>
        </w:tc>
        <w:tc>
          <w:tcPr>
            <w:tcW w:w="645" w:type="pct"/>
            <w:tcBorders>
              <w:bottom w:val="nil"/>
            </w:tcBorders>
            <w:shd w:val="clear" w:color="auto" w:fill="FFFFFF"/>
          </w:tcPr>
          <w:p w14:paraId="1BB4A378" w14:textId="73397297"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253</w:t>
            </w:r>
          </w:p>
        </w:tc>
        <w:tc>
          <w:tcPr>
            <w:tcW w:w="725" w:type="pct"/>
            <w:tcBorders>
              <w:bottom w:val="nil"/>
              <w:right w:val="single" w:sz="4" w:space="0" w:color="FFFFFF" w:themeColor="background1"/>
            </w:tcBorders>
            <w:shd w:val="clear" w:color="auto" w:fill="FFFFFF"/>
          </w:tcPr>
          <w:p w14:paraId="7BEFEE62" w14:textId="7DEE067C"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0,241</w:t>
            </w:r>
          </w:p>
        </w:tc>
      </w:tr>
      <w:tr w:rsidR="00A31027" w:rsidRPr="00933491" w14:paraId="6C7FB128" w14:textId="77777777" w:rsidTr="004C7DD9">
        <w:trPr>
          <w:cantSplit/>
          <w:tblHeader/>
          <w:jc w:val="center"/>
        </w:trPr>
        <w:tc>
          <w:tcPr>
            <w:tcW w:w="740" w:type="pct"/>
            <w:vMerge/>
            <w:tcBorders>
              <w:left w:val="single" w:sz="4" w:space="0" w:color="FFFFFF" w:themeColor="background1"/>
              <w:right w:val="single" w:sz="4" w:space="0" w:color="auto"/>
            </w:tcBorders>
            <w:shd w:val="clear" w:color="auto" w:fill="FFFFFF"/>
            <w:vAlign w:val="center"/>
          </w:tcPr>
          <w:p w14:paraId="140164F3" w14:textId="77777777" w:rsidR="00A31027" w:rsidRPr="00933491" w:rsidRDefault="00A31027" w:rsidP="0056798E">
            <w:pPr>
              <w:autoSpaceDE w:val="0"/>
              <w:autoSpaceDN w:val="0"/>
              <w:adjustRightInd w:val="0"/>
              <w:spacing w:after="0" w:line="240" w:lineRule="auto"/>
              <w:jc w:val="center"/>
              <w:rPr>
                <w:rFonts w:ascii="Times New Roman" w:hAnsi="Times New Roman" w:cs="Times New Roman"/>
                <w:color w:val="000000"/>
                <w:sz w:val="20"/>
                <w:szCs w:val="20"/>
              </w:rPr>
            </w:pPr>
          </w:p>
        </w:tc>
        <w:tc>
          <w:tcPr>
            <w:tcW w:w="806" w:type="pct"/>
            <w:tcBorders>
              <w:top w:val="nil"/>
              <w:left w:val="single" w:sz="4" w:space="0" w:color="auto"/>
              <w:right w:val="single" w:sz="4" w:space="0" w:color="auto"/>
            </w:tcBorders>
            <w:shd w:val="clear" w:color="auto" w:fill="FFFFFF"/>
          </w:tcPr>
          <w:p w14:paraId="148A7055" w14:textId="57CCCBC8"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Não</w:t>
            </w:r>
          </w:p>
        </w:tc>
        <w:tc>
          <w:tcPr>
            <w:tcW w:w="726" w:type="pct"/>
            <w:tcBorders>
              <w:top w:val="nil"/>
              <w:left w:val="single" w:sz="4" w:space="0" w:color="auto"/>
              <w:bottom w:val="single" w:sz="4" w:space="0" w:color="auto"/>
              <w:right w:val="single" w:sz="4" w:space="0" w:color="auto"/>
            </w:tcBorders>
            <w:shd w:val="clear" w:color="auto" w:fill="FFFFFF"/>
            <w:vAlign w:val="center"/>
          </w:tcPr>
          <w:p w14:paraId="1E042D3F" w14:textId="77777777"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806" w:type="pct"/>
            <w:tcBorders>
              <w:top w:val="nil"/>
              <w:left w:val="single" w:sz="4" w:space="0" w:color="auto"/>
            </w:tcBorders>
            <w:shd w:val="clear" w:color="auto" w:fill="FFFFFF"/>
            <w:vAlign w:val="center"/>
          </w:tcPr>
          <w:p w14:paraId="21487E7D" w14:textId="77777777"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552" w:type="pct"/>
            <w:tcBorders>
              <w:top w:val="nil"/>
            </w:tcBorders>
            <w:shd w:val="clear" w:color="auto" w:fill="FFFFFF"/>
          </w:tcPr>
          <w:p w14:paraId="75294884" w14:textId="072D37B1"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1,17</w:t>
            </w:r>
            <w:r w:rsidR="00185C68" w:rsidRPr="00933491">
              <w:rPr>
                <w:rFonts w:ascii="Times New Roman" w:hAnsi="Times New Roman" w:cs="Times New Roman"/>
                <w:color w:val="000000"/>
                <w:sz w:val="20"/>
                <w:szCs w:val="20"/>
              </w:rPr>
              <w:t>?</w:t>
            </w:r>
            <w:r w:rsidRPr="00933491">
              <w:rPr>
                <w:rFonts w:ascii="Times New Roman" w:hAnsi="Times New Roman" w:cs="Times New Roman"/>
                <w:color w:val="000000"/>
                <w:sz w:val="20"/>
                <w:szCs w:val="20"/>
              </w:rPr>
              <w:t>9</w:t>
            </w:r>
          </w:p>
        </w:tc>
        <w:tc>
          <w:tcPr>
            <w:tcW w:w="645" w:type="pct"/>
            <w:tcBorders>
              <w:top w:val="nil"/>
            </w:tcBorders>
            <w:shd w:val="clear" w:color="auto" w:fill="FFFFFF"/>
          </w:tcPr>
          <w:p w14:paraId="4BCFD841" w14:textId="3854D323"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161,651</w:t>
            </w:r>
          </w:p>
        </w:tc>
        <w:tc>
          <w:tcPr>
            <w:tcW w:w="725" w:type="pct"/>
            <w:tcBorders>
              <w:top w:val="nil"/>
              <w:right w:val="single" w:sz="4" w:space="0" w:color="FFFFFF" w:themeColor="background1"/>
            </w:tcBorders>
            <w:shd w:val="clear" w:color="auto" w:fill="FFFFFF"/>
          </w:tcPr>
          <w:p w14:paraId="7FA80974" w14:textId="2934C22E"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933491">
              <w:rPr>
                <w:rFonts w:ascii="Times New Roman" w:hAnsi="Times New Roman" w:cs="Times New Roman"/>
                <w:b/>
                <w:color w:val="000000"/>
                <w:sz w:val="20"/>
                <w:szCs w:val="20"/>
              </w:rPr>
              <w:t>0,240</w:t>
            </w:r>
          </w:p>
        </w:tc>
      </w:tr>
      <w:tr w:rsidR="00A31027" w:rsidRPr="00933491" w14:paraId="06413732" w14:textId="77777777" w:rsidTr="004C7DD9">
        <w:trPr>
          <w:cantSplit/>
          <w:tblHeader/>
          <w:jc w:val="center"/>
        </w:trPr>
        <w:tc>
          <w:tcPr>
            <w:tcW w:w="740" w:type="pct"/>
            <w:vMerge w:val="restart"/>
            <w:tcBorders>
              <w:left w:val="single" w:sz="4" w:space="0" w:color="FFFFFF" w:themeColor="background1"/>
              <w:bottom w:val="single" w:sz="16" w:space="0" w:color="000000"/>
              <w:right w:val="single" w:sz="4" w:space="0" w:color="auto"/>
            </w:tcBorders>
            <w:shd w:val="clear" w:color="auto" w:fill="FFFFFF"/>
            <w:vAlign w:val="center"/>
          </w:tcPr>
          <w:p w14:paraId="79BC3BD8" w14:textId="77777777" w:rsidR="00A31027" w:rsidRPr="00CC11DC"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CC11DC">
              <w:rPr>
                <w:rFonts w:ascii="Times New Roman" w:hAnsi="Times New Roman" w:cs="Times New Roman"/>
                <w:color w:val="000000"/>
                <w:sz w:val="20"/>
                <w:szCs w:val="20"/>
              </w:rPr>
              <w:t>+4</w:t>
            </w:r>
          </w:p>
        </w:tc>
        <w:tc>
          <w:tcPr>
            <w:tcW w:w="806" w:type="pct"/>
            <w:tcBorders>
              <w:left w:val="single" w:sz="4" w:space="0" w:color="auto"/>
              <w:bottom w:val="nil"/>
              <w:right w:val="single" w:sz="4" w:space="0" w:color="auto"/>
            </w:tcBorders>
            <w:shd w:val="clear" w:color="auto" w:fill="FFFFFF"/>
          </w:tcPr>
          <w:p w14:paraId="4550D876" w14:textId="6E5BC616" w:rsidR="00A31027" w:rsidRPr="003E40AC"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Sim</w:t>
            </w:r>
          </w:p>
        </w:tc>
        <w:tc>
          <w:tcPr>
            <w:tcW w:w="726" w:type="pct"/>
            <w:tcBorders>
              <w:top w:val="single" w:sz="4" w:space="0" w:color="auto"/>
              <w:left w:val="single" w:sz="4" w:space="0" w:color="auto"/>
              <w:bottom w:val="nil"/>
              <w:right w:val="single" w:sz="4" w:space="0" w:color="auto"/>
            </w:tcBorders>
            <w:shd w:val="clear" w:color="auto" w:fill="FFFFFF"/>
          </w:tcPr>
          <w:p w14:paraId="498CFE9C" w14:textId="663D438A" w:rsidR="00A31027" w:rsidRPr="003E40AC"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2,051</w:t>
            </w:r>
          </w:p>
        </w:tc>
        <w:tc>
          <w:tcPr>
            <w:tcW w:w="806" w:type="pct"/>
            <w:tcBorders>
              <w:left w:val="single" w:sz="4" w:space="0" w:color="auto"/>
              <w:bottom w:val="nil"/>
            </w:tcBorders>
            <w:shd w:val="clear" w:color="auto" w:fill="FFFFFF"/>
          </w:tcPr>
          <w:p w14:paraId="4110750C" w14:textId="5754E078"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0,153</w:t>
            </w:r>
          </w:p>
        </w:tc>
        <w:tc>
          <w:tcPr>
            <w:tcW w:w="552" w:type="pct"/>
            <w:tcBorders>
              <w:bottom w:val="nil"/>
            </w:tcBorders>
            <w:shd w:val="clear" w:color="auto" w:fill="FFFFFF"/>
          </w:tcPr>
          <w:p w14:paraId="2F67270D" w14:textId="6E34458A"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-0,617</w:t>
            </w:r>
          </w:p>
        </w:tc>
        <w:tc>
          <w:tcPr>
            <w:tcW w:w="645" w:type="pct"/>
            <w:tcBorders>
              <w:bottom w:val="nil"/>
            </w:tcBorders>
            <w:shd w:val="clear" w:color="auto" w:fill="FFFFFF"/>
          </w:tcPr>
          <w:p w14:paraId="2351E176" w14:textId="665CB930"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240</w:t>
            </w:r>
          </w:p>
        </w:tc>
        <w:tc>
          <w:tcPr>
            <w:tcW w:w="725" w:type="pct"/>
            <w:tcBorders>
              <w:bottom w:val="nil"/>
              <w:right w:val="single" w:sz="4" w:space="0" w:color="FFFFFF" w:themeColor="background1"/>
            </w:tcBorders>
            <w:shd w:val="clear" w:color="auto" w:fill="FFFFFF"/>
          </w:tcPr>
          <w:p w14:paraId="17432723" w14:textId="0E396299"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933491">
              <w:rPr>
                <w:rFonts w:ascii="Times New Roman" w:hAnsi="Times New Roman" w:cs="Times New Roman"/>
                <w:b/>
                <w:color w:val="000000"/>
                <w:sz w:val="20"/>
                <w:szCs w:val="20"/>
              </w:rPr>
              <w:t>0,538</w:t>
            </w:r>
          </w:p>
        </w:tc>
      </w:tr>
      <w:tr w:rsidR="00A31027" w:rsidRPr="00933491" w14:paraId="6893F416" w14:textId="77777777" w:rsidTr="004C7DD9">
        <w:trPr>
          <w:cantSplit/>
          <w:jc w:val="center"/>
        </w:trPr>
        <w:tc>
          <w:tcPr>
            <w:tcW w:w="740" w:type="pct"/>
            <w:vMerge/>
            <w:tcBorders>
              <w:left w:val="single" w:sz="4" w:space="0" w:color="FFFFFF" w:themeColor="background1"/>
              <w:bottom w:val="single" w:sz="4" w:space="0" w:color="auto"/>
              <w:right w:val="single" w:sz="4" w:space="0" w:color="auto"/>
            </w:tcBorders>
            <w:shd w:val="clear" w:color="auto" w:fill="FFFFFF"/>
          </w:tcPr>
          <w:p w14:paraId="0EEF259A" w14:textId="77777777" w:rsidR="00A31027" w:rsidRPr="00933491" w:rsidRDefault="00A31027" w:rsidP="0056798E">
            <w:pPr>
              <w:autoSpaceDE w:val="0"/>
              <w:autoSpaceDN w:val="0"/>
              <w:adjustRightInd w:val="0"/>
              <w:spacing w:after="0" w:line="240" w:lineRule="auto"/>
              <w:jc w:val="center"/>
              <w:rPr>
                <w:rFonts w:ascii="Times New Roman" w:hAnsi="Times New Roman" w:cs="Times New Roman"/>
                <w:color w:val="000000"/>
                <w:sz w:val="20"/>
                <w:szCs w:val="20"/>
              </w:rPr>
            </w:pPr>
          </w:p>
        </w:tc>
        <w:tc>
          <w:tcPr>
            <w:tcW w:w="806" w:type="pct"/>
            <w:tcBorders>
              <w:top w:val="nil"/>
              <w:left w:val="single" w:sz="4" w:space="0" w:color="auto"/>
              <w:bottom w:val="single" w:sz="4" w:space="0" w:color="auto"/>
              <w:right w:val="single" w:sz="4" w:space="0" w:color="auto"/>
            </w:tcBorders>
            <w:shd w:val="clear" w:color="auto" w:fill="FFFFFF"/>
          </w:tcPr>
          <w:p w14:paraId="07822D69" w14:textId="7B6D8E87"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Não</w:t>
            </w:r>
          </w:p>
        </w:tc>
        <w:tc>
          <w:tcPr>
            <w:tcW w:w="726" w:type="pct"/>
            <w:tcBorders>
              <w:top w:val="nil"/>
              <w:left w:val="single" w:sz="4" w:space="0" w:color="auto"/>
              <w:bottom w:val="single" w:sz="4" w:space="0" w:color="auto"/>
              <w:right w:val="single" w:sz="4" w:space="0" w:color="auto"/>
            </w:tcBorders>
            <w:shd w:val="clear" w:color="auto" w:fill="FFFFFF"/>
            <w:vAlign w:val="center"/>
          </w:tcPr>
          <w:p w14:paraId="2814CBEB" w14:textId="77777777"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806" w:type="pct"/>
            <w:tcBorders>
              <w:top w:val="nil"/>
              <w:left w:val="single" w:sz="4" w:space="0" w:color="auto"/>
              <w:bottom w:val="single" w:sz="4" w:space="0" w:color="auto"/>
            </w:tcBorders>
            <w:shd w:val="clear" w:color="auto" w:fill="FFFFFF"/>
            <w:vAlign w:val="center"/>
          </w:tcPr>
          <w:p w14:paraId="40DFC7BE" w14:textId="77777777"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552" w:type="pct"/>
            <w:tcBorders>
              <w:top w:val="nil"/>
              <w:bottom w:val="single" w:sz="4" w:space="0" w:color="auto"/>
            </w:tcBorders>
            <w:shd w:val="clear" w:color="auto" w:fill="FFFFFF"/>
          </w:tcPr>
          <w:p w14:paraId="63FEA7E7" w14:textId="4A883A3C"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-0,624</w:t>
            </w:r>
          </w:p>
        </w:tc>
        <w:tc>
          <w:tcPr>
            <w:tcW w:w="645" w:type="pct"/>
            <w:tcBorders>
              <w:top w:val="nil"/>
              <w:bottom w:val="single" w:sz="4" w:space="0" w:color="auto"/>
            </w:tcBorders>
            <w:shd w:val="clear" w:color="auto" w:fill="FFFFFF"/>
          </w:tcPr>
          <w:p w14:paraId="3B7C27A1" w14:textId="672EE18B"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168,663</w:t>
            </w:r>
          </w:p>
        </w:tc>
        <w:tc>
          <w:tcPr>
            <w:tcW w:w="725" w:type="pct"/>
            <w:tcBorders>
              <w:top w:val="nil"/>
              <w:bottom w:val="single" w:sz="4" w:space="0" w:color="auto"/>
              <w:right w:val="single" w:sz="4" w:space="0" w:color="FFFFFF" w:themeColor="background1"/>
            </w:tcBorders>
            <w:shd w:val="clear" w:color="auto" w:fill="FFFFFF"/>
          </w:tcPr>
          <w:p w14:paraId="250915BF" w14:textId="0C8F71DB" w:rsidR="00A31027" w:rsidRPr="00933491" w:rsidRDefault="00A31027"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0,534</w:t>
            </w:r>
          </w:p>
        </w:tc>
      </w:tr>
    </w:tbl>
    <w:p w14:paraId="45F75FA7" w14:textId="77777777" w:rsidR="00A47F44" w:rsidRPr="00CC11DC" w:rsidRDefault="00A47F44" w:rsidP="0056798E">
      <w:pPr>
        <w:spacing w:after="0" w:line="240" w:lineRule="auto"/>
        <w:ind w:firstLine="709"/>
        <w:jc w:val="both"/>
        <w:rPr>
          <w:rFonts w:ascii="Times New Roman" w:hAnsi="Times New Roman" w:cs="Times New Roman"/>
          <w:sz w:val="24"/>
          <w:szCs w:val="24"/>
        </w:rPr>
      </w:pPr>
    </w:p>
    <w:p w14:paraId="489FA25C" w14:textId="77777777" w:rsidR="006F7DBD" w:rsidRDefault="006F7DBD" w:rsidP="00157D35">
      <w:pPr>
        <w:spacing w:after="0" w:line="240" w:lineRule="auto"/>
        <w:ind w:firstLine="709"/>
        <w:jc w:val="both"/>
        <w:rPr>
          <w:rFonts w:ascii="Times New Roman" w:hAnsi="Times New Roman" w:cs="Times New Roman"/>
          <w:sz w:val="24"/>
          <w:szCs w:val="24"/>
        </w:rPr>
      </w:pPr>
      <w:r w:rsidRPr="00933491">
        <w:rPr>
          <w:rFonts w:ascii="Times New Roman" w:hAnsi="Times New Roman" w:cs="Times New Roman"/>
          <w:sz w:val="24"/>
          <w:szCs w:val="24"/>
        </w:rPr>
        <w:t xml:space="preserve">Essa evidência empírica diverge do resultado encontrado por </w:t>
      </w:r>
      <w:proofErr w:type="spellStart"/>
      <w:r w:rsidRPr="00933491">
        <w:rPr>
          <w:rFonts w:ascii="Times New Roman" w:hAnsi="Times New Roman" w:cs="Times New Roman"/>
          <w:sz w:val="24"/>
          <w:szCs w:val="24"/>
        </w:rPr>
        <w:t>Loughran</w:t>
      </w:r>
      <w:proofErr w:type="spellEnd"/>
      <w:r w:rsidRPr="00933491">
        <w:rPr>
          <w:rFonts w:ascii="Times New Roman" w:hAnsi="Times New Roman" w:cs="Times New Roman"/>
          <w:sz w:val="24"/>
          <w:szCs w:val="24"/>
        </w:rPr>
        <w:t xml:space="preserve"> e </w:t>
      </w:r>
      <w:proofErr w:type="spellStart"/>
      <w:r w:rsidRPr="00933491">
        <w:rPr>
          <w:rFonts w:ascii="Times New Roman" w:hAnsi="Times New Roman" w:cs="Times New Roman"/>
          <w:sz w:val="24"/>
          <w:szCs w:val="24"/>
        </w:rPr>
        <w:t>Ritter</w:t>
      </w:r>
      <w:proofErr w:type="spellEnd"/>
      <w:r w:rsidRPr="00933491">
        <w:rPr>
          <w:rFonts w:ascii="Times New Roman" w:hAnsi="Times New Roman" w:cs="Times New Roman"/>
          <w:sz w:val="24"/>
          <w:szCs w:val="24"/>
        </w:rPr>
        <w:t xml:space="preserve"> (1997), </w:t>
      </w:r>
      <w:r w:rsidRPr="00CC11DC">
        <w:rPr>
          <w:rFonts w:ascii="Times New Roman" w:hAnsi="Times New Roman" w:cs="Times New Roman"/>
          <w:sz w:val="24"/>
          <w:szCs w:val="24"/>
        </w:rPr>
        <w:t xml:space="preserve">os quais evidenciaram uma </w:t>
      </w:r>
      <w:r w:rsidRPr="003E40AC">
        <w:rPr>
          <w:rFonts w:ascii="Times New Roman" w:hAnsi="Times New Roman" w:cs="Times New Roman"/>
          <w:sz w:val="24"/>
          <w:szCs w:val="24"/>
        </w:rPr>
        <w:t xml:space="preserve">deterioração </w:t>
      </w:r>
      <w:r>
        <w:rPr>
          <w:rFonts w:ascii="Times New Roman" w:hAnsi="Times New Roman" w:cs="Times New Roman"/>
          <w:sz w:val="24"/>
          <w:szCs w:val="24"/>
        </w:rPr>
        <w:t xml:space="preserve">significativa </w:t>
      </w:r>
      <w:r w:rsidRPr="003E40AC">
        <w:rPr>
          <w:rFonts w:ascii="Times New Roman" w:hAnsi="Times New Roman" w:cs="Times New Roman"/>
          <w:sz w:val="24"/>
          <w:szCs w:val="24"/>
        </w:rPr>
        <w:t xml:space="preserve">no desempenho operacional das empresas emissoras em relação às não emissoras nos quatros anos que sucedem à emissão. </w:t>
      </w:r>
      <w:r w:rsidRPr="00933491">
        <w:rPr>
          <w:rFonts w:ascii="Times New Roman" w:hAnsi="Times New Roman" w:cs="Times New Roman"/>
          <w:sz w:val="24"/>
          <w:szCs w:val="24"/>
        </w:rPr>
        <w:t xml:space="preserve">Essa divergência de resultados pode ser atribuída ao fato de que, no cenário brasileiro, há poucas ofertas públicas de ações, ficando a análise restrita apenas a empresas representativas no </w:t>
      </w:r>
      <w:r w:rsidRPr="00933491">
        <w:rPr>
          <w:rFonts w:ascii="Times New Roman" w:hAnsi="Times New Roman" w:cs="Times New Roman"/>
          <w:sz w:val="24"/>
          <w:szCs w:val="24"/>
        </w:rPr>
        <w:lastRenderedPageBreak/>
        <w:t>mercado de ações</w:t>
      </w:r>
      <w:r>
        <w:rPr>
          <w:rFonts w:ascii="Times New Roman" w:hAnsi="Times New Roman" w:cs="Times New Roman"/>
          <w:sz w:val="24"/>
          <w:szCs w:val="24"/>
        </w:rPr>
        <w:t xml:space="preserve">, além de as características da economia divergirem, uma vez que o estudo de </w:t>
      </w:r>
      <w:proofErr w:type="spellStart"/>
      <w:r>
        <w:rPr>
          <w:rFonts w:ascii="Times New Roman" w:hAnsi="Times New Roman" w:cs="Times New Roman"/>
          <w:sz w:val="24"/>
          <w:szCs w:val="24"/>
        </w:rPr>
        <w:t>Loughan</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Ritter</w:t>
      </w:r>
      <w:proofErr w:type="spellEnd"/>
      <w:r>
        <w:rPr>
          <w:rFonts w:ascii="Times New Roman" w:hAnsi="Times New Roman" w:cs="Times New Roman"/>
          <w:sz w:val="24"/>
          <w:szCs w:val="24"/>
        </w:rPr>
        <w:t xml:space="preserve"> (1997) foi realizado em um mercado desenvolvido e esta pesquisa em um mercado emergente</w:t>
      </w:r>
      <w:r w:rsidRPr="00CC11DC">
        <w:rPr>
          <w:rFonts w:ascii="Times New Roman" w:hAnsi="Times New Roman" w:cs="Times New Roman"/>
          <w:sz w:val="24"/>
          <w:szCs w:val="24"/>
        </w:rPr>
        <w:t>.</w:t>
      </w:r>
      <w:r>
        <w:rPr>
          <w:rFonts w:ascii="Times New Roman" w:hAnsi="Times New Roman" w:cs="Times New Roman"/>
          <w:sz w:val="24"/>
          <w:szCs w:val="24"/>
        </w:rPr>
        <w:t xml:space="preserve"> Pode-se sugerir que a diferença de desempenho operacional no ano que antecede à emissão de ação é, também, ocasionada pelo gerenciamento de resultados, uma vez que havia uma tendência de queda no desempenho operacional quatro anos antes à emissão, entretanto no ano da emissão ocorreu uma melhora no desempenho operacional.</w:t>
      </w:r>
    </w:p>
    <w:p w14:paraId="0F332BB3" w14:textId="3A16BD2B" w:rsidR="00D94C91" w:rsidRDefault="00D94C91" w:rsidP="00157D35">
      <w:pPr>
        <w:spacing w:after="0" w:line="240" w:lineRule="auto"/>
        <w:ind w:firstLine="709"/>
        <w:jc w:val="both"/>
        <w:rPr>
          <w:rFonts w:ascii="Times New Roman" w:hAnsi="Times New Roman" w:cs="Times New Roman"/>
          <w:sz w:val="24"/>
          <w:szCs w:val="24"/>
        </w:rPr>
      </w:pPr>
      <w:r w:rsidRPr="003E40AC">
        <w:rPr>
          <w:rFonts w:ascii="Times New Roman" w:hAnsi="Times New Roman" w:cs="Times New Roman"/>
          <w:sz w:val="24"/>
          <w:szCs w:val="24"/>
        </w:rPr>
        <w:t xml:space="preserve">Analisou-se, ainda, o desempenho operacional das empresas que realizaram grandes </w:t>
      </w:r>
      <w:r w:rsidR="00AA5FD1" w:rsidRPr="003E40AC">
        <w:rPr>
          <w:rFonts w:ascii="Times New Roman" w:hAnsi="Times New Roman" w:cs="Times New Roman"/>
          <w:sz w:val="24"/>
          <w:szCs w:val="24"/>
        </w:rPr>
        <w:t xml:space="preserve">e pequenos </w:t>
      </w:r>
      <w:r w:rsidRPr="003E40AC">
        <w:rPr>
          <w:rFonts w:ascii="Times New Roman" w:hAnsi="Times New Roman" w:cs="Times New Roman"/>
          <w:sz w:val="24"/>
          <w:szCs w:val="24"/>
        </w:rPr>
        <w:t xml:space="preserve">volumes </w:t>
      </w:r>
      <w:r w:rsidRPr="00CC11DC">
        <w:rPr>
          <w:rFonts w:ascii="Times New Roman" w:hAnsi="Times New Roman" w:cs="Times New Roman"/>
          <w:sz w:val="24"/>
          <w:szCs w:val="24"/>
        </w:rPr>
        <w:t xml:space="preserve">de </w:t>
      </w:r>
      <w:proofErr w:type="spellStart"/>
      <w:r w:rsidRPr="00CC11DC">
        <w:rPr>
          <w:rFonts w:ascii="Times New Roman" w:hAnsi="Times New Roman" w:cs="Times New Roman"/>
          <w:sz w:val="24"/>
          <w:szCs w:val="24"/>
        </w:rPr>
        <w:t>SEO’s</w:t>
      </w:r>
      <w:proofErr w:type="spellEnd"/>
      <w:r w:rsidR="006C0F79">
        <w:rPr>
          <w:rFonts w:ascii="Times New Roman" w:hAnsi="Times New Roman" w:cs="Times New Roman"/>
          <w:sz w:val="24"/>
          <w:szCs w:val="24"/>
        </w:rPr>
        <w:t xml:space="preserve"> (terceiro objetivo específico)</w:t>
      </w:r>
      <w:r w:rsidRPr="00CC11DC">
        <w:rPr>
          <w:rFonts w:ascii="Times New Roman" w:hAnsi="Times New Roman" w:cs="Times New Roman"/>
          <w:sz w:val="24"/>
          <w:szCs w:val="24"/>
        </w:rPr>
        <w:t>.</w:t>
      </w:r>
      <w:r w:rsidR="00F66B48">
        <w:rPr>
          <w:rFonts w:ascii="Times New Roman" w:hAnsi="Times New Roman" w:cs="Times New Roman"/>
          <w:sz w:val="24"/>
          <w:szCs w:val="24"/>
        </w:rPr>
        <w:t xml:space="preserve"> Especi</w:t>
      </w:r>
      <w:r w:rsidR="007A1FE9">
        <w:rPr>
          <w:rFonts w:ascii="Times New Roman" w:hAnsi="Times New Roman" w:cs="Times New Roman"/>
          <w:sz w:val="24"/>
          <w:szCs w:val="24"/>
        </w:rPr>
        <w:t>ficamente, empresas que realizaram maiores ofertas possuem mais recursos para investimentos na empresa e, consequentemente, maior desempenho operacional.</w:t>
      </w:r>
      <w:r w:rsidRPr="00CC11DC">
        <w:rPr>
          <w:rFonts w:ascii="Times New Roman" w:hAnsi="Times New Roman" w:cs="Times New Roman"/>
          <w:sz w:val="24"/>
          <w:szCs w:val="24"/>
        </w:rPr>
        <w:t xml:space="preserve"> </w:t>
      </w:r>
      <w:r w:rsidR="007A1FE9">
        <w:rPr>
          <w:rFonts w:ascii="Times New Roman" w:hAnsi="Times New Roman" w:cs="Times New Roman"/>
          <w:sz w:val="24"/>
          <w:szCs w:val="24"/>
        </w:rPr>
        <w:t>Assi</w:t>
      </w:r>
      <w:r w:rsidR="00C26BAC">
        <w:rPr>
          <w:rFonts w:ascii="Times New Roman" w:hAnsi="Times New Roman" w:cs="Times New Roman"/>
          <w:sz w:val="24"/>
          <w:szCs w:val="24"/>
        </w:rPr>
        <w:t>m</w:t>
      </w:r>
      <w:r w:rsidR="007A1FE9">
        <w:rPr>
          <w:rFonts w:ascii="Times New Roman" w:hAnsi="Times New Roman" w:cs="Times New Roman"/>
          <w:sz w:val="24"/>
          <w:szCs w:val="24"/>
        </w:rPr>
        <w:t>, f</w:t>
      </w:r>
      <w:r w:rsidR="00E705ED" w:rsidRPr="00CC11DC">
        <w:rPr>
          <w:rFonts w:ascii="Times New Roman" w:hAnsi="Times New Roman" w:cs="Times New Roman"/>
          <w:sz w:val="24"/>
          <w:szCs w:val="24"/>
        </w:rPr>
        <w:t>oi investigado se</w:t>
      </w:r>
      <w:r w:rsidRPr="003E40AC">
        <w:rPr>
          <w:rFonts w:ascii="Times New Roman" w:hAnsi="Times New Roman" w:cs="Times New Roman"/>
          <w:sz w:val="24"/>
          <w:szCs w:val="24"/>
        </w:rPr>
        <w:t xml:space="preserve">, após a realização da SEO, o desempenho operacional das empresas que realizaram grandes emissões </w:t>
      </w:r>
      <w:r w:rsidR="00246794" w:rsidRPr="003E40AC">
        <w:rPr>
          <w:rFonts w:ascii="Times New Roman" w:hAnsi="Times New Roman" w:cs="Times New Roman"/>
          <w:sz w:val="24"/>
          <w:szCs w:val="24"/>
        </w:rPr>
        <w:t>era</w:t>
      </w:r>
      <w:r w:rsidRPr="003E40AC">
        <w:rPr>
          <w:rFonts w:ascii="Times New Roman" w:hAnsi="Times New Roman" w:cs="Times New Roman"/>
          <w:sz w:val="24"/>
          <w:szCs w:val="24"/>
        </w:rPr>
        <w:t xml:space="preserve"> igual ao desempenho operacional das empresas que realizaram pequenas emissões. Para categorizar grandes e pequenas emissões, os dados referentes ao ano fiscal relativo à oferta foram separados em dois grupos, tendo como ponto de separação a mediana. Assim, a empresa com volume de oferta menor que a mediana foi classificada como pequena emissão. Já a empresa c</w:t>
      </w:r>
      <w:r w:rsidRPr="00933491">
        <w:rPr>
          <w:rFonts w:ascii="Times New Roman" w:hAnsi="Times New Roman" w:cs="Times New Roman"/>
          <w:sz w:val="24"/>
          <w:szCs w:val="24"/>
        </w:rPr>
        <w:t>om volume de oferta maior que a mediana foi classificada como grande emissão.</w:t>
      </w:r>
    </w:p>
    <w:p w14:paraId="4AF8EA47" w14:textId="4A407824" w:rsidR="006F7DBD" w:rsidRDefault="006F7DBD" w:rsidP="00157D35">
      <w:pPr>
        <w:spacing w:after="0" w:line="240" w:lineRule="auto"/>
        <w:ind w:firstLine="709"/>
        <w:jc w:val="both"/>
        <w:rPr>
          <w:rFonts w:ascii="Times New Roman" w:hAnsi="Times New Roman" w:cs="Times New Roman"/>
          <w:sz w:val="24"/>
          <w:szCs w:val="24"/>
        </w:rPr>
      </w:pPr>
      <w:r w:rsidRPr="003E40AC">
        <w:rPr>
          <w:rFonts w:ascii="Times New Roman" w:hAnsi="Times New Roman" w:cs="Times New Roman"/>
          <w:sz w:val="24"/>
          <w:szCs w:val="24"/>
        </w:rPr>
        <w:t>Na Tabela 6, é apresentado o valor da mediana</w:t>
      </w:r>
      <w:r w:rsidRPr="00933491">
        <w:rPr>
          <w:rFonts w:ascii="Times New Roman" w:hAnsi="Times New Roman" w:cs="Times New Roman"/>
          <w:sz w:val="24"/>
          <w:szCs w:val="24"/>
        </w:rPr>
        <w:t xml:space="preserve">, mínimo e máximo do ROA das empresas que realizaram SEO. Percebe-se que, com exceção do segundo ano após a SEO, as empresas que realizaram grandes emissões obtiveram um desempenho operacional superior em relação às empresas que realizaram pequenas emissões. Pode-se inferir que as empresas que fizeram grande volume de SEO destinaram o recurso recebido em oportunidades de investimentos melhores, fazendo com que a razão lucro operacional por ativo operacional seja superior em relação às empesas que fizeram pequenas emissões. No entanto, pelo Teste </w:t>
      </w:r>
      <w:r w:rsidRPr="00933491">
        <w:rPr>
          <w:rFonts w:ascii="Times New Roman" w:hAnsi="Times New Roman" w:cs="Times New Roman"/>
          <w:i/>
          <w:sz w:val="24"/>
          <w:szCs w:val="24"/>
        </w:rPr>
        <w:t xml:space="preserve">t </w:t>
      </w:r>
      <w:r w:rsidRPr="00933491">
        <w:rPr>
          <w:rFonts w:ascii="Times New Roman" w:hAnsi="Times New Roman" w:cs="Times New Roman"/>
          <w:sz w:val="24"/>
          <w:szCs w:val="24"/>
        </w:rPr>
        <w:t>de</w:t>
      </w:r>
      <w:r w:rsidRPr="00933491">
        <w:rPr>
          <w:rFonts w:ascii="Times New Roman" w:hAnsi="Times New Roman" w:cs="Times New Roman"/>
          <w:i/>
          <w:sz w:val="24"/>
          <w:szCs w:val="24"/>
        </w:rPr>
        <w:t xml:space="preserve"> </w:t>
      </w:r>
      <w:proofErr w:type="spellStart"/>
      <w:r w:rsidRPr="00933491">
        <w:rPr>
          <w:rFonts w:ascii="Times New Roman" w:hAnsi="Times New Roman" w:cs="Times New Roman"/>
          <w:i/>
          <w:sz w:val="24"/>
          <w:szCs w:val="24"/>
        </w:rPr>
        <w:t>Student</w:t>
      </w:r>
      <w:proofErr w:type="spellEnd"/>
      <w:r w:rsidRPr="00933491">
        <w:rPr>
          <w:rFonts w:ascii="Times New Roman" w:hAnsi="Times New Roman" w:cs="Times New Roman"/>
          <w:i/>
          <w:sz w:val="24"/>
          <w:szCs w:val="24"/>
        </w:rPr>
        <w:t xml:space="preserve">, </w:t>
      </w:r>
      <w:r w:rsidRPr="00933491">
        <w:rPr>
          <w:rFonts w:ascii="Times New Roman" w:hAnsi="Times New Roman" w:cs="Times New Roman"/>
          <w:sz w:val="24"/>
          <w:szCs w:val="24"/>
        </w:rPr>
        <w:t>verificou-se que a diferença do desempenho operacional após a SEO entre empresas que realizaram pequena e grande emissão não é estatisticamente significativa ao nível de significância a 10% (Tabela 7).</w:t>
      </w:r>
    </w:p>
    <w:p w14:paraId="0B982D58" w14:textId="77777777" w:rsidR="005216EB" w:rsidRPr="00CC11DC" w:rsidRDefault="005216EB" w:rsidP="0056798E">
      <w:pPr>
        <w:spacing w:after="0" w:line="240" w:lineRule="auto"/>
        <w:ind w:firstLine="567"/>
        <w:jc w:val="both"/>
        <w:rPr>
          <w:rFonts w:ascii="Times New Roman" w:hAnsi="Times New Roman" w:cs="Times New Roman"/>
          <w:sz w:val="24"/>
          <w:szCs w:val="24"/>
        </w:rPr>
      </w:pPr>
    </w:p>
    <w:p w14:paraId="10C28F1A" w14:textId="6C181380" w:rsidR="00D240D8" w:rsidRPr="004C7DD9" w:rsidRDefault="00D240D8" w:rsidP="004C7DD9">
      <w:pPr>
        <w:spacing w:after="0" w:line="240" w:lineRule="auto"/>
        <w:jc w:val="center"/>
        <w:rPr>
          <w:rFonts w:ascii="Times New Roman" w:hAnsi="Times New Roman" w:cs="Times New Roman"/>
          <w:b/>
          <w:sz w:val="20"/>
          <w:szCs w:val="20"/>
        </w:rPr>
      </w:pPr>
      <w:r w:rsidRPr="004C7DD9">
        <w:rPr>
          <w:rFonts w:ascii="Times New Roman" w:hAnsi="Times New Roman" w:cs="Times New Roman"/>
          <w:b/>
          <w:sz w:val="20"/>
          <w:szCs w:val="20"/>
        </w:rPr>
        <w:t xml:space="preserve">Tabela </w:t>
      </w:r>
      <w:r w:rsidR="00A47F44" w:rsidRPr="004C7DD9">
        <w:rPr>
          <w:rFonts w:ascii="Times New Roman" w:hAnsi="Times New Roman" w:cs="Times New Roman"/>
          <w:b/>
          <w:sz w:val="20"/>
          <w:szCs w:val="20"/>
        </w:rPr>
        <w:t>6</w:t>
      </w:r>
      <w:r w:rsidR="004C7DD9" w:rsidRPr="004C7DD9">
        <w:rPr>
          <w:rFonts w:ascii="Times New Roman" w:hAnsi="Times New Roman" w:cs="Times New Roman"/>
          <w:b/>
          <w:sz w:val="20"/>
          <w:szCs w:val="20"/>
        </w:rPr>
        <w:t xml:space="preserve"> - </w:t>
      </w:r>
      <w:r w:rsidRPr="004C7DD9">
        <w:rPr>
          <w:rFonts w:ascii="Times New Roman" w:hAnsi="Times New Roman" w:cs="Times New Roman"/>
          <w:b/>
          <w:sz w:val="20"/>
          <w:szCs w:val="20"/>
        </w:rPr>
        <w:t>Desempenho Ope</w:t>
      </w:r>
      <w:r w:rsidR="00DE00FE" w:rsidRPr="004C7DD9">
        <w:rPr>
          <w:rFonts w:ascii="Times New Roman" w:hAnsi="Times New Roman" w:cs="Times New Roman"/>
          <w:b/>
          <w:sz w:val="20"/>
          <w:szCs w:val="20"/>
        </w:rPr>
        <w:t xml:space="preserve">racional </w:t>
      </w:r>
      <w:r w:rsidRPr="004C7DD9">
        <w:rPr>
          <w:rFonts w:ascii="Times New Roman" w:hAnsi="Times New Roman" w:cs="Times New Roman"/>
          <w:b/>
          <w:sz w:val="20"/>
          <w:szCs w:val="20"/>
        </w:rPr>
        <w:t xml:space="preserve">por volume de </w:t>
      </w:r>
      <w:r w:rsidR="00DE00FE" w:rsidRPr="004C7DD9">
        <w:rPr>
          <w:rFonts w:ascii="Times New Roman" w:hAnsi="Times New Roman" w:cs="Times New Roman"/>
          <w:b/>
          <w:sz w:val="20"/>
          <w:szCs w:val="20"/>
        </w:rPr>
        <w:t>emissão</w:t>
      </w:r>
    </w:p>
    <w:tbl>
      <w:tblPr>
        <w:tblW w:w="4441" w:type="pct"/>
        <w:jc w:val="center"/>
        <w:tblCellMar>
          <w:left w:w="70" w:type="dxa"/>
          <w:right w:w="70" w:type="dxa"/>
        </w:tblCellMar>
        <w:tblLook w:val="04A0" w:firstRow="1" w:lastRow="0" w:firstColumn="1" w:lastColumn="0" w:noHBand="0" w:noVBand="1"/>
      </w:tblPr>
      <w:tblGrid>
        <w:gridCol w:w="574"/>
        <w:gridCol w:w="1366"/>
        <w:gridCol w:w="1253"/>
        <w:gridCol w:w="1023"/>
        <w:gridCol w:w="1367"/>
        <w:gridCol w:w="1353"/>
        <w:gridCol w:w="1121"/>
      </w:tblGrid>
      <w:tr w:rsidR="009B2F33" w:rsidRPr="00933491" w14:paraId="2C77514B" w14:textId="77777777" w:rsidTr="004C7DD9">
        <w:trPr>
          <w:trHeight w:val="300"/>
          <w:jc w:val="center"/>
        </w:trPr>
        <w:tc>
          <w:tcPr>
            <w:tcW w:w="5000" w:type="pct"/>
            <w:gridSpan w:val="7"/>
            <w:tcBorders>
              <w:top w:val="single" w:sz="4" w:space="0" w:color="auto"/>
              <w:left w:val="nil"/>
              <w:bottom w:val="single" w:sz="4" w:space="0" w:color="auto"/>
              <w:right w:val="nil"/>
            </w:tcBorders>
            <w:shd w:val="clear" w:color="auto" w:fill="auto"/>
            <w:noWrap/>
            <w:vAlign w:val="center"/>
            <w:hideMark/>
          </w:tcPr>
          <w:p w14:paraId="67E738B4" w14:textId="1396F715" w:rsidR="00546F26" w:rsidRPr="00933491" w:rsidRDefault="00546F26" w:rsidP="0056798E">
            <w:pPr>
              <w:spacing w:after="0" w:line="240" w:lineRule="auto"/>
              <w:jc w:val="center"/>
              <w:rPr>
                <w:rFonts w:ascii="Times New Roman" w:eastAsia="Times New Roman" w:hAnsi="Times New Roman" w:cs="Times New Roman"/>
                <w:b/>
                <w:color w:val="000000"/>
                <w:sz w:val="20"/>
                <w:szCs w:val="20"/>
                <w:lang w:eastAsia="pt-BR"/>
              </w:rPr>
            </w:pPr>
            <w:r w:rsidRPr="00933491">
              <w:rPr>
                <w:rFonts w:ascii="Times New Roman" w:eastAsia="Times New Roman" w:hAnsi="Times New Roman" w:cs="Times New Roman"/>
                <w:b/>
                <w:color w:val="000000"/>
                <w:sz w:val="20"/>
                <w:szCs w:val="20"/>
                <w:lang w:eastAsia="pt-BR"/>
              </w:rPr>
              <w:t>Volume de Emissão SEO</w:t>
            </w:r>
          </w:p>
        </w:tc>
      </w:tr>
      <w:tr w:rsidR="009B2F33" w:rsidRPr="00933491" w14:paraId="14119644" w14:textId="77777777" w:rsidTr="004C7DD9">
        <w:trPr>
          <w:trHeight w:val="300"/>
          <w:jc w:val="center"/>
        </w:trPr>
        <w:tc>
          <w:tcPr>
            <w:tcW w:w="351" w:type="pct"/>
            <w:vMerge w:val="restart"/>
            <w:tcBorders>
              <w:top w:val="nil"/>
              <w:left w:val="nil"/>
              <w:bottom w:val="single" w:sz="4" w:space="0" w:color="000000"/>
              <w:right w:val="single" w:sz="4" w:space="0" w:color="auto"/>
            </w:tcBorders>
            <w:shd w:val="clear" w:color="auto" w:fill="auto"/>
            <w:vAlign w:val="center"/>
            <w:hideMark/>
          </w:tcPr>
          <w:p w14:paraId="78768668" w14:textId="77777777" w:rsidR="00546F26" w:rsidRPr="00CC11DC" w:rsidRDefault="00546F26" w:rsidP="0056798E">
            <w:pPr>
              <w:spacing w:after="0" w:line="240" w:lineRule="auto"/>
              <w:jc w:val="center"/>
              <w:rPr>
                <w:rFonts w:ascii="Times New Roman" w:eastAsia="Times New Roman" w:hAnsi="Times New Roman" w:cs="Times New Roman"/>
                <w:color w:val="000000"/>
                <w:sz w:val="20"/>
                <w:szCs w:val="20"/>
                <w:lang w:eastAsia="pt-BR"/>
              </w:rPr>
            </w:pPr>
            <w:r w:rsidRPr="00CC11DC">
              <w:rPr>
                <w:rFonts w:ascii="Times New Roman" w:eastAsia="Times New Roman" w:hAnsi="Times New Roman" w:cs="Times New Roman"/>
                <w:color w:val="000000"/>
                <w:sz w:val="20"/>
                <w:szCs w:val="20"/>
                <w:lang w:eastAsia="pt-BR"/>
              </w:rPr>
              <w:t>Ano fiscal</w:t>
            </w:r>
          </w:p>
        </w:tc>
        <w:tc>
          <w:tcPr>
            <w:tcW w:w="2264" w:type="pct"/>
            <w:gridSpan w:val="3"/>
            <w:tcBorders>
              <w:top w:val="single" w:sz="4" w:space="0" w:color="auto"/>
              <w:left w:val="nil"/>
              <w:bottom w:val="single" w:sz="4" w:space="0" w:color="auto"/>
              <w:right w:val="single" w:sz="4" w:space="0" w:color="000000"/>
            </w:tcBorders>
            <w:shd w:val="clear" w:color="auto" w:fill="auto"/>
            <w:vAlign w:val="center"/>
            <w:hideMark/>
          </w:tcPr>
          <w:p w14:paraId="760F2DA7" w14:textId="77777777" w:rsidR="00546F26" w:rsidRPr="003E40AC" w:rsidRDefault="00546F26" w:rsidP="0056798E">
            <w:pPr>
              <w:spacing w:after="0" w:line="240" w:lineRule="auto"/>
              <w:jc w:val="center"/>
              <w:rPr>
                <w:rFonts w:ascii="Times New Roman" w:eastAsia="Times New Roman" w:hAnsi="Times New Roman" w:cs="Times New Roman"/>
                <w:color w:val="000000"/>
                <w:sz w:val="20"/>
                <w:szCs w:val="20"/>
                <w:lang w:eastAsia="pt-BR"/>
              </w:rPr>
            </w:pPr>
            <w:r w:rsidRPr="003E40AC">
              <w:rPr>
                <w:rFonts w:ascii="Times New Roman" w:eastAsia="Times New Roman" w:hAnsi="Times New Roman" w:cs="Times New Roman"/>
                <w:color w:val="000000"/>
                <w:sz w:val="20"/>
                <w:szCs w:val="20"/>
                <w:lang w:eastAsia="pt-BR"/>
              </w:rPr>
              <w:t>Pequeno</w:t>
            </w:r>
          </w:p>
        </w:tc>
        <w:tc>
          <w:tcPr>
            <w:tcW w:w="2386" w:type="pct"/>
            <w:gridSpan w:val="3"/>
            <w:tcBorders>
              <w:top w:val="single" w:sz="4" w:space="0" w:color="auto"/>
              <w:left w:val="nil"/>
              <w:bottom w:val="nil"/>
              <w:right w:val="nil"/>
            </w:tcBorders>
            <w:shd w:val="clear" w:color="auto" w:fill="auto"/>
            <w:vAlign w:val="center"/>
            <w:hideMark/>
          </w:tcPr>
          <w:p w14:paraId="3F5752D5" w14:textId="77777777" w:rsidR="00546F26" w:rsidRPr="003E40AC" w:rsidRDefault="00546F26" w:rsidP="0056798E">
            <w:pPr>
              <w:spacing w:after="0" w:line="240" w:lineRule="auto"/>
              <w:jc w:val="center"/>
              <w:rPr>
                <w:rFonts w:ascii="Times New Roman" w:eastAsia="Times New Roman" w:hAnsi="Times New Roman" w:cs="Times New Roman"/>
                <w:color w:val="000000"/>
                <w:sz w:val="20"/>
                <w:szCs w:val="20"/>
                <w:lang w:eastAsia="pt-BR"/>
              </w:rPr>
            </w:pPr>
            <w:r w:rsidRPr="003E40AC">
              <w:rPr>
                <w:rFonts w:ascii="Times New Roman" w:eastAsia="Times New Roman" w:hAnsi="Times New Roman" w:cs="Times New Roman"/>
                <w:color w:val="000000"/>
                <w:sz w:val="20"/>
                <w:szCs w:val="20"/>
                <w:lang w:eastAsia="pt-BR"/>
              </w:rPr>
              <w:t>Grande</w:t>
            </w:r>
          </w:p>
        </w:tc>
      </w:tr>
      <w:tr w:rsidR="009B2F33" w:rsidRPr="00933491" w14:paraId="066880F4" w14:textId="77777777" w:rsidTr="004C7DD9">
        <w:trPr>
          <w:trHeight w:val="300"/>
          <w:jc w:val="center"/>
        </w:trPr>
        <w:tc>
          <w:tcPr>
            <w:tcW w:w="351" w:type="pct"/>
            <w:vMerge/>
            <w:tcBorders>
              <w:top w:val="nil"/>
              <w:left w:val="nil"/>
              <w:bottom w:val="single" w:sz="4" w:space="0" w:color="000000"/>
              <w:right w:val="single" w:sz="4" w:space="0" w:color="auto"/>
            </w:tcBorders>
            <w:vAlign w:val="center"/>
          </w:tcPr>
          <w:p w14:paraId="6AE175C0" w14:textId="77777777" w:rsidR="005571B6" w:rsidRPr="00933491" w:rsidRDefault="005571B6" w:rsidP="0056798E">
            <w:pPr>
              <w:spacing w:after="0" w:line="240" w:lineRule="auto"/>
              <w:jc w:val="center"/>
              <w:rPr>
                <w:rFonts w:ascii="Times New Roman" w:eastAsia="Times New Roman" w:hAnsi="Times New Roman" w:cs="Times New Roman"/>
                <w:color w:val="000000"/>
                <w:sz w:val="20"/>
                <w:szCs w:val="20"/>
                <w:lang w:eastAsia="pt-BR"/>
              </w:rPr>
            </w:pPr>
          </w:p>
        </w:tc>
        <w:tc>
          <w:tcPr>
            <w:tcW w:w="849" w:type="pct"/>
            <w:tcBorders>
              <w:top w:val="nil"/>
              <w:left w:val="nil"/>
              <w:bottom w:val="single" w:sz="4" w:space="0" w:color="auto"/>
              <w:right w:val="nil"/>
            </w:tcBorders>
            <w:shd w:val="clear" w:color="auto" w:fill="auto"/>
            <w:noWrap/>
            <w:vAlign w:val="center"/>
          </w:tcPr>
          <w:p w14:paraId="666F36D7" w14:textId="7227C41D" w:rsidR="005571B6" w:rsidRPr="00933491" w:rsidRDefault="005571B6" w:rsidP="0056798E">
            <w:pPr>
              <w:spacing w:after="0" w:line="240" w:lineRule="auto"/>
              <w:jc w:val="center"/>
              <w:rPr>
                <w:rFonts w:ascii="Times New Roman" w:eastAsia="Times New Roman" w:hAnsi="Times New Roman" w:cs="Times New Roman"/>
                <w:color w:val="000000"/>
                <w:sz w:val="20"/>
                <w:szCs w:val="20"/>
                <w:lang w:eastAsia="pt-BR"/>
              </w:rPr>
            </w:pPr>
            <w:r w:rsidRPr="00933491">
              <w:rPr>
                <w:rFonts w:ascii="Times New Roman" w:eastAsia="Times New Roman" w:hAnsi="Times New Roman" w:cs="Times New Roman"/>
                <w:color w:val="000000"/>
                <w:sz w:val="20"/>
                <w:szCs w:val="20"/>
                <w:lang w:eastAsia="pt-BR"/>
              </w:rPr>
              <w:t>ROA</w:t>
            </w:r>
          </w:p>
        </w:tc>
        <w:tc>
          <w:tcPr>
            <w:tcW w:w="779" w:type="pct"/>
            <w:tcBorders>
              <w:top w:val="nil"/>
              <w:left w:val="nil"/>
              <w:bottom w:val="single" w:sz="4" w:space="0" w:color="auto"/>
              <w:right w:val="nil"/>
            </w:tcBorders>
            <w:shd w:val="clear" w:color="auto" w:fill="auto"/>
            <w:noWrap/>
            <w:vAlign w:val="center"/>
          </w:tcPr>
          <w:p w14:paraId="5397CC1E" w14:textId="7A9B8491" w:rsidR="005571B6" w:rsidRPr="00933491" w:rsidRDefault="005571B6" w:rsidP="0056798E">
            <w:pPr>
              <w:spacing w:after="0" w:line="240" w:lineRule="auto"/>
              <w:jc w:val="center"/>
              <w:rPr>
                <w:rFonts w:ascii="Times New Roman" w:eastAsia="Times New Roman" w:hAnsi="Times New Roman" w:cs="Times New Roman"/>
                <w:color w:val="000000"/>
                <w:sz w:val="20"/>
                <w:szCs w:val="20"/>
                <w:lang w:eastAsia="pt-BR"/>
              </w:rPr>
            </w:pPr>
            <w:r w:rsidRPr="00933491">
              <w:rPr>
                <w:rFonts w:ascii="Times New Roman" w:eastAsia="Times New Roman" w:hAnsi="Times New Roman" w:cs="Times New Roman"/>
                <w:color w:val="000000"/>
                <w:sz w:val="20"/>
                <w:szCs w:val="20"/>
                <w:lang w:eastAsia="pt-BR"/>
              </w:rPr>
              <w:t>ROA</w:t>
            </w:r>
          </w:p>
        </w:tc>
        <w:tc>
          <w:tcPr>
            <w:tcW w:w="636" w:type="pct"/>
            <w:tcBorders>
              <w:top w:val="nil"/>
              <w:left w:val="nil"/>
              <w:bottom w:val="single" w:sz="4" w:space="0" w:color="auto"/>
              <w:right w:val="single" w:sz="4" w:space="0" w:color="auto"/>
            </w:tcBorders>
            <w:shd w:val="clear" w:color="auto" w:fill="auto"/>
            <w:noWrap/>
            <w:vAlign w:val="center"/>
          </w:tcPr>
          <w:p w14:paraId="017E77F7" w14:textId="3B39AE94" w:rsidR="005571B6" w:rsidRPr="00933491" w:rsidRDefault="005571B6" w:rsidP="0056798E">
            <w:pPr>
              <w:spacing w:after="0" w:line="240" w:lineRule="auto"/>
              <w:jc w:val="center"/>
              <w:rPr>
                <w:rFonts w:ascii="Times New Roman" w:eastAsia="Times New Roman" w:hAnsi="Times New Roman" w:cs="Times New Roman"/>
                <w:color w:val="000000"/>
                <w:sz w:val="20"/>
                <w:szCs w:val="20"/>
                <w:lang w:eastAsia="pt-BR"/>
              </w:rPr>
            </w:pPr>
            <w:r w:rsidRPr="00933491">
              <w:rPr>
                <w:rFonts w:ascii="Times New Roman" w:eastAsia="Times New Roman" w:hAnsi="Times New Roman" w:cs="Times New Roman"/>
                <w:color w:val="000000"/>
                <w:sz w:val="20"/>
                <w:szCs w:val="20"/>
                <w:lang w:eastAsia="pt-BR"/>
              </w:rPr>
              <w:t>ROA</w:t>
            </w:r>
          </w:p>
        </w:tc>
        <w:tc>
          <w:tcPr>
            <w:tcW w:w="849" w:type="pct"/>
            <w:tcBorders>
              <w:top w:val="single" w:sz="4" w:space="0" w:color="auto"/>
              <w:left w:val="nil"/>
              <w:bottom w:val="single" w:sz="4" w:space="0" w:color="auto"/>
              <w:right w:val="nil"/>
            </w:tcBorders>
            <w:shd w:val="clear" w:color="auto" w:fill="auto"/>
            <w:noWrap/>
            <w:vAlign w:val="center"/>
          </w:tcPr>
          <w:p w14:paraId="6BCCE2C5" w14:textId="2EEB4001" w:rsidR="005571B6" w:rsidRPr="00933491" w:rsidRDefault="005571B6" w:rsidP="0056798E">
            <w:pPr>
              <w:spacing w:after="0" w:line="240" w:lineRule="auto"/>
              <w:jc w:val="center"/>
              <w:rPr>
                <w:rFonts w:ascii="Times New Roman" w:eastAsia="Times New Roman" w:hAnsi="Times New Roman" w:cs="Times New Roman"/>
                <w:color w:val="000000"/>
                <w:sz w:val="20"/>
                <w:szCs w:val="20"/>
                <w:lang w:eastAsia="pt-BR"/>
              </w:rPr>
            </w:pPr>
            <w:r w:rsidRPr="00933491">
              <w:rPr>
                <w:rFonts w:ascii="Times New Roman" w:eastAsia="Times New Roman" w:hAnsi="Times New Roman" w:cs="Times New Roman"/>
                <w:color w:val="000000"/>
                <w:sz w:val="20"/>
                <w:szCs w:val="20"/>
                <w:lang w:eastAsia="pt-BR"/>
              </w:rPr>
              <w:t>ROA</w:t>
            </w:r>
          </w:p>
        </w:tc>
        <w:tc>
          <w:tcPr>
            <w:tcW w:w="840" w:type="pct"/>
            <w:tcBorders>
              <w:top w:val="single" w:sz="4" w:space="0" w:color="auto"/>
              <w:left w:val="nil"/>
              <w:bottom w:val="single" w:sz="4" w:space="0" w:color="auto"/>
              <w:right w:val="nil"/>
            </w:tcBorders>
            <w:shd w:val="clear" w:color="auto" w:fill="auto"/>
            <w:noWrap/>
            <w:vAlign w:val="center"/>
          </w:tcPr>
          <w:p w14:paraId="2E248792" w14:textId="120330D8" w:rsidR="005571B6" w:rsidRPr="00933491" w:rsidRDefault="005571B6" w:rsidP="0056798E">
            <w:pPr>
              <w:spacing w:after="0" w:line="240" w:lineRule="auto"/>
              <w:jc w:val="center"/>
              <w:rPr>
                <w:rFonts w:ascii="Times New Roman" w:eastAsia="Times New Roman" w:hAnsi="Times New Roman" w:cs="Times New Roman"/>
                <w:color w:val="000000"/>
                <w:sz w:val="20"/>
                <w:szCs w:val="20"/>
                <w:lang w:eastAsia="pt-BR"/>
              </w:rPr>
            </w:pPr>
            <w:r w:rsidRPr="00933491">
              <w:rPr>
                <w:rFonts w:ascii="Times New Roman" w:eastAsia="Times New Roman" w:hAnsi="Times New Roman" w:cs="Times New Roman"/>
                <w:color w:val="000000"/>
                <w:sz w:val="20"/>
                <w:szCs w:val="20"/>
                <w:lang w:eastAsia="pt-BR"/>
              </w:rPr>
              <w:t>ROA</w:t>
            </w:r>
          </w:p>
        </w:tc>
        <w:tc>
          <w:tcPr>
            <w:tcW w:w="697" w:type="pct"/>
            <w:tcBorders>
              <w:top w:val="single" w:sz="4" w:space="0" w:color="auto"/>
              <w:left w:val="nil"/>
              <w:bottom w:val="single" w:sz="4" w:space="0" w:color="auto"/>
              <w:right w:val="nil"/>
            </w:tcBorders>
            <w:shd w:val="clear" w:color="auto" w:fill="auto"/>
            <w:noWrap/>
            <w:vAlign w:val="center"/>
          </w:tcPr>
          <w:p w14:paraId="4A71AF8D" w14:textId="1F759714" w:rsidR="005571B6" w:rsidRPr="00933491" w:rsidRDefault="005571B6" w:rsidP="0056798E">
            <w:pPr>
              <w:spacing w:after="0" w:line="240" w:lineRule="auto"/>
              <w:jc w:val="center"/>
              <w:rPr>
                <w:rFonts w:ascii="Times New Roman" w:eastAsia="Times New Roman" w:hAnsi="Times New Roman" w:cs="Times New Roman"/>
                <w:color w:val="000000"/>
                <w:sz w:val="20"/>
                <w:szCs w:val="20"/>
                <w:lang w:eastAsia="pt-BR"/>
              </w:rPr>
            </w:pPr>
            <w:r w:rsidRPr="00933491">
              <w:rPr>
                <w:rFonts w:ascii="Times New Roman" w:eastAsia="Times New Roman" w:hAnsi="Times New Roman" w:cs="Times New Roman"/>
                <w:color w:val="000000"/>
                <w:sz w:val="20"/>
                <w:szCs w:val="20"/>
                <w:lang w:eastAsia="pt-BR"/>
              </w:rPr>
              <w:t>ROA</w:t>
            </w:r>
          </w:p>
        </w:tc>
      </w:tr>
      <w:tr w:rsidR="009B2F33" w:rsidRPr="00933491" w14:paraId="5C077529" w14:textId="77777777" w:rsidTr="004C7DD9">
        <w:trPr>
          <w:trHeight w:val="300"/>
          <w:jc w:val="center"/>
        </w:trPr>
        <w:tc>
          <w:tcPr>
            <w:tcW w:w="351" w:type="pct"/>
            <w:vMerge/>
            <w:tcBorders>
              <w:top w:val="nil"/>
              <w:left w:val="nil"/>
              <w:bottom w:val="single" w:sz="4" w:space="0" w:color="000000"/>
              <w:right w:val="single" w:sz="4" w:space="0" w:color="auto"/>
            </w:tcBorders>
            <w:vAlign w:val="center"/>
            <w:hideMark/>
          </w:tcPr>
          <w:p w14:paraId="01BE5CDD" w14:textId="77777777" w:rsidR="00546F26" w:rsidRPr="00933491" w:rsidRDefault="00546F26" w:rsidP="0056798E">
            <w:pPr>
              <w:spacing w:after="0" w:line="240" w:lineRule="auto"/>
              <w:jc w:val="center"/>
              <w:rPr>
                <w:rFonts w:ascii="Times New Roman" w:eastAsia="Times New Roman" w:hAnsi="Times New Roman" w:cs="Times New Roman"/>
                <w:color w:val="000000"/>
                <w:sz w:val="20"/>
                <w:szCs w:val="20"/>
                <w:lang w:eastAsia="pt-BR"/>
              </w:rPr>
            </w:pPr>
          </w:p>
        </w:tc>
        <w:tc>
          <w:tcPr>
            <w:tcW w:w="849" w:type="pct"/>
            <w:tcBorders>
              <w:top w:val="nil"/>
              <w:left w:val="nil"/>
              <w:bottom w:val="single" w:sz="4" w:space="0" w:color="auto"/>
              <w:right w:val="nil"/>
            </w:tcBorders>
            <w:shd w:val="clear" w:color="auto" w:fill="auto"/>
            <w:noWrap/>
            <w:vAlign w:val="center"/>
            <w:hideMark/>
          </w:tcPr>
          <w:p w14:paraId="7EFD3990" w14:textId="4B396FF4" w:rsidR="00546F26" w:rsidRPr="00933491" w:rsidRDefault="00A22AA8" w:rsidP="0056798E">
            <w:pPr>
              <w:spacing w:after="0" w:line="240" w:lineRule="auto"/>
              <w:jc w:val="center"/>
              <w:rPr>
                <w:rFonts w:ascii="Times New Roman" w:eastAsia="Times New Roman" w:hAnsi="Times New Roman" w:cs="Times New Roman"/>
                <w:color w:val="000000"/>
                <w:sz w:val="20"/>
                <w:szCs w:val="20"/>
                <w:lang w:eastAsia="pt-BR"/>
              </w:rPr>
            </w:pPr>
            <w:r w:rsidRPr="00933491">
              <w:rPr>
                <w:rFonts w:ascii="Times New Roman" w:eastAsia="Times New Roman" w:hAnsi="Times New Roman" w:cs="Times New Roman"/>
                <w:color w:val="000000"/>
                <w:sz w:val="20"/>
                <w:szCs w:val="20"/>
                <w:lang w:eastAsia="pt-BR"/>
              </w:rPr>
              <w:t>Mediana</w:t>
            </w:r>
          </w:p>
        </w:tc>
        <w:tc>
          <w:tcPr>
            <w:tcW w:w="779" w:type="pct"/>
            <w:tcBorders>
              <w:top w:val="nil"/>
              <w:left w:val="nil"/>
              <w:bottom w:val="single" w:sz="4" w:space="0" w:color="auto"/>
              <w:right w:val="nil"/>
            </w:tcBorders>
            <w:shd w:val="clear" w:color="auto" w:fill="auto"/>
            <w:noWrap/>
            <w:vAlign w:val="center"/>
            <w:hideMark/>
          </w:tcPr>
          <w:p w14:paraId="53963AC1" w14:textId="77777777" w:rsidR="00546F26" w:rsidRPr="00933491" w:rsidRDefault="00546F26" w:rsidP="0056798E">
            <w:pPr>
              <w:spacing w:after="0" w:line="240" w:lineRule="auto"/>
              <w:jc w:val="center"/>
              <w:rPr>
                <w:rFonts w:ascii="Times New Roman" w:eastAsia="Times New Roman" w:hAnsi="Times New Roman" w:cs="Times New Roman"/>
                <w:color w:val="000000"/>
                <w:sz w:val="20"/>
                <w:szCs w:val="20"/>
                <w:lang w:eastAsia="pt-BR"/>
              </w:rPr>
            </w:pPr>
            <w:r w:rsidRPr="00933491">
              <w:rPr>
                <w:rFonts w:ascii="Times New Roman" w:eastAsia="Times New Roman" w:hAnsi="Times New Roman" w:cs="Times New Roman"/>
                <w:color w:val="000000"/>
                <w:sz w:val="20"/>
                <w:szCs w:val="20"/>
                <w:lang w:eastAsia="pt-BR"/>
              </w:rPr>
              <w:t>Mínimo</w:t>
            </w:r>
          </w:p>
        </w:tc>
        <w:tc>
          <w:tcPr>
            <w:tcW w:w="636" w:type="pct"/>
            <w:tcBorders>
              <w:top w:val="nil"/>
              <w:left w:val="nil"/>
              <w:bottom w:val="single" w:sz="4" w:space="0" w:color="auto"/>
              <w:right w:val="single" w:sz="4" w:space="0" w:color="auto"/>
            </w:tcBorders>
            <w:shd w:val="clear" w:color="auto" w:fill="auto"/>
            <w:noWrap/>
            <w:vAlign w:val="center"/>
            <w:hideMark/>
          </w:tcPr>
          <w:p w14:paraId="4558EF2E" w14:textId="77777777" w:rsidR="00546F26" w:rsidRPr="00933491" w:rsidRDefault="00546F26" w:rsidP="0056798E">
            <w:pPr>
              <w:spacing w:after="0" w:line="240" w:lineRule="auto"/>
              <w:jc w:val="center"/>
              <w:rPr>
                <w:rFonts w:ascii="Times New Roman" w:eastAsia="Times New Roman" w:hAnsi="Times New Roman" w:cs="Times New Roman"/>
                <w:color w:val="000000"/>
                <w:sz w:val="20"/>
                <w:szCs w:val="20"/>
                <w:lang w:eastAsia="pt-BR"/>
              </w:rPr>
            </w:pPr>
            <w:r w:rsidRPr="00933491">
              <w:rPr>
                <w:rFonts w:ascii="Times New Roman" w:eastAsia="Times New Roman" w:hAnsi="Times New Roman" w:cs="Times New Roman"/>
                <w:color w:val="000000"/>
                <w:sz w:val="20"/>
                <w:szCs w:val="20"/>
                <w:lang w:eastAsia="pt-BR"/>
              </w:rPr>
              <w:t>Máximo</w:t>
            </w:r>
          </w:p>
        </w:tc>
        <w:tc>
          <w:tcPr>
            <w:tcW w:w="849" w:type="pct"/>
            <w:tcBorders>
              <w:top w:val="single" w:sz="4" w:space="0" w:color="auto"/>
              <w:left w:val="nil"/>
              <w:bottom w:val="single" w:sz="4" w:space="0" w:color="auto"/>
              <w:right w:val="nil"/>
            </w:tcBorders>
            <w:shd w:val="clear" w:color="auto" w:fill="auto"/>
            <w:noWrap/>
            <w:vAlign w:val="center"/>
            <w:hideMark/>
          </w:tcPr>
          <w:p w14:paraId="7FDC9538" w14:textId="7588B995" w:rsidR="00546F26" w:rsidRPr="00933491" w:rsidRDefault="00A22AA8" w:rsidP="0056798E">
            <w:pPr>
              <w:spacing w:after="0" w:line="240" w:lineRule="auto"/>
              <w:jc w:val="center"/>
              <w:rPr>
                <w:rFonts w:ascii="Times New Roman" w:eastAsia="Times New Roman" w:hAnsi="Times New Roman" w:cs="Times New Roman"/>
                <w:color w:val="000000"/>
                <w:sz w:val="20"/>
                <w:szCs w:val="20"/>
                <w:lang w:eastAsia="pt-BR"/>
              </w:rPr>
            </w:pPr>
            <w:r w:rsidRPr="00933491">
              <w:rPr>
                <w:rFonts w:ascii="Times New Roman" w:eastAsia="Times New Roman" w:hAnsi="Times New Roman" w:cs="Times New Roman"/>
                <w:color w:val="000000"/>
                <w:sz w:val="20"/>
                <w:szCs w:val="20"/>
                <w:lang w:eastAsia="pt-BR"/>
              </w:rPr>
              <w:t>Mediana</w:t>
            </w:r>
          </w:p>
        </w:tc>
        <w:tc>
          <w:tcPr>
            <w:tcW w:w="840" w:type="pct"/>
            <w:tcBorders>
              <w:top w:val="single" w:sz="4" w:space="0" w:color="auto"/>
              <w:left w:val="nil"/>
              <w:bottom w:val="single" w:sz="4" w:space="0" w:color="auto"/>
              <w:right w:val="nil"/>
            </w:tcBorders>
            <w:shd w:val="clear" w:color="auto" w:fill="auto"/>
            <w:noWrap/>
            <w:vAlign w:val="center"/>
            <w:hideMark/>
          </w:tcPr>
          <w:p w14:paraId="4C55798F" w14:textId="77777777" w:rsidR="00546F26" w:rsidRPr="00933491" w:rsidRDefault="00546F26" w:rsidP="0056798E">
            <w:pPr>
              <w:spacing w:after="0" w:line="240" w:lineRule="auto"/>
              <w:jc w:val="center"/>
              <w:rPr>
                <w:rFonts w:ascii="Times New Roman" w:eastAsia="Times New Roman" w:hAnsi="Times New Roman" w:cs="Times New Roman"/>
                <w:color w:val="000000"/>
                <w:sz w:val="20"/>
                <w:szCs w:val="20"/>
                <w:lang w:eastAsia="pt-BR"/>
              </w:rPr>
            </w:pPr>
            <w:r w:rsidRPr="00933491">
              <w:rPr>
                <w:rFonts w:ascii="Times New Roman" w:eastAsia="Times New Roman" w:hAnsi="Times New Roman" w:cs="Times New Roman"/>
                <w:color w:val="000000"/>
                <w:sz w:val="20"/>
                <w:szCs w:val="20"/>
                <w:lang w:eastAsia="pt-BR"/>
              </w:rPr>
              <w:t>Mínimo</w:t>
            </w:r>
          </w:p>
        </w:tc>
        <w:tc>
          <w:tcPr>
            <w:tcW w:w="697" w:type="pct"/>
            <w:tcBorders>
              <w:top w:val="single" w:sz="4" w:space="0" w:color="auto"/>
              <w:left w:val="nil"/>
              <w:bottom w:val="single" w:sz="4" w:space="0" w:color="auto"/>
              <w:right w:val="nil"/>
            </w:tcBorders>
            <w:shd w:val="clear" w:color="auto" w:fill="auto"/>
            <w:noWrap/>
            <w:vAlign w:val="center"/>
            <w:hideMark/>
          </w:tcPr>
          <w:p w14:paraId="0625324D" w14:textId="77777777" w:rsidR="00546F26" w:rsidRPr="00933491" w:rsidRDefault="00546F26" w:rsidP="0056798E">
            <w:pPr>
              <w:spacing w:after="0" w:line="240" w:lineRule="auto"/>
              <w:jc w:val="center"/>
              <w:rPr>
                <w:rFonts w:ascii="Times New Roman" w:eastAsia="Times New Roman" w:hAnsi="Times New Roman" w:cs="Times New Roman"/>
                <w:color w:val="000000"/>
                <w:sz w:val="20"/>
                <w:szCs w:val="20"/>
                <w:lang w:eastAsia="pt-BR"/>
              </w:rPr>
            </w:pPr>
            <w:r w:rsidRPr="00933491">
              <w:rPr>
                <w:rFonts w:ascii="Times New Roman" w:eastAsia="Times New Roman" w:hAnsi="Times New Roman" w:cs="Times New Roman"/>
                <w:color w:val="000000"/>
                <w:sz w:val="20"/>
                <w:szCs w:val="20"/>
                <w:lang w:eastAsia="pt-BR"/>
              </w:rPr>
              <w:t>Máximo</w:t>
            </w:r>
          </w:p>
        </w:tc>
      </w:tr>
      <w:tr w:rsidR="00261505" w:rsidRPr="00933491" w14:paraId="62F7C128" w14:textId="77777777" w:rsidTr="004C7DD9">
        <w:trPr>
          <w:trHeight w:val="300"/>
          <w:jc w:val="center"/>
        </w:trPr>
        <w:tc>
          <w:tcPr>
            <w:tcW w:w="351" w:type="pct"/>
            <w:tcBorders>
              <w:top w:val="nil"/>
              <w:left w:val="nil"/>
              <w:bottom w:val="nil"/>
              <w:right w:val="nil"/>
            </w:tcBorders>
            <w:shd w:val="clear" w:color="auto" w:fill="auto"/>
            <w:noWrap/>
            <w:vAlign w:val="center"/>
            <w:hideMark/>
          </w:tcPr>
          <w:p w14:paraId="252680C9" w14:textId="77777777" w:rsidR="00261505" w:rsidRPr="00CC11DC" w:rsidRDefault="00261505" w:rsidP="0056798E">
            <w:pPr>
              <w:spacing w:after="0" w:line="240" w:lineRule="auto"/>
              <w:jc w:val="center"/>
              <w:rPr>
                <w:rFonts w:ascii="Times New Roman" w:eastAsia="Times New Roman" w:hAnsi="Times New Roman" w:cs="Times New Roman"/>
                <w:color w:val="000000"/>
                <w:sz w:val="20"/>
                <w:szCs w:val="20"/>
                <w:lang w:eastAsia="pt-BR"/>
              </w:rPr>
            </w:pPr>
            <w:r w:rsidRPr="00CC11DC">
              <w:rPr>
                <w:rFonts w:ascii="Times New Roman" w:eastAsia="Times New Roman" w:hAnsi="Times New Roman" w:cs="Times New Roman"/>
                <w:color w:val="000000"/>
                <w:sz w:val="20"/>
                <w:szCs w:val="20"/>
                <w:lang w:eastAsia="pt-BR"/>
              </w:rPr>
              <w:t>+1</w:t>
            </w:r>
          </w:p>
        </w:tc>
        <w:tc>
          <w:tcPr>
            <w:tcW w:w="849" w:type="pct"/>
            <w:tcBorders>
              <w:top w:val="nil"/>
              <w:left w:val="single" w:sz="4" w:space="0" w:color="auto"/>
              <w:bottom w:val="nil"/>
              <w:right w:val="nil"/>
            </w:tcBorders>
            <w:shd w:val="clear" w:color="auto" w:fill="auto"/>
            <w:noWrap/>
            <w:vAlign w:val="bottom"/>
            <w:hideMark/>
          </w:tcPr>
          <w:p w14:paraId="51275F28" w14:textId="718C9F48" w:rsidR="00261505" w:rsidRPr="003E40AC" w:rsidRDefault="00261505" w:rsidP="0056798E">
            <w:pPr>
              <w:spacing w:after="0" w:line="240" w:lineRule="auto"/>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4,66</w:t>
            </w:r>
          </w:p>
        </w:tc>
        <w:tc>
          <w:tcPr>
            <w:tcW w:w="779" w:type="pct"/>
            <w:tcBorders>
              <w:top w:val="nil"/>
              <w:left w:val="nil"/>
              <w:bottom w:val="nil"/>
              <w:right w:val="nil"/>
            </w:tcBorders>
            <w:shd w:val="clear" w:color="auto" w:fill="auto"/>
            <w:noWrap/>
            <w:vAlign w:val="bottom"/>
            <w:hideMark/>
          </w:tcPr>
          <w:p w14:paraId="6E7A6DF3" w14:textId="3AC77C33" w:rsidR="00261505" w:rsidRPr="003E40AC" w:rsidRDefault="00261505" w:rsidP="0056798E">
            <w:pPr>
              <w:spacing w:after="0" w:line="240" w:lineRule="auto"/>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-4,59</w:t>
            </w:r>
          </w:p>
        </w:tc>
        <w:tc>
          <w:tcPr>
            <w:tcW w:w="636" w:type="pct"/>
            <w:tcBorders>
              <w:top w:val="nil"/>
              <w:left w:val="nil"/>
              <w:bottom w:val="nil"/>
              <w:right w:val="single" w:sz="4" w:space="0" w:color="auto"/>
            </w:tcBorders>
            <w:shd w:val="clear" w:color="auto" w:fill="auto"/>
            <w:noWrap/>
            <w:vAlign w:val="bottom"/>
            <w:hideMark/>
          </w:tcPr>
          <w:p w14:paraId="69D8FD1C" w14:textId="11F491DD" w:rsidR="00261505" w:rsidRPr="00933491" w:rsidRDefault="00261505" w:rsidP="0056798E">
            <w:pPr>
              <w:spacing w:after="0" w:line="240" w:lineRule="auto"/>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29,81</w:t>
            </w:r>
          </w:p>
        </w:tc>
        <w:tc>
          <w:tcPr>
            <w:tcW w:w="849" w:type="pct"/>
            <w:tcBorders>
              <w:top w:val="nil"/>
              <w:left w:val="nil"/>
              <w:bottom w:val="nil"/>
              <w:right w:val="nil"/>
            </w:tcBorders>
            <w:shd w:val="clear" w:color="auto" w:fill="auto"/>
            <w:noWrap/>
            <w:vAlign w:val="bottom"/>
            <w:hideMark/>
          </w:tcPr>
          <w:p w14:paraId="4473027F" w14:textId="1E9FF3BF" w:rsidR="00261505" w:rsidRPr="00933491" w:rsidRDefault="00261505" w:rsidP="0056798E">
            <w:pPr>
              <w:spacing w:after="0" w:line="240" w:lineRule="auto"/>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4,83</w:t>
            </w:r>
          </w:p>
        </w:tc>
        <w:tc>
          <w:tcPr>
            <w:tcW w:w="840" w:type="pct"/>
            <w:tcBorders>
              <w:top w:val="nil"/>
              <w:left w:val="nil"/>
              <w:bottom w:val="nil"/>
              <w:right w:val="nil"/>
            </w:tcBorders>
            <w:shd w:val="clear" w:color="auto" w:fill="auto"/>
            <w:noWrap/>
            <w:vAlign w:val="bottom"/>
            <w:hideMark/>
          </w:tcPr>
          <w:p w14:paraId="0B33AE7D" w14:textId="7956B3C9" w:rsidR="00261505" w:rsidRPr="00933491" w:rsidRDefault="00261505" w:rsidP="0056798E">
            <w:pPr>
              <w:spacing w:after="0" w:line="240" w:lineRule="auto"/>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-1,71</w:t>
            </w:r>
          </w:p>
        </w:tc>
        <w:tc>
          <w:tcPr>
            <w:tcW w:w="697" w:type="pct"/>
            <w:tcBorders>
              <w:top w:val="nil"/>
              <w:left w:val="nil"/>
              <w:bottom w:val="nil"/>
              <w:right w:val="nil"/>
            </w:tcBorders>
            <w:shd w:val="clear" w:color="auto" w:fill="auto"/>
            <w:noWrap/>
            <w:vAlign w:val="bottom"/>
            <w:hideMark/>
          </w:tcPr>
          <w:p w14:paraId="58B9978C" w14:textId="0E3C1837" w:rsidR="00261505" w:rsidRPr="00933491" w:rsidRDefault="00261505" w:rsidP="0056798E">
            <w:pPr>
              <w:spacing w:after="0" w:line="240" w:lineRule="auto"/>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21,10</w:t>
            </w:r>
          </w:p>
        </w:tc>
      </w:tr>
      <w:tr w:rsidR="00261505" w:rsidRPr="00933491" w14:paraId="16D772E5" w14:textId="77777777" w:rsidTr="004C7DD9">
        <w:trPr>
          <w:trHeight w:val="300"/>
          <w:jc w:val="center"/>
        </w:trPr>
        <w:tc>
          <w:tcPr>
            <w:tcW w:w="351" w:type="pct"/>
            <w:tcBorders>
              <w:top w:val="nil"/>
              <w:left w:val="nil"/>
              <w:bottom w:val="nil"/>
              <w:right w:val="nil"/>
            </w:tcBorders>
            <w:shd w:val="clear" w:color="auto" w:fill="auto"/>
            <w:noWrap/>
            <w:vAlign w:val="center"/>
            <w:hideMark/>
          </w:tcPr>
          <w:p w14:paraId="55B9F991" w14:textId="77777777" w:rsidR="00261505" w:rsidRPr="00CC11DC" w:rsidRDefault="00261505" w:rsidP="0056798E">
            <w:pPr>
              <w:spacing w:after="0" w:line="240" w:lineRule="auto"/>
              <w:jc w:val="center"/>
              <w:rPr>
                <w:rFonts w:ascii="Times New Roman" w:eastAsia="Times New Roman" w:hAnsi="Times New Roman" w:cs="Times New Roman"/>
                <w:color w:val="000000"/>
                <w:sz w:val="20"/>
                <w:szCs w:val="20"/>
                <w:lang w:eastAsia="pt-BR"/>
              </w:rPr>
            </w:pPr>
            <w:r w:rsidRPr="00CC11DC">
              <w:rPr>
                <w:rFonts w:ascii="Times New Roman" w:eastAsia="Times New Roman" w:hAnsi="Times New Roman" w:cs="Times New Roman"/>
                <w:color w:val="000000"/>
                <w:sz w:val="20"/>
                <w:szCs w:val="20"/>
                <w:lang w:eastAsia="pt-BR"/>
              </w:rPr>
              <w:t>+2</w:t>
            </w:r>
          </w:p>
        </w:tc>
        <w:tc>
          <w:tcPr>
            <w:tcW w:w="849" w:type="pct"/>
            <w:tcBorders>
              <w:top w:val="nil"/>
              <w:left w:val="single" w:sz="4" w:space="0" w:color="auto"/>
              <w:bottom w:val="nil"/>
              <w:right w:val="nil"/>
            </w:tcBorders>
            <w:shd w:val="clear" w:color="auto" w:fill="auto"/>
            <w:noWrap/>
            <w:vAlign w:val="bottom"/>
            <w:hideMark/>
          </w:tcPr>
          <w:p w14:paraId="5AA807F1" w14:textId="7F5E4B12" w:rsidR="00261505" w:rsidRPr="003E40AC" w:rsidRDefault="00261505" w:rsidP="0056798E">
            <w:pPr>
              <w:spacing w:after="0" w:line="240" w:lineRule="auto"/>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5,10</w:t>
            </w:r>
          </w:p>
        </w:tc>
        <w:tc>
          <w:tcPr>
            <w:tcW w:w="779" w:type="pct"/>
            <w:tcBorders>
              <w:top w:val="nil"/>
              <w:left w:val="nil"/>
              <w:bottom w:val="nil"/>
              <w:right w:val="nil"/>
            </w:tcBorders>
            <w:shd w:val="clear" w:color="auto" w:fill="auto"/>
            <w:noWrap/>
            <w:vAlign w:val="bottom"/>
            <w:hideMark/>
          </w:tcPr>
          <w:p w14:paraId="7B458156" w14:textId="5F72ECCB" w:rsidR="00261505" w:rsidRPr="003E40AC" w:rsidRDefault="00261505" w:rsidP="0056798E">
            <w:pPr>
              <w:spacing w:after="0" w:line="240" w:lineRule="auto"/>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-16,68</w:t>
            </w:r>
          </w:p>
        </w:tc>
        <w:tc>
          <w:tcPr>
            <w:tcW w:w="636" w:type="pct"/>
            <w:tcBorders>
              <w:top w:val="nil"/>
              <w:left w:val="nil"/>
              <w:bottom w:val="nil"/>
              <w:right w:val="single" w:sz="4" w:space="0" w:color="auto"/>
            </w:tcBorders>
            <w:shd w:val="clear" w:color="auto" w:fill="auto"/>
            <w:noWrap/>
            <w:vAlign w:val="bottom"/>
            <w:hideMark/>
          </w:tcPr>
          <w:p w14:paraId="347FC9D0" w14:textId="56F3204E" w:rsidR="00261505" w:rsidRPr="00933491" w:rsidRDefault="00261505" w:rsidP="0056798E">
            <w:pPr>
              <w:spacing w:after="0" w:line="240" w:lineRule="auto"/>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26,90</w:t>
            </w:r>
          </w:p>
        </w:tc>
        <w:tc>
          <w:tcPr>
            <w:tcW w:w="849" w:type="pct"/>
            <w:tcBorders>
              <w:top w:val="nil"/>
              <w:left w:val="nil"/>
              <w:bottom w:val="nil"/>
              <w:right w:val="nil"/>
            </w:tcBorders>
            <w:shd w:val="clear" w:color="auto" w:fill="auto"/>
            <w:noWrap/>
            <w:vAlign w:val="bottom"/>
            <w:hideMark/>
          </w:tcPr>
          <w:p w14:paraId="256DF6EC" w14:textId="3C7C20D2" w:rsidR="00261505" w:rsidRPr="00933491" w:rsidRDefault="00261505" w:rsidP="0056798E">
            <w:pPr>
              <w:spacing w:after="0" w:line="240" w:lineRule="auto"/>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4,73</w:t>
            </w:r>
          </w:p>
        </w:tc>
        <w:tc>
          <w:tcPr>
            <w:tcW w:w="840" w:type="pct"/>
            <w:tcBorders>
              <w:top w:val="nil"/>
              <w:left w:val="nil"/>
              <w:bottom w:val="nil"/>
              <w:right w:val="nil"/>
            </w:tcBorders>
            <w:shd w:val="clear" w:color="auto" w:fill="auto"/>
            <w:noWrap/>
            <w:vAlign w:val="bottom"/>
            <w:hideMark/>
          </w:tcPr>
          <w:p w14:paraId="06A684B8" w14:textId="0103E6AB" w:rsidR="00261505" w:rsidRPr="00933491" w:rsidRDefault="00261505" w:rsidP="0056798E">
            <w:pPr>
              <w:spacing w:after="0" w:line="240" w:lineRule="auto"/>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-10,63</w:t>
            </w:r>
          </w:p>
        </w:tc>
        <w:tc>
          <w:tcPr>
            <w:tcW w:w="697" w:type="pct"/>
            <w:tcBorders>
              <w:top w:val="nil"/>
              <w:left w:val="nil"/>
              <w:bottom w:val="nil"/>
              <w:right w:val="nil"/>
            </w:tcBorders>
            <w:shd w:val="clear" w:color="auto" w:fill="auto"/>
            <w:noWrap/>
            <w:vAlign w:val="bottom"/>
            <w:hideMark/>
          </w:tcPr>
          <w:p w14:paraId="3D3E372C" w14:textId="0DB4E173" w:rsidR="00261505" w:rsidRPr="00933491" w:rsidRDefault="00261505" w:rsidP="0056798E">
            <w:pPr>
              <w:spacing w:after="0" w:line="240" w:lineRule="auto"/>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31,04</w:t>
            </w:r>
          </w:p>
        </w:tc>
      </w:tr>
      <w:tr w:rsidR="00261505" w:rsidRPr="00933491" w14:paraId="2717F2C0" w14:textId="77777777" w:rsidTr="004C7DD9">
        <w:trPr>
          <w:trHeight w:val="300"/>
          <w:jc w:val="center"/>
        </w:trPr>
        <w:tc>
          <w:tcPr>
            <w:tcW w:w="351" w:type="pct"/>
            <w:tcBorders>
              <w:top w:val="nil"/>
              <w:left w:val="nil"/>
              <w:bottom w:val="nil"/>
              <w:right w:val="nil"/>
            </w:tcBorders>
            <w:shd w:val="clear" w:color="auto" w:fill="auto"/>
            <w:noWrap/>
            <w:vAlign w:val="center"/>
            <w:hideMark/>
          </w:tcPr>
          <w:p w14:paraId="625F81D9" w14:textId="77777777" w:rsidR="00261505" w:rsidRPr="00CC11DC" w:rsidRDefault="00261505" w:rsidP="0056798E">
            <w:pPr>
              <w:spacing w:after="0" w:line="240" w:lineRule="auto"/>
              <w:jc w:val="center"/>
              <w:rPr>
                <w:rFonts w:ascii="Times New Roman" w:eastAsia="Times New Roman" w:hAnsi="Times New Roman" w:cs="Times New Roman"/>
                <w:color w:val="000000"/>
                <w:sz w:val="20"/>
                <w:szCs w:val="20"/>
                <w:lang w:eastAsia="pt-BR"/>
              </w:rPr>
            </w:pPr>
            <w:r w:rsidRPr="00CC11DC">
              <w:rPr>
                <w:rFonts w:ascii="Times New Roman" w:eastAsia="Times New Roman" w:hAnsi="Times New Roman" w:cs="Times New Roman"/>
                <w:color w:val="000000"/>
                <w:sz w:val="20"/>
                <w:szCs w:val="20"/>
                <w:lang w:eastAsia="pt-BR"/>
              </w:rPr>
              <w:t>+3</w:t>
            </w:r>
          </w:p>
        </w:tc>
        <w:tc>
          <w:tcPr>
            <w:tcW w:w="849" w:type="pct"/>
            <w:tcBorders>
              <w:top w:val="nil"/>
              <w:left w:val="single" w:sz="4" w:space="0" w:color="auto"/>
              <w:bottom w:val="nil"/>
              <w:right w:val="nil"/>
            </w:tcBorders>
            <w:shd w:val="clear" w:color="auto" w:fill="auto"/>
            <w:noWrap/>
            <w:vAlign w:val="bottom"/>
            <w:hideMark/>
          </w:tcPr>
          <w:p w14:paraId="050546B0" w14:textId="1501DABA" w:rsidR="00261505" w:rsidRPr="003E40AC" w:rsidRDefault="00261505" w:rsidP="0056798E">
            <w:pPr>
              <w:spacing w:after="0" w:line="240" w:lineRule="auto"/>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4,38</w:t>
            </w:r>
          </w:p>
        </w:tc>
        <w:tc>
          <w:tcPr>
            <w:tcW w:w="779" w:type="pct"/>
            <w:tcBorders>
              <w:top w:val="nil"/>
              <w:left w:val="nil"/>
              <w:bottom w:val="nil"/>
              <w:right w:val="nil"/>
            </w:tcBorders>
            <w:shd w:val="clear" w:color="auto" w:fill="auto"/>
            <w:noWrap/>
            <w:vAlign w:val="bottom"/>
            <w:hideMark/>
          </w:tcPr>
          <w:p w14:paraId="36759425" w14:textId="0330C773" w:rsidR="00261505" w:rsidRPr="003E40AC" w:rsidRDefault="00261505" w:rsidP="0056798E">
            <w:pPr>
              <w:spacing w:after="0" w:line="240" w:lineRule="auto"/>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-8,40</w:t>
            </w:r>
          </w:p>
        </w:tc>
        <w:tc>
          <w:tcPr>
            <w:tcW w:w="636" w:type="pct"/>
            <w:tcBorders>
              <w:top w:val="nil"/>
              <w:left w:val="nil"/>
              <w:bottom w:val="nil"/>
              <w:right w:val="single" w:sz="4" w:space="0" w:color="auto"/>
            </w:tcBorders>
            <w:shd w:val="clear" w:color="auto" w:fill="auto"/>
            <w:noWrap/>
            <w:vAlign w:val="bottom"/>
            <w:hideMark/>
          </w:tcPr>
          <w:p w14:paraId="57C130D9" w14:textId="01602AE6" w:rsidR="00261505" w:rsidRPr="00933491" w:rsidRDefault="00261505" w:rsidP="0056798E">
            <w:pPr>
              <w:spacing w:after="0" w:line="240" w:lineRule="auto"/>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37,70</w:t>
            </w:r>
          </w:p>
        </w:tc>
        <w:tc>
          <w:tcPr>
            <w:tcW w:w="849" w:type="pct"/>
            <w:tcBorders>
              <w:top w:val="nil"/>
              <w:left w:val="nil"/>
              <w:bottom w:val="nil"/>
              <w:right w:val="nil"/>
            </w:tcBorders>
            <w:shd w:val="clear" w:color="auto" w:fill="auto"/>
            <w:noWrap/>
            <w:vAlign w:val="bottom"/>
            <w:hideMark/>
          </w:tcPr>
          <w:p w14:paraId="297BD3C5" w14:textId="62809252" w:rsidR="00261505" w:rsidRPr="00933491" w:rsidRDefault="00261505" w:rsidP="0056798E">
            <w:pPr>
              <w:spacing w:after="0" w:line="240" w:lineRule="auto"/>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5,04</w:t>
            </w:r>
          </w:p>
        </w:tc>
        <w:tc>
          <w:tcPr>
            <w:tcW w:w="840" w:type="pct"/>
            <w:tcBorders>
              <w:top w:val="nil"/>
              <w:left w:val="nil"/>
              <w:bottom w:val="nil"/>
              <w:right w:val="nil"/>
            </w:tcBorders>
            <w:shd w:val="clear" w:color="auto" w:fill="auto"/>
            <w:noWrap/>
            <w:vAlign w:val="bottom"/>
            <w:hideMark/>
          </w:tcPr>
          <w:p w14:paraId="0E77E55E" w14:textId="797A2C20" w:rsidR="00261505" w:rsidRPr="00933491" w:rsidRDefault="00261505" w:rsidP="0056798E">
            <w:pPr>
              <w:spacing w:after="0" w:line="240" w:lineRule="auto"/>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-3,28</w:t>
            </w:r>
          </w:p>
        </w:tc>
        <w:tc>
          <w:tcPr>
            <w:tcW w:w="697" w:type="pct"/>
            <w:tcBorders>
              <w:top w:val="nil"/>
              <w:left w:val="nil"/>
              <w:bottom w:val="nil"/>
              <w:right w:val="nil"/>
            </w:tcBorders>
            <w:shd w:val="clear" w:color="auto" w:fill="auto"/>
            <w:noWrap/>
            <w:vAlign w:val="bottom"/>
            <w:hideMark/>
          </w:tcPr>
          <w:p w14:paraId="28A6EE7D" w14:textId="5EFBCDBF" w:rsidR="00261505" w:rsidRPr="00933491" w:rsidRDefault="00261505" w:rsidP="0056798E">
            <w:pPr>
              <w:spacing w:after="0" w:line="240" w:lineRule="auto"/>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23,76</w:t>
            </w:r>
          </w:p>
        </w:tc>
      </w:tr>
      <w:tr w:rsidR="00261505" w:rsidRPr="00933491" w14:paraId="583E4FC8" w14:textId="77777777" w:rsidTr="004C7DD9">
        <w:trPr>
          <w:trHeight w:val="300"/>
          <w:jc w:val="center"/>
        </w:trPr>
        <w:tc>
          <w:tcPr>
            <w:tcW w:w="351" w:type="pct"/>
            <w:tcBorders>
              <w:top w:val="nil"/>
              <w:left w:val="nil"/>
              <w:bottom w:val="single" w:sz="4" w:space="0" w:color="auto"/>
              <w:right w:val="nil"/>
            </w:tcBorders>
            <w:shd w:val="clear" w:color="auto" w:fill="auto"/>
            <w:noWrap/>
            <w:vAlign w:val="center"/>
            <w:hideMark/>
          </w:tcPr>
          <w:p w14:paraId="5CC87236" w14:textId="77777777" w:rsidR="00261505" w:rsidRPr="00CC11DC" w:rsidRDefault="00261505" w:rsidP="0056798E">
            <w:pPr>
              <w:spacing w:after="0" w:line="240" w:lineRule="auto"/>
              <w:jc w:val="center"/>
              <w:rPr>
                <w:rFonts w:ascii="Times New Roman" w:eastAsia="Times New Roman" w:hAnsi="Times New Roman" w:cs="Times New Roman"/>
                <w:color w:val="000000"/>
                <w:sz w:val="20"/>
                <w:szCs w:val="20"/>
                <w:lang w:eastAsia="pt-BR"/>
              </w:rPr>
            </w:pPr>
            <w:r w:rsidRPr="00CC11DC">
              <w:rPr>
                <w:rFonts w:ascii="Times New Roman" w:eastAsia="Times New Roman" w:hAnsi="Times New Roman" w:cs="Times New Roman"/>
                <w:color w:val="000000"/>
                <w:sz w:val="20"/>
                <w:szCs w:val="20"/>
                <w:lang w:eastAsia="pt-BR"/>
              </w:rPr>
              <w:t>+4</w:t>
            </w:r>
          </w:p>
        </w:tc>
        <w:tc>
          <w:tcPr>
            <w:tcW w:w="849" w:type="pct"/>
            <w:tcBorders>
              <w:top w:val="nil"/>
              <w:left w:val="single" w:sz="4" w:space="0" w:color="auto"/>
              <w:bottom w:val="single" w:sz="4" w:space="0" w:color="auto"/>
              <w:right w:val="nil"/>
            </w:tcBorders>
            <w:shd w:val="clear" w:color="auto" w:fill="auto"/>
            <w:noWrap/>
            <w:vAlign w:val="bottom"/>
            <w:hideMark/>
          </w:tcPr>
          <w:p w14:paraId="10D25FE1" w14:textId="0EF8636F" w:rsidR="00261505" w:rsidRPr="003E40AC" w:rsidRDefault="00261505" w:rsidP="0056798E">
            <w:pPr>
              <w:spacing w:after="0" w:line="240" w:lineRule="auto"/>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2,45</w:t>
            </w:r>
          </w:p>
        </w:tc>
        <w:tc>
          <w:tcPr>
            <w:tcW w:w="779" w:type="pct"/>
            <w:tcBorders>
              <w:top w:val="nil"/>
              <w:left w:val="nil"/>
              <w:bottom w:val="single" w:sz="4" w:space="0" w:color="auto"/>
              <w:right w:val="nil"/>
            </w:tcBorders>
            <w:shd w:val="clear" w:color="auto" w:fill="auto"/>
            <w:noWrap/>
            <w:vAlign w:val="bottom"/>
            <w:hideMark/>
          </w:tcPr>
          <w:p w14:paraId="71B5018B" w14:textId="6A0B56B0" w:rsidR="00261505" w:rsidRPr="003E40AC" w:rsidRDefault="00261505" w:rsidP="0056798E">
            <w:pPr>
              <w:spacing w:after="0" w:line="240" w:lineRule="auto"/>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-12,70</w:t>
            </w:r>
          </w:p>
        </w:tc>
        <w:tc>
          <w:tcPr>
            <w:tcW w:w="636" w:type="pct"/>
            <w:tcBorders>
              <w:top w:val="nil"/>
              <w:left w:val="nil"/>
              <w:bottom w:val="single" w:sz="4" w:space="0" w:color="auto"/>
              <w:right w:val="single" w:sz="4" w:space="0" w:color="auto"/>
            </w:tcBorders>
            <w:shd w:val="clear" w:color="auto" w:fill="auto"/>
            <w:noWrap/>
            <w:vAlign w:val="bottom"/>
            <w:hideMark/>
          </w:tcPr>
          <w:p w14:paraId="48092449" w14:textId="1AA8CC67" w:rsidR="00261505" w:rsidRPr="00933491" w:rsidRDefault="00261505" w:rsidP="0056798E">
            <w:pPr>
              <w:spacing w:after="0" w:line="240" w:lineRule="auto"/>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43,55</w:t>
            </w:r>
          </w:p>
        </w:tc>
        <w:tc>
          <w:tcPr>
            <w:tcW w:w="849" w:type="pct"/>
            <w:tcBorders>
              <w:top w:val="nil"/>
              <w:left w:val="nil"/>
              <w:bottom w:val="single" w:sz="4" w:space="0" w:color="auto"/>
              <w:right w:val="nil"/>
            </w:tcBorders>
            <w:shd w:val="clear" w:color="auto" w:fill="auto"/>
            <w:noWrap/>
            <w:vAlign w:val="bottom"/>
            <w:hideMark/>
          </w:tcPr>
          <w:p w14:paraId="21C1E8DA" w14:textId="628389C4" w:rsidR="00261505" w:rsidRPr="00933491" w:rsidRDefault="00261505" w:rsidP="0056798E">
            <w:pPr>
              <w:spacing w:after="0" w:line="240" w:lineRule="auto"/>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3,89</w:t>
            </w:r>
          </w:p>
        </w:tc>
        <w:tc>
          <w:tcPr>
            <w:tcW w:w="840" w:type="pct"/>
            <w:tcBorders>
              <w:top w:val="nil"/>
              <w:left w:val="nil"/>
              <w:bottom w:val="single" w:sz="4" w:space="0" w:color="auto"/>
              <w:right w:val="nil"/>
            </w:tcBorders>
            <w:shd w:val="clear" w:color="auto" w:fill="auto"/>
            <w:noWrap/>
            <w:vAlign w:val="bottom"/>
            <w:hideMark/>
          </w:tcPr>
          <w:p w14:paraId="270EAEFD" w14:textId="6B491A70" w:rsidR="00261505" w:rsidRPr="00933491" w:rsidRDefault="00261505" w:rsidP="0056798E">
            <w:pPr>
              <w:spacing w:after="0" w:line="240" w:lineRule="auto"/>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-6,65</w:t>
            </w:r>
          </w:p>
        </w:tc>
        <w:tc>
          <w:tcPr>
            <w:tcW w:w="697" w:type="pct"/>
            <w:tcBorders>
              <w:top w:val="nil"/>
              <w:left w:val="nil"/>
              <w:bottom w:val="single" w:sz="4" w:space="0" w:color="auto"/>
              <w:right w:val="nil"/>
            </w:tcBorders>
            <w:shd w:val="clear" w:color="auto" w:fill="auto"/>
            <w:noWrap/>
            <w:vAlign w:val="bottom"/>
            <w:hideMark/>
          </w:tcPr>
          <w:p w14:paraId="795BF7CC" w14:textId="6E882CA7" w:rsidR="00261505" w:rsidRPr="00933491" w:rsidRDefault="00261505" w:rsidP="0056798E">
            <w:pPr>
              <w:spacing w:after="0" w:line="240" w:lineRule="auto"/>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22,76</w:t>
            </w:r>
          </w:p>
        </w:tc>
      </w:tr>
    </w:tbl>
    <w:p w14:paraId="6451ADD2" w14:textId="61F3E0B1" w:rsidR="00FB2B12" w:rsidRDefault="00FB2B12" w:rsidP="0056798E">
      <w:pPr>
        <w:spacing w:after="0" w:line="240" w:lineRule="auto"/>
        <w:jc w:val="center"/>
        <w:rPr>
          <w:rFonts w:ascii="Times New Roman" w:hAnsi="Times New Roman" w:cs="Times New Roman"/>
          <w:sz w:val="20"/>
          <w:szCs w:val="20"/>
        </w:rPr>
      </w:pPr>
    </w:p>
    <w:p w14:paraId="5CBCEED5" w14:textId="0A927A7E" w:rsidR="009E0D50" w:rsidRPr="004C7DD9" w:rsidRDefault="00A47F44" w:rsidP="005216EB">
      <w:pPr>
        <w:spacing w:after="0" w:line="240" w:lineRule="auto"/>
        <w:rPr>
          <w:rFonts w:ascii="Times New Roman" w:hAnsi="Times New Roman" w:cs="Times New Roman"/>
          <w:b/>
          <w:sz w:val="20"/>
          <w:szCs w:val="24"/>
        </w:rPr>
      </w:pPr>
      <w:r w:rsidRPr="004C7DD9">
        <w:rPr>
          <w:rFonts w:ascii="Times New Roman" w:hAnsi="Times New Roman" w:cs="Times New Roman"/>
          <w:b/>
          <w:sz w:val="20"/>
          <w:szCs w:val="24"/>
        </w:rPr>
        <w:t>Tabela 7</w:t>
      </w:r>
      <w:r w:rsidR="004C7DD9" w:rsidRPr="004C7DD9">
        <w:rPr>
          <w:rFonts w:ascii="Times New Roman" w:hAnsi="Times New Roman" w:cs="Times New Roman"/>
          <w:b/>
          <w:sz w:val="20"/>
          <w:szCs w:val="24"/>
        </w:rPr>
        <w:t xml:space="preserve"> - </w:t>
      </w:r>
      <w:r w:rsidR="00136707" w:rsidRPr="004C7DD9">
        <w:rPr>
          <w:rFonts w:ascii="Times New Roman" w:hAnsi="Times New Roman" w:cs="Times New Roman"/>
          <w:b/>
          <w:sz w:val="20"/>
          <w:szCs w:val="24"/>
        </w:rPr>
        <w:t>Análise do desempenho operacional das empresas emissoras de grande e pequeno volume de SEO</w:t>
      </w:r>
    </w:p>
    <w:tbl>
      <w:tblPr>
        <w:tblW w:w="4685"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98"/>
        <w:gridCol w:w="1415"/>
        <w:gridCol w:w="1272"/>
        <w:gridCol w:w="1414"/>
        <w:gridCol w:w="829"/>
        <w:gridCol w:w="1129"/>
        <w:gridCol w:w="1133"/>
      </w:tblGrid>
      <w:tr w:rsidR="00DF463F" w:rsidRPr="00933491" w14:paraId="13FBFED9" w14:textId="77777777" w:rsidTr="004C7DD9">
        <w:trPr>
          <w:cantSplit/>
          <w:trHeight w:val="207"/>
          <w:tblHeader/>
          <w:jc w:val="center"/>
        </w:trPr>
        <w:tc>
          <w:tcPr>
            <w:tcW w:w="764" w:type="pct"/>
            <w:vMerge w:val="restart"/>
            <w:tcBorders>
              <w:top w:val="single" w:sz="4" w:space="0" w:color="auto"/>
              <w:left w:val="single" w:sz="4" w:space="0" w:color="FFFFFF" w:themeColor="background1"/>
              <w:bottom w:val="single" w:sz="4" w:space="0" w:color="auto"/>
              <w:right w:val="single" w:sz="4" w:space="0" w:color="auto"/>
            </w:tcBorders>
            <w:shd w:val="clear" w:color="auto" w:fill="FFFFFF"/>
            <w:vAlign w:val="center"/>
          </w:tcPr>
          <w:p w14:paraId="7C84F586" w14:textId="2C5BD8FF" w:rsidR="00DF463F" w:rsidRPr="00933491" w:rsidRDefault="00DF463F" w:rsidP="0056798E">
            <w:pPr>
              <w:autoSpaceDE w:val="0"/>
              <w:autoSpaceDN w:val="0"/>
              <w:adjustRightInd w:val="0"/>
              <w:spacing w:after="0" w:line="240" w:lineRule="auto"/>
              <w:jc w:val="center"/>
              <w:rPr>
                <w:rFonts w:ascii="Times New Roman" w:hAnsi="Times New Roman" w:cs="Times New Roman"/>
                <w:b/>
                <w:color w:val="000000"/>
                <w:sz w:val="20"/>
                <w:szCs w:val="20"/>
                <w:lang w:val="en-US"/>
              </w:rPr>
            </w:pPr>
            <w:proofErr w:type="spellStart"/>
            <w:r w:rsidRPr="00933491">
              <w:rPr>
                <w:rFonts w:ascii="Times New Roman" w:hAnsi="Times New Roman" w:cs="Times New Roman"/>
                <w:b/>
                <w:color w:val="000000"/>
                <w:sz w:val="20"/>
                <w:szCs w:val="20"/>
                <w:lang w:val="en-US"/>
              </w:rPr>
              <w:t>Ano</w:t>
            </w:r>
            <w:proofErr w:type="spellEnd"/>
            <w:r w:rsidRPr="00933491">
              <w:rPr>
                <w:rFonts w:ascii="Times New Roman" w:hAnsi="Times New Roman" w:cs="Times New Roman"/>
                <w:b/>
                <w:color w:val="000000"/>
                <w:sz w:val="20"/>
                <w:szCs w:val="20"/>
                <w:lang w:val="en-US"/>
              </w:rPr>
              <w:t xml:space="preserve"> Fiscal</w:t>
            </w:r>
          </w:p>
        </w:tc>
        <w:tc>
          <w:tcPr>
            <w:tcW w:w="833" w:type="pct"/>
            <w:vMerge w:val="restart"/>
            <w:tcBorders>
              <w:top w:val="single" w:sz="4" w:space="0" w:color="auto"/>
              <w:left w:val="single" w:sz="4" w:space="0" w:color="FFFFFF" w:themeColor="background1"/>
              <w:bottom w:val="single" w:sz="4" w:space="0" w:color="auto"/>
              <w:right w:val="single" w:sz="4" w:space="0" w:color="auto"/>
            </w:tcBorders>
            <w:shd w:val="clear" w:color="auto" w:fill="FFFFFF"/>
            <w:vAlign w:val="center"/>
          </w:tcPr>
          <w:p w14:paraId="181455C7" w14:textId="5F18D6E3" w:rsidR="00DF463F" w:rsidRPr="00933491" w:rsidRDefault="00DF463F" w:rsidP="0056798E">
            <w:pPr>
              <w:autoSpaceDE w:val="0"/>
              <w:autoSpaceDN w:val="0"/>
              <w:adjustRightInd w:val="0"/>
              <w:spacing w:after="0" w:line="240" w:lineRule="auto"/>
              <w:jc w:val="center"/>
              <w:rPr>
                <w:rFonts w:ascii="Times New Roman" w:hAnsi="Times New Roman" w:cs="Times New Roman"/>
                <w:color w:val="000000"/>
                <w:sz w:val="20"/>
                <w:szCs w:val="20"/>
                <w:lang w:val="en-US"/>
              </w:rPr>
            </w:pPr>
            <w:proofErr w:type="spellStart"/>
            <w:r w:rsidRPr="00933491">
              <w:rPr>
                <w:rFonts w:ascii="Times New Roman" w:hAnsi="Times New Roman" w:cs="Times New Roman"/>
                <w:b/>
                <w:color w:val="000000"/>
                <w:sz w:val="20"/>
                <w:szCs w:val="20"/>
                <w:lang w:val="en-US"/>
              </w:rPr>
              <w:t>Há</w:t>
            </w:r>
            <w:proofErr w:type="spellEnd"/>
            <w:r w:rsidRPr="00933491">
              <w:rPr>
                <w:rFonts w:ascii="Times New Roman" w:hAnsi="Times New Roman" w:cs="Times New Roman"/>
                <w:b/>
                <w:color w:val="000000"/>
                <w:sz w:val="20"/>
                <w:szCs w:val="20"/>
                <w:lang w:val="en-US"/>
              </w:rPr>
              <w:t xml:space="preserve"> </w:t>
            </w:r>
            <w:proofErr w:type="spellStart"/>
            <w:r w:rsidRPr="00933491">
              <w:rPr>
                <w:rFonts w:ascii="Times New Roman" w:hAnsi="Times New Roman" w:cs="Times New Roman"/>
                <w:b/>
                <w:color w:val="000000"/>
                <w:sz w:val="20"/>
                <w:szCs w:val="20"/>
                <w:lang w:val="en-US"/>
              </w:rPr>
              <w:t>igualdade</w:t>
            </w:r>
            <w:proofErr w:type="spellEnd"/>
            <w:r w:rsidRPr="00933491">
              <w:rPr>
                <w:rFonts w:ascii="Times New Roman" w:hAnsi="Times New Roman" w:cs="Times New Roman"/>
                <w:b/>
                <w:color w:val="000000"/>
                <w:sz w:val="20"/>
                <w:szCs w:val="20"/>
                <w:lang w:val="en-US"/>
              </w:rPr>
              <w:t xml:space="preserve"> da </w:t>
            </w:r>
            <w:proofErr w:type="spellStart"/>
            <w:r w:rsidRPr="00933491">
              <w:rPr>
                <w:rFonts w:ascii="Times New Roman" w:hAnsi="Times New Roman" w:cs="Times New Roman"/>
                <w:b/>
                <w:color w:val="000000"/>
                <w:sz w:val="20"/>
                <w:szCs w:val="20"/>
                <w:lang w:val="en-US"/>
              </w:rPr>
              <w:t>variância</w:t>
            </w:r>
            <w:proofErr w:type="spellEnd"/>
            <w:r w:rsidRPr="00933491">
              <w:rPr>
                <w:rFonts w:ascii="Times New Roman" w:hAnsi="Times New Roman" w:cs="Times New Roman"/>
                <w:b/>
                <w:color w:val="000000"/>
                <w:sz w:val="20"/>
                <w:szCs w:val="20"/>
                <w:lang w:val="en-US"/>
              </w:rPr>
              <w:t>?</w:t>
            </w:r>
          </w:p>
        </w:tc>
        <w:tc>
          <w:tcPr>
            <w:tcW w:w="158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F2B6532" w14:textId="781D9901" w:rsidR="00DF463F" w:rsidRPr="00933491" w:rsidRDefault="00DF463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b/>
                <w:color w:val="000000"/>
                <w:sz w:val="20"/>
                <w:szCs w:val="20"/>
              </w:rPr>
              <w:t xml:space="preserve">Teste </w:t>
            </w:r>
            <w:proofErr w:type="spellStart"/>
            <w:r w:rsidRPr="00933491">
              <w:rPr>
                <w:rFonts w:ascii="Times New Roman" w:hAnsi="Times New Roman" w:cs="Times New Roman"/>
                <w:b/>
                <w:color w:val="000000"/>
                <w:sz w:val="20"/>
                <w:szCs w:val="20"/>
              </w:rPr>
              <w:t>Levene</w:t>
            </w:r>
            <w:proofErr w:type="spellEnd"/>
            <w:r w:rsidRPr="00933491">
              <w:rPr>
                <w:rFonts w:ascii="Times New Roman" w:hAnsi="Times New Roman" w:cs="Times New Roman"/>
                <w:b/>
                <w:color w:val="000000"/>
                <w:sz w:val="20"/>
                <w:szCs w:val="20"/>
              </w:rPr>
              <w:t xml:space="preserve"> para igualdade da variância</w:t>
            </w:r>
          </w:p>
        </w:tc>
        <w:tc>
          <w:tcPr>
            <w:tcW w:w="1820" w:type="pct"/>
            <w:gridSpan w:val="3"/>
            <w:tcBorders>
              <w:top w:val="single" w:sz="4" w:space="0" w:color="auto"/>
              <w:left w:val="single" w:sz="4" w:space="0" w:color="auto"/>
              <w:bottom w:val="single" w:sz="4" w:space="0" w:color="auto"/>
              <w:right w:val="single" w:sz="4" w:space="0" w:color="FFFFFF" w:themeColor="background1"/>
            </w:tcBorders>
            <w:shd w:val="clear" w:color="auto" w:fill="FFFFFF"/>
            <w:vAlign w:val="center"/>
          </w:tcPr>
          <w:p w14:paraId="1ED607F5" w14:textId="345A8901" w:rsidR="00DF463F" w:rsidRPr="00933491" w:rsidRDefault="00DF463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b/>
                <w:color w:val="000000"/>
                <w:sz w:val="20"/>
                <w:szCs w:val="20"/>
              </w:rPr>
              <w:t xml:space="preserve">Teste </w:t>
            </w:r>
            <w:r w:rsidRPr="00933491">
              <w:rPr>
                <w:rFonts w:ascii="Times New Roman" w:hAnsi="Times New Roman" w:cs="Times New Roman"/>
                <w:b/>
                <w:i/>
                <w:color w:val="000000"/>
                <w:sz w:val="20"/>
                <w:szCs w:val="20"/>
              </w:rPr>
              <w:t>t</w:t>
            </w:r>
            <w:r w:rsidRPr="00933491">
              <w:rPr>
                <w:rFonts w:ascii="Times New Roman" w:hAnsi="Times New Roman" w:cs="Times New Roman"/>
                <w:b/>
                <w:color w:val="000000"/>
                <w:sz w:val="20"/>
                <w:szCs w:val="20"/>
              </w:rPr>
              <w:t xml:space="preserve"> para igualdade de médias</w:t>
            </w:r>
          </w:p>
        </w:tc>
      </w:tr>
      <w:tr w:rsidR="008A2C1E" w:rsidRPr="00933491" w14:paraId="58D01C17" w14:textId="77777777" w:rsidTr="004C7DD9">
        <w:trPr>
          <w:cantSplit/>
          <w:trHeight w:val="230"/>
          <w:tblHeader/>
          <w:jc w:val="center"/>
        </w:trPr>
        <w:tc>
          <w:tcPr>
            <w:tcW w:w="764" w:type="pct"/>
            <w:vMerge/>
            <w:tcBorders>
              <w:top w:val="single" w:sz="18" w:space="0" w:color="000000"/>
              <w:left w:val="single" w:sz="4" w:space="0" w:color="FFFFFF" w:themeColor="background1"/>
              <w:bottom w:val="single" w:sz="4" w:space="0" w:color="auto"/>
              <w:right w:val="single" w:sz="4" w:space="0" w:color="auto"/>
            </w:tcBorders>
            <w:shd w:val="clear" w:color="auto" w:fill="FFFFFF"/>
            <w:vAlign w:val="center"/>
          </w:tcPr>
          <w:p w14:paraId="4A2684F5" w14:textId="77777777" w:rsidR="00A47F44" w:rsidRPr="00933491" w:rsidRDefault="00A47F44" w:rsidP="0056798E">
            <w:pPr>
              <w:autoSpaceDE w:val="0"/>
              <w:autoSpaceDN w:val="0"/>
              <w:adjustRightInd w:val="0"/>
              <w:spacing w:after="0" w:line="240" w:lineRule="auto"/>
              <w:jc w:val="center"/>
              <w:rPr>
                <w:rFonts w:ascii="Times New Roman" w:hAnsi="Times New Roman" w:cs="Times New Roman"/>
                <w:color w:val="000000"/>
                <w:sz w:val="20"/>
                <w:szCs w:val="20"/>
              </w:rPr>
            </w:pPr>
          </w:p>
        </w:tc>
        <w:tc>
          <w:tcPr>
            <w:tcW w:w="833" w:type="pct"/>
            <w:vMerge/>
            <w:tcBorders>
              <w:top w:val="single" w:sz="18" w:space="0" w:color="000000"/>
              <w:left w:val="single" w:sz="4" w:space="0" w:color="FFFFFF" w:themeColor="background1"/>
              <w:bottom w:val="single" w:sz="4" w:space="0" w:color="auto"/>
              <w:right w:val="single" w:sz="4" w:space="0" w:color="auto"/>
            </w:tcBorders>
            <w:shd w:val="clear" w:color="auto" w:fill="FFFFFF"/>
            <w:vAlign w:val="center"/>
          </w:tcPr>
          <w:p w14:paraId="456C9131" w14:textId="5A0698F3" w:rsidR="00A47F44" w:rsidRPr="00933491" w:rsidRDefault="00A47F44" w:rsidP="0056798E">
            <w:pPr>
              <w:autoSpaceDE w:val="0"/>
              <w:autoSpaceDN w:val="0"/>
              <w:adjustRightInd w:val="0"/>
              <w:spacing w:after="0" w:line="240" w:lineRule="auto"/>
              <w:jc w:val="center"/>
              <w:rPr>
                <w:rFonts w:ascii="Times New Roman" w:hAnsi="Times New Roman" w:cs="Times New Roman"/>
                <w:color w:val="000000"/>
                <w:sz w:val="20"/>
                <w:szCs w:val="20"/>
              </w:rPr>
            </w:pPr>
          </w:p>
        </w:tc>
        <w:tc>
          <w:tcPr>
            <w:tcW w:w="749" w:type="pct"/>
            <w:vMerge w:val="restart"/>
            <w:tcBorders>
              <w:top w:val="single" w:sz="4" w:space="0" w:color="auto"/>
              <w:left w:val="single" w:sz="4" w:space="0" w:color="auto"/>
              <w:bottom w:val="single" w:sz="4" w:space="0" w:color="auto"/>
            </w:tcBorders>
            <w:shd w:val="clear" w:color="auto" w:fill="FFFFFF"/>
            <w:vAlign w:val="center"/>
          </w:tcPr>
          <w:p w14:paraId="710ACDC7" w14:textId="77777777" w:rsidR="00A47F44" w:rsidRPr="00933491" w:rsidRDefault="00A47F44" w:rsidP="0056798E">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933491">
              <w:rPr>
                <w:rFonts w:ascii="Times New Roman" w:hAnsi="Times New Roman" w:cs="Times New Roman"/>
                <w:b/>
                <w:color w:val="000000"/>
                <w:sz w:val="20"/>
                <w:szCs w:val="20"/>
              </w:rPr>
              <w:t>F</w:t>
            </w:r>
          </w:p>
        </w:tc>
        <w:tc>
          <w:tcPr>
            <w:tcW w:w="833" w:type="pct"/>
            <w:vMerge w:val="restart"/>
            <w:tcBorders>
              <w:top w:val="single" w:sz="4" w:space="0" w:color="auto"/>
              <w:bottom w:val="single" w:sz="4" w:space="0" w:color="auto"/>
            </w:tcBorders>
            <w:shd w:val="clear" w:color="auto" w:fill="FFFFFF"/>
            <w:vAlign w:val="center"/>
          </w:tcPr>
          <w:p w14:paraId="46854859" w14:textId="5CA70B54" w:rsidR="00A47F44" w:rsidRPr="00933491" w:rsidRDefault="001141D5" w:rsidP="0056798E">
            <w:pPr>
              <w:autoSpaceDE w:val="0"/>
              <w:autoSpaceDN w:val="0"/>
              <w:adjustRightInd w:val="0"/>
              <w:spacing w:after="0" w:line="240" w:lineRule="auto"/>
              <w:ind w:left="60" w:right="60"/>
              <w:jc w:val="center"/>
              <w:rPr>
                <w:rFonts w:ascii="Times New Roman" w:hAnsi="Times New Roman" w:cs="Times New Roman"/>
                <w:b/>
                <w:color w:val="000000"/>
                <w:sz w:val="20"/>
                <w:szCs w:val="20"/>
              </w:rPr>
            </w:pPr>
            <w:proofErr w:type="gramStart"/>
            <w:r w:rsidRPr="00933491">
              <w:rPr>
                <w:rFonts w:ascii="Times New Roman" w:hAnsi="Times New Roman" w:cs="Times New Roman"/>
                <w:b/>
                <w:color w:val="000000"/>
                <w:sz w:val="20"/>
                <w:szCs w:val="20"/>
              </w:rPr>
              <w:t>p</w:t>
            </w:r>
            <w:proofErr w:type="gramEnd"/>
            <w:r w:rsidRPr="00933491">
              <w:rPr>
                <w:rFonts w:ascii="Times New Roman" w:hAnsi="Times New Roman" w:cs="Times New Roman"/>
                <w:b/>
                <w:color w:val="000000"/>
                <w:sz w:val="20"/>
                <w:szCs w:val="20"/>
              </w:rPr>
              <w:t>-valor</w:t>
            </w:r>
          </w:p>
        </w:tc>
        <w:tc>
          <w:tcPr>
            <w:tcW w:w="488" w:type="pct"/>
            <w:vMerge w:val="restart"/>
            <w:tcBorders>
              <w:top w:val="single" w:sz="4" w:space="0" w:color="auto"/>
              <w:bottom w:val="single" w:sz="4" w:space="0" w:color="auto"/>
            </w:tcBorders>
            <w:shd w:val="clear" w:color="auto" w:fill="FFFFFF"/>
            <w:vAlign w:val="center"/>
          </w:tcPr>
          <w:p w14:paraId="02355E52" w14:textId="77777777" w:rsidR="00A47F44" w:rsidRPr="00933491" w:rsidRDefault="00A47F44" w:rsidP="0056798E">
            <w:pPr>
              <w:autoSpaceDE w:val="0"/>
              <w:autoSpaceDN w:val="0"/>
              <w:adjustRightInd w:val="0"/>
              <w:spacing w:after="0" w:line="240" w:lineRule="auto"/>
              <w:ind w:left="60" w:right="60"/>
              <w:jc w:val="center"/>
              <w:rPr>
                <w:rFonts w:ascii="Times New Roman" w:hAnsi="Times New Roman" w:cs="Times New Roman"/>
                <w:b/>
                <w:color w:val="000000"/>
                <w:sz w:val="20"/>
                <w:szCs w:val="20"/>
              </w:rPr>
            </w:pPr>
            <w:proofErr w:type="gramStart"/>
            <w:r w:rsidRPr="00933491">
              <w:rPr>
                <w:rFonts w:ascii="Times New Roman" w:hAnsi="Times New Roman" w:cs="Times New Roman"/>
                <w:b/>
                <w:color w:val="000000"/>
                <w:sz w:val="20"/>
                <w:szCs w:val="20"/>
              </w:rPr>
              <w:t>t</w:t>
            </w:r>
            <w:proofErr w:type="gramEnd"/>
          </w:p>
        </w:tc>
        <w:tc>
          <w:tcPr>
            <w:tcW w:w="665" w:type="pct"/>
            <w:vMerge w:val="restart"/>
            <w:tcBorders>
              <w:top w:val="single" w:sz="4" w:space="0" w:color="auto"/>
              <w:bottom w:val="single" w:sz="4" w:space="0" w:color="auto"/>
            </w:tcBorders>
            <w:shd w:val="clear" w:color="auto" w:fill="FFFFFF"/>
            <w:vAlign w:val="center"/>
          </w:tcPr>
          <w:p w14:paraId="5470170D" w14:textId="77777777" w:rsidR="00A47F44" w:rsidRPr="00933491" w:rsidRDefault="00A47F44" w:rsidP="0056798E">
            <w:pPr>
              <w:autoSpaceDE w:val="0"/>
              <w:autoSpaceDN w:val="0"/>
              <w:adjustRightInd w:val="0"/>
              <w:spacing w:after="0" w:line="240" w:lineRule="auto"/>
              <w:ind w:left="60" w:right="60"/>
              <w:jc w:val="center"/>
              <w:rPr>
                <w:rFonts w:ascii="Times New Roman" w:hAnsi="Times New Roman" w:cs="Times New Roman"/>
                <w:b/>
                <w:color w:val="000000"/>
                <w:sz w:val="20"/>
                <w:szCs w:val="20"/>
              </w:rPr>
            </w:pPr>
            <w:proofErr w:type="spellStart"/>
            <w:proofErr w:type="gramStart"/>
            <w:r w:rsidRPr="00933491">
              <w:rPr>
                <w:rFonts w:ascii="Times New Roman" w:hAnsi="Times New Roman" w:cs="Times New Roman"/>
                <w:b/>
                <w:color w:val="000000"/>
                <w:sz w:val="20"/>
                <w:szCs w:val="20"/>
              </w:rPr>
              <w:t>df</w:t>
            </w:r>
            <w:proofErr w:type="spellEnd"/>
            <w:proofErr w:type="gramEnd"/>
          </w:p>
        </w:tc>
        <w:tc>
          <w:tcPr>
            <w:tcW w:w="667" w:type="pct"/>
            <w:vMerge w:val="restart"/>
            <w:tcBorders>
              <w:top w:val="single" w:sz="4" w:space="0" w:color="auto"/>
              <w:bottom w:val="single" w:sz="4" w:space="0" w:color="auto"/>
              <w:right w:val="single" w:sz="4" w:space="0" w:color="FFFFFF" w:themeColor="background1"/>
            </w:tcBorders>
            <w:shd w:val="clear" w:color="auto" w:fill="FFFFFF"/>
            <w:vAlign w:val="center"/>
          </w:tcPr>
          <w:p w14:paraId="6B312E75" w14:textId="274D6872" w:rsidR="00A47F44" w:rsidRPr="00933491" w:rsidRDefault="001141D5" w:rsidP="0056798E">
            <w:pPr>
              <w:autoSpaceDE w:val="0"/>
              <w:autoSpaceDN w:val="0"/>
              <w:adjustRightInd w:val="0"/>
              <w:spacing w:after="0" w:line="240" w:lineRule="auto"/>
              <w:ind w:left="60" w:right="60"/>
              <w:jc w:val="center"/>
              <w:rPr>
                <w:rFonts w:ascii="Times New Roman" w:hAnsi="Times New Roman" w:cs="Times New Roman"/>
                <w:b/>
                <w:color w:val="000000"/>
                <w:sz w:val="20"/>
                <w:szCs w:val="20"/>
              </w:rPr>
            </w:pPr>
            <w:proofErr w:type="gramStart"/>
            <w:r w:rsidRPr="00933491">
              <w:rPr>
                <w:rFonts w:ascii="Times New Roman" w:hAnsi="Times New Roman" w:cs="Times New Roman"/>
                <w:b/>
                <w:color w:val="000000"/>
                <w:sz w:val="20"/>
                <w:szCs w:val="20"/>
              </w:rPr>
              <w:t>p</w:t>
            </w:r>
            <w:proofErr w:type="gramEnd"/>
            <w:r w:rsidRPr="00933491">
              <w:rPr>
                <w:rFonts w:ascii="Times New Roman" w:hAnsi="Times New Roman" w:cs="Times New Roman"/>
                <w:b/>
                <w:color w:val="000000"/>
                <w:sz w:val="20"/>
                <w:szCs w:val="20"/>
              </w:rPr>
              <w:t>-valor</w:t>
            </w:r>
          </w:p>
        </w:tc>
      </w:tr>
      <w:tr w:rsidR="008A2C1E" w:rsidRPr="00933491" w14:paraId="42A9DAEF" w14:textId="77777777" w:rsidTr="004C7DD9">
        <w:trPr>
          <w:cantSplit/>
          <w:trHeight w:val="276"/>
          <w:tblHeader/>
          <w:jc w:val="center"/>
        </w:trPr>
        <w:tc>
          <w:tcPr>
            <w:tcW w:w="764" w:type="pct"/>
            <w:vMerge/>
            <w:tcBorders>
              <w:top w:val="single" w:sz="18" w:space="0" w:color="000000"/>
              <w:left w:val="single" w:sz="4" w:space="0" w:color="FFFFFF" w:themeColor="background1"/>
              <w:bottom w:val="single" w:sz="4" w:space="0" w:color="auto"/>
              <w:right w:val="single" w:sz="4" w:space="0" w:color="auto"/>
            </w:tcBorders>
            <w:shd w:val="clear" w:color="auto" w:fill="FFFFFF"/>
            <w:vAlign w:val="center"/>
          </w:tcPr>
          <w:p w14:paraId="75A1C4C4" w14:textId="77777777" w:rsidR="00A47F44" w:rsidRPr="00933491" w:rsidRDefault="00A47F44" w:rsidP="0056798E">
            <w:pPr>
              <w:autoSpaceDE w:val="0"/>
              <w:autoSpaceDN w:val="0"/>
              <w:adjustRightInd w:val="0"/>
              <w:spacing w:after="0" w:line="240" w:lineRule="auto"/>
              <w:rPr>
                <w:rFonts w:ascii="Times New Roman" w:hAnsi="Times New Roman" w:cs="Times New Roman"/>
                <w:sz w:val="20"/>
                <w:szCs w:val="20"/>
                <w:lang w:val="en-US"/>
              </w:rPr>
            </w:pPr>
          </w:p>
        </w:tc>
        <w:tc>
          <w:tcPr>
            <w:tcW w:w="833" w:type="pct"/>
            <w:vMerge/>
            <w:tcBorders>
              <w:top w:val="single" w:sz="18" w:space="0" w:color="000000"/>
              <w:left w:val="single" w:sz="4" w:space="0" w:color="FFFFFF" w:themeColor="background1"/>
              <w:bottom w:val="single" w:sz="4" w:space="0" w:color="auto"/>
              <w:right w:val="single" w:sz="4" w:space="0" w:color="auto"/>
            </w:tcBorders>
            <w:shd w:val="clear" w:color="auto" w:fill="FFFFFF"/>
            <w:vAlign w:val="center"/>
          </w:tcPr>
          <w:p w14:paraId="42D27340" w14:textId="077D869C" w:rsidR="00A47F44" w:rsidRPr="00933491" w:rsidRDefault="00A47F44" w:rsidP="0056798E">
            <w:pPr>
              <w:autoSpaceDE w:val="0"/>
              <w:autoSpaceDN w:val="0"/>
              <w:adjustRightInd w:val="0"/>
              <w:spacing w:after="0" w:line="240" w:lineRule="auto"/>
              <w:rPr>
                <w:rFonts w:ascii="Times New Roman" w:hAnsi="Times New Roman" w:cs="Times New Roman"/>
                <w:sz w:val="20"/>
                <w:szCs w:val="20"/>
                <w:lang w:val="en-US"/>
              </w:rPr>
            </w:pPr>
          </w:p>
        </w:tc>
        <w:tc>
          <w:tcPr>
            <w:tcW w:w="749" w:type="pct"/>
            <w:vMerge/>
            <w:tcBorders>
              <w:left w:val="single" w:sz="4" w:space="0" w:color="auto"/>
              <w:bottom w:val="single" w:sz="4" w:space="0" w:color="auto"/>
            </w:tcBorders>
            <w:shd w:val="clear" w:color="auto" w:fill="FFFFFF"/>
            <w:vAlign w:val="bottom"/>
          </w:tcPr>
          <w:p w14:paraId="1E9C3060" w14:textId="77777777" w:rsidR="00A47F44" w:rsidRPr="00933491" w:rsidRDefault="00A47F44" w:rsidP="0056798E">
            <w:pPr>
              <w:autoSpaceDE w:val="0"/>
              <w:autoSpaceDN w:val="0"/>
              <w:adjustRightInd w:val="0"/>
              <w:spacing w:after="0" w:line="240" w:lineRule="auto"/>
              <w:rPr>
                <w:rFonts w:ascii="Times New Roman" w:hAnsi="Times New Roman" w:cs="Times New Roman"/>
                <w:sz w:val="20"/>
                <w:szCs w:val="20"/>
                <w:lang w:val="en-US"/>
              </w:rPr>
            </w:pPr>
          </w:p>
        </w:tc>
        <w:tc>
          <w:tcPr>
            <w:tcW w:w="833" w:type="pct"/>
            <w:vMerge/>
            <w:tcBorders>
              <w:bottom w:val="single" w:sz="4" w:space="0" w:color="auto"/>
            </w:tcBorders>
            <w:shd w:val="clear" w:color="auto" w:fill="FFFFFF"/>
            <w:vAlign w:val="bottom"/>
          </w:tcPr>
          <w:p w14:paraId="68F88958" w14:textId="77777777" w:rsidR="00A47F44" w:rsidRPr="00933491" w:rsidRDefault="00A47F44" w:rsidP="0056798E">
            <w:pPr>
              <w:autoSpaceDE w:val="0"/>
              <w:autoSpaceDN w:val="0"/>
              <w:adjustRightInd w:val="0"/>
              <w:spacing w:after="0" w:line="240" w:lineRule="auto"/>
              <w:rPr>
                <w:rFonts w:ascii="Times New Roman" w:hAnsi="Times New Roman" w:cs="Times New Roman"/>
                <w:sz w:val="20"/>
                <w:szCs w:val="20"/>
                <w:lang w:val="en-US"/>
              </w:rPr>
            </w:pPr>
          </w:p>
        </w:tc>
        <w:tc>
          <w:tcPr>
            <w:tcW w:w="488" w:type="pct"/>
            <w:vMerge/>
            <w:tcBorders>
              <w:bottom w:val="single" w:sz="4" w:space="0" w:color="auto"/>
            </w:tcBorders>
            <w:shd w:val="clear" w:color="auto" w:fill="FFFFFF"/>
            <w:vAlign w:val="bottom"/>
          </w:tcPr>
          <w:p w14:paraId="21B9F732" w14:textId="77777777" w:rsidR="00A47F44" w:rsidRPr="00933491" w:rsidRDefault="00A47F44" w:rsidP="0056798E">
            <w:pPr>
              <w:autoSpaceDE w:val="0"/>
              <w:autoSpaceDN w:val="0"/>
              <w:adjustRightInd w:val="0"/>
              <w:spacing w:after="0" w:line="240" w:lineRule="auto"/>
              <w:rPr>
                <w:rFonts w:ascii="Times New Roman" w:hAnsi="Times New Roman" w:cs="Times New Roman"/>
                <w:sz w:val="20"/>
                <w:szCs w:val="20"/>
                <w:lang w:val="en-US"/>
              </w:rPr>
            </w:pPr>
          </w:p>
        </w:tc>
        <w:tc>
          <w:tcPr>
            <w:tcW w:w="665" w:type="pct"/>
            <w:vMerge/>
            <w:tcBorders>
              <w:bottom w:val="single" w:sz="4" w:space="0" w:color="auto"/>
            </w:tcBorders>
            <w:shd w:val="clear" w:color="auto" w:fill="FFFFFF"/>
            <w:vAlign w:val="bottom"/>
          </w:tcPr>
          <w:p w14:paraId="764D0729" w14:textId="77777777" w:rsidR="00A47F44" w:rsidRPr="00933491" w:rsidRDefault="00A47F44" w:rsidP="0056798E">
            <w:pPr>
              <w:autoSpaceDE w:val="0"/>
              <w:autoSpaceDN w:val="0"/>
              <w:adjustRightInd w:val="0"/>
              <w:spacing w:after="0" w:line="240" w:lineRule="auto"/>
              <w:rPr>
                <w:rFonts w:ascii="Times New Roman" w:hAnsi="Times New Roman" w:cs="Times New Roman"/>
                <w:sz w:val="20"/>
                <w:szCs w:val="20"/>
                <w:lang w:val="en-US"/>
              </w:rPr>
            </w:pPr>
          </w:p>
        </w:tc>
        <w:tc>
          <w:tcPr>
            <w:tcW w:w="667" w:type="pct"/>
            <w:vMerge/>
            <w:tcBorders>
              <w:bottom w:val="single" w:sz="4" w:space="0" w:color="auto"/>
              <w:right w:val="single" w:sz="4" w:space="0" w:color="FFFFFF" w:themeColor="background1"/>
            </w:tcBorders>
            <w:shd w:val="clear" w:color="auto" w:fill="FFFFFF"/>
            <w:vAlign w:val="bottom"/>
          </w:tcPr>
          <w:p w14:paraId="0418B379" w14:textId="77777777" w:rsidR="00A47F44" w:rsidRPr="00933491" w:rsidRDefault="00A47F44" w:rsidP="0056798E">
            <w:pPr>
              <w:autoSpaceDE w:val="0"/>
              <w:autoSpaceDN w:val="0"/>
              <w:adjustRightInd w:val="0"/>
              <w:spacing w:after="0" w:line="240" w:lineRule="auto"/>
              <w:rPr>
                <w:rFonts w:ascii="Times New Roman" w:hAnsi="Times New Roman" w:cs="Times New Roman"/>
                <w:sz w:val="20"/>
                <w:szCs w:val="20"/>
                <w:lang w:val="en-US"/>
              </w:rPr>
            </w:pPr>
          </w:p>
        </w:tc>
      </w:tr>
      <w:tr w:rsidR="008A2C1E" w:rsidRPr="00933491" w14:paraId="76DCEBFD" w14:textId="77777777" w:rsidTr="004C7DD9">
        <w:trPr>
          <w:cantSplit/>
          <w:tblHeader/>
          <w:jc w:val="center"/>
        </w:trPr>
        <w:tc>
          <w:tcPr>
            <w:tcW w:w="764" w:type="pct"/>
            <w:vMerge w:val="restart"/>
            <w:tcBorders>
              <w:left w:val="single" w:sz="4" w:space="0" w:color="FFFFFF" w:themeColor="background1"/>
              <w:right w:val="single" w:sz="4" w:space="0" w:color="auto"/>
            </w:tcBorders>
            <w:shd w:val="clear" w:color="auto" w:fill="FFFFFF"/>
            <w:vAlign w:val="center"/>
          </w:tcPr>
          <w:p w14:paraId="4B8E9D17" w14:textId="77777777" w:rsidR="00D32FAF" w:rsidRPr="00CC11DC" w:rsidRDefault="00D32FA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CC11DC">
              <w:rPr>
                <w:rFonts w:ascii="Times New Roman" w:hAnsi="Times New Roman" w:cs="Times New Roman"/>
                <w:color w:val="000000"/>
                <w:sz w:val="20"/>
                <w:szCs w:val="20"/>
              </w:rPr>
              <w:t>+1</w:t>
            </w:r>
          </w:p>
        </w:tc>
        <w:tc>
          <w:tcPr>
            <w:tcW w:w="833" w:type="pct"/>
            <w:tcBorders>
              <w:left w:val="single" w:sz="4" w:space="0" w:color="auto"/>
              <w:bottom w:val="nil"/>
              <w:right w:val="single" w:sz="4" w:space="0" w:color="auto"/>
            </w:tcBorders>
            <w:shd w:val="clear" w:color="auto" w:fill="FFFFFF"/>
          </w:tcPr>
          <w:p w14:paraId="392D5DE3" w14:textId="036E4721" w:rsidR="00D32FAF" w:rsidRPr="003E40AC" w:rsidRDefault="00DF463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Sim</w:t>
            </w:r>
          </w:p>
        </w:tc>
        <w:tc>
          <w:tcPr>
            <w:tcW w:w="749" w:type="pct"/>
            <w:tcBorders>
              <w:left w:val="single" w:sz="4" w:space="0" w:color="auto"/>
              <w:bottom w:val="nil"/>
              <w:right w:val="single" w:sz="4" w:space="0" w:color="auto"/>
            </w:tcBorders>
            <w:shd w:val="clear" w:color="auto" w:fill="FFFFFF"/>
          </w:tcPr>
          <w:p w14:paraId="1C77A1D6" w14:textId="51DADE1C" w:rsidR="00D32FAF" w:rsidRPr="00933491" w:rsidRDefault="00D32FA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1,347</w:t>
            </w:r>
          </w:p>
        </w:tc>
        <w:tc>
          <w:tcPr>
            <w:tcW w:w="833" w:type="pct"/>
            <w:tcBorders>
              <w:left w:val="single" w:sz="4" w:space="0" w:color="auto"/>
              <w:bottom w:val="nil"/>
            </w:tcBorders>
            <w:shd w:val="clear" w:color="auto" w:fill="FFFFFF"/>
          </w:tcPr>
          <w:p w14:paraId="34885673" w14:textId="5487C75D" w:rsidR="00D32FAF" w:rsidRPr="00933491" w:rsidRDefault="00D32FA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0,248</w:t>
            </w:r>
          </w:p>
        </w:tc>
        <w:tc>
          <w:tcPr>
            <w:tcW w:w="488" w:type="pct"/>
            <w:tcBorders>
              <w:bottom w:val="nil"/>
            </w:tcBorders>
            <w:shd w:val="clear" w:color="auto" w:fill="FFFFFF"/>
          </w:tcPr>
          <w:p w14:paraId="6D694D18" w14:textId="77F829E7" w:rsidR="00D32FAF" w:rsidRPr="00933491" w:rsidRDefault="00D32FA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0,223</w:t>
            </w:r>
          </w:p>
        </w:tc>
        <w:tc>
          <w:tcPr>
            <w:tcW w:w="665" w:type="pct"/>
            <w:tcBorders>
              <w:bottom w:val="nil"/>
            </w:tcBorders>
            <w:shd w:val="clear" w:color="auto" w:fill="FFFFFF"/>
          </w:tcPr>
          <w:p w14:paraId="7BBF9151" w14:textId="066C6B12" w:rsidR="00D32FAF" w:rsidRPr="00933491" w:rsidRDefault="00D32FA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127</w:t>
            </w:r>
          </w:p>
        </w:tc>
        <w:tc>
          <w:tcPr>
            <w:tcW w:w="667" w:type="pct"/>
            <w:tcBorders>
              <w:bottom w:val="nil"/>
              <w:right w:val="single" w:sz="4" w:space="0" w:color="FFFFFF" w:themeColor="background1"/>
            </w:tcBorders>
            <w:shd w:val="clear" w:color="auto" w:fill="FFFFFF"/>
          </w:tcPr>
          <w:p w14:paraId="7F36DD83" w14:textId="0854579A" w:rsidR="00D32FAF" w:rsidRPr="00933491" w:rsidRDefault="00D32FAF" w:rsidP="0056798E">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933491">
              <w:rPr>
                <w:rFonts w:ascii="Times New Roman" w:hAnsi="Times New Roman" w:cs="Times New Roman"/>
                <w:b/>
                <w:color w:val="000000"/>
                <w:sz w:val="20"/>
                <w:szCs w:val="20"/>
              </w:rPr>
              <w:t>0,824</w:t>
            </w:r>
          </w:p>
        </w:tc>
      </w:tr>
      <w:tr w:rsidR="008A2C1E" w:rsidRPr="00933491" w14:paraId="19E7D024" w14:textId="77777777" w:rsidTr="004C7DD9">
        <w:trPr>
          <w:cantSplit/>
          <w:tblHeader/>
          <w:jc w:val="center"/>
        </w:trPr>
        <w:tc>
          <w:tcPr>
            <w:tcW w:w="764" w:type="pct"/>
            <w:vMerge/>
            <w:tcBorders>
              <w:left w:val="single" w:sz="4" w:space="0" w:color="FFFFFF" w:themeColor="background1"/>
              <w:right w:val="single" w:sz="4" w:space="0" w:color="auto"/>
            </w:tcBorders>
            <w:shd w:val="clear" w:color="auto" w:fill="FFFFFF"/>
          </w:tcPr>
          <w:p w14:paraId="14563D6D" w14:textId="77777777" w:rsidR="00D32FAF" w:rsidRPr="00933491" w:rsidRDefault="00D32FAF" w:rsidP="0056798E">
            <w:pPr>
              <w:autoSpaceDE w:val="0"/>
              <w:autoSpaceDN w:val="0"/>
              <w:adjustRightInd w:val="0"/>
              <w:spacing w:after="0" w:line="240" w:lineRule="auto"/>
              <w:jc w:val="center"/>
              <w:rPr>
                <w:rFonts w:ascii="Times New Roman" w:hAnsi="Times New Roman" w:cs="Times New Roman"/>
                <w:color w:val="000000"/>
                <w:sz w:val="20"/>
                <w:szCs w:val="20"/>
              </w:rPr>
            </w:pPr>
          </w:p>
        </w:tc>
        <w:tc>
          <w:tcPr>
            <w:tcW w:w="833" w:type="pct"/>
            <w:tcBorders>
              <w:top w:val="nil"/>
              <w:left w:val="single" w:sz="4" w:space="0" w:color="auto"/>
              <w:right w:val="single" w:sz="4" w:space="0" w:color="auto"/>
            </w:tcBorders>
            <w:shd w:val="clear" w:color="auto" w:fill="FFFFFF"/>
          </w:tcPr>
          <w:p w14:paraId="4B7F4375" w14:textId="2190D33A" w:rsidR="00D32FAF" w:rsidRPr="00933491" w:rsidRDefault="00DF463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Não</w:t>
            </w:r>
          </w:p>
        </w:tc>
        <w:tc>
          <w:tcPr>
            <w:tcW w:w="749" w:type="pct"/>
            <w:tcBorders>
              <w:top w:val="nil"/>
              <w:left w:val="single" w:sz="4" w:space="0" w:color="auto"/>
              <w:right w:val="single" w:sz="4" w:space="0" w:color="auto"/>
            </w:tcBorders>
            <w:shd w:val="clear" w:color="auto" w:fill="FFFFFF"/>
            <w:vAlign w:val="center"/>
          </w:tcPr>
          <w:p w14:paraId="6C4BB691" w14:textId="77777777" w:rsidR="00D32FAF" w:rsidRPr="00933491" w:rsidRDefault="00D32FA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833" w:type="pct"/>
            <w:tcBorders>
              <w:top w:val="nil"/>
              <w:left w:val="single" w:sz="4" w:space="0" w:color="auto"/>
            </w:tcBorders>
            <w:shd w:val="clear" w:color="auto" w:fill="FFFFFF"/>
            <w:vAlign w:val="center"/>
          </w:tcPr>
          <w:p w14:paraId="2FA7DB6D" w14:textId="77777777" w:rsidR="00D32FAF" w:rsidRPr="00933491" w:rsidRDefault="00D32FA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488" w:type="pct"/>
            <w:tcBorders>
              <w:top w:val="nil"/>
            </w:tcBorders>
            <w:shd w:val="clear" w:color="auto" w:fill="FFFFFF"/>
          </w:tcPr>
          <w:p w14:paraId="5599BD16" w14:textId="26B15C0E" w:rsidR="00D32FAF" w:rsidRPr="00933491" w:rsidRDefault="00D32FA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0,226</w:t>
            </w:r>
          </w:p>
        </w:tc>
        <w:tc>
          <w:tcPr>
            <w:tcW w:w="665" w:type="pct"/>
            <w:tcBorders>
              <w:top w:val="nil"/>
            </w:tcBorders>
            <w:shd w:val="clear" w:color="auto" w:fill="FFFFFF"/>
          </w:tcPr>
          <w:p w14:paraId="05F7E2B1" w14:textId="7D2545E5" w:rsidR="00D32FAF" w:rsidRPr="00933491" w:rsidRDefault="00D32FA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124,568</w:t>
            </w:r>
          </w:p>
        </w:tc>
        <w:tc>
          <w:tcPr>
            <w:tcW w:w="667" w:type="pct"/>
            <w:tcBorders>
              <w:top w:val="nil"/>
              <w:right w:val="single" w:sz="4" w:space="0" w:color="FFFFFF" w:themeColor="background1"/>
            </w:tcBorders>
            <w:shd w:val="clear" w:color="auto" w:fill="FFFFFF"/>
          </w:tcPr>
          <w:p w14:paraId="11C050C8" w14:textId="19F766F8" w:rsidR="00D32FAF" w:rsidRPr="00933491" w:rsidRDefault="00D32FA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0,821</w:t>
            </w:r>
          </w:p>
        </w:tc>
      </w:tr>
      <w:tr w:rsidR="008A2C1E" w:rsidRPr="00933491" w14:paraId="34D3123C" w14:textId="77777777" w:rsidTr="004C7DD9">
        <w:trPr>
          <w:cantSplit/>
          <w:tblHeader/>
          <w:jc w:val="center"/>
        </w:trPr>
        <w:tc>
          <w:tcPr>
            <w:tcW w:w="764" w:type="pct"/>
            <w:vMerge w:val="restart"/>
            <w:tcBorders>
              <w:left w:val="single" w:sz="4" w:space="0" w:color="FFFFFF" w:themeColor="background1"/>
              <w:right w:val="single" w:sz="4" w:space="0" w:color="auto"/>
            </w:tcBorders>
            <w:shd w:val="clear" w:color="auto" w:fill="FFFFFF"/>
            <w:vAlign w:val="center"/>
          </w:tcPr>
          <w:p w14:paraId="6D28B37E" w14:textId="77777777" w:rsidR="00DF463F" w:rsidRPr="00CC11DC" w:rsidRDefault="00DF463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CC11DC">
              <w:rPr>
                <w:rFonts w:ascii="Times New Roman" w:hAnsi="Times New Roman" w:cs="Times New Roman"/>
                <w:color w:val="000000"/>
                <w:sz w:val="20"/>
                <w:szCs w:val="20"/>
              </w:rPr>
              <w:t>+2</w:t>
            </w:r>
          </w:p>
        </w:tc>
        <w:tc>
          <w:tcPr>
            <w:tcW w:w="833" w:type="pct"/>
            <w:tcBorders>
              <w:left w:val="single" w:sz="4" w:space="0" w:color="auto"/>
              <w:bottom w:val="nil"/>
              <w:right w:val="single" w:sz="4" w:space="0" w:color="auto"/>
            </w:tcBorders>
            <w:shd w:val="clear" w:color="auto" w:fill="FFFFFF"/>
          </w:tcPr>
          <w:p w14:paraId="4D7ACE60" w14:textId="7D539086" w:rsidR="00DF463F" w:rsidRPr="003E40AC" w:rsidRDefault="00DF463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Sim</w:t>
            </w:r>
          </w:p>
        </w:tc>
        <w:tc>
          <w:tcPr>
            <w:tcW w:w="749" w:type="pct"/>
            <w:tcBorders>
              <w:left w:val="single" w:sz="4" w:space="0" w:color="auto"/>
              <w:bottom w:val="nil"/>
              <w:right w:val="single" w:sz="4" w:space="0" w:color="auto"/>
            </w:tcBorders>
            <w:shd w:val="clear" w:color="auto" w:fill="FFFFFF"/>
          </w:tcPr>
          <w:p w14:paraId="7B4C1E66" w14:textId="4335E679" w:rsidR="00DF463F" w:rsidRPr="003E40AC" w:rsidRDefault="00DF463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2,509</w:t>
            </w:r>
          </w:p>
        </w:tc>
        <w:tc>
          <w:tcPr>
            <w:tcW w:w="833" w:type="pct"/>
            <w:tcBorders>
              <w:left w:val="single" w:sz="4" w:space="0" w:color="auto"/>
              <w:bottom w:val="nil"/>
            </w:tcBorders>
            <w:shd w:val="clear" w:color="auto" w:fill="FFFFFF"/>
          </w:tcPr>
          <w:p w14:paraId="323733FB" w14:textId="05D79A82" w:rsidR="00DF463F" w:rsidRPr="00933491" w:rsidRDefault="00DF463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0,116</w:t>
            </w:r>
          </w:p>
        </w:tc>
        <w:tc>
          <w:tcPr>
            <w:tcW w:w="488" w:type="pct"/>
            <w:tcBorders>
              <w:bottom w:val="nil"/>
            </w:tcBorders>
            <w:shd w:val="clear" w:color="auto" w:fill="FFFFFF"/>
          </w:tcPr>
          <w:p w14:paraId="0AD1E0A8" w14:textId="3B4F2BF1" w:rsidR="00DF463F" w:rsidRPr="00933491" w:rsidRDefault="00DF463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0,148</w:t>
            </w:r>
          </w:p>
        </w:tc>
        <w:tc>
          <w:tcPr>
            <w:tcW w:w="665" w:type="pct"/>
            <w:tcBorders>
              <w:bottom w:val="nil"/>
            </w:tcBorders>
            <w:shd w:val="clear" w:color="auto" w:fill="FFFFFF"/>
          </w:tcPr>
          <w:p w14:paraId="30A4308C" w14:textId="675597A9" w:rsidR="00DF463F" w:rsidRPr="00933491" w:rsidRDefault="00DF463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127</w:t>
            </w:r>
          </w:p>
        </w:tc>
        <w:tc>
          <w:tcPr>
            <w:tcW w:w="667" w:type="pct"/>
            <w:tcBorders>
              <w:bottom w:val="nil"/>
              <w:right w:val="single" w:sz="4" w:space="0" w:color="FFFFFF" w:themeColor="background1"/>
            </w:tcBorders>
            <w:shd w:val="clear" w:color="auto" w:fill="FFFFFF"/>
          </w:tcPr>
          <w:p w14:paraId="25E74872" w14:textId="59A829CD" w:rsidR="00DF463F" w:rsidRPr="00933491" w:rsidRDefault="00DF463F" w:rsidP="0056798E">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933491">
              <w:rPr>
                <w:rFonts w:ascii="Times New Roman" w:hAnsi="Times New Roman" w:cs="Times New Roman"/>
                <w:b/>
                <w:color w:val="000000"/>
                <w:sz w:val="20"/>
                <w:szCs w:val="20"/>
              </w:rPr>
              <w:t>0,883</w:t>
            </w:r>
          </w:p>
        </w:tc>
      </w:tr>
      <w:tr w:rsidR="008A2C1E" w:rsidRPr="00933491" w14:paraId="56B417DA" w14:textId="77777777" w:rsidTr="004C7DD9">
        <w:trPr>
          <w:cantSplit/>
          <w:tblHeader/>
          <w:jc w:val="center"/>
        </w:trPr>
        <w:tc>
          <w:tcPr>
            <w:tcW w:w="764" w:type="pct"/>
            <w:vMerge/>
            <w:tcBorders>
              <w:left w:val="single" w:sz="4" w:space="0" w:color="FFFFFF" w:themeColor="background1"/>
              <w:right w:val="single" w:sz="4" w:space="0" w:color="auto"/>
            </w:tcBorders>
            <w:shd w:val="clear" w:color="auto" w:fill="FFFFFF"/>
            <w:vAlign w:val="center"/>
          </w:tcPr>
          <w:p w14:paraId="206F52F4" w14:textId="77777777" w:rsidR="00DF463F" w:rsidRPr="00933491" w:rsidRDefault="00DF463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833" w:type="pct"/>
            <w:tcBorders>
              <w:top w:val="nil"/>
              <w:left w:val="single" w:sz="4" w:space="0" w:color="auto"/>
              <w:right w:val="single" w:sz="4" w:space="0" w:color="auto"/>
            </w:tcBorders>
            <w:shd w:val="clear" w:color="auto" w:fill="FFFFFF"/>
          </w:tcPr>
          <w:p w14:paraId="69CE153B" w14:textId="09DC52AE" w:rsidR="00DF463F" w:rsidRPr="00933491" w:rsidRDefault="00DF463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Não</w:t>
            </w:r>
          </w:p>
        </w:tc>
        <w:tc>
          <w:tcPr>
            <w:tcW w:w="749" w:type="pct"/>
            <w:tcBorders>
              <w:top w:val="nil"/>
              <w:left w:val="single" w:sz="4" w:space="0" w:color="auto"/>
              <w:right w:val="single" w:sz="4" w:space="0" w:color="auto"/>
            </w:tcBorders>
            <w:shd w:val="clear" w:color="auto" w:fill="FFFFFF"/>
            <w:vAlign w:val="center"/>
          </w:tcPr>
          <w:p w14:paraId="22117A49" w14:textId="77777777" w:rsidR="00DF463F" w:rsidRPr="00933491" w:rsidRDefault="00DF463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833" w:type="pct"/>
            <w:tcBorders>
              <w:top w:val="nil"/>
              <w:left w:val="single" w:sz="4" w:space="0" w:color="auto"/>
            </w:tcBorders>
            <w:shd w:val="clear" w:color="auto" w:fill="FFFFFF"/>
            <w:vAlign w:val="center"/>
          </w:tcPr>
          <w:p w14:paraId="138D140B" w14:textId="77777777" w:rsidR="00DF463F" w:rsidRPr="00933491" w:rsidRDefault="00DF463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488" w:type="pct"/>
            <w:tcBorders>
              <w:top w:val="nil"/>
            </w:tcBorders>
            <w:shd w:val="clear" w:color="auto" w:fill="FFFFFF"/>
          </w:tcPr>
          <w:p w14:paraId="2646B573" w14:textId="23587D88" w:rsidR="00DF463F" w:rsidRPr="00933491" w:rsidRDefault="00DF463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0,150</w:t>
            </w:r>
          </w:p>
        </w:tc>
        <w:tc>
          <w:tcPr>
            <w:tcW w:w="665" w:type="pct"/>
            <w:tcBorders>
              <w:top w:val="nil"/>
            </w:tcBorders>
            <w:shd w:val="clear" w:color="auto" w:fill="FFFFFF"/>
          </w:tcPr>
          <w:p w14:paraId="01ABD340" w14:textId="14D49F01" w:rsidR="00DF463F" w:rsidRPr="00933491" w:rsidRDefault="00DF463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125,370</w:t>
            </w:r>
          </w:p>
        </w:tc>
        <w:tc>
          <w:tcPr>
            <w:tcW w:w="667" w:type="pct"/>
            <w:tcBorders>
              <w:top w:val="nil"/>
              <w:right w:val="single" w:sz="4" w:space="0" w:color="FFFFFF" w:themeColor="background1"/>
            </w:tcBorders>
            <w:shd w:val="clear" w:color="auto" w:fill="FFFFFF"/>
          </w:tcPr>
          <w:p w14:paraId="37D3E2E4" w14:textId="3BE49F9D" w:rsidR="00DF463F" w:rsidRPr="00933491" w:rsidRDefault="00DF463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0,881</w:t>
            </w:r>
          </w:p>
        </w:tc>
      </w:tr>
      <w:tr w:rsidR="008A2C1E" w:rsidRPr="00933491" w14:paraId="286C05C2" w14:textId="77777777" w:rsidTr="004C7DD9">
        <w:trPr>
          <w:cantSplit/>
          <w:tblHeader/>
          <w:jc w:val="center"/>
        </w:trPr>
        <w:tc>
          <w:tcPr>
            <w:tcW w:w="764" w:type="pct"/>
            <w:vMerge w:val="restart"/>
            <w:tcBorders>
              <w:left w:val="single" w:sz="4" w:space="0" w:color="FFFFFF" w:themeColor="background1"/>
              <w:right w:val="single" w:sz="4" w:space="0" w:color="auto"/>
            </w:tcBorders>
            <w:shd w:val="clear" w:color="auto" w:fill="FFFFFF"/>
            <w:vAlign w:val="center"/>
          </w:tcPr>
          <w:p w14:paraId="5603DA90" w14:textId="77777777" w:rsidR="00DF463F" w:rsidRPr="00CC11DC" w:rsidRDefault="00DF463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CC11DC">
              <w:rPr>
                <w:rFonts w:ascii="Times New Roman" w:hAnsi="Times New Roman" w:cs="Times New Roman"/>
                <w:color w:val="000000"/>
                <w:sz w:val="20"/>
                <w:szCs w:val="20"/>
              </w:rPr>
              <w:t>+3</w:t>
            </w:r>
          </w:p>
        </w:tc>
        <w:tc>
          <w:tcPr>
            <w:tcW w:w="833" w:type="pct"/>
            <w:tcBorders>
              <w:left w:val="single" w:sz="4" w:space="0" w:color="auto"/>
              <w:bottom w:val="nil"/>
              <w:right w:val="single" w:sz="4" w:space="0" w:color="auto"/>
            </w:tcBorders>
            <w:shd w:val="clear" w:color="auto" w:fill="FFFFFF"/>
          </w:tcPr>
          <w:p w14:paraId="6CE4B461" w14:textId="645C8333" w:rsidR="00DF463F" w:rsidRPr="003E40AC" w:rsidRDefault="00DF463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Sim</w:t>
            </w:r>
          </w:p>
        </w:tc>
        <w:tc>
          <w:tcPr>
            <w:tcW w:w="749" w:type="pct"/>
            <w:tcBorders>
              <w:left w:val="single" w:sz="4" w:space="0" w:color="auto"/>
              <w:bottom w:val="nil"/>
              <w:right w:val="single" w:sz="4" w:space="0" w:color="auto"/>
            </w:tcBorders>
            <w:shd w:val="clear" w:color="auto" w:fill="FFFFFF"/>
          </w:tcPr>
          <w:p w14:paraId="1CE8E6ED" w14:textId="4CCC10FE" w:rsidR="00DF463F" w:rsidRPr="003E40AC" w:rsidRDefault="00DF463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1,674</w:t>
            </w:r>
          </w:p>
        </w:tc>
        <w:tc>
          <w:tcPr>
            <w:tcW w:w="833" w:type="pct"/>
            <w:tcBorders>
              <w:left w:val="single" w:sz="4" w:space="0" w:color="auto"/>
              <w:bottom w:val="nil"/>
            </w:tcBorders>
            <w:shd w:val="clear" w:color="auto" w:fill="FFFFFF"/>
          </w:tcPr>
          <w:p w14:paraId="2DEFC4FA" w14:textId="6F68DB4D" w:rsidR="00DF463F" w:rsidRPr="00933491" w:rsidRDefault="00DF463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0,198</w:t>
            </w:r>
          </w:p>
        </w:tc>
        <w:tc>
          <w:tcPr>
            <w:tcW w:w="488" w:type="pct"/>
            <w:tcBorders>
              <w:bottom w:val="nil"/>
            </w:tcBorders>
            <w:shd w:val="clear" w:color="auto" w:fill="FFFFFF"/>
          </w:tcPr>
          <w:p w14:paraId="62646B1B" w14:textId="24B1FBE1" w:rsidR="00DF463F" w:rsidRPr="00933491" w:rsidRDefault="00DF463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0,336</w:t>
            </w:r>
          </w:p>
        </w:tc>
        <w:tc>
          <w:tcPr>
            <w:tcW w:w="665" w:type="pct"/>
            <w:tcBorders>
              <w:bottom w:val="nil"/>
            </w:tcBorders>
            <w:shd w:val="clear" w:color="auto" w:fill="FFFFFF"/>
          </w:tcPr>
          <w:p w14:paraId="416DE52B" w14:textId="5B18B796" w:rsidR="00DF463F" w:rsidRPr="00933491" w:rsidRDefault="00DF463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125</w:t>
            </w:r>
          </w:p>
        </w:tc>
        <w:tc>
          <w:tcPr>
            <w:tcW w:w="667" w:type="pct"/>
            <w:tcBorders>
              <w:bottom w:val="nil"/>
              <w:right w:val="single" w:sz="4" w:space="0" w:color="FFFFFF" w:themeColor="background1"/>
            </w:tcBorders>
            <w:shd w:val="clear" w:color="auto" w:fill="FFFFFF"/>
          </w:tcPr>
          <w:p w14:paraId="2FFD6DDA" w14:textId="5E47CEF4" w:rsidR="00DF463F" w:rsidRPr="00933491" w:rsidRDefault="00DF463F" w:rsidP="0056798E">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933491">
              <w:rPr>
                <w:rFonts w:ascii="Times New Roman" w:hAnsi="Times New Roman" w:cs="Times New Roman"/>
                <w:b/>
                <w:color w:val="000000"/>
                <w:sz w:val="20"/>
                <w:szCs w:val="20"/>
              </w:rPr>
              <w:t>0,737</w:t>
            </w:r>
          </w:p>
        </w:tc>
      </w:tr>
      <w:tr w:rsidR="008A2C1E" w:rsidRPr="00933491" w14:paraId="45EF6997" w14:textId="77777777" w:rsidTr="004C7DD9">
        <w:trPr>
          <w:cantSplit/>
          <w:tblHeader/>
          <w:jc w:val="center"/>
        </w:trPr>
        <w:tc>
          <w:tcPr>
            <w:tcW w:w="764" w:type="pct"/>
            <w:vMerge/>
            <w:tcBorders>
              <w:left w:val="single" w:sz="4" w:space="0" w:color="FFFFFF" w:themeColor="background1"/>
              <w:right w:val="single" w:sz="4" w:space="0" w:color="auto"/>
            </w:tcBorders>
            <w:shd w:val="clear" w:color="auto" w:fill="FFFFFF"/>
            <w:vAlign w:val="center"/>
          </w:tcPr>
          <w:p w14:paraId="5325BAD8" w14:textId="77777777" w:rsidR="00DF463F" w:rsidRPr="00933491" w:rsidRDefault="00DF463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833" w:type="pct"/>
            <w:tcBorders>
              <w:top w:val="nil"/>
              <w:left w:val="single" w:sz="4" w:space="0" w:color="auto"/>
              <w:right w:val="single" w:sz="4" w:space="0" w:color="auto"/>
            </w:tcBorders>
            <w:shd w:val="clear" w:color="auto" w:fill="FFFFFF"/>
          </w:tcPr>
          <w:p w14:paraId="697DC25D" w14:textId="4C2218E3" w:rsidR="00DF463F" w:rsidRPr="00933491" w:rsidRDefault="00DF463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Não</w:t>
            </w:r>
          </w:p>
        </w:tc>
        <w:tc>
          <w:tcPr>
            <w:tcW w:w="749" w:type="pct"/>
            <w:tcBorders>
              <w:top w:val="nil"/>
              <w:left w:val="single" w:sz="4" w:space="0" w:color="auto"/>
              <w:bottom w:val="single" w:sz="4" w:space="0" w:color="auto"/>
              <w:right w:val="single" w:sz="4" w:space="0" w:color="auto"/>
            </w:tcBorders>
            <w:shd w:val="clear" w:color="auto" w:fill="FFFFFF"/>
            <w:vAlign w:val="center"/>
          </w:tcPr>
          <w:p w14:paraId="18965815" w14:textId="77777777" w:rsidR="00DF463F" w:rsidRPr="00933491" w:rsidRDefault="00DF463F" w:rsidP="0056798E">
            <w:pPr>
              <w:autoSpaceDE w:val="0"/>
              <w:autoSpaceDN w:val="0"/>
              <w:adjustRightInd w:val="0"/>
              <w:spacing w:after="0" w:line="240" w:lineRule="auto"/>
              <w:jc w:val="center"/>
              <w:rPr>
                <w:rFonts w:ascii="Times New Roman" w:hAnsi="Times New Roman" w:cs="Times New Roman"/>
                <w:sz w:val="20"/>
                <w:szCs w:val="20"/>
              </w:rPr>
            </w:pPr>
          </w:p>
        </w:tc>
        <w:tc>
          <w:tcPr>
            <w:tcW w:w="833" w:type="pct"/>
            <w:tcBorders>
              <w:top w:val="nil"/>
              <w:left w:val="single" w:sz="4" w:space="0" w:color="auto"/>
            </w:tcBorders>
            <w:shd w:val="clear" w:color="auto" w:fill="FFFFFF"/>
            <w:vAlign w:val="center"/>
          </w:tcPr>
          <w:p w14:paraId="5ABDDF7D" w14:textId="77777777" w:rsidR="00DF463F" w:rsidRPr="00933491" w:rsidRDefault="00DF463F" w:rsidP="0056798E">
            <w:pPr>
              <w:autoSpaceDE w:val="0"/>
              <w:autoSpaceDN w:val="0"/>
              <w:adjustRightInd w:val="0"/>
              <w:spacing w:after="0" w:line="240" w:lineRule="auto"/>
              <w:jc w:val="center"/>
              <w:rPr>
                <w:rFonts w:ascii="Times New Roman" w:hAnsi="Times New Roman" w:cs="Times New Roman"/>
                <w:sz w:val="20"/>
                <w:szCs w:val="20"/>
              </w:rPr>
            </w:pPr>
          </w:p>
        </w:tc>
        <w:tc>
          <w:tcPr>
            <w:tcW w:w="488" w:type="pct"/>
            <w:tcBorders>
              <w:top w:val="nil"/>
            </w:tcBorders>
            <w:shd w:val="clear" w:color="auto" w:fill="FFFFFF"/>
          </w:tcPr>
          <w:p w14:paraId="4133B1A6" w14:textId="03DB6234" w:rsidR="00DF463F" w:rsidRPr="00933491" w:rsidRDefault="00DF463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0,342</w:t>
            </w:r>
          </w:p>
        </w:tc>
        <w:tc>
          <w:tcPr>
            <w:tcW w:w="665" w:type="pct"/>
            <w:tcBorders>
              <w:top w:val="nil"/>
            </w:tcBorders>
            <w:shd w:val="clear" w:color="auto" w:fill="FFFFFF"/>
          </w:tcPr>
          <w:p w14:paraId="77331514" w14:textId="12530629" w:rsidR="00DF463F" w:rsidRPr="00933491" w:rsidRDefault="00DF463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123,879</w:t>
            </w:r>
          </w:p>
        </w:tc>
        <w:tc>
          <w:tcPr>
            <w:tcW w:w="667" w:type="pct"/>
            <w:tcBorders>
              <w:top w:val="nil"/>
              <w:right w:val="single" w:sz="4" w:space="0" w:color="FFFFFF" w:themeColor="background1"/>
            </w:tcBorders>
            <w:shd w:val="clear" w:color="auto" w:fill="FFFFFF"/>
          </w:tcPr>
          <w:p w14:paraId="7DBC900E" w14:textId="16201F40" w:rsidR="00DF463F" w:rsidRPr="00933491" w:rsidRDefault="00DF463F" w:rsidP="0056798E">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933491">
              <w:rPr>
                <w:rFonts w:ascii="Times New Roman" w:hAnsi="Times New Roman" w:cs="Times New Roman"/>
                <w:color w:val="000000"/>
                <w:sz w:val="20"/>
                <w:szCs w:val="20"/>
              </w:rPr>
              <w:t>0,733</w:t>
            </w:r>
          </w:p>
        </w:tc>
      </w:tr>
      <w:tr w:rsidR="008A2C1E" w:rsidRPr="00933491" w14:paraId="27B56FD2" w14:textId="77777777" w:rsidTr="004C7DD9">
        <w:trPr>
          <w:cantSplit/>
          <w:tblHeader/>
          <w:jc w:val="center"/>
        </w:trPr>
        <w:tc>
          <w:tcPr>
            <w:tcW w:w="764" w:type="pct"/>
            <w:vMerge w:val="restart"/>
            <w:tcBorders>
              <w:left w:val="single" w:sz="4" w:space="0" w:color="FFFFFF" w:themeColor="background1"/>
              <w:bottom w:val="single" w:sz="16" w:space="0" w:color="000000"/>
              <w:right w:val="single" w:sz="4" w:space="0" w:color="auto"/>
            </w:tcBorders>
            <w:shd w:val="clear" w:color="auto" w:fill="FFFFFF"/>
            <w:vAlign w:val="center"/>
          </w:tcPr>
          <w:p w14:paraId="0CB28D1E" w14:textId="77777777" w:rsidR="00DF463F" w:rsidRPr="00CC11DC" w:rsidRDefault="00DF463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CC11DC">
              <w:rPr>
                <w:rFonts w:ascii="Times New Roman" w:hAnsi="Times New Roman" w:cs="Times New Roman"/>
                <w:color w:val="000000"/>
                <w:sz w:val="20"/>
                <w:szCs w:val="20"/>
              </w:rPr>
              <w:t>+4</w:t>
            </w:r>
          </w:p>
        </w:tc>
        <w:tc>
          <w:tcPr>
            <w:tcW w:w="833" w:type="pct"/>
            <w:tcBorders>
              <w:left w:val="single" w:sz="4" w:space="0" w:color="auto"/>
              <w:bottom w:val="nil"/>
              <w:right w:val="single" w:sz="4" w:space="0" w:color="auto"/>
            </w:tcBorders>
            <w:shd w:val="clear" w:color="auto" w:fill="FFFFFF"/>
          </w:tcPr>
          <w:p w14:paraId="38DC6169" w14:textId="5321A2BE" w:rsidR="00DF463F" w:rsidRPr="003E40AC" w:rsidRDefault="00DF463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Sim</w:t>
            </w:r>
          </w:p>
        </w:tc>
        <w:tc>
          <w:tcPr>
            <w:tcW w:w="749" w:type="pct"/>
            <w:tcBorders>
              <w:top w:val="single" w:sz="4" w:space="0" w:color="auto"/>
              <w:left w:val="single" w:sz="4" w:space="0" w:color="auto"/>
              <w:bottom w:val="nil"/>
              <w:right w:val="single" w:sz="4" w:space="0" w:color="auto"/>
            </w:tcBorders>
            <w:shd w:val="clear" w:color="auto" w:fill="FFFFFF"/>
          </w:tcPr>
          <w:p w14:paraId="7991C4BE" w14:textId="695B913F" w:rsidR="00DF463F" w:rsidRPr="003E40AC" w:rsidRDefault="00DF463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4,784</w:t>
            </w:r>
          </w:p>
        </w:tc>
        <w:tc>
          <w:tcPr>
            <w:tcW w:w="833" w:type="pct"/>
            <w:tcBorders>
              <w:left w:val="single" w:sz="4" w:space="0" w:color="auto"/>
              <w:bottom w:val="nil"/>
            </w:tcBorders>
            <w:shd w:val="clear" w:color="auto" w:fill="FFFFFF"/>
          </w:tcPr>
          <w:p w14:paraId="6835B7CA" w14:textId="78E00429" w:rsidR="00DF463F" w:rsidRPr="00933491" w:rsidRDefault="00DF463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0,031</w:t>
            </w:r>
          </w:p>
        </w:tc>
        <w:tc>
          <w:tcPr>
            <w:tcW w:w="488" w:type="pct"/>
            <w:tcBorders>
              <w:bottom w:val="nil"/>
            </w:tcBorders>
            <w:shd w:val="clear" w:color="auto" w:fill="FFFFFF"/>
          </w:tcPr>
          <w:p w14:paraId="6FD8A981" w14:textId="450C96C6" w:rsidR="00DF463F" w:rsidRPr="00933491" w:rsidRDefault="00DF463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-0,183</w:t>
            </w:r>
          </w:p>
        </w:tc>
        <w:tc>
          <w:tcPr>
            <w:tcW w:w="665" w:type="pct"/>
            <w:tcBorders>
              <w:bottom w:val="nil"/>
            </w:tcBorders>
            <w:shd w:val="clear" w:color="auto" w:fill="FFFFFF"/>
          </w:tcPr>
          <w:p w14:paraId="65EBB3FF" w14:textId="0F0109C4" w:rsidR="00DF463F" w:rsidRPr="00933491" w:rsidRDefault="00DF463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117</w:t>
            </w:r>
          </w:p>
        </w:tc>
        <w:tc>
          <w:tcPr>
            <w:tcW w:w="667" w:type="pct"/>
            <w:tcBorders>
              <w:bottom w:val="nil"/>
              <w:right w:val="single" w:sz="4" w:space="0" w:color="FFFFFF" w:themeColor="background1"/>
            </w:tcBorders>
            <w:shd w:val="clear" w:color="auto" w:fill="FFFFFF"/>
          </w:tcPr>
          <w:p w14:paraId="1E651A7A" w14:textId="35E063E5" w:rsidR="00DF463F" w:rsidRPr="00933491" w:rsidRDefault="00DF463F" w:rsidP="0056798E">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933491">
              <w:rPr>
                <w:rFonts w:ascii="Times New Roman" w:hAnsi="Times New Roman" w:cs="Times New Roman"/>
                <w:color w:val="000000"/>
                <w:sz w:val="20"/>
                <w:szCs w:val="20"/>
              </w:rPr>
              <w:t>0,855</w:t>
            </w:r>
          </w:p>
        </w:tc>
      </w:tr>
      <w:tr w:rsidR="008A2C1E" w:rsidRPr="00933491" w14:paraId="50B1B95C" w14:textId="77777777" w:rsidTr="004C7DD9">
        <w:trPr>
          <w:cantSplit/>
          <w:jc w:val="center"/>
        </w:trPr>
        <w:tc>
          <w:tcPr>
            <w:tcW w:w="764" w:type="pct"/>
            <w:vMerge/>
            <w:tcBorders>
              <w:left w:val="single" w:sz="4" w:space="0" w:color="FFFFFF" w:themeColor="background1"/>
              <w:bottom w:val="single" w:sz="4" w:space="0" w:color="auto"/>
              <w:right w:val="single" w:sz="4" w:space="0" w:color="auto"/>
            </w:tcBorders>
            <w:shd w:val="clear" w:color="auto" w:fill="FFFFFF"/>
          </w:tcPr>
          <w:p w14:paraId="768F9949" w14:textId="77777777" w:rsidR="00DF463F" w:rsidRPr="00933491" w:rsidRDefault="00DF463F" w:rsidP="0056798E">
            <w:pPr>
              <w:autoSpaceDE w:val="0"/>
              <w:autoSpaceDN w:val="0"/>
              <w:adjustRightInd w:val="0"/>
              <w:spacing w:after="0" w:line="240" w:lineRule="auto"/>
              <w:rPr>
                <w:rFonts w:ascii="Times New Roman" w:hAnsi="Times New Roman" w:cs="Times New Roman"/>
                <w:color w:val="000000"/>
                <w:sz w:val="20"/>
                <w:szCs w:val="20"/>
              </w:rPr>
            </w:pPr>
          </w:p>
        </w:tc>
        <w:tc>
          <w:tcPr>
            <w:tcW w:w="833" w:type="pct"/>
            <w:tcBorders>
              <w:top w:val="nil"/>
              <w:left w:val="single" w:sz="4" w:space="0" w:color="auto"/>
              <w:bottom w:val="single" w:sz="4" w:space="0" w:color="auto"/>
              <w:right w:val="single" w:sz="4" w:space="0" w:color="auto"/>
            </w:tcBorders>
            <w:shd w:val="clear" w:color="auto" w:fill="FFFFFF"/>
          </w:tcPr>
          <w:p w14:paraId="7DF88917" w14:textId="4C6D2A8A" w:rsidR="00DF463F" w:rsidRPr="00933491" w:rsidRDefault="00DF463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Não</w:t>
            </w:r>
          </w:p>
        </w:tc>
        <w:tc>
          <w:tcPr>
            <w:tcW w:w="749" w:type="pct"/>
            <w:tcBorders>
              <w:top w:val="nil"/>
              <w:left w:val="single" w:sz="4" w:space="0" w:color="auto"/>
              <w:bottom w:val="single" w:sz="4" w:space="0" w:color="auto"/>
              <w:right w:val="single" w:sz="4" w:space="0" w:color="auto"/>
            </w:tcBorders>
            <w:shd w:val="clear" w:color="auto" w:fill="FFFFFF"/>
            <w:vAlign w:val="center"/>
          </w:tcPr>
          <w:p w14:paraId="42B0360F" w14:textId="77777777" w:rsidR="00DF463F" w:rsidRPr="00933491" w:rsidRDefault="00DF463F" w:rsidP="0056798E">
            <w:pPr>
              <w:autoSpaceDE w:val="0"/>
              <w:autoSpaceDN w:val="0"/>
              <w:adjustRightInd w:val="0"/>
              <w:spacing w:after="0" w:line="240" w:lineRule="auto"/>
              <w:jc w:val="center"/>
              <w:rPr>
                <w:rFonts w:ascii="Times New Roman" w:hAnsi="Times New Roman" w:cs="Times New Roman"/>
                <w:sz w:val="20"/>
                <w:szCs w:val="20"/>
              </w:rPr>
            </w:pPr>
          </w:p>
        </w:tc>
        <w:tc>
          <w:tcPr>
            <w:tcW w:w="833" w:type="pct"/>
            <w:tcBorders>
              <w:top w:val="nil"/>
              <w:left w:val="single" w:sz="4" w:space="0" w:color="auto"/>
              <w:bottom w:val="single" w:sz="4" w:space="0" w:color="auto"/>
            </w:tcBorders>
            <w:shd w:val="clear" w:color="auto" w:fill="FFFFFF"/>
            <w:vAlign w:val="center"/>
          </w:tcPr>
          <w:p w14:paraId="7D16BD47" w14:textId="77777777" w:rsidR="00DF463F" w:rsidRPr="00933491" w:rsidRDefault="00DF463F" w:rsidP="0056798E">
            <w:pPr>
              <w:autoSpaceDE w:val="0"/>
              <w:autoSpaceDN w:val="0"/>
              <w:adjustRightInd w:val="0"/>
              <w:spacing w:after="0" w:line="240" w:lineRule="auto"/>
              <w:jc w:val="center"/>
              <w:rPr>
                <w:rFonts w:ascii="Times New Roman" w:hAnsi="Times New Roman" w:cs="Times New Roman"/>
                <w:sz w:val="20"/>
                <w:szCs w:val="20"/>
              </w:rPr>
            </w:pPr>
          </w:p>
        </w:tc>
        <w:tc>
          <w:tcPr>
            <w:tcW w:w="488" w:type="pct"/>
            <w:tcBorders>
              <w:top w:val="nil"/>
              <w:bottom w:val="single" w:sz="4" w:space="0" w:color="auto"/>
            </w:tcBorders>
            <w:shd w:val="clear" w:color="auto" w:fill="FFFFFF"/>
          </w:tcPr>
          <w:p w14:paraId="6C685935" w14:textId="7C650ACD" w:rsidR="00DF463F" w:rsidRPr="00933491" w:rsidRDefault="00DF463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-0,190</w:t>
            </w:r>
          </w:p>
        </w:tc>
        <w:tc>
          <w:tcPr>
            <w:tcW w:w="665" w:type="pct"/>
            <w:tcBorders>
              <w:top w:val="nil"/>
              <w:bottom w:val="single" w:sz="4" w:space="0" w:color="auto"/>
            </w:tcBorders>
            <w:shd w:val="clear" w:color="auto" w:fill="FFFFFF"/>
          </w:tcPr>
          <w:p w14:paraId="7A332F60" w14:textId="4B5C46AB" w:rsidR="00DF463F" w:rsidRPr="00933491" w:rsidRDefault="00DF463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105,163</w:t>
            </w:r>
          </w:p>
        </w:tc>
        <w:tc>
          <w:tcPr>
            <w:tcW w:w="667" w:type="pct"/>
            <w:tcBorders>
              <w:top w:val="nil"/>
              <w:bottom w:val="single" w:sz="4" w:space="0" w:color="auto"/>
              <w:right w:val="single" w:sz="4" w:space="0" w:color="FFFFFF" w:themeColor="background1"/>
            </w:tcBorders>
            <w:shd w:val="clear" w:color="auto" w:fill="FFFFFF"/>
          </w:tcPr>
          <w:p w14:paraId="18AD7016" w14:textId="2E0FF30D" w:rsidR="00DF463F" w:rsidRPr="00933491" w:rsidRDefault="00DF463F" w:rsidP="0056798E">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933491">
              <w:rPr>
                <w:rFonts w:ascii="Times New Roman" w:hAnsi="Times New Roman" w:cs="Times New Roman"/>
                <w:b/>
                <w:color w:val="000000"/>
                <w:sz w:val="20"/>
                <w:szCs w:val="20"/>
              </w:rPr>
              <w:t>0,850</w:t>
            </w:r>
          </w:p>
        </w:tc>
      </w:tr>
    </w:tbl>
    <w:p w14:paraId="3571B7DA" w14:textId="7B996B5B" w:rsidR="00225599" w:rsidRDefault="00052B3B" w:rsidP="00157D35">
      <w:pPr>
        <w:spacing w:after="0" w:line="240" w:lineRule="auto"/>
        <w:ind w:firstLine="709"/>
        <w:jc w:val="both"/>
        <w:rPr>
          <w:rFonts w:ascii="Times New Roman" w:hAnsi="Times New Roman" w:cs="Times New Roman"/>
          <w:sz w:val="24"/>
          <w:szCs w:val="24"/>
        </w:rPr>
      </w:pPr>
      <w:r w:rsidRPr="003E40AC">
        <w:rPr>
          <w:rFonts w:ascii="Times New Roman" w:hAnsi="Times New Roman" w:cs="Times New Roman"/>
          <w:sz w:val="24"/>
          <w:szCs w:val="24"/>
        </w:rPr>
        <w:lastRenderedPageBreak/>
        <w:t>Quanto ao desempenho acionário, n</w:t>
      </w:r>
      <w:r w:rsidR="00A05127" w:rsidRPr="003E40AC">
        <w:rPr>
          <w:rFonts w:ascii="Times New Roman" w:hAnsi="Times New Roman" w:cs="Times New Roman"/>
          <w:sz w:val="24"/>
          <w:szCs w:val="24"/>
        </w:rPr>
        <w:t>a Tabela</w:t>
      </w:r>
      <w:r w:rsidRPr="003E40AC">
        <w:rPr>
          <w:rFonts w:ascii="Times New Roman" w:hAnsi="Times New Roman" w:cs="Times New Roman"/>
          <w:sz w:val="24"/>
          <w:szCs w:val="24"/>
        </w:rPr>
        <w:t xml:space="preserve"> 8</w:t>
      </w:r>
      <w:r w:rsidR="00DF03C5" w:rsidRPr="00933491">
        <w:rPr>
          <w:rFonts w:ascii="Times New Roman" w:hAnsi="Times New Roman" w:cs="Times New Roman"/>
          <w:sz w:val="24"/>
          <w:szCs w:val="24"/>
        </w:rPr>
        <w:t>, evidencia</w:t>
      </w:r>
      <w:r w:rsidR="00B06F36" w:rsidRPr="00933491">
        <w:rPr>
          <w:rFonts w:ascii="Times New Roman" w:hAnsi="Times New Roman" w:cs="Times New Roman"/>
          <w:sz w:val="24"/>
          <w:szCs w:val="24"/>
        </w:rPr>
        <w:t>m</w:t>
      </w:r>
      <w:r w:rsidR="00DF03C5" w:rsidRPr="00933491">
        <w:rPr>
          <w:rFonts w:ascii="Times New Roman" w:hAnsi="Times New Roman" w:cs="Times New Roman"/>
          <w:sz w:val="24"/>
          <w:szCs w:val="24"/>
        </w:rPr>
        <w:t xml:space="preserve">-se as médias </w:t>
      </w:r>
      <w:r w:rsidR="000B604D" w:rsidRPr="00933491">
        <w:rPr>
          <w:rFonts w:ascii="Times New Roman" w:hAnsi="Times New Roman" w:cs="Times New Roman"/>
          <w:sz w:val="24"/>
          <w:szCs w:val="24"/>
        </w:rPr>
        <w:t>dos retornos das ações</w:t>
      </w:r>
      <w:r w:rsidR="00D739EC" w:rsidRPr="00933491">
        <w:rPr>
          <w:rFonts w:ascii="Times New Roman" w:hAnsi="Times New Roman" w:cs="Times New Roman"/>
          <w:sz w:val="24"/>
          <w:szCs w:val="24"/>
        </w:rPr>
        <w:t xml:space="preserve"> das empresas que realizaram e</w:t>
      </w:r>
      <w:r w:rsidR="00DF03C5" w:rsidRPr="00933491">
        <w:rPr>
          <w:rFonts w:ascii="Times New Roman" w:hAnsi="Times New Roman" w:cs="Times New Roman"/>
          <w:sz w:val="24"/>
          <w:szCs w:val="24"/>
        </w:rPr>
        <w:t xml:space="preserve"> não</w:t>
      </w:r>
      <w:r w:rsidR="00D739EC" w:rsidRPr="00933491">
        <w:rPr>
          <w:rFonts w:ascii="Times New Roman" w:hAnsi="Times New Roman" w:cs="Times New Roman"/>
          <w:sz w:val="24"/>
          <w:szCs w:val="24"/>
        </w:rPr>
        <w:t xml:space="preserve"> realizaram</w:t>
      </w:r>
      <w:r w:rsidR="00DF03C5" w:rsidRPr="00933491">
        <w:rPr>
          <w:rFonts w:ascii="Times New Roman" w:hAnsi="Times New Roman" w:cs="Times New Roman"/>
          <w:sz w:val="24"/>
          <w:szCs w:val="24"/>
        </w:rPr>
        <w:t xml:space="preserve"> SEO. O desempenho acionário foi mesurado na forma logarítmica</w:t>
      </w:r>
      <w:r w:rsidR="00B84B33" w:rsidRPr="00933491">
        <w:rPr>
          <w:rFonts w:ascii="Times New Roman" w:hAnsi="Times New Roman" w:cs="Times New Roman"/>
          <w:sz w:val="24"/>
          <w:szCs w:val="24"/>
        </w:rPr>
        <w:t>,</w:t>
      </w:r>
      <w:r w:rsidR="00DF03C5" w:rsidRPr="00933491">
        <w:rPr>
          <w:rFonts w:ascii="Times New Roman" w:hAnsi="Times New Roman" w:cs="Times New Roman"/>
          <w:sz w:val="24"/>
          <w:szCs w:val="24"/>
        </w:rPr>
        <w:t xml:space="preserve"> a partir das cotações </w:t>
      </w:r>
      <w:r w:rsidR="00550B6A" w:rsidRPr="00933491">
        <w:rPr>
          <w:rFonts w:ascii="Times New Roman" w:hAnsi="Times New Roman" w:cs="Times New Roman"/>
          <w:sz w:val="24"/>
          <w:szCs w:val="24"/>
        </w:rPr>
        <w:t xml:space="preserve">trimestrais </w:t>
      </w:r>
      <w:r w:rsidR="00DF03C5" w:rsidRPr="00933491">
        <w:rPr>
          <w:rFonts w:ascii="Times New Roman" w:hAnsi="Times New Roman" w:cs="Times New Roman"/>
          <w:sz w:val="24"/>
          <w:szCs w:val="24"/>
        </w:rPr>
        <w:t xml:space="preserve">ajustadas aos dividendos. </w:t>
      </w:r>
      <w:r w:rsidR="00225599" w:rsidRPr="00933491">
        <w:rPr>
          <w:rFonts w:ascii="Times New Roman" w:hAnsi="Times New Roman" w:cs="Times New Roman"/>
          <w:sz w:val="24"/>
          <w:szCs w:val="24"/>
        </w:rPr>
        <w:t xml:space="preserve">Percebe-se uma tendência decrescente </w:t>
      </w:r>
      <w:r w:rsidR="00061AB5" w:rsidRPr="00933491">
        <w:rPr>
          <w:rFonts w:ascii="Times New Roman" w:hAnsi="Times New Roman" w:cs="Times New Roman"/>
          <w:sz w:val="24"/>
          <w:szCs w:val="24"/>
        </w:rPr>
        <w:t>n</w:t>
      </w:r>
      <w:r w:rsidR="00225599" w:rsidRPr="00933491">
        <w:rPr>
          <w:rFonts w:ascii="Times New Roman" w:hAnsi="Times New Roman" w:cs="Times New Roman"/>
          <w:sz w:val="24"/>
          <w:szCs w:val="24"/>
        </w:rPr>
        <w:t>o desempenho acionário</w:t>
      </w:r>
      <w:r w:rsidR="00022255" w:rsidRPr="00933491">
        <w:rPr>
          <w:rFonts w:ascii="Times New Roman" w:hAnsi="Times New Roman" w:cs="Times New Roman"/>
          <w:sz w:val="24"/>
          <w:szCs w:val="24"/>
        </w:rPr>
        <w:t xml:space="preserve"> para as empresas emissoras</w:t>
      </w:r>
      <w:r w:rsidR="006C0577" w:rsidRPr="00933491">
        <w:rPr>
          <w:rFonts w:ascii="Times New Roman" w:hAnsi="Times New Roman" w:cs="Times New Roman"/>
          <w:sz w:val="24"/>
          <w:szCs w:val="24"/>
        </w:rPr>
        <w:t xml:space="preserve"> e</w:t>
      </w:r>
      <w:r w:rsidR="003C23DB" w:rsidRPr="00933491">
        <w:rPr>
          <w:rFonts w:ascii="Times New Roman" w:hAnsi="Times New Roman" w:cs="Times New Roman"/>
          <w:sz w:val="24"/>
          <w:szCs w:val="24"/>
        </w:rPr>
        <w:t xml:space="preserve"> </w:t>
      </w:r>
      <w:r w:rsidR="00022255" w:rsidRPr="00933491">
        <w:rPr>
          <w:rFonts w:ascii="Times New Roman" w:hAnsi="Times New Roman" w:cs="Times New Roman"/>
          <w:sz w:val="24"/>
          <w:szCs w:val="24"/>
        </w:rPr>
        <w:t xml:space="preserve">não emissoras. </w:t>
      </w:r>
      <w:r w:rsidR="006473EE" w:rsidRPr="00933491">
        <w:rPr>
          <w:rFonts w:ascii="Times New Roman" w:hAnsi="Times New Roman" w:cs="Times New Roman"/>
          <w:sz w:val="24"/>
          <w:szCs w:val="24"/>
        </w:rPr>
        <w:t xml:space="preserve">Para as emissoras, a média cai de </w:t>
      </w:r>
      <w:r w:rsidR="000937B8" w:rsidRPr="00933491">
        <w:rPr>
          <w:rFonts w:ascii="Times New Roman" w:hAnsi="Times New Roman" w:cs="Times New Roman"/>
          <w:sz w:val="24"/>
          <w:szCs w:val="24"/>
        </w:rPr>
        <w:t>8,03</w:t>
      </w:r>
      <w:r w:rsidR="009E1FC5" w:rsidRPr="00933491">
        <w:rPr>
          <w:rFonts w:ascii="Times New Roman" w:hAnsi="Times New Roman" w:cs="Times New Roman"/>
          <w:sz w:val="24"/>
          <w:szCs w:val="24"/>
        </w:rPr>
        <w:t>%</w:t>
      </w:r>
      <w:r w:rsidR="000937B8" w:rsidRPr="00933491">
        <w:rPr>
          <w:rFonts w:ascii="Times New Roman" w:hAnsi="Times New Roman" w:cs="Times New Roman"/>
          <w:sz w:val="24"/>
          <w:szCs w:val="24"/>
        </w:rPr>
        <w:t xml:space="preserve"> </w:t>
      </w:r>
      <w:r w:rsidR="00820E8B" w:rsidRPr="00933491">
        <w:rPr>
          <w:rFonts w:ascii="Times New Roman" w:hAnsi="Times New Roman" w:cs="Times New Roman"/>
          <w:sz w:val="24"/>
          <w:szCs w:val="24"/>
        </w:rPr>
        <w:t>a.t.</w:t>
      </w:r>
      <w:r w:rsidR="009E1FC5" w:rsidRPr="00933491">
        <w:rPr>
          <w:rFonts w:ascii="Times New Roman" w:hAnsi="Times New Roman" w:cs="Times New Roman"/>
          <w:sz w:val="24"/>
          <w:szCs w:val="24"/>
        </w:rPr>
        <w:t>, referente ao quarto ano anterior à emissão</w:t>
      </w:r>
      <w:r w:rsidR="00061AB5" w:rsidRPr="00933491">
        <w:rPr>
          <w:rFonts w:ascii="Times New Roman" w:hAnsi="Times New Roman" w:cs="Times New Roman"/>
          <w:sz w:val="24"/>
          <w:szCs w:val="24"/>
        </w:rPr>
        <w:t>,</w:t>
      </w:r>
      <w:r w:rsidR="009E1FC5" w:rsidRPr="00933491">
        <w:rPr>
          <w:rFonts w:ascii="Times New Roman" w:hAnsi="Times New Roman" w:cs="Times New Roman"/>
          <w:sz w:val="24"/>
          <w:szCs w:val="24"/>
        </w:rPr>
        <w:t xml:space="preserve"> para </w:t>
      </w:r>
      <w:r w:rsidR="00820E8B" w:rsidRPr="00933491">
        <w:rPr>
          <w:rFonts w:ascii="Times New Roman" w:hAnsi="Times New Roman" w:cs="Times New Roman"/>
          <w:sz w:val="24"/>
          <w:szCs w:val="24"/>
        </w:rPr>
        <w:t>-</w:t>
      </w:r>
      <w:r w:rsidR="000937B8" w:rsidRPr="00933491">
        <w:rPr>
          <w:rFonts w:ascii="Times New Roman" w:hAnsi="Times New Roman" w:cs="Times New Roman"/>
          <w:sz w:val="24"/>
          <w:szCs w:val="24"/>
        </w:rPr>
        <w:t>2,97</w:t>
      </w:r>
      <w:r w:rsidR="00820E8B" w:rsidRPr="00933491">
        <w:rPr>
          <w:rFonts w:ascii="Times New Roman" w:hAnsi="Times New Roman" w:cs="Times New Roman"/>
          <w:sz w:val="24"/>
          <w:szCs w:val="24"/>
        </w:rPr>
        <w:t>%</w:t>
      </w:r>
      <w:r w:rsidR="000937B8" w:rsidRPr="00933491">
        <w:rPr>
          <w:rFonts w:ascii="Times New Roman" w:hAnsi="Times New Roman" w:cs="Times New Roman"/>
          <w:sz w:val="24"/>
          <w:szCs w:val="24"/>
        </w:rPr>
        <w:t xml:space="preserve"> </w:t>
      </w:r>
      <w:r w:rsidR="00820E8B" w:rsidRPr="00933491">
        <w:rPr>
          <w:rFonts w:ascii="Times New Roman" w:hAnsi="Times New Roman" w:cs="Times New Roman"/>
          <w:sz w:val="24"/>
          <w:szCs w:val="24"/>
        </w:rPr>
        <w:t>a.t.</w:t>
      </w:r>
      <w:r w:rsidR="00C22CFC" w:rsidRPr="00933491">
        <w:rPr>
          <w:rFonts w:ascii="Times New Roman" w:hAnsi="Times New Roman" w:cs="Times New Roman"/>
          <w:sz w:val="24"/>
          <w:szCs w:val="24"/>
        </w:rPr>
        <w:t xml:space="preserve"> </w:t>
      </w:r>
      <w:r w:rsidR="00C01835" w:rsidRPr="00933491">
        <w:rPr>
          <w:rFonts w:ascii="Times New Roman" w:hAnsi="Times New Roman" w:cs="Times New Roman"/>
          <w:sz w:val="24"/>
          <w:szCs w:val="24"/>
        </w:rPr>
        <w:t>no quarto ano após a emiss</w:t>
      </w:r>
      <w:r w:rsidR="00B975CB" w:rsidRPr="00933491">
        <w:rPr>
          <w:rFonts w:ascii="Times New Roman" w:hAnsi="Times New Roman" w:cs="Times New Roman"/>
          <w:sz w:val="24"/>
          <w:szCs w:val="24"/>
        </w:rPr>
        <w:t xml:space="preserve">ão. </w:t>
      </w:r>
      <w:r w:rsidR="00B50A02" w:rsidRPr="00933491">
        <w:rPr>
          <w:rFonts w:ascii="Times New Roman" w:hAnsi="Times New Roman" w:cs="Times New Roman"/>
          <w:sz w:val="24"/>
          <w:szCs w:val="24"/>
        </w:rPr>
        <w:t>Q</w:t>
      </w:r>
      <w:r w:rsidR="00573943" w:rsidRPr="00933491">
        <w:rPr>
          <w:rFonts w:ascii="Times New Roman" w:hAnsi="Times New Roman" w:cs="Times New Roman"/>
          <w:sz w:val="24"/>
          <w:szCs w:val="24"/>
        </w:rPr>
        <w:t xml:space="preserve">uando se analisa as empresas não emissoras, percebe-se </w:t>
      </w:r>
      <w:r w:rsidR="002A047F" w:rsidRPr="00933491">
        <w:rPr>
          <w:rFonts w:ascii="Times New Roman" w:hAnsi="Times New Roman" w:cs="Times New Roman"/>
          <w:sz w:val="24"/>
          <w:szCs w:val="24"/>
        </w:rPr>
        <w:t xml:space="preserve">que, no período que antecede e sucede em </w:t>
      </w:r>
      <w:r w:rsidR="002460A8" w:rsidRPr="00933491">
        <w:rPr>
          <w:rFonts w:ascii="Times New Roman" w:hAnsi="Times New Roman" w:cs="Times New Roman"/>
          <w:sz w:val="24"/>
          <w:szCs w:val="24"/>
        </w:rPr>
        <w:t>quatro anos</w:t>
      </w:r>
      <w:r w:rsidR="002A047F" w:rsidRPr="00933491">
        <w:rPr>
          <w:rFonts w:ascii="Times New Roman" w:hAnsi="Times New Roman" w:cs="Times New Roman"/>
          <w:sz w:val="24"/>
          <w:szCs w:val="24"/>
        </w:rPr>
        <w:t xml:space="preserve"> a SEO, o desempenho acionário das empresas</w:t>
      </w:r>
      <w:r w:rsidR="00D1281B" w:rsidRPr="00933491">
        <w:rPr>
          <w:rFonts w:ascii="Times New Roman" w:hAnsi="Times New Roman" w:cs="Times New Roman"/>
          <w:sz w:val="24"/>
          <w:szCs w:val="24"/>
        </w:rPr>
        <w:t xml:space="preserve"> </w:t>
      </w:r>
      <w:r w:rsidR="000937B8" w:rsidRPr="00933491">
        <w:rPr>
          <w:rFonts w:ascii="Times New Roman" w:hAnsi="Times New Roman" w:cs="Times New Roman"/>
          <w:sz w:val="24"/>
          <w:szCs w:val="24"/>
        </w:rPr>
        <w:t>diminui</w:t>
      </w:r>
      <w:r w:rsidR="00CC7A59" w:rsidRPr="00933491">
        <w:rPr>
          <w:rFonts w:ascii="Times New Roman" w:hAnsi="Times New Roman" w:cs="Times New Roman"/>
          <w:sz w:val="24"/>
          <w:szCs w:val="24"/>
        </w:rPr>
        <w:t xml:space="preserve"> </w:t>
      </w:r>
      <w:r w:rsidR="00D1281B" w:rsidRPr="00933491">
        <w:rPr>
          <w:rFonts w:ascii="Times New Roman" w:hAnsi="Times New Roman" w:cs="Times New Roman"/>
          <w:sz w:val="24"/>
          <w:szCs w:val="24"/>
        </w:rPr>
        <w:t xml:space="preserve">de </w:t>
      </w:r>
      <w:r w:rsidR="00CC7A59" w:rsidRPr="00933491">
        <w:rPr>
          <w:rFonts w:ascii="Times New Roman" w:hAnsi="Times New Roman" w:cs="Times New Roman"/>
          <w:sz w:val="24"/>
          <w:szCs w:val="24"/>
        </w:rPr>
        <w:t>3,</w:t>
      </w:r>
      <w:r w:rsidR="000937B8" w:rsidRPr="00933491">
        <w:rPr>
          <w:rFonts w:ascii="Times New Roman" w:hAnsi="Times New Roman" w:cs="Times New Roman"/>
          <w:sz w:val="24"/>
          <w:szCs w:val="24"/>
        </w:rPr>
        <w:t>50</w:t>
      </w:r>
      <w:r w:rsidR="00CC7A59" w:rsidRPr="00933491">
        <w:rPr>
          <w:rFonts w:ascii="Times New Roman" w:hAnsi="Times New Roman" w:cs="Times New Roman"/>
          <w:sz w:val="24"/>
          <w:szCs w:val="24"/>
        </w:rPr>
        <w:t>%</w:t>
      </w:r>
      <w:r w:rsidR="000937B8" w:rsidRPr="00933491">
        <w:rPr>
          <w:rFonts w:ascii="Times New Roman" w:hAnsi="Times New Roman" w:cs="Times New Roman"/>
          <w:sz w:val="24"/>
          <w:szCs w:val="24"/>
        </w:rPr>
        <w:t xml:space="preserve"> </w:t>
      </w:r>
      <w:r w:rsidR="00CC7A59" w:rsidRPr="00933491">
        <w:rPr>
          <w:rFonts w:ascii="Times New Roman" w:hAnsi="Times New Roman" w:cs="Times New Roman"/>
          <w:sz w:val="24"/>
          <w:szCs w:val="24"/>
        </w:rPr>
        <w:t>a.t.</w:t>
      </w:r>
      <w:r w:rsidR="00D1281B" w:rsidRPr="00933491">
        <w:rPr>
          <w:rFonts w:ascii="Times New Roman" w:hAnsi="Times New Roman" w:cs="Times New Roman"/>
          <w:sz w:val="24"/>
          <w:szCs w:val="24"/>
        </w:rPr>
        <w:t xml:space="preserve"> para </w:t>
      </w:r>
      <w:r w:rsidR="000937B8" w:rsidRPr="00933491">
        <w:rPr>
          <w:rFonts w:ascii="Times New Roman" w:hAnsi="Times New Roman" w:cs="Times New Roman"/>
          <w:sz w:val="24"/>
          <w:szCs w:val="24"/>
        </w:rPr>
        <w:t>-1,34</w:t>
      </w:r>
      <w:r w:rsidR="00CC7A59" w:rsidRPr="00933491">
        <w:rPr>
          <w:rFonts w:ascii="Times New Roman" w:hAnsi="Times New Roman" w:cs="Times New Roman"/>
          <w:sz w:val="24"/>
          <w:szCs w:val="24"/>
        </w:rPr>
        <w:t>%</w:t>
      </w:r>
      <w:r w:rsidR="000937B8" w:rsidRPr="00933491">
        <w:rPr>
          <w:rFonts w:ascii="Times New Roman" w:hAnsi="Times New Roman" w:cs="Times New Roman"/>
          <w:sz w:val="24"/>
          <w:szCs w:val="24"/>
        </w:rPr>
        <w:t xml:space="preserve"> </w:t>
      </w:r>
      <w:r w:rsidR="00CC7A59" w:rsidRPr="00933491">
        <w:rPr>
          <w:rFonts w:ascii="Times New Roman" w:hAnsi="Times New Roman" w:cs="Times New Roman"/>
          <w:sz w:val="24"/>
          <w:szCs w:val="24"/>
        </w:rPr>
        <w:t>a.t</w:t>
      </w:r>
      <w:r w:rsidR="00D1281B" w:rsidRPr="00933491">
        <w:rPr>
          <w:rFonts w:ascii="Times New Roman" w:hAnsi="Times New Roman" w:cs="Times New Roman"/>
          <w:sz w:val="24"/>
          <w:szCs w:val="24"/>
        </w:rPr>
        <w:t xml:space="preserve">. </w:t>
      </w:r>
      <w:r w:rsidRPr="00933491">
        <w:rPr>
          <w:rFonts w:ascii="Times New Roman" w:hAnsi="Times New Roman" w:cs="Times New Roman"/>
          <w:sz w:val="24"/>
          <w:szCs w:val="24"/>
        </w:rPr>
        <w:t>Observa-se</w:t>
      </w:r>
      <w:r w:rsidR="006C0577" w:rsidRPr="00933491">
        <w:rPr>
          <w:rFonts w:ascii="Times New Roman" w:hAnsi="Times New Roman" w:cs="Times New Roman"/>
          <w:sz w:val="24"/>
          <w:szCs w:val="24"/>
        </w:rPr>
        <w:t>, ainda,</w:t>
      </w:r>
      <w:r w:rsidRPr="00933491">
        <w:rPr>
          <w:rFonts w:ascii="Times New Roman" w:hAnsi="Times New Roman" w:cs="Times New Roman"/>
          <w:sz w:val="24"/>
          <w:szCs w:val="24"/>
        </w:rPr>
        <w:t xml:space="preserve"> </w:t>
      </w:r>
      <w:r w:rsidR="006C0577" w:rsidRPr="00933491">
        <w:rPr>
          <w:rFonts w:ascii="Times New Roman" w:hAnsi="Times New Roman" w:cs="Times New Roman"/>
          <w:sz w:val="24"/>
          <w:szCs w:val="24"/>
        </w:rPr>
        <w:t>uma</w:t>
      </w:r>
      <w:r w:rsidRPr="00933491">
        <w:rPr>
          <w:rFonts w:ascii="Times New Roman" w:hAnsi="Times New Roman" w:cs="Times New Roman"/>
          <w:sz w:val="24"/>
          <w:szCs w:val="24"/>
        </w:rPr>
        <w:t xml:space="preserve"> maior dispersão dos retornos para as empresas que realizaram SEO.</w:t>
      </w:r>
    </w:p>
    <w:p w14:paraId="2F5A4A6E" w14:textId="77777777" w:rsidR="005216EB" w:rsidRPr="00933491" w:rsidRDefault="005216EB" w:rsidP="0056798E">
      <w:pPr>
        <w:spacing w:after="0" w:line="240" w:lineRule="auto"/>
        <w:ind w:firstLine="567"/>
        <w:jc w:val="both"/>
        <w:rPr>
          <w:rFonts w:ascii="Times New Roman" w:hAnsi="Times New Roman" w:cs="Times New Roman"/>
          <w:sz w:val="24"/>
          <w:szCs w:val="24"/>
        </w:rPr>
      </w:pPr>
    </w:p>
    <w:p w14:paraId="3884769D" w14:textId="1FF1AF32" w:rsidR="00C06B33" w:rsidRPr="004C7DD9" w:rsidRDefault="00386E07" w:rsidP="004C7DD9">
      <w:pPr>
        <w:spacing w:after="0" w:line="240" w:lineRule="auto"/>
        <w:jc w:val="center"/>
        <w:rPr>
          <w:rFonts w:ascii="Times New Roman" w:hAnsi="Times New Roman" w:cs="Times New Roman"/>
          <w:b/>
          <w:sz w:val="20"/>
          <w:szCs w:val="20"/>
        </w:rPr>
      </w:pPr>
      <w:r w:rsidRPr="004C7DD9">
        <w:rPr>
          <w:rFonts w:ascii="Times New Roman" w:hAnsi="Times New Roman" w:cs="Times New Roman"/>
          <w:b/>
          <w:sz w:val="20"/>
          <w:szCs w:val="20"/>
        </w:rPr>
        <w:t xml:space="preserve">Tabela </w:t>
      </w:r>
      <w:r w:rsidR="00052B3B" w:rsidRPr="004C7DD9">
        <w:rPr>
          <w:rFonts w:ascii="Times New Roman" w:hAnsi="Times New Roman" w:cs="Times New Roman"/>
          <w:b/>
          <w:sz w:val="20"/>
          <w:szCs w:val="20"/>
        </w:rPr>
        <w:t>8</w:t>
      </w:r>
      <w:r w:rsidR="004C7DD9" w:rsidRPr="004C7DD9">
        <w:rPr>
          <w:rFonts w:ascii="Times New Roman" w:hAnsi="Times New Roman" w:cs="Times New Roman"/>
          <w:b/>
          <w:sz w:val="20"/>
          <w:szCs w:val="20"/>
        </w:rPr>
        <w:t xml:space="preserve"> - </w:t>
      </w:r>
      <w:r w:rsidR="00C06B33" w:rsidRPr="004C7DD9">
        <w:rPr>
          <w:rFonts w:ascii="Times New Roman" w:hAnsi="Times New Roman" w:cs="Times New Roman"/>
          <w:b/>
          <w:sz w:val="20"/>
          <w:szCs w:val="20"/>
        </w:rPr>
        <w:t>Retorno acionário das empresas emissoras e não emissoras</w:t>
      </w:r>
    </w:p>
    <w:tbl>
      <w:tblPr>
        <w:tblW w:w="5226" w:type="dxa"/>
        <w:jc w:val="center"/>
        <w:tblCellMar>
          <w:left w:w="70" w:type="dxa"/>
          <w:right w:w="70" w:type="dxa"/>
        </w:tblCellMar>
        <w:tblLook w:val="04A0" w:firstRow="1" w:lastRow="0" w:firstColumn="1" w:lastColumn="0" w:noHBand="0" w:noVBand="1"/>
      </w:tblPr>
      <w:tblGrid>
        <w:gridCol w:w="1720"/>
        <w:gridCol w:w="1757"/>
        <w:gridCol w:w="1749"/>
      </w:tblGrid>
      <w:tr w:rsidR="003206C6" w:rsidRPr="00933491" w14:paraId="04149998" w14:textId="77777777" w:rsidTr="004C7DD9">
        <w:trPr>
          <w:trHeight w:val="264"/>
          <w:jc w:val="center"/>
        </w:trPr>
        <w:tc>
          <w:tcPr>
            <w:tcW w:w="1720" w:type="dxa"/>
            <w:tcBorders>
              <w:top w:val="single" w:sz="4" w:space="0" w:color="auto"/>
              <w:left w:val="nil"/>
              <w:bottom w:val="single" w:sz="4" w:space="0" w:color="auto"/>
              <w:right w:val="nil"/>
            </w:tcBorders>
            <w:shd w:val="clear" w:color="auto" w:fill="auto"/>
            <w:noWrap/>
            <w:vAlign w:val="bottom"/>
            <w:hideMark/>
          </w:tcPr>
          <w:p w14:paraId="4CC73462" w14:textId="15DAD713" w:rsidR="003206C6" w:rsidRPr="00933491" w:rsidRDefault="003206C6" w:rsidP="004C7DD9">
            <w:pPr>
              <w:spacing w:after="0" w:line="240" w:lineRule="auto"/>
              <w:jc w:val="center"/>
              <w:rPr>
                <w:rFonts w:ascii="Times New Roman" w:eastAsia="Times New Roman" w:hAnsi="Times New Roman" w:cs="Times New Roman"/>
                <w:b/>
                <w:bCs/>
                <w:sz w:val="20"/>
                <w:szCs w:val="20"/>
                <w:lang w:eastAsia="pt-BR"/>
              </w:rPr>
            </w:pPr>
            <w:r w:rsidRPr="00933491">
              <w:rPr>
                <w:rFonts w:ascii="Times New Roman" w:eastAsia="Times New Roman" w:hAnsi="Times New Roman" w:cs="Times New Roman"/>
                <w:b/>
                <w:bCs/>
                <w:sz w:val="20"/>
                <w:szCs w:val="20"/>
                <w:lang w:eastAsia="pt-BR"/>
              </w:rPr>
              <w:t>Ano fiscal</w:t>
            </w:r>
          </w:p>
        </w:tc>
        <w:tc>
          <w:tcPr>
            <w:tcW w:w="1757" w:type="dxa"/>
            <w:tcBorders>
              <w:top w:val="single" w:sz="4" w:space="0" w:color="auto"/>
              <w:left w:val="nil"/>
              <w:bottom w:val="single" w:sz="4" w:space="0" w:color="auto"/>
              <w:right w:val="nil"/>
            </w:tcBorders>
            <w:shd w:val="clear" w:color="auto" w:fill="auto"/>
            <w:noWrap/>
            <w:vAlign w:val="bottom"/>
            <w:hideMark/>
          </w:tcPr>
          <w:p w14:paraId="11317B28" w14:textId="77777777" w:rsidR="003206C6" w:rsidRPr="00933491" w:rsidRDefault="003206C6" w:rsidP="004C7DD9">
            <w:pPr>
              <w:spacing w:after="0" w:line="240" w:lineRule="auto"/>
              <w:ind w:leftChars="-12" w:hangingChars="13" w:hanging="26"/>
              <w:jc w:val="center"/>
              <w:rPr>
                <w:rFonts w:ascii="Times New Roman" w:eastAsia="Times New Roman" w:hAnsi="Times New Roman" w:cs="Times New Roman"/>
                <w:b/>
                <w:bCs/>
                <w:sz w:val="20"/>
                <w:szCs w:val="20"/>
                <w:lang w:eastAsia="pt-BR"/>
              </w:rPr>
            </w:pPr>
            <w:r w:rsidRPr="00933491">
              <w:rPr>
                <w:rFonts w:ascii="Times New Roman" w:eastAsia="Times New Roman" w:hAnsi="Times New Roman" w:cs="Times New Roman"/>
                <w:b/>
                <w:bCs/>
                <w:sz w:val="20"/>
                <w:szCs w:val="20"/>
                <w:lang w:eastAsia="pt-BR"/>
              </w:rPr>
              <w:t>Emissoras</w:t>
            </w:r>
          </w:p>
        </w:tc>
        <w:tc>
          <w:tcPr>
            <w:tcW w:w="1749" w:type="dxa"/>
            <w:tcBorders>
              <w:top w:val="single" w:sz="4" w:space="0" w:color="auto"/>
              <w:left w:val="nil"/>
              <w:bottom w:val="single" w:sz="4" w:space="0" w:color="auto"/>
              <w:right w:val="nil"/>
            </w:tcBorders>
            <w:shd w:val="clear" w:color="auto" w:fill="auto"/>
            <w:noWrap/>
            <w:vAlign w:val="bottom"/>
            <w:hideMark/>
          </w:tcPr>
          <w:p w14:paraId="324E620F" w14:textId="77777777" w:rsidR="003206C6" w:rsidRPr="00933491" w:rsidRDefault="003206C6" w:rsidP="004C7DD9">
            <w:pPr>
              <w:spacing w:after="0" w:line="240" w:lineRule="auto"/>
              <w:jc w:val="center"/>
              <w:rPr>
                <w:rFonts w:ascii="Times New Roman" w:eastAsia="Times New Roman" w:hAnsi="Times New Roman" w:cs="Times New Roman"/>
                <w:b/>
                <w:bCs/>
                <w:sz w:val="20"/>
                <w:szCs w:val="20"/>
                <w:lang w:eastAsia="pt-BR"/>
              </w:rPr>
            </w:pPr>
            <w:r w:rsidRPr="00933491">
              <w:rPr>
                <w:rFonts w:ascii="Times New Roman" w:eastAsia="Times New Roman" w:hAnsi="Times New Roman" w:cs="Times New Roman"/>
                <w:b/>
                <w:bCs/>
                <w:sz w:val="20"/>
                <w:szCs w:val="20"/>
                <w:lang w:eastAsia="pt-BR"/>
              </w:rPr>
              <w:t>Não Emissoras</w:t>
            </w:r>
          </w:p>
        </w:tc>
      </w:tr>
      <w:tr w:rsidR="000937B8" w:rsidRPr="00933491" w14:paraId="661CE48B" w14:textId="77777777" w:rsidTr="004C7DD9">
        <w:trPr>
          <w:trHeight w:val="264"/>
          <w:jc w:val="center"/>
        </w:trPr>
        <w:tc>
          <w:tcPr>
            <w:tcW w:w="1720" w:type="dxa"/>
            <w:tcBorders>
              <w:top w:val="nil"/>
              <w:left w:val="nil"/>
              <w:bottom w:val="nil"/>
              <w:right w:val="nil"/>
            </w:tcBorders>
            <w:shd w:val="clear" w:color="auto" w:fill="auto"/>
            <w:noWrap/>
            <w:vAlign w:val="bottom"/>
            <w:hideMark/>
          </w:tcPr>
          <w:p w14:paraId="2554FBEA" w14:textId="77777777" w:rsidR="000937B8" w:rsidRPr="00CC11DC" w:rsidRDefault="000937B8" w:rsidP="004C7DD9">
            <w:pPr>
              <w:spacing w:after="0" w:line="240" w:lineRule="auto"/>
              <w:jc w:val="center"/>
              <w:rPr>
                <w:rFonts w:ascii="Times New Roman" w:eastAsia="Times New Roman" w:hAnsi="Times New Roman" w:cs="Times New Roman"/>
                <w:bCs/>
                <w:sz w:val="20"/>
                <w:szCs w:val="20"/>
                <w:lang w:eastAsia="pt-BR"/>
              </w:rPr>
            </w:pPr>
            <w:r w:rsidRPr="00CC11DC">
              <w:rPr>
                <w:rFonts w:ascii="Times New Roman" w:eastAsia="Times New Roman" w:hAnsi="Times New Roman" w:cs="Times New Roman"/>
                <w:bCs/>
                <w:sz w:val="20"/>
                <w:szCs w:val="20"/>
                <w:lang w:eastAsia="pt-BR"/>
              </w:rPr>
              <w:t>-4</w:t>
            </w:r>
          </w:p>
        </w:tc>
        <w:tc>
          <w:tcPr>
            <w:tcW w:w="1757" w:type="dxa"/>
            <w:tcBorders>
              <w:top w:val="nil"/>
              <w:left w:val="nil"/>
              <w:bottom w:val="nil"/>
              <w:right w:val="nil"/>
            </w:tcBorders>
            <w:shd w:val="clear" w:color="auto" w:fill="auto"/>
            <w:noWrap/>
            <w:vAlign w:val="bottom"/>
          </w:tcPr>
          <w:p w14:paraId="4851137A" w14:textId="0BA08F72" w:rsidR="000937B8" w:rsidRPr="003E40AC" w:rsidRDefault="000937B8" w:rsidP="004C7DD9">
            <w:pPr>
              <w:spacing w:after="0" w:line="240" w:lineRule="auto"/>
              <w:jc w:val="center"/>
              <w:rPr>
                <w:rFonts w:ascii="Times New Roman" w:eastAsia="Times New Roman" w:hAnsi="Times New Roman" w:cs="Times New Roman"/>
                <w:sz w:val="20"/>
                <w:szCs w:val="20"/>
                <w:lang w:eastAsia="pt-BR"/>
              </w:rPr>
            </w:pPr>
            <w:r w:rsidRPr="003E40AC">
              <w:rPr>
                <w:rFonts w:ascii="Times New Roman" w:eastAsia="Times New Roman" w:hAnsi="Times New Roman" w:cs="Times New Roman"/>
                <w:sz w:val="20"/>
                <w:szCs w:val="20"/>
                <w:lang w:eastAsia="pt-BR"/>
              </w:rPr>
              <w:t>8,03%</w:t>
            </w:r>
          </w:p>
        </w:tc>
        <w:tc>
          <w:tcPr>
            <w:tcW w:w="1749" w:type="dxa"/>
            <w:tcBorders>
              <w:top w:val="nil"/>
              <w:left w:val="nil"/>
              <w:bottom w:val="nil"/>
              <w:right w:val="nil"/>
            </w:tcBorders>
            <w:shd w:val="clear" w:color="auto" w:fill="auto"/>
            <w:noWrap/>
            <w:vAlign w:val="bottom"/>
          </w:tcPr>
          <w:p w14:paraId="6965167F" w14:textId="3AC73D59" w:rsidR="000937B8" w:rsidRPr="003E40AC" w:rsidRDefault="000937B8" w:rsidP="004C7DD9">
            <w:pPr>
              <w:spacing w:after="0" w:line="240" w:lineRule="auto"/>
              <w:jc w:val="center"/>
              <w:rPr>
                <w:rFonts w:ascii="Times New Roman" w:eastAsia="Times New Roman" w:hAnsi="Times New Roman" w:cs="Times New Roman"/>
                <w:sz w:val="20"/>
                <w:szCs w:val="20"/>
                <w:lang w:eastAsia="pt-BR"/>
              </w:rPr>
            </w:pPr>
            <w:r w:rsidRPr="003E40AC">
              <w:rPr>
                <w:rFonts w:ascii="Times New Roman" w:eastAsia="Times New Roman" w:hAnsi="Times New Roman" w:cs="Times New Roman"/>
                <w:sz w:val="20"/>
                <w:szCs w:val="20"/>
                <w:lang w:eastAsia="pt-BR"/>
              </w:rPr>
              <w:t>3,50%</w:t>
            </w:r>
          </w:p>
        </w:tc>
      </w:tr>
      <w:tr w:rsidR="000937B8" w:rsidRPr="00933491" w14:paraId="1C9DD10D" w14:textId="77777777" w:rsidTr="004C7DD9">
        <w:trPr>
          <w:trHeight w:val="264"/>
          <w:jc w:val="center"/>
        </w:trPr>
        <w:tc>
          <w:tcPr>
            <w:tcW w:w="1720" w:type="dxa"/>
            <w:tcBorders>
              <w:top w:val="nil"/>
              <w:left w:val="nil"/>
              <w:bottom w:val="nil"/>
              <w:right w:val="nil"/>
            </w:tcBorders>
            <w:shd w:val="clear" w:color="auto" w:fill="auto"/>
            <w:noWrap/>
            <w:vAlign w:val="bottom"/>
            <w:hideMark/>
          </w:tcPr>
          <w:p w14:paraId="7D78A39A" w14:textId="77777777" w:rsidR="000937B8" w:rsidRPr="00CC11DC" w:rsidRDefault="000937B8" w:rsidP="004C7DD9">
            <w:pPr>
              <w:spacing w:after="0" w:line="240" w:lineRule="auto"/>
              <w:jc w:val="center"/>
              <w:rPr>
                <w:rFonts w:ascii="Times New Roman" w:eastAsia="Times New Roman" w:hAnsi="Times New Roman" w:cs="Times New Roman"/>
                <w:bCs/>
                <w:sz w:val="20"/>
                <w:szCs w:val="20"/>
                <w:lang w:eastAsia="pt-BR"/>
              </w:rPr>
            </w:pPr>
            <w:r w:rsidRPr="00CC11DC">
              <w:rPr>
                <w:rFonts w:ascii="Times New Roman" w:eastAsia="Times New Roman" w:hAnsi="Times New Roman" w:cs="Times New Roman"/>
                <w:bCs/>
                <w:sz w:val="20"/>
                <w:szCs w:val="20"/>
                <w:lang w:eastAsia="pt-BR"/>
              </w:rPr>
              <w:t>-3</w:t>
            </w:r>
          </w:p>
        </w:tc>
        <w:tc>
          <w:tcPr>
            <w:tcW w:w="1757" w:type="dxa"/>
            <w:tcBorders>
              <w:top w:val="nil"/>
              <w:left w:val="nil"/>
              <w:bottom w:val="nil"/>
              <w:right w:val="nil"/>
            </w:tcBorders>
            <w:shd w:val="clear" w:color="auto" w:fill="auto"/>
            <w:noWrap/>
            <w:vAlign w:val="bottom"/>
          </w:tcPr>
          <w:p w14:paraId="1829357F" w14:textId="171ACB13" w:rsidR="000937B8" w:rsidRPr="003E40AC" w:rsidRDefault="000937B8" w:rsidP="004C7DD9">
            <w:pPr>
              <w:spacing w:after="0" w:line="240" w:lineRule="auto"/>
              <w:jc w:val="center"/>
              <w:rPr>
                <w:rFonts w:ascii="Times New Roman" w:eastAsia="Times New Roman" w:hAnsi="Times New Roman" w:cs="Times New Roman"/>
                <w:sz w:val="20"/>
                <w:szCs w:val="20"/>
                <w:lang w:eastAsia="pt-BR"/>
              </w:rPr>
            </w:pPr>
            <w:r w:rsidRPr="003E40AC">
              <w:rPr>
                <w:rFonts w:ascii="Times New Roman" w:eastAsia="Times New Roman" w:hAnsi="Times New Roman" w:cs="Times New Roman"/>
                <w:sz w:val="20"/>
                <w:szCs w:val="20"/>
                <w:lang w:eastAsia="pt-BR"/>
              </w:rPr>
              <w:t>-3,01%</w:t>
            </w:r>
          </w:p>
        </w:tc>
        <w:tc>
          <w:tcPr>
            <w:tcW w:w="1749" w:type="dxa"/>
            <w:tcBorders>
              <w:top w:val="nil"/>
              <w:left w:val="nil"/>
              <w:bottom w:val="nil"/>
              <w:right w:val="nil"/>
            </w:tcBorders>
            <w:shd w:val="clear" w:color="auto" w:fill="auto"/>
            <w:noWrap/>
            <w:vAlign w:val="bottom"/>
          </w:tcPr>
          <w:p w14:paraId="7FF607FF" w14:textId="212C45FF" w:rsidR="000937B8" w:rsidRPr="003E40AC" w:rsidRDefault="000937B8" w:rsidP="004C7DD9">
            <w:pPr>
              <w:spacing w:after="0" w:line="240" w:lineRule="auto"/>
              <w:jc w:val="center"/>
              <w:rPr>
                <w:rFonts w:ascii="Times New Roman" w:eastAsia="Times New Roman" w:hAnsi="Times New Roman" w:cs="Times New Roman"/>
                <w:sz w:val="20"/>
                <w:szCs w:val="20"/>
                <w:lang w:eastAsia="pt-BR"/>
              </w:rPr>
            </w:pPr>
            <w:r w:rsidRPr="003E40AC">
              <w:rPr>
                <w:rFonts w:ascii="Times New Roman" w:eastAsia="Times New Roman" w:hAnsi="Times New Roman" w:cs="Times New Roman"/>
                <w:sz w:val="20"/>
                <w:szCs w:val="20"/>
                <w:lang w:eastAsia="pt-BR"/>
              </w:rPr>
              <w:t>2,03%</w:t>
            </w:r>
          </w:p>
        </w:tc>
      </w:tr>
      <w:tr w:rsidR="000937B8" w:rsidRPr="00933491" w14:paraId="0CA63848" w14:textId="77777777" w:rsidTr="004C7DD9">
        <w:trPr>
          <w:trHeight w:val="264"/>
          <w:jc w:val="center"/>
        </w:trPr>
        <w:tc>
          <w:tcPr>
            <w:tcW w:w="1720" w:type="dxa"/>
            <w:tcBorders>
              <w:top w:val="nil"/>
              <w:left w:val="nil"/>
              <w:bottom w:val="nil"/>
              <w:right w:val="nil"/>
            </w:tcBorders>
            <w:shd w:val="clear" w:color="auto" w:fill="auto"/>
            <w:noWrap/>
            <w:vAlign w:val="bottom"/>
            <w:hideMark/>
          </w:tcPr>
          <w:p w14:paraId="6D69ACAC" w14:textId="77777777" w:rsidR="000937B8" w:rsidRPr="00CC11DC" w:rsidRDefault="000937B8" w:rsidP="004C7DD9">
            <w:pPr>
              <w:spacing w:after="0" w:line="240" w:lineRule="auto"/>
              <w:jc w:val="center"/>
              <w:rPr>
                <w:rFonts w:ascii="Times New Roman" w:eastAsia="Times New Roman" w:hAnsi="Times New Roman" w:cs="Times New Roman"/>
                <w:bCs/>
                <w:sz w:val="20"/>
                <w:szCs w:val="20"/>
                <w:lang w:eastAsia="pt-BR"/>
              </w:rPr>
            </w:pPr>
            <w:r w:rsidRPr="00CC11DC">
              <w:rPr>
                <w:rFonts w:ascii="Times New Roman" w:eastAsia="Times New Roman" w:hAnsi="Times New Roman" w:cs="Times New Roman"/>
                <w:bCs/>
                <w:sz w:val="20"/>
                <w:szCs w:val="20"/>
                <w:lang w:eastAsia="pt-BR"/>
              </w:rPr>
              <w:t>-2</w:t>
            </w:r>
          </w:p>
        </w:tc>
        <w:tc>
          <w:tcPr>
            <w:tcW w:w="1757" w:type="dxa"/>
            <w:tcBorders>
              <w:top w:val="nil"/>
              <w:left w:val="nil"/>
              <w:bottom w:val="nil"/>
              <w:right w:val="nil"/>
            </w:tcBorders>
            <w:shd w:val="clear" w:color="auto" w:fill="auto"/>
            <w:noWrap/>
            <w:vAlign w:val="bottom"/>
          </w:tcPr>
          <w:p w14:paraId="0A12313B" w14:textId="438EBBB9" w:rsidR="000937B8" w:rsidRPr="003E40AC" w:rsidRDefault="000937B8" w:rsidP="004C7DD9">
            <w:pPr>
              <w:spacing w:after="0" w:line="240" w:lineRule="auto"/>
              <w:jc w:val="center"/>
              <w:rPr>
                <w:rFonts w:ascii="Times New Roman" w:eastAsia="Times New Roman" w:hAnsi="Times New Roman" w:cs="Times New Roman"/>
                <w:sz w:val="20"/>
                <w:szCs w:val="20"/>
                <w:lang w:eastAsia="pt-BR"/>
              </w:rPr>
            </w:pPr>
            <w:r w:rsidRPr="003E40AC">
              <w:rPr>
                <w:rFonts w:ascii="Times New Roman" w:eastAsia="Times New Roman" w:hAnsi="Times New Roman" w:cs="Times New Roman"/>
                <w:sz w:val="20"/>
                <w:szCs w:val="20"/>
                <w:lang w:eastAsia="pt-BR"/>
              </w:rPr>
              <w:t>2,65%</w:t>
            </w:r>
          </w:p>
        </w:tc>
        <w:tc>
          <w:tcPr>
            <w:tcW w:w="1749" w:type="dxa"/>
            <w:tcBorders>
              <w:top w:val="nil"/>
              <w:left w:val="nil"/>
              <w:bottom w:val="nil"/>
              <w:right w:val="nil"/>
            </w:tcBorders>
            <w:shd w:val="clear" w:color="auto" w:fill="auto"/>
            <w:noWrap/>
            <w:vAlign w:val="bottom"/>
          </w:tcPr>
          <w:p w14:paraId="76F769E4" w14:textId="6BD83965" w:rsidR="000937B8" w:rsidRPr="003E40AC" w:rsidRDefault="000937B8" w:rsidP="004C7DD9">
            <w:pPr>
              <w:spacing w:after="0" w:line="240" w:lineRule="auto"/>
              <w:jc w:val="center"/>
              <w:rPr>
                <w:rFonts w:ascii="Times New Roman" w:eastAsia="Times New Roman" w:hAnsi="Times New Roman" w:cs="Times New Roman"/>
                <w:sz w:val="20"/>
                <w:szCs w:val="20"/>
                <w:lang w:eastAsia="pt-BR"/>
              </w:rPr>
            </w:pPr>
            <w:r w:rsidRPr="003E40AC">
              <w:rPr>
                <w:rFonts w:ascii="Times New Roman" w:eastAsia="Times New Roman" w:hAnsi="Times New Roman" w:cs="Times New Roman"/>
                <w:sz w:val="20"/>
                <w:szCs w:val="20"/>
                <w:lang w:eastAsia="pt-BR"/>
              </w:rPr>
              <w:t>6,08%</w:t>
            </w:r>
          </w:p>
        </w:tc>
      </w:tr>
      <w:tr w:rsidR="000937B8" w:rsidRPr="00933491" w14:paraId="74BCCDA9" w14:textId="77777777" w:rsidTr="004C7DD9">
        <w:trPr>
          <w:trHeight w:val="264"/>
          <w:jc w:val="center"/>
        </w:trPr>
        <w:tc>
          <w:tcPr>
            <w:tcW w:w="1720" w:type="dxa"/>
            <w:tcBorders>
              <w:top w:val="nil"/>
              <w:left w:val="nil"/>
              <w:bottom w:val="nil"/>
              <w:right w:val="nil"/>
            </w:tcBorders>
            <w:shd w:val="clear" w:color="auto" w:fill="auto"/>
            <w:noWrap/>
            <w:vAlign w:val="bottom"/>
            <w:hideMark/>
          </w:tcPr>
          <w:p w14:paraId="5FC9DDB9" w14:textId="77777777" w:rsidR="000937B8" w:rsidRPr="00CC11DC" w:rsidRDefault="000937B8" w:rsidP="004C7DD9">
            <w:pPr>
              <w:spacing w:after="0" w:line="240" w:lineRule="auto"/>
              <w:jc w:val="center"/>
              <w:rPr>
                <w:rFonts w:ascii="Times New Roman" w:eastAsia="Times New Roman" w:hAnsi="Times New Roman" w:cs="Times New Roman"/>
                <w:bCs/>
                <w:sz w:val="20"/>
                <w:szCs w:val="20"/>
                <w:lang w:eastAsia="pt-BR"/>
              </w:rPr>
            </w:pPr>
            <w:r w:rsidRPr="00CC11DC">
              <w:rPr>
                <w:rFonts w:ascii="Times New Roman" w:eastAsia="Times New Roman" w:hAnsi="Times New Roman" w:cs="Times New Roman"/>
                <w:bCs/>
                <w:sz w:val="20"/>
                <w:szCs w:val="20"/>
                <w:lang w:eastAsia="pt-BR"/>
              </w:rPr>
              <w:t>-1</w:t>
            </w:r>
          </w:p>
        </w:tc>
        <w:tc>
          <w:tcPr>
            <w:tcW w:w="1757" w:type="dxa"/>
            <w:tcBorders>
              <w:top w:val="nil"/>
              <w:left w:val="nil"/>
              <w:bottom w:val="nil"/>
              <w:right w:val="nil"/>
            </w:tcBorders>
            <w:shd w:val="clear" w:color="auto" w:fill="auto"/>
            <w:noWrap/>
            <w:vAlign w:val="bottom"/>
          </w:tcPr>
          <w:p w14:paraId="5E4BEB8E" w14:textId="75985198" w:rsidR="000937B8" w:rsidRPr="003E40AC" w:rsidRDefault="000937B8" w:rsidP="004C7DD9">
            <w:pPr>
              <w:spacing w:after="0" w:line="240" w:lineRule="auto"/>
              <w:jc w:val="center"/>
              <w:rPr>
                <w:rFonts w:ascii="Times New Roman" w:eastAsia="Times New Roman" w:hAnsi="Times New Roman" w:cs="Times New Roman"/>
                <w:sz w:val="20"/>
                <w:szCs w:val="20"/>
                <w:lang w:eastAsia="pt-BR"/>
              </w:rPr>
            </w:pPr>
            <w:r w:rsidRPr="003E40AC">
              <w:rPr>
                <w:rFonts w:ascii="Times New Roman" w:eastAsia="Times New Roman" w:hAnsi="Times New Roman" w:cs="Times New Roman"/>
                <w:sz w:val="20"/>
                <w:szCs w:val="20"/>
                <w:lang w:eastAsia="pt-BR"/>
              </w:rPr>
              <w:t>10,19%</w:t>
            </w:r>
          </w:p>
        </w:tc>
        <w:tc>
          <w:tcPr>
            <w:tcW w:w="1749" w:type="dxa"/>
            <w:tcBorders>
              <w:top w:val="nil"/>
              <w:left w:val="nil"/>
              <w:bottom w:val="nil"/>
              <w:right w:val="nil"/>
            </w:tcBorders>
            <w:shd w:val="clear" w:color="auto" w:fill="auto"/>
            <w:noWrap/>
            <w:vAlign w:val="bottom"/>
          </w:tcPr>
          <w:p w14:paraId="21988F43" w14:textId="7B28264A" w:rsidR="000937B8" w:rsidRPr="003E40AC" w:rsidRDefault="000937B8" w:rsidP="004C7DD9">
            <w:pPr>
              <w:spacing w:after="0" w:line="240" w:lineRule="auto"/>
              <w:jc w:val="center"/>
              <w:rPr>
                <w:rFonts w:ascii="Times New Roman" w:eastAsia="Times New Roman" w:hAnsi="Times New Roman" w:cs="Times New Roman"/>
                <w:sz w:val="20"/>
                <w:szCs w:val="20"/>
                <w:lang w:eastAsia="pt-BR"/>
              </w:rPr>
            </w:pPr>
            <w:r w:rsidRPr="003E40AC">
              <w:rPr>
                <w:rFonts w:ascii="Times New Roman" w:eastAsia="Times New Roman" w:hAnsi="Times New Roman" w:cs="Times New Roman"/>
                <w:sz w:val="20"/>
                <w:szCs w:val="20"/>
                <w:lang w:eastAsia="pt-BR"/>
              </w:rPr>
              <w:t>6,11%</w:t>
            </w:r>
          </w:p>
        </w:tc>
      </w:tr>
      <w:tr w:rsidR="000937B8" w:rsidRPr="00933491" w14:paraId="5A4F0F48" w14:textId="77777777" w:rsidTr="004C7DD9">
        <w:trPr>
          <w:trHeight w:val="280"/>
          <w:jc w:val="center"/>
        </w:trPr>
        <w:tc>
          <w:tcPr>
            <w:tcW w:w="1720" w:type="dxa"/>
            <w:tcBorders>
              <w:top w:val="nil"/>
              <w:left w:val="nil"/>
              <w:bottom w:val="nil"/>
              <w:right w:val="nil"/>
            </w:tcBorders>
            <w:shd w:val="clear" w:color="auto" w:fill="auto"/>
            <w:noWrap/>
            <w:vAlign w:val="bottom"/>
            <w:hideMark/>
          </w:tcPr>
          <w:p w14:paraId="0A2AC1D0" w14:textId="77777777" w:rsidR="000937B8" w:rsidRPr="00CC11DC" w:rsidRDefault="000937B8" w:rsidP="004C7DD9">
            <w:pPr>
              <w:spacing w:after="0" w:line="240" w:lineRule="auto"/>
              <w:jc w:val="center"/>
              <w:rPr>
                <w:rFonts w:ascii="Times New Roman" w:eastAsia="Times New Roman" w:hAnsi="Times New Roman" w:cs="Times New Roman"/>
                <w:bCs/>
                <w:sz w:val="20"/>
                <w:szCs w:val="20"/>
                <w:lang w:eastAsia="pt-BR"/>
              </w:rPr>
            </w:pPr>
            <w:r w:rsidRPr="00CC11DC">
              <w:rPr>
                <w:rFonts w:ascii="Times New Roman" w:eastAsia="Times New Roman" w:hAnsi="Times New Roman" w:cs="Times New Roman"/>
                <w:bCs/>
                <w:sz w:val="20"/>
                <w:szCs w:val="20"/>
                <w:lang w:eastAsia="pt-BR"/>
              </w:rPr>
              <w:t>0</w:t>
            </w:r>
          </w:p>
        </w:tc>
        <w:tc>
          <w:tcPr>
            <w:tcW w:w="1757" w:type="dxa"/>
            <w:tcBorders>
              <w:top w:val="nil"/>
              <w:left w:val="nil"/>
              <w:bottom w:val="nil"/>
              <w:right w:val="nil"/>
            </w:tcBorders>
            <w:shd w:val="clear" w:color="auto" w:fill="auto"/>
            <w:noWrap/>
            <w:vAlign w:val="bottom"/>
          </w:tcPr>
          <w:p w14:paraId="2559EDF4" w14:textId="3694D154" w:rsidR="000937B8" w:rsidRPr="003E40AC" w:rsidRDefault="000937B8" w:rsidP="004C7DD9">
            <w:pPr>
              <w:spacing w:after="0" w:line="240" w:lineRule="auto"/>
              <w:jc w:val="center"/>
              <w:rPr>
                <w:rFonts w:ascii="Times New Roman" w:eastAsia="Times New Roman" w:hAnsi="Times New Roman" w:cs="Times New Roman"/>
                <w:sz w:val="20"/>
                <w:szCs w:val="20"/>
                <w:lang w:eastAsia="pt-BR"/>
              </w:rPr>
            </w:pPr>
            <w:r w:rsidRPr="003E40AC">
              <w:rPr>
                <w:rFonts w:ascii="Times New Roman" w:eastAsia="Times New Roman" w:hAnsi="Times New Roman" w:cs="Times New Roman"/>
                <w:sz w:val="20"/>
                <w:szCs w:val="20"/>
                <w:lang w:eastAsia="pt-BR"/>
              </w:rPr>
              <w:t>7,51%</w:t>
            </w:r>
          </w:p>
        </w:tc>
        <w:tc>
          <w:tcPr>
            <w:tcW w:w="1749" w:type="dxa"/>
            <w:tcBorders>
              <w:top w:val="nil"/>
              <w:left w:val="nil"/>
              <w:bottom w:val="nil"/>
              <w:right w:val="nil"/>
            </w:tcBorders>
            <w:shd w:val="clear" w:color="auto" w:fill="auto"/>
            <w:noWrap/>
            <w:vAlign w:val="bottom"/>
          </w:tcPr>
          <w:p w14:paraId="060A759F" w14:textId="5E320ADD" w:rsidR="000937B8" w:rsidRPr="003E40AC" w:rsidRDefault="000937B8" w:rsidP="004C7DD9">
            <w:pPr>
              <w:spacing w:after="0" w:line="240" w:lineRule="auto"/>
              <w:jc w:val="center"/>
              <w:rPr>
                <w:rFonts w:ascii="Times New Roman" w:eastAsia="Times New Roman" w:hAnsi="Times New Roman" w:cs="Times New Roman"/>
                <w:sz w:val="20"/>
                <w:szCs w:val="20"/>
                <w:lang w:eastAsia="pt-BR"/>
              </w:rPr>
            </w:pPr>
            <w:r w:rsidRPr="003E40AC">
              <w:rPr>
                <w:rFonts w:ascii="Times New Roman" w:eastAsia="Times New Roman" w:hAnsi="Times New Roman" w:cs="Times New Roman"/>
                <w:sz w:val="20"/>
                <w:szCs w:val="20"/>
                <w:lang w:eastAsia="pt-BR"/>
              </w:rPr>
              <w:t>9,30%</w:t>
            </w:r>
          </w:p>
        </w:tc>
      </w:tr>
      <w:tr w:rsidR="000937B8" w:rsidRPr="00933491" w14:paraId="7459A855" w14:textId="77777777" w:rsidTr="004C7DD9">
        <w:trPr>
          <w:trHeight w:val="264"/>
          <w:jc w:val="center"/>
        </w:trPr>
        <w:tc>
          <w:tcPr>
            <w:tcW w:w="1720" w:type="dxa"/>
            <w:tcBorders>
              <w:top w:val="nil"/>
              <w:left w:val="nil"/>
              <w:bottom w:val="nil"/>
              <w:right w:val="nil"/>
            </w:tcBorders>
            <w:shd w:val="clear" w:color="auto" w:fill="auto"/>
            <w:noWrap/>
            <w:vAlign w:val="bottom"/>
            <w:hideMark/>
          </w:tcPr>
          <w:p w14:paraId="260A11AD" w14:textId="77777777" w:rsidR="000937B8" w:rsidRPr="00CC11DC" w:rsidRDefault="000937B8" w:rsidP="004C7DD9">
            <w:pPr>
              <w:spacing w:after="0" w:line="240" w:lineRule="auto"/>
              <w:jc w:val="center"/>
              <w:rPr>
                <w:rFonts w:ascii="Times New Roman" w:eastAsia="Times New Roman" w:hAnsi="Times New Roman" w:cs="Times New Roman"/>
                <w:bCs/>
                <w:sz w:val="20"/>
                <w:szCs w:val="20"/>
                <w:lang w:eastAsia="pt-BR"/>
              </w:rPr>
            </w:pPr>
            <w:r w:rsidRPr="00CC11DC">
              <w:rPr>
                <w:rFonts w:ascii="Times New Roman" w:eastAsia="Times New Roman" w:hAnsi="Times New Roman" w:cs="Times New Roman"/>
                <w:bCs/>
                <w:sz w:val="20"/>
                <w:szCs w:val="20"/>
                <w:lang w:eastAsia="pt-BR"/>
              </w:rPr>
              <w:t>+1</w:t>
            </w:r>
          </w:p>
        </w:tc>
        <w:tc>
          <w:tcPr>
            <w:tcW w:w="1757" w:type="dxa"/>
            <w:tcBorders>
              <w:top w:val="nil"/>
              <w:left w:val="nil"/>
              <w:bottom w:val="nil"/>
              <w:right w:val="nil"/>
            </w:tcBorders>
            <w:shd w:val="clear" w:color="auto" w:fill="auto"/>
            <w:noWrap/>
            <w:vAlign w:val="bottom"/>
          </w:tcPr>
          <w:p w14:paraId="6B54EF7D" w14:textId="2D00CF9D" w:rsidR="000937B8" w:rsidRPr="003E40AC" w:rsidRDefault="000937B8" w:rsidP="004C7DD9">
            <w:pPr>
              <w:spacing w:after="0" w:line="240" w:lineRule="auto"/>
              <w:jc w:val="center"/>
              <w:rPr>
                <w:rFonts w:ascii="Times New Roman" w:eastAsia="Times New Roman" w:hAnsi="Times New Roman" w:cs="Times New Roman"/>
                <w:sz w:val="20"/>
                <w:szCs w:val="20"/>
                <w:lang w:eastAsia="pt-BR"/>
              </w:rPr>
            </w:pPr>
            <w:r w:rsidRPr="003E40AC">
              <w:rPr>
                <w:rFonts w:ascii="Times New Roman" w:eastAsia="Times New Roman" w:hAnsi="Times New Roman" w:cs="Times New Roman"/>
                <w:sz w:val="20"/>
                <w:szCs w:val="20"/>
                <w:lang w:eastAsia="pt-BR"/>
              </w:rPr>
              <w:t>1,24%</w:t>
            </w:r>
          </w:p>
        </w:tc>
        <w:tc>
          <w:tcPr>
            <w:tcW w:w="1749" w:type="dxa"/>
            <w:tcBorders>
              <w:top w:val="nil"/>
              <w:left w:val="nil"/>
              <w:bottom w:val="nil"/>
              <w:right w:val="nil"/>
            </w:tcBorders>
            <w:shd w:val="clear" w:color="auto" w:fill="auto"/>
            <w:noWrap/>
            <w:vAlign w:val="bottom"/>
          </w:tcPr>
          <w:p w14:paraId="34747FDA" w14:textId="3B34FFE7" w:rsidR="000937B8" w:rsidRPr="003E40AC" w:rsidRDefault="000937B8" w:rsidP="004C7DD9">
            <w:pPr>
              <w:spacing w:after="0" w:line="240" w:lineRule="auto"/>
              <w:jc w:val="center"/>
              <w:rPr>
                <w:rFonts w:ascii="Times New Roman" w:eastAsia="Times New Roman" w:hAnsi="Times New Roman" w:cs="Times New Roman"/>
                <w:sz w:val="20"/>
                <w:szCs w:val="20"/>
                <w:lang w:eastAsia="pt-BR"/>
              </w:rPr>
            </w:pPr>
            <w:r w:rsidRPr="003E40AC">
              <w:rPr>
                <w:rFonts w:ascii="Times New Roman" w:eastAsia="Times New Roman" w:hAnsi="Times New Roman" w:cs="Times New Roman"/>
                <w:sz w:val="20"/>
                <w:szCs w:val="20"/>
                <w:lang w:eastAsia="pt-BR"/>
              </w:rPr>
              <w:t>4,78%</w:t>
            </w:r>
          </w:p>
        </w:tc>
      </w:tr>
      <w:tr w:rsidR="000937B8" w:rsidRPr="00933491" w14:paraId="04D24E4F" w14:textId="77777777" w:rsidTr="004C7DD9">
        <w:trPr>
          <w:trHeight w:val="264"/>
          <w:jc w:val="center"/>
        </w:trPr>
        <w:tc>
          <w:tcPr>
            <w:tcW w:w="1720" w:type="dxa"/>
            <w:tcBorders>
              <w:top w:val="nil"/>
              <w:left w:val="nil"/>
              <w:bottom w:val="nil"/>
              <w:right w:val="nil"/>
            </w:tcBorders>
            <w:shd w:val="clear" w:color="auto" w:fill="auto"/>
            <w:noWrap/>
            <w:vAlign w:val="bottom"/>
            <w:hideMark/>
          </w:tcPr>
          <w:p w14:paraId="2E9BB26D" w14:textId="77777777" w:rsidR="000937B8" w:rsidRPr="00CC11DC" w:rsidRDefault="000937B8" w:rsidP="004C7DD9">
            <w:pPr>
              <w:spacing w:after="0" w:line="240" w:lineRule="auto"/>
              <w:jc w:val="center"/>
              <w:rPr>
                <w:rFonts w:ascii="Times New Roman" w:eastAsia="Times New Roman" w:hAnsi="Times New Roman" w:cs="Times New Roman"/>
                <w:bCs/>
                <w:sz w:val="20"/>
                <w:szCs w:val="20"/>
                <w:lang w:eastAsia="pt-BR"/>
              </w:rPr>
            </w:pPr>
            <w:r w:rsidRPr="00CC11DC">
              <w:rPr>
                <w:rFonts w:ascii="Times New Roman" w:eastAsia="Times New Roman" w:hAnsi="Times New Roman" w:cs="Times New Roman"/>
                <w:bCs/>
                <w:sz w:val="20"/>
                <w:szCs w:val="20"/>
                <w:lang w:eastAsia="pt-BR"/>
              </w:rPr>
              <w:t>+2</w:t>
            </w:r>
          </w:p>
        </w:tc>
        <w:tc>
          <w:tcPr>
            <w:tcW w:w="1757" w:type="dxa"/>
            <w:tcBorders>
              <w:top w:val="nil"/>
              <w:left w:val="nil"/>
              <w:bottom w:val="nil"/>
              <w:right w:val="nil"/>
            </w:tcBorders>
            <w:shd w:val="clear" w:color="auto" w:fill="auto"/>
            <w:noWrap/>
            <w:vAlign w:val="bottom"/>
          </w:tcPr>
          <w:p w14:paraId="2618C8A8" w14:textId="65C32CB5" w:rsidR="000937B8" w:rsidRPr="003E40AC" w:rsidRDefault="000937B8" w:rsidP="004C7DD9">
            <w:pPr>
              <w:spacing w:after="0" w:line="240" w:lineRule="auto"/>
              <w:jc w:val="center"/>
              <w:rPr>
                <w:rFonts w:ascii="Times New Roman" w:eastAsia="Times New Roman" w:hAnsi="Times New Roman" w:cs="Times New Roman"/>
                <w:sz w:val="20"/>
                <w:szCs w:val="20"/>
                <w:lang w:eastAsia="pt-BR"/>
              </w:rPr>
            </w:pPr>
            <w:r w:rsidRPr="003E40AC">
              <w:rPr>
                <w:rFonts w:ascii="Times New Roman" w:eastAsia="Times New Roman" w:hAnsi="Times New Roman" w:cs="Times New Roman"/>
                <w:sz w:val="20"/>
                <w:szCs w:val="20"/>
                <w:lang w:eastAsia="pt-BR"/>
              </w:rPr>
              <w:t>-3,12%</w:t>
            </w:r>
          </w:p>
        </w:tc>
        <w:tc>
          <w:tcPr>
            <w:tcW w:w="1749" w:type="dxa"/>
            <w:tcBorders>
              <w:top w:val="nil"/>
              <w:left w:val="nil"/>
              <w:bottom w:val="nil"/>
              <w:right w:val="nil"/>
            </w:tcBorders>
            <w:shd w:val="clear" w:color="auto" w:fill="auto"/>
            <w:noWrap/>
            <w:vAlign w:val="bottom"/>
          </w:tcPr>
          <w:p w14:paraId="1FD68C55" w14:textId="3A331010" w:rsidR="000937B8" w:rsidRPr="003E40AC" w:rsidRDefault="000937B8" w:rsidP="004C7DD9">
            <w:pPr>
              <w:spacing w:after="0" w:line="240" w:lineRule="auto"/>
              <w:jc w:val="center"/>
              <w:rPr>
                <w:rFonts w:ascii="Times New Roman" w:eastAsia="Times New Roman" w:hAnsi="Times New Roman" w:cs="Times New Roman"/>
                <w:sz w:val="20"/>
                <w:szCs w:val="20"/>
                <w:lang w:eastAsia="pt-BR"/>
              </w:rPr>
            </w:pPr>
            <w:r w:rsidRPr="003E40AC">
              <w:rPr>
                <w:rFonts w:ascii="Times New Roman" w:eastAsia="Times New Roman" w:hAnsi="Times New Roman" w:cs="Times New Roman"/>
                <w:sz w:val="20"/>
                <w:szCs w:val="20"/>
                <w:lang w:eastAsia="pt-BR"/>
              </w:rPr>
              <w:t>-2,31%</w:t>
            </w:r>
          </w:p>
        </w:tc>
      </w:tr>
      <w:tr w:rsidR="000937B8" w:rsidRPr="00933491" w14:paraId="19F32196" w14:textId="77777777" w:rsidTr="004C7DD9">
        <w:trPr>
          <w:trHeight w:val="264"/>
          <w:jc w:val="center"/>
        </w:trPr>
        <w:tc>
          <w:tcPr>
            <w:tcW w:w="1720" w:type="dxa"/>
            <w:tcBorders>
              <w:top w:val="nil"/>
              <w:left w:val="nil"/>
              <w:bottom w:val="nil"/>
              <w:right w:val="nil"/>
            </w:tcBorders>
            <w:shd w:val="clear" w:color="auto" w:fill="auto"/>
            <w:noWrap/>
            <w:vAlign w:val="bottom"/>
            <w:hideMark/>
          </w:tcPr>
          <w:p w14:paraId="1312CD5F" w14:textId="77777777" w:rsidR="000937B8" w:rsidRPr="00CC11DC" w:rsidRDefault="000937B8" w:rsidP="004C7DD9">
            <w:pPr>
              <w:spacing w:after="0" w:line="240" w:lineRule="auto"/>
              <w:jc w:val="center"/>
              <w:rPr>
                <w:rFonts w:ascii="Times New Roman" w:eastAsia="Times New Roman" w:hAnsi="Times New Roman" w:cs="Times New Roman"/>
                <w:bCs/>
                <w:sz w:val="20"/>
                <w:szCs w:val="20"/>
                <w:lang w:eastAsia="pt-BR"/>
              </w:rPr>
            </w:pPr>
            <w:r w:rsidRPr="00CC11DC">
              <w:rPr>
                <w:rFonts w:ascii="Times New Roman" w:eastAsia="Times New Roman" w:hAnsi="Times New Roman" w:cs="Times New Roman"/>
                <w:bCs/>
                <w:sz w:val="20"/>
                <w:szCs w:val="20"/>
                <w:lang w:eastAsia="pt-BR"/>
              </w:rPr>
              <w:t>+3</w:t>
            </w:r>
          </w:p>
        </w:tc>
        <w:tc>
          <w:tcPr>
            <w:tcW w:w="1757" w:type="dxa"/>
            <w:tcBorders>
              <w:top w:val="nil"/>
              <w:left w:val="nil"/>
              <w:bottom w:val="nil"/>
              <w:right w:val="nil"/>
            </w:tcBorders>
            <w:shd w:val="clear" w:color="auto" w:fill="auto"/>
            <w:noWrap/>
            <w:vAlign w:val="bottom"/>
          </w:tcPr>
          <w:p w14:paraId="535D707B" w14:textId="06EE96FC" w:rsidR="000937B8" w:rsidRPr="003E40AC" w:rsidRDefault="000937B8" w:rsidP="004C7DD9">
            <w:pPr>
              <w:spacing w:after="0" w:line="240" w:lineRule="auto"/>
              <w:jc w:val="center"/>
              <w:rPr>
                <w:rFonts w:ascii="Times New Roman" w:eastAsia="Times New Roman" w:hAnsi="Times New Roman" w:cs="Times New Roman"/>
                <w:sz w:val="20"/>
                <w:szCs w:val="20"/>
                <w:lang w:eastAsia="pt-BR"/>
              </w:rPr>
            </w:pPr>
            <w:r w:rsidRPr="003E40AC">
              <w:rPr>
                <w:rFonts w:ascii="Times New Roman" w:eastAsia="Times New Roman" w:hAnsi="Times New Roman" w:cs="Times New Roman"/>
                <w:sz w:val="20"/>
                <w:szCs w:val="20"/>
                <w:lang w:eastAsia="pt-BR"/>
              </w:rPr>
              <w:t>2,63%</w:t>
            </w:r>
          </w:p>
        </w:tc>
        <w:tc>
          <w:tcPr>
            <w:tcW w:w="1749" w:type="dxa"/>
            <w:tcBorders>
              <w:top w:val="nil"/>
              <w:left w:val="nil"/>
              <w:bottom w:val="nil"/>
              <w:right w:val="nil"/>
            </w:tcBorders>
            <w:shd w:val="clear" w:color="auto" w:fill="auto"/>
            <w:noWrap/>
            <w:vAlign w:val="bottom"/>
          </w:tcPr>
          <w:p w14:paraId="42B0F6A6" w14:textId="7824CF9C" w:rsidR="000937B8" w:rsidRPr="003E40AC" w:rsidRDefault="000937B8" w:rsidP="004C7DD9">
            <w:pPr>
              <w:spacing w:after="0" w:line="240" w:lineRule="auto"/>
              <w:jc w:val="center"/>
              <w:rPr>
                <w:rFonts w:ascii="Times New Roman" w:eastAsia="Times New Roman" w:hAnsi="Times New Roman" w:cs="Times New Roman"/>
                <w:sz w:val="20"/>
                <w:szCs w:val="20"/>
                <w:lang w:eastAsia="pt-BR"/>
              </w:rPr>
            </w:pPr>
            <w:r w:rsidRPr="003E40AC">
              <w:rPr>
                <w:rFonts w:ascii="Times New Roman" w:eastAsia="Times New Roman" w:hAnsi="Times New Roman" w:cs="Times New Roman"/>
                <w:sz w:val="20"/>
                <w:szCs w:val="20"/>
                <w:lang w:eastAsia="pt-BR"/>
              </w:rPr>
              <w:t>1,20%</w:t>
            </w:r>
          </w:p>
        </w:tc>
      </w:tr>
      <w:tr w:rsidR="000937B8" w:rsidRPr="00933491" w14:paraId="70CBE865" w14:textId="77777777" w:rsidTr="004C7DD9">
        <w:trPr>
          <w:trHeight w:val="264"/>
          <w:jc w:val="center"/>
        </w:trPr>
        <w:tc>
          <w:tcPr>
            <w:tcW w:w="1720" w:type="dxa"/>
            <w:tcBorders>
              <w:top w:val="nil"/>
              <w:left w:val="nil"/>
              <w:bottom w:val="nil"/>
              <w:right w:val="nil"/>
            </w:tcBorders>
            <w:shd w:val="clear" w:color="auto" w:fill="auto"/>
            <w:noWrap/>
            <w:vAlign w:val="bottom"/>
            <w:hideMark/>
          </w:tcPr>
          <w:p w14:paraId="1F5C44D2" w14:textId="77777777" w:rsidR="000937B8" w:rsidRPr="00CC11DC" w:rsidRDefault="000937B8" w:rsidP="004C7DD9">
            <w:pPr>
              <w:spacing w:after="0" w:line="240" w:lineRule="auto"/>
              <w:jc w:val="center"/>
              <w:rPr>
                <w:rFonts w:ascii="Times New Roman" w:eastAsia="Times New Roman" w:hAnsi="Times New Roman" w:cs="Times New Roman"/>
                <w:bCs/>
                <w:sz w:val="20"/>
                <w:szCs w:val="20"/>
                <w:lang w:eastAsia="pt-BR"/>
              </w:rPr>
            </w:pPr>
            <w:r w:rsidRPr="00CC11DC">
              <w:rPr>
                <w:rFonts w:ascii="Times New Roman" w:eastAsia="Times New Roman" w:hAnsi="Times New Roman" w:cs="Times New Roman"/>
                <w:bCs/>
                <w:sz w:val="20"/>
                <w:szCs w:val="20"/>
                <w:lang w:eastAsia="pt-BR"/>
              </w:rPr>
              <w:t>+4</w:t>
            </w:r>
          </w:p>
        </w:tc>
        <w:tc>
          <w:tcPr>
            <w:tcW w:w="1757" w:type="dxa"/>
            <w:tcBorders>
              <w:top w:val="nil"/>
              <w:left w:val="nil"/>
              <w:bottom w:val="nil"/>
              <w:right w:val="nil"/>
            </w:tcBorders>
            <w:shd w:val="clear" w:color="auto" w:fill="auto"/>
            <w:noWrap/>
            <w:vAlign w:val="bottom"/>
          </w:tcPr>
          <w:p w14:paraId="31C8F126" w14:textId="4FC3911B" w:rsidR="000937B8" w:rsidRPr="003E40AC" w:rsidRDefault="000937B8" w:rsidP="004C7DD9">
            <w:pPr>
              <w:spacing w:after="0" w:line="240" w:lineRule="auto"/>
              <w:jc w:val="center"/>
              <w:rPr>
                <w:rFonts w:ascii="Times New Roman" w:eastAsia="Times New Roman" w:hAnsi="Times New Roman" w:cs="Times New Roman"/>
                <w:sz w:val="20"/>
                <w:szCs w:val="20"/>
                <w:lang w:eastAsia="pt-BR"/>
              </w:rPr>
            </w:pPr>
            <w:r w:rsidRPr="003E40AC">
              <w:rPr>
                <w:rFonts w:ascii="Times New Roman" w:eastAsia="Times New Roman" w:hAnsi="Times New Roman" w:cs="Times New Roman"/>
                <w:sz w:val="20"/>
                <w:szCs w:val="20"/>
                <w:lang w:eastAsia="pt-BR"/>
              </w:rPr>
              <w:t>-2,97%</w:t>
            </w:r>
          </w:p>
        </w:tc>
        <w:tc>
          <w:tcPr>
            <w:tcW w:w="1749" w:type="dxa"/>
            <w:tcBorders>
              <w:top w:val="nil"/>
              <w:left w:val="nil"/>
              <w:bottom w:val="nil"/>
              <w:right w:val="nil"/>
            </w:tcBorders>
            <w:shd w:val="clear" w:color="auto" w:fill="auto"/>
            <w:noWrap/>
            <w:vAlign w:val="bottom"/>
          </w:tcPr>
          <w:p w14:paraId="04D815E0" w14:textId="23B59DEB" w:rsidR="000937B8" w:rsidRPr="003E40AC" w:rsidRDefault="000937B8" w:rsidP="004C7DD9">
            <w:pPr>
              <w:spacing w:after="0" w:line="240" w:lineRule="auto"/>
              <w:jc w:val="center"/>
              <w:rPr>
                <w:rFonts w:ascii="Times New Roman" w:eastAsia="Times New Roman" w:hAnsi="Times New Roman" w:cs="Times New Roman"/>
                <w:sz w:val="20"/>
                <w:szCs w:val="20"/>
                <w:lang w:eastAsia="pt-BR"/>
              </w:rPr>
            </w:pPr>
            <w:r w:rsidRPr="003E40AC">
              <w:rPr>
                <w:rFonts w:ascii="Times New Roman" w:eastAsia="Times New Roman" w:hAnsi="Times New Roman" w:cs="Times New Roman"/>
                <w:sz w:val="20"/>
                <w:szCs w:val="20"/>
                <w:lang w:eastAsia="pt-BR"/>
              </w:rPr>
              <w:t>-1,34%</w:t>
            </w:r>
          </w:p>
        </w:tc>
      </w:tr>
      <w:tr w:rsidR="009A664C" w:rsidRPr="00933491" w14:paraId="39E24639" w14:textId="77777777" w:rsidTr="004C7DD9">
        <w:trPr>
          <w:trHeight w:val="264"/>
          <w:jc w:val="center"/>
        </w:trPr>
        <w:tc>
          <w:tcPr>
            <w:tcW w:w="1720" w:type="dxa"/>
            <w:tcBorders>
              <w:top w:val="nil"/>
              <w:left w:val="nil"/>
              <w:bottom w:val="nil"/>
              <w:right w:val="nil"/>
            </w:tcBorders>
            <w:shd w:val="clear" w:color="auto" w:fill="auto"/>
            <w:vAlign w:val="center"/>
            <w:hideMark/>
          </w:tcPr>
          <w:p w14:paraId="599F6978" w14:textId="2ED4AAD9" w:rsidR="009A664C" w:rsidRPr="00CC11DC" w:rsidRDefault="00EB54D7" w:rsidP="004C7DD9">
            <w:pPr>
              <w:spacing w:after="0" w:line="240" w:lineRule="auto"/>
              <w:jc w:val="center"/>
              <w:rPr>
                <w:rFonts w:ascii="Times New Roman" w:eastAsia="Times New Roman" w:hAnsi="Times New Roman" w:cs="Times New Roman"/>
                <w:bCs/>
                <w:sz w:val="20"/>
                <w:szCs w:val="20"/>
                <w:lang w:eastAsia="pt-BR"/>
              </w:rPr>
            </w:pPr>
            <w:r>
              <w:rPr>
                <w:rFonts w:ascii="Times New Roman" w:eastAsia="Times New Roman" w:hAnsi="Times New Roman" w:cs="Times New Roman"/>
                <w:bCs/>
                <w:sz w:val="20"/>
                <w:szCs w:val="20"/>
                <w:lang w:eastAsia="pt-BR"/>
              </w:rPr>
              <w:t>-</w:t>
            </w:r>
            <w:r w:rsidR="009A664C" w:rsidRPr="00CC11DC">
              <w:rPr>
                <w:rFonts w:ascii="Times New Roman" w:eastAsia="Times New Roman" w:hAnsi="Times New Roman" w:cs="Times New Roman"/>
                <w:bCs/>
                <w:sz w:val="20"/>
                <w:szCs w:val="20"/>
                <w:lang w:eastAsia="pt-BR"/>
              </w:rPr>
              <w:t>4</w:t>
            </w:r>
            <w:r>
              <w:rPr>
                <w:rFonts w:ascii="Times New Roman" w:eastAsia="Times New Roman" w:hAnsi="Times New Roman" w:cs="Times New Roman"/>
                <w:bCs/>
                <w:sz w:val="20"/>
                <w:szCs w:val="20"/>
                <w:lang w:eastAsia="pt-BR"/>
              </w:rPr>
              <w:t xml:space="preserve"> </w:t>
            </w:r>
            <w:r>
              <w:rPr>
                <w:rFonts w:ascii="Times New Roman" w:eastAsia="Times New Roman" w:hAnsi="Times New Roman" w:cs="Times New Roman"/>
                <w:bCs/>
                <w:sz w:val="20"/>
                <w:szCs w:val="20"/>
                <w:lang w:eastAsia="pt-BR"/>
              </w:rPr>
              <w:sym w:font="Symbol" w:char="F0AE"/>
            </w:r>
            <w:r>
              <w:rPr>
                <w:rFonts w:ascii="Times New Roman" w:eastAsia="Times New Roman" w:hAnsi="Times New Roman" w:cs="Times New Roman"/>
                <w:bCs/>
                <w:sz w:val="20"/>
                <w:szCs w:val="20"/>
                <w:lang w:eastAsia="pt-BR"/>
              </w:rPr>
              <w:t xml:space="preserve"> -1</w:t>
            </w:r>
          </w:p>
        </w:tc>
        <w:tc>
          <w:tcPr>
            <w:tcW w:w="1757" w:type="dxa"/>
            <w:tcBorders>
              <w:top w:val="nil"/>
              <w:left w:val="nil"/>
              <w:bottom w:val="nil"/>
              <w:right w:val="nil"/>
            </w:tcBorders>
            <w:shd w:val="clear" w:color="auto" w:fill="auto"/>
            <w:noWrap/>
            <w:vAlign w:val="bottom"/>
          </w:tcPr>
          <w:p w14:paraId="539E0752" w14:textId="5D4515CD" w:rsidR="009A664C" w:rsidRPr="003E40AC" w:rsidRDefault="00E34CFC" w:rsidP="004C7DD9">
            <w:pPr>
              <w:spacing w:after="0" w:line="240" w:lineRule="auto"/>
              <w:jc w:val="center"/>
              <w:rPr>
                <w:rFonts w:ascii="Times New Roman" w:eastAsia="Times New Roman" w:hAnsi="Times New Roman" w:cs="Times New Roman"/>
                <w:sz w:val="20"/>
                <w:szCs w:val="20"/>
                <w:lang w:eastAsia="pt-BR"/>
              </w:rPr>
            </w:pPr>
            <w:r w:rsidRPr="003E40AC">
              <w:rPr>
                <w:rFonts w:ascii="Times New Roman" w:eastAsia="Times New Roman" w:hAnsi="Times New Roman" w:cs="Times New Roman"/>
                <w:sz w:val="20"/>
                <w:szCs w:val="20"/>
                <w:lang w:eastAsia="pt-BR"/>
              </w:rPr>
              <w:t>4,73</w:t>
            </w:r>
            <w:r w:rsidR="00322530" w:rsidRPr="003E40AC">
              <w:rPr>
                <w:rFonts w:ascii="Times New Roman" w:eastAsia="Times New Roman" w:hAnsi="Times New Roman" w:cs="Times New Roman"/>
                <w:sz w:val="20"/>
                <w:szCs w:val="20"/>
                <w:lang w:eastAsia="pt-BR"/>
              </w:rPr>
              <w:t>%</w:t>
            </w:r>
          </w:p>
        </w:tc>
        <w:tc>
          <w:tcPr>
            <w:tcW w:w="1749" w:type="dxa"/>
            <w:tcBorders>
              <w:top w:val="nil"/>
              <w:left w:val="nil"/>
              <w:bottom w:val="nil"/>
              <w:right w:val="nil"/>
            </w:tcBorders>
            <w:shd w:val="clear" w:color="auto" w:fill="auto"/>
            <w:noWrap/>
            <w:vAlign w:val="bottom"/>
          </w:tcPr>
          <w:p w14:paraId="708BAFC0" w14:textId="5865B516" w:rsidR="009A664C" w:rsidRPr="00933491" w:rsidRDefault="000937B8" w:rsidP="004C7DD9">
            <w:pPr>
              <w:spacing w:after="0" w:line="240" w:lineRule="auto"/>
              <w:jc w:val="center"/>
              <w:rPr>
                <w:rFonts w:ascii="Times New Roman" w:eastAsia="Times New Roman" w:hAnsi="Times New Roman" w:cs="Times New Roman"/>
                <w:sz w:val="20"/>
                <w:szCs w:val="20"/>
                <w:lang w:eastAsia="pt-BR"/>
              </w:rPr>
            </w:pPr>
            <w:r w:rsidRPr="00933491">
              <w:rPr>
                <w:rFonts w:ascii="Times New Roman" w:eastAsia="Times New Roman" w:hAnsi="Times New Roman" w:cs="Times New Roman"/>
                <w:sz w:val="20"/>
                <w:szCs w:val="20"/>
                <w:lang w:eastAsia="pt-BR"/>
              </w:rPr>
              <w:t>4,52</w:t>
            </w:r>
            <w:r w:rsidR="00592B10" w:rsidRPr="00933491">
              <w:rPr>
                <w:rFonts w:ascii="Times New Roman" w:eastAsia="Times New Roman" w:hAnsi="Times New Roman" w:cs="Times New Roman"/>
                <w:sz w:val="20"/>
                <w:szCs w:val="20"/>
                <w:lang w:eastAsia="pt-BR"/>
              </w:rPr>
              <w:t>%</w:t>
            </w:r>
          </w:p>
        </w:tc>
      </w:tr>
      <w:tr w:rsidR="009A664C" w:rsidRPr="00933491" w14:paraId="76A317DA" w14:textId="77777777" w:rsidTr="004C7DD9">
        <w:trPr>
          <w:trHeight w:val="264"/>
          <w:jc w:val="center"/>
        </w:trPr>
        <w:tc>
          <w:tcPr>
            <w:tcW w:w="1720" w:type="dxa"/>
            <w:tcBorders>
              <w:top w:val="nil"/>
              <w:left w:val="nil"/>
              <w:bottom w:val="single" w:sz="4" w:space="0" w:color="auto"/>
              <w:right w:val="nil"/>
            </w:tcBorders>
            <w:shd w:val="clear" w:color="auto" w:fill="auto"/>
            <w:vAlign w:val="center"/>
            <w:hideMark/>
          </w:tcPr>
          <w:p w14:paraId="38ACBAB8" w14:textId="2753D264" w:rsidR="009A664C" w:rsidRPr="00CC11DC" w:rsidRDefault="009A664C" w:rsidP="004C7DD9">
            <w:pPr>
              <w:spacing w:after="0" w:line="240" w:lineRule="auto"/>
              <w:jc w:val="center"/>
              <w:rPr>
                <w:rFonts w:ascii="Times New Roman" w:eastAsia="Times New Roman" w:hAnsi="Times New Roman" w:cs="Times New Roman"/>
                <w:bCs/>
                <w:sz w:val="20"/>
                <w:szCs w:val="20"/>
                <w:lang w:eastAsia="pt-BR"/>
              </w:rPr>
            </w:pPr>
            <w:r w:rsidRPr="00CC11DC">
              <w:rPr>
                <w:rFonts w:ascii="Times New Roman" w:eastAsia="Times New Roman" w:hAnsi="Times New Roman" w:cs="Times New Roman"/>
                <w:bCs/>
                <w:sz w:val="20"/>
                <w:szCs w:val="20"/>
                <w:lang w:eastAsia="pt-BR"/>
              </w:rPr>
              <w:t xml:space="preserve">+1 </w:t>
            </w:r>
            <w:r w:rsidR="00EB54D7">
              <w:rPr>
                <w:rFonts w:ascii="Times New Roman" w:eastAsia="Times New Roman" w:hAnsi="Times New Roman" w:cs="Times New Roman"/>
                <w:bCs/>
                <w:sz w:val="20"/>
                <w:szCs w:val="20"/>
                <w:lang w:eastAsia="pt-BR"/>
              </w:rPr>
              <w:sym w:font="Symbol" w:char="F0AE"/>
            </w:r>
            <w:r w:rsidR="00EB54D7">
              <w:rPr>
                <w:rFonts w:ascii="Times New Roman" w:eastAsia="Times New Roman" w:hAnsi="Times New Roman" w:cs="Times New Roman"/>
                <w:bCs/>
                <w:sz w:val="20"/>
                <w:szCs w:val="20"/>
                <w:lang w:eastAsia="pt-BR"/>
              </w:rPr>
              <w:t xml:space="preserve"> </w:t>
            </w:r>
            <w:r w:rsidRPr="00CC11DC">
              <w:rPr>
                <w:rFonts w:ascii="Times New Roman" w:eastAsia="Times New Roman" w:hAnsi="Times New Roman" w:cs="Times New Roman"/>
                <w:bCs/>
                <w:sz w:val="20"/>
                <w:szCs w:val="20"/>
                <w:lang w:eastAsia="pt-BR"/>
              </w:rPr>
              <w:t>+4</w:t>
            </w:r>
          </w:p>
        </w:tc>
        <w:tc>
          <w:tcPr>
            <w:tcW w:w="1757" w:type="dxa"/>
            <w:tcBorders>
              <w:top w:val="nil"/>
              <w:left w:val="nil"/>
              <w:bottom w:val="single" w:sz="4" w:space="0" w:color="auto"/>
              <w:right w:val="nil"/>
            </w:tcBorders>
            <w:shd w:val="clear" w:color="auto" w:fill="auto"/>
            <w:vAlign w:val="center"/>
          </w:tcPr>
          <w:p w14:paraId="5583FFA8" w14:textId="619C4D2D" w:rsidR="009A664C" w:rsidRPr="003E40AC" w:rsidRDefault="00E34CFC" w:rsidP="004C7DD9">
            <w:pPr>
              <w:spacing w:after="0" w:line="240" w:lineRule="auto"/>
              <w:jc w:val="center"/>
              <w:rPr>
                <w:rFonts w:ascii="Times New Roman" w:eastAsia="Times New Roman" w:hAnsi="Times New Roman" w:cs="Times New Roman"/>
                <w:sz w:val="20"/>
                <w:szCs w:val="20"/>
                <w:lang w:eastAsia="pt-BR"/>
              </w:rPr>
            </w:pPr>
            <w:r w:rsidRPr="003E40AC">
              <w:rPr>
                <w:rFonts w:ascii="Times New Roman" w:eastAsia="Times New Roman" w:hAnsi="Times New Roman" w:cs="Times New Roman"/>
                <w:sz w:val="20"/>
                <w:szCs w:val="20"/>
                <w:lang w:eastAsia="pt-BR"/>
              </w:rPr>
              <w:t>-0,53%</w:t>
            </w:r>
          </w:p>
        </w:tc>
        <w:tc>
          <w:tcPr>
            <w:tcW w:w="1749" w:type="dxa"/>
            <w:tcBorders>
              <w:top w:val="nil"/>
              <w:left w:val="nil"/>
              <w:bottom w:val="single" w:sz="4" w:space="0" w:color="auto"/>
              <w:right w:val="nil"/>
            </w:tcBorders>
            <w:shd w:val="clear" w:color="auto" w:fill="auto"/>
            <w:vAlign w:val="center"/>
          </w:tcPr>
          <w:p w14:paraId="43F3AF91" w14:textId="56538499" w:rsidR="009A664C" w:rsidRPr="00933491" w:rsidRDefault="000937B8" w:rsidP="004C7DD9">
            <w:pPr>
              <w:spacing w:after="0" w:line="240" w:lineRule="auto"/>
              <w:jc w:val="center"/>
              <w:rPr>
                <w:rFonts w:ascii="Times New Roman" w:eastAsia="Times New Roman" w:hAnsi="Times New Roman" w:cs="Times New Roman"/>
                <w:sz w:val="20"/>
                <w:szCs w:val="20"/>
                <w:lang w:eastAsia="pt-BR"/>
              </w:rPr>
            </w:pPr>
            <w:r w:rsidRPr="00933491">
              <w:rPr>
                <w:rFonts w:ascii="Times New Roman" w:eastAsia="Times New Roman" w:hAnsi="Times New Roman" w:cs="Times New Roman"/>
                <w:sz w:val="20"/>
                <w:szCs w:val="20"/>
                <w:lang w:eastAsia="pt-BR"/>
              </w:rPr>
              <w:t>0,60</w:t>
            </w:r>
            <w:r w:rsidR="000314CC" w:rsidRPr="00933491">
              <w:rPr>
                <w:rFonts w:ascii="Times New Roman" w:eastAsia="Times New Roman" w:hAnsi="Times New Roman" w:cs="Times New Roman"/>
                <w:sz w:val="20"/>
                <w:szCs w:val="20"/>
                <w:lang w:eastAsia="pt-BR"/>
              </w:rPr>
              <w:t>%</w:t>
            </w:r>
          </w:p>
        </w:tc>
      </w:tr>
    </w:tbl>
    <w:p w14:paraId="09D30BE4" w14:textId="77777777" w:rsidR="00CA28FF" w:rsidRPr="00CC11DC" w:rsidRDefault="00CA28FF" w:rsidP="0056798E">
      <w:pPr>
        <w:spacing w:after="0" w:line="240" w:lineRule="auto"/>
        <w:ind w:firstLine="709"/>
        <w:jc w:val="both"/>
        <w:rPr>
          <w:rFonts w:ascii="Times New Roman" w:hAnsi="Times New Roman" w:cs="Times New Roman"/>
          <w:sz w:val="24"/>
          <w:szCs w:val="24"/>
        </w:rPr>
      </w:pPr>
    </w:p>
    <w:p w14:paraId="39D190F7" w14:textId="77777777" w:rsidR="00EA588F" w:rsidRPr="003E40AC" w:rsidRDefault="00EA588F" w:rsidP="00157D35">
      <w:pPr>
        <w:spacing w:after="0" w:line="240" w:lineRule="auto"/>
        <w:ind w:firstLine="709"/>
        <w:jc w:val="both"/>
        <w:rPr>
          <w:rFonts w:ascii="Times New Roman" w:hAnsi="Times New Roman" w:cs="Times New Roman"/>
          <w:sz w:val="24"/>
          <w:szCs w:val="24"/>
        </w:rPr>
      </w:pPr>
      <w:r w:rsidRPr="003E40AC">
        <w:rPr>
          <w:rFonts w:ascii="Times New Roman" w:hAnsi="Times New Roman" w:cs="Times New Roman"/>
          <w:sz w:val="24"/>
          <w:szCs w:val="24"/>
        </w:rPr>
        <w:t>Observa-se, também, que, um ano antes da oferta, o retorno das empresas que realizaram SEO é superior ao retorno das empresas não emissoras. Após a realização da SEO, com exceção do terceiro ano, as empresas emissoras obtiveram, em média, um retorno menor comparativamente às empresas não emissoras. Por fim, percebe-se que, um ano após a oferta, o retorno das ações cai, tanto para empresas emissoras quanto para não emissoras.</w:t>
      </w:r>
    </w:p>
    <w:p w14:paraId="01B58588" w14:textId="40929F56" w:rsidR="00CD49D3" w:rsidRPr="00933491" w:rsidRDefault="00347921" w:rsidP="00157D35">
      <w:pPr>
        <w:spacing w:after="0" w:line="240" w:lineRule="auto"/>
        <w:ind w:firstLine="709"/>
        <w:jc w:val="both"/>
        <w:rPr>
          <w:rFonts w:ascii="Times New Roman" w:hAnsi="Times New Roman" w:cs="Times New Roman"/>
          <w:sz w:val="24"/>
          <w:szCs w:val="24"/>
        </w:rPr>
      </w:pPr>
      <w:r w:rsidRPr="003E40AC">
        <w:rPr>
          <w:rFonts w:ascii="Times New Roman" w:hAnsi="Times New Roman" w:cs="Times New Roman"/>
          <w:sz w:val="24"/>
          <w:szCs w:val="24"/>
        </w:rPr>
        <w:t xml:space="preserve">Ainda na Tabela </w:t>
      </w:r>
      <w:r w:rsidR="00EB20B4" w:rsidRPr="003E40AC">
        <w:rPr>
          <w:rFonts w:ascii="Times New Roman" w:hAnsi="Times New Roman" w:cs="Times New Roman"/>
          <w:sz w:val="24"/>
          <w:szCs w:val="24"/>
        </w:rPr>
        <w:t>8</w:t>
      </w:r>
      <w:r w:rsidRPr="00933491">
        <w:rPr>
          <w:rFonts w:ascii="Times New Roman" w:hAnsi="Times New Roman" w:cs="Times New Roman"/>
          <w:sz w:val="24"/>
          <w:szCs w:val="24"/>
        </w:rPr>
        <w:t xml:space="preserve">, verifica-se que, em média, as empresas emissoras possuem um retorno acionário de </w:t>
      </w:r>
      <w:r w:rsidR="000937B8" w:rsidRPr="00933491">
        <w:rPr>
          <w:rFonts w:ascii="Times New Roman" w:hAnsi="Times New Roman" w:cs="Times New Roman"/>
          <w:sz w:val="24"/>
          <w:szCs w:val="24"/>
        </w:rPr>
        <w:t>4,73</w:t>
      </w:r>
      <w:r w:rsidRPr="00933491">
        <w:rPr>
          <w:rFonts w:ascii="Times New Roman" w:hAnsi="Times New Roman" w:cs="Times New Roman"/>
          <w:sz w:val="24"/>
          <w:szCs w:val="24"/>
        </w:rPr>
        <w:t>%</w:t>
      </w:r>
      <w:r w:rsidR="000937B8" w:rsidRPr="00933491">
        <w:rPr>
          <w:rFonts w:ascii="Times New Roman" w:hAnsi="Times New Roman" w:cs="Times New Roman"/>
          <w:sz w:val="24"/>
          <w:szCs w:val="24"/>
        </w:rPr>
        <w:t xml:space="preserve"> </w:t>
      </w:r>
      <w:r w:rsidR="00A351A9" w:rsidRPr="00933491">
        <w:rPr>
          <w:rFonts w:ascii="Times New Roman" w:hAnsi="Times New Roman" w:cs="Times New Roman"/>
          <w:sz w:val="24"/>
          <w:szCs w:val="24"/>
        </w:rPr>
        <w:t>a.t.</w:t>
      </w:r>
      <w:r w:rsidRPr="00933491">
        <w:rPr>
          <w:rFonts w:ascii="Times New Roman" w:hAnsi="Times New Roman" w:cs="Times New Roman"/>
          <w:sz w:val="24"/>
          <w:szCs w:val="24"/>
        </w:rPr>
        <w:t xml:space="preserve"> nos quatros anos que antecedem às emissões, enquanto as empresas não emissoras possuem um retorno </w:t>
      </w:r>
      <w:r w:rsidR="009A7AFD" w:rsidRPr="00933491">
        <w:rPr>
          <w:rFonts w:ascii="Times New Roman" w:hAnsi="Times New Roman" w:cs="Times New Roman"/>
          <w:sz w:val="24"/>
          <w:szCs w:val="24"/>
        </w:rPr>
        <w:t xml:space="preserve">médio </w:t>
      </w:r>
      <w:r w:rsidR="00535113" w:rsidRPr="00933491">
        <w:rPr>
          <w:rFonts w:ascii="Times New Roman" w:hAnsi="Times New Roman" w:cs="Times New Roman"/>
          <w:sz w:val="24"/>
          <w:szCs w:val="24"/>
        </w:rPr>
        <w:t xml:space="preserve">de </w:t>
      </w:r>
      <w:r w:rsidR="000937B8" w:rsidRPr="00933491">
        <w:rPr>
          <w:rFonts w:ascii="Times New Roman" w:hAnsi="Times New Roman" w:cs="Times New Roman"/>
          <w:sz w:val="24"/>
          <w:szCs w:val="24"/>
        </w:rPr>
        <w:t>4,52</w:t>
      </w:r>
      <w:r w:rsidRPr="00933491">
        <w:rPr>
          <w:rFonts w:ascii="Times New Roman" w:hAnsi="Times New Roman" w:cs="Times New Roman"/>
          <w:sz w:val="24"/>
          <w:szCs w:val="24"/>
        </w:rPr>
        <w:t>%</w:t>
      </w:r>
      <w:r w:rsidR="000937B8" w:rsidRPr="00933491">
        <w:rPr>
          <w:rFonts w:ascii="Times New Roman" w:hAnsi="Times New Roman" w:cs="Times New Roman"/>
          <w:sz w:val="24"/>
          <w:szCs w:val="24"/>
        </w:rPr>
        <w:t xml:space="preserve"> </w:t>
      </w:r>
      <w:r w:rsidR="00A351A9" w:rsidRPr="00933491">
        <w:rPr>
          <w:rFonts w:ascii="Times New Roman" w:hAnsi="Times New Roman" w:cs="Times New Roman"/>
          <w:sz w:val="24"/>
          <w:szCs w:val="24"/>
        </w:rPr>
        <w:t>a.t.</w:t>
      </w:r>
      <w:r w:rsidRPr="00933491">
        <w:rPr>
          <w:rFonts w:ascii="Times New Roman" w:hAnsi="Times New Roman" w:cs="Times New Roman"/>
          <w:sz w:val="24"/>
          <w:szCs w:val="24"/>
        </w:rPr>
        <w:t xml:space="preserve">, </w:t>
      </w:r>
      <w:r w:rsidR="00EB20B4" w:rsidRPr="00933491">
        <w:rPr>
          <w:rFonts w:ascii="Times New Roman" w:hAnsi="Times New Roman" w:cs="Times New Roman"/>
          <w:sz w:val="24"/>
          <w:szCs w:val="24"/>
        </w:rPr>
        <w:t>no mesmo período, ou seja, as empresas que decidiram realizar SEO apresentam maior desempenho acionário médio</w:t>
      </w:r>
      <w:r w:rsidR="00344824" w:rsidRPr="00933491">
        <w:rPr>
          <w:rFonts w:ascii="Times New Roman" w:hAnsi="Times New Roman" w:cs="Times New Roman"/>
          <w:sz w:val="24"/>
          <w:szCs w:val="24"/>
        </w:rPr>
        <w:t xml:space="preserve"> nos quatro anos que antecedem à</w:t>
      </w:r>
      <w:r w:rsidR="00EB20B4" w:rsidRPr="00933491">
        <w:rPr>
          <w:rFonts w:ascii="Times New Roman" w:hAnsi="Times New Roman" w:cs="Times New Roman"/>
          <w:sz w:val="24"/>
          <w:szCs w:val="24"/>
        </w:rPr>
        <w:t xml:space="preserve"> oferta pública subsequente comparativamente às empresas que não realizaram SEO.</w:t>
      </w:r>
      <w:r w:rsidR="009A7AFD" w:rsidRPr="00933491">
        <w:rPr>
          <w:rFonts w:ascii="Times New Roman" w:hAnsi="Times New Roman" w:cs="Times New Roman"/>
          <w:sz w:val="24"/>
          <w:szCs w:val="24"/>
        </w:rPr>
        <w:t xml:space="preserve"> </w:t>
      </w:r>
    </w:p>
    <w:p w14:paraId="2C74EF7D" w14:textId="56A67212" w:rsidR="00254E7A" w:rsidRPr="00933491" w:rsidRDefault="009A7AFD" w:rsidP="00157D35">
      <w:pPr>
        <w:spacing w:after="0" w:line="240" w:lineRule="auto"/>
        <w:ind w:firstLine="709"/>
        <w:jc w:val="both"/>
        <w:rPr>
          <w:rFonts w:ascii="Times New Roman" w:hAnsi="Times New Roman" w:cs="Times New Roman"/>
          <w:color w:val="000000" w:themeColor="text1"/>
          <w:sz w:val="24"/>
          <w:szCs w:val="24"/>
        </w:rPr>
      </w:pPr>
      <w:r w:rsidRPr="00933491">
        <w:rPr>
          <w:rFonts w:ascii="Times New Roman" w:hAnsi="Times New Roman" w:cs="Times New Roman"/>
          <w:sz w:val="24"/>
          <w:szCs w:val="24"/>
        </w:rPr>
        <w:t xml:space="preserve">Já nos quatros anos que sucedem </w:t>
      </w:r>
      <w:r w:rsidR="003C5B32" w:rsidRPr="00933491">
        <w:rPr>
          <w:rFonts w:ascii="Times New Roman" w:hAnsi="Times New Roman" w:cs="Times New Roman"/>
          <w:sz w:val="24"/>
          <w:szCs w:val="24"/>
        </w:rPr>
        <w:t>à</w:t>
      </w:r>
      <w:r w:rsidR="00347921" w:rsidRPr="00933491">
        <w:rPr>
          <w:rFonts w:ascii="Times New Roman" w:hAnsi="Times New Roman" w:cs="Times New Roman"/>
          <w:sz w:val="24"/>
          <w:szCs w:val="24"/>
        </w:rPr>
        <w:t xml:space="preserve"> realização da SEO, as empresas emissoras </w:t>
      </w:r>
      <w:r w:rsidR="00D93FAC" w:rsidRPr="00933491">
        <w:rPr>
          <w:rFonts w:ascii="Times New Roman" w:hAnsi="Times New Roman" w:cs="Times New Roman"/>
          <w:sz w:val="24"/>
          <w:szCs w:val="24"/>
        </w:rPr>
        <w:t>obtiveram</w:t>
      </w:r>
      <w:r w:rsidR="00347921" w:rsidRPr="00933491">
        <w:rPr>
          <w:rFonts w:ascii="Times New Roman" w:hAnsi="Times New Roman" w:cs="Times New Roman"/>
          <w:sz w:val="24"/>
          <w:szCs w:val="24"/>
        </w:rPr>
        <w:t xml:space="preserve"> um retorno acionário </w:t>
      </w:r>
      <w:r w:rsidR="00641B2F" w:rsidRPr="00933491">
        <w:rPr>
          <w:rFonts w:ascii="Times New Roman" w:hAnsi="Times New Roman" w:cs="Times New Roman"/>
          <w:sz w:val="24"/>
          <w:szCs w:val="24"/>
        </w:rPr>
        <w:t xml:space="preserve">médio </w:t>
      </w:r>
      <w:r w:rsidR="00347921" w:rsidRPr="00933491">
        <w:rPr>
          <w:rFonts w:ascii="Times New Roman" w:hAnsi="Times New Roman" w:cs="Times New Roman"/>
          <w:sz w:val="24"/>
          <w:szCs w:val="24"/>
        </w:rPr>
        <w:t xml:space="preserve">de </w:t>
      </w:r>
      <w:r w:rsidR="000937B8" w:rsidRPr="00933491">
        <w:rPr>
          <w:rFonts w:ascii="Times New Roman" w:hAnsi="Times New Roman" w:cs="Times New Roman"/>
          <w:sz w:val="24"/>
          <w:szCs w:val="24"/>
        </w:rPr>
        <w:t>-</w:t>
      </w:r>
      <w:r w:rsidR="00A351A9" w:rsidRPr="00933491">
        <w:rPr>
          <w:rFonts w:ascii="Times New Roman" w:hAnsi="Times New Roman" w:cs="Times New Roman"/>
          <w:sz w:val="24"/>
          <w:szCs w:val="24"/>
        </w:rPr>
        <w:t>0,</w:t>
      </w:r>
      <w:r w:rsidR="000937B8" w:rsidRPr="00933491">
        <w:rPr>
          <w:rFonts w:ascii="Times New Roman" w:hAnsi="Times New Roman" w:cs="Times New Roman"/>
          <w:sz w:val="24"/>
          <w:szCs w:val="24"/>
        </w:rPr>
        <w:t>53</w:t>
      </w:r>
      <w:r w:rsidR="00347921" w:rsidRPr="00933491">
        <w:rPr>
          <w:rFonts w:ascii="Times New Roman" w:hAnsi="Times New Roman" w:cs="Times New Roman"/>
          <w:sz w:val="24"/>
          <w:szCs w:val="24"/>
        </w:rPr>
        <w:t>%</w:t>
      </w:r>
      <w:r w:rsidR="000937B8" w:rsidRPr="00933491">
        <w:rPr>
          <w:rFonts w:ascii="Times New Roman" w:hAnsi="Times New Roman" w:cs="Times New Roman"/>
          <w:sz w:val="24"/>
          <w:szCs w:val="24"/>
        </w:rPr>
        <w:t xml:space="preserve"> </w:t>
      </w:r>
      <w:r w:rsidR="00A351A9" w:rsidRPr="00933491">
        <w:rPr>
          <w:rFonts w:ascii="Times New Roman" w:hAnsi="Times New Roman" w:cs="Times New Roman"/>
          <w:sz w:val="24"/>
          <w:szCs w:val="24"/>
        </w:rPr>
        <w:t>a.t.</w:t>
      </w:r>
      <w:r w:rsidR="00347921" w:rsidRPr="00933491">
        <w:rPr>
          <w:rFonts w:ascii="Times New Roman" w:hAnsi="Times New Roman" w:cs="Times New Roman"/>
          <w:sz w:val="24"/>
          <w:szCs w:val="24"/>
        </w:rPr>
        <w:t>, enquanto</w:t>
      </w:r>
      <w:r w:rsidR="00535113" w:rsidRPr="00933491">
        <w:rPr>
          <w:rFonts w:ascii="Times New Roman" w:hAnsi="Times New Roman" w:cs="Times New Roman"/>
          <w:sz w:val="24"/>
          <w:szCs w:val="24"/>
        </w:rPr>
        <w:t xml:space="preserve"> as empresas não emissoras </w:t>
      </w:r>
      <w:r w:rsidR="000937B8" w:rsidRPr="00933491">
        <w:rPr>
          <w:rFonts w:ascii="Times New Roman" w:hAnsi="Times New Roman" w:cs="Times New Roman"/>
          <w:sz w:val="24"/>
          <w:szCs w:val="24"/>
        </w:rPr>
        <w:t>0,60</w:t>
      </w:r>
      <w:r w:rsidR="00347921" w:rsidRPr="00933491">
        <w:rPr>
          <w:rFonts w:ascii="Times New Roman" w:hAnsi="Times New Roman" w:cs="Times New Roman"/>
          <w:sz w:val="24"/>
          <w:szCs w:val="24"/>
        </w:rPr>
        <w:t>%</w:t>
      </w:r>
      <w:r w:rsidR="000937B8" w:rsidRPr="00933491">
        <w:rPr>
          <w:rFonts w:ascii="Times New Roman" w:hAnsi="Times New Roman" w:cs="Times New Roman"/>
          <w:sz w:val="24"/>
          <w:szCs w:val="24"/>
        </w:rPr>
        <w:t xml:space="preserve"> </w:t>
      </w:r>
      <w:r w:rsidR="00A351A9" w:rsidRPr="00933491">
        <w:rPr>
          <w:rFonts w:ascii="Times New Roman" w:hAnsi="Times New Roman" w:cs="Times New Roman"/>
          <w:sz w:val="24"/>
          <w:szCs w:val="24"/>
        </w:rPr>
        <w:t>a.t.</w:t>
      </w:r>
      <w:r w:rsidR="00347921" w:rsidRPr="00933491">
        <w:rPr>
          <w:rFonts w:ascii="Times New Roman" w:hAnsi="Times New Roman" w:cs="Times New Roman"/>
          <w:sz w:val="24"/>
          <w:szCs w:val="24"/>
        </w:rPr>
        <w:t>, ou seja, o desempenho acionário</w:t>
      </w:r>
      <w:r w:rsidR="00EB20B4" w:rsidRPr="00933491">
        <w:rPr>
          <w:rFonts w:ascii="Times New Roman" w:hAnsi="Times New Roman" w:cs="Times New Roman"/>
          <w:sz w:val="24"/>
          <w:szCs w:val="24"/>
        </w:rPr>
        <w:t xml:space="preserve"> médio</w:t>
      </w:r>
      <w:r w:rsidR="00347921" w:rsidRPr="00933491">
        <w:rPr>
          <w:rFonts w:ascii="Times New Roman" w:hAnsi="Times New Roman" w:cs="Times New Roman"/>
          <w:sz w:val="24"/>
          <w:szCs w:val="24"/>
        </w:rPr>
        <w:t xml:space="preserve"> das empresas que realizam ofertas subsequentes de ações</w:t>
      </w:r>
      <w:r w:rsidR="00EA79EB" w:rsidRPr="00933491">
        <w:rPr>
          <w:rFonts w:ascii="Times New Roman" w:hAnsi="Times New Roman" w:cs="Times New Roman"/>
          <w:sz w:val="24"/>
          <w:szCs w:val="24"/>
        </w:rPr>
        <w:t>,</w:t>
      </w:r>
      <w:r w:rsidR="00347921" w:rsidRPr="00933491">
        <w:rPr>
          <w:rFonts w:ascii="Times New Roman" w:hAnsi="Times New Roman" w:cs="Times New Roman"/>
          <w:sz w:val="24"/>
          <w:szCs w:val="24"/>
        </w:rPr>
        <w:t xml:space="preserve"> nos quatros anos </w:t>
      </w:r>
      <w:r w:rsidR="003B1A2D" w:rsidRPr="00933491">
        <w:rPr>
          <w:rFonts w:ascii="Times New Roman" w:hAnsi="Times New Roman" w:cs="Times New Roman"/>
          <w:sz w:val="24"/>
          <w:szCs w:val="24"/>
        </w:rPr>
        <w:t xml:space="preserve">posteriores </w:t>
      </w:r>
      <w:r w:rsidR="001A51DE" w:rsidRPr="00933491">
        <w:rPr>
          <w:rFonts w:ascii="Times New Roman" w:hAnsi="Times New Roman" w:cs="Times New Roman"/>
          <w:sz w:val="24"/>
          <w:szCs w:val="24"/>
        </w:rPr>
        <w:t>à oferta</w:t>
      </w:r>
      <w:r w:rsidR="00EA79EB" w:rsidRPr="00933491">
        <w:rPr>
          <w:rFonts w:ascii="Times New Roman" w:hAnsi="Times New Roman" w:cs="Times New Roman"/>
          <w:sz w:val="24"/>
          <w:szCs w:val="24"/>
        </w:rPr>
        <w:t>,</w:t>
      </w:r>
      <w:r w:rsidR="001A51DE" w:rsidRPr="00933491">
        <w:rPr>
          <w:rFonts w:ascii="Times New Roman" w:hAnsi="Times New Roman" w:cs="Times New Roman"/>
          <w:sz w:val="24"/>
          <w:szCs w:val="24"/>
        </w:rPr>
        <w:t xml:space="preserve"> </w:t>
      </w:r>
      <w:r w:rsidR="00347921" w:rsidRPr="00933491">
        <w:rPr>
          <w:rFonts w:ascii="Times New Roman" w:hAnsi="Times New Roman" w:cs="Times New Roman"/>
          <w:sz w:val="24"/>
          <w:szCs w:val="24"/>
        </w:rPr>
        <w:t>é menor que o das empresas que não realizaram SEO.</w:t>
      </w:r>
      <w:r w:rsidR="00CD49D3" w:rsidRPr="00933491">
        <w:rPr>
          <w:rFonts w:ascii="Times New Roman" w:hAnsi="Times New Roman" w:cs="Times New Roman"/>
          <w:sz w:val="24"/>
          <w:szCs w:val="24"/>
        </w:rPr>
        <w:t xml:space="preserve"> </w:t>
      </w:r>
      <w:r w:rsidR="00CD49D3" w:rsidRPr="00933491">
        <w:rPr>
          <w:rFonts w:ascii="Times New Roman" w:hAnsi="Times New Roman" w:cs="Times New Roman"/>
          <w:color w:val="000000" w:themeColor="text1"/>
          <w:sz w:val="24"/>
          <w:szCs w:val="24"/>
        </w:rPr>
        <w:t>Esses resultados vão ao encontro dos achados de</w:t>
      </w:r>
      <w:r w:rsidR="00347921" w:rsidRPr="00933491">
        <w:rPr>
          <w:rFonts w:ascii="Times New Roman" w:hAnsi="Times New Roman" w:cs="Times New Roman"/>
          <w:color w:val="000000" w:themeColor="text1"/>
          <w:sz w:val="24"/>
          <w:szCs w:val="24"/>
        </w:rPr>
        <w:t xml:space="preserve"> </w:t>
      </w:r>
      <w:proofErr w:type="spellStart"/>
      <w:r w:rsidR="00CD49D3" w:rsidRPr="00933491">
        <w:rPr>
          <w:rFonts w:ascii="Times New Roman" w:hAnsi="Times New Roman" w:cs="Times New Roman"/>
          <w:color w:val="000000" w:themeColor="text1"/>
          <w:sz w:val="24"/>
          <w:szCs w:val="24"/>
        </w:rPr>
        <w:t>Loughran</w:t>
      </w:r>
      <w:proofErr w:type="spellEnd"/>
      <w:r w:rsidR="00CD49D3" w:rsidRPr="00933491">
        <w:rPr>
          <w:rFonts w:ascii="Times New Roman" w:hAnsi="Times New Roman" w:cs="Times New Roman"/>
          <w:color w:val="000000" w:themeColor="text1"/>
          <w:sz w:val="24"/>
          <w:szCs w:val="24"/>
        </w:rPr>
        <w:t xml:space="preserve"> e </w:t>
      </w:r>
      <w:proofErr w:type="spellStart"/>
      <w:r w:rsidR="00CD49D3" w:rsidRPr="00933491">
        <w:rPr>
          <w:rFonts w:ascii="Times New Roman" w:hAnsi="Times New Roman" w:cs="Times New Roman"/>
          <w:color w:val="000000" w:themeColor="text1"/>
          <w:sz w:val="24"/>
          <w:szCs w:val="24"/>
        </w:rPr>
        <w:t>Ritter</w:t>
      </w:r>
      <w:proofErr w:type="spellEnd"/>
      <w:r w:rsidR="00CD49D3" w:rsidRPr="00933491">
        <w:rPr>
          <w:rFonts w:ascii="Times New Roman" w:hAnsi="Times New Roman" w:cs="Times New Roman"/>
          <w:color w:val="000000" w:themeColor="text1"/>
          <w:sz w:val="24"/>
          <w:szCs w:val="24"/>
        </w:rPr>
        <w:t xml:space="preserve"> (1995), os quais encontraram que retorno médio anual durante os cinco anos posteriores à emissão é de 7% para as empresas que realizaram SEO e de 15% para as empresas não emissoras de ações. </w:t>
      </w:r>
      <w:r w:rsidR="0048052C" w:rsidRPr="00933491">
        <w:rPr>
          <w:rFonts w:ascii="Times New Roman" w:hAnsi="Times New Roman" w:cs="Times New Roman"/>
          <w:color w:val="000000" w:themeColor="text1"/>
          <w:sz w:val="24"/>
          <w:szCs w:val="24"/>
        </w:rPr>
        <w:t xml:space="preserve">Denis e </w:t>
      </w:r>
      <w:proofErr w:type="spellStart"/>
      <w:r w:rsidR="0048052C" w:rsidRPr="00933491">
        <w:rPr>
          <w:rFonts w:ascii="Times New Roman" w:hAnsi="Times New Roman" w:cs="Times New Roman"/>
          <w:color w:val="000000" w:themeColor="text1"/>
          <w:sz w:val="24"/>
          <w:szCs w:val="24"/>
        </w:rPr>
        <w:t>Sarin</w:t>
      </w:r>
      <w:proofErr w:type="spellEnd"/>
      <w:r w:rsidR="0048052C" w:rsidRPr="00933491">
        <w:rPr>
          <w:rFonts w:ascii="Times New Roman" w:hAnsi="Times New Roman" w:cs="Times New Roman"/>
          <w:color w:val="000000" w:themeColor="text1"/>
          <w:sz w:val="24"/>
          <w:szCs w:val="24"/>
        </w:rPr>
        <w:t xml:space="preserve"> (2001) também encontraram que, no longo prazo, as empresas que realizaram SEO obtiveram baixo desempenho do preço das ações em comparação </w:t>
      </w:r>
      <w:r w:rsidR="00344824" w:rsidRPr="00933491">
        <w:rPr>
          <w:rFonts w:ascii="Times New Roman" w:hAnsi="Times New Roman" w:cs="Times New Roman"/>
          <w:color w:val="000000" w:themeColor="text1"/>
          <w:sz w:val="24"/>
          <w:szCs w:val="24"/>
        </w:rPr>
        <w:t>à</w:t>
      </w:r>
      <w:r w:rsidR="0048052C" w:rsidRPr="00933491">
        <w:rPr>
          <w:rFonts w:ascii="Times New Roman" w:hAnsi="Times New Roman" w:cs="Times New Roman"/>
          <w:color w:val="000000" w:themeColor="text1"/>
          <w:sz w:val="24"/>
          <w:szCs w:val="24"/>
        </w:rPr>
        <w:t>s empresas não emissoras de SEO.</w:t>
      </w:r>
    </w:p>
    <w:p w14:paraId="61586896" w14:textId="497E5FA3" w:rsidR="001141D5" w:rsidRDefault="001141D5" w:rsidP="00157D35">
      <w:pPr>
        <w:spacing w:after="0" w:line="240" w:lineRule="auto"/>
        <w:ind w:firstLine="709"/>
        <w:jc w:val="both"/>
        <w:rPr>
          <w:rFonts w:ascii="Times New Roman" w:hAnsi="Times New Roman" w:cs="Times New Roman"/>
          <w:sz w:val="24"/>
          <w:szCs w:val="24"/>
        </w:rPr>
      </w:pPr>
      <w:r w:rsidRPr="00933491">
        <w:rPr>
          <w:rFonts w:ascii="Times New Roman" w:hAnsi="Times New Roman" w:cs="Times New Roman"/>
          <w:sz w:val="24"/>
          <w:szCs w:val="24"/>
        </w:rPr>
        <w:t>Ademais, foi examinado se há diferenças no desempenho acionário antes e após a realização da SEO. Por meio da Tabela 9, verifica-se que há diferença significativa do desempenho acionário das empresas um ano antes e após a SEO e quatro anos antes e após</w:t>
      </w:r>
      <w:r w:rsidR="00EA588F" w:rsidRPr="00933491">
        <w:rPr>
          <w:rFonts w:ascii="Times New Roman" w:hAnsi="Times New Roman" w:cs="Times New Roman"/>
          <w:sz w:val="24"/>
          <w:szCs w:val="24"/>
        </w:rPr>
        <w:t xml:space="preserve"> a oferta subsequente de ações.</w:t>
      </w:r>
    </w:p>
    <w:p w14:paraId="5934DC73" w14:textId="77777777" w:rsidR="005216EB" w:rsidRDefault="005216EB" w:rsidP="0056798E">
      <w:pPr>
        <w:spacing w:after="0" w:line="240" w:lineRule="auto"/>
        <w:ind w:firstLine="567"/>
        <w:jc w:val="both"/>
        <w:rPr>
          <w:rFonts w:ascii="Times New Roman" w:hAnsi="Times New Roman" w:cs="Times New Roman"/>
          <w:sz w:val="24"/>
          <w:szCs w:val="24"/>
        </w:rPr>
      </w:pPr>
    </w:p>
    <w:p w14:paraId="1AA5AB32" w14:textId="77777777" w:rsidR="006909D1" w:rsidRDefault="006909D1" w:rsidP="0056798E">
      <w:pPr>
        <w:spacing w:after="0" w:line="240" w:lineRule="auto"/>
        <w:ind w:firstLine="567"/>
        <w:jc w:val="both"/>
        <w:rPr>
          <w:rFonts w:ascii="Times New Roman" w:hAnsi="Times New Roman" w:cs="Times New Roman"/>
          <w:sz w:val="24"/>
          <w:szCs w:val="24"/>
        </w:rPr>
      </w:pPr>
    </w:p>
    <w:p w14:paraId="35533955" w14:textId="63CBC6BE" w:rsidR="009D3164" w:rsidRPr="004C7DD9" w:rsidRDefault="009D3164" w:rsidP="004C7DD9">
      <w:pPr>
        <w:spacing w:after="0" w:line="240" w:lineRule="auto"/>
        <w:jc w:val="center"/>
        <w:rPr>
          <w:rFonts w:ascii="Times New Roman" w:hAnsi="Times New Roman" w:cs="Times New Roman"/>
          <w:b/>
          <w:sz w:val="20"/>
          <w:szCs w:val="24"/>
        </w:rPr>
      </w:pPr>
      <w:r w:rsidRPr="004C7DD9">
        <w:rPr>
          <w:rFonts w:ascii="Times New Roman" w:hAnsi="Times New Roman" w:cs="Times New Roman"/>
          <w:b/>
          <w:sz w:val="20"/>
          <w:szCs w:val="24"/>
        </w:rPr>
        <w:lastRenderedPageBreak/>
        <w:t>Tabela 9</w:t>
      </w:r>
      <w:r w:rsidR="004C7DD9" w:rsidRPr="004C7DD9">
        <w:rPr>
          <w:rFonts w:ascii="Times New Roman" w:hAnsi="Times New Roman" w:cs="Times New Roman"/>
          <w:b/>
          <w:sz w:val="20"/>
          <w:szCs w:val="24"/>
        </w:rPr>
        <w:t xml:space="preserve"> - </w:t>
      </w:r>
      <w:r w:rsidRPr="004C7DD9">
        <w:rPr>
          <w:rFonts w:ascii="Times New Roman" w:hAnsi="Times New Roman" w:cs="Times New Roman"/>
          <w:b/>
          <w:sz w:val="20"/>
          <w:szCs w:val="24"/>
        </w:rPr>
        <w:t>Análise do desempenho acionário anterior e posterior à emissão de SEO</w:t>
      </w:r>
    </w:p>
    <w:tbl>
      <w:tblPr>
        <w:tblW w:w="4373"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292"/>
        <w:gridCol w:w="1117"/>
        <w:gridCol w:w="1132"/>
        <w:gridCol w:w="1277"/>
        <w:gridCol w:w="991"/>
        <w:gridCol w:w="848"/>
        <w:gridCol w:w="1272"/>
      </w:tblGrid>
      <w:tr w:rsidR="009D3164" w:rsidRPr="00933491" w14:paraId="138A6DF0" w14:textId="77777777" w:rsidTr="004C7DD9">
        <w:trPr>
          <w:cantSplit/>
          <w:tblHeader/>
          <w:jc w:val="center"/>
        </w:trPr>
        <w:tc>
          <w:tcPr>
            <w:tcW w:w="814" w:type="pct"/>
            <w:tcBorders>
              <w:top w:val="single" w:sz="4" w:space="0" w:color="auto"/>
              <w:left w:val="nil"/>
              <w:bottom w:val="nil"/>
              <w:right w:val="single" w:sz="4" w:space="0" w:color="auto"/>
            </w:tcBorders>
            <w:shd w:val="clear" w:color="auto" w:fill="FFFFFF"/>
            <w:vAlign w:val="center"/>
          </w:tcPr>
          <w:p w14:paraId="774BABF2" w14:textId="6E1A0436" w:rsidR="009D3164" w:rsidRPr="00933491" w:rsidRDefault="009D3164"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b/>
                <w:color w:val="000000"/>
                <w:sz w:val="20"/>
                <w:szCs w:val="20"/>
              </w:rPr>
              <w:t>Comparação dos Períodos</w:t>
            </w:r>
          </w:p>
        </w:tc>
        <w:tc>
          <w:tcPr>
            <w:tcW w:w="704" w:type="pct"/>
            <w:tcBorders>
              <w:top w:val="single" w:sz="4" w:space="0" w:color="auto"/>
              <w:left w:val="single" w:sz="4" w:space="0" w:color="auto"/>
              <w:bottom w:val="nil"/>
            </w:tcBorders>
            <w:shd w:val="clear" w:color="auto" w:fill="FFFFFF"/>
            <w:vAlign w:val="center"/>
          </w:tcPr>
          <w:p w14:paraId="2D104872" w14:textId="772075F0" w:rsidR="009D3164" w:rsidRPr="00933491" w:rsidRDefault="009D3164"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b/>
                <w:color w:val="000000"/>
                <w:sz w:val="20"/>
                <w:szCs w:val="20"/>
              </w:rPr>
              <w:t>Média</w:t>
            </w:r>
          </w:p>
        </w:tc>
        <w:tc>
          <w:tcPr>
            <w:tcW w:w="714" w:type="pct"/>
            <w:tcBorders>
              <w:top w:val="single" w:sz="4" w:space="0" w:color="auto"/>
              <w:bottom w:val="nil"/>
            </w:tcBorders>
            <w:shd w:val="clear" w:color="auto" w:fill="FFFFFF"/>
            <w:vAlign w:val="center"/>
          </w:tcPr>
          <w:p w14:paraId="64B7F5AF" w14:textId="33596ECD" w:rsidR="009D3164" w:rsidRPr="00933491" w:rsidRDefault="009D3164"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b/>
                <w:color w:val="000000"/>
                <w:sz w:val="20"/>
                <w:szCs w:val="20"/>
              </w:rPr>
              <w:t>Desvio-Padrão</w:t>
            </w:r>
          </w:p>
        </w:tc>
        <w:tc>
          <w:tcPr>
            <w:tcW w:w="805" w:type="pct"/>
            <w:tcBorders>
              <w:top w:val="single" w:sz="4" w:space="0" w:color="auto"/>
              <w:bottom w:val="nil"/>
            </w:tcBorders>
            <w:shd w:val="clear" w:color="auto" w:fill="FFFFFF"/>
            <w:vAlign w:val="center"/>
          </w:tcPr>
          <w:p w14:paraId="0059243A" w14:textId="08FC76A2" w:rsidR="009D3164" w:rsidRPr="00933491" w:rsidRDefault="009D3164"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b/>
                <w:color w:val="000000"/>
                <w:sz w:val="20"/>
                <w:szCs w:val="20"/>
              </w:rPr>
              <w:t>Erro Padrão Médio</w:t>
            </w:r>
          </w:p>
        </w:tc>
        <w:tc>
          <w:tcPr>
            <w:tcW w:w="625" w:type="pct"/>
            <w:tcBorders>
              <w:top w:val="single" w:sz="4" w:space="0" w:color="auto"/>
              <w:bottom w:val="nil"/>
            </w:tcBorders>
            <w:shd w:val="clear" w:color="auto" w:fill="FFFFFF"/>
            <w:vAlign w:val="center"/>
          </w:tcPr>
          <w:p w14:paraId="73219AD6" w14:textId="3DC51633" w:rsidR="009D3164" w:rsidRPr="00933491" w:rsidRDefault="009D3164" w:rsidP="0056798E">
            <w:pPr>
              <w:autoSpaceDE w:val="0"/>
              <w:autoSpaceDN w:val="0"/>
              <w:adjustRightInd w:val="0"/>
              <w:spacing w:after="0" w:line="240" w:lineRule="auto"/>
              <w:ind w:left="60" w:right="60"/>
              <w:jc w:val="center"/>
              <w:rPr>
                <w:rFonts w:ascii="Times New Roman" w:hAnsi="Times New Roman" w:cs="Times New Roman"/>
                <w:i/>
                <w:color w:val="000000"/>
                <w:sz w:val="20"/>
                <w:szCs w:val="20"/>
              </w:rPr>
            </w:pPr>
            <w:proofErr w:type="gramStart"/>
            <w:r w:rsidRPr="00933491">
              <w:rPr>
                <w:rFonts w:ascii="Times New Roman" w:hAnsi="Times New Roman" w:cs="Times New Roman"/>
                <w:b/>
                <w:i/>
                <w:color w:val="000000"/>
                <w:sz w:val="20"/>
                <w:szCs w:val="20"/>
              </w:rPr>
              <w:t>t</w:t>
            </w:r>
            <w:proofErr w:type="gramEnd"/>
          </w:p>
        </w:tc>
        <w:tc>
          <w:tcPr>
            <w:tcW w:w="535" w:type="pct"/>
            <w:tcBorders>
              <w:top w:val="single" w:sz="4" w:space="0" w:color="auto"/>
              <w:bottom w:val="nil"/>
            </w:tcBorders>
            <w:shd w:val="clear" w:color="auto" w:fill="FFFFFF"/>
            <w:vAlign w:val="center"/>
          </w:tcPr>
          <w:p w14:paraId="6B3E0943" w14:textId="4CF1800A" w:rsidR="009D3164" w:rsidRPr="00933491" w:rsidRDefault="009D3164"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proofErr w:type="spellStart"/>
            <w:proofErr w:type="gramStart"/>
            <w:r w:rsidRPr="00933491">
              <w:rPr>
                <w:rFonts w:ascii="Times New Roman" w:hAnsi="Times New Roman" w:cs="Times New Roman"/>
                <w:b/>
                <w:color w:val="000000"/>
                <w:sz w:val="20"/>
                <w:szCs w:val="20"/>
              </w:rPr>
              <w:t>df</w:t>
            </w:r>
            <w:proofErr w:type="spellEnd"/>
            <w:proofErr w:type="gramEnd"/>
          </w:p>
        </w:tc>
        <w:tc>
          <w:tcPr>
            <w:tcW w:w="802" w:type="pct"/>
            <w:tcBorders>
              <w:top w:val="single" w:sz="4" w:space="0" w:color="auto"/>
              <w:bottom w:val="nil"/>
              <w:right w:val="single" w:sz="4" w:space="0" w:color="FFFFFF" w:themeColor="background1"/>
            </w:tcBorders>
            <w:shd w:val="clear" w:color="auto" w:fill="FFFFFF"/>
            <w:vAlign w:val="center"/>
          </w:tcPr>
          <w:p w14:paraId="45F6438E" w14:textId="4DE19328" w:rsidR="009D3164" w:rsidRPr="00933491" w:rsidRDefault="001141D5" w:rsidP="0056798E">
            <w:pPr>
              <w:autoSpaceDE w:val="0"/>
              <w:autoSpaceDN w:val="0"/>
              <w:adjustRightInd w:val="0"/>
              <w:spacing w:after="0" w:line="240" w:lineRule="auto"/>
              <w:ind w:left="60" w:right="60"/>
              <w:jc w:val="center"/>
              <w:rPr>
                <w:rFonts w:ascii="Times New Roman" w:hAnsi="Times New Roman" w:cs="Times New Roman"/>
                <w:b/>
                <w:color w:val="000000"/>
                <w:sz w:val="20"/>
                <w:szCs w:val="20"/>
              </w:rPr>
            </w:pPr>
            <w:proofErr w:type="gramStart"/>
            <w:r w:rsidRPr="00933491">
              <w:rPr>
                <w:rFonts w:ascii="Times New Roman" w:hAnsi="Times New Roman" w:cs="Times New Roman"/>
                <w:b/>
                <w:i/>
                <w:color w:val="000000"/>
                <w:sz w:val="20"/>
                <w:szCs w:val="20"/>
              </w:rPr>
              <w:t>p</w:t>
            </w:r>
            <w:proofErr w:type="gramEnd"/>
            <w:r w:rsidRPr="00933491">
              <w:rPr>
                <w:rFonts w:ascii="Times New Roman" w:hAnsi="Times New Roman" w:cs="Times New Roman"/>
                <w:b/>
                <w:color w:val="000000"/>
                <w:sz w:val="20"/>
                <w:szCs w:val="20"/>
              </w:rPr>
              <w:t>-valor</w:t>
            </w:r>
          </w:p>
        </w:tc>
      </w:tr>
      <w:tr w:rsidR="00820AE1" w:rsidRPr="00933491" w14:paraId="3A2CD486" w14:textId="77777777" w:rsidTr="004C7DD9">
        <w:trPr>
          <w:cantSplit/>
          <w:tblHeader/>
          <w:jc w:val="center"/>
        </w:trPr>
        <w:tc>
          <w:tcPr>
            <w:tcW w:w="814" w:type="pct"/>
            <w:tcBorders>
              <w:top w:val="single" w:sz="4" w:space="0" w:color="auto"/>
              <w:left w:val="nil"/>
              <w:bottom w:val="nil"/>
              <w:right w:val="single" w:sz="4" w:space="0" w:color="auto"/>
            </w:tcBorders>
            <w:shd w:val="clear" w:color="auto" w:fill="FFFFFF"/>
          </w:tcPr>
          <w:p w14:paraId="3C076251" w14:textId="77777777" w:rsidR="009D3164" w:rsidRPr="00CC11DC" w:rsidRDefault="009D3164"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CC11DC">
              <w:rPr>
                <w:rFonts w:ascii="Times New Roman" w:hAnsi="Times New Roman" w:cs="Times New Roman"/>
                <w:color w:val="000000"/>
                <w:sz w:val="20"/>
                <w:szCs w:val="20"/>
              </w:rPr>
              <w:t>-4 e +4</w:t>
            </w:r>
          </w:p>
        </w:tc>
        <w:tc>
          <w:tcPr>
            <w:tcW w:w="704" w:type="pct"/>
            <w:tcBorders>
              <w:top w:val="single" w:sz="4" w:space="0" w:color="auto"/>
              <w:left w:val="single" w:sz="4" w:space="0" w:color="auto"/>
              <w:bottom w:val="nil"/>
            </w:tcBorders>
            <w:shd w:val="clear" w:color="auto" w:fill="FFFFFF"/>
          </w:tcPr>
          <w:p w14:paraId="02538942" w14:textId="681A10F5" w:rsidR="009D3164" w:rsidRPr="003E40AC" w:rsidRDefault="009D3164"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9,90</w:t>
            </w:r>
          </w:p>
        </w:tc>
        <w:tc>
          <w:tcPr>
            <w:tcW w:w="714" w:type="pct"/>
            <w:tcBorders>
              <w:top w:val="single" w:sz="4" w:space="0" w:color="auto"/>
              <w:bottom w:val="nil"/>
            </w:tcBorders>
            <w:shd w:val="clear" w:color="auto" w:fill="FFFFFF"/>
          </w:tcPr>
          <w:p w14:paraId="59C5558F" w14:textId="4B0982A3" w:rsidR="009D3164" w:rsidRPr="003E40AC" w:rsidRDefault="009D3164"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29,81</w:t>
            </w:r>
          </w:p>
        </w:tc>
        <w:tc>
          <w:tcPr>
            <w:tcW w:w="805" w:type="pct"/>
            <w:tcBorders>
              <w:top w:val="single" w:sz="4" w:space="0" w:color="auto"/>
              <w:bottom w:val="nil"/>
            </w:tcBorders>
            <w:shd w:val="clear" w:color="auto" w:fill="FFFFFF"/>
          </w:tcPr>
          <w:p w14:paraId="02702BB8" w14:textId="46E575D1" w:rsidR="009D3164" w:rsidRPr="00933491" w:rsidRDefault="009D3164"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4,13</w:t>
            </w:r>
          </w:p>
        </w:tc>
        <w:tc>
          <w:tcPr>
            <w:tcW w:w="625" w:type="pct"/>
            <w:tcBorders>
              <w:top w:val="single" w:sz="4" w:space="0" w:color="auto"/>
              <w:bottom w:val="nil"/>
            </w:tcBorders>
            <w:shd w:val="clear" w:color="auto" w:fill="FFFFFF"/>
          </w:tcPr>
          <w:p w14:paraId="57CB22E4" w14:textId="2DC2F7CB" w:rsidR="009D3164" w:rsidRPr="00933491" w:rsidRDefault="009D3164"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2,394</w:t>
            </w:r>
          </w:p>
        </w:tc>
        <w:tc>
          <w:tcPr>
            <w:tcW w:w="535" w:type="pct"/>
            <w:tcBorders>
              <w:top w:val="single" w:sz="4" w:space="0" w:color="auto"/>
              <w:bottom w:val="nil"/>
            </w:tcBorders>
            <w:shd w:val="clear" w:color="auto" w:fill="FFFFFF"/>
          </w:tcPr>
          <w:p w14:paraId="2706578D" w14:textId="092A1E7A" w:rsidR="009D3164" w:rsidRPr="00933491" w:rsidRDefault="009D3164"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51</w:t>
            </w:r>
          </w:p>
        </w:tc>
        <w:tc>
          <w:tcPr>
            <w:tcW w:w="802" w:type="pct"/>
            <w:tcBorders>
              <w:top w:val="single" w:sz="4" w:space="0" w:color="auto"/>
              <w:bottom w:val="nil"/>
              <w:right w:val="single" w:sz="4" w:space="0" w:color="FFFFFF" w:themeColor="background1"/>
            </w:tcBorders>
            <w:shd w:val="clear" w:color="auto" w:fill="FFFFFF"/>
          </w:tcPr>
          <w:p w14:paraId="39598414" w14:textId="060E67B9" w:rsidR="009D3164" w:rsidRPr="00933491" w:rsidRDefault="009D3164" w:rsidP="0056798E">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933491">
              <w:rPr>
                <w:rFonts w:ascii="Times New Roman" w:hAnsi="Times New Roman" w:cs="Times New Roman"/>
                <w:b/>
                <w:color w:val="000000"/>
                <w:sz w:val="20"/>
                <w:szCs w:val="20"/>
              </w:rPr>
              <w:t>0,020</w:t>
            </w:r>
          </w:p>
        </w:tc>
      </w:tr>
      <w:tr w:rsidR="00820AE1" w:rsidRPr="00933491" w14:paraId="7F373E91" w14:textId="77777777" w:rsidTr="004C7DD9">
        <w:trPr>
          <w:cantSplit/>
          <w:tblHeader/>
          <w:jc w:val="center"/>
        </w:trPr>
        <w:tc>
          <w:tcPr>
            <w:tcW w:w="814" w:type="pct"/>
            <w:tcBorders>
              <w:top w:val="nil"/>
              <w:left w:val="nil"/>
              <w:bottom w:val="nil"/>
              <w:right w:val="single" w:sz="4" w:space="0" w:color="auto"/>
            </w:tcBorders>
            <w:shd w:val="clear" w:color="auto" w:fill="FFFFFF"/>
          </w:tcPr>
          <w:p w14:paraId="49CE7940" w14:textId="77777777" w:rsidR="009D3164" w:rsidRPr="00CC11DC" w:rsidRDefault="009D3164"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CC11DC">
              <w:rPr>
                <w:rFonts w:ascii="Times New Roman" w:hAnsi="Times New Roman" w:cs="Times New Roman"/>
                <w:color w:val="000000"/>
                <w:sz w:val="20"/>
                <w:szCs w:val="20"/>
              </w:rPr>
              <w:t>-3 e +3</w:t>
            </w:r>
          </w:p>
        </w:tc>
        <w:tc>
          <w:tcPr>
            <w:tcW w:w="704" w:type="pct"/>
            <w:tcBorders>
              <w:top w:val="nil"/>
              <w:left w:val="single" w:sz="4" w:space="0" w:color="auto"/>
              <w:bottom w:val="nil"/>
            </w:tcBorders>
            <w:shd w:val="clear" w:color="auto" w:fill="FFFFFF"/>
          </w:tcPr>
          <w:p w14:paraId="110E5934" w14:textId="1D4EB289" w:rsidR="009D3164" w:rsidRPr="003E40AC" w:rsidRDefault="009D3164"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-4,76</w:t>
            </w:r>
          </w:p>
        </w:tc>
        <w:tc>
          <w:tcPr>
            <w:tcW w:w="714" w:type="pct"/>
            <w:tcBorders>
              <w:top w:val="nil"/>
              <w:bottom w:val="nil"/>
            </w:tcBorders>
            <w:shd w:val="clear" w:color="auto" w:fill="FFFFFF"/>
          </w:tcPr>
          <w:p w14:paraId="6E80E845" w14:textId="6F23FBA5" w:rsidR="009D3164" w:rsidRPr="003E40AC" w:rsidRDefault="009D3164"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31,59</w:t>
            </w:r>
          </w:p>
        </w:tc>
        <w:tc>
          <w:tcPr>
            <w:tcW w:w="805" w:type="pct"/>
            <w:tcBorders>
              <w:top w:val="nil"/>
              <w:bottom w:val="nil"/>
            </w:tcBorders>
            <w:shd w:val="clear" w:color="auto" w:fill="FFFFFF"/>
          </w:tcPr>
          <w:p w14:paraId="625B8ABD" w14:textId="5279ECE4" w:rsidR="009D3164" w:rsidRPr="00933491" w:rsidRDefault="009D3164"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3,53</w:t>
            </w:r>
          </w:p>
        </w:tc>
        <w:tc>
          <w:tcPr>
            <w:tcW w:w="625" w:type="pct"/>
            <w:tcBorders>
              <w:top w:val="nil"/>
              <w:bottom w:val="nil"/>
            </w:tcBorders>
            <w:shd w:val="clear" w:color="auto" w:fill="FFFFFF"/>
          </w:tcPr>
          <w:p w14:paraId="3EDCD248" w14:textId="5DCFFD44" w:rsidR="009D3164" w:rsidRPr="00933491" w:rsidRDefault="009D3164"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-1,349</w:t>
            </w:r>
          </w:p>
        </w:tc>
        <w:tc>
          <w:tcPr>
            <w:tcW w:w="535" w:type="pct"/>
            <w:tcBorders>
              <w:top w:val="nil"/>
              <w:bottom w:val="nil"/>
            </w:tcBorders>
            <w:shd w:val="clear" w:color="auto" w:fill="FFFFFF"/>
          </w:tcPr>
          <w:p w14:paraId="387BE621" w14:textId="5829C09F" w:rsidR="009D3164" w:rsidRPr="00933491" w:rsidRDefault="009D3164"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79</w:t>
            </w:r>
          </w:p>
        </w:tc>
        <w:tc>
          <w:tcPr>
            <w:tcW w:w="802" w:type="pct"/>
            <w:tcBorders>
              <w:top w:val="nil"/>
              <w:bottom w:val="nil"/>
              <w:right w:val="single" w:sz="4" w:space="0" w:color="FFFFFF" w:themeColor="background1"/>
            </w:tcBorders>
            <w:shd w:val="clear" w:color="auto" w:fill="FFFFFF"/>
          </w:tcPr>
          <w:p w14:paraId="04384EE4" w14:textId="71ADCD1E" w:rsidR="009D3164" w:rsidRPr="00933491" w:rsidRDefault="009D3164" w:rsidP="0056798E">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933491">
              <w:rPr>
                <w:rFonts w:ascii="Times New Roman" w:hAnsi="Times New Roman" w:cs="Times New Roman"/>
                <w:b/>
                <w:color w:val="000000"/>
                <w:sz w:val="20"/>
                <w:szCs w:val="20"/>
              </w:rPr>
              <w:t>0,181</w:t>
            </w:r>
          </w:p>
        </w:tc>
      </w:tr>
      <w:tr w:rsidR="00820AE1" w:rsidRPr="00933491" w14:paraId="4BD19DB8" w14:textId="77777777" w:rsidTr="004C7DD9">
        <w:trPr>
          <w:cantSplit/>
          <w:tblHeader/>
          <w:jc w:val="center"/>
        </w:trPr>
        <w:tc>
          <w:tcPr>
            <w:tcW w:w="814" w:type="pct"/>
            <w:tcBorders>
              <w:top w:val="nil"/>
              <w:left w:val="nil"/>
              <w:bottom w:val="nil"/>
              <w:right w:val="single" w:sz="4" w:space="0" w:color="auto"/>
            </w:tcBorders>
            <w:shd w:val="clear" w:color="auto" w:fill="FFFFFF"/>
          </w:tcPr>
          <w:p w14:paraId="09AADF37" w14:textId="77777777" w:rsidR="009D3164" w:rsidRPr="00CC11DC" w:rsidRDefault="009D3164"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CC11DC">
              <w:rPr>
                <w:rFonts w:ascii="Times New Roman" w:hAnsi="Times New Roman" w:cs="Times New Roman"/>
                <w:color w:val="000000"/>
                <w:sz w:val="20"/>
                <w:szCs w:val="20"/>
              </w:rPr>
              <w:t>-2 e +2</w:t>
            </w:r>
          </w:p>
        </w:tc>
        <w:tc>
          <w:tcPr>
            <w:tcW w:w="704" w:type="pct"/>
            <w:tcBorders>
              <w:top w:val="nil"/>
              <w:left w:val="single" w:sz="4" w:space="0" w:color="auto"/>
              <w:bottom w:val="nil"/>
            </w:tcBorders>
            <w:shd w:val="clear" w:color="auto" w:fill="FFFFFF"/>
          </w:tcPr>
          <w:p w14:paraId="7B41FCC5" w14:textId="2960C55A" w:rsidR="009D3164" w:rsidRPr="003E40AC" w:rsidRDefault="009D3164"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2,78</w:t>
            </w:r>
          </w:p>
        </w:tc>
        <w:tc>
          <w:tcPr>
            <w:tcW w:w="714" w:type="pct"/>
            <w:tcBorders>
              <w:top w:val="nil"/>
              <w:bottom w:val="nil"/>
            </w:tcBorders>
            <w:shd w:val="clear" w:color="auto" w:fill="FFFFFF"/>
          </w:tcPr>
          <w:p w14:paraId="2D8B0FD2" w14:textId="007FE990" w:rsidR="009D3164" w:rsidRPr="003E40AC" w:rsidRDefault="009D3164"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51,16</w:t>
            </w:r>
          </w:p>
        </w:tc>
        <w:tc>
          <w:tcPr>
            <w:tcW w:w="805" w:type="pct"/>
            <w:tcBorders>
              <w:top w:val="nil"/>
              <w:bottom w:val="nil"/>
            </w:tcBorders>
            <w:shd w:val="clear" w:color="auto" w:fill="FFFFFF"/>
          </w:tcPr>
          <w:p w14:paraId="4AEAC7AD" w14:textId="462FE0F3" w:rsidR="009D3164" w:rsidRPr="00933491" w:rsidRDefault="009D3164"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5,22</w:t>
            </w:r>
          </w:p>
        </w:tc>
        <w:tc>
          <w:tcPr>
            <w:tcW w:w="625" w:type="pct"/>
            <w:tcBorders>
              <w:top w:val="nil"/>
              <w:bottom w:val="nil"/>
            </w:tcBorders>
            <w:shd w:val="clear" w:color="auto" w:fill="FFFFFF"/>
          </w:tcPr>
          <w:p w14:paraId="2D1A8424" w14:textId="007AE777" w:rsidR="009D3164" w:rsidRPr="00933491" w:rsidRDefault="009D3164"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0,532</w:t>
            </w:r>
          </w:p>
        </w:tc>
        <w:tc>
          <w:tcPr>
            <w:tcW w:w="535" w:type="pct"/>
            <w:tcBorders>
              <w:top w:val="nil"/>
              <w:bottom w:val="nil"/>
            </w:tcBorders>
            <w:shd w:val="clear" w:color="auto" w:fill="FFFFFF"/>
          </w:tcPr>
          <w:p w14:paraId="6D4C202F" w14:textId="1ACB925A" w:rsidR="009D3164" w:rsidRPr="00933491" w:rsidRDefault="009D3164"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95</w:t>
            </w:r>
          </w:p>
        </w:tc>
        <w:tc>
          <w:tcPr>
            <w:tcW w:w="802" w:type="pct"/>
            <w:tcBorders>
              <w:top w:val="nil"/>
              <w:bottom w:val="nil"/>
              <w:right w:val="single" w:sz="4" w:space="0" w:color="FFFFFF" w:themeColor="background1"/>
            </w:tcBorders>
            <w:shd w:val="clear" w:color="auto" w:fill="FFFFFF"/>
          </w:tcPr>
          <w:p w14:paraId="1C7B9360" w14:textId="33A2E3FB" w:rsidR="009D3164" w:rsidRPr="00933491" w:rsidRDefault="009D3164" w:rsidP="0056798E">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933491">
              <w:rPr>
                <w:rFonts w:ascii="Times New Roman" w:hAnsi="Times New Roman" w:cs="Times New Roman"/>
                <w:b/>
                <w:color w:val="000000"/>
                <w:sz w:val="20"/>
                <w:szCs w:val="20"/>
              </w:rPr>
              <w:t>0,596</w:t>
            </w:r>
          </w:p>
        </w:tc>
      </w:tr>
      <w:tr w:rsidR="00820AE1" w:rsidRPr="00933491" w14:paraId="11FC822F" w14:textId="77777777" w:rsidTr="004C7DD9">
        <w:trPr>
          <w:cantSplit/>
          <w:jc w:val="center"/>
        </w:trPr>
        <w:tc>
          <w:tcPr>
            <w:tcW w:w="814" w:type="pct"/>
            <w:tcBorders>
              <w:top w:val="nil"/>
              <w:left w:val="nil"/>
              <w:bottom w:val="single" w:sz="4" w:space="0" w:color="auto"/>
              <w:right w:val="single" w:sz="4" w:space="0" w:color="auto"/>
            </w:tcBorders>
            <w:shd w:val="clear" w:color="auto" w:fill="FFFFFF"/>
          </w:tcPr>
          <w:p w14:paraId="65D41B4D" w14:textId="77777777" w:rsidR="009D3164" w:rsidRPr="00CC11DC" w:rsidRDefault="009D3164"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CC11DC">
              <w:rPr>
                <w:rFonts w:ascii="Times New Roman" w:hAnsi="Times New Roman" w:cs="Times New Roman"/>
                <w:color w:val="000000"/>
                <w:sz w:val="20"/>
                <w:szCs w:val="20"/>
              </w:rPr>
              <w:t>-1 e +1</w:t>
            </w:r>
          </w:p>
        </w:tc>
        <w:tc>
          <w:tcPr>
            <w:tcW w:w="704" w:type="pct"/>
            <w:tcBorders>
              <w:top w:val="nil"/>
              <w:left w:val="single" w:sz="4" w:space="0" w:color="auto"/>
              <w:bottom w:val="single" w:sz="4" w:space="0" w:color="auto"/>
            </w:tcBorders>
            <w:shd w:val="clear" w:color="auto" w:fill="FFFFFF"/>
          </w:tcPr>
          <w:p w14:paraId="152855F5" w14:textId="4136F7B9" w:rsidR="009D3164" w:rsidRPr="003E40AC" w:rsidRDefault="009D3164"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10,33</w:t>
            </w:r>
          </w:p>
        </w:tc>
        <w:tc>
          <w:tcPr>
            <w:tcW w:w="714" w:type="pct"/>
            <w:tcBorders>
              <w:top w:val="nil"/>
              <w:bottom w:val="single" w:sz="4" w:space="0" w:color="auto"/>
            </w:tcBorders>
            <w:shd w:val="clear" w:color="auto" w:fill="FFFFFF"/>
          </w:tcPr>
          <w:p w14:paraId="47764A95" w14:textId="74CA4294" w:rsidR="009D3164" w:rsidRPr="003E40AC" w:rsidRDefault="009D3164"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35,78</w:t>
            </w:r>
          </w:p>
        </w:tc>
        <w:tc>
          <w:tcPr>
            <w:tcW w:w="805" w:type="pct"/>
            <w:tcBorders>
              <w:top w:val="nil"/>
              <w:bottom w:val="single" w:sz="4" w:space="0" w:color="auto"/>
            </w:tcBorders>
            <w:shd w:val="clear" w:color="auto" w:fill="FFFFFF"/>
          </w:tcPr>
          <w:p w14:paraId="201800E9" w14:textId="0E6927D2" w:rsidR="009D3164" w:rsidRPr="00933491" w:rsidRDefault="009D3164"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3,31</w:t>
            </w:r>
          </w:p>
        </w:tc>
        <w:tc>
          <w:tcPr>
            <w:tcW w:w="625" w:type="pct"/>
            <w:tcBorders>
              <w:top w:val="nil"/>
              <w:bottom w:val="single" w:sz="4" w:space="0" w:color="auto"/>
            </w:tcBorders>
            <w:shd w:val="clear" w:color="auto" w:fill="FFFFFF"/>
          </w:tcPr>
          <w:p w14:paraId="759C52AF" w14:textId="3671B737" w:rsidR="009D3164" w:rsidRPr="00933491" w:rsidRDefault="009D3164"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3,123</w:t>
            </w:r>
          </w:p>
        </w:tc>
        <w:tc>
          <w:tcPr>
            <w:tcW w:w="535" w:type="pct"/>
            <w:tcBorders>
              <w:top w:val="nil"/>
              <w:bottom w:val="single" w:sz="4" w:space="0" w:color="auto"/>
            </w:tcBorders>
            <w:shd w:val="clear" w:color="auto" w:fill="FFFFFF"/>
          </w:tcPr>
          <w:p w14:paraId="091D0714" w14:textId="50AEA7EF" w:rsidR="009D3164" w:rsidRPr="00933491" w:rsidRDefault="009D3164"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116</w:t>
            </w:r>
          </w:p>
        </w:tc>
        <w:tc>
          <w:tcPr>
            <w:tcW w:w="802" w:type="pct"/>
            <w:tcBorders>
              <w:top w:val="nil"/>
              <w:bottom w:val="single" w:sz="4" w:space="0" w:color="auto"/>
              <w:right w:val="single" w:sz="4" w:space="0" w:color="FFFFFF" w:themeColor="background1"/>
            </w:tcBorders>
            <w:shd w:val="clear" w:color="auto" w:fill="FFFFFF"/>
          </w:tcPr>
          <w:p w14:paraId="39A5355A" w14:textId="0B10D3F3" w:rsidR="009D3164" w:rsidRPr="00933491" w:rsidRDefault="009D3164" w:rsidP="0056798E">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933491">
              <w:rPr>
                <w:rFonts w:ascii="Times New Roman" w:hAnsi="Times New Roman" w:cs="Times New Roman"/>
                <w:b/>
                <w:color w:val="000000"/>
                <w:sz w:val="20"/>
                <w:szCs w:val="20"/>
              </w:rPr>
              <w:t>0,002</w:t>
            </w:r>
          </w:p>
        </w:tc>
      </w:tr>
    </w:tbl>
    <w:p w14:paraId="0AA0B7DA" w14:textId="77777777" w:rsidR="00254E7A" w:rsidRPr="00CC11DC" w:rsidRDefault="00254E7A" w:rsidP="0056798E">
      <w:pPr>
        <w:spacing w:after="0" w:line="240" w:lineRule="auto"/>
        <w:jc w:val="center"/>
        <w:rPr>
          <w:rFonts w:ascii="Times New Roman" w:hAnsi="Times New Roman" w:cs="Times New Roman"/>
          <w:sz w:val="24"/>
          <w:szCs w:val="24"/>
        </w:rPr>
      </w:pPr>
    </w:p>
    <w:p w14:paraId="5664E570" w14:textId="77777777" w:rsidR="00882EF3" w:rsidRDefault="00231DA2" w:rsidP="00157D35">
      <w:pPr>
        <w:spacing w:after="0" w:line="240" w:lineRule="auto"/>
        <w:ind w:firstLine="709"/>
        <w:jc w:val="both"/>
        <w:rPr>
          <w:rFonts w:ascii="Times New Roman" w:hAnsi="Times New Roman" w:cs="Times New Roman"/>
          <w:sz w:val="24"/>
          <w:szCs w:val="24"/>
        </w:rPr>
      </w:pPr>
      <w:r w:rsidRPr="003E40AC">
        <w:rPr>
          <w:rFonts w:ascii="Times New Roman" w:hAnsi="Times New Roman" w:cs="Times New Roman"/>
          <w:sz w:val="24"/>
          <w:szCs w:val="24"/>
        </w:rPr>
        <w:t>Ao comparar o retorno das ações das empresas</w:t>
      </w:r>
      <w:r w:rsidR="007F3846" w:rsidRPr="003E40AC">
        <w:rPr>
          <w:rFonts w:ascii="Times New Roman" w:hAnsi="Times New Roman" w:cs="Times New Roman"/>
          <w:sz w:val="24"/>
          <w:szCs w:val="24"/>
        </w:rPr>
        <w:t xml:space="preserve"> que realizaram</w:t>
      </w:r>
      <w:r w:rsidRPr="003E40AC">
        <w:rPr>
          <w:rFonts w:ascii="Times New Roman" w:hAnsi="Times New Roman" w:cs="Times New Roman"/>
          <w:sz w:val="24"/>
          <w:szCs w:val="24"/>
        </w:rPr>
        <w:t xml:space="preserve"> SEO </w:t>
      </w:r>
      <w:r w:rsidR="00426673" w:rsidRPr="003E40AC">
        <w:rPr>
          <w:rFonts w:ascii="Times New Roman" w:hAnsi="Times New Roman" w:cs="Times New Roman"/>
          <w:sz w:val="24"/>
          <w:szCs w:val="24"/>
        </w:rPr>
        <w:t>com o retorno</w:t>
      </w:r>
      <w:r w:rsidRPr="00933491">
        <w:rPr>
          <w:rFonts w:ascii="Times New Roman" w:hAnsi="Times New Roman" w:cs="Times New Roman"/>
          <w:sz w:val="24"/>
          <w:szCs w:val="24"/>
        </w:rPr>
        <w:t xml:space="preserve"> das empresas </w:t>
      </w:r>
      <w:r w:rsidR="007F3846" w:rsidRPr="00933491">
        <w:rPr>
          <w:rFonts w:ascii="Times New Roman" w:hAnsi="Times New Roman" w:cs="Times New Roman"/>
          <w:sz w:val="24"/>
          <w:szCs w:val="24"/>
        </w:rPr>
        <w:t>que não realizaram</w:t>
      </w:r>
      <w:r w:rsidRPr="00933491">
        <w:rPr>
          <w:rFonts w:ascii="Times New Roman" w:hAnsi="Times New Roman" w:cs="Times New Roman"/>
          <w:sz w:val="24"/>
          <w:szCs w:val="24"/>
        </w:rPr>
        <w:t xml:space="preserve"> para um mesmo intervalo de temp</w:t>
      </w:r>
      <w:r w:rsidR="00426673" w:rsidRPr="00933491">
        <w:rPr>
          <w:rFonts w:ascii="Times New Roman" w:hAnsi="Times New Roman" w:cs="Times New Roman"/>
          <w:sz w:val="24"/>
          <w:szCs w:val="24"/>
        </w:rPr>
        <w:t>o, pode-se perceber, na</w:t>
      </w:r>
      <w:r w:rsidR="00A734A8" w:rsidRPr="00933491">
        <w:rPr>
          <w:rFonts w:ascii="Times New Roman" w:hAnsi="Times New Roman" w:cs="Times New Roman"/>
          <w:sz w:val="24"/>
          <w:szCs w:val="24"/>
        </w:rPr>
        <w:t xml:space="preserve"> Tabela</w:t>
      </w:r>
      <w:r w:rsidR="00426673" w:rsidRPr="00933491">
        <w:rPr>
          <w:rFonts w:ascii="Times New Roman" w:hAnsi="Times New Roman" w:cs="Times New Roman"/>
          <w:sz w:val="24"/>
          <w:szCs w:val="24"/>
        </w:rPr>
        <w:t xml:space="preserve"> 10</w:t>
      </w:r>
      <w:r w:rsidRPr="00933491">
        <w:rPr>
          <w:rFonts w:ascii="Times New Roman" w:hAnsi="Times New Roman" w:cs="Times New Roman"/>
          <w:sz w:val="24"/>
          <w:szCs w:val="24"/>
        </w:rPr>
        <w:t>, que o desempenho acionário não difere</w:t>
      </w:r>
      <w:r w:rsidR="0040603B" w:rsidRPr="00933491">
        <w:rPr>
          <w:rFonts w:ascii="Times New Roman" w:hAnsi="Times New Roman" w:cs="Times New Roman"/>
          <w:sz w:val="24"/>
          <w:szCs w:val="24"/>
        </w:rPr>
        <w:t xml:space="preserve"> estatisticamente</w:t>
      </w:r>
      <w:r w:rsidR="007F68B1" w:rsidRPr="00933491">
        <w:rPr>
          <w:rFonts w:ascii="Times New Roman" w:hAnsi="Times New Roman" w:cs="Times New Roman"/>
          <w:sz w:val="24"/>
          <w:szCs w:val="24"/>
        </w:rPr>
        <w:t>,</w:t>
      </w:r>
      <w:r w:rsidR="00426673" w:rsidRPr="00933491">
        <w:rPr>
          <w:rFonts w:ascii="Times New Roman" w:hAnsi="Times New Roman" w:cs="Times New Roman"/>
          <w:sz w:val="24"/>
          <w:szCs w:val="24"/>
        </w:rPr>
        <w:t xml:space="preserve"> independente do horizonte temporal</w:t>
      </w:r>
      <w:r w:rsidRPr="00933491">
        <w:rPr>
          <w:rFonts w:ascii="Times New Roman" w:hAnsi="Times New Roman" w:cs="Times New Roman"/>
          <w:sz w:val="24"/>
          <w:szCs w:val="24"/>
        </w:rPr>
        <w:t>. Ou seja, para um dado ano d</w:t>
      </w:r>
      <w:r w:rsidR="00545E31" w:rsidRPr="00933491">
        <w:rPr>
          <w:rFonts w:ascii="Times New Roman" w:hAnsi="Times New Roman" w:cs="Times New Roman"/>
          <w:sz w:val="24"/>
          <w:szCs w:val="24"/>
        </w:rPr>
        <w:t>e</w:t>
      </w:r>
      <w:r w:rsidRPr="00933491">
        <w:rPr>
          <w:rFonts w:ascii="Times New Roman" w:hAnsi="Times New Roman" w:cs="Times New Roman"/>
          <w:sz w:val="24"/>
          <w:szCs w:val="24"/>
        </w:rPr>
        <w:t xml:space="preserve"> realização da SEO, não existem evidências para afirmar que há diferença significativa entre o desempenho acionário das empresas que realizaram SEO e o das que não realizaram. </w:t>
      </w:r>
      <w:r w:rsidR="00882EF3" w:rsidRPr="00933491">
        <w:rPr>
          <w:rFonts w:ascii="Times New Roman" w:hAnsi="Times New Roman" w:cs="Times New Roman"/>
          <w:sz w:val="24"/>
          <w:szCs w:val="24"/>
        </w:rPr>
        <w:t xml:space="preserve">Sendo assim, a diferença dos retornos das ações, observada na Tabela 8, não é significativa estatisticamente ao nível de 10%. </w:t>
      </w:r>
      <w:proofErr w:type="spellStart"/>
      <w:r w:rsidR="00882EF3" w:rsidRPr="00933491">
        <w:rPr>
          <w:rFonts w:ascii="Times New Roman" w:hAnsi="Times New Roman" w:cs="Times New Roman"/>
          <w:sz w:val="24"/>
          <w:szCs w:val="24"/>
        </w:rPr>
        <w:t>Loughran</w:t>
      </w:r>
      <w:proofErr w:type="spellEnd"/>
      <w:r w:rsidR="00882EF3" w:rsidRPr="00933491">
        <w:rPr>
          <w:rFonts w:ascii="Times New Roman" w:hAnsi="Times New Roman" w:cs="Times New Roman"/>
          <w:sz w:val="24"/>
          <w:szCs w:val="24"/>
        </w:rPr>
        <w:t xml:space="preserve"> e </w:t>
      </w:r>
      <w:proofErr w:type="spellStart"/>
      <w:r w:rsidR="00882EF3" w:rsidRPr="00933491">
        <w:rPr>
          <w:rFonts w:ascii="Times New Roman" w:hAnsi="Times New Roman" w:cs="Times New Roman"/>
          <w:sz w:val="24"/>
          <w:szCs w:val="24"/>
        </w:rPr>
        <w:t>Ritter</w:t>
      </w:r>
      <w:proofErr w:type="spellEnd"/>
      <w:r w:rsidR="00882EF3" w:rsidRPr="00933491">
        <w:rPr>
          <w:rFonts w:ascii="Times New Roman" w:hAnsi="Times New Roman" w:cs="Times New Roman"/>
          <w:sz w:val="24"/>
          <w:szCs w:val="24"/>
        </w:rPr>
        <w:t xml:space="preserve"> (1997) encontraram que as empresas emissoras têm um desempenho acionário pior, estatisticamente significativo, em relação às empresas não emissoras, durante o segundo ano até o quinto ano após a emissão. Essa divergência de resultados pode ser atribuída ao fato de que, no cenário brasileiro, há poucas ofertas públicas de ações, ficando a análise restrita apenas às empresas representativas no mercado de ações. Pode-se inferir, ainda, que os investidores não avaliam emissoras e não emissoras de maneira diferente.</w:t>
      </w:r>
    </w:p>
    <w:p w14:paraId="668B9EE4" w14:textId="77777777" w:rsidR="005216EB" w:rsidRDefault="005216EB" w:rsidP="0056798E">
      <w:pPr>
        <w:spacing w:after="0" w:line="240" w:lineRule="auto"/>
        <w:jc w:val="center"/>
        <w:rPr>
          <w:rFonts w:ascii="Times New Roman" w:hAnsi="Times New Roman" w:cs="Times New Roman"/>
          <w:b/>
          <w:sz w:val="20"/>
          <w:szCs w:val="20"/>
        </w:rPr>
      </w:pPr>
    </w:p>
    <w:p w14:paraId="2350CC63" w14:textId="221BC95D" w:rsidR="00E303D0" w:rsidRPr="004C7DD9" w:rsidRDefault="00E303D0" w:rsidP="004C7DD9">
      <w:pPr>
        <w:spacing w:after="0" w:line="240" w:lineRule="auto"/>
        <w:jc w:val="center"/>
        <w:rPr>
          <w:rFonts w:ascii="Times New Roman" w:hAnsi="Times New Roman" w:cs="Times New Roman"/>
          <w:b/>
          <w:sz w:val="20"/>
          <w:szCs w:val="20"/>
        </w:rPr>
      </w:pPr>
      <w:r w:rsidRPr="004C7DD9">
        <w:rPr>
          <w:rFonts w:ascii="Times New Roman" w:hAnsi="Times New Roman" w:cs="Times New Roman"/>
          <w:b/>
          <w:sz w:val="20"/>
          <w:szCs w:val="20"/>
        </w:rPr>
        <w:t xml:space="preserve">Tabela </w:t>
      </w:r>
      <w:r w:rsidR="002B2750" w:rsidRPr="004C7DD9">
        <w:rPr>
          <w:rFonts w:ascii="Times New Roman" w:hAnsi="Times New Roman" w:cs="Times New Roman"/>
          <w:b/>
          <w:sz w:val="20"/>
          <w:szCs w:val="20"/>
        </w:rPr>
        <w:t>1</w:t>
      </w:r>
      <w:r w:rsidR="00426673" w:rsidRPr="004C7DD9">
        <w:rPr>
          <w:rFonts w:ascii="Times New Roman" w:hAnsi="Times New Roman" w:cs="Times New Roman"/>
          <w:b/>
          <w:sz w:val="20"/>
          <w:szCs w:val="20"/>
        </w:rPr>
        <w:t>0</w:t>
      </w:r>
      <w:r w:rsidR="004C7DD9" w:rsidRPr="004C7DD9">
        <w:rPr>
          <w:rFonts w:ascii="Times New Roman" w:hAnsi="Times New Roman" w:cs="Times New Roman"/>
          <w:b/>
          <w:sz w:val="20"/>
          <w:szCs w:val="20"/>
        </w:rPr>
        <w:t xml:space="preserve"> - </w:t>
      </w:r>
      <w:r w:rsidRPr="004C7DD9">
        <w:rPr>
          <w:rFonts w:ascii="Times New Roman" w:hAnsi="Times New Roman" w:cs="Times New Roman"/>
          <w:b/>
          <w:sz w:val="20"/>
          <w:szCs w:val="20"/>
        </w:rPr>
        <w:t xml:space="preserve">Análise do desempenho </w:t>
      </w:r>
      <w:r w:rsidR="002B2750" w:rsidRPr="004C7DD9">
        <w:rPr>
          <w:rFonts w:ascii="Times New Roman" w:hAnsi="Times New Roman" w:cs="Times New Roman"/>
          <w:b/>
          <w:sz w:val="20"/>
          <w:szCs w:val="20"/>
        </w:rPr>
        <w:t>acionário</w:t>
      </w:r>
      <w:r w:rsidRPr="004C7DD9">
        <w:rPr>
          <w:rFonts w:ascii="Times New Roman" w:hAnsi="Times New Roman" w:cs="Times New Roman"/>
          <w:b/>
          <w:sz w:val="20"/>
          <w:szCs w:val="20"/>
        </w:rPr>
        <w:t xml:space="preserve"> das empresas e</w:t>
      </w:r>
      <w:r w:rsidR="00485950" w:rsidRPr="004C7DD9">
        <w:rPr>
          <w:rFonts w:ascii="Times New Roman" w:hAnsi="Times New Roman" w:cs="Times New Roman"/>
          <w:b/>
          <w:sz w:val="20"/>
          <w:szCs w:val="20"/>
        </w:rPr>
        <w:t>missoras e não emissoras de SEO</w:t>
      </w:r>
    </w:p>
    <w:tbl>
      <w:tblPr>
        <w:tblW w:w="4775"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297"/>
        <w:gridCol w:w="1416"/>
        <w:gridCol w:w="1272"/>
        <w:gridCol w:w="1416"/>
        <w:gridCol w:w="990"/>
        <w:gridCol w:w="1130"/>
        <w:gridCol w:w="1132"/>
      </w:tblGrid>
      <w:tr w:rsidR="006337BF" w:rsidRPr="00933491" w14:paraId="4F83F404" w14:textId="77777777" w:rsidTr="004C7DD9">
        <w:trPr>
          <w:cantSplit/>
          <w:trHeight w:val="207"/>
          <w:tblHeader/>
          <w:jc w:val="center"/>
        </w:trPr>
        <w:tc>
          <w:tcPr>
            <w:tcW w:w="749" w:type="pct"/>
            <w:vMerge w:val="restart"/>
            <w:tcBorders>
              <w:top w:val="single" w:sz="4" w:space="0" w:color="auto"/>
              <w:left w:val="single" w:sz="4" w:space="0" w:color="FFFFFF" w:themeColor="background1"/>
              <w:bottom w:val="single" w:sz="4" w:space="0" w:color="auto"/>
              <w:right w:val="single" w:sz="4" w:space="0" w:color="auto"/>
            </w:tcBorders>
            <w:shd w:val="clear" w:color="auto" w:fill="FFFFFF"/>
            <w:vAlign w:val="center"/>
          </w:tcPr>
          <w:p w14:paraId="230855A6" w14:textId="4A437038" w:rsidR="006337BF" w:rsidRPr="00933491" w:rsidRDefault="006337BF" w:rsidP="0056798E">
            <w:pPr>
              <w:autoSpaceDE w:val="0"/>
              <w:autoSpaceDN w:val="0"/>
              <w:adjustRightInd w:val="0"/>
              <w:spacing w:after="0" w:line="240" w:lineRule="auto"/>
              <w:jc w:val="center"/>
              <w:rPr>
                <w:rFonts w:ascii="Times New Roman" w:hAnsi="Times New Roman" w:cs="Times New Roman"/>
                <w:b/>
                <w:color w:val="000000"/>
                <w:sz w:val="20"/>
                <w:szCs w:val="20"/>
                <w:lang w:val="en-US"/>
              </w:rPr>
            </w:pPr>
            <w:proofErr w:type="spellStart"/>
            <w:r w:rsidRPr="00933491">
              <w:rPr>
                <w:rFonts w:ascii="Times New Roman" w:hAnsi="Times New Roman" w:cs="Times New Roman"/>
                <w:b/>
                <w:color w:val="000000"/>
                <w:sz w:val="20"/>
                <w:szCs w:val="20"/>
                <w:lang w:val="en-US"/>
              </w:rPr>
              <w:t>Ano</w:t>
            </w:r>
            <w:proofErr w:type="spellEnd"/>
            <w:r w:rsidRPr="00933491">
              <w:rPr>
                <w:rFonts w:ascii="Times New Roman" w:hAnsi="Times New Roman" w:cs="Times New Roman"/>
                <w:b/>
                <w:color w:val="000000"/>
                <w:sz w:val="20"/>
                <w:szCs w:val="20"/>
                <w:lang w:val="en-US"/>
              </w:rPr>
              <w:t xml:space="preserve"> Fiscal</w:t>
            </w:r>
          </w:p>
        </w:tc>
        <w:tc>
          <w:tcPr>
            <w:tcW w:w="818" w:type="pct"/>
            <w:vMerge w:val="restart"/>
            <w:tcBorders>
              <w:top w:val="single" w:sz="4" w:space="0" w:color="auto"/>
              <w:left w:val="single" w:sz="4" w:space="0" w:color="FFFFFF" w:themeColor="background1"/>
              <w:bottom w:val="single" w:sz="4" w:space="0" w:color="auto"/>
              <w:right w:val="single" w:sz="4" w:space="0" w:color="auto"/>
            </w:tcBorders>
            <w:shd w:val="clear" w:color="auto" w:fill="FFFFFF"/>
            <w:vAlign w:val="center"/>
          </w:tcPr>
          <w:p w14:paraId="1FE82D12" w14:textId="652122F5" w:rsidR="006337BF" w:rsidRPr="00933491" w:rsidRDefault="006337BF" w:rsidP="0056798E">
            <w:pPr>
              <w:autoSpaceDE w:val="0"/>
              <w:autoSpaceDN w:val="0"/>
              <w:adjustRightInd w:val="0"/>
              <w:spacing w:after="0" w:line="240" w:lineRule="auto"/>
              <w:jc w:val="center"/>
              <w:rPr>
                <w:rFonts w:ascii="Times New Roman" w:hAnsi="Times New Roman" w:cs="Times New Roman"/>
                <w:color w:val="000000"/>
                <w:sz w:val="20"/>
                <w:szCs w:val="20"/>
                <w:lang w:val="en-US"/>
              </w:rPr>
            </w:pPr>
            <w:proofErr w:type="spellStart"/>
            <w:r w:rsidRPr="00933491">
              <w:rPr>
                <w:rFonts w:ascii="Times New Roman" w:hAnsi="Times New Roman" w:cs="Times New Roman"/>
                <w:b/>
                <w:color w:val="000000"/>
                <w:sz w:val="20"/>
                <w:szCs w:val="20"/>
                <w:lang w:val="en-US"/>
              </w:rPr>
              <w:t>Há</w:t>
            </w:r>
            <w:proofErr w:type="spellEnd"/>
            <w:r w:rsidRPr="00933491">
              <w:rPr>
                <w:rFonts w:ascii="Times New Roman" w:hAnsi="Times New Roman" w:cs="Times New Roman"/>
                <w:b/>
                <w:color w:val="000000"/>
                <w:sz w:val="20"/>
                <w:szCs w:val="20"/>
                <w:lang w:val="en-US"/>
              </w:rPr>
              <w:t xml:space="preserve"> </w:t>
            </w:r>
            <w:proofErr w:type="spellStart"/>
            <w:r w:rsidRPr="00933491">
              <w:rPr>
                <w:rFonts w:ascii="Times New Roman" w:hAnsi="Times New Roman" w:cs="Times New Roman"/>
                <w:b/>
                <w:color w:val="000000"/>
                <w:sz w:val="20"/>
                <w:szCs w:val="20"/>
                <w:lang w:val="en-US"/>
              </w:rPr>
              <w:t>igualdade</w:t>
            </w:r>
            <w:proofErr w:type="spellEnd"/>
            <w:r w:rsidRPr="00933491">
              <w:rPr>
                <w:rFonts w:ascii="Times New Roman" w:hAnsi="Times New Roman" w:cs="Times New Roman"/>
                <w:b/>
                <w:color w:val="000000"/>
                <w:sz w:val="20"/>
                <w:szCs w:val="20"/>
                <w:lang w:val="en-US"/>
              </w:rPr>
              <w:t xml:space="preserve"> da </w:t>
            </w:r>
            <w:proofErr w:type="spellStart"/>
            <w:r w:rsidRPr="00933491">
              <w:rPr>
                <w:rFonts w:ascii="Times New Roman" w:hAnsi="Times New Roman" w:cs="Times New Roman"/>
                <w:b/>
                <w:color w:val="000000"/>
                <w:sz w:val="20"/>
                <w:szCs w:val="20"/>
                <w:lang w:val="en-US"/>
              </w:rPr>
              <w:t>variância</w:t>
            </w:r>
            <w:proofErr w:type="spellEnd"/>
            <w:r w:rsidRPr="00933491">
              <w:rPr>
                <w:rFonts w:ascii="Times New Roman" w:hAnsi="Times New Roman" w:cs="Times New Roman"/>
                <w:b/>
                <w:color w:val="000000"/>
                <w:sz w:val="20"/>
                <w:szCs w:val="20"/>
                <w:lang w:val="en-US"/>
              </w:rPr>
              <w:t>?</w:t>
            </w:r>
          </w:p>
        </w:tc>
        <w:tc>
          <w:tcPr>
            <w:tcW w:w="155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915C3D0" w14:textId="5A20D3D7"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b/>
                <w:color w:val="000000"/>
                <w:sz w:val="20"/>
                <w:szCs w:val="20"/>
              </w:rPr>
              <w:t xml:space="preserve">Teste </w:t>
            </w:r>
            <w:proofErr w:type="spellStart"/>
            <w:r w:rsidRPr="00933491">
              <w:rPr>
                <w:rFonts w:ascii="Times New Roman" w:hAnsi="Times New Roman" w:cs="Times New Roman"/>
                <w:b/>
                <w:color w:val="000000"/>
                <w:sz w:val="20"/>
                <w:szCs w:val="20"/>
              </w:rPr>
              <w:t>Levene</w:t>
            </w:r>
            <w:proofErr w:type="spellEnd"/>
            <w:r w:rsidRPr="00933491">
              <w:rPr>
                <w:rFonts w:ascii="Times New Roman" w:hAnsi="Times New Roman" w:cs="Times New Roman"/>
                <w:b/>
                <w:color w:val="000000"/>
                <w:sz w:val="20"/>
                <w:szCs w:val="20"/>
              </w:rPr>
              <w:t xml:space="preserve"> para igualdade da variância</w:t>
            </w:r>
          </w:p>
        </w:tc>
        <w:tc>
          <w:tcPr>
            <w:tcW w:w="1879" w:type="pct"/>
            <w:gridSpan w:val="3"/>
            <w:tcBorders>
              <w:top w:val="single" w:sz="4" w:space="0" w:color="auto"/>
              <w:left w:val="single" w:sz="4" w:space="0" w:color="auto"/>
              <w:bottom w:val="single" w:sz="4" w:space="0" w:color="auto"/>
              <w:right w:val="single" w:sz="4" w:space="0" w:color="FFFFFF" w:themeColor="background1"/>
            </w:tcBorders>
            <w:shd w:val="clear" w:color="auto" w:fill="FFFFFF"/>
            <w:vAlign w:val="center"/>
          </w:tcPr>
          <w:p w14:paraId="4305C5D9" w14:textId="07C53F40"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b/>
                <w:color w:val="000000"/>
                <w:sz w:val="20"/>
                <w:szCs w:val="20"/>
              </w:rPr>
              <w:t xml:space="preserve">Teste </w:t>
            </w:r>
            <w:r w:rsidRPr="00933491">
              <w:rPr>
                <w:rFonts w:ascii="Times New Roman" w:hAnsi="Times New Roman" w:cs="Times New Roman"/>
                <w:b/>
                <w:i/>
                <w:color w:val="000000"/>
                <w:sz w:val="20"/>
                <w:szCs w:val="20"/>
              </w:rPr>
              <w:t>t</w:t>
            </w:r>
            <w:r w:rsidRPr="00933491">
              <w:rPr>
                <w:rFonts w:ascii="Times New Roman" w:hAnsi="Times New Roman" w:cs="Times New Roman"/>
                <w:b/>
                <w:color w:val="000000"/>
                <w:sz w:val="20"/>
                <w:szCs w:val="20"/>
              </w:rPr>
              <w:t xml:space="preserve"> para igualdade de médias</w:t>
            </w:r>
          </w:p>
        </w:tc>
      </w:tr>
      <w:tr w:rsidR="006337BF" w:rsidRPr="00933491" w14:paraId="7A46180D" w14:textId="77777777" w:rsidTr="004C7DD9">
        <w:trPr>
          <w:cantSplit/>
          <w:trHeight w:val="230"/>
          <w:tblHeader/>
          <w:jc w:val="center"/>
        </w:trPr>
        <w:tc>
          <w:tcPr>
            <w:tcW w:w="749" w:type="pct"/>
            <w:vMerge/>
            <w:tcBorders>
              <w:top w:val="single" w:sz="18" w:space="0" w:color="000000"/>
              <w:left w:val="single" w:sz="4" w:space="0" w:color="FFFFFF" w:themeColor="background1"/>
              <w:bottom w:val="single" w:sz="4" w:space="0" w:color="auto"/>
              <w:right w:val="single" w:sz="4" w:space="0" w:color="auto"/>
            </w:tcBorders>
            <w:shd w:val="clear" w:color="auto" w:fill="FFFFFF"/>
            <w:vAlign w:val="center"/>
          </w:tcPr>
          <w:p w14:paraId="13C946C6" w14:textId="77777777" w:rsidR="006337BF" w:rsidRPr="00933491" w:rsidRDefault="006337BF" w:rsidP="0056798E">
            <w:pPr>
              <w:autoSpaceDE w:val="0"/>
              <w:autoSpaceDN w:val="0"/>
              <w:adjustRightInd w:val="0"/>
              <w:spacing w:after="0" w:line="240" w:lineRule="auto"/>
              <w:jc w:val="center"/>
              <w:rPr>
                <w:rFonts w:ascii="Times New Roman" w:hAnsi="Times New Roman" w:cs="Times New Roman"/>
                <w:color w:val="000000"/>
                <w:sz w:val="20"/>
                <w:szCs w:val="20"/>
              </w:rPr>
            </w:pPr>
          </w:p>
        </w:tc>
        <w:tc>
          <w:tcPr>
            <w:tcW w:w="818" w:type="pct"/>
            <w:vMerge/>
            <w:tcBorders>
              <w:top w:val="single" w:sz="18" w:space="0" w:color="000000"/>
              <w:left w:val="single" w:sz="4" w:space="0" w:color="FFFFFF" w:themeColor="background1"/>
              <w:bottom w:val="single" w:sz="4" w:space="0" w:color="auto"/>
              <w:right w:val="single" w:sz="4" w:space="0" w:color="auto"/>
            </w:tcBorders>
            <w:shd w:val="clear" w:color="auto" w:fill="FFFFFF"/>
            <w:vAlign w:val="center"/>
          </w:tcPr>
          <w:p w14:paraId="143523A9" w14:textId="0DA1D085" w:rsidR="006337BF" w:rsidRPr="00933491" w:rsidRDefault="006337BF" w:rsidP="0056798E">
            <w:pPr>
              <w:autoSpaceDE w:val="0"/>
              <w:autoSpaceDN w:val="0"/>
              <w:adjustRightInd w:val="0"/>
              <w:spacing w:after="0" w:line="240" w:lineRule="auto"/>
              <w:jc w:val="center"/>
              <w:rPr>
                <w:rFonts w:ascii="Times New Roman" w:hAnsi="Times New Roman" w:cs="Times New Roman"/>
                <w:color w:val="000000"/>
                <w:sz w:val="20"/>
                <w:szCs w:val="20"/>
              </w:rPr>
            </w:pPr>
          </w:p>
        </w:tc>
        <w:tc>
          <w:tcPr>
            <w:tcW w:w="735" w:type="pct"/>
            <w:vMerge w:val="restart"/>
            <w:tcBorders>
              <w:top w:val="single" w:sz="4" w:space="0" w:color="auto"/>
              <w:left w:val="single" w:sz="4" w:space="0" w:color="auto"/>
              <w:bottom w:val="single" w:sz="4" w:space="0" w:color="auto"/>
            </w:tcBorders>
            <w:shd w:val="clear" w:color="auto" w:fill="FFFFFF"/>
            <w:vAlign w:val="center"/>
          </w:tcPr>
          <w:p w14:paraId="55A5B494" w14:textId="77777777"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b/>
                <w:i/>
                <w:color w:val="000000"/>
                <w:sz w:val="20"/>
                <w:szCs w:val="20"/>
              </w:rPr>
            </w:pPr>
            <w:r w:rsidRPr="00933491">
              <w:rPr>
                <w:rFonts w:ascii="Times New Roman" w:hAnsi="Times New Roman" w:cs="Times New Roman"/>
                <w:b/>
                <w:i/>
                <w:color w:val="000000"/>
                <w:sz w:val="20"/>
                <w:szCs w:val="20"/>
              </w:rPr>
              <w:t>F</w:t>
            </w:r>
          </w:p>
        </w:tc>
        <w:tc>
          <w:tcPr>
            <w:tcW w:w="818" w:type="pct"/>
            <w:vMerge w:val="restart"/>
            <w:tcBorders>
              <w:top w:val="single" w:sz="4" w:space="0" w:color="auto"/>
              <w:bottom w:val="single" w:sz="4" w:space="0" w:color="auto"/>
            </w:tcBorders>
            <w:shd w:val="clear" w:color="auto" w:fill="FFFFFF"/>
            <w:vAlign w:val="center"/>
          </w:tcPr>
          <w:p w14:paraId="510D75B8" w14:textId="53EE7FEF" w:rsidR="006337BF" w:rsidRPr="00933491" w:rsidRDefault="001141D5" w:rsidP="0056798E">
            <w:pPr>
              <w:autoSpaceDE w:val="0"/>
              <w:autoSpaceDN w:val="0"/>
              <w:adjustRightInd w:val="0"/>
              <w:spacing w:after="0" w:line="240" w:lineRule="auto"/>
              <w:ind w:left="60" w:right="60"/>
              <w:jc w:val="center"/>
              <w:rPr>
                <w:rFonts w:ascii="Times New Roman" w:hAnsi="Times New Roman" w:cs="Times New Roman"/>
                <w:b/>
                <w:color w:val="000000"/>
                <w:sz w:val="20"/>
                <w:szCs w:val="20"/>
              </w:rPr>
            </w:pPr>
            <w:proofErr w:type="gramStart"/>
            <w:r w:rsidRPr="00933491">
              <w:rPr>
                <w:rFonts w:ascii="Times New Roman" w:hAnsi="Times New Roman" w:cs="Times New Roman"/>
                <w:b/>
                <w:i/>
                <w:color w:val="000000"/>
                <w:sz w:val="20"/>
                <w:szCs w:val="20"/>
              </w:rPr>
              <w:t>p</w:t>
            </w:r>
            <w:proofErr w:type="gramEnd"/>
            <w:r w:rsidRPr="00933491">
              <w:rPr>
                <w:rFonts w:ascii="Times New Roman" w:hAnsi="Times New Roman" w:cs="Times New Roman"/>
                <w:b/>
                <w:color w:val="000000"/>
                <w:sz w:val="20"/>
                <w:szCs w:val="20"/>
              </w:rPr>
              <w:t>-valor</w:t>
            </w:r>
          </w:p>
        </w:tc>
        <w:tc>
          <w:tcPr>
            <w:tcW w:w="572" w:type="pct"/>
            <w:vMerge w:val="restart"/>
            <w:tcBorders>
              <w:top w:val="single" w:sz="4" w:space="0" w:color="auto"/>
              <w:bottom w:val="single" w:sz="4" w:space="0" w:color="auto"/>
            </w:tcBorders>
            <w:shd w:val="clear" w:color="auto" w:fill="FFFFFF"/>
            <w:vAlign w:val="center"/>
          </w:tcPr>
          <w:p w14:paraId="0C69F986" w14:textId="77777777"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b/>
                <w:i/>
                <w:color w:val="000000"/>
                <w:sz w:val="20"/>
                <w:szCs w:val="20"/>
              </w:rPr>
            </w:pPr>
            <w:proofErr w:type="gramStart"/>
            <w:r w:rsidRPr="00933491">
              <w:rPr>
                <w:rFonts w:ascii="Times New Roman" w:hAnsi="Times New Roman" w:cs="Times New Roman"/>
                <w:b/>
                <w:i/>
                <w:color w:val="000000"/>
                <w:sz w:val="20"/>
                <w:szCs w:val="20"/>
              </w:rPr>
              <w:t>t</w:t>
            </w:r>
            <w:proofErr w:type="gramEnd"/>
          </w:p>
        </w:tc>
        <w:tc>
          <w:tcPr>
            <w:tcW w:w="653" w:type="pct"/>
            <w:vMerge w:val="restart"/>
            <w:tcBorders>
              <w:top w:val="single" w:sz="4" w:space="0" w:color="auto"/>
              <w:bottom w:val="single" w:sz="4" w:space="0" w:color="auto"/>
            </w:tcBorders>
            <w:shd w:val="clear" w:color="auto" w:fill="FFFFFF"/>
            <w:vAlign w:val="center"/>
          </w:tcPr>
          <w:p w14:paraId="58964FD0" w14:textId="77777777"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b/>
                <w:color w:val="000000"/>
                <w:sz w:val="20"/>
                <w:szCs w:val="20"/>
              </w:rPr>
            </w:pPr>
            <w:proofErr w:type="spellStart"/>
            <w:proofErr w:type="gramStart"/>
            <w:r w:rsidRPr="00933491">
              <w:rPr>
                <w:rFonts w:ascii="Times New Roman" w:hAnsi="Times New Roman" w:cs="Times New Roman"/>
                <w:b/>
                <w:color w:val="000000"/>
                <w:sz w:val="20"/>
                <w:szCs w:val="20"/>
              </w:rPr>
              <w:t>df</w:t>
            </w:r>
            <w:proofErr w:type="spellEnd"/>
            <w:proofErr w:type="gramEnd"/>
          </w:p>
        </w:tc>
        <w:tc>
          <w:tcPr>
            <w:tcW w:w="654" w:type="pct"/>
            <w:vMerge w:val="restart"/>
            <w:tcBorders>
              <w:top w:val="single" w:sz="4" w:space="0" w:color="auto"/>
              <w:bottom w:val="single" w:sz="4" w:space="0" w:color="auto"/>
              <w:right w:val="single" w:sz="4" w:space="0" w:color="FFFFFF" w:themeColor="background1"/>
            </w:tcBorders>
            <w:shd w:val="clear" w:color="auto" w:fill="FFFFFF"/>
            <w:vAlign w:val="center"/>
          </w:tcPr>
          <w:p w14:paraId="1980B901" w14:textId="065A9D85" w:rsidR="006337BF" w:rsidRPr="00933491" w:rsidRDefault="001141D5" w:rsidP="0056798E">
            <w:pPr>
              <w:autoSpaceDE w:val="0"/>
              <w:autoSpaceDN w:val="0"/>
              <w:adjustRightInd w:val="0"/>
              <w:spacing w:after="0" w:line="240" w:lineRule="auto"/>
              <w:ind w:left="60" w:right="60"/>
              <w:jc w:val="center"/>
              <w:rPr>
                <w:rFonts w:ascii="Times New Roman" w:hAnsi="Times New Roman" w:cs="Times New Roman"/>
                <w:b/>
                <w:color w:val="000000"/>
                <w:sz w:val="20"/>
                <w:szCs w:val="20"/>
              </w:rPr>
            </w:pPr>
            <w:proofErr w:type="gramStart"/>
            <w:r w:rsidRPr="00933491">
              <w:rPr>
                <w:rFonts w:ascii="Times New Roman" w:hAnsi="Times New Roman" w:cs="Times New Roman"/>
                <w:b/>
                <w:i/>
                <w:color w:val="000000"/>
                <w:sz w:val="20"/>
                <w:szCs w:val="20"/>
              </w:rPr>
              <w:t>p</w:t>
            </w:r>
            <w:proofErr w:type="gramEnd"/>
            <w:r w:rsidRPr="00933491">
              <w:rPr>
                <w:rFonts w:ascii="Times New Roman" w:hAnsi="Times New Roman" w:cs="Times New Roman"/>
                <w:b/>
                <w:color w:val="000000"/>
                <w:sz w:val="20"/>
                <w:szCs w:val="20"/>
              </w:rPr>
              <w:t>-valor</w:t>
            </w:r>
          </w:p>
        </w:tc>
      </w:tr>
      <w:tr w:rsidR="006337BF" w:rsidRPr="00933491" w14:paraId="3A52EE03" w14:textId="77777777" w:rsidTr="004C7DD9">
        <w:trPr>
          <w:cantSplit/>
          <w:trHeight w:val="276"/>
          <w:tblHeader/>
          <w:jc w:val="center"/>
        </w:trPr>
        <w:tc>
          <w:tcPr>
            <w:tcW w:w="749" w:type="pct"/>
            <w:vMerge/>
            <w:tcBorders>
              <w:top w:val="single" w:sz="18" w:space="0" w:color="000000"/>
              <w:left w:val="single" w:sz="4" w:space="0" w:color="FFFFFF" w:themeColor="background1"/>
              <w:bottom w:val="single" w:sz="4" w:space="0" w:color="auto"/>
              <w:right w:val="single" w:sz="4" w:space="0" w:color="auto"/>
            </w:tcBorders>
            <w:shd w:val="clear" w:color="auto" w:fill="FFFFFF"/>
            <w:vAlign w:val="center"/>
          </w:tcPr>
          <w:p w14:paraId="154B87B4" w14:textId="77777777" w:rsidR="006337BF" w:rsidRPr="00933491" w:rsidRDefault="006337BF" w:rsidP="0056798E">
            <w:pPr>
              <w:autoSpaceDE w:val="0"/>
              <w:autoSpaceDN w:val="0"/>
              <w:adjustRightInd w:val="0"/>
              <w:spacing w:after="0" w:line="240" w:lineRule="auto"/>
              <w:rPr>
                <w:rFonts w:ascii="Times New Roman" w:hAnsi="Times New Roman" w:cs="Times New Roman"/>
                <w:sz w:val="20"/>
                <w:szCs w:val="20"/>
                <w:lang w:val="en-US"/>
              </w:rPr>
            </w:pPr>
          </w:p>
        </w:tc>
        <w:tc>
          <w:tcPr>
            <w:tcW w:w="818" w:type="pct"/>
            <w:vMerge/>
            <w:tcBorders>
              <w:top w:val="single" w:sz="18" w:space="0" w:color="000000"/>
              <w:left w:val="single" w:sz="4" w:space="0" w:color="FFFFFF" w:themeColor="background1"/>
              <w:bottom w:val="single" w:sz="4" w:space="0" w:color="auto"/>
              <w:right w:val="single" w:sz="4" w:space="0" w:color="auto"/>
            </w:tcBorders>
            <w:shd w:val="clear" w:color="auto" w:fill="FFFFFF"/>
            <w:vAlign w:val="center"/>
          </w:tcPr>
          <w:p w14:paraId="6E15AFDE" w14:textId="6631886C" w:rsidR="006337BF" w:rsidRPr="00933491" w:rsidRDefault="006337BF" w:rsidP="0056798E">
            <w:pPr>
              <w:autoSpaceDE w:val="0"/>
              <w:autoSpaceDN w:val="0"/>
              <w:adjustRightInd w:val="0"/>
              <w:spacing w:after="0" w:line="240" w:lineRule="auto"/>
              <w:rPr>
                <w:rFonts w:ascii="Times New Roman" w:hAnsi="Times New Roman" w:cs="Times New Roman"/>
                <w:sz w:val="20"/>
                <w:szCs w:val="20"/>
                <w:lang w:val="en-US"/>
              </w:rPr>
            </w:pPr>
          </w:p>
        </w:tc>
        <w:tc>
          <w:tcPr>
            <w:tcW w:w="735" w:type="pct"/>
            <w:vMerge/>
            <w:tcBorders>
              <w:left w:val="single" w:sz="4" w:space="0" w:color="auto"/>
              <w:bottom w:val="single" w:sz="4" w:space="0" w:color="auto"/>
            </w:tcBorders>
            <w:shd w:val="clear" w:color="auto" w:fill="FFFFFF"/>
            <w:vAlign w:val="bottom"/>
          </w:tcPr>
          <w:p w14:paraId="5108CF4F" w14:textId="77777777" w:rsidR="006337BF" w:rsidRPr="00933491" w:rsidRDefault="006337BF" w:rsidP="0056798E">
            <w:pPr>
              <w:autoSpaceDE w:val="0"/>
              <w:autoSpaceDN w:val="0"/>
              <w:adjustRightInd w:val="0"/>
              <w:spacing w:after="0" w:line="240" w:lineRule="auto"/>
              <w:rPr>
                <w:rFonts w:ascii="Times New Roman" w:hAnsi="Times New Roman" w:cs="Times New Roman"/>
                <w:sz w:val="20"/>
                <w:szCs w:val="20"/>
                <w:lang w:val="en-US"/>
              </w:rPr>
            </w:pPr>
          </w:p>
        </w:tc>
        <w:tc>
          <w:tcPr>
            <w:tcW w:w="818" w:type="pct"/>
            <w:vMerge/>
            <w:tcBorders>
              <w:bottom w:val="single" w:sz="4" w:space="0" w:color="auto"/>
            </w:tcBorders>
            <w:shd w:val="clear" w:color="auto" w:fill="FFFFFF"/>
            <w:vAlign w:val="bottom"/>
          </w:tcPr>
          <w:p w14:paraId="5A05E6AF" w14:textId="77777777" w:rsidR="006337BF" w:rsidRPr="00933491" w:rsidRDefault="006337BF" w:rsidP="0056798E">
            <w:pPr>
              <w:autoSpaceDE w:val="0"/>
              <w:autoSpaceDN w:val="0"/>
              <w:adjustRightInd w:val="0"/>
              <w:spacing w:after="0" w:line="240" w:lineRule="auto"/>
              <w:rPr>
                <w:rFonts w:ascii="Times New Roman" w:hAnsi="Times New Roman" w:cs="Times New Roman"/>
                <w:sz w:val="20"/>
                <w:szCs w:val="20"/>
                <w:lang w:val="en-US"/>
              </w:rPr>
            </w:pPr>
          </w:p>
        </w:tc>
        <w:tc>
          <w:tcPr>
            <w:tcW w:w="572" w:type="pct"/>
            <w:vMerge/>
            <w:tcBorders>
              <w:bottom w:val="single" w:sz="4" w:space="0" w:color="auto"/>
            </w:tcBorders>
            <w:shd w:val="clear" w:color="auto" w:fill="FFFFFF"/>
            <w:vAlign w:val="bottom"/>
          </w:tcPr>
          <w:p w14:paraId="2F6FB160" w14:textId="77777777" w:rsidR="006337BF" w:rsidRPr="00933491" w:rsidRDefault="006337BF" w:rsidP="0056798E">
            <w:pPr>
              <w:autoSpaceDE w:val="0"/>
              <w:autoSpaceDN w:val="0"/>
              <w:adjustRightInd w:val="0"/>
              <w:spacing w:after="0" w:line="240" w:lineRule="auto"/>
              <w:rPr>
                <w:rFonts w:ascii="Times New Roman" w:hAnsi="Times New Roman" w:cs="Times New Roman"/>
                <w:sz w:val="20"/>
                <w:szCs w:val="20"/>
                <w:lang w:val="en-US"/>
              </w:rPr>
            </w:pPr>
          </w:p>
        </w:tc>
        <w:tc>
          <w:tcPr>
            <w:tcW w:w="653" w:type="pct"/>
            <w:vMerge/>
            <w:tcBorders>
              <w:bottom w:val="single" w:sz="4" w:space="0" w:color="auto"/>
            </w:tcBorders>
            <w:shd w:val="clear" w:color="auto" w:fill="FFFFFF"/>
            <w:vAlign w:val="bottom"/>
          </w:tcPr>
          <w:p w14:paraId="6AF475A2" w14:textId="77777777" w:rsidR="006337BF" w:rsidRPr="00933491" w:rsidRDefault="006337BF" w:rsidP="0056798E">
            <w:pPr>
              <w:autoSpaceDE w:val="0"/>
              <w:autoSpaceDN w:val="0"/>
              <w:adjustRightInd w:val="0"/>
              <w:spacing w:after="0" w:line="240" w:lineRule="auto"/>
              <w:rPr>
                <w:rFonts w:ascii="Times New Roman" w:hAnsi="Times New Roman" w:cs="Times New Roman"/>
                <w:sz w:val="20"/>
                <w:szCs w:val="20"/>
                <w:lang w:val="en-US"/>
              </w:rPr>
            </w:pPr>
          </w:p>
        </w:tc>
        <w:tc>
          <w:tcPr>
            <w:tcW w:w="654" w:type="pct"/>
            <w:vMerge/>
            <w:tcBorders>
              <w:bottom w:val="single" w:sz="4" w:space="0" w:color="auto"/>
              <w:right w:val="single" w:sz="4" w:space="0" w:color="FFFFFF" w:themeColor="background1"/>
            </w:tcBorders>
            <w:shd w:val="clear" w:color="auto" w:fill="FFFFFF"/>
            <w:vAlign w:val="bottom"/>
          </w:tcPr>
          <w:p w14:paraId="3F51A5D0" w14:textId="77777777" w:rsidR="006337BF" w:rsidRPr="00933491" w:rsidRDefault="006337BF" w:rsidP="0056798E">
            <w:pPr>
              <w:autoSpaceDE w:val="0"/>
              <w:autoSpaceDN w:val="0"/>
              <w:adjustRightInd w:val="0"/>
              <w:spacing w:after="0" w:line="240" w:lineRule="auto"/>
              <w:rPr>
                <w:rFonts w:ascii="Times New Roman" w:hAnsi="Times New Roman" w:cs="Times New Roman"/>
                <w:sz w:val="20"/>
                <w:szCs w:val="20"/>
                <w:lang w:val="en-US"/>
              </w:rPr>
            </w:pPr>
          </w:p>
        </w:tc>
      </w:tr>
      <w:tr w:rsidR="006337BF" w:rsidRPr="00933491" w14:paraId="164919D9" w14:textId="77777777" w:rsidTr="004C7DD9">
        <w:trPr>
          <w:cantSplit/>
          <w:tblHeader/>
          <w:jc w:val="center"/>
        </w:trPr>
        <w:tc>
          <w:tcPr>
            <w:tcW w:w="749" w:type="pct"/>
            <w:vMerge w:val="restart"/>
            <w:tcBorders>
              <w:top w:val="single" w:sz="4" w:space="0" w:color="auto"/>
              <w:left w:val="single" w:sz="4" w:space="0" w:color="FFFFFF" w:themeColor="background1"/>
              <w:right w:val="single" w:sz="4" w:space="0" w:color="auto"/>
            </w:tcBorders>
            <w:shd w:val="clear" w:color="auto" w:fill="FFFFFF"/>
            <w:vAlign w:val="center"/>
          </w:tcPr>
          <w:p w14:paraId="1A81AD94" w14:textId="77777777" w:rsidR="006337BF" w:rsidRPr="00CC11DC"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CC11DC">
              <w:rPr>
                <w:rFonts w:ascii="Times New Roman" w:hAnsi="Times New Roman" w:cs="Times New Roman"/>
                <w:color w:val="000000"/>
                <w:sz w:val="20"/>
                <w:szCs w:val="20"/>
              </w:rPr>
              <w:t>-4</w:t>
            </w:r>
          </w:p>
        </w:tc>
        <w:tc>
          <w:tcPr>
            <w:tcW w:w="818" w:type="pct"/>
            <w:tcBorders>
              <w:top w:val="single" w:sz="4" w:space="0" w:color="auto"/>
              <w:left w:val="single" w:sz="4" w:space="0" w:color="auto"/>
              <w:bottom w:val="nil"/>
              <w:right w:val="single" w:sz="4" w:space="0" w:color="auto"/>
            </w:tcBorders>
            <w:shd w:val="clear" w:color="auto" w:fill="FFFFFF"/>
          </w:tcPr>
          <w:p w14:paraId="7BECBAFD" w14:textId="229729BA" w:rsidR="006337BF" w:rsidRPr="003E40AC"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Sim</w:t>
            </w:r>
          </w:p>
        </w:tc>
        <w:tc>
          <w:tcPr>
            <w:tcW w:w="735" w:type="pct"/>
            <w:tcBorders>
              <w:top w:val="single" w:sz="4" w:space="0" w:color="auto"/>
              <w:left w:val="single" w:sz="4" w:space="0" w:color="auto"/>
              <w:bottom w:val="nil"/>
              <w:right w:val="single" w:sz="4" w:space="0" w:color="auto"/>
            </w:tcBorders>
            <w:shd w:val="clear" w:color="auto" w:fill="FFFFFF"/>
          </w:tcPr>
          <w:p w14:paraId="43CE6CE7" w14:textId="22A8EB51" w:rsidR="006337BF" w:rsidRPr="003E40AC"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1,796</w:t>
            </w:r>
          </w:p>
        </w:tc>
        <w:tc>
          <w:tcPr>
            <w:tcW w:w="818" w:type="pct"/>
            <w:tcBorders>
              <w:top w:val="single" w:sz="4" w:space="0" w:color="auto"/>
              <w:left w:val="single" w:sz="4" w:space="0" w:color="auto"/>
              <w:bottom w:val="nil"/>
            </w:tcBorders>
            <w:shd w:val="clear" w:color="auto" w:fill="FFFFFF"/>
          </w:tcPr>
          <w:p w14:paraId="6134B075" w14:textId="2B3BBF1F"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0,182</w:t>
            </w:r>
          </w:p>
        </w:tc>
        <w:tc>
          <w:tcPr>
            <w:tcW w:w="572" w:type="pct"/>
            <w:tcBorders>
              <w:top w:val="single" w:sz="4" w:space="0" w:color="auto"/>
              <w:bottom w:val="nil"/>
            </w:tcBorders>
            <w:shd w:val="clear" w:color="auto" w:fill="FFFFFF"/>
          </w:tcPr>
          <w:p w14:paraId="3D6270D7" w14:textId="7E4CE1A0"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1,083</w:t>
            </w:r>
          </w:p>
        </w:tc>
        <w:tc>
          <w:tcPr>
            <w:tcW w:w="653" w:type="pct"/>
            <w:tcBorders>
              <w:top w:val="single" w:sz="4" w:space="0" w:color="auto"/>
              <w:bottom w:val="nil"/>
            </w:tcBorders>
            <w:shd w:val="clear" w:color="auto" w:fill="FFFFFF"/>
          </w:tcPr>
          <w:p w14:paraId="048FB702" w14:textId="3FC1E767"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159</w:t>
            </w:r>
          </w:p>
        </w:tc>
        <w:tc>
          <w:tcPr>
            <w:tcW w:w="654" w:type="pct"/>
            <w:tcBorders>
              <w:top w:val="single" w:sz="4" w:space="0" w:color="auto"/>
              <w:bottom w:val="nil"/>
              <w:right w:val="single" w:sz="4" w:space="0" w:color="FFFFFF" w:themeColor="background1"/>
            </w:tcBorders>
            <w:shd w:val="clear" w:color="auto" w:fill="FFFFFF"/>
          </w:tcPr>
          <w:p w14:paraId="186C8578" w14:textId="2E1FD2AB"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933491">
              <w:rPr>
                <w:rFonts w:ascii="Times New Roman" w:hAnsi="Times New Roman" w:cs="Times New Roman"/>
                <w:b/>
                <w:color w:val="000000"/>
                <w:sz w:val="20"/>
                <w:szCs w:val="20"/>
              </w:rPr>
              <w:t>0,281</w:t>
            </w:r>
          </w:p>
        </w:tc>
      </w:tr>
      <w:tr w:rsidR="006337BF" w:rsidRPr="00933491" w14:paraId="7B19E146" w14:textId="77777777" w:rsidTr="004C7DD9">
        <w:trPr>
          <w:cantSplit/>
          <w:tblHeader/>
          <w:jc w:val="center"/>
        </w:trPr>
        <w:tc>
          <w:tcPr>
            <w:tcW w:w="749" w:type="pct"/>
            <w:vMerge/>
            <w:tcBorders>
              <w:top w:val="single" w:sz="16" w:space="0" w:color="000000"/>
              <w:left w:val="single" w:sz="4" w:space="0" w:color="FFFFFF" w:themeColor="background1"/>
              <w:right w:val="single" w:sz="4" w:space="0" w:color="auto"/>
            </w:tcBorders>
            <w:shd w:val="clear" w:color="auto" w:fill="FFFFFF"/>
            <w:vAlign w:val="center"/>
          </w:tcPr>
          <w:p w14:paraId="0D7157BA" w14:textId="77777777" w:rsidR="006337BF" w:rsidRPr="00933491" w:rsidRDefault="006337BF" w:rsidP="0056798E">
            <w:pPr>
              <w:autoSpaceDE w:val="0"/>
              <w:autoSpaceDN w:val="0"/>
              <w:adjustRightInd w:val="0"/>
              <w:spacing w:after="0" w:line="240" w:lineRule="auto"/>
              <w:jc w:val="center"/>
              <w:rPr>
                <w:rFonts w:ascii="Times New Roman" w:hAnsi="Times New Roman" w:cs="Times New Roman"/>
                <w:color w:val="000000"/>
                <w:sz w:val="20"/>
                <w:szCs w:val="20"/>
              </w:rPr>
            </w:pPr>
          </w:p>
        </w:tc>
        <w:tc>
          <w:tcPr>
            <w:tcW w:w="818" w:type="pct"/>
            <w:tcBorders>
              <w:top w:val="nil"/>
              <w:left w:val="single" w:sz="4" w:space="0" w:color="auto"/>
              <w:right w:val="single" w:sz="4" w:space="0" w:color="auto"/>
            </w:tcBorders>
            <w:shd w:val="clear" w:color="auto" w:fill="FFFFFF"/>
          </w:tcPr>
          <w:p w14:paraId="503F2F65" w14:textId="1C289AD1"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Não</w:t>
            </w:r>
          </w:p>
        </w:tc>
        <w:tc>
          <w:tcPr>
            <w:tcW w:w="735" w:type="pct"/>
            <w:tcBorders>
              <w:top w:val="nil"/>
              <w:left w:val="single" w:sz="4" w:space="0" w:color="auto"/>
              <w:right w:val="single" w:sz="4" w:space="0" w:color="auto"/>
            </w:tcBorders>
            <w:shd w:val="clear" w:color="auto" w:fill="FFFFFF"/>
            <w:vAlign w:val="center"/>
          </w:tcPr>
          <w:p w14:paraId="230A11B5" w14:textId="77777777"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818" w:type="pct"/>
            <w:tcBorders>
              <w:top w:val="nil"/>
              <w:left w:val="single" w:sz="4" w:space="0" w:color="auto"/>
            </w:tcBorders>
            <w:shd w:val="clear" w:color="auto" w:fill="FFFFFF"/>
            <w:vAlign w:val="center"/>
          </w:tcPr>
          <w:p w14:paraId="54560254" w14:textId="77777777"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572" w:type="pct"/>
            <w:tcBorders>
              <w:top w:val="nil"/>
            </w:tcBorders>
            <w:shd w:val="clear" w:color="auto" w:fill="FFFFFF"/>
          </w:tcPr>
          <w:p w14:paraId="02A4257D" w14:textId="12CD4438"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1,135</w:t>
            </w:r>
          </w:p>
        </w:tc>
        <w:tc>
          <w:tcPr>
            <w:tcW w:w="653" w:type="pct"/>
            <w:tcBorders>
              <w:top w:val="nil"/>
            </w:tcBorders>
            <w:shd w:val="clear" w:color="auto" w:fill="FFFFFF"/>
          </w:tcPr>
          <w:p w14:paraId="6E3EDF22" w14:textId="1F0DF869"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117,256</w:t>
            </w:r>
          </w:p>
        </w:tc>
        <w:tc>
          <w:tcPr>
            <w:tcW w:w="654" w:type="pct"/>
            <w:tcBorders>
              <w:top w:val="nil"/>
              <w:right w:val="single" w:sz="4" w:space="0" w:color="FFFFFF" w:themeColor="background1"/>
            </w:tcBorders>
            <w:shd w:val="clear" w:color="auto" w:fill="FFFFFF"/>
          </w:tcPr>
          <w:p w14:paraId="7D031A6E" w14:textId="15E1C2C4"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0,259</w:t>
            </w:r>
          </w:p>
        </w:tc>
      </w:tr>
      <w:tr w:rsidR="006337BF" w:rsidRPr="00933491" w14:paraId="07ED54E5" w14:textId="77777777" w:rsidTr="004C7DD9">
        <w:trPr>
          <w:cantSplit/>
          <w:tblHeader/>
          <w:jc w:val="center"/>
        </w:trPr>
        <w:tc>
          <w:tcPr>
            <w:tcW w:w="749" w:type="pct"/>
            <w:vMerge w:val="restart"/>
            <w:tcBorders>
              <w:left w:val="single" w:sz="4" w:space="0" w:color="FFFFFF" w:themeColor="background1"/>
              <w:right w:val="single" w:sz="4" w:space="0" w:color="auto"/>
            </w:tcBorders>
            <w:shd w:val="clear" w:color="auto" w:fill="FFFFFF"/>
            <w:vAlign w:val="center"/>
          </w:tcPr>
          <w:p w14:paraId="2AE42940" w14:textId="77777777" w:rsidR="006337BF" w:rsidRPr="00CC11DC"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CC11DC">
              <w:rPr>
                <w:rFonts w:ascii="Times New Roman" w:hAnsi="Times New Roman" w:cs="Times New Roman"/>
                <w:color w:val="000000"/>
                <w:sz w:val="20"/>
                <w:szCs w:val="20"/>
              </w:rPr>
              <w:t>-3</w:t>
            </w:r>
          </w:p>
        </w:tc>
        <w:tc>
          <w:tcPr>
            <w:tcW w:w="818" w:type="pct"/>
            <w:tcBorders>
              <w:left w:val="single" w:sz="4" w:space="0" w:color="auto"/>
              <w:bottom w:val="nil"/>
              <w:right w:val="single" w:sz="4" w:space="0" w:color="auto"/>
            </w:tcBorders>
            <w:shd w:val="clear" w:color="auto" w:fill="FFFFFF"/>
          </w:tcPr>
          <w:p w14:paraId="0E0F489B" w14:textId="047D2CC8" w:rsidR="006337BF" w:rsidRPr="003E40AC"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Sim</w:t>
            </w:r>
          </w:p>
        </w:tc>
        <w:tc>
          <w:tcPr>
            <w:tcW w:w="735" w:type="pct"/>
            <w:tcBorders>
              <w:left w:val="single" w:sz="4" w:space="0" w:color="auto"/>
              <w:bottom w:val="nil"/>
              <w:right w:val="single" w:sz="4" w:space="0" w:color="auto"/>
            </w:tcBorders>
            <w:shd w:val="clear" w:color="auto" w:fill="FFFFFF"/>
          </w:tcPr>
          <w:p w14:paraId="7B61194D" w14:textId="39A38CD5" w:rsidR="006337BF" w:rsidRPr="003E40AC"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0,607</w:t>
            </w:r>
          </w:p>
        </w:tc>
        <w:tc>
          <w:tcPr>
            <w:tcW w:w="818" w:type="pct"/>
            <w:tcBorders>
              <w:left w:val="single" w:sz="4" w:space="0" w:color="auto"/>
              <w:bottom w:val="nil"/>
            </w:tcBorders>
            <w:shd w:val="clear" w:color="auto" w:fill="FFFFFF"/>
          </w:tcPr>
          <w:p w14:paraId="5714AB9D" w14:textId="34DE6F96"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0,437</w:t>
            </w:r>
          </w:p>
        </w:tc>
        <w:tc>
          <w:tcPr>
            <w:tcW w:w="572" w:type="pct"/>
            <w:tcBorders>
              <w:bottom w:val="nil"/>
            </w:tcBorders>
            <w:shd w:val="clear" w:color="auto" w:fill="FFFFFF"/>
          </w:tcPr>
          <w:p w14:paraId="4F087DA0" w14:textId="6F21099C"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-1,096</w:t>
            </w:r>
          </w:p>
        </w:tc>
        <w:tc>
          <w:tcPr>
            <w:tcW w:w="653" w:type="pct"/>
            <w:tcBorders>
              <w:bottom w:val="nil"/>
            </w:tcBorders>
            <w:shd w:val="clear" w:color="auto" w:fill="FFFFFF"/>
          </w:tcPr>
          <w:p w14:paraId="13C849EE" w14:textId="350D043B"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202</w:t>
            </w:r>
          </w:p>
        </w:tc>
        <w:tc>
          <w:tcPr>
            <w:tcW w:w="654" w:type="pct"/>
            <w:tcBorders>
              <w:bottom w:val="nil"/>
              <w:right w:val="single" w:sz="4" w:space="0" w:color="FFFFFF" w:themeColor="background1"/>
            </w:tcBorders>
            <w:shd w:val="clear" w:color="auto" w:fill="FFFFFF"/>
          </w:tcPr>
          <w:p w14:paraId="05C8EB08" w14:textId="10F9881D"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933491">
              <w:rPr>
                <w:rFonts w:ascii="Times New Roman" w:hAnsi="Times New Roman" w:cs="Times New Roman"/>
                <w:b/>
                <w:color w:val="000000"/>
                <w:sz w:val="20"/>
                <w:szCs w:val="20"/>
              </w:rPr>
              <w:t>0,275</w:t>
            </w:r>
          </w:p>
        </w:tc>
      </w:tr>
      <w:tr w:rsidR="006337BF" w:rsidRPr="00933491" w14:paraId="3B445119" w14:textId="77777777" w:rsidTr="004C7DD9">
        <w:trPr>
          <w:cantSplit/>
          <w:tblHeader/>
          <w:jc w:val="center"/>
        </w:trPr>
        <w:tc>
          <w:tcPr>
            <w:tcW w:w="749" w:type="pct"/>
            <w:vMerge/>
            <w:tcBorders>
              <w:left w:val="single" w:sz="4" w:space="0" w:color="FFFFFF" w:themeColor="background1"/>
              <w:right w:val="single" w:sz="4" w:space="0" w:color="auto"/>
            </w:tcBorders>
            <w:shd w:val="clear" w:color="auto" w:fill="FFFFFF"/>
            <w:vAlign w:val="center"/>
          </w:tcPr>
          <w:p w14:paraId="36DE9781" w14:textId="77777777" w:rsidR="006337BF" w:rsidRPr="00933491" w:rsidRDefault="006337BF" w:rsidP="0056798E">
            <w:pPr>
              <w:autoSpaceDE w:val="0"/>
              <w:autoSpaceDN w:val="0"/>
              <w:adjustRightInd w:val="0"/>
              <w:spacing w:after="0" w:line="240" w:lineRule="auto"/>
              <w:jc w:val="center"/>
              <w:rPr>
                <w:rFonts w:ascii="Times New Roman" w:hAnsi="Times New Roman" w:cs="Times New Roman"/>
                <w:color w:val="000000"/>
                <w:sz w:val="20"/>
                <w:szCs w:val="20"/>
              </w:rPr>
            </w:pPr>
          </w:p>
        </w:tc>
        <w:tc>
          <w:tcPr>
            <w:tcW w:w="818" w:type="pct"/>
            <w:tcBorders>
              <w:top w:val="nil"/>
              <w:left w:val="single" w:sz="4" w:space="0" w:color="auto"/>
              <w:right w:val="single" w:sz="4" w:space="0" w:color="auto"/>
            </w:tcBorders>
            <w:shd w:val="clear" w:color="auto" w:fill="FFFFFF"/>
          </w:tcPr>
          <w:p w14:paraId="14670030" w14:textId="512BA8F5"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Não</w:t>
            </w:r>
          </w:p>
        </w:tc>
        <w:tc>
          <w:tcPr>
            <w:tcW w:w="735" w:type="pct"/>
            <w:tcBorders>
              <w:top w:val="nil"/>
              <w:left w:val="single" w:sz="4" w:space="0" w:color="auto"/>
              <w:right w:val="single" w:sz="4" w:space="0" w:color="auto"/>
            </w:tcBorders>
            <w:shd w:val="clear" w:color="auto" w:fill="FFFFFF"/>
            <w:vAlign w:val="center"/>
          </w:tcPr>
          <w:p w14:paraId="4E7F007C" w14:textId="77777777"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818" w:type="pct"/>
            <w:tcBorders>
              <w:top w:val="nil"/>
              <w:left w:val="single" w:sz="4" w:space="0" w:color="auto"/>
            </w:tcBorders>
            <w:shd w:val="clear" w:color="auto" w:fill="FFFFFF"/>
            <w:vAlign w:val="center"/>
          </w:tcPr>
          <w:p w14:paraId="79428716" w14:textId="77777777"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572" w:type="pct"/>
            <w:tcBorders>
              <w:top w:val="nil"/>
            </w:tcBorders>
            <w:shd w:val="clear" w:color="auto" w:fill="FFFFFF"/>
          </w:tcPr>
          <w:p w14:paraId="0845425E" w14:textId="00B2F2CD"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-1,126</w:t>
            </w:r>
          </w:p>
        </w:tc>
        <w:tc>
          <w:tcPr>
            <w:tcW w:w="653" w:type="pct"/>
            <w:tcBorders>
              <w:top w:val="nil"/>
            </w:tcBorders>
            <w:shd w:val="clear" w:color="auto" w:fill="FFFFFF"/>
          </w:tcPr>
          <w:p w14:paraId="640FCEDD" w14:textId="252DE3FE"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183,531</w:t>
            </w:r>
          </w:p>
        </w:tc>
        <w:tc>
          <w:tcPr>
            <w:tcW w:w="654" w:type="pct"/>
            <w:tcBorders>
              <w:top w:val="nil"/>
              <w:right w:val="single" w:sz="4" w:space="0" w:color="FFFFFF" w:themeColor="background1"/>
            </w:tcBorders>
            <w:shd w:val="clear" w:color="auto" w:fill="FFFFFF"/>
          </w:tcPr>
          <w:p w14:paraId="4D7FCF66" w14:textId="4FE768C5"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0,262</w:t>
            </w:r>
          </w:p>
        </w:tc>
      </w:tr>
      <w:tr w:rsidR="006337BF" w:rsidRPr="00933491" w14:paraId="5E995A98" w14:textId="77777777" w:rsidTr="004C7DD9">
        <w:trPr>
          <w:cantSplit/>
          <w:tblHeader/>
          <w:jc w:val="center"/>
        </w:trPr>
        <w:tc>
          <w:tcPr>
            <w:tcW w:w="749" w:type="pct"/>
            <w:vMerge w:val="restart"/>
            <w:tcBorders>
              <w:left w:val="single" w:sz="4" w:space="0" w:color="FFFFFF" w:themeColor="background1"/>
              <w:right w:val="single" w:sz="4" w:space="0" w:color="auto"/>
            </w:tcBorders>
            <w:shd w:val="clear" w:color="auto" w:fill="FFFFFF"/>
            <w:vAlign w:val="center"/>
          </w:tcPr>
          <w:p w14:paraId="46E80C24" w14:textId="77777777" w:rsidR="006337BF" w:rsidRPr="00CC11DC"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CC11DC">
              <w:rPr>
                <w:rFonts w:ascii="Times New Roman" w:hAnsi="Times New Roman" w:cs="Times New Roman"/>
                <w:color w:val="000000"/>
                <w:sz w:val="20"/>
                <w:szCs w:val="20"/>
              </w:rPr>
              <w:t>-2</w:t>
            </w:r>
          </w:p>
        </w:tc>
        <w:tc>
          <w:tcPr>
            <w:tcW w:w="818" w:type="pct"/>
            <w:tcBorders>
              <w:left w:val="single" w:sz="4" w:space="0" w:color="auto"/>
              <w:bottom w:val="nil"/>
              <w:right w:val="single" w:sz="4" w:space="0" w:color="auto"/>
            </w:tcBorders>
            <w:shd w:val="clear" w:color="auto" w:fill="FFFFFF"/>
          </w:tcPr>
          <w:p w14:paraId="4F2695AC" w14:textId="12FD909B" w:rsidR="006337BF" w:rsidRPr="003E40AC"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Sim</w:t>
            </w:r>
          </w:p>
        </w:tc>
        <w:tc>
          <w:tcPr>
            <w:tcW w:w="735" w:type="pct"/>
            <w:tcBorders>
              <w:left w:val="single" w:sz="4" w:space="0" w:color="auto"/>
              <w:bottom w:val="nil"/>
              <w:right w:val="single" w:sz="4" w:space="0" w:color="auto"/>
            </w:tcBorders>
            <w:shd w:val="clear" w:color="auto" w:fill="FFFFFF"/>
          </w:tcPr>
          <w:p w14:paraId="1648C419" w14:textId="6060D642" w:rsidR="006337BF" w:rsidRPr="003E40AC"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4,169</w:t>
            </w:r>
          </w:p>
        </w:tc>
        <w:tc>
          <w:tcPr>
            <w:tcW w:w="818" w:type="pct"/>
            <w:tcBorders>
              <w:left w:val="single" w:sz="4" w:space="0" w:color="auto"/>
              <w:bottom w:val="nil"/>
            </w:tcBorders>
            <w:shd w:val="clear" w:color="auto" w:fill="FFFFFF"/>
          </w:tcPr>
          <w:p w14:paraId="0097BA0B" w14:textId="546B8E87"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0,042</w:t>
            </w:r>
          </w:p>
        </w:tc>
        <w:tc>
          <w:tcPr>
            <w:tcW w:w="572" w:type="pct"/>
            <w:tcBorders>
              <w:bottom w:val="nil"/>
            </w:tcBorders>
            <w:shd w:val="clear" w:color="auto" w:fill="FFFFFF"/>
          </w:tcPr>
          <w:p w14:paraId="57C8EBFF" w14:textId="205C2B83"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-0,771</w:t>
            </w:r>
          </w:p>
        </w:tc>
        <w:tc>
          <w:tcPr>
            <w:tcW w:w="653" w:type="pct"/>
            <w:tcBorders>
              <w:bottom w:val="nil"/>
            </w:tcBorders>
            <w:shd w:val="clear" w:color="auto" w:fill="FFFFFF"/>
          </w:tcPr>
          <w:p w14:paraId="521271B9" w14:textId="1C88FBB7"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225</w:t>
            </w:r>
          </w:p>
        </w:tc>
        <w:tc>
          <w:tcPr>
            <w:tcW w:w="654" w:type="pct"/>
            <w:tcBorders>
              <w:bottom w:val="nil"/>
              <w:right w:val="single" w:sz="4" w:space="0" w:color="FFFFFF" w:themeColor="background1"/>
            </w:tcBorders>
            <w:shd w:val="clear" w:color="auto" w:fill="FFFFFF"/>
          </w:tcPr>
          <w:p w14:paraId="28A1B494" w14:textId="7BAB3C28"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933491">
              <w:rPr>
                <w:rFonts w:ascii="Times New Roman" w:hAnsi="Times New Roman" w:cs="Times New Roman"/>
                <w:b/>
                <w:color w:val="000000"/>
                <w:sz w:val="20"/>
                <w:szCs w:val="20"/>
              </w:rPr>
              <w:t>0,442</w:t>
            </w:r>
          </w:p>
        </w:tc>
      </w:tr>
      <w:tr w:rsidR="006337BF" w:rsidRPr="00933491" w14:paraId="611BDEB0" w14:textId="77777777" w:rsidTr="004C7DD9">
        <w:trPr>
          <w:cantSplit/>
          <w:tblHeader/>
          <w:jc w:val="center"/>
        </w:trPr>
        <w:tc>
          <w:tcPr>
            <w:tcW w:w="749" w:type="pct"/>
            <w:vMerge/>
            <w:tcBorders>
              <w:left w:val="single" w:sz="4" w:space="0" w:color="FFFFFF" w:themeColor="background1"/>
              <w:right w:val="single" w:sz="4" w:space="0" w:color="auto"/>
            </w:tcBorders>
            <w:shd w:val="clear" w:color="auto" w:fill="FFFFFF"/>
            <w:vAlign w:val="center"/>
          </w:tcPr>
          <w:p w14:paraId="3C356857" w14:textId="77777777" w:rsidR="006337BF" w:rsidRPr="00933491" w:rsidRDefault="006337BF" w:rsidP="0056798E">
            <w:pPr>
              <w:autoSpaceDE w:val="0"/>
              <w:autoSpaceDN w:val="0"/>
              <w:adjustRightInd w:val="0"/>
              <w:spacing w:after="0" w:line="240" w:lineRule="auto"/>
              <w:jc w:val="center"/>
              <w:rPr>
                <w:rFonts w:ascii="Times New Roman" w:hAnsi="Times New Roman" w:cs="Times New Roman"/>
                <w:color w:val="000000"/>
                <w:sz w:val="20"/>
                <w:szCs w:val="20"/>
              </w:rPr>
            </w:pPr>
          </w:p>
        </w:tc>
        <w:tc>
          <w:tcPr>
            <w:tcW w:w="818" w:type="pct"/>
            <w:tcBorders>
              <w:top w:val="nil"/>
              <w:left w:val="single" w:sz="4" w:space="0" w:color="auto"/>
              <w:right w:val="single" w:sz="4" w:space="0" w:color="auto"/>
            </w:tcBorders>
            <w:shd w:val="clear" w:color="auto" w:fill="FFFFFF"/>
          </w:tcPr>
          <w:p w14:paraId="67F09364" w14:textId="24A1365E"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Não</w:t>
            </w:r>
          </w:p>
        </w:tc>
        <w:tc>
          <w:tcPr>
            <w:tcW w:w="735" w:type="pct"/>
            <w:tcBorders>
              <w:top w:val="nil"/>
              <w:left w:val="single" w:sz="4" w:space="0" w:color="auto"/>
              <w:right w:val="single" w:sz="4" w:space="0" w:color="auto"/>
            </w:tcBorders>
            <w:shd w:val="clear" w:color="auto" w:fill="FFFFFF"/>
            <w:vAlign w:val="center"/>
          </w:tcPr>
          <w:p w14:paraId="13534F9A" w14:textId="77777777"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818" w:type="pct"/>
            <w:tcBorders>
              <w:top w:val="nil"/>
              <w:left w:val="single" w:sz="4" w:space="0" w:color="auto"/>
            </w:tcBorders>
            <w:shd w:val="clear" w:color="auto" w:fill="FFFFFF"/>
            <w:vAlign w:val="center"/>
          </w:tcPr>
          <w:p w14:paraId="7E218C7A" w14:textId="77777777"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572" w:type="pct"/>
            <w:tcBorders>
              <w:top w:val="nil"/>
            </w:tcBorders>
            <w:shd w:val="clear" w:color="auto" w:fill="FFFFFF"/>
          </w:tcPr>
          <w:p w14:paraId="681713BD" w14:textId="0AFE1543"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-0,723</w:t>
            </w:r>
          </w:p>
        </w:tc>
        <w:tc>
          <w:tcPr>
            <w:tcW w:w="653" w:type="pct"/>
            <w:tcBorders>
              <w:top w:val="nil"/>
            </w:tcBorders>
            <w:shd w:val="clear" w:color="auto" w:fill="FFFFFF"/>
          </w:tcPr>
          <w:p w14:paraId="585D1765" w14:textId="3887B9A0"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150,893</w:t>
            </w:r>
          </w:p>
        </w:tc>
        <w:tc>
          <w:tcPr>
            <w:tcW w:w="654" w:type="pct"/>
            <w:tcBorders>
              <w:top w:val="nil"/>
              <w:right w:val="single" w:sz="4" w:space="0" w:color="FFFFFF" w:themeColor="background1"/>
            </w:tcBorders>
            <w:shd w:val="clear" w:color="auto" w:fill="FFFFFF"/>
          </w:tcPr>
          <w:p w14:paraId="06576073" w14:textId="732FCEA1"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0,471</w:t>
            </w:r>
          </w:p>
        </w:tc>
      </w:tr>
      <w:tr w:rsidR="006337BF" w:rsidRPr="00933491" w14:paraId="020D2EDD" w14:textId="77777777" w:rsidTr="004C7DD9">
        <w:trPr>
          <w:cantSplit/>
          <w:tblHeader/>
          <w:jc w:val="center"/>
        </w:trPr>
        <w:tc>
          <w:tcPr>
            <w:tcW w:w="749" w:type="pct"/>
            <w:vMerge w:val="restart"/>
            <w:tcBorders>
              <w:left w:val="single" w:sz="4" w:space="0" w:color="FFFFFF" w:themeColor="background1"/>
              <w:right w:val="single" w:sz="4" w:space="0" w:color="auto"/>
            </w:tcBorders>
            <w:shd w:val="clear" w:color="auto" w:fill="FFFFFF"/>
            <w:vAlign w:val="center"/>
          </w:tcPr>
          <w:p w14:paraId="053AE7A6" w14:textId="77777777" w:rsidR="006337BF" w:rsidRPr="00CC11DC"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CC11DC">
              <w:rPr>
                <w:rFonts w:ascii="Times New Roman" w:hAnsi="Times New Roman" w:cs="Times New Roman"/>
                <w:color w:val="000000"/>
                <w:sz w:val="20"/>
                <w:szCs w:val="20"/>
              </w:rPr>
              <w:t>-1</w:t>
            </w:r>
          </w:p>
        </w:tc>
        <w:tc>
          <w:tcPr>
            <w:tcW w:w="818" w:type="pct"/>
            <w:tcBorders>
              <w:left w:val="single" w:sz="4" w:space="0" w:color="auto"/>
              <w:bottom w:val="nil"/>
              <w:right w:val="single" w:sz="4" w:space="0" w:color="auto"/>
            </w:tcBorders>
            <w:shd w:val="clear" w:color="auto" w:fill="FFFFFF"/>
          </w:tcPr>
          <w:p w14:paraId="3FD57963" w14:textId="57AF867E" w:rsidR="006337BF" w:rsidRPr="003E40AC"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Sim</w:t>
            </w:r>
          </w:p>
        </w:tc>
        <w:tc>
          <w:tcPr>
            <w:tcW w:w="735" w:type="pct"/>
            <w:tcBorders>
              <w:left w:val="single" w:sz="4" w:space="0" w:color="auto"/>
              <w:bottom w:val="nil"/>
              <w:right w:val="single" w:sz="4" w:space="0" w:color="auto"/>
            </w:tcBorders>
            <w:shd w:val="clear" w:color="auto" w:fill="FFFFFF"/>
          </w:tcPr>
          <w:p w14:paraId="7B9E99A3" w14:textId="525E99CD" w:rsidR="006337BF" w:rsidRPr="003E40AC"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0,679</w:t>
            </w:r>
          </w:p>
        </w:tc>
        <w:tc>
          <w:tcPr>
            <w:tcW w:w="818" w:type="pct"/>
            <w:tcBorders>
              <w:left w:val="single" w:sz="4" w:space="0" w:color="auto"/>
              <w:bottom w:val="nil"/>
            </w:tcBorders>
            <w:shd w:val="clear" w:color="auto" w:fill="FFFFFF"/>
          </w:tcPr>
          <w:p w14:paraId="0E78F7C8" w14:textId="3D47C45C"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0,411</w:t>
            </w:r>
          </w:p>
        </w:tc>
        <w:tc>
          <w:tcPr>
            <w:tcW w:w="572" w:type="pct"/>
            <w:tcBorders>
              <w:bottom w:val="nil"/>
            </w:tcBorders>
            <w:shd w:val="clear" w:color="auto" w:fill="FFFFFF"/>
          </w:tcPr>
          <w:p w14:paraId="51C666FB" w14:textId="22B17D97"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1,275</w:t>
            </w:r>
          </w:p>
        </w:tc>
        <w:tc>
          <w:tcPr>
            <w:tcW w:w="653" w:type="pct"/>
            <w:tcBorders>
              <w:bottom w:val="nil"/>
            </w:tcBorders>
            <w:shd w:val="clear" w:color="auto" w:fill="FFFFFF"/>
          </w:tcPr>
          <w:p w14:paraId="43699548" w14:textId="4180BB3B"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250</w:t>
            </w:r>
          </w:p>
        </w:tc>
        <w:tc>
          <w:tcPr>
            <w:tcW w:w="654" w:type="pct"/>
            <w:tcBorders>
              <w:bottom w:val="nil"/>
              <w:right w:val="single" w:sz="4" w:space="0" w:color="FFFFFF" w:themeColor="background1"/>
            </w:tcBorders>
            <w:shd w:val="clear" w:color="auto" w:fill="FFFFFF"/>
          </w:tcPr>
          <w:p w14:paraId="4490CCCA" w14:textId="0C16D952"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933491">
              <w:rPr>
                <w:rFonts w:ascii="Times New Roman" w:hAnsi="Times New Roman" w:cs="Times New Roman"/>
                <w:b/>
                <w:color w:val="000000"/>
                <w:sz w:val="20"/>
                <w:szCs w:val="20"/>
              </w:rPr>
              <w:t>0,203</w:t>
            </w:r>
          </w:p>
        </w:tc>
      </w:tr>
      <w:tr w:rsidR="006337BF" w:rsidRPr="00933491" w14:paraId="0C29E9A6" w14:textId="77777777" w:rsidTr="004C7DD9">
        <w:trPr>
          <w:cantSplit/>
          <w:tblHeader/>
          <w:jc w:val="center"/>
        </w:trPr>
        <w:tc>
          <w:tcPr>
            <w:tcW w:w="749" w:type="pct"/>
            <w:vMerge/>
            <w:tcBorders>
              <w:left w:val="single" w:sz="4" w:space="0" w:color="FFFFFF" w:themeColor="background1"/>
              <w:right w:val="single" w:sz="4" w:space="0" w:color="auto"/>
            </w:tcBorders>
            <w:shd w:val="clear" w:color="auto" w:fill="FFFFFF"/>
            <w:vAlign w:val="center"/>
          </w:tcPr>
          <w:p w14:paraId="4ECB80B8" w14:textId="77777777" w:rsidR="006337BF" w:rsidRPr="00933491" w:rsidRDefault="006337BF" w:rsidP="0056798E">
            <w:pPr>
              <w:autoSpaceDE w:val="0"/>
              <w:autoSpaceDN w:val="0"/>
              <w:adjustRightInd w:val="0"/>
              <w:spacing w:after="0" w:line="240" w:lineRule="auto"/>
              <w:jc w:val="center"/>
              <w:rPr>
                <w:rFonts w:ascii="Times New Roman" w:hAnsi="Times New Roman" w:cs="Times New Roman"/>
                <w:color w:val="000000"/>
                <w:sz w:val="20"/>
                <w:szCs w:val="20"/>
              </w:rPr>
            </w:pPr>
          </w:p>
        </w:tc>
        <w:tc>
          <w:tcPr>
            <w:tcW w:w="818" w:type="pct"/>
            <w:tcBorders>
              <w:top w:val="nil"/>
              <w:left w:val="single" w:sz="4" w:space="0" w:color="auto"/>
              <w:right w:val="single" w:sz="4" w:space="0" w:color="auto"/>
            </w:tcBorders>
            <w:shd w:val="clear" w:color="auto" w:fill="FFFFFF"/>
          </w:tcPr>
          <w:p w14:paraId="7015E1AB" w14:textId="03C78185"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Não</w:t>
            </w:r>
          </w:p>
        </w:tc>
        <w:tc>
          <w:tcPr>
            <w:tcW w:w="735" w:type="pct"/>
            <w:tcBorders>
              <w:top w:val="nil"/>
              <w:left w:val="single" w:sz="4" w:space="0" w:color="auto"/>
              <w:right w:val="single" w:sz="4" w:space="0" w:color="auto"/>
            </w:tcBorders>
            <w:shd w:val="clear" w:color="auto" w:fill="FFFFFF"/>
            <w:vAlign w:val="center"/>
          </w:tcPr>
          <w:p w14:paraId="127F5143" w14:textId="77777777"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818" w:type="pct"/>
            <w:tcBorders>
              <w:top w:val="nil"/>
              <w:left w:val="single" w:sz="4" w:space="0" w:color="auto"/>
            </w:tcBorders>
            <w:shd w:val="clear" w:color="auto" w:fill="FFFFFF"/>
            <w:vAlign w:val="center"/>
          </w:tcPr>
          <w:p w14:paraId="395D3FCC" w14:textId="77777777"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572" w:type="pct"/>
            <w:tcBorders>
              <w:top w:val="nil"/>
            </w:tcBorders>
            <w:shd w:val="clear" w:color="auto" w:fill="FFFFFF"/>
          </w:tcPr>
          <w:p w14:paraId="49654163" w14:textId="392EB884"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1,269</w:t>
            </w:r>
          </w:p>
        </w:tc>
        <w:tc>
          <w:tcPr>
            <w:tcW w:w="653" w:type="pct"/>
            <w:tcBorders>
              <w:top w:val="nil"/>
            </w:tcBorders>
            <w:shd w:val="clear" w:color="auto" w:fill="FFFFFF"/>
          </w:tcPr>
          <w:p w14:paraId="4C8A495B" w14:textId="7827A14A"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240,166</w:t>
            </w:r>
          </w:p>
        </w:tc>
        <w:tc>
          <w:tcPr>
            <w:tcW w:w="654" w:type="pct"/>
            <w:tcBorders>
              <w:top w:val="nil"/>
              <w:right w:val="single" w:sz="4" w:space="0" w:color="FFFFFF" w:themeColor="background1"/>
            </w:tcBorders>
            <w:shd w:val="clear" w:color="auto" w:fill="FFFFFF"/>
          </w:tcPr>
          <w:p w14:paraId="702D1274" w14:textId="639BE8BE"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0,206</w:t>
            </w:r>
          </w:p>
        </w:tc>
      </w:tr>
      <w:tr w:rsidR="006337BF" w:rsidRPr="00933491" w14:paraId="12B06DDD" w14:textId="77777777" w:rsidTr="004C7DD9">
        <w:trPr>
          <w:cantSplit/>
          <w:tblHeader/>
          <w:jc w:val="center"/>
        </w:trPr>
        <w:tc>
          <w:tcPr>
            <w:tcW w:w="749" w:type="pct"/>
            <w:vMerge w:val="restart"/>
            <w:tcBorders>
              <w:left w:val="single" w:sz="4" w:space="0" w:color="FFFFFF" w:themeColor="background1"/>
              <w:right w:val="single" w:sz="4" w:space="0" w:color="auto"/>
            </w:tcBorders>
            <w:shd w:val="clear" w:color="auto" w:fill="FFFFFF"/>
            <w:vAlign w:val="center"/>
          </w:tcPr>
          <w:p w14:paraId="3EF5425F" w14:textId="77777777" w:rsidR="006337BF" w:rsidRPr="00CC11DC"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CC11DC">
              <w:rPr>
                <w:rFonts w:ascii="Times New Roman" w:hAnsi="Times New Roman" w:cs="Times New Roman"/>
                <w:color w:val="000000"/>
                <w:sz w:val="20"/>
                <w:szCs w:val="20"/>
              </w:rPr>
              <w:t>0</w:t>
            </w:r>
          </w:p>
        </w:tc>
        <w:tc>
          <w:tcPr>
            <w:tcW w:w="818" w:type="pct"/>
            <w:tcBorders>
              <w:left w:val="single" w:sz="4" w:space="0" w:color="auto"/>
              <w:bottom w:val="nil"/>
              <w:right w:val="single" w:sz="4" w:space="0" w:color="auto"/>
            </w:tcBorders>
            <w:shd w:val="clear" w:color="auto" w:fill="FFFFFF"/>
          </w:tcPr>
          <w:p w14:paraId="620011C6" w14:textId="2BAB6682" w:rsidR="006337BF" w:rsidRPr="003E40AC"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Sim</w:t>
            </w:r>
          </w:p>
        </w:tc>
        <w:tc>
          <w:tcPr>
            <w:tcW w:w="735" w:type="pct"/>
            <w:tcBorders>
              <w:left w:val="single" w:sz="4" w:space="0" w:color="auto"/>
              <w:bottom w:val="nil"/>
              <w:right w:val="single" w:sz="4" w:space="0" w:color="auto"/>
            </w:tcBorders>
            <w:shd w:val="clear" w:color="auto" w:fill="FFFFFF"/>
          </w:tcPr>
          <w:p w14:paraId="37B6BBE9" w14:textId="42F8704D" w:rsidR="006337BF" w:rsidRPr="003E40AC"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1,116</w:t>
            </w:r>
          </w:p>
        </w:tc>
        <w:tc>
          <w:tcPr>
            <w:tcW w:w="818" w:type="pct"/>
            <w:tcBorders>
              <w:left w:val="single" w:sz="4" w:space="0" w:color="auto"/>
              <w:bottom w:val="nil"/>
            </w:tcBorders>
            <w:shd w:val="clear" w:color="auto" w:fill="FFFFFF"/>
          </w:tcPr>
          <w:p w14:paraId="7853B175" w14:textId="0544C5CE"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0,292</w:t>
            </w:r>
          </w:p>
        </w:tc>
        <w:tc>
          <w:tcPr>
            <w:tcW w:w="572" w:type="pct"/>
            <w:tcBorders>
              <w:bottom w:val="nil"/>
            </w:tcBorders>
            <w:shd w:val="clear" w:color="auto" w:fill="FFFFFF"/>
          </w:tcPr>
          <w:p w14:paraId="3DCBD136" w14:textId="5082688E"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-0,544</w:t>
            </w:r>
          </w:p>
        </w:tc>
        <w:tc>
          <w:tcPr>
            <w:tcW w:w="653" w:type="pct"/>
            <w:tcBorders>
              <w:bottom w:val="nil"/>
            </w:tcBorders>
            <w:shd w:val="clear" w:color="auto" w:fill="FFFFFF"/>
          </w:tcPr>
          <w:p w14:paraId="4F25DA42" w14:textId="6892BE80"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265</w:t>
            </w:r>
          </w:p>
        </w:tc>
        <w:tc>
          <w:tcPr>
            <w:tcW w:w="654" w:type="pct"/>
            <w:tcBorders>
              <w:bottom w:val="nil"/>
              <w:right w:val="single" w:sz="4" w:space="0" w:color="FFFFFF" w:themeColor="background1"/>
            </w:tcBorders>
            <w:shd w:val="clear" w:color="auto" w:fill="FFFFFF"/>
          </w:tcPr>
          <w:p w14:paraId="7A33076A" w14:textId="6F3CA593"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933491">
              <w:rPr>
                <w:rFonts w:ascii="Times New Roman" w:hAnsi="Times New Roman" w:cs="Times New Roman"/>
                <w:b/>
                <w:color w:val="000000"/>
                <w:sz w:val="20"/>
                <w:szCs w:val="20"/>
              </w:rPr>
              <w:t>0,587</w:t>
            </w:r>
          </w:p>
        </w:tc>
      </w:tr>
      <w:tr w:rsidR="006337BF" w:rsidRPr="00933491" w14:paraId="3C396CCF" w14:textId="77777777" w:rsidTr="004C7DD9">
        <w:trPr>
          <w:cantSplit/>
          <w:tblHeader/>
          <w:jc w:val="center"/>
        </w:trPr>
        <w:tc>
          <w:tcPr>
            <w:tcW w:w="749" w:type="pct"/>
            <w:vMerge/>
            <w:tcBorders>
              <w:left w:val="single" w:sz="4" w:space="0" w:color="FFFFFF" w:themeColor="background1"/>
              <w:right w:val="single" w:sz="4" w:space="0" w:color="auto"/>
            </w:tcBorders>
            <w:shd w:val="clear" w:color="auto" w:fill="FFFFFF"/>
            <w:vAlign w:val="center"/>
          </w:tcPr>
          <w:p w14:paraId="1573709C" w14:textId="77777777" w:rsidR="006337BF" w:rsidRPr="00933491" w:rsidRDefault="006337BF" w:rsidP="0056798E">
            <w:pPr>
              <w:autoSpaceDE w:val="0"/>
              <w:autoSpaceDN w:val="0"/>
              <w:adjustRightInd w:val="0"/>
              <w:spacing w:after="0" w:line="240" w:lineRule="auto"/>
              <w:jc w:val="center"/>
              <w:rPr>
                <w:rFonts w:ascii="Times New Roman" w:hAnsi="Times New Roman" w:cs="Times New Roman"/>
                <w:color w:val="000000"/>
                <w:sz w:val="20"/>
                <w:szCs w:val="20"/>
              </w:rPr>
            </w:pPr>
          </w:p>
        </w:tc>
        <w:tc>
          <w:tcPr>
            <w:tcW w:w="818" w:type="pct"/>
            <w:tcBorders>
              <w:top w:val="nil"/>
              <w:left w:val="single" w:sz="4" w:space="0" w:color="auto"/>
              <w:right w:val="single" w:sz="4" w:space="0" w:color="auto"/>
            </w:tcBorders>
            <w:shd w:val="clear" w:color="auto" w:fill="FFFFFF"/>
          </w:tcPr>
          <w:p w14:paraId="08B3C26E" w14:textId="698859EC"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Não</w:t>
            </w:r>
          </w:p>
        </w:tc>
        <w:tc>
          <w:tcPr>
            <w:tcW w:w="735" w:type="pct"/>
            <w:tcBorders>
              <w:top w:val="nil"/>
              <w:left w:val="single" w:sz="4" w:space="0" w:color="auto"/>
              <w:right w:val="single" w:sz="4" w:space="0" w:color="auto"/>
            </w:tcBorders>
            <w:shd w:val="clear" w:color="auto" w:fill="FFFFFF"/>
            <w:vAlign w:val="center"/>
          </w:tcPr>
          <w:p w14:paraId="73369A73" w14:textId="77777777"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818" w:type="pct"/>
            <w:tcBorders>
              <w:top w:val="nil"/>
              <w:left w:val="single" w:sz="4" w:space="0" w:color="auto"/>
            </w:tcBorders>
            <w:shd w:val="clear" w:color="auto" w:fill="FFFFFF"/>
            <w:vAlign w:val="center"/>
          </w:tcPr>
          <w:p w14:paraId="10D0193A" w14:textId="77777777"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572" w:type="pct"/>
            <w:tcBorders>
              <w:top w:val="nil"/>
            </w:tcBorders>
            <w:shd w:val="clear" w:color="auto" w:fill="FFFFFF"/>
          </w:tcPr>
          <w:p w14:paraId="1A648BD5" w14:textId="35F1F8C9"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-0,544</w:t>
            </w:r>
          </w:p>
        </w:tc>
        <w:tc>
          <w:tcPr>
            <w:tcW w:w="653" w:type="pct"/>
            <w:tcBorders>
              <w:top w:val="nil"/>
            </w:tcBorders>
            <w:shd w:val="clear" w:color="auto" w:fill="FFFFFF"/>
          </w:tcPr>
          <w:p w14:paraId="1E5521FA" w14:textId="4D261BE7"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264,663</w:t>
            </w:r>
          </w:p>
        </w:tc>
        <w:tc>
          <w:tcPr>
            <w:tcW w:w="654" w:type="pct"/>
            <w:tcBorders>
              <w:top w:val="nil"/>
              <w:right w:val="single" w:sz="4" w:space="0" w:color="FFFFFF" w:themeColor="background1"/>
            </w:tcBorders>
            <w:shd w:val="clear" w:color="auto" w:fill="FFFFFF"/>
          </w:tcPr>
          <w:p w14:paraId="4305451E" w14:textId="04A8EF78"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0,587</w:t>
            </w:r>
          </w:p>
        </w:tc>
      </w:tr>
      <w:tr w:rsidR="006337BF" w:rsidRPr="00933491" w14:paraId="3ED5D048" w14:textId="77777777" w:rsidTr="004C7DD9">
        <w:trPr>
          <w:cantSplit/>
          <w:tblHeader/>
          <w:jc w:val="center"/>
        </w:trPr>
        <w:tc>
          <w:tcPr>
            <w:tcW w:w="749" w:type="pct"/>
            <w:vMerge w:val="restart"/>
            <w:tcBorders>
              <w:left w:val="single" w:sz="4" w:space="0" w:color="FFFFFF" w:themeColor="background1"/>
              <w:right w:val="single" w:sz="4" w:space="0" w:color="auto"/>
            </w:tcBorders>
            <w:shd w:val="clear" w:color="auto" w:fill="FFFFFF"/>
            <w:vAlign w:val="center"/>
          </w:tcPr>
          <w:p w14:paraId="02102409" w14:textId="77777777" w:rsidR="006337BF" w:rsidRPr="00CC11DC"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CC11DC">
              <w:rPr>
                <w:rFonts w:ascii="Times New Roman" w:hAnsi="Times New Roman" w:cs="Times New Roman"/>
                <w:color w:val="000000"/>
                <w:sz w:val="20"/>
                <w:szCs w:val="20"/>
              </w:rPr>
              <w:t>+1</w:t>
            </w:r>
          </w:p>
        </w:tc>
        <w:tc>
          <w:tcPr>
            <w:tcW w:w="818" w:type="pct"/>
            <w:tcBorders>
              <w:left w:val="single" w:sz="4" w:space="0" w:color="auto"/>
              <w:bottom w:val="nil"/>
              <w:right w:val="single" w:sz="4" w:space="0" w:color="auto"/>
            </w:tcBorders>
            <w:shd w:val="clear" w:color="auto" w:fill="FFFFFF"/>
          </w:tcPr>
          <w:p w14:paraId="404310C9" w14:textId="2EEEA4A0" w:rsidR="006337BF" w:rsidRPr="003E40AC"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Sim</w:t>
            </w:r>
          </w:p>
        </w:tc>
        <w:tc>
          <w:tcPr>
            <w:tcW w:w="735" w:type="pct"/>
            <w:tcBorders>
              <w:left w:val="single" w:sz="4" w:space="0" w:color="auto"/>
              <w:bottom w:val="nil"/>
              <w:right w:val="single" w:sz="4" w:space="0" w:color="auto"/>
            </w:tcBorders>
            <w:shd w:val="clear" w:color="auto" w:fill="FFFFFF"/>
          </w:tcPr>
          <w:p w14:paraId="67E7CC9B" w14:textId="6C3CA057" w:rsidR="006337BF" w:rsidRPr="003E40AC"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1,921</w:t>
            </w:r>
          </w:p>
        </w:tc>
        <w:tc>
          <w:tcPr>
            <w:tcW w:w="818" w:type="pct"/>
            <w:tcBorders>
              <w:left w:val="single" w:sz="4" w:space="0" w:color="auto"/>
              <w:bottom w:val="nil"/>
            </w:tcBorders>
            <w:shd w:val="clear" w:color="auto" w:fill="FFFFFF"/>
          </w:tcPr>
          <w:p w14:paraId="42A14221" w14:textId="3A653525"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0,167</w:t>
            </w:r>
          </w:p>
        </w:tc>
        <w:tc>
          <w:tcPr>
            <w:tcW w:w="572" w:type="pct"/>
            <w:tcBorders>
              <w:bottom w:val="nil"/>
            </w:tcBorders>
            <w:shd w:val="clear" w:color="auto" w:fill="FFFFFF"/>
          </w:tcPr>
          <w:p w14:paraId="3F72D470" w14:textId="4DBF1EBE"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-1,290</w:t>
            </w:r>
          </w:p>
        </w:tc>
        <w:tc>
          <w:tcPr>
            <w:tcW w:w="653" w:type="pct"/>
            <w:tcBorders>
              <w:bottom w:val="nil"/>
            </w:tcBorders>
            <w:shd w:val="clear" w:color="auto" w:fill="FFFFFF"/>
          </w:tcPr>
          <w:p w14:paraId="334CAE78" w14:textId="239C706C"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267</w:t>
            </w:r>
          </w:p>
        </w:tc>
        <w:tc>
          <w:tcPr>
            <w:tcW w:w="654" w:type="pct"/>
            <w:tcBorders>
              <w:bottom w:val="nil"/>
              <w:right w:val="single" w:sz="4" w:space="0" w:color="FFFFFF" w:themeColor="background1"/>
            </w:tcBorders>
            <w:shd w:val="clear" w:color="auto" w:fill="FFFFFF"/>
          </w:tcPr>
          <w:p w14:paraId="1FCE0D02" w14:textId="5FF773D5"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933491">
              <w:rPr>
                <w:rFonts w:ascii="Times New Roman" w:hAnsi="Times New Roman" w:cs="Times New Roman"/>
                <w:b/>
                <w:color w:val="000000"/>
                <w:sz w:val="20"/>
                <w:szCs w:val="20"/>
              </w:rPr>
              <w:t>0,198</w:t>
            </w:r>
          </w:p>
        </w:tc>
      </w:tr>
      <w:tr w:rsidR="006337BF" w:rsidRPr="00933491" w14:paraId="459097DC" w14:textId="77777777" w:rsidTr="004C7DD9">
        <w:trPr>
          <w:cantSplit/>
          <w:tblHeader/>
          <w:jc w:val="center"/>
        </w:trPr>
        <w:tc>
          <w:tcPr>
            <w:tcW w:w="749" w:type="pct"/>
            <w:vMerge/>
            <w:tcBorders>
              <w:left w:val="single" w:sz="4" w:space="0" w:color="FFFFFF" w:themeColor="background1"/>
              <w:right w:val="single" w:sz="4" w:space="0" w:color="auto"/>
            </w:tcBorders>
            <w:shd w:val="clear" w:color="auto" w:fill="FFFFFF"/>
            <w:vAlign w:val="center"/>
          </w:tcPr>
          <w:p w14:paraId="2BA429BB" w14:textId="77777777" w:rsidR="006337BF" w:rsidRPr="00933491" w:rsidRDefault="006337BF" w:rsidP="0056798E">
            <w:pPr>
              <w:autoSpaceDE w:val="0"/>
              <w:autoSpaceDN w:val="0"/>
              <w:adjustRightInd w:val="0"/>
              <w:spacing w:after="0" w:line="240" w:lineRule="auto"/>
              <w:jc w:val="center"/>
              <w:rPr>
                <w:rFonts w:ascii="Times New Roman" w:hAnsi="Times New Roman" w:cs="Times New Roman"/>
                <w:color w:val="000000"/>
                <w:sz w:val="20"/>
                <w:szCs w:val="20"/>
              </w:rPr>
            </w:pPr>
          </w:p>
        </w:tc>
        <w:tc>
          <w:tcPr>
            <w:tcW w:w="818" w:type="pct"/>
            <w:tcBorders>
              <w:top w:val="nil"/>
              <w:left w:val="single" w:sz="4" w:space="0" w:color="auto"/>
              <w:right w:val="single" w:sz="4" w:space="0" w:color="auto"/>
            </w:tcBorders>
            <w:shd w:val="clear" w:color="auto" w:fill="FFFFFF"/>
          </w:tcPr>
          <w:p w14:paraId="53E1C106" w14:textId="142E6B90"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Não</w:t>
            </w:r>
          </w:p>
        </w:tc>
        <w:tc>
          <w:tcPr>
            <w:tcW w:w="735" w:type="pct"/>
            <w:tcBorders>
              <w:top w:val="nil"/>
              <w:left w:val="single" w:sz="4" w:space="0" w:color="auto"/>
              <w:right w:val="single" w:sz="4" w:space="0" w:color="auto"/>
            </w:tcBorders>
            <w:shd w:val="clear" w:color="auto" w:fill="FFFFFF"/>
            <w:vAlign w:val="center"/>
          </w:tcPr>
          <w:p w14:paraId="16B6F812" w14:textId="77777777"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818" w:type="pct"/>
            <w:tcBorders>
              <w:top w:val="nil"/>
              <w:left w:val="single" w:sz="4" w:space="0" w:color="auto"/>
            </w:tcBorders>
            <w:shd w:val="clear" w:color="auto" w:fill="FFFFFF"/>
            <w:vAlign w:val="center"/>
          </w:tcPr>
          <w:p w14:paraId="04578BCE" w14:textId="77777777"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572" w:type="pct"/>
            <w:tcBorders>
              <w:top w:val="nil"/>
            </w:tcBorders>
            <w:shd w:val="clear" w:color="auto" w:fill="FFFFFF"/>
          </w:tcPr>
          <w:p w14:paraId="2D9B1955" w14:textId="474E380D"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-1,289</w:t>
            </w:r>
          </w:p>
        </w:tc>
        <w:tc>
          <w:tcPr>
            <w:tcW w:w="653" w:type="pct"/>
            <w:tcBorders>
              <w:top w:val="nil"/>
            </w:tcBorders>
            <w:shd w:val="clear" w:color="auto" w:fill="FFFFFF"/>
          </w:tcPr>
          <w:p w14:paraId="32278DE6" w14:textId="234D93DA"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252,042</w:t>
            </w:r>
          </w:p>
        </w:tc>
        <w:tc>
          <w:tcPr>
            <w:tcW w:w="654" w:type="pct"/>
            <w:tcBorders>
              <w:top w:val="nil"/>
              <w:right w:val="single" w:sz="4" w:space="0" w:color="FFFFFF" w:themeColor="background1"/>
            </w:tcBorders>
            <w:shd w:val="clear" w:color="auto" w:fill="FFFFFF"/>
          </w:tcPr>
          <w:p w14:paraId="327B76FD" w14:textId="332396C9"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0,199</w:t>
            </w:r>
          </w:p>
        </w:tc>
      </w:tr>
      <w:tr w:rsidR="006337BF" w:rsidRPr="00933491" w14:paraId="225400DD" w14:textId="77777777" w:rsidTr="004C7DD9">
        <w:trPr>
          <w:cantSplit/>
          <w:tblHeader/>
          <w:jc w:val="center"/>
        </w:trPr>
        <w:tc>
          <w:tcPr>
            <w:tcW w:w="749" w:type="pct"/>
            <w:vMerge w:val="restart"/>
            <w:tcBorders>
              <w:left w:val="single" w:sz="4" w:space="0" w:color="FFFFFF" w:themeColor="background1"/>
              <w:right w:val="single" w:sz="4" w:space="0" w:color="auto"/>
            </w:tcBorders>
            <w:shd w:val="clear" w:color="auto" w:fill="FFFFFF"/>
            <w:vAlign w:val="center"/>
          </w:tcPr>
          <w:p w14:paraId="571EA57E" w14:textId="77777777" w:rsidR="006337BF" w:rsidRPr="00CC11DC"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CC11DC">
              <w:rPr>
                <w:rFonts w:ascii="Times New Roman" w:hAnsi="Times New Roman" w:cs="Times New Roman"/>
                <w:color w:val="000000"/>
                <w:sz w:val="20"/>
                <w:szCs w:val="20"/>
              </w:rPr>
              <w:t>+2</w:t>
            </w:r>
          </w:p>
        </w:tc>
        <w:tc>
          <w:tcPr>
            <w:tcW w:w="818" w:type="pct"/>
            <w:tcBorders>
              <w:left w:val="single" w:sz="4" w:space="0" w:color="auto"/>
              <w:bottom w:val="nil"/>
              <w:right w:val="single" w:sz="4" w:space="0" w:color="auto"/>
            </w:tcBorders>
            <w:shd w:val="clear" w:color="auto" w:fill="FFFFFF"/>
          </w:tcPr>
          <w:p w14:paraId="4DBFB30E" w14:textId="53E13A32" w:rsidR="006337BF" w:rsidRPr="003E40AC"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Sim</w:t>
            </w:r>
          </w:p>
        </w:tc>
        <w:tc>
          <w:tcPr>
            <w:tcW w:w="735" w:type="pct"/>
            <w:tcBorders>
              <w:left w:val="single" w:sz="4" w:space="0" w:color="auto"/>
              <w:bottom w:val="nil"/>
              <w:right w:val="single" w:sz="4" w:space="0" w:color="auto"/>
            </w:tcBorders>
            <w:shd w:val="clear" w:color="auto" w:fill="FFFFFF"/>
          </w:tcPr>
          <w:p w14:paraId="4E450996" w14:textId="438F470A" w:rsidR="006337BF" w:rsidRPr="003E40AC"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2,216</w:t>
            </w:r>
          </w:p>
        </w:tc>
        <w:tc>
          <w:tcPr>
            <w:tcW w:w="818" w:type="pct"/>
            <w:tcBorders>
              <w:left w:val="single" w:sz="4" w:space="0" w:color="auto"/>
              <w:bottom w:val="nil"/>
            </w:tcBorders>
            <w:shd w:val="clear" w:color="auto" w:fill="FFFFFF"/>
          </w:tcPr>
          <w:p w14:paraId="498D8FBD" w14:textId="57B4A6F4"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0,138</w:t>
            </w:r>
          </w:p>
        </w:tc>
        <w:tc>
          <w:tcPr>
            <w:tcW w:w="572" w:type="pct"/>
            <w:tcBorders>
              <w:bottom w:val="nil"/>
            </w:tcBorders>
            <w:shd w:val="clear" w:color="auto" w:fill="FFFFFF"/>
          </w:tcPr>
          <w:p w14:paraId="56D0341A" w14:textId="1EE211C3"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-0,303</w:t>
            </w:r>
          </w:p>
        </w:tc>
        <w:tc>
          <w:tcPr>
            <w:tcW w:w="653" w:type="pct"/>
            <w:tcBorders>
              <w:bottom w:val="nil"/>
            </w:tcBorders>
            <w:shd w:val="clear" w:color="auto" w:fill="FFFFFF"/>
          </w:tcPr>
          <w:p w14:paraId="0C6BBF9C" w14:textId="4F190984"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264</w:t>
            </w:r>
          </w:p>
        </w:tc>
        <w:tc>
          <w:tcPr>
            <w:tcW w:w="654" w:type="pct"/>
            <w:tcBorders>
              <w:bottom w:val="nil"/>
              <w:right w:val="single" w:sz="4" w:space="0" w:color="FFFFFF" w:themeColor="background1"/>
            </w:tcBorders>
            <w:shd w:val="clear" w:color="auto" w:fill="FFFFFF"/>
          </w:tcPr>
          <w:p w14:paraId="1CA2884F" w14:textId="775C5FC7"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933491">
              <w:rPr>
                <w:rFonts w:ascii="Times New Roman" w:hAnsi="Times New Roman" w:cs="Times New Roman"/>
                <w:b/>
                <w:color w:val="000000"/>
                <w:sz w:val="20"/>
                <w:szCs w:val="20"/>
              </w:rPr>
              <w:t>0,762</w:t>
            </w:r>
          </w:p>
        </w:tc>
      </w:tr>
      <w:tr w:rsidR="006337BF" w:rsidRPr="00933491" w14:paraId="24F0FB1A" w14:textId="77777777" w:rsidTr="004C7DD9">
        <w:trPr>
          <w:cantSplit/>
          <w:tblHeader/>
          <w:jc w:val="center"/>
        </w:trPr>
        <w:tc>
          <w:tcPr>
            <w:tcW w:w="749" w:type="pct"/>
            <w:vMerge/>
            <w:tcBorders>
              <w:left w:val="single" w:sz="4" w:space="0" w:color="FFFFFF" w:themeColor="background1"/>
              <w:right w:val="single" w:sz="4" w:space="0" w:color="auto"/>
            </w:tcBorders>
            <w:shd w:val="clear" w:color="auto" w:fill="FFFFFF"/>
            <w:vAlign w:val="center"/>
          </w:tcPr>
          <w:p w14:paraId="0BB1E0AD" w14:textId="77777777" w:rsidR="006337BF" w:rsidRPr="00933491" w:rsidRDefault="006337BF" w:rsidP="0056798E">
            <w:pPr>
              <w:autoSpaceDE w:val="0"/>
              <w:autoSpaceDN w:val="0"/>
              <w:adjustRightInd w:val="0"/>
              <w:spacing w:after="0" w:line="240" w:lineRule="auto"/>
              <w:jc w:val="center"/>
              <w:rPr>
                <w:rFonts w:ascii="Times New Roman" w:hAnsi="Times New Roman" w:cs="Times New Roman"/>
                <w:color w:val="000000"/>
                <w:sz w:val="20"/>
                <w:szCs w:val="20"/>
              </w:rPr>
            </w:pPr>
          </w:p>
        </w:tc>
        <w:tc>
          <w:tcPr>
            <w:tcW w:w="818" w:type="pct"/>
            <w:tcBorders>
              <w:top w:val="nil"/>
              <w:left w:val="single" w:sz="4" w:space="0" w:color="auto"/>
              <w:right w:val="single" w:sz="4" w:space="0" w:color="auto"/>
            </w:tcBorders>
            <w:shd w:val="clear" w:color="auto" w:fill="FFFFFF"/>
          </w:tcPr>
          <w:p w14:paraId="4204FDC7" w14:textId="02826390"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Não</w:t>
            </w:r>
          </w:p>
        </w:tc>
        <w:tc>
          <w:tcPr>
            <w:tcW w:w="735" w:type="pct"/>
            <w:tcBorders>
              <w:top w:val="nil"/>
              <w:left w:val="single" w:sz="4" w:space="0" w:color="auto"/>
              <w:right w:val="single" w:sz="4" w:space="0" w:color="auto"/>
            </w:tcBorders>
            <w:shd w:val="clear" w:color="auto" w:fill="FFFFFF"/>
            <w:vAlign w:val="center"/>
          </w:tcPr>
          <w:p w14:paraId="54888638" w14:textId="77777777"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818" w:type="pct"/>
            <w:tcBorders>
              <w:top w:val="nil"/>
              <w:left w:val="single" w:sz="4" w:space="0" w:color="auto"/>
            </w:tcBorders>
            <w:shd w:val="clear" w:color="auto" w:fill="FFFFFF"/>
            <w:vAlign w:val="center"/>
          </w:tcPr>
          <w:p w14:paraId="149204C3" w14:textId="77777777"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572" w:type="pct"/>
            <w:tcBorders>
              <w:top w:val="nil"/>
            </w:tcBorders>
            <w:shd w:val="clear" w:color="auto" w:fill="FFFFFF"/>
          </w:tcPr>
          <w:p w14:paraId="40CD6E54" w14:textId="61D0180A"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-0,302</w:t>
            </w:r>
          </w:p>
        </w:tc>
        <w:tc>
          <w:tcPr>
            <w:tcW w:w="653" w:type="pct"/>
            <w:tcBorders>
              <w:top w:val="nil"/>
            </w:tcBorders>
            <w:shd w:val="clear" w:color="auto" w:fill="FFFFFF"/>
          </w:tcPr>
          <w:p w14:paraId="240E5CEA" w14:textId="6FDC499B"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257,464</w:t>
            </w:r>
          </w:p>
        </w:tc>
        <w:tc>
          <w:tcPr>
            <w:tcW w:w="654" w:type="pct"/>
            <w:tcBorders>
              <w:top w:val="nil"/>
              <w:right w:val="single" w:sz="4" w:space="0" w:color="FFFFFF" w:themeColor="background1"/>
            </w:tcBorders>
            <w:shd w:val="clear" w:color="auto" w:fill="FFFFFF"/>
          </w:tcPr>
          <w:p w14:paraId="560F5306" w14:textId="2DD34F6D"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933491">
              <w:rPr>
                <w:rFonts w:ascii="Times New Roman" w:hAnsi="Times New Roman" w:cs="Times New Roman"/>
                <w:color w:val="000000"/>
                <w:sz w:val="20"/>
                <w:szCs w:val="20"/>
              </w:rPr>
              <w:t>0,763</w:t>
            </w:r>
          </w:p>
        </w:tc>
      </w:tr>
      <w:tr w:rsidR="006337BF" w:rsidRPr="00933491" w14:paraId="5B2F147F" w14:textId="77777777" w:rsidTr="004C7DD9">
        <w:trPr>
          <w:cantSplit/>
          <w:tblHeader/>
          <w:jc w:val="center"/>
        </w:trPr>
        <w:tc>
          <w:tcPr>
            <w:tcW w:w="749" w:type="pct"/>
            <w:vMerge w:val="restart"/>
            <w:tcBorders>
              <w:left w:val="single" w:sz="4" w:space="0" w:color="FFFFFF" w:themeColor="background1"/>
              <w:right w:val="single" w:sz="4" w:space="0" w:color="auto"/>
            </w:tcBorders>
            <w:shd w:val="clear" w:color="auto" w:fill="FFFFFF"/>
            <w:vAlign w:val="center"/>
          </w:tcPr>
          <w:p w14:paraId="4BDDD9D4" w14:textId="77777777" w:rsidR="006337BF" w:rsidRPr="00CC11DC"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CC11DC">
              <w:rPr>
                <w:rFonts w:ascii="Times New Roman" w:hAnsi="Times New Roman" w:cs="Times New Roman"/>
                <w:color w:val="000000"/>
                <w:sz w:val="20"/>
                <w:szCs w:val="20"/>
              </w:rPr>
              <w:t>+3</w:t>
            </w:r>
          </w:p>
        </w:tc>
        <w:tc>
          <w:tcPr>
            <w:tcW w:w="818" w:type="pct"/>
            <w:tcBorders>
              <w:left w:val="single" w:sz="4" w:space="0" w:color="auto"/>
              <w:bottom w:val="nil"/>
              <w:right w:val="single" w:sz="4" w:space="0" w:color="auto"/>
            </w:tcBorders>
            <w:shd w:val="clear" w:color="auto" w:fill="FFFFFF"/>
          </w:tcPr>
          <w:p w14:paraId="18FA7B80" w14:textId="5F324528" w:rsidR="006337BF" w:rsidRPr="003E40AC"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Sim</w:t>
            </w:r>
          </w:p>
        </w:tc>
        <w:tc>
          <w:tcPr>
            <w:tcW w:w="735" w:type="pct"/>
            <w:tcBorders>
              <w:left w:val="single" w:sz="4" w:space="0" w:color="auto"/>
              <w:bottom w:val="nil"/>
              <w:right w:val="single" w:sz="4" w:space="0" w:color="auto"/>
            </w:tcBorders>
            <w:shd w:val="clear" w:color="auto" w:fill="FFFFFF"/>
          </w:tcPr>
          <w:p w14:paraId="5C609D0A" w14:textId="123F1FD2" w:rsidR="006337BF" w:rsidRPr="003E40AC"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0,796</w:t>
            </w:r>
          </w:p>
        </w:tc>
        <w:tc>
          <w:tcPr>
            <w:tcW w:w="818" w:type="pct"/>
            <w:tcBorders>
              <w:left w:val="single" w:sz="4" w:space="0" w:color="auto"/>
              <w:bottom w:val="nil"/>
            </w:tcBorders>
            <w:shd w:val="clear" w:color="auto" w:fill="FFFFFF"/>
          </w:tcPr>
          <w:p w14:paraId="017563AD" w14:textId="4875C8AA"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0,373</w:t>
            </w:r>
          </w:p>
        </w:tc>
        <w:tc>
          <w:tcPr>
            <w:tcW w:w="572" w:type="pct"/>
            <w:tcBorders>
              <w:bottom w:val="nil"/>
            </w:tcBorders>
            <w:shd w:val="clear" w:color="auto" w:fill="FFFFFF"/>
          </w:tcPr>
          <w:p w14:paraId="0F7D8B90" w14:textId="07372C4D"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0,502</w:t>
            </w:r>
          </w:p>
        </w:tc>
        <w:tc>
          <w:tcPr>
            <w:tcW w:w="653" w:type="pct"/>
            <w:tcBorders>
              <w:bottom w:val="nil"/>
            </w:tcBorders>
            <w:shd w:val="clear" w:color="auto" w:fill="FFFFFF"/>
          </w:tcPr>
          <w:p w14:paraId="5E5FD121" w14:textId="1DC7C593"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263</w:t>
            </w:r>
          </w:p>
        </w:tc>
        <w:tc>
          <w:tcPr>
            <w:tcW w:w="654" w:type="pct"/>
            <w:tcBorders>
              <w:bottom w:val="nil"/>
              <w:right w:val="single" w:sz="4" w:space="0" w:color="FFFFFF" w:themeColor="background1"/>
            </w:tcBorders>
            <w:shd w:val="clear" w:color="auto" w:fill="FFFFFF"/>
          </w:tcPr>
          <w:p w14:paraId="1CE6BEB6" w14:textId="1E9AE570"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933491">
              <w:rPr>
                <w:rFonts w:ascii="Times New Roman" w:hAnsi="Times New Roman" w:cs="Times New Roman"/>
                <w:b/>
                <w:color w:val="000000"/>
                <w:sz w:val="20"/>
                <w:szCs w:val="20"/>
              </w:rPr>
              <w:t>0,616</w:t>
            </w:r>
          </w:p>
        </w:tc>
      </w:tr>
      <w:tr w:rsidR="006337BF" w:rsidRPr="00933491" w14:paraId="45F90BFB" w14:textId="77777777" w:rsidTr="004C7DD9">
        <w:trPr>
          <w:cantSplit/>
          <w:tblHeader/>
          <w:jc w:val="center"/>
        </w:trPr>
        <w:tc>
          <w:tcPr>
            <w:tcW w:w="749" w:type="pct"/>
            <w:vMerge/>
            <w:tcBorders>
              <w:left w:val="single" w:sz="4" w:space="0" w:color="FFFFFF" w:themeColor="background1"/>
              <w:bottom w:val="single" w:sz="4" w:space="0" w:color="auto"/>
              <w:right w:val="single" w:sz="4" w:space="0" w:color="auto"/>
            </w:tcBorders>
            <w:shd w:val="clear" w:color="auto" w:fill="FFFFFF"/>
            <w:vAlign w:val="center"/>
          </w:tcPr>
          <w:p w14:paraId="383237CF" w14:textId="77777777" w:rsidR="006337BF" w:rsidRPr="00933491" w:rsidRDefault="006337BF" w:rsidP="0056798E">
            <w:pPr>
              <w:autoSpaceDE w:val="0"/>
              <w:autoSpaceDN w:val="0"/>
              <w:adjustRightInd w:val="0"/>
              <w:spacing w:after="0" w:line="240" w:lineRule="auto"/>
              <w:jc w:val="center"/>
              <w:rPr>
                <w:rFonts w:ascii="Times New Roman" w:hAnsi="Times New Roman" w:cs="Times New Roman"/>
                <w:color w:val="000000"/>
                <w:sz w:val="20"/>
                <w:szCs w:val="20"/>
              </w:rPr>
            </w:pPr>
          </w:p>
        </w:tc>
        <w:tc>
          <w:tcPr>
            <w:tcW w:w="818" w:type="pct"/>
            <w:tcBorders>
              <w:top w:val="nil"/>
              <w:left w:val="single" w:sz="4" w:space="0" w:color="auto"/>
              <w:bottom w:val="single" w:sz="4" w:space="0" w:color="auto"/>
              <w:right w:val="single" w:sz="4" w:space="0" w:color="auto"/>
            </w:tcBorders>
            <w:shd w:val="clear" w:color="auto" w:fill="FFFFFF"/>
          </w:tcPr>
          <w:p w14:paraId="7993DAB6" w14:textId="2693F211"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Não</w:t>
            </w:r>
          </w:p>
        </w:tc>
        <w:tc>
          <w:tcPr>
            <w:tcW w:w="735" w:type="pct"/>
            <w:tcBorders>
              <w:top w:val="nil"/>
              <w:left w:val="single" w:sz="4" w:space="0" w:color="auto"/>
              <w:bottom w:val="single" w:sz="4" w:space="0" w:color="auto"/>
              <w:right w:val="single" w:sz="4" w:space="0" w:color="auto"/>
            </w:tcBorders>
            <w:shd w:val="clear" w:color="auto" w:fill="FFFFFF"/>
            <w:vAlign w:val="center"/>
          </w:tcPr>
          <w:p w14:paraId="383A6224" w14:textId="77777777"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818" w:type="pct"/>
            <w:tcBorders>
              <w:top w:val="nil"/>
              <w:left w:val="single" w:sz="4" w:space="0" w:color="auto"/>
              <w:bottom w:val="single" w:sz="4" w:space="0" w:color="auto"/>
            </w:tcBorders>
            <w:shd w:val="clear" w:color="auto" w:fill="FFFFFF"/>
            <w:vAlign w:val="center"/>
          </w:tcPr>
          <w:p w14:paraId="32D3D9D1" w14:textId="77777777"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572" w:type="pct"/>
            <w:tcBorders>
              <w:top w:val="nil"/>
              <w:bottom w:val="single" w:sz="4" w:space="0" w:color="auto"/>
            </w:tcBorders>
            <w:shd w:val="clear" w:color="auto" w:fill="FFFFFF"/>
          </w:tcPr>
          <w:p w14:paraId="0457FF7F" w14:textId="6AAB3254"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0,796</w:t>
            </w:r>
          </w:p>
        </w:tc>
        <w:tc>
          <w:tcPr>
            <w:tcW w:w="653" w:type="pct"/>
            <w:tcBorders>
              <w:top w:val="nil"/>
              <w:bottom w:val="single" w:sz="4" w:space="0" w:color="auto"/>
            </w:tcBorders>
            <w:shd w:val="clear" w:color="auto" w:fill="FFFFFF"/>
          </w:tcPr>
          <w:p w14:paraId="3EF15313" w14:textId="1AB486AB"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0,373</w:t>
            </w:r>
          </w:p>
        </w:tc>
        <w:tc>
          <w:tcPr>
            <w:tcW w:w="654" w:type="pct"/>
            <w:tcBorders>
              <w:top w:val="nil"/>
              <w:bottom w:val="single" w:sz="4" w:space="0" w:color="auto"/>
              <w:right w:val="single" w:sz="4" w:space="0" w:color="FFFFFF" w:themeColor="background1"/>
            </w:tcBorders>
            <w:shd w:val="clear" w:color="auto" w:fill="FFFFFF"/>
          </w:tcPr>
          <w:p w14:paraId="4B0CD29F" w14:textId="3760AF30"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933491">
              <w:rPr>
                <w:rFonts w:ascii="Times New Roman" w:hAnsi="Times New Roman" w:cs="Times New Roman"/>
                <w:color w:val="000000"/>
                <w:sz w:val="20"/>
                <w:szCs w:val="20"/>
              </w:rPr>
              <w:t>0,502</w:t>
            </w:r>
          </w:p>
        </w:tc>
      </w:tr>
      <w:tr w:rsidR="006337BF" w:rsidRPr="00933491" w14:paraId="2A6432E0" w14:textId="77777777" w:rsidTr="004C7DD9">
        <w:trPr>
          <w:cantSplit/>
          <w:tblHeader/>
          <w:jc w:val="center"/>
        </w:trPr>
        <w:tc>
          <w:tcPr>
            <w:tcW w:w="749" w:type="pct"/>
            <w:tcBorders>
              <w:top w:val="single" w:sz="4" w:space="0" w:color="auto"/>
              <w:left w:val="nil"/>
              <w:bottom w:val="nil"/>
              <w:right w:val="single" w:sz="4" w:space="0" w:color="auto"/>
            </w:tcBorders>
            <w:shd w:val="clear" w:color="auto" w:fill="FFFFFF"/>
            <w:vAlign w:val="center"/>
          </w:tcPr>
          <w:p w14:paraId="64226003" w14:textId="080E8B3E" w:rsidR="006337BF" w:rsidRPr="00CC11DC"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CC11DC">
              <w:rPr>
                <w:rFonts w:ascii="Times New Roman" w:hAnsi="Times New Roman" w:cs="Times New Roman"/>
                <w:color w:val="000000"/>
                <w:sz w:val="20"/>
                <w:szCs w:val="20"/>
              </w:rPr>
              <w:t>+4</w:t>
            </w:r>
          </w:p>
        </w:tc>
        <w:tc>
          <w:tcPr>
            <w:tcW w:w="818" w:type="pct"/>
            <w:tcBorders>
              <w:top w:val="single" w:sz="4" w:space="0" w:color="auto"/>
              <w:left w:val="single" w:sz="4" w:space="0" w:color="auto"/>
              <w:bottom w:val="nil"/>
              <w:right w:val="single" w:sz="4" w:space="0" w:color="auto"/>
            </w:tcBorders>
            <w:shd w:val="clear" w:color="auto" w:fill="FFFFFF"/>
          </w:tcPr>
          <w:p w14:paraId="15CA400A" w14:textId="32775D62" w:rsidR="006337BF" w:rsidRPr="003E40AC"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Sim</w:t>
            </w:r>
          </w:p>
        </w:tc>
        <w:tc>
          <w:tcPr>
            <w:tcW w:w="735" w:type="pct"/>
            <w:tcBorders>
              <w:top w:val="single" w:sz="4" w:space="0" w:color="auto"/>
              <w:left w:val="single" w:sz="4" w:space="0" w:color="auto"/>
              <w:bottom w:val="nil"/>
              <w:right w:val="single" w:sz="4" w:space="0" w:color="auto"/>
            </w:tcBorders>
            <w:shd w:val="clear" w:color="auto" w:fill="FFFFFF"/>
          </w:tcPr>
          <w:p w14:paraId="0B077729" w14:textId="7B6C134C" w:rsidR="006337BF" w:rsidRPr="003E40AC"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1,623</w:t>
            </w:r>
          </w:p>
        </w:tc>
        <w:tc>
          <w:tcPr>
            <w:tcW w:w="818" w:type="pct"/>
            <w:tcBorders>
              <w:top w:val="single" w:sz="4" w:space="0" w:color="auto"/>
              <w:left w:val="single" w:sz="4" w:space="0" w:color="auto"/>
              <w:bottom w:val="nil"/>
              <w:right w:val="single" w:sz="4" w:space="0" w:color="auto"/>
            </w:tcBorders>
            <w:shd w:val="clear" w:color="auto" w:fill="FFFFFF"/>
          </w:tcPr>
          <w:p w14:paraId="387303DC" w14:textId="7C2D45A3"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0,204</w:t>
            </w:r>
          </w:p>
        </w:tc>
        <w:tc>
          <w:tcPr>
            <w:tcW w:w="572" w:type="pct"/>
            <w:tcBorders>
              <w:top w:val="single" w:sz="4" w:space="0" w:color="auto"/>
              <w:left w:val="single" w:sz="4" w:space="0" w:color="auto"/>
              <w:bottom w:val="nil"/>
              <w:right w:val="single" w:sz="4" w:space="0" w:color="auto"/>
            </w:tcBorders>
            <w:shd w:val="clear" w:color="auto" w:fill="FFFFFF"/>
          </w:tcPr>
          <w:p w14:paraId="2F67EFF5" w14:textId="6FD5884E"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-0,688</w:t>
            </w:r>
          </w:p>
        </w:tc>
        <w:tc>
          <w:tcPr>
            <w:tcW w:w="653" w:type="pct"/>
            <w:tcBorders>
              <w:top w:val="single" w:sz="4" w:space="0" w:color="auto"/>
              <w:left w:val="single" w:sz="4" w:space="0" w:color="auto"/>
              <w:bottom w:val="nil"/>
              <w:right w:val="single" w:sz="4" w:space="0" w:color="auto"/>
            </w:tcBorders>
            <w:shd w:val="clear" w:color="auto" w:fill="FFFFFF"/>
          </w:tcPr>
          <w:p w14:paraId="416D4619" w14:textId="6DDB0F8B"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255</w:t>
            </w:r>
          </w:p>
        </w:tc>
        <w:tc>
          <w:tcPr>
            <w:tcW w:w="654" w:type="pct"/>
            <w:tcBorders>
              <w:top w:val="single" w:sz="4" w:space="0" w:color="auto"/>
              <w:left w:val="single" w:sz="4" w:space="0" w:color="auto"/>
              <w:bottom w:val="nil"/>
              <w:right w:val="nil"/>
            </w:tcBorders>
            <w:shd w:val="clear" w:color="auto" w:fill="FFFFFF"/>
          </w:tcPr>
          <w:p w14:paraId="1826FA7C" w14:textId="07F04767"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933491">
              <w:rPr>
                <w:rFonts w:ascii="Times New Roman" w:hAnsi="Times New Roman" w:cs="Times New Roman"/>
                <w:b/>
                <w:color w:val="000000"/>
                <w:sz w:val="20"/>
                <w:szCs w:val="20"/>
              </w:rPr>
              <w:t>0,492</w:t>
            </w:r>
          </w:p>
        </w:tc>
      </w:tr>
      <w:tr w:rsidR="006337BF" w:rsidRPr="00933491" w14:paraId="276DF22F" w14:textId="77777777" w:rsidTr="004C7DD9">
        <w:trPr>
          <w:cantSplit/>
          <w:tblHeader/>
          <w:jc w:val="center"/>
        </w:trPr>
        <w:tc>
          <w:tcPr>
            <w:tcW w:w="749" w:type="pct"/>
            <w:tcBorders>
              <w:top w:val="nil"/>
              <w:left w:val="nil"/>
              <w:bottom w:val="single" w:sz="4" w:space="0" w:color="auto"/>
              <w:right w:val="single" w:sz="4" w:space="0" w:color="auto"/>
            </w:tcBorders>
            <w:shd w:val="clear" w:color="auto" w:fill="FFFFFF"/>
            <w:vAlign w:val="center"/>
          </w:tcPr>
          <w:p w14:paraId="7598DB8A" w14:textId="77777777" w:rsidR="006337BF" w:rsidRPr="00CC11DC"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818" w:type="pct"/>
            <w:tcBorders>
              <w:top w:val="nil"/>
              <w:left w:val="single" w:sz="4" w:space="0" w:color="auto"/>
              <w:bottom w:val="single" w:sz="4" w:space="0" w:color="auto"/>
              <w:right w:val="single" w:sz="4" w:space="0" w:color="auto"/>
            </w:tcBorders>
            <w:shd w:val="clear" w:color="auto" w:fill="FFFFFF"/>
          </w:tcPr>
          <w:p w14:paraId="042B22F7" w14:textId="284650B8" w:rsidR="006337BF" w:rsidRPr="003E40AC"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Não</w:t>
            </w:r>
          </w:p>
        </w:tc>
        <w:tc>
          <w:tcPr>
            <w:tcW w:w="735" w:type="pct"/>
            <w:tcBorders>
              <w:top w:val="nil"/>
              <w:left w:val="single" w:sz="4" w:space="0" w:color="auto"/>
              <w:bottom w:val="single" w:sz="4" w:space="0" w:color="auto"/>
              <w:right w:val="single" w:sz="4" w:space="0" w:color="auto"/>
            </w:tcBorders>
            <w:shd w:val="clear" w:color="auto" w:fill="FFFFFF"/>
            <w:vAlign w:val="center"/>
          </w:tcPr>
          <w:p w14:paraId="05E90B84" w14:textId="77777777" w:rsidR="006337BF" w:rsidRPr="003E40AC"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818" w:type="pct"/>
            <w:tcBorders>
              <w:top w:val="nil"/>
              <w:left w:val="single" w:sz="4" w:space="0" w:color="auto"/>
              <w:bottom w:val="single" w:sz="4" w:space="0" w:color="auto"/>
              <w:right w:val="single" w:sz="4" w:space="0" w:color="auto"/>
            </w:tcBorders>
            <w:shd w:val="clear" w:color="auto" w:fill="FFFFFF"/>
            <w:vAlign w:val="center"/>
          </w:tcPr>
          <w:p w14:paraId="586B79C1" w14:textId="77777777"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572" w:type="pct"/>
            <w:tcBorders>
              <w:top w:val="nil"/>
              <w:left w:val="single" w:sz="4" w:space="0" w:color="auto"/>
              <w:bottom w:val="single" w:sz="4" w:space="0" w:color="auto"/>
              <w:right w:val="single" w:sz="4" w:space="0" w:color="auto"/>
            </w:tcBorders>
            <w:shd w:val="clear" w:color="auto" w:fill="FFFFFF"/>
          </w:tcPr>
          <w:p w14:paraId="2E2AC0CC" w14:textId="3AE237BA"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-0,688</w:t>
            </w:r>
          </w:p>
        </w:tc>
        <w:tc>
          <w:tcPr>
            <w:tcW w:w="653" w:type="pct"/>
            <w:tcBorders>
              <w:top w:val="nil"/>
              <w:left w:val="single" w:sz="4" w:space="0" w:color="auto"/>
              <w:bottom w:val="single" w:sz="4" w:space="0" w:color="auto"/>
              <w:right w:val="single" w:sz="4" w:space="0" w:color="auto"/>
            </w:tcBorders>
            <w:shd w:val="clear" w:color="auto" w:fill="FFFFFF"/>
          </w:tcPr>
          <w:p w14:paraId="39332A3A" w14:textId="1380A32E"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252,695</w:t>
            </w:r>
          </w:p>
        </w:tc>
        <w:tc>
          <w:tcPr>
            <w:tcW w:w="654" w:type="pct"/>
            <w:tcBorders>
              <w:top w:val="nil"/>
              <w:left w:val="single" w:sz="4" w:space="0" w:color="auto"/>
              <w:bottom w:val="single" w:sz="4" w:space="0" w:color="auto"/>
              <w:right w:val="nil"/>
            </w:tcBorders>
            <w:shd w:val="clear" w:color="auto" w:fill="FFFFFF"/>
          </w:tcPr>
          <w:p w14:paraId="7AE7BDEC" w14:textId="4900CF90"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933491">
              <w:rPr>
                <w:rFonts w:ascii="Times New Roman" w:hAnsi="Times New Roman" w:cs="Times New Roman"/>
                <w:color w:val="000000"/>
                <w:sz w:val="20"/>
                <w:szCs w:val="20"/>
              </w:rPr>
              <w:t>0,492</w:t>
            </w:r>
          </w:p>
        </w:tc>
      </w:tr>
      <w:tr w:rsidR="006337BF" w:rsidRPr="00933491" w14:paraId="43225536" w14:textId="77777777" w:rsidTr="004C7DD9">
        <w:trPr>
          <w:cantSplit/>
          <w:tblHeader/>
          <w:jc w:val="center"/>
        </w:trPr>
        <w:tc>
          <w:tcPr>
            <w:tcW w:w="749" w:type="pct"/>
            <w:tcBorders>
              <w:top w:val="single" w:sz="4" w:space="0" w:color="auto"/>
              <w:left w:val="nil"/>
              <w:bottom w:val="nil"/>
              <w:right w:val="single" w:sz="4" w:space="0" w:color="auto"/>
            </w:tcBorders>
            <w:shd w:val="clear" w:color="auto" w:fill="FFFFFF"/>
            <w:vAlign w:val="center"/>
          </w:tcPr>
          <w:p w14:paraId="3FF0BAD5" w14:textId="5B60E143" w:rsidR="006337BF" w:rsidRPr="00CC11DC"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CC11DC">
              <w:rPr>
                <w:rFonts w:ascii="Times New Roman" w:eastAsia="Times New Roman" w:hAnsi="Times New Roman" w:cs="Times New Roman"/>
                <w:sz w:val="20"/>
                <w:szCs w:val="20"/>
                <w:lang w:eastAsia="pt-BR"/>
              </w:rPr>
              <w:t>-4 a -1</w:t>
            </w:r>
          </w:p>
        </w:tc>
        <w:tc>
          <w:tcPr>
            <w:tcW w:w="818" w:type="pct"/>
            <w:tcBorders>
              <w:top w:val="single" w:sz="4" w:space="0" w:color="auto"/>
              <w:left w:val="single" w:sz="4" w:space="0" w:color="auto"/>
              <w:bottom w:val="nil"/>
              <w:right w:val="single" w:sz="4" w:space="0" w:color="auto"/>
            </w:tcBorders>
            <w:shd w:val="clear" w:color="auto" w:fill="FFFFFF"/>
          </w:tcPr>
          <w:p w14:paraId="113C5B58" w14:textId="2C936DB3" w:rsidR="006337BF" w:rsidRPr="003E40AC"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Sim</w:t>
            </w:r>
          </w:p>
        </w:tc>
        <w:tc>
          <w:tcPr>
            <w:tcW w:w="735" w:type="pct"/>
            <w:tcBorders>
              <w:top w:val="single" w:sz="4" w:space="0" w:color="auto"/>
              <w:left w:val="single" w:sz="4" w:space="0" w:color="auto"/>
              <w:bottom w:val="nil"/>
              <w:right w:val="single" w:sz="4" w:space="0" w:color="auto"/>
            </w:tcBorders>
            <w:shd w:val="clear" w:color="auto" w:fill="FFFFFF"/>
          </w:tcPr>
          <w:p w14:paraId="5388E9E7" w14:textId="4B97535A" w:rsidR="006337BF" w:rsidRPr="003E40AC"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0,908</w:t>
            </w:r>
          </w:p>
        </w:tc>
        <w:tc>
          <w:tcPr>
            <w:tcW w:w="818" w:type="pct"/>
            <w:tcBorders>
              <w:top w:val="single" w:sz="4" w:space="0" w:color="auto"/>
              <w:left w:val="single" w:sz="4" w:space="0" w:color="auto"/>
              <w:bottom w:val="nil"/>
              <w:right w:val="single" w:sz="4" w:space="0" w:color="auto"/>
            </w:tcBorders>
            <w:shd w:val="clear" w:color="auto" w:fill="FFFFFF"/>
          </w:tcPr>
          <w:p w14:paraId="46821FD4" w14:textId="076584E2"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0,341</w:t>
            </w:r>
          </w:p>
        </w:tc>
        <w:tc>
          <w:tcPr>
            <w:tcW w:w="572" w:type="pct"/>
            <w:tcBorders>
              <w:top w:val="single" w:sz="4" w:space="0" w:color="auto"/>
              <w:left w:val="single" w:sz="4" w:space="0" w:color="auto"/>
              <w:bottom w:val="nil"/>
              <w:right w:val="single" w:sz="4" w:space="0" w:color="auto"/>
            </w:tcBorders>
            <w:shd w:val="clear" w:color="auto" w:fill="FFFFFF"/>
          </w:tcPr>
          <w:p w14:paraId="090BEADA" w14:textId="1F5DCBBA"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0,105</w:t>
            </w:r>
          </w:p>
        </w:tc>
        <w:tc>
          <w:tcPr>
            <w:tcW w:w="653" w:type="pct"/>
            <w:tcBorders>
              <w:top w:val="single" w:sz="4" w:space="0" w:color="auto"/>
              <w:left w:val="single" w:sz="4" w:space="0" w:color="auto"/>
              <w:bottom w:val="nil"/>
              <w:right w:val="single" w:sz="4" w:space="0" w:color="auto"/>
            </w:tcBorders>
            <w:shd w:val="clear" w:color="auto" w:fill="FFFFFF"/>
          </w:tcPr>
          <w:p w14:paraId="293D50B7" w14:textId="5F137204"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842</w:t>
            </w:r>
          </w:p>
        </w:tc>
        <w:tc>
          <w:tcPr>
            <w:tcW w:w="654" w:type="pct"/>
            <w:tcBorders>
              <w:top w:val="single" w:sz="4" w:space="0" w:color="auto"/>
              <w:left w:val="single" w:sz="4" w:space="0" w:color="auto"/>
              <w:bottom w:val="nil"/>
              <w:right w:val="nil"/>
            </w:tcBorders>
            <w:shd w:val="clear" w:color="auto" w:fill="FFFFFF"/>
          </w:tcPr>
          <w:p w14:paraId="304E33B4" w14:textId="494797F9"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933491">
              <w:rPr>
                <w:rFonts w:ascii="Times New Roman" w:hAnsi="Times New Roman" w:cs="Times New Roman"/>
                <w:b/>
                <w:color w:val="000000"/>
                <w:sz w:val="20"/>
                <w:szCs w:val="20"/>
              </w:rPr>
              <w:t>0,916</w:t>
            </w:r>
          </w:p>
        </w:tc>
      </w:tr>
      <w:tr w:rsidR="006337BF" w:rsidRPr="00933491" w14:paraId="701E8FD2" w14:textId="77777777" w:rsidTr="004C7DD9">
        <w:trPr>
          <w:cantSplit/>
          <w:tblHeader/>
          <w:jc w:val="center"/>
        </w:trPr>
        <w:tc>
          <w:tcPr>
            <w:tcW w:w="749" w:type="pct"/>
            <w:tcBorders>
              <w:top w:val="nil"/>
              <w:left w:val="nil"/>
              <w:bottom w:val="single" w:sz="4" w:space="0" w:color="auto"/>
              <w:right w:val="single" w:sz="4" w:space="0" w:color="auto"/>
            </w:tcBorders>
            <w:shd w:val="clear" w:color="auto" w:fill="FFFFFF"/>
            <w:vAlign w:val="center"/>
          </w:tcPr>
          <w:p w14:paraId="7B30DBB6" w14:textId="77777777" w:rsidR="006337BF" w:rsidRPr="00CC11DC"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818" w:type="pct"/>
            <w:tcBorders>
              <w:top w:val="nil"/>
              <w:left w:val="single" w:sz="4" w:space="0" w:color="auto"/>
              <w:bottom w:val="single" w:sz="4" w:space="0" w:color="auto"/>
              <w:right w:val="single" w:sz="4" w:space="0" w:color="auto"/>
            </w:tcBorders>
            <w:shd w:val="clear" w:color="auto" w:fill="FFFFFF"/>
          </w:tcPr>
          <w:p w14:paraId="1C69CA02" w14:textId="2EE4311D" w:rsidR="006337BF" w:rsidRPr="003E40AC"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Não</w:t>
            </w:r>
          </w:p>
        </w:tc>
        <w:tc>
          <w:tcPr>
            <w:tcW w:w="735" w:type="pct"/>
            <w:tcBorders>
              <w:top w:val="nil"/>
              <w:left w:val="single" w:sz="4" w:space="0" w:color="auto"/>
              <w:bottom w:val="single" w:sz="4" w:space="0" w:color="auto"/>
              <w:right w:val="single" w:sz="4" w:space="0" w:color="auto"/>
            </w:tcBorders>
            <w:shd w:val="clear" w:color="auto" w:fill="FFFFFF"/>
          </w:tcPr>
          <w:p w14:paraId="21776FFE" w14:textId="77777777" w:rsidR="006337BF" w:rsidRPr="003E40AC"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818" w:type="pct"/>
            <w:tcBorders>
              <w:top w:val="nil"/>
              <w:left w:val="single" w:sz="4" w:space="0" w:color="auto"/>
              <w:bottom w:val="single" w:sz="4" w:space="0" w:color="auto"/>
              <w:right w:val="single" w:sz="4" w:space="0" w:color="auto"/>
            </w:tcBorders>
            <w:shd w:val="clear" w:color="auto" w:fill="FFFFFF"/>
          </w:tcPr>
          <w:p w14:paraId="7E101EC3" w14:textId="77777777"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572" w:type="pct"/>
            <w:tcBorders>
              <w:top w:val="nil"/>
              <w:left w:val="single" w:sz="4" w:space="0" w:color="auto"/>
              <w:bottom w:val="single" w:sz="4" w:space="0" w:color="auto"/>
              <w:right w:val="single" w:sz="4" w:space="0" w:color="auto"/>
            </w:tcBorders>
            <w:shd w:val="clear" w:color="auto" w:fill="FFFFFF"/>
          </w:tcPr>
          <w:p w14:paraId="4B792795" w14:textId="6C5D6B25"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0,103</w:t>
            </w:r>
          </w:p>
        </w:tc>
        <w:tc>
          <w:tcPr>
            <w:tcW w:w="653" w:type="pct"/>
            <w:tcBorders>
              <w:top w:val="nil"/>
              <w:left w:val="single" w:sz="4" w:space="0" w:color="auto"/>
              <w:bottom w:val="single" w:sz="4" w:space="0" w:color="auto"/>
              <w:right w:val="single" w:sz="4" w:space="0" w:color="auto"/>
            </w:tcBorders>
            <w:shd w:val="clear" w:color="auto" w:fill="FFFFFF"/>
          </w:tcPr>
          <w:p w14:paraId="01F06C01" w14:textId="405748A5"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681,244</w:t>
            </w:r>
          </w:p>
        </w:tc>
        <w:tc>
          <w:tcPr>
            <w:tcW w:w="654" w:type="pct"/>
            <w:tcBorders>
              <w:top w:val="nil"/>
              <w:left w:val="single" w:sz="4" w:space="0" w:color="auto"/>
              <w:bottom w:val="single" w:sz="4" w:space="0" w:color="auto"/>
              <w:right w:val="nil"/>
            </w:tcBorders>
            <w:shd w:val="clear" w:color="auto" w:fill="FFFFFF"/>
          </w:tcPr>
          <w:p w14:paraId="7F6C12EA" w14:textId="5A9E1687"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0,918</w:t>
            </w:r>
          </w:p>
        </w:tc>
      </w:tr>
      <w:tr w:rsidR="006337BF" w:rsidRPr="00933491" w14:paraId="2B3EABFF" w14:textId="77777777" w:rsidTr="004C7DD9">
        <w:trPr>
          <w:cantSplit/>
          <w:tblHeader/>
          <w:jc w:val="center"/>
        </w:trPr>
        <w:tc>
          <w:tcPr>
            <w:tcW w:w="749" w:type="pct"/>
            <w:vMerge w:val="restart"/>
            <w:tcBorders>
              <w:top w:val="single" w:sz="4" w:space="0" w:color="auto"/>
              <w:left w:val="single" w:sz="4" w:space="0" w:color="FFFFFF" w:themeColor="background1"/>
              <w:bottom w:val="single" w:sz="16" w:space="0" w:color="000000"/>
              <w:right w:val="single" w:sz="4" w:space="0" w:color="auto"/>
            </w:tcBorders>
            <w:shd w:val="clear" w:color="auto" w:fill="FFFFFF"/>
            <w:vAlign w:val="center"/>
          </w:tcPr>
          <w:p w14:paraId="7E4D7D70" w14:textId="40CF3024" w:rsidR="006337BF" w:rsidRPr="00CC11DC"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CC11DC">
              <w:rPr>
                <w:rFonts w:ascii="Times New Roman" w:eastAsia="Times New Roman" w:hAnsi="Times New Roman" w:cs="Times New Roman"/>
                <w:sz w:val="20"/>
                <w:szCs w:val="20"/>
                <w:lang w:eastAsia="pt-BR"/>
              </w:rPr>
              <w:t>+1 a +4</w:t>
            </w:r>
          </w:p>
        </w:tc>
        <w:tc>
          <w:tcPr>
            <w:tcW w:w="818" w:type="pct"/>
            <w:tcBorders>
              <w:top w:val="single" w:sz="4" w:space="0" w:color="auto"/>
              <w:left w:val="single" w:sz="4" w:space="0" w:color="auto"/>
              <w:bottom w:val="nil"/>
              <w:right w:val="single" w:sz="4" w:space="0" w:color="auto"/>
            </w:tcBorders>
            <w:shd w:val="clear" w:color="auto" w:fill="FFFFFF"/>
          </w:tcPr>
          <w:p w14:paraId="7DD2290B" w14:textId="033CEB26" w:rsidR="006337BF" w:rsidRPr="003E40AC"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Sim</w:t>
            </w:r>
          </w:p>
        </w:tc>
        <w:tc>
          <w:tcPr>
            <w:tcW w:w="735" w:type="pct"/>
            <w:tcBorders>
              <w:top w:val="single" w:sz="4" w:space="0" w:color="auto"/>
              <w:left w:val="single" w:sz="4" w:space="0" w:color="auto"/>
              <w:bottom w:val="nil"/>
              <w:right w:val="single" w:sz="4" w:space="0" w:color="auto"/>
            </w:tcBorders>
            <w:shd w:val="clear" w:color="auto" w:fill="FFFFFF"/>
          </w:tcPr>
          <w:p w14:paraId="027D98D7" w14:textId="28172B4F" w:rsidR="006337BF" w:rsidRPr="003E40AC"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1,049</w:t>
            </w:r>
          </w:p>
        </w:tc>
        <w:tc>
          <w:tcPr>
            <w:tcW w:w="818" w:type="pct"/>
            <w:tcBorders>
              <w:top w:val="single" w:sz="4" w:space="0" w:color="auto"/>
              <w:left w:val="single" w:sz="4" w:space="0" w:color="auto"/>
              <w:bottom w:val="nil"/>
            </w:tcBorders>
            <w:shd w:val="clear" w:color="auto" w:fill="FFFFFF"/>
          </w:tcPr>
          <w:p w14:paraId="275D1DBD" w14:textId="5CA775C4"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0,306</w:t>
            </w:r>
          </w:p>
        </w:tc>
        <w:tc>
          <w:tcPr>
            <w:tcW w:w="572" w:type="pct"/>
            <w:tcBorders>
              <w:top w:val="single" w:sz="4" w:space="0" w:color="auto"/>
              <w:bottom w:val="nil"/>
              <w:right w:val="single" w:sz="4" w:space="0" w:color="auto"/>
            </w:tcBorders>
            <w:shd w:val="clear" w:color="auto" w:fill="FFFFFF"/>
          </w:tcPr>
          <w:p w14:paraId="3A4AA6E4" w14:textId="56E45CB5"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-0,839</w:t>
            </w:r>
          </w:p>
        </w:tc>
        <w:tc>
          <w:tcPr>
            <w:tcW w:w="653" w:type="pct"/>
            <w:tcBorders>
              <w:top w:val="single" w:sz="4" w:space="0" w:color="auto"/>
              <w:left w:val="single" w:sz="4" w:space="0" w:color="auto"/>
              <w:bottom w:val="nil"/>
              <w:right w:val="single" w:sz="4" w:space="0" w:color="auto"/>
            </w:tcBorders>
            <w:shd w:val="clear" w:color="auto" w:fill="FFFFFF"/>
          </w:tcPr>
          <w:p w14:paraId="5CF15164" w14:textId="543D02E6"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1055</w:t>
            </w:r>
          </w:p>
        </w:tc>
        <w:tc>
          <w:tcPr>
            <w:tcW w:w="654" w:type="pct"/>
            <w:tcBorders>
              <w:top w:val="single" w:sz="4" w:space="0" w:color="auto"/>
              <w:left w:val="single" w:sz="4" w:space="0" w:color="auto"/>
              <w:bottom w:val="nil"/>
              <w:right w:val="single" w:sz="4" w:space="0" w:color="FFFFFF" w:themeColor="background1"/>
            </w:tcBorders>
            <w:shd w:val="clear" w:color="auto" w:fill="FFFFFF"/>
          </w:tcPr>
          <w:p w14:paraId="30CC5DFE" w14:textId="5CDD09A1"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933491">
              <w:rPr>
                <w:rFonts w:ascii="Times New Roman" w:hAnsi="Times New Roman" w:cs="Times New Roman"/>
                <w:b/>
                <w:color w:val="000000"/>
                <w:sz w:val="20"/>
                <w:szCs w:val="20"/>
              </w:rPr>
              <w:t>0,402</w:t>
            </w:r>
          </w:p>
        </w:tc>
      </w:tr>
      <w:tr w:rsidR="006337BF" w:rsidRPr="00933491" w14:paraId="45359ADE" w14:textId="77777777" w:rsidTr="004C7DD9">
        <w:trPr>
          <w:cantSplit/>
          <w:jc w:val="center"/>
        </w:trPr>
        <w:tc>
          <w:tcPr>
            <w:tcW w:w="749" w:type="pct"/>
            <w:vMerge/>
            <w:tcBorders>
              <w:left w:val="single" w:sz="4" w:space="0" w:color="FFFFFF" w:themeColor="background1"/>
              <w:bottom w:val="single" w:sz="4" w:space="0" w:color="auto"/>
              <w:right w:val="single" w:sz="4" w:space="0" w:color="auto"/>
            </w:tcBorders>
            <w:shd w:val="clear" w:color="auto" w:fill="FFFFFF"/>
          </w:tcPr>
          <w:p w14:paraId="1E591D7F" w14:textId="77777777" w:rsidR="006337BF" w:rsidRPr="00933491" w:rsidRDefault="006337BF" w:rsidP="0056798E">
            <w:pPr>
              <w:autoSpaceDE w:val="0"/>
              <w:autoSpaceDN w:val="0"/>
              <w:adjustRightInd w:val="0"/>
              <w:spacing w:after="0" w:line="240" w:lineRule="auto"/>
              <w:rPr>
                <w:rFonts w:ascii="Times New Roman" w:hAnsi="Times New Roman" w:cs="Times New Roman"/>
                <w:color w:val="000000"/>
                <w:sz w:val="20"/>
                <w:szCs w:val="20"/>
              </w:rPr>
            </w:pPr>
          </w:p>
        </w:tc>
        <w:tc>
          <w:tcPr>
            <w:tcW w:w="818" w:type="pct"/>
            <w:tcBorders>
              <w:top w:val="nil"/>
              <w:left w:val="single" w:sz="4" w:space="0" w:color="auto"/>
              <w:bottom w:val="single" w:sz="4" w:space="0" w:color="auto"/>
              <w:right w:val="single" w:sz="4" w:space="0" w:color="auto"/>
            </w:tcBorders>
            <w:shd w:val="clear" w:color="auto" w:fill="FFFFFF"/>
          </w:tcPr>
          <w:p w14:paraId="5BCD4C07" w14:textId="5315BA77"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Não</w:t>
            </w:r>
          </w:p>
        </w:tc>
        <w:tc>
          <w:tcPr>
            <w:tcW w:w="735" w:type="pct"/>
            <w:tcBorders>
              <w:top w:val="nil"/>
              <w:left w:val="single" w:sz="4" w:space="0" w:color="auto"/>
              <w:bottom w:val="single" w:sz="4" w:space="0" w:color="auto"/>
              <w:right w:val="single" w:sz="4" w:space="0" w:color="auto"/>
            </w:tcBorders>
            <w:shd w:val="clear" w:color="auto" w:fill="FFFFFF"/>
            <w:vAlign w:val="center"/>
          </w:tcPr>
          <w:p w14:paraId="6DEA9FE7" w14:textId="77777777"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818" w:type="pct"/>
            <w:tcBorders>
              <w:top w:val="nil"/>
              <w:left w:val="single" w:sz="4" w:space="0" w:color="auto"/>
              <w:bottom w:val="single" w:sz="4" w:space="0" w:color="auto"/>
            </w:tcBorders>
            <w:shd w:val="clear" w:color="auto" w:fill="FFFFFF"/>
            <w:vAlign w:val="center"/>
          </w:tcPr>
          <w:p w14:paraId="5D054851" w14:textId="77777777"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572" w:type="pct"/>
            <w:tcBorders>
              <w:top w:val="nil"/>
              <w:bottom w:val="single" w:sz="4" w:space="0" w:color="auto"/>
            </w:tcBorders>
            <w:shd w:val="clear" w:color="auto" w:fill="FFFFFF"/>
          </w:tcPr>
          <w:p w14:paraId="2EB43EBE" w14:textId="11C565BF"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-0,839</w:t>
            </w:r>
          </w:p>
        </w:tc>
        <w:tc>
          <w:tcPr>
            <w:tcW w:w="653" w:type="pct"/>
            <w:tcBorders>
              <w:top w:val="nil"/>
              <w:bottom w:val="single" w:sz="4" w:space="0" w:color="auto"/>
            </w:tcBorders>
            <w:shd w:val="clear" w:color="auto" w:fill="FFFFFF"/>
          </w:tcPr>
          <w:p w14:paraId="53D7C767" w14:textId="23511058"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1054,992</w:t>
            </w:r>
          </w:p>
        </w:tc>
        <w:tc>
          <w:tcPr>
            <w:tcW w:w="654" w:type="pct"/>
            <w:tcBorders>
              <w:top w:val="nil"/>
              <w:bottom w:val="single" w:sz="4" w:space="0" w:color="auto"/>
              <w:right w:val="single" w:sz="4" w:space="0" w:color="FFFFFF" w:themeColor="background1"/>
            </w:tcBorders>
            <w:shd w:val="clear" w:color="auto" w:fill="FFFFFF"/>
          </w:tcPr>
          <w:p w14:paraId="1809A618" w14:textId="26C75D00" w:rsidR="006337BF" w:rsidRPr="00933491" w:rsidRDefault="006337BF"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0,402</w:t>
            </w:r>
          </w:p>
        </w:tc>
      </w:tr>
    </w:tbl>
    <w:p w14:paraId="5CFAC477" w14:textId="77777777" w:rsidR="00D34F29" w:rsidRDefault="00D34F29" w:rsidP="00157D35">
      <w:pPr>
        <w:spacing w:after="0" w:line="240" w:lineRule="auto"/>
        <w:ind w:firstLine="709"/>
        <w:jc w:val="both"/>
        <w:rPr>
          <w:rFonts w:ascii="Times New Roman" w:hAnsi="Times New Roman" w:cs="Times New Roman"/>
          <w:sz w:val="24"/>
          <w:szCs w:val="24"/>
        </w:rPr>
      </w:pPr>
    </w:p>
    <w:p w14:paraId="18F071FF" w14:textId="3E0485BE" w:rsidR="00F0665E" w:rsidRDefault="00B065E7" w:rsidP="00157D35">
      <w:pPr>
        <w:spacing w:after="0" w:line="240" w:lineRule="auto"/>
        <w:ind w:firstLine="709"/>
        <w:jc w:val="both"/>
        <w:rPr>
          <w:rFonts w:ascii="Times New Roman" w:hAnsi="Times New Roman" w:cs="Times New Roman"/>
          <w:sz w:val="24"/>
          <w:szCs w:val="24"/>
        </w:rPr>
      </w:pPr>
      <w:r w:rsidRPr="00CC11DC">
        <w:rPr>
          <w:rFonts w:ascii="Times New Roman" w:hAnsi="Times New Roman" w:cs="Times New Roman"/>
          <w:sz w:val="24"/>
          <w:szCs w:val="24"/>
        </w:rPr>
        <w:t xml:space="preserve">Por fim, </w:t>
      </w:r>
      <w:r w:rsidR="00440044" w:rsidRPr="003E40AC">
        <w:rPr>
          <w:rFonts w:ascii="Times New Roman" w:hAnsi="Times New Roman" w:cs="Times New Roman"/>
          <w:sz w:val="24"/>
          <w:szCs w:val="24"/>
        </w:rPr>
        <w:t>as empresas foram separadas em dois grupos</w:t>
      </w:r>
      <w:r w:rsidR="006A0C91" w:rsidRPr="003E40AC">
        <w:rPr>
          <w:rFonts w:ascii="Times New Roman" w:hAnsi="Times New Roman" w:cs="Times New Roman"/>
          <w:sz w:val="24"/>
          <w:szCs w:val="24"/>
        </w:rPr>
        <w:t>,</w:t>
      </w:r>
      <w:r w:rsidR="00426673" w:rsidRPr="003E40AC">
        <w:rPr>
          <w:rFonts w:ascii="Times New Roman" w:hAnsi="Times New Roman" w:cs="Times New Roman"/>
          <w:sz w:val="24"/>
          <w:szCs w:val="24"/>
        </w:rPr>
        <w:t xml:space="preserve"> com base no tamanho do ativo total</w:t>
      </w:r>
      <w:r w:rsidR="006074D8" w:rsidRPr="003E40AC">
        <w:rPr>
          <w:rFonts w:ascii="Times New Roman" w:hAnsi="Times New Roman" w:cs="Times New Roman"/>
          <w:sz w:val="24"/>
          <w:szCs w:val="24"/>
        </w:rPr>
        <w:t>. As empresas emissoras de SEO foram organizadas em ordem crescente pelo tamanho do at</w:t>
      </w:r>
      <w:r w:rsidR="006074D8" w:rsidRPr="00933491">
        <w:rPr>
          <w:rFonts w:ascii="Times New Roman" w:hAnsi="Times New Roman" w:cs="Times New Roman"/>
          <w:sz w:val="24"/>
          <w:szCs w:val="24"/>
        </w:rPr>
        <w:t>ivo</w:t>
      </w:r>
      <w:r w:rsidR="006A0C91" w:rsidRPr="00933491">
        <w:rPr>
          <w:rFonts w:ascii="Times New Roman" w:hAnsi="Times New Roman" w:cs="Times New Roman"/>
          <w:sz w:val="24"/>
          <w:szCs w:val="24"/>
        </w:rPr>
        <w:t xml:space="preserve"> </w:t>
      </w:r>
      <w:r w:rsidR="006074D8" w:rsidRPr="00933491">
        <w:rPr>
          <w:rFonts w:ascii="Times New Roman" w:hAnsi="Times New Roman" w:cs="Times New Roman"/>
          <w:sz w:val="24"/>
          <w:szCs w:val="24"/>
        </w:rPr>
        <w:t>refere</w:t>
      </w:r>
      <w:r w:rsidR="006A0C91" w:rsidRPr="00933491">
        <w:rPr>
          <w:rFonts w:ascii="Times New Roman" w:hAnsi="Times New Roman" w:cs="Times New Roman"/>
          <w:sz w:val="24"/>
          <w:szCs w:val="24"/>
        </w:rPr>
        <w:t>nte</w:t>
      </w:r>
      <w:r w:rsidR="006074D8" w:rsidRPr="00933491">
        <w:rPr>
          <w:rFonts w:ascii="Times New Roman" w:hAnsi="Times New Roman" w:cs="Times New Roman"/>
          <w:sz w:val="24"/>
          <w:szCs w:val="24"/>
        </w:rPr>
        <w:t xml:space="preserve"> ao ano da</w:t>
      </w:r>
      <w:r w:rsidR="00F33D35" w:rsidRPr="00933491">
        <w:rPr>
          <w:rFonts w:ascii="Times New Roman" w:hAnsi="Times New Roman" w:cs="Times New Roman"/>
          <w:sz w:val="24"/>
          <w:szCs w:val="24"/>
        </w:rPr>
        <w:t xml:space="preserve"> realização da SEO</w:t>
      </w:r>
      <w:r w:rsidR="007911B5" w:rsidRPr="00933491">
        <w:rPr>
          <w:rFonts w:ascii="Times New Roman" w:hAnsi="Times New Roman" w:cs="Times New Roman"/>
          <w:sz w:val="24"/>
          <w:szCs w:val="24"/>
        </w:rPr>
        <w:t>. Em seguida,</w:t>
      </w:r>
      <w:r w:rsidR="0043334C" w:rsidRPr="00933491">
        <w:rPr>
          <w:rFonts w:ascii="Times New Roman" w:hAnsi="Times New Roman" w:cs="Times New Roman"/>
          <w:sz w:val="24"/>
          <w:szCs w:val="24"/>
        </w:rPr>
        <w:t xml:space="preserve"> </w:t>
      </w:r>
      <w:r w:rsidR="00D20017" w:rsidRPr="00933491">
        <w:rPr>
          <w:rFonts w:ascii="Times New Roman" w:hAnsi="Times New Roman" w:cs="Times New Roman"/>
          <w:sz w:val="24"/>
          <w:szCs w:val="24"/>
        </w:rPr>
        <w:t>o valor mediano</w:t>
      </w:r>
      <w:r w:rsidR="0043334C" w:rsidRPr="00933491">
        <w:rPr>
          <w:rFonts w:ascii="Times New Roman" w:hAnsi="Times New Roman" w:cs="Times New Roman"/>
          <w:sz w:val="24"/>
          <w:szCs w:val="24"/>
        </w:rPr>
        <w:t xml:space="preserve"> foi obtid</w:t>
      </w:r>
      <w:r w:rsidR="00D20017" w:rsidRPr="00933491">
        <w:rPr>
          <w:rFonts w:ascii="Times New Roman" w:hAnsi="Times New Roman" w:cs="Times New Roman"/>
          <w:sz w:val="24"/>
          <w:szCs w:val="24"/>
        </w:rPr>
        <w:t>o</w:t>
      </w:r>
      <w:r w:rsidR="00F33D35" w:rsidRPr="00933491">
        <w:rPr>
          <w:rFonts w:ascii="Times New Roman" w:hAnsi="Times New Roman" w:cs="Times New Roman"/>
          <w:sz w:val="24"/>
          <w:szCs w:val="24"/>
        </w:rPr>
        <w:t>, separando, assim,</w:t>
      </w:r>
      <w:r w:rsidR="007527E9" w:rsidRPr="00933491">
        <w:rPr>
          <w:rFonts w:ascii="Times New Roman" w:hAnsi="Times New Roman" w:cs="Times New Roman"/>
          <w:sz w:val="24"/>
          <w:szCs w:val="24"/>
        </w:rPr>
        <w:t xml:space="preserve"> </w:t>
      </w:r>
      <w:r w:rsidR="0043334C" w:rsidRPr="00933491">
        <w:rPr>
          <w:rFonts w:ascii="Times New Roman" w:hAnsi="Times New Roman" w:cs="Times New Roman"/>
          <w:sz w:val="24"/>
          <w:szCs w:val="24"/>
        </w:rPr>
        <w:t xml:space="preserve">a amostra </w:t>
      </w:r>
      <w:r w:rsidR="007527E9" w:rsidRPr="00933491">
        <w:rPr>
          <w:rFonts w:ascii="Times New Roman" w:hAnsi="Times New Roman" w:cs="Times New Roman"/>
          <w:sz w:val="24"/>
          <w:szCs w:val="24"/>
        </w:rPr>
        <w:t xml:space="preserve">em dois </w:t>
      </w:r>
      <w:r w:rsidR="00F33D35" w:rsidRPr="00933491">
        <w:rPr>
          <w:rFonts w:ascii="Times New Roman" w:hAnsi="Times New Roman" w:cs="Times New Roman"/>
          <w:sz w:val="24"/>
          <w:szCs w:val="24"/>
        </w:rPr>
        <w:t>grupos de tamanho</w:t>
      </w:r>
      <w:r w:rsidR="002E5BB1">
        <w:rPr>
          <w:rFonts w:ascii="Times New Roman" w:hAnsi="Times New Roman" w:cs="Times New Roman"/>
          <w:sz w:val="24"/>
          <w:szCs w:val="24"/>
        </w:rPr>
        <w:t xml:space="preserve"> (</w:t>
      </w:r>
      <w:r w:rsidR="001D27B8" w:rsidRPr="00933491">
        <w:rPr>
          <w:rFonts w:ascii="Times New Roman" w:hAnsi="Times New Roman" w:cs="Times New Roman"/>
          <w:sz w:val="24"/>
          <w:szCs w:val="24"/>
          <w:lang w:val="pt-PT"/>
        </w:rPr>
        <w:t>SHU</w:t>
      </w:r>
      <w:r w:rsidR="001D27B8">
        <w:rPr>
          <w:rFonts w:ascii="Times New Roman" w:hAnsi="Times New Roman" w:cs="Times New Roman"/>
          <w:sz w:val="24"/>
          <w:szCs w:val="24"/>
          <w:lang w:val="pt-PT"/>
        </w:rPr>
        <w:t xml:space="preserve">; </w:t>
      </w:r>
      <w:r w:rsidR="001D27B8" w:rsidRPr="00933491">
        <w:rPr>
          <w:rFonts w:ascii="Times New Roman" w:hAnsi="Times New Roman" w:cs="Times New Roman"/>
          <w:sz w:val="24"/>
          <w:szCs w:val="24"/>
          <w:lang w:val="pt-PT"/>
        </w:rPr>
        <w:t>CHIANG</w:t>
      </w:r>
      <w:r w:rsidR="0089758D">
        <w:rPr>
          <w:rFonts w:ascii="Times New Roman" w:hAnsi="Times New Roman" w:cs="Times New Roman"/>
          <w:sz w:val="24"/>
          <w:szCs w:val="24"/>
          <w:lang w:val="pt-PT"/>
        </w:rPr>
        <w:t>,</w:t>
      </w:r>
      <w:r w:rsidR="0089758D" w:rsidRPr="00933491">
        <w:rPr>
          <w:rFonts w:ascii="Times New Roman" w:hAnsi="Times New Roman" w:cs="Times New Roman"/>
          <w:sz w:val="24"/>
          <w:szCs w:val="24"/>
          <w:lang w:val="pt-PT"/>
        </w:rPr>
        <w:t xml:space="preserve"> </w:t>
      </w:r>
      <w:r w:rsidR="002E5BB1" w:rsidRPr="00933491">
        <w:rPr>
          <w:rFonts w:ascii="Times New Roman" w:hAnsi="Times New Roman" w:cs="Times New Roman"/>
          <w:sz w:val="24"/>
          <w:szCs w:val="24"/>
          <w:lang w:val="pt-PT"/>
        </w:rPr>
        <w:t>2014)</w:t>
      </w:r>
      <w:r w:rsidR="00354C49" w:rsidRPr="00933491">
        <w:rPr>
          <w:rFonts w:ascii="Times New Roman" w:hAnsi="Times New Roman" w:cs="Times New Roman"/>
          <w:sz w:val="24"/>
          <w:szCs w:val="24"/>
        </w:rPr>
        <w:t xml:space="preserve">: pequena e grande </w:t>
      </w:r>
      <w:r w:rsidR="00354C49" w:rsidRPr="00933491">
        <w:rPr>
          <w:rFonts w:ascii="Times New Roman" w:hAnsi="Times New Roman" w:cs="Times New Roman"/>
          <w:sz w:val="24"/>
          <w:szCs w:val="24"/>
        </w:rPr>
        <w:lastRenderedPageBreak/>
        <w:t>empresa</w:t>
      </w:r>
      <w:r w:rsidR="007913D8" w:rsidRPr="00933491">
        <w:rPr>
          <w:rFonts w:ascii="Times New Roman" w:hAnsi="Times New Roman" w:cs="Times New Roman"/>
          <w:sz w:val="24"/>
          <w:szCs w:val="24"/>
        </w:rPr>
        <w:t xml:space="preserve">. </w:t>
      </w:r>
      <w:r w:rsidR="001A25F4" w:rsidRPr="00933491">
        <w:rPr>
          <w:rFonts w:ascii="Times New Roman" w:hAnsi="Times New Roman" w:cs="Times New Roman"/>
          <w:sz w:val="24"/>
          <w:szCs w:val="24"/>
        </w:rPr>
        <w:t>O mesmo procedimento foi realizado com as empresas não emissoras correspondentes.</w:t>
      </w:r>
      <w:r w:rsidR="009171BD" w:rsidRPr="00933491">
        <w:rPr>
          <w:rFonts w:ascii="Times New Roman" w:hAnsi="Times New Roman" w:cs="Times New Roman"/>
          <w:sz w:val="24"/>
          <w:szCs w:val="24"/>
        </w:rPr>
        <w:t xml:space="preserve"> A Tabela </w:t>
      </w:r>
      <w:r w:rsidR="00373D06" w:rsidRPr="00933491">
        <w:rPr>
          <w:rFonts w:ascii="Times New Roman" w:hAnsi="Times New Roman" w:cs="Times New Roman"/>
          <w:sz w:val="24"/>
          <w:szCs w:val="24"/>
        </w:rPr>
        <w:t>1</w:t>
      </w:r>
      <w:r w:rsidR="00A36258" w:rsidRPr="00933491">
        <w:rPr>
          <w:rFonts w:ascii="Times New Roman" w:hAnsi="Times New Roman" w:cs="Times New Roman"/>
          <w:sz w:val="24"/>
          <w:szCs w:val="24"/>
        </w:rPr>
        <w:t>1 evidencia os valores médios dos retornos das ações das empresas classificadas como pequena e grande e a Tabela 12</w:t>
      </w:r>
      <w:r w:rsidR="00883D8D" w:rsidRPr="00933491">
        <w:rPr>
          <w:rFonts w:ascii="Times New Roman" w:hAnsi="Times New Roman" w:cs="Times New Roman"/>
          <w:sz w:val="24"/>
          <w:szCs w:val="24"/>
        </w:rPr>
        <w:t xml:space="preserve"> apresenta os resultados do teste paramétrico para diferença no desempenho acionários das empresas</w:t>
      </w:r>
      <w:r w:rsidR="00694AD1" w:rsidRPr="00933491">
        <w:rPr>
          <w:rFonts w:ascii="Times New Roman" w:hAnsi="Times New Roman" w:cs="Times New Roman"/>
          <w:sz w:val="24"/>
          <w:szCs w:val="24"/>
        </w:rPr>
        <w:t>.</w:t>
      </w:r>
    </w:p>
    <w:p w14:paraId="1EC654D8" w14:textId="39B19A11" w:rsidR="002836A9" w:rsidRDefault="002836A9" w:rsidP="00157D35">
      <w:pPr>
        <w:spacing w:after="0" w:line="240" w:lineRule="auto"/>
        <w:ind w:firstLine="709"/>
        <w:jc w:val="both"/>
        <w:rPr>
          <w:rFonts w:ascii="Times New Roman" w:hAnsi="Times New Roman" w:cs="Times New Roman"/>
          <w:sz w:val="24"/>
          <w:szCs w:val="24"/>
        </w:rPr>
      </w:pPr>
      <w:r w:rsidRPr="003E40AC">
        <w:rPr>
          <w:rFonts w:ascii="Times New Roman" w:hAnsi="Times New Roman" w:cs="Times New Roman"/>
          <w:sz w:val="24"/>
          <w:szCs w:val="24"/>
        </w:rPr>
        <w:t>Por meio da Tabela 11, percebe-se que, um ano após a emissão da SEO, para as pequenas empresas, o retorno das ações</w:t>
      </w:r>
      <w:r w:rsidRPr="00933491">
        <w:rPr>
          <w:rFonts w:ascii="Times New Roman" w:hAnsi="Times New Roman" w:cs="Times New Roman"/>
          <w:sz w:val="24"/>
          <w:szCs w:val="24"/>
        </w:rPr>
        <w:t xml:space="preserve"> das empresas emissoras é de -0,03%, enquanto o retorno das não emissoras é de 4%. Ou seja, as emissoras obtiveram um desempenho acionário pior que as empresas não emissoras, um ano após a oferta subsequente das ações. No segundo ano após a realização da SEO, a performance acionária das pequenas empresas que realizaram SEO ainda é inferior ao desempenho acionário das empresas correspondentes. No terceiro ano após a SEO, as empresas emissoras apresentaram desempenho acionário superior, sendo de 6,61% e as não emissoras de 2,92%. Já no quarto ano após a SEO, as empresas não emissoras apresentaram melhor desempenho acionário que as emissoras.</w:t>
      </w:r>
    </w:p>
    <w:p w14:paraId="28F47337" w14:textId="77777777" w:rsidR="005216EB" w:rsidRDefault="005216EB" w:rsidP="0056798E">
      <w:pPr>
        <w:spacing w:after="0" w:line="240" w:lineRule="auto"/>
        <w:ind w:firstLine="567"/>
        <w:jc w:val="both"/>
        <w:rPr>
          <w:rFonts w:ascii="Times New Roman" w:hAnsi="Times New Roman" w:cs="Times New Roman"/>
          <w:sz w:val="24"/>
          <w:szCs w:val="24"/>
        </w:rPr>
      </w:pPr>
    </w:p>
    <w:p w14:paraId="520A03EB" w14:textId="2D1A2242" w:rsidR="00A36258" w:rsidRPr="004C7DD9" w:rsidRDefault="00A36258" w:rsidP="004C7DD9">
      <w:pPr>
        <w:spacing w:after="0" w:line="240" w:lineRule="auto"/>
        <w:jc w:val="center"/>
        <w:rPr>
          <w:rFonts w:ascii="Times New Roman" w:hAnsi="Times New Roman" w:cs="Times New Roman"/>
          <w:b/>
          <w:sz w:val="24"/>
          <w:szCs w:val="24"/>
        </w:rPr>
      </w:pPr>
      <w:r w:rsidRPr="004C7DD9">
        <w:rPr>
          <w:rFonts w:ascii="Times New Roman" w:hAnsi="Times New Roman" w:cs="Times New Roman"/>
          <w:b/>
          <w:sz w:val="20"/>
          <w:szCs w:val="24"/>
        </w:rPr>
        <w:t>Tabela 11</w:t>
      </w:r>
      <w:r w:rsidR="004C7DD9" w:rsidRPr="004C7DD9">
        <w:rPr>
          <w:rFonts w:ascii="Times New Roman" w:hAnsi="Times New Roman" w:cs="Times New Roman"/>
          <w:b/>
          <w:sz w:val="20"/>
          <w:szCs w:val="24"/>
        </w:rPr>
        <w:t xml:space="preserve"> - </w:t>
      </w:r>
      <w:r w:rsidRPr="004C7DD9">
        <w:rPr>
          <w:rFonts w:ascii="Times New Roman" w:hAnsi="Times New Roman" w:cs="Times New Roman"/>
          <w:b/>
          <w:sz w:val="20"/>
          <w:szCs w:val="24"/>
        </w:rPr>
        <w:t>Análise do desempenho acionário das empresas grandes e pequenas</w:t>
      </w:r>
    </w:p>
    <w:tbl>
      <w:tblPr>
        <w:tblW w:w="6937" w:type="dxa"/>
        <w:jc w:val="center"/>
        <w:tblCellMar>
          <w:left w:w="70" w:type="dxa"/>
          <w:right w:w="70" w:type="dxa"/>
        </w:tblCellMar>
        <w:tblLook w:val="04A0" w:firstRow="1" w:lastRow="0" w:firstColumn="1" w:lastColumn="0" w:noHBand="0" w:noVBand="1"/>
      </w:tblPr>
      <w:tblGrid>
        <w:gridCol w:w="1716"/>
        <w:gridCol w:w="1744"/>
        <w:gridCol w:w="1749"/>
        <w:gridCol w:w="1728"/>
      </w:tblGrid>
      <w:tr w:rsidR="00A36258" w:rsidRPr="00933491" w14:paraId="66E296E5" w14:textId="77777777" w:rsidTr="004C7DD9">
        <w:trPr>
          <w:trHeight w:val="279"/>
          <w:jc w:val="center"/>
        </w:trPr>
        <w:tc>
          <w:tcPr>
            <w:tcW w:w="1716" w:type="dxa"/>
            <w:vMerge w:val="restart"/>
            <w:tcBorders>
              <w:top w:val="single" w:sz="4" w:space="0" w:color="auto"/>
              <w:left w:val="nil"/>
              <w:bottom w:val="single" w:sz="4" w:space="0" w:color="000000"/>
              <w:right w:val="nil"/>
            </w:tcBorders>
            <w:shd w:val="clear" w:color="auto" w:fill="auto"/>
            <w:vAlign w:val="center"/>
            <w:hideMark/>
          </w:tcPr>
          <w:p w14:paraId="2BAB3431" w14:textId="77777777" w:rsidR="00A36258" w:rsidRPr="00933491" w:rsidRDefault="00A36258" w:rsidP="0056798E">
            <w:pPr>
              <w:spacing w:after="0" w:line="240" w:lineRule="auto"/>
              <w:jc w:val="center"/>
              <w:rPr>
                <w:rFonts w:ascii="Times New Roman" w:eastAsia="Times New Roman" w:hAnsi="Times New Roman" w:cs="Times New Roman"/>
                <w:b/>
                <w:bCs/>
                <w:sz w:val="20"/>
                <w:szCs w:val="20"/>
                <w:lang w:eastAsia="pt-BR"/>
              </w:rPr>
            </w:pPr>
            <w:r w:rsidRPr="00933491">
              <w:rPr>
                <w:rFonts w:ascii="Times New Roman" w:eastAsia="Times New Roman" w:hAnsi="Times New Roman" w:cs="Times New Roman"/>
                <w:b/>
                <w:bCs/>
                <w:sz w:val="20"/>
                <w:szCs w:val="20"/>
                <w:lang w:eastAsia="pt-BR"/>
              </w:rPr>
              <w:t xml:space="preserve">Ano fiscal </w:t>
            </w:r>
          </w:p>
        </w:tc>
        <w:tc>
          <w:tcPr>
            <w:tcW w:w="1744" w:type="dxa"/>
            <w:vMerge w:val="restart"/>
            <w:tcBorders>
              <w:top w:val="single" w:sz="4" w:space="0" w:color="auto"/>
              <w:left w:val="nil"/>
              <w:bottom w:val="single" w:sz="4" w:space="0" w:color="000000"/>
              <w:right w:val="nil"/>
            </w:tcBorders>
            <w:shd w:val="clear" w:color="auto" w:fill="auto"/>
            <w:vAlign w:val="center"/>
            <w:hideMark/>
          </w:tcPr>
          <w:p w14:paraId="61FE0EAB" w14:textId="77777777" w:rsidR="00A36258" w:rsidRPr="00933491" w:rsidRDefault="00A36258" w:rsidP="0056798E">
            <w:pPr>
              <w:spacing w:after="0" w:line="240" w:lineRule="auto"/>
              <w:jc w:val="center"/>
              <w:rPr>
                <w:rFonts w:ascii="Times New Roman" w:eastAsia="Times New Roman" w:hAnsi="Times New Roman" w:cs="Times New Roman"/>
                <w:b/>
                <w:bCs/>
                <w:sz w:val="20"/>
                <w:szCs w:val="20"/>
                <w:lang w:eastAsia="pt-BR"/>
              </w:rPr>
            </w:pPr>
            <w:r w:rsidRPr="00933491">
              <w:rPr>
                <w:rFonts w:ascii="Times New Roman" w:eastAsia="Times New Roman" w:hAnsi="Times New Roman" w:cs="Times New Roman"/>
                <w:b/>
                <w:bCs/>
                <w:sz w:val="20"/>
                <w:szCs w:val="20"/>
                <w:lang w:eastAsia="pt-BR"/>
              </w:rPr>
              <w:t>Realizou SEO?</w:t>
            </w:r>
          </w:p>
        </w:tc>
        <w:tc>
          <w:tcPr>
            <w:tcW w:w="1749" w:type="dxa"/>
            <w:vMerge w:val="restart"/>
            <w:tcBorders>
              <w:top w:val="single" w:sz="4" w:space="0" w:color="auto"/>
              <w:left w:val="nil"/>
              <w:bottom w:val="single" w:sz="4" w:space="0" w:color="000000"/>
              <w:right w:val="nil"/>
            </w:tcBorders>
            <w:shd w:val="clear" w:color="auto" w:fill="auto"/>
            <w:vAlign w:val="center"/>
            <w:hideMark/>
          </w:tcPr>
          <w:p w14:paraId="1990628E" w14:textId="77777777" w:rsidR="00A36258" w:rsidRPr="00933491" w:rsidRDefault="00A36258" w:rsidP="0056798E">
            <w:pPr>
              <w:spacing w:after="0" w:line="240" w:lineRule="auto"/>
              <w:jc w:val="center"/>
              <w:rPr>
                <w:rFonts w:ascii="Times New Roman" w:eastAsia="Times New Roman" w:hAnsi="Times New Roman" w:cs="Times New Roman"/>
                <w:b/>
                <w:bCs/>
                <w:sz w:val="20"/>
                <w:szCs w:val="20"/>
                <w:lang w:eastAsia="pt-BR"/>
              </w:rPr>
            </w:pPr>
            <w:r w:rsidRPr="00933491">
              <w:rPr>
                <w:rFonts w:ascii="Times New Roman" w:eastAsia="Times New Roman" w:hAnsi="Times New Roman" w:cs="Times New Roman"/>
                <w:b/>
                <w:bCs/>
                <w:sz w:val="20"/>
                <w:szCs w:val="20"/>
                <w:lang w:eastAsia="pt-BR"/>
              </w:rPr>
              <w:t>Retorno</w:t>
            </w:r>
          </w:p>
          <w:p w14:paraId="6A85B246" w14:textId="73C0139E" w:rsidR="00A36258" w:rsidRPr="00933491" w:rsidRDefault="00A36258" w:rsidP="0056798E">
            <w:pPr>
              <w:spacing w:after="0" w:line="240" w:lineRule="auto"/>
              <w:jc w:val="center"/>
              <w:rPr>
                <w:rFonts w:ascii="Times New Roman" w:eastAsia="Times New Roman" w:hAnsi="Times New Roman" w:cs="Times New Roman"/>
                <w:b/>
                <w:bCs/>
                <w:sz w:val="20"/>
                <w:szCs w:val="20"/>
                <w:lang w:eastAsia="pt-BR"/>
              </w:rPr>
            </w:pPr>
            <w:r w:rsidRPr="00933491">
              <w:rPr>
                <w:rFonts w:ascii="Times New Roman" w:eastAsia="Times New Roman" w:hAnsi="Times New Roman" w:cs="Times New Roman"/>
                <w:b/>
                <w:bCs/>
                <w:sz w:val="20"/>
                <w:szCs w:val="20"/>
                <w:lang w:eastAsia="pt-BR"/>
              </w:rPr>
              <w:t>Pequena Empresa</w:t>
            </w:r>
          </w:p>
        </w:tc>
        <w:tc>
          <w:tcPr>
            <w:tcW w:w="1728" w:type="dxa"/>
            <w:vMerge w:val="restart"/>
            <w:tcBorders>
              <w:top w:val="single" w:sz="4" w:space="0" w:color="auto"/>
              <w:left w:val="nil"/>
              <w:bottom w:val="single" w:sz="4" w:space="0" w:color="000000"/>
              <w:right w:val="nil"/>
            </w:tcBorders>
            <w:shd w:val="clear" w:color="auto" w:fill="auto"/>
            <w:vAlign w:val="center"/>
          </w:tcPr>
          <w:p w14:paraId="6ADAD425" w14:textId="77777777" w:rsidR="00A36258" w:rsidRPr="00933491" w:rsidRDefault="00A36258" w:rsidP="0056798E">
            <w:pPr>
              <w:spacing w:after="0" w:line="240" w:lineRule="auto"/>
              <w:jc w:val="center"/>
              <w:rPr>
                <w:rFonts w:ascii="Times New Roman" w:eastAsia="Times New Roman" w:hAnsi="Times New Roman" w:cs="Times New Roman"/>
                <w:b/>
                <w:bCs/>
                <w:sz w:val="20"/>
                <w:szCs w:val="20"/>
                <w:lang w:eastAsia="pt-BR"/>
              </w:rPr>
            </w:pPr>
            <w:r w:rsidRPr="00933491">
              <w:rPr>
                <w:rFonts w:ascii="Times New Roman" w:eastAsia="Times New Roman" w:hAnsi="Times New Roman" w:cs="Times New Roman"/>
                <w:b/>
                <w:bCs/>
                <w:sz w:val="20"/>
                <w:szCs w:val="20"/>
                <w:lang w:eastAsia="pt-BR"/>
              </w:rPr>
              <w:t>Retorno</w:t>
            </w:r>
          </w:p>
          <w:p w14:paraId="261526CF" w14:textId="451793D5" w:rsidR="00A36258" w:rsidRPr="00933491" w:rsidRDefault="00A36258" w:rsidP="0056798E">
            <w:pPr>
              <w:spacing w:after="0" w:line="240" w:lineRule="auto"/>
              <w:jc w:val="center"/>
              <w:rPr>
                <w:rFonts w:ascii="Times New Roman" w:eastAsia="Times New Roman" w:hAnsi="Times New Roman" w:cs="Times New Roman"/>
                <w:b/>
                <w:bCs/>
                <w:sz w:val="20"/>
                <w:szCs w:val="20"/>
                <w:lang w:eastAsia="pt-BR"/>
              </w:rPr>
            </w:pPr>
            <w:r w:rsidRPr="00933491">
              <w:rPr>
                <w:rFonts w:ascii="Times New Roman" w:eastAsia="Times New Roman" w:hAnsi="Times New Roman" w:cs="Times New Roman"/>
                <w:b/>
                <w:bCs/>
                <w:sz w:val="20"/>
                <w:szCs w:val="20"/>
                <w:lang w:eastAsia="pt-BR"/>
              </w:rPr>
              <w:t>Grande Empresa</w:t>
            </w:r>
          </w:p>
        </w:tc>
      </w:tr>
      <w:tr w:rsidR="00A36258" w:rsidRPr="00933491" w14:paraId="66806CC1" w14:textId="77777777" w:rsidTr="004C7DD9">
        <w:trPr>
          <w:trHeight w:val="450"/>
          <w:jc w:val="center"/>
        </w:trPr>
        <w:tc>
          <w:tcPr>
            <w:tcW w:w="1716" w:type="dxa"/>
            <w:vMerge/>
            <w:tcBorders>
              <w:top w:val="single" w:sz="4" w:space="0" w:color="auto"/>
              <w:left w:val="nil"/>
              <w:bottom w:val="single" w:sz="4" w:space="0" w:color="000000"/>
              <w:right w:val="nil"/>
            </w:tcBorders>
            <w:vAlign w:val="center"/>
            <w:hideMark/>
          </w:tcPr>
          <w:p w14:paraId="795D455D" w14:textId="77777777" w:rsidR="00A36258" w:rsidRPr="00933491" w:rsidRDefault="00A36258" w:rsidP="0056798E">
            <w:pPr>
              <w:spacing w:after="0" w:line="240" w:lineRule="auto"/>
              <w:rPr>
                <w:rFonts w:ascii="Times New Roman" w:eastAsia="Times New Roman" w:hAnsi="Times New Roman" w:cs="Times New Roman"/>
                <w:b/>
                <w:bCs/>
                <w:sz w:val="20"/>
                <w:szCs w:val="20"/>
                <w:lang w:eastAsia="pt-BR"/>
              </w:rPr>
            </w:pPr>
          </w:p>
        </w:tc>
        <w:tc>
          <w:tcPr>
            <w:tcW w:w="1744" w:type="dxa"/>
            <w:vMerge/>
            <w:tcBorders>
              <w:top w:val="single" w:sz="4" w:space="0" w:color="auto"/>
              <w:left w:val="nil"/>
              <w:bottom w:val="single" w:sz="4" w:space="0" w:color="000000"/>
              <w:right w:val="nil"/>
            </w:tcBorders>
            <w:vAlign w:val="center"/>
            <w:hideMark/>
          </w:tcPr>
          <w:p w14:paraId="0A3AFD8B" w14:textId="77777777" w:rsidR="00A36258" w:rsidRPr="00933491" w:rsidRDefault="00A36258" w:rsidP="0056798E">
            <w:pPr>
              <w:spacing w:after="0" w:line="240" w:lineRule="auto"/>
              <w:rPr>
                <w:rFonts w:ascii="Times New Roman" w:eastAsia="Times New Roman" w:hAnsi="Times New Roman" w:cs="Times New Roman"/>
                <w:b/>
                <w:bCs/>
                <w:sz w:val="20"/>
                <w:szCs w:val="20"/>
                <w:lang w:eastAsia="pt-BR"/>
              </w:rPr>
            </w:pPr>
          </w:p>
        </w:tc>
        <w:tc>
          <w:tcPr>
            <w:tcW w:w="1749" w:type="dxa"/>
            <w:vMerge/>
            <w:tcBorders>
              <w:top w:val="single" w:sz="4" w:space="0" w:color="auto"/>
              <w:left w:val="nil"/>
              <w:bottom w:val="single" w:sz="4" w:space="0" w:color="000000"/>
              <w:right w:val="nil"/>
            </w:tcBorders>
            <w:vAlign w:val="center"/>
            <w:hideMark/>
          </w:tcPr>
          <w:p w14:paraId="141D819C" w14:textId="77777777" w:rsidR="00A36258" w:rsidRPr="00933491" w:rsidRDefault="00A36258" w:rsidP="0056798E">
            <w:pPr>
              <w:spacing w:after="0" w:line="240" w:lineRule="auto"/>
              <w:rPr>
                <w:rFonts w:ascii="Times New Roman" w:eastAsia="Times New Roman" w:hAnsi="Times New Roman" w:cs="Times New Roman"/>
                <w:b/>
                <w:bCs/>
                <w:sz w:val="20"/>
                <w:szCs w:val="20"/>
                <w:lang w:eastAsia="pt-BR"/>
              </w:rPr>
            </w:pPr>
          </w:p>
        </w:tc>
        <w:tc>
          <w:tcPr>
            <w:tcW w:w="1728" w:type="dxa"/>
            <w:vMerge/>
            <w:tcBorders>
              <w:top w:val="single" w:sz="4" w:space="0" w:color="auto"/>
              <w:left w:val="nil"/>
              <w:bottom w:val="single" w:sz="4" w:space="0" w:color="000000"/>
              <w:right w:val="nil"/>
            </w:tcBorders>
            <w:vAlign w:val="center"/>
          </w:tcPr>
          <w:p w14:paraId="4B01F56B" w14:textId="77777777" w:rsidR="00A36258" w:rsidRPr="00933491" w:rsidRDefault="00A36258" w:rsidP="0056798E">
            <w:pPr>
              <w:spacing w:after="0" w:line="240" w:lineRule="auto"/>
              <w:rPr>
                <w:rFonts w:ascii="Times New Roman" w:eastAsia="Times New Roman" w:hAnsi="Times New Roman" w:cs="Times New Roman"/>
                <w:b/>
                <w:bCs/>
                <w:sz w:val="20"/>
                <w:szCs w:val="20"/>
                <w:lang w:eastAsia="pt-BR"/>
              </w:rPr>
            </w:pPr>
          </w:p>
        </w:tc>
      </w:tr>
      <w:tr w:rsidR="00A36258" w:rsidRPr="00933491" w14:paraId="3559A474" w14:textId="77777777" w:rsidTr="004C7DD9">
        <w:trPr>
          <w:trHeight w:val="279"/>
          <w:jc w:val="center"/>
        </w:trPr>
        <w:tc>
          <w:tcPr>
            <w:tcW w:w="1716" w:type="dxa"/>
            <w:vMerge w:val="restart"/>
            <w:tcBorders>
              <w:top w:val="nil"/>
              <w:left w:val="nil"/>
              <w:bottom w:val="single" w:sz="4" w:space="0" w:color="000000"/>
              <w:right w:val="nil"/>
            </w:tcBorders>
            <w:shd w:val="clear" w:color="auto" w:fill="auto"/>
            <w:vAlign w:val="center"/>
            <w:hideMark/>
          </w:tcPr>
          <w:p w14:paraId="0B4F3DC4" w14:textId="77777777" w:rsidR="00A36258" w:rsidRPr="00CC11DC" w:rsidRDefault="00A36258" w:rsidP="0056798E">
            <w:pPr>
              <w:spacing w:after="0" w:line="240" w:lineRule="auto"/>
              <w:jc w:val="center"/>
              <w:rPr>
                <w:rFonts w:ascii="Times New Roman" w:eastAsia="Times New Roman" w:hAnsi="Times New Roman" w:cs="Times New Roman"/>
                <w:sz w:val="20"/>
                <w:szCs w:val="20"/>
                <w:lang w:eastAsia="pt-BR"/>
              </w:rPr>
            </w:pPr>
            <w:r w:rsidRPr="00CC11DC">
              <w:rPr>
                <w:rFonts w:ascii="Times New Roman" w:eastAsia="Times New Roman" w:hAnsi="Times New Roman" w:cs="Times New Roman"/>
                <w:sz w:val="20"/>
                <w:szCs w:val="20"/>
                <w:lang w:eastAsia="pt-BR"/>
              </w:rPr>
              <w:t>+1</w:t>
            </w:r>
          </w:p>
        </w:tc>
        <w:tc>
          <w:tcPr>
            <w:tcW w:w="1744" w:type="dxa"/>
            <w:tcBorders>
              <w:top w:val="nil"/>
              <w:left w:val="nil"/>
              <w:bottom w:val="nil"/>
              <w:right w:val="nil"/>
            </w:tcBorders>
            <w:shd w:val="clear" w:color="auto" w:fill="auto"/>
            <w:vAlign w:val="center"/>
            <w:hideMark/>
          </w:tcPr>
          <w:p w14:paraId="7A013023" w14:textId="77777777" w:rsidR="00A36258" w:rsidRPr="003E40AC" w:rsidRDefault="00A36258" w:rsidP="0056798E">
            <w:pPr>
              <w:spacing w:after="0" w:line="240" w:lineRule="auto"/>
              <w:jc w:val="center"/>
              <w:rPr>
                <w:rFonts w:ascii="Times New Roman" w:eastAsia="Times New Roman" w:hAnsi="Times New Roman" w:cs="Times New Roman"/>
                <w:sz w:val="20"/>
                <w:szCs w:val="20"/>
                <w:lang w:eastAsia="pt-BR"/>
              </w:rPr>
            </w:pPr>
            <w:r w:rsidRPr="003E40AC">
              <w:rPr>
                <w:rFonts w:ascii="Times New Roman" w:eastAsia="Times New Roman" w:hAnsi="Times New Roman" w:cs="Times New Roman"/>
                <w:sz w:val="20"/>
                <w:szCs w:val="20"/>
                <w:lang w:eastAsia="pt-BR"/>
              </w:rPr>
              <w:t>Sim</w:t>
            </w:r>
          </w:p>
        </w:tc>
        <w:tc>
          <w:tcPr>
            <w:tcW w:w="1749" w:type="dxa"/>
            <w:tcBorders>
              <w:top w:val="nil"/>
              <w:left w:val="nil"/>
              <w:bottom w:val="nil"/>
              <w:right w:val="nil"/>
            </w:tcBorders>
            <w:shd w:val="clear" w:color="auto" w:fill="auto"/>
            <w:noWrap/>
            <w:vAlign w:val="bottom"/>
            <w:hideMark/>
          </w:tcPr>
          <w:p w14:paraId="1AA0A7CD" w14:textId="7504B526" w:rsidR="00A36258" w:rsidRPr="003E40AC" w:rsidRDefault="00A36258" w:rsidP="0056798E">
            <w:pPr>
              <w:spacing w:after="0" w:line="240" w:lineRule="auto"/>
              <w:jc w:val="center"/>
              <w:rPr>
                <w:rFonts w:ascii="Times New Roman" w:eastAsia="Times New Roman" w:hAnsi="Times New Roman" w:cs="Times New Roman"/>
                <w:color w:val="FF0000"/>
                <w:sz w:val="20"/>
                <w:szCs w:val="20"/>
                <w:lang w:eastAsia="pt-BR"/>
              </w:rPr>
            </w:pPr>
            <w:r w:rsidRPr="003E40AC">
              <w:rPr>
                <w:rFonts w:ascii="Times New Roman" w:hAnsi="Times New Roman" w:cs="Times New Roman"/>
                <w:color w:val="000000"/>
                <w:sz w:val="20"/>
                <w:szCs w:val="20"/>
              </w:rPr>
              <w:t>-0,03</w:t>
            </w:r>
            <w:r w:rsidR="00995A2B" w:rsidRPr="003E40AC">
              <w:rPr>
                <w:rFonts w:ascii="Times New Roman" w:hAnsi="Times New Roman" w:cs="Times New Roman"/>
                <w:color w:val="000000"/>
                <w:sz w:val="20"/>
                <w:szCs w:val="20"/>
              </w:rPr>
              <w:t>%</w:t>
            </w:r>
          </w:p>
        </w:tc>
        <w:tc>
          <w:tcPr>
            <w:tcW w:w="1728" w:type="dxa"/>
            <w:tcBorders>
              <w:top w:val="nil"/>
              <w:left w:val="nil"/>
              <w:bottom w:val="nil"/>
              <w:right w:val="nil"/>
            </w:tcBorders>
            <w:shd w:val="clear" w:color="auto" w:fill="auto"/>
            <w:vAlign w:val="bottom"/>
          </w:tcPr>
          <w:p w14:paraId="20522B55" w14:textId="29734358" w:rsidR="00A36258" w:rsidRPr="00933491" w:rsidRDefault="00A36258" w:rsidP="0056798E">
            <w:pPr>
              <w:spacing w:after="0" w:line="240" w:lineRule="auto"/>
              <w:jc w:val="center"/>
              <w:rPr>
                <w:rFonts w:ascii="Times New Roman" w:eastAsia="Times New Roman" w:hAnsi="Times New Roman" w:cs="Times New Roman"/>
                <w:sz w:val="20"/>
                <w:szCs w:val="20"/>
                <w:lang w:eastAsia="pt-BR"/>
              </w:rPr>
            </w:pPr>
            <w:r w:rsidRPr="00933491">
              <w:rPr>
                <w:rFonts w:ascii="Times New Roman" w:hAnsi="Times New Roman" w:cs="Times New Roman"/>
                <w:color w:val="000000"/>
                <w:sz w:val="20"/>
                <w:szCs w:val="20"/>
              </w:rPr>
              <w:t>2,50</w:t>
            </w:r>
            <w:r w:rsidR="00995A2B" w:rsidRPr="00933491">
              <w:rPr>
                <w:rFonts w:ascii="Times New Roman" w:hAnsi="Times New Roman" w:cs="Times New Roman"/>
                <w:color w:val="000000"/>
                <w:sz w:val="20"/>
                <w:szCs w:val="20"/>
              </w:rPr>
              <w:t>%</w:t>
            </w:r>
          </w:p>
        </w:tc>
      </w:tr>
      <w:tr w:rsidR="00A36258" w:rsidRPr="00933491" w14:paraId="6A2609C1" w14:textId="77777777" w:rsidTr="004C7DD9">
        <w:trPr>
          <w:trHeight w:val="279"/>
          <w:jc w:val="center"/>
        </w:trPr>
        <w:tc>
          <w:tcPr>
            <w:tcW w:w="1716" w:type="dxa"/>
            <w:vMerge/>
            <w:tcBorders>
              <w:top w:val="nil"/>
              <w:left w:val="nil"/>
              <w:bottom w:val="single" w:sz="4" w:space="0" w:color="000000"/>
              <w:right w:val="nil"/>
            </w:tcBorders>
            <w:vAlign w:val="center"/>
            <w:hideMark/>
          </w:tcPr>
          <w:p w14:paraId="5CC7DFFD" w14:textId="77777777" w:rsidR="00A36258" w:rsidRPr="00933491" w:rsidRDefault="00A36258" w:rsidP="0056798E">
            <w:pPr>
              <w:spacing w:after="0" w:line="240" w:lineRule="auto"/>
              <w:rPr>
                <w:rFonts w:ascii="Times New Roman" w:eastAsia="Times New Roman" w:hAnsi="Times New Roman" w:cs="Times New Roman"/>
                <w:sz w:val="20"/>
                <w:szCs w:val="20"/>
                <w:lang w:eastAsia="pt-BR"/>
              </w:rPr>
            </w:pPr>
          </w:p>
        </w:tc>
        <w:tc>
          <w:tcPr>
            <w:tcW w:w="1744" w:type="dxa"/>
            <w:tcBorders>
              <w:top w:val="nil"/>
              <w:left w:val="nil"/>
              <w:bottom w:val="single" w:sz="4" w:space="0" w:color="auto"/>
              <w:right w:val="nil"/>
            </w:tcBorders>
            <w:shd w:val="clear" w:color="auto" w:fill="auto"/>
            <w:vAlign w:val="center"/>
            <w:hideMark/>
          </w:tcPr>
          <w:p w14:paraId="7AE8C76C" w14:textId="77777777" w:rsidR="00A36258" w:rsidRPr="00933491" w:rsidRDefault="00A36258" w:rsidP="0056798E">
            <w:pPr>
              <w:spacing w:after="0" w:line="240" w:lineRule="auto"/>
              <w:jc w:val="center"/>
              <w:rPr>
                <w:rFonts w:ascii="Times New Roman" w:eastAsia="Times New Roman" w:hAnsi="Times New Roman" w:cs="Times New Roman"/>
                <w:sz w:val="20"/>
                <w:szCs w:val="20"/>
                <w:lang w:eastAsia="pt-BR"/>
              </w:rPr>
            </w:pPr>
            <w:r w:rsidRPr="00933491">
              <w:rPr>
                <w:rFonts w:ascii="Times New Roman" w:eastAsia="Times New Roman" w:hAnsi="Times New Roman" w:cs="Times New Roman"/>
                <w:sz w:val="20"/>
                <w:szCs w:val="20"/>
                <w:lang w:eastAsia="pt-BR"/>
              </w:rPr>
              <w:t>Não</w:t>
            </w:r>
          </w:p>
        </w:tc>
        <w:tc>
          <w:tcPr>
            <w:tcW w:w="1749" w:type="dxa"/>
            <w:tcBorders>
              <w:top w:val="nil"/>
              <w:left w:val="nil"/>
              <w:bottom w:val="nil"/>
              <w:right w:val="nil"/>
            </w:tcBorders>
            <w:shd w:val="clear" w:color="auto" w:fill="auto"/>
            <w:noWrap/>
            <w:vAlign w:val="bottom"/>
            <w:hideMark/>
          </w:tcPr>
          <w:p w14:paraId="4F376442" w14:textId="50A67840" w:rsidR="00A36258" w:rsidRPr="00933491" w:rsidRDefault="00A36258" w:rsidP="0056798E">
            <w:pPr>
              <w:spacing w:after="0" w:line="240" w:lineRule="auto"/>
              <w:jc w:val="center"/>
              <w:rPr>
                <w:rFonts w:ascii="Times New Roman" w:eastAsia="Times New Roman" w:hAnsi="Times New Roman" w:cs="Times New Roman"/>
                <w:color w:val="FF0000"/>
                <w:sz w:val="20"/>
                <w:szCs w:val="20"/>
                <w:lang w:eastAsia="pt-BR"/>
              </w:rPr>
            </w:pPr>
            <w:r w:rsidRPr="00933491">
              <w:rPr>
                <w:rFonts w:ascii="Times New Roman" w:hAnsi="Times New Roman" w:cs="Times New Roman"/>
                <w:color w:val="000000"/>
                <w:sz w:val="20"/>
                <w:szCs w:val="20"/>
              </w:rPr>
              <w:t>4,00</w:t>
            </w:r>
            <w:r w:rsidR="00995A2B" w:rsidRPr="00933491">
              <w:rPr>
                <w:rFonts w:ascii="Times New Roman" w:hAnsi="Times New Roman" w:cs="Times New Roman"/>
                <w:color w:val="000000"/>
                <w:sz w:val="20"/>
                <w:szCs w:val="20"/>
              </w:rPr>
              <w:t>%</w:t>
            </w:r>
          </w:p>
        </w:tc>
        <w:tc>
          <w:tcPr>
            <w:tcW w:w="1728" w:type="dxa"/>
            <w:tcBorders>
              <w:top w:val="nil"/>
              <w:left w:val="nil"/>
              <w:bottom w:val="single" w:sz="4" w:space="0" w:color="auto"/>
              <w:right w:val="nil"/>
            </w:tcBorders>
            <w:shd w:val="clear" w:color="auto" w:fill="auto"/>
            <w:vAlign w:val="bottom"/>
          </w:tcPr>
          <w:p w14:paraId="1B0E12B8" w14:textId="45EB4B74" w:rsidR="00A36258" w:rsidRPr="00933491" w:rsidRDefault="00A36258" w:rsidP="0056798E">
            <w:pPr>
              <w:spacing w:after="0" w:line="240" w:lineRule="auto"/>
              <w:jc w:val="center"/>
              <w:rPr>
                <w:rFonts w:ascii="Times New Roman" w:eastAsia="Times New Roman" w:hAnsi="Times New Roman" w:cs="Times New Roman"/>
                <w:sz w:val="20"/>
                <w:szCs w:val="20"/>
                <w:lang w:eastAsia="pt-BR"/>
              </w:rPr>
            </w:pPr>
            <w:r w:rsidRPr="00933491">
              <w:rPr>
                <w:rFonts w:ascii="Times New Roman" w:hAnsi="Times New Roman" w:cs="Times New Roman"/>
                <w:color w:val="000000"/>
                <w:sz w:val="20"/>
                <w:szCs w:val="20"/>
              </w:rPr>
              <w:t>5,53</w:t>
            </w:r>
            <w:r w:rsidR="00995A2B" w:rsidRPr="00933491">
              <w:rPr>
                <w:rFonts w:ascii="Times New Roman" w:hAnsi="Times New Roman" w:cs="Times New Roman"/>
                <w:color w:val="000000"/>
                <w:sz w:val="20"/>
                <w:szCs w:val="20"/>
              </w:rPr>
              <w:t>%</w:t>
            </w:r>
          </w:p>
        </w:tc>
      </w:tr>
      <w:tr w:rsidR="00A36258" w:rsidRPr="00933491" w14:paraId="506BD9AA" w14:textId="77777777" w:rsidTr="004C7DD9">
        <w:trPr>
          <w:trHeight w:val="279"/>
          <w:jc w:val="center"/>
        </w:trPr>
        <w:tc>
          <w:tcPr>
            <w:tcW w:w="1716" w:type="dxa"/>
            <w:vMerge w:val="restart"/>
            <w:tcBorders>
              <w:top w:val="nil"/>
              <w:left w:val="nil"/>
              <w:bottom w:val="nil"/>
              <w:right w:val="nil"/>
            </w:tcBorders>
            <w:shd w:val="clear" w:color="auto" w:fill="auto"/>
            <w:vAlign w:val="center"/>
            <w:hideMark/>
          </w:tcPr>
          <w:p w14:paraId="54AD0FCE" w14:textId="77777777" w:rsidR="00A36258" w:rsidRPr="00CC11DC" w:rsidRDefault="00A36258" w:rsidP="0056798E">
            <w:pPr>
              <w:spacing w:after="0" w:line="240" w:lineRule="auto"/>
              <w:jc w:val="center"/>
              <w:rPr>
                <w:rFonts w:ascii="Times New Roman" w:eastAsia="Times New Roman" w:hAnsi="Times New Roman" w:cs="Times New Roman"/>
                <w:sz w:val="20"/>
                <w:szCs w:val="20"/>
                <w:lang w:eastAsia="pt-BR"/>
              </w:rPr>
            </w:pPr>
            <w:r w:rsidRPr="00CC11DC">
              <w:rPr>
                <w:rFonts w:ascii="Times New Roman" w:eastAsia="Times New Roman" w:hAnsi="Times New Roman" w:cs="Times New Roman"/>
                <w:sz w:val="20"/>
                <w:szCs w:val="20"/>
                <w:lang w:eastAsia="pt-BR"/>
              </w:rPr>
              <w:t>+2</w:t>
            </w:r>
          </w:p>
        </w:tc>
        <w:tc>
          <w:tcPr>
            <w:tcW w:w="1744" w:type="dxa"/>
            <w:tcBorders>
              <w:top w:val="nil"/>
              <w:left w:val="nil"/>
              <w:bottom w:val="nil"/>
              <w:right w:val="nil"/>
            </w:tcBorders>
            <w:shd w:val="clear" w:color="auto" w:fill="auto"/>
            <w:vAlign w:val="center"/>
            <w:hideMark/>
          </w:tcPr>
          <w:p w14:paraId="0E443A11" w14:textId="77777777" w:rsidR="00A36258" w:rsidRPr="003E40AC" w:rsidRDefault="00A36258" w:rsidP="0056798E">
            <w:pPr>
              <w:spacing w:after="0" w:line="240" w:lineRule="auto"/>
              <w:jc w:val="center"/>
              <w:rPr>
                <w:rFonts w:ascii="Times New Roman" w:eastAsia="Times New Roman" w:hAnsi="Times New Roman" w:cs="Times New Roman"/>
                <w:sz w:val="20"/>
                <w:szCs w:val="20"/>
                <w:lang w:eastAsia="pt-BR"/>
              </w:rPr>
            </w:pPr>
            <w:r w:rsidRPr="003E40AC">
              <w:rPr>
                <w:rFonts w:ascii="Times New Roman" w:eastAsia="Times New Roman" w:hAnsi="Times New Roman" w:cs="Times New Roman"/>
                <w:sz w:val="20"/>
                <w:szCs w:val="20"/>
                <w:lang w:eastAsia="pt-BR"/>
              </w:rPr>
              <w:t>Sim</w:t>
            </w:r>
          </w:p>
        </w:tc>
        <w:tc>
          <w:tcPr>
            <w:tcW w:w="1749" w:type="dxa"/>
            <w:tcBorders>
              <w:top w:val="single" w:sz="4" w:space="0" w:color="auto"/>
              <w:left w:val="nil"/>
              <w:bottom w:val="nil"/>
              <w:right w:val="nil"/>
            </w:tcBorders>
            <w:shd w:val="clear" w:color="auto" w:fill="auto"/>
            <w:noWrap/>
            <w:vAlign w:val="bottom"/>
            <w:hideMark/>
          </w:tcPr>
          <w:p w14:paraId="6A7444B0" w14:textId="1D601C6C" w:rsidR="00A36258" w:rsidRPr="003E40AC" w:rsidRDefault="00A36258" w:rsidP="0056798E">
            <w:pPr>
              <w:spacing w:after="0" w:line="240" w:lineRule="auto"/>
              <w:jc w:val="center"/>
              <w:rPr>
                <w:rFonts w:ascii="Times New Roman" w:eastAsia="Times New Roman" w:hAnsi="Times New Roman" w:cs="Times New Roman"/>
                <w:color w:val="FF0000"/>
                <w:sz w:val="20"/>
                <w:szCs w:val="20"/>
                <w:lang w:eastAsia="pt-BR"/>
              </w:rPr>
            </w:pPr>
            <w:r w:rsidRPr="003E40AC">
              <w:rPr>
                <w:rFonts w:ascii="Times New Roman" w:hAnsi="Times New Roman" w:cs="Times New Roman"/>
                <w:color w:val="000000"/>
                <w:sz w:val="20"/>
                <w:szCs w:val="20"/>
              </w:rPr>
              <w:t>-3,86</w:t>
            </w:r>
            <w:r w:rsidR="00995A2B" w:rsidRPr="003E40AC">
              <w:rPr>
                <w:rFonts w:ascii="Times New Roman" w:hAnsi="Times New Roman" w:cs="Times New Roman"/>
                <w:color w:val="000000"/>
                <w:sz w:val="20"/>
                <w:szCs w:val="20"/>
              </w:rPr>
              <w:t>%</w:t>
            </w:r>
          </w:p>
        </w:tc>
        <w:tc>
          <w:tcPr>
            <w:tcW w:w="1728" w:type="dxa"/>
            <w:tcBorders>
              <w:top w:val="nil"/>
              <w:left w:val="nil"/>
              <w:bottom w:val="nil"/>
              <w:right w:val="nil"/>
            </w:tcBorders>
            <w:shd w:val="clear" w:color="auto" w:fill="auto"/>
            <w:vAlign w:val="bottom"/>
          </w:tcPr>
          <w:p w14:paraId="097BFBB8" w14:textId="6EBA7BBA" w:rsidR="00A36258" w:rsidRPr="00933491" w:rsidRDefault="00A36258" w:rsidP="0056798E">
            <w:pPr>
              <w:spacing w:after="0" w:line="240" w:lineRule="auto"/>
              <w:jc w:val="center"/>
              <w:rPr>
                <w:rFonts w:ascii="Times New Roman" w:eastAsia="Times New Roman" w:hAnsi="Times New Roman" w:cs="Times New Roman"/>
                <w:sz w:val="20"/>
                <w:szCs w:val="20"/>
                <w:lang w:eastAsia="pt-BR"/>
              </w:rPr>
            </w:pPr>
            <w:r w:rsidRPr="00933491">
              <w:rPr>
                <w:rFonts w:ascii="Times New Roman" w:hAnsi="Times New Roman" w:cs="Times New Roman"/>
                <w:color w:val="000000"/>
                <w:sz w:val="20"/>
                <w:szCs w:val="20"/>
              </w:rPr>
              <w:t>-2,43</w:t>
            </w:r>
            <w:r w:rsidR="00995A2B" w:rsidRPr="00933491">
              <w:rPr>
                <w:rFonts w:ascii="Times New Roman" w:hAnsi="Times New Roman" w:cs="Times New Roman"/>
                <w:color w:val="000000"/>
                <w:sz w:val="20"/>
                <w:szCs w:val="20"/>
              </w:rPr>
              <w:t>%</w:t>
            </w:r>
          </w:p>
        </w:tc>
      </w:tr>
      <w:tr w:rsidR="00A36258" w:rsidRPr="00933491" w14:paraId="74396F8C" w14:textId="77777777" w:rsidTr="004C7DD9">
        <w:trPr>
          <w:trHeight w:val="279"/>
          <w:jc w:val="center"/>
        </w:trPr>
        <w:tc>
          <w:tcPr>
            <w:tcW w:w="1716" w:type="dxa"/>
            <w:vMerge/>
            <w:tcBorders>
              <w:top w:val="nil"/>
              <w:left w:val="nil"/>
              <w:bottom w:val="nil"/>
              <w:right w:val="nil"/>
            </w:tcBorders>
            <w:vAlign w:val="center"/>
            <w:hideMark/>
          </w:tcPr>
          <w:p w14:paraId="56E1DD9C" w14:textId="77777777" w:rsidR="00A36258" w:rsidRPr="00933491" w:rsidRDefault="00A36258" w:rsidP="0056798E">
            <w:pPr>
              <w:spacing w:after="0" w:line="240" w:lineRule="auto"/>
              <w:rPr>
                <w:rFonts w:ascii="Times New Roman" w:eastAsia="Times New Roman" w:hAnsi="Times New Roman" w:cs="Times New Roman"/>
                <w:sz w:val="20"/>
                <w:szCs w:val="20"/>
                <w:lang w:eastAsia="pt-BR"/>
              </w:rPr>
            </w:pPr>
          </w:p>
        </w:tc>
        <w:tc>
          <w:tcPr>
            <w:tcW w:w="1744" w:type="dxa"/>
            <w:tcBorders>
              <w:top w:val="nil"/>
              <w:left w:val="nil"/>
              <w:bottom w:val="single" w:sz="4" w:space="0" w:color="auto"/>
              <w:right w:val="nil"/>
            </w:tcBorders>
            <w:shd w:val="clear" w:color="auto" w:fill="auto"/>
            <w:vAlign w:val="center"/>
            <w:hideMark/>
          </w:tcPr>
          <w:p w14:paraId="31FF92CC" w14:textId="77777777" w:rsidR="00A36258" w:rsidRPr="00933491" w:rsidRDefault="00A36258" w:rsidP="0056798E">
            <w:pPr>
              <w:spacing w:after="0" w:line="240" w:lineRule="auto"/>
              <w:jc w:val="center"/>
              <w:rPr>
                <w:rFonts w:ascii="Times New Roman" w:eastAsia="Times New Roman" w:hAnsi="Times New Roman" w:cs="Times New Roman"/>
                <w:sz w:val="20"/>
                <w:szCs w:val="20"/>
                <w:lang w:eastAsia="pt-BR"/>
              </w:rPr>
            </w:pPr>
            <w:r w:rsidRPr="00933491">
              <w:rPr>
                <w:rFonts w:ascii="Times New Roman" w:eastAsia="Times New Roman" w:hAnsi="Times New Roman" w:cs="Times New Roman"/>
                <w:sz w:val="20"/>
                <w:szCs w:val="20"/>
                <w:lang w:eastAsia="pt-BR"/>
              </w:rPr>
              <w:t>Não</w:t>
            </w:r>
          </w:p>
        </w:tc>
        <w:tc>
          <w:tcPr>
            <w:tcW w:w="1749" w:type="dxa"/>
            <w:tcBorders>
              <w:top w:val="nil"/>
              <w:left w:val="nil"/>
              <w:bottom w:val="nil"/>
              <w:right w:val="nil"/>
            </w:tcBorders>
            <w:shd w:val="clear" w:color="auto" w:fill="auto"/>
            <w:noWrap/>
            <w:vAlign w:val="bottom"/>
            <w:hideMark/>
          </w:tcPr>
          <w:p w14:paraId="34AF6FE1" w14:textId="0B2F27AA" w:rsidR="00A36258" w:rsidRPr="00933491" w:rsidRDefault="00A36258" w:rsidP="0056798E">
            <w:pPr>
              <w:spacing w:after="0" w:line="240" w:lineRule="auto"/>
              <w:jc w:val="center"/>
              <w:rPr>
                <w:rFonts w:ascii="Times New Roman" w:eastAsia="Times New Roman" w:hAnsi="Times New Roman" w:cs="Times New Roman"/>
                <w:color w:val="FF0000"/>
                <w:sz w:val="20"/>
                <w:szCs w:val="20"/>
                <w:lang w:eastAsia="pt-BR"/>
              </w:rPr>
            </w:pPr>
            <w:r w:rsidRPr="00933491">
              <w:rPr>
                <w:rFonts w:ascii="Times New Roman" w:hAnsi="Times New Roman" w:cs="Times New Roman"/>
                <w:color w:val="000000"/>
                <w:sz w:val="20"/>
                <w:szCs w:val="20"/>
              </w:rPr>
              <w:t>-1,73</w:t>
            </w:r>
            <w:r w:rsidR="00995A2B" w:rsidRPr="00933491">
              <w:rPr>
                <w:rFonts w:ascii="Times New Roman" w:hAnsi="Times New Roman" w:cs="Times New Roman"/>
                <w:color w:val="000000"/>
                <w:sz w:val="20"/>
                <w:szCs w:val="20"/>
              </w:rPr>
              <w:t>%</w:t>
            </w:r>
          </w:p>
        </w:tc>
        <w:tc>
          <w:tcPr>
            <w:tcW w:w="1728" w:type="dxa"/>
            <w:tcBorders>
              <w:top w:val="nil"/>
              <w:left w:val="nil"/>
              <w:bottom w:val="single" w:sz="4" w:space="0" w:color="auto"/>
              <w:right w:val="nil"/>
            </w:tcBorders>
            <w:shd w:val="clear" w:color="auto" w:fill="auto"/>
            <w:vAlign w:val="bottom"/>
          </w:tcPr>
          <w:p w14:paraId="4963E76D" w14:textId="03297F91" w:rsidR="00A36258" w:rsidRPr="00933491" w:rsidRDefault="00A36258" w:rsidP="0056798E">
            <w:pPr>
              <w:spacing w:after="0" w:line="240" w:lineRule="auto"/>
              <w:jc w:val="center"/>
              <w:rPr>
                <w:rFonts w:ascii="Times New Roman" w:eastAsia="Times New Roman" w:hAnsi="Times New Roman" w:cs="Times New Roman"/>
                <w:sz w:val="20"/>
                <w:szCs w:val="20"/>
                <w:lang w:eastAsia="pt-BR"/>
              </w:rPr>
            </w:pPr>
            <w:r w:rsidRPr="00933491">
              <w:rPr>
                <w:rFonts w:ascii="Times New Roman" w:hAnsi="Times New Roman" w:cs="Times New Roman"/>
                <w:color w:val="000000"/>
                <w:sz w:val="20"/>
                <w:szCs w:val="20"/>
              </w:rPr>
              <w:t>-2,87</w:t>
            </w:r>
            <w:r w:rsidR="00995A2B" w:rsidRPr="00933491">
              <w:rPr>
                <w:rFonts w:ascii="Times New Roman" w:hAnsi="Times New Roman" w:cs="Times New Roman"/>
                <w:color w:val="000000"/>
                <w:sz w:val="20"/>
                <w:szCs w:val="20"/>
              </w:rPr>
              <w:t>%</w:t>
            </w:r>
          </w:p>
        </w:tc>
      </w:tr>
      <w:tr w:rsidR="00A36258" w:rsidRPr="00933491" w14:paraId="3DAF9104" w14:textId="77777777" w:rsidTr="004C7DD9">
        <w:trPr>
          <w:trHeight w:val="279"/>
          <w:jc w:val="center"/>
        </w:trPr>
        <w:tc>
          <w:tcPr>
            <w:tcW w:w="1716" w:type="dxa"/>
            <w:vMerge w:val="restart"/>
            <w:tcBorders>
              <w:top w:val="single" w:sz="4" w:space="0" w:color="auto"/>
              <w:left w:val="nil"/>
              <w:bottom w:val="nil"/>
              <w:right w:val="nil"/>
            </w:tcBorders>
            <w:shd w:val="clear" w:color="auto" w:fill="auto"/>
            <w:vAlign w:val="center"/>
            <w:hideMark/>
          </w:tcPr>
          <w:p w14:paraId="79B798F0" w14:textId="77777777" w:rsidR="00A36258" w:rsidRPr="00CC11DC" w:rsidRDefault="00A36258" w:rsidP="0056798E">
            <w:pPr>
              <w:spacing w:after="0" w:line="240" w:lineRule="auto"/>
              <w:jc w:val="center"/>
              <w:rPr>
                <w:rFonts w:ascii="Times New Roman" w:eastAsia="Times New Roman" w:hAnsi="Times New Roman" w:cs="Times New Roman"/>
                <w:sz w:val="20"/>
                <w:szCs w:val="20"/>
                <w:lang w:eastAsia="pt-BR"/>
              </w:rPr>
            </w:pPr>
            <w:r w:rsidRPr="00CC11DC">
              <w:rPr>
                <w:rFonts w:ascii="Times New Roman" w:eastAsia="Times New Roman" w:hAnsi="Times New Roman" w:cs="Times New Roman"/>
                <w:sz w:val="20"/>
                <w:szCs w:val="20"/>
                <w:lang w:eastAsia="pt-BR"/>
              </w:rPr>
              <w:t>+3</w:t>
            </w:r>
          </w:p>
        </w:tc>
        <w:tc>
          <w:tcPr>
            <w:tcW w:w="1744" w:type="dxa"/>
            <w:tcBorders>
              <w:top w:val="nil"/>
              <w:left w:val="nil"/>
              <w:bottom w:val="nil"/>
              <w:right w:val="nil"/>
            </w:tcBorders>
            <w:shd w:val="clear" w:color="auto" w:fill="auto"/>
            <w:vAlign w:val="center"/>
            <w:hideMark/>
          </w:tcPr>
          <w:p w14:paraId="137320EF" w14:textId="77777777" w:rsidR="00A36258" w:rsidRPr="003E40AC" w:rsidRDefault="00A36258" w:rsidP="0056798E">
            <w:pPr>
              <w:spacing w:after="0" w:line="240" w:lineRule="auto"/>
              <w:jc w:val="center"/>
              <w:rPr>
                <w:rFonts w:ascii="Times New Roman" w:eastAsia="Times New Roman" w:hAnsi="Times New Roman" w:cs="Times New Roman"/>
                <w:sz w:val="20"/>
                <w:szCs w:val="20"/>
                <w:lang w:eastAsia="pt-BR"/>
              </w:rPr>
            </w:pPr>
            <w:r w:rsidRPr="003E40AC">
              <w:rPr>
                <w:rFonts w:ascii="Times New Roman" w:eastAsia="Times New Roman" w:hAnsi="Times New Roman" w:cs="Times New Roman"/>
                <w:sz w:val="20"/>
                <w:szCs w:val="20"/>
                <w:lang w:eastAsia="pt-BR"/>
              </w:rPr>
              <w:t>Sim</w:t>
            </w:r>
          </w:p>
        </w:tc>
        <w:tc>
          <w:tcPr>
            <w:tcW w:w="1749" w:type="dxa"/>
            <w:tcBorders>
              <w:top w:val="single" w:sz="4" w:space="0" w:color="auto"/>
              <w:left w:val="nil"/>
              <w:bottom w:val="nil"/>
              <w:right w:val="nil"/>
            </w:tcBorders>
            <w:shd w:val="clear" w:color="auto" w:fill="auto"/>
            <w:noWrap/>
            <w:vAlign w:val="bottom"/>
            <w:hideMark/>
          </w:tcPr>
          <w:p w14:paraId="42C31A1C" w14:textId="2B1162BA" w:rsidR="00A36258" w:rsidRPr="003E40AC" w:rsidRDefault="00A36258" w:rsidP="0056798E">
            <w:pPr>
              <w:spacing w:after="0" w:line="240" w:lineRule="auto"/>
              <w:jc w:val="center"/>
              <w:rPr>
                <w:rFonts w:ascii="Times New Roman" w:eastAsia="Times New Roman" w:hAnsi="Times New Roman" w:cs="Times New Roman"/>
                <w:color w:val="FF0000"/>
                <w:sz w:val="20"/>
                <w:szCs w:val="20"/>
                <w:lang w:eastAsia="pt-BR"/>
              </w:rPr>
            </w:pPr>
            <w:r w:rsidRPr="003E40AC">
              <w:rPr>
                <w:rFonts w:ascii="Times New Roman" w:hAnsi="Times New Roman" w:cs="Times New Roman"/>
                <w:color w:val="000000"/>
                <w:sz w:val="20"/>
                <w:szCs w:val="20"/>
              </w:rPr>
              <w:t>6,91</w:t>
            </w:r>
            <w:r w:rsidR="00995A2B" w:rsidRPr="003E40AC">
              <w:rPr>
                <w:rFonts w:ascii="Times New Roman" w:hAnsi="Times New Roman" w:cs="Times New Roman"/>
                <w:color w:val="000000"/>
                <w:sz w:val="20"/>
                <w:szCs w:val="20"/>
              </w:rPr>
              <w:t>%</w:t>
            </w:r>
          </w:p>
        </w:tc>
        <w:tc>
          <w:tcPr>
            <w:tcW w:w="1728" w:type="dxa"/>
            <w:tcBorders>
              <w:top w:val="nil"/>
              <w:left w:val="nil"/>
              <w:bottom w:val="nil"/>
              <w:right w:val="nil"/>
            </w:tcBorders>
            <w:shd w:val="clear" w:color="auto" w:fill="auto"/>
            <w:vAlign w:val="bottom"/>
          </w:tcPr>
          <w:p w14:paraId="51CD813B" w14:textId="6A0F8DDA" w:rsidR="00A36258" w:rsidRPr="00933491" w:rsidRDefault="00A36258" w:rsidP="0056798E">
            <w:pPr>
              <w:spacing w:after="0" w:line="240" w:lineRule="auto"/>
              <w:jc w:val="center"/>
              <w:rPr>
                <w:rFonts w:ascii="Times New Roman" w:eastAsia="Times New Roman" w:hAnsi="Times New Roman" w:cs="Times New Roman"/>
                <w:sz w:val="20"/>
                <w:szCs w:val="20"/>
                <w:lang w:eastAsia="pt-BR"/>
              </w:rPr>
            </w:pPr>
            <w:r w:rsidRPr="00933491">
              <w:rPr>
                <w:rFonts w:ascii="Times New Roman" w:hAnsi="Times New Roman" w:cs="Times New Roman"/>
                <w:color w:val="000000"/>
                <w:sz w:val="20"/>
                <w:szCs w:val="20"/>
              </w:rPr>
              <w:t>-1,40</w:t>
            </w:r>
            <w:r w:rsidR="00995A2B" w:rsidRPr="00933491">
              <w:rPr>
                <w:rFonts w:ascii="Times New Roman" w:hAnsi="Times New Roman" w:cs="Times New Roman"/>
                <w:color w:val="000000"/>
                <w:sz w:val="20"/>
                <w:szCs w:val="20"/>
              </w:rPr>
              <w:t>%</w:t>
            </w:r>
          </w:p>
        </w:tc>
      </w:tr>
      <w:tr w:rsidR="00A36258" w:rsidRPr="00933491" w14:paraId="07C24EE7" w14:textId="77777777" w:rsidTr="004C7DD9">
        <w:trPr>
          <w:trHeight w:val="279"/>
          <w:jc w:val="center"/>
        </w:trPr>
        <w:tc>
          <w:tcPr>
            <w:tcW w:w="1716" w:type="dxa"/>
            <w:vMerge/>
            <w:tcBorders>
              <w:top w:val="single" w:sz="4" w:space="0" w:color="auto"/>
              <w:left w:val="nil"/>
              <w:bottom w:val="nil"/>
              <w:right w:val="nil"/>
            </w:tcBorders>
            <w:vAlign w:val="center"/>
            <w:hideMark/>
          </w:tcPr>
          <w:p w14:paraId="27520D2F" w14:textId="77777777" w:rsidR="00A36258" w:rsidRPr="00933491" w:rsidRDefault="00A36258" w:rsidP="0056798E">
            <w:pPr>
              <w:spacing w:after="0" w:line="240" w:lineRule="auto"/>
              <w:rPr>
                <w:rFonts w:ascii="Times New Roman" w:eastAsia="Times New Roman" w:hAnsi="Times New Roman" w:cs="Times New Roman"/>
                <w:sz w:val="20"/>
                <w:szCs w:val="20"/>
                <w:lang w:eastAsia="pt-BR"/>
              </w:rPr>
            </w:pPr>
          </w:p>
        </w:tc>
        <w:tc>
          <w:tcPr>
            <w:tcW w:w="1744" w:type="dxa"/>
            <w:tcBorders>
              <w:top w:val="nil"/>
              <w:left w:val="nil"/>
              <w:bottom w:val="single" w:sz="4" w:space="0" w:color="auto"/>
              <w:right w:val="nil"/>
            </w:tcBorders>
            <w:shd w:val="clear" w:color="auto" w:fill="auto"/>
            <w:vAlign w:val="center"/>
            <w:hideMark/>
          </w:tcPr>
          <w:p w14:paraId="11D07C59" w14:textId="77777777" w:rsidR="00A36258" w:rsidRPr="00933491" w:rsidRDefault="00A36258" w:rsidP="0056798E">
            <w:pPr>
              <w:spacing w:after="0" w:line="240" w:lineRule="auto"/>
              <w:jc w:val="center"/>
              <w:rPr>
                <w:rFonts w:ascii="Times New Roman" w:eastAsia="Times New Roman" w:hAnsi="Times New Roman" w:cs="Times New Roman"/>
                <w:sz w:val="20"/>
                <w:szCs w:val="20"/>
                <w:lang w:eastAsia="pt-BR"/>
              </w:rPr>
            </w:pPr>
            <w:r w:rsidRPr="00933491">
              <w:rPr>
                <w:rFonts w:ascii="Times New Roman" w:eastAsia="Times New Roman" w:hAnsi="Times New Roman" w:cs="Times New Roman"/>
                <w:sz w:val="20"/>
                <w:szCs w:val="20"/>
                <w:lang w:eastAsia="pt-BR"/>
              </w:rPr>
              <w:t>Não</w:t>
            </w:r>
          </w:p>
        </w:tc>
        <w:tc>
          <w:tcPr>
            <w:tcW w:w="1749" w:type="dxa"/>
            <w:tcBorders>
              <w:top w:val="nil"/>
              <w:left w:val="nil"/>
              <w:bottom w:val="nil"/>
              <w:right w:val="nil"/>
            </w:tcBorders>
            <w:shd w:val="clear" w:color="auto" w:fill="auto"/>
            <w:noWrap/>
            <w:vAlign w:val="bottom"/>
            <w:hideMark/>
          </w:tcPr>
          <w:p w14:paraId="063F259F" w14:textId="5505355D" w:rsidR="00A36258" w:rsidRPr="00933491" w:rsidRDefault="00A36258" w:rsidP="0056798E">
            <w:pPr>
              <w:spacing w:after="0" w:line="240" w:lineRule="auto"/>
              <w:jc w:val="center"/>
              <w:rPr>
                <w:rFonts w:ascii="Times New Roman" w:eastAsia="Times New Roman" w:hAnsi="Times New Roman" w:cs="Times New Roman"/>
                <w:color w:val="FF0000"/>
                <w:sz w:val="20"/>
                <w:szCs w:val="20"/>
                <w:lang w:eastAsia="pt-BR"/>
              </w:rPr>
            </w:pPr>
            <w:r w:rsidRPr="00933491">
              <w:rPr>
                <w:rFonts w:ascii="Times New Roman" w:hAnsi="Times New Roman" w:cs="Times New Roman"/>
                <w:color w:val="000000"/>
                <w:sz w:val="20"/>
                <w:szCs w:val="20"/>
              </w:rPr>
              <w:t>2,92</w:t>
            </w:r>
            <w:r w:rsidR="00995A2B" w:rsidRPr="00933491">
              <w:rPr>
                <w:rFonts w:ascii="Times New Roman" w:hAnsi="Times New Roman" w:cs="Times New Roman"/>
                <w:color w:val="000000"/>
                <w:sz w:val="20"/>
                <w:szCs w:val="20"/>
              </w:rPr>
              <w:t>%</w:t>
            </w:r>
          </w:p>
        </w:tc>
        <w:tc>
          <w:tcPr>
            <w:tcW w:w="1728" w:type="dxa"/>
            <w:tcBorders>
              <w:top w:val="nil"/>
              <w:left w:val="nil"/>
              <w:bottom w:val="single" w:sz="4" w:space="0" w:color="auto"/>
              <w:right w:val="nil"/>
            </w:tcBorders>
            <w:shd w:val="clear" w:color="auto" w:fill="auto"/>
            <w:vAlign w:val="bottom"/>
          </w:tcPr>
          <w:p w14:paraId="3F92FC95" w14:textId="71C1DC88" w:rsidR="00A36258" w:rsidRPr="00933491" w:rsidRDefault="00A36258" w:rsidP="0056798E">
            <w:pPr>
              <w:spacing w:after="0" w:line="240" w:lineRule="auto"/>
              <w:jc w:val="center"/>
              <w:rPr>
                <w:rFonts w:ascii="Times New Roman" w:eastAsia="Times New Roman" w:hAnsi="Times New Roman" w:cs="Times New Roman"/>
                <w:sz w:val="20"/>
                <w:szCs w:val="20"/>
                <w:lang w:eastAsia="pt-BR"/>
              </w:rPr>
            </w:pPr>
            <w:r w:rsidRPr="00933491">
              <w:rPr>
                <w:rFonts w:ascii="Times New Roman" w:hAnsi="Times New Roman" w:cs="Times New Roman"/>
                <w:color w:val="000000"/>
                <w:sz w:val="20"/>
                <w:szCs w:val="20"/>
              </w:rPr>
              <w:t>-0,44</w:t>
            </w:r>
            <w:r w:rsidR="00995A2B" w:rsidRPr="00933491">
              <w:rPr>
                <w:rFonts w:ascii="Times New Roman" w:hAnsi="Times New Roman" w:cs="Times New Roman"/>
                <w:color w:val="000000"/>
                <w:sz w:val="20"/>
                <w:szCs w:val="20"/>
              </w:rPr>
              <w:t>%</w:t>
            </w:r>
          </w:p>
        </w:tc>
      </w:tr>
      <w:tr w:rsidR="00A36258" w:rsidRPr="00933491" w14:paraId="2F22C69B" w14:textId="77777777" w:rsidTr="004C7DD9">
        <w:trPr>
          <w:trHeight w:val="279"/>
          <w:jc w:val="center"/>
        </w:trPr>
        <w:tc>
          <w:tcPr>
            <w:tcW w:w="1716" w:type="dxa"/>
            <w:vMerge w:val="restart"/>
            <w:tcBorders>
              <w:top w:val="single" w:sz="4" w:space="0" w:color="auto"/>
              <w:left w:val="nil"/>
              <w:bottom w:val="nil"/>
              <w:right w:val="nil"/>
            </w:tcBorders>
            <w:shd w:val="clear" w:color="auto" w:fill="auto"/>
            <w:vAlign w:val="center"/>
            <w:hideMark/>
          </w:tcPr>
          <w:p w14:paraId="41435F29" w14:textId="77777777" w:rsidR="00A36258" w:rsidRPr="00CC11DC" w:rsidRDefault="00A36258" w:rsidP="0056798E">
            <w:pPr>
              <w:spacing w:after="0" w:line="240" w:lineRule="auto"/>
              <w:jc w:val="center"/>
              <w:rPr>
                <w:rFonts w:ascii="Times New Roman" w:eastAsia="Times New Roman" w:hAnsi="Times New Roman" w:cs="Times New Roman"/>
                <w:sz w:val="20"/>
                <w:szCs w:val="20"/>
                <w:lang w:eastAsia="pt-BR"/>
              </w:rPr>
            </w:pPr>
            <w:r w:rsidRPr="00CC11DC">
              <w:rPr>
                <w:rFonts w:ascii="Times New Roman" w:eastAsia="Times New Roman" w:hAnsi="Times New Roman" w:cs="Times New Roman"/>
                <w:sz w:val="20"/>
                <w:szCs w:val="20"/>
                <w:lang w:eastAsia="pt-BR"/>
              </w:rPr>
              <w:t>+4</w:t>
            </w:r>
          </w:p>
        </w:tc>
        <w:tc>
          <w:tcPr>
            <w:tcW w:w="1744" w:type="dxa"/>
            <w:tcBorders>
              <w:top w:val="nil"/>
              <w:left w:val="nil"/>
              <w:bottom w:val="nil"/>
              <w:right w:val="nil"/>
            </w:tcBorders>
            <w:shd w:val="clear" w:color="auto" w:fill="auto"/>
            <w:vAlign w:val="center"/>
            <w:hideMark/>
          </w:tcPr>
          <w:p w14:paraId="50A68AF3" w14:textId="77777777" w:rsidR="00A36258" w:rsidRPr="003E40AC" w:rsidRDefault="00A36258" w:rsidP="0056798E">
            <w:pPr>
              <w:spacing w:after="0" w:line="240" w:lineRule="auto"/>
              <w:jc w:val="center"/>
              <w:rPr>
                <w:rFonts w:ascii="Times New Roman" w:eastAsia="Times New Roman" w:hAnsi="Times New Roman" w:cs="Times New Roman"/>
                <w:sz w:val="20"/>
                <w:szCs w:val="20"/>
                <w:lang w:eastAsia="pt-BR"/>
              </w:rPr>
            </w:pPr>
            <w:r w:rsidRPr="003E40AC">
              <w:rPr>
                <w:rFonts w:ascii="Times New Roman" w:eastAsia="Times New Roman" w:hAnsi="Times New Roman" w:cs="Times New Roman"/>
                <w:sz w:val="20"/>
                <w:szCs w:val="20"/>
                <w:lang w:eastAsia="pt-BR"/>
              </w:rPr>
              <w:t>Sim</w:t>
            </w:r>
          </w:p>
        </w:tc>
        <w:tc>
          <w:tcPr>
            <w:tcW w:w="1749" w:type="dxa"/>
            <w:tcBorders>
              <w:top w:val="single" w:sz="4" w:space="0" w:color="auto"/>
              <w:left w:val="nil"/>
              <w:bottom w:val="nil"/>
              <w:right w:val="nil"/>
            </w:tcBorders>
            <w:shd w:val="clear" w:color="auto" w:fill="auto"/>
            <w:noWrap/>
            <w:vAlign w:val="bottom"/>
            <w:hideMark/>
          </w:tcPr>
          <w:p w14:paraId="202D6B10" w14:textId="43DD08AD" w:rsidR="00A36258" w:rsidRPr="003E40AC" w:rsidRDefault="00A36258" w:rsidP="0056798E">
            <w:pPr>
              <w:spacing w:after="0" w:line="240" w:lineRule="auto"/>
              <w:jc w:val="center"/>
              <w:rPr>
                <w:rFonts w:ascii="Times New Roman" w:eastAsia="Times New Roman" w:hAnsi="Times New Roman" w:cs="Times New Roman"/>
                <w:sz w:val="20"/>
                <w:szCs w:val="20"/>
                <w:lang w:eastAsia="pt-BR"/>
              </w:rPr>
            </w:pPr>
            <w:r w:rsidRPr="003E40AC">
              <w:rPr>
                <w:rFonts w:ascii="Times New Roman" w:eastAsia="Times New Roman" w:hAnsi="Times New Roman" w:cs="Times New Roman"/>
                <w:sz w:val="20"/>
                <w:szCs w:val="20"/>
                <w:lang w:eastAsia="pt-BR"/>
              </w:rPr>
              <w:t>-1,08</w:t>
            </w:r>
            <w:r w:rsidR="00995A2B" w:rsidRPr="003E40AC">
              <w:rPr>
                <w:rFonts w:ascii="Times New Roman" w:eastAsia="Times New Roman" w:hAnsi="Times New Roman" w:cs="Times New Roman"/>
                <w:sz w:val="20"/>
                <w:szCs w:val="20"/>
                <w:lang w:eastAsia="pt-BR"/>
              </w:rPr>
              <w:t>%</w:t>
            </w:r>
          </w:p>
        </w:tc>
        <w:tc>
          <w:tcPr>
            <w:tcW w:w="1728" w:type="dxa"/>
            <w:tcBorders>
              <w:top w:val="nil"/>
              <w:left w:val="nil"/>
              <w:bottom w:val="nil"/>
              <w:right w:val="nil"/>
            </w:tcBorders>
            <w:shd w:val="clear" w:color="auto" w:fill="auto"/>
            <w:vAlign w:val="bottom"/>
          </w:tcPr>
          <w:p w14:paraId="0971160A" w14:textId="3536334F" w:rsidR="00A36258" w:rsidRPr="00933491" w:rsidRDefault="00A36258" w:rsidP="0056798E">
            <w:pPr>
              <w:spacing w:after="0" w:line="240" w:lineRule="auto"/>
              <w:jc w:val="center"/>
              <w:rPr>
                <w:rFonts w:ascii="Times New Roman" w:eastAsia="Times New Roman" w:hAnsi="Times New Roman" w:cs="Times New Roman"/>
                <w:sz w:val="20"/>
                <w:szCs w:val="20"/>
                <w:lang w:eastAsia="pt-BR"/>
              </w:rPr>
            </w:pPr>
            <w:r w:rsidRPr="00933491">
              <w:rPr>
                <w:rFonts w:ascii="Times New Roman" w:eastAsia="Times New Roman" w:hAnsi="Times New Roman" w:cs="Times New Roman"/>
                <w:sz w:val="20"/>
                <w:szCs w:val="20"/>
                <w:lang w:eastAsia="pt-BR"/>
              </w:rPr>
              <w:t>-4,64</w:t>
            </w:r>
            <w:r w:rsidR="00995A2B" w:rsidRPr="00933491">
              <w:rPr>
                <w:rFonts w:ascii="Times New Roman" w:eastAsia="Times New Roman" w:hAnsi="Times New Roman" w:cs="Times New Roman"/>
                <w:sz w:val="20"/>
                <w:szCs w:val="20"/>
                <w:lang w:eastAsia="pt-BR"/>
              </w:rPr>
              <w:t>%</w:t>
            </w:r>
          </w:p>
        </w:tc>
      </w:tr>
      <w:tr w:rsidR="00A36258" w:rsidRPr="00933491" w14:paraId="53904B95" w14:textId="77777777" w:rsidTr="004C7DD9">
        <w:trPr>
          <w:trHeight w:val="246"/>
          <w:jc w:val="center"/>
        </w:trPr>
        <w:tc>
          <w:tcPr>
            <w:tcW w:w="1716" w:type="dxa"/>
            <w:vMerge/>
            <w:tcBorders>
              <w:top w:val="single" w:sz="4" w:space="0" w:color="auto"/>
              <w:left w:val="nil"/>
              <w:bottom w:val="single" w:sz="4" w:space="0" w:color="auto"/>
              <w:right w:val="nil"/>
            </w:tcBorders>
            <w:vAlign w:val="center"/>
            <w:hideMark/>
          </w:tcPr>
          <w:p w14:paraId="37377BCC" w14:textId="77777777" w:rsidR="00A36258" w:rsidRPr="00933491" w:rsidRDefault="00A36258" w:rsidP="0056798E">
            <w:pPr>
              <w:spacing w:after="0" w:line="240" w:lineRule="auto"/>
              <w:rPr>
                <w:rFonts w:ascii="Times New Roman" w:eastAsia="Times New Roman" w:hAnsi="Times New Roman" w:cs="Times New Roman"/>
                <w:sz w:val="20"/>
                <w:szCs w:val="20"/>
                <w:lang w:eastAsia="pt-BR"/>
              </w:rPr>
            </w:pPr>
          </w:p>
        </w:tc>
        <w:tc>
          <w:tcPr>
            <w:tcW w:w="1744" w:type="dxa"/>
            <w:tcBorders>
              <w:top w:val="nil"/>
              <w:left w:val="nil"/>
              <w:bottom w:val="single" w:sz="4" w:space="0" w:color="auto"/>
              <w:right w:val="nil"/>
            </w:tcBorders>
            <w:shd w:val="clear" w:color="auto" w:fill="auto"/>
            <w:vAlign w:val="center"/>
            <w:hideMark/>
          </w:tcPr>
          <w:p w14:paraId="6695043E" w14:textId="77777777" w:rsidR="00A36258" w:rsidRPr="00933491" w:rsidRDefault="00A36258" w:rsidP="0056798E">
            <w:pPr>
              <w:spacing w:after="0" w:line="240" w:lineRule="auto"/>
              <w:jc w:val="center"/>
              <w:rPr>
                <w:rFonts w:ascii="Times New Roman" w:eastAsia="Times New Roman" w:hAnsi="Times New Roman" w:cs="Times New Roman"/>
                <w:sz w:val="20"/>
                <w:szCs w:val="20"/>
                <w:lang w:eastAsia="pt-BR"/>
              </w:rPr>
            </w:pPr>
            <w:r w:rsidRPr="00933491">
              <w:rPr>
                <w:rFonts w:ascii="Times New Roman" w:eastAsia="Times New Roman" w:hAnsi="Times New Roman" w:cs="Times New Roman"/>
                <w:sz w:val="20"/>
                <w:szCs w:val="20"/>
                <w:lang w:eastAsia="pt-BR"/>
              </w:rPr>
              <w:t>Não</w:t>
            </w:r>
          </w:p>
        </w:tc>
        <w:tc>
          <w:tcPr>
            <w:tcW w:w="1749" w:type="dxa"/>
            <w:tcBorders>
              <w:top w:val="nil"/>
              <w:left w:val="nil"/>
              <w:bottom w:val="single" w:sz="4" w:space="0" w:color="auto"/>
              <w:right w:val="nil"/>
            </w:tcBorders>
            <w:shd w:val="clear" w:color="auto" w:fill="auto"/>
            <w:noWrap/>
            <w:vAlign w:val="bottom"/>
            <w:hideMark/>
          </w:tcPr>
          <w:p w14:paraId="7DD0B522" w14:textId="11A2B12A" w:rsidR="00A36258" w:rsidRPr="00933491" w:rsidRDefault="00A36258" w:rsidP="0056798E">
            <w:pPr>
              <w:spacing w:after="0" w:line="240" w:lineRule="auto"/>
              <w:jc w:val="center"/>
              <w:rPr>
                <w:rFonts w:ascii="Times New Roman" w:eastAsia="Times New Roman" w:hAnsi="Times New Roman" w:cs="Times New Roman"/>
                <w:sz w:val="20"/>
                <w:szCs w:val="20"/>
                <w:lang w:eastAsia="pt-BR"/>
              </w:rPr>
            </w:pPr>
            <w:r w:rsidRPr="00933491">
              <w:rPr>
                <w:rFonts w:ascii="Times New Roman" w:eastAsia="Times New Roman" w:hAnsi="Times New Roman" w:cs="Times New Roman"/>
                <w:sz w:val="20"/>
                <w:szCs w:val="20"/>
                <w:lang w:eastAsia="pt-BR"/>
              </w:rPr>
              <w:t>2,68</w:t>
            </w:r>
            <w:r w:rsidR="00995A2B" w:rsidRPr="00933491">
              <w:rPr>
                <w:rFonts w:ascii="Times New Roman" w:eastAsia="Times New Roman" w:hAnsi="Times New Roman" w:cs="Times New Roman"/>
                <w:sz w:val="20"/>
                <w:szCs w:val="20"/>
                <w:lang w:eastAsia="pt-BR"/>
              </w:rPr>
              <w:t>%</w:t>
            </w:r>
          </w:p>
        </w:tc>
        <w:tc>
          <w:tcPr>
            <w:tcW w:w="1728" w:type="dxa"/>
            <w:tcBorders>
              <w:top w:val="nil"/>
              <w:left w:val="nil"/>
              <w:bottom w:val="single" w:sz="4" w:space="0" w:color="auto"/>
              <w:right w:val="nil"/>
            </w:tcBorders>
            <w:shd w:val="clear" w:color="auto" w:fill="auto"/>
            <w:vAlign w:val="bottom"/>
          </w:tcPr>
          <w:p w14:paraId="4AC1C7CC" w14:textId="7B5B38BC" w:rsidR="00A36258" w:rsidRPr="00933491" w:rsidRDefault="00A36258" w:rsidP="0056798E">
            <w:pPr>
              <w:spacing w:after="0" w:line="240" w:lineRule="auto"/>
              <w:jc w:val="center"/>
              <w:rPr>
                <w:rFonts w:ascii="Times New Roman" w:eastAsia="Times New Roman" w:hAnsi="Times New Roman" w:cs="Times New Roman"/>
                <w:sz w:val="20"/>
                <w:szCs w:val="20"/>
                <w:lang w:eastAsia="pt-BR"/>
              </w:rPr>
            </w:pPr>
            <w:r w:rsidRPr="00933491">
              <w:rPr>
                <w:rFonts w:ascii="Times New Roman" w:eastAsia="Times New Roman" w:hAnsi="Times New Roman" w:cs="Times New Roman"/>
                <w:sz w:val="20"/>
                <w:szCs w:val="20"/>
                <w:lang w:eastAsia="pt-BR"/>
              </w:rPr>
              <w:t>-5,29</w:t>
            </w:r>
            <w:r w:rsidR="00995A2B" w:rsidRPr="00933491">
              <w:rPr>
                <w:rFonts w:ascii="Times New Roman" w:eastAsia="Times New Roman" w:hAnsi="Times New Roman" w:cs="Times New Roman"/>
                <w:sz w:val="20"/>
                <w:szCs w:val="20"/>
                <w:lang w:eastAsia="pt-BR"/>
              </w:rPr>
              <w:t>%</w:t>
            </w:r>
          </w:p>
        </w:tc>
      </w:tr>
    </w:tbl>
    <w:p w14:paraId="6B8C82DD" w14:textId="77777777" w:rsidR="00A36258" w:rsidRPr="00CC11DC" w:rsidRDefault="00A36258" w:rsidP="0056798E">
      <w:pPr>
        <w:spacing w:after="0" w:line="240" w:lineRule="auto"/>
        <w:ind w:firstLine="709"/>
        <w:jc w:val="both"/>
        <w:rPr>
          <w:rFonts w:ascii="Times New Roman" w:hAnsi="Times New Roman" w:cs="Times New Roman"/>
          <w:sz w:val="24"/>
          <w:szCs w:val="24"/>
        </w:rPr>
      </w:pPr>
    </w:p>
    <w:p w14:paraId="5C114F35" w14:textId="6F14B7C5" w:rsidR="00231DA2" w:rsidRDefault="00231DA2" w:rsidP="00157D35">
      <w:pPr>
        <w:spacing w:after="0" w:line="240" w:lineRule="auto"/>
        <w:ind w:firstLine="709"/>
        <w:jc w:val="both"/>
        <w:rPr>
          <w:rFonts w:ascii="Times New Roman" w:hAnsi="Times New Roman" w:cs="Times New Roman"/>
          <w:sz w:val="24"/>
          <w:szCs w:val="24"/>
        </w:rPr>
      </w:pPr>
      <w:r w:rsidRPr="00933491">
        <w:rPr>
          <w:rFonts w:ascii="Times New Roman" w:hAnsi="Times New Roman" w:cs="Times New Roman"/>
          <w:sz w:val="24"/>
          <w:szCs w:val="24"/>
        </w:rPr>
        <w:t xml:space="preserve">Embora, economicamente, </w:t>
      </w:r>
      <w:r w:rsidR="008E3551" w:rsidRPr="00933491">
        <w:rPr>
          <w:rFonts w:ascii="Times New Roman" w:hAnsi="Times New Roman" w:cs="Times New Roman"/>
          <w:sz w:val="24"/>
          <w:szCs w:val="24"/>
        </w:rPr>
        <w:t>observam-se</w:t>
      </w:r>
      <w:r w:rsidRPr="00933491">
        <w:rPr>
          <w:rFonts w:ascii="Times New Roman" w:hAnsi="Times New Roman" w:cs="Times New Roman"/>
          <w:sz w:val="24"/>
          <w:szCs w:val="24"/>
        </w:rPr>
        <w:t xml:space="preserve"> diferenças no desempenho acionário das empresas pequenas que realizaram ou não SEO, essas diferenças não são estatisticamente significativas ao nível de </w:t>
      </w:r>
      <w:r w:rsidR="00A36258" w:rsidRPr="00933491">
        <w:rPr>
          <w:rFonts w:ascii="Times New Roman" w:hAnsi="Times New Roman" w:cs="Times New Roman"/>
          <w:sz w:val="24"/>
          <w:szCs w:val="24"/>
        </w:rPr>
        <w:t>10</w:t>
      </w:r>
      <w:r w:rsidRPr="00933491">
        <w:rPr>
          <w:rFonts w:ascii="Times New Roman" w:hAnsi="Times New Roman" w:cs="Times New Roman"/>
          <w:sz w:val="24"/>
          <w:szCs w:val="24"/>
        </w:rPr>
        <w:t>%</w:t>
      </w:r>
      <w:r w:rsidR="00883D8D" w:rsidRPr="00933491">
        <w:rPr>
          <w:rFonts w:ascii="Times New Roman" w:hAnsi="Times New Roman" w:cs="Times New Roman"/>
          <w:sz w:val="24"/>
          <w:szCs w:val="24"/>
        </w:rPr>
        <w:t>, conforme pode ser observado na Tabe</w:t>
      </w:r>
      <w:r w:rsidR="00A36258" w:rsidRPr="00933491">
        <w:rPr>
          <w:rFonts w:ascii="Times New Roman" w:hAnsi="Times New Roman" w:cs="Times New Roman"/>
          <w:sz w:val="24"/>
          <w:szCs w:val="24"/>
        </w:rPr>
        <w:t>la 12</w:t>
      </w:r>
      <w:r w:rsidRPr="00933491">
        <w:rPr>
          <w:rFonts w:ascii="Times New Roman" w:hAnsi="Times New Roman" w:cs="Times New Roman"/>
          <w:sz w:val="24"/>
          <w:szCs w:val="24"/>
        </w:rPr>
        <w:t xml:space="preserve">. </w:t>
      </w:r>
      <w:proofErr w:type="spellStart"/>
      <w:r w:rsidRPr="00933491">
        <w:rPr>
          <w:rFonts w:ascii="Times New Roman" w:hAnsi="Times New Roman" w:cs="Times New Roman"/>
          <w:sz w:val="24"/>
          <w:szCs w:val="24"/>
        </w:rPr>
        <w:t>Loughran</w:t>
      </w:r>
      <w:proofErr w:type="spellEnd"/>
      <w:r w:rsidRPr="00933491">
        <w:rPr>
          <w:rFonts w:ascii="Times New Roman" w:hAnsi="Times New Roman" w:cs="Times New Roman"/>
          <w:sz w:val="24"/>
          <w:szCs w:val="24"/>
        </w:rPr>
        <w:t xml:space="preserve"> e </w:t>
      </w:r>
      <w:proofErr w:type="spellStart"/>
      <w:r w:rsidRPr="00933491">
        <w:rPr>
          <w:rFonts w:ascii="Times New Roman" w:hAnsi="Times New Roman" w:cs="Times New Roman"/>
          <w:sz w:val="24"/>
          <w:szCs w:val="24"/>
        </w:rPr>
        <w:t>Ritter</w:t>
      </w:r>
      <w:proofErr w:type="spellEnd"/>
      <w:r w:rsidRPr="00933491">
        <w:rPr>
          <w:rFonts w:ascii="Times New Roman" w:hAnsi="Times New Roman" w:cs="Times New Roman"/>
          <w:sz w:val="24"/>
          <w:szCs w:val="24"/>
        </w:rPr>
        <w:t xml:space="preserve"> (1997) encontraram, para as empresas pequenas, que o retorno médio dos cinco anos subsequentes às ofertas das empresas emissoras é de 1,6%, enquanto das empresas não emissoras é de 15,2%.</w:t>
      </w:r>
    </w:p>
    <w:p w14:paraId="3E255A88" w14:textId="77777777" w:rsidR="002836A9" w:rsidRPr="003E40AC" w:rsidRDefault="002836A9" w:rsidP="00157D35">
      <w:pPr>
        <w:spacing w:after="0" w:line="240" w:lineRule="auto"/>
        <w:ind w:firstLine="709"/>
        <w:jc w:val="both"/>
        <w:rPr>
          <w:rFonts w:ascii="Times New Roman" w:hAnsi="Times New Roman" w:cs="Times New Roman"/>
          <w:sz w:val="24"/>
          <w:szCs w:val="24"/>
        </w:rPr>
      </w:pPr>
      <w:r w:rsidRPr="003E40AC">
        <w:rPr>
          <w:rFonts w:ascii="Times New Roman" w:hAnsi="Times New Roman" w:cs="Times New Roman"/>
          <w:sz w:val="24"/>
          <w:szCs w:val="24"/>
        </w:rPr>
        <w:t>Por outro lado, as empresas classificadas como grandes, um ano após a realização da SEO, o retorno das ações das empresas emissoras é de 2,5%, enquanto das empresas não emissoras é de 5,53%. Ou seja, as emissoras obtiveram um desempenho acionário melhor que as empresas não emissoras, um ano após a realização da SEO. Nos demais anos, o retorno acionário das empresas emissoras e não emissoras é negativo, sendo a queda no retorno das empresas emissoras menor no segundo e quarto ano após a emissão.</w:t>
      </w:r>
    </w:p>
    <w:p w14:paraId="3A0EDCB0" w14:textId="77777777" w:rsidR="002836A9" w:rsidRPr="00933491" w:rsidRDefault="002836A9" w:rsidP="00157D35">
      <w:pPr>
        <w:spacing w:after="0" w:line="240" w:lineRule="auto"/>
        <w:ind w:firstLine="709"/>
        <w:jc w:val="both"/>
        <w:rPr>
          <w:rFonts w:ascii="Times New Roman" w:hAnsi="Times New Roman" w:cs="Times New Roman"/>
          <w:sz w:val="24"/>
          <w:szCs w:val="24"/>
        </w:rPr>
      </w:pPr>
      <w:r w:rsidRPr="00933491">
        <w:rPr>
          <w:rFonts w:ascii="Times New Roman" w:hAnsi="Times New Roman" w:cs="Times New Roman"/>
          <w:sz w:val="24"/>
          <w:szCs w:val="24"/>
        </w:rPr>
        <w:t xml:space="preserve">Embora, economicamente, hajam diferenças no desempenho acionário das empresas grandes que realizaram ou não SEO, essas diferenças não são estatisticamente significativas ao nível de 10%, conforme Tabela 12. </w:t>
      </w:r>
      <w:proofErr w:type="spellStart"/>
      <w:r w:rsidRPr="00933491">
        <w:rPr>
          <w:rFonts w:ascii="Times New Roman" w:hAnsi="Times New Roman" w:cs="Times New Roman"/>
          <w:sz w:val="24"/>
          <w:szCs w:val="24"/>
        </w:rPr>
        <w:t>Loughran</w:t>
      </w:r>
      <w:proofErr w:type="spellEnd"/>
      <w:r w:rsidRPr="00933491">
        <w:rPr>
          <w:rFonts w:ascii="Times New Roman" w:hAnsi="Times New Roman" w:cs="Times New Roman"/>
          <w:sz w:val="24"/>
          <w:szCs w:val="24"/>
        </w:rPr>
        <w:t xml:space="preserve"> e </w:t>
      </w:r>
      <w:proofErr w:type="spellStart"/>
      <w:r w:rsidRPr="00933491">
        <w:rPr>
          <w:rFonts w:ascii="Times New Roman" w:hAnsi="Times New Roman" w:cs="Times New Roman"/>
          <w:sz w:val="24"/>
          <w:szCs w:val="24"/>
        </w:rPr>
        <w:t>Ritter</w:t>
      </w:r>
      <w:proofErr w:type="spellEnd"/>
      <w:r w:rsidRPr="00933491">
        <w:rPr>
          <w:rFonts w:ascii="Times New Roman" w:hAnsi="Times New Roman" w:cs="Times New Roman"/>
          <w:sz w:val="24"/>
          <w:szCs w:val="24"/>
        </w:rPr>
        <w:t xml:space="preserve"> (1997) encontraram, para as empresas grandes, que o retorno médio dos cinco anos subsequentes às ofertas é de 13,6% para as empresas emissoras, enquanto para as empresas não emissoras é de 18,6%. Tal divergência pode ser atribuída ao fato de que a diferença de tamanho entre as grandes e as pequenas empresas do mercado americano é maior que o tamanho da diferença entre as empresas grandes e pequenas brasileiras, fazendo com que os investidores nacionais avaliem de forma distinta as empresas nacionais comparado aos investidores americanos.</w:t>
      </w:r>
    </w:p>
    <w:p w14:paraId="6D704F78" w14:textId="67351823" w:rsidR="002836A9" w:rsidRDefault="002836A9" w:rsidP="00157D35">
      <w:pPr>
        <w:spacing w:after="0" w:line="240" w:lineRule="auto"/>
        <w:ind w:firstLine="709"/>
        <w:jc w:val="both"/>
        <w:rPr>
          <w:rFonts w:ascii="Times New Roman" w:hAnsi="Times New Roman" w:cs="Times New Roman"/>
          <w:sz w:val="24"/>
          <w:szCs w:val="24"/>
        </w:rPr>
      </w:pPr>
      <w:r w:rsidRPr="00933491">
        <w:rPr>
          <w:rFonts w:ascii="Times New Roman" w:hAnsi="Times New Roman" w:cs="Times New Roman"/>
          <w:sz w:val="24"/>
          <w:szCs w:val="24"/>
        </w:rPr>
        <w:lastRenderedPageBreak/>
        <w:t>Adicionalmente, foram realizados testes não paramétricos correspondentes aos testes paramétricos empregados na pesquisa, sendo obtidos resultados semelhantes aos apresentados neste trabalho.</w:t>
      </w:r>
    </w:p>
    <w:p w14:paraId="70B58B1A" w14:textId="77777777" w:rsidR="005216EB" w:rsidRPr="00933491" w:rsidRDefault="005216EB" w:rsidP="0056798E">
      <w:pPr>
        <w:spacing w:after="0" w:line="240" w:lineRule="auto"/>
        <w:ind w:firstLine="567"/>
        <w:jc w:val="both"/>
        <w:rPr>
          <w:rFonts w:ascii="Times New Roman" w:hAnsi="Times New Roman" w:cs="Times New Roman"/>
          <w:sz w:val="24"/>
          <w:szCs w:val="24"/>
        </w:rPr>
      </w:pPr>
    </w:p>
    <w:p w14:paraId="43F5D977" w14:textId="25F435B5" w:rsidR="001F0A10" w:rsidRPr="004C7DD9" w:rsidRDefault="001F0A10" w:rsidP="004C7DD9">
      <w:pPr>
        <w:spacing w:after="0" w:line="240" w:lineRule="auto"/>
        <w:jc w:val="center"/>
        <w:rPr>
          <w:rFonts w:ascii="Times New Roman" w:hAnsi="Times New Roman" w:cs="Times New Roman"/>
          <w:b/>
          <w:sz w:val="20"/>
          <w:szCs w:val="24"/>
        </w:rPr>
      </w:pPr>
      <w:r w:rsidRPr="004C7DD9">
        <w:rPr>
          <w:rFonts w:ascii="Times New Roman" w:hAnsi="Times New Roman" w:cs="Times New Roman"/>
          <w:b/>
          <w:sz w:val="20"/>
          <w:szCs w:val="24"/>
        </w:rPr>
        <w:t xml:space="preserve">Tabela </w:t>
      </w:r>
      <w:r w:rsidR="00963673" w:rsidRPr="004C7DD9">
        <w:rPr>
          <w:rFonts w:ascii="Times New Roman" w:hAnsi="Times New Roman" w:cs="Times New Roman"/>
          <w:b/>
          <w:sz w:val="20"/>
          <w:szCs w:val="24"/>
        </w:rPr>
        <w:t>1</w:t>
      </w:r>
      <w:r w:rsidR="00A36258" w:rsidRPr="004C7DD9">
        <w:rPr>
          <w:rFonts w:ascii="Times New Roman" w:hAnsi="Times New Roman" w:cs="Times New Roman"/>
          <w:b/>
          <w:sz w:val="20"/>
          <w:szCs w:val="24"/>
        </w:rPr>
        <w:t>2</w:t>
      </w:r>
      <w:r w:rsidR="004C7DD9" w:rsidRPr="004C7DD9">
        <w:rPr>
          <w:rFonts w:ascii="Times New Roman" w:hAnsi="Times New Roman" w:cs="Times New Roman"/>
          <w:b/>
          <w:sz w:val="20"/>
          <w:szCs w:val="24"/>
        </w:rPr>
        <w:t xml:space="preserve"> - </w:t>
      </w:r>
      <w:r w:rsidRPr="004C7DD9">
        <w:rPr>
          <w:rFonts w:ascii="Times New Roman" w:hAnsi="Times New Roman" w:cs="Times New Roman"/>
          <w:b/>
          <w:sz w:val="20"/>
          <w:szCs w:val="24"/>
        </w:rPr>
        <w:t xml:space="preserve">Análise do desempenho </w:t>
      </w:r>
      <w:r w:rsidR="00963673" w:rsidRPr="004C7DD9">
        <w:rPr>
          <w:rFonts w:ascii="Times New Roman" w:hAnsi="Times New Roman" w:cs="Times New Roman"/>
          <w:b/>
          <w:sz w:val="20"/>
          <w:szCs w:val="24"/>
        </w:rPr>
        <w:t>acionário</w:t>
      </w:r>
      <w:r w:rsidRPr="004C7DD9">
        <w:rPr>
          <w:rFonts w:ascii="Times New Roman" w:hAnsi="Times New Roman" w:cs="Times New Roman"/>
          <w:b/>
          <w:sz w:val="20"/>
          <w:szCs w:val="24"/>
        </w:rPr>
        <w:t xml:space="preserve"> das empresas emissoras </w:t>
      </w:r>
      <w:r w:rsidR="00963673" w:rsidRPr="004C7DD9">
        <w:rPr>
          <w:rFonts w:ascii="Times New Roman" w:hAnsi="Times New Roman" w:cs="Times New Roman"/>
          <w:b/>
          <w:sz w:val="20"/>
          <w:szCs w:val="24"/>
        </w:rPr>
        <w:t>e não emissoras separadas pelo tamanho do ativo</w:t>
      </w:r>
    </w:p>
    <w:tbl>
      <w:tblPr>
        <w:tblW w:w="4775"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33"/>
        <w:gridCol w:w="624"/>
        <w:gridCol w:w="1254"/>
        <w:gridCol w:w="1272"/>
        <w:gridCol w:w="1416"/>
        <w:gridCol w:w="992"/>
        <w:gridCol w:w="1130"/>
        <w:gridCol w:w="1132"/>
      </w:tblGrid>
      <w:tr w:rsidR="00426673" w:rsidRPr="00933491" w14:paraId="15333E7F" w14:textId="77777777" w:rsidTr="004C7DD9">
        <w:trPr>
          <w:cantSplit/>
          <w:trHeight w:val="207"/>
          <w:tblHeader/>
          <w:jc w:val="center"/>
        </w:trPr>
        <w:tc>
          <w:tcPr>
            <w:tcW w:w="481" w:type="pct"/>
            <w:vMerge w:val="restart"/>
            <w:tcBorders>
              <w:top w:val="single" w:sz="4" w:space="0" w:color="auto"/>
              <w:left w:val="single" w:sz="4" w:space="0" w:color="FFFFFF" w:themeColor="background1"/>
              <w:right w:val="single" w:sz="4" w:space="0" w:color="auto"/>
            </w:tcBorders>
            <w:shd w:val="clear" w:color="auto" w:fill="FFFFFF"/>
            <w:vAlign w:val="center"/>
          </w:tcPr>
          <w:p w14:paraId="08E543FB" w14:textId="5B5A2350" w:rsidR="00426673" w:rsidRPr="00933491" w:rsidRDefault="00426673" w:rsidP="0056798E">
            <w:pPr>
              <w:autoSpaceDE w:val="0"/>
              <w:autoSpaceDN w:val="0"/>
              <w:adjustRightInd w:val="0"/>
              <w:spacing w:after="0" w:line="240" w:lineRule="auto"/>
              <w:jc w:val="center"/>
              <w:rPr>
                <w:rFonts w:ascii="Times New Roman" w:hAnsi="Times New Roman" w:cs="Times New Roman"/>
                <w:b/>
                <w:color w:val="000000"/>
                <w:sz w:val="20"/>
                <w:szCs w:val="20"/>
                <w:lang w:val="en-US"/>
              </w:rPr>
            </w:pPr>
            <w:proofErr w:type="spellStart"/>
            <w:r w:rsidRPr="00933491">
              <w:rPr>
                <w:rFonts w:ascii="Times New Roman" w:hAnsi="Times New Roman" w:cs="Times New Roman"/>
                <w:b/>
                <w:color w:val="000000"/>
                <w:sz w:val="20"/>
                <w:szCs w:val="20"/>
                <w:lang w:val="en-US"/>
              </w:rPr>
              <w:t>Tamanho</w:t>
            </w:r>
            <w:proofErr w:type="spellEnd"/>
            <w:r w:rsidRPr="00933491">
              <w:rPr>
                <w:rFonts w:ascii="Times New Roman" w:hAnsi="Times New Roman" w:cs="Times New Roman"/>
                <w:b/>
                <w:color w:val="000000"/>
                <w:sz w:val="20"/>
                <w:szCs w:val="20"/>
                <w:lang w:val="en-US"/>
              </w:rPr>
              <w:t xml:space="preserve"> do </w:t>
            </w:r>
            <w:proofErr w:type="spellStart"/>
            <w:r w:rsidRPr="00933491">
              <w:rPr>
                <w:rFonts w:ascii="Times New Roman" w:hAnsi="Times New Roman" w:cs="Times New Roman"/>
                <w:b/>
                <w:color w:val="000000"/>
                <w:sz w:val="20"/>
                <w:szCs w:val="20"/>
                <w:lang w:val="en-US"/>
              </w:rPr>
              <w:t>Ativo</w:t>
            </w:r>
            <w:proofErr w:type="spellEnd"/>
          </w:p>
        </w:tc>
        <w:tc>
          <w:tcPr>
            <w:tcW w:w="361" w:type="pct"/>
            <w:vMerge w:val="restart"/>
            <w:tcBorders>
              <w:top w:val="single" w:sz="4" w:space="0" w:color="auto"/>
              <w:left w:val="single" w:sz="4" w:space="0" w:color="FFFFFF" w:themeColor="background1"/>
              <w:bottom w:val="single" w:sz="4" w:space="0" w:color="auto"/>
              <w:right w:val="single" w:sz="4" w:space="0" w:color="auto"/>
            </w:tcBorders>
            <w:shd w:val="clear" w:color="auto" w:fill="FFFFFF"/>
            <w:vAlign w:val="center"/>
          </w:tcPr>
          <w:p w14:paraId="544933F8" w14:textId="6764CE06" w:rsidR="00426673" w:rsidRPr="00933491" w:rsidRDefault="00426673" w:rsidP="0056798E">
            <w:pPr>
              <w:autoSpaceDE w:val="0"/>
              <w:autoSpaceDN w:val="0"/>
              <w:adjustRightInd w:val="0"/>
              <w:spacing w:after="0" w:line="240" w:lineRule="auto"/>
              <w:jc w:val="center"/>
              <w:rPr>
                <w:rFonts w:ascii="Times New Roman" w:hAnsi="Times New Roman" w:cs="Times New Roman"/>
                <w:b/>
                <w:color w:val="000000"/>
                <w:sz w:val="20"/>
                <w:szCs w:val="20"/>
                <w:lang w:val="en-US"/>
              </w:rPr>
            </w:pPr>
            <w:proofErr w:type="spellStart"/>
            <w:r w:rsidRPr="00933491">
              <w:rPr>
                <w:rFonts w:ascii="Times New Roman" w:hAnsi="Times New Roman" w:cs="Times New Roman"/>
                <w:b/>
                <w:color w:val="000000"/>
                <w:sz w:val="20"/>
                <w:szCs w:val="20"/>
                <w:lang w:val="en-US"/>
              </w:rPr>
              <w:t>Ano</w:t>
            </w:r>
            <w:proofErr w:type="spellEnd"/>
            <w:r w:rsidRPr="00933491">
              <w:rPr>
                <w:rFonts w:ascii="Times New Roman" w:hAnsi="Times New Roman" w:cs="Times New Roman"/>
                <w:b/>
                <w:color w:val="000000"/>
                <w:sz w:val="20"/>
                <w:szCs w:val="20"/>
                <w:lang w:val="en-US"/>
              </w:rPr>
              <w:t xml:space="preserve"> Fiscal</w:t>
            </w:r>
          </w:p>
        </w:tc>
        <w:tc>
          <w:tcPr>
            <w:tcW w:w="725" w:type="pct"/>
            <w:vMerge w:val="restart"/>
            <w:tcBorders>
              <w:top w:val="single" w:sz="4" w:space="0" w:color="auto"/>
              <w:left w:val="single" w:sz="4" w:space="0" w:color="FFFFFF" w:themeColor="background1"/>
              <w:bottom w:val="single" w:sz="4" w:space="0" w:color="auto"/>
              <w:right w:val="single" w:sz="4" w:space="0" w:color="auto"/>
            </w:tcBorders>
            <w:shd w:val="clear" w:color="auto" w:fill="FFFFFF"/>
            <w:vAlign w:val="center"/>
          </w:tcPr>
          <w:p w14:paraId="464C0525" w14:textId="5658B41A" w:rsidR="00426673" w:rsidRPr="00933491" w:rsidRDefault="00C72656" w:rsidP="0056798E">
            <w:pPr>
              <w:autoSpaceDE w:val="0"/>
              <w:autoSpaceDN w:val="0"/>
              <w:adjustRightInd w:val="0"/>
              <w:spacing w:after="0" w:line="240" w:lineRule="auto"/>
              <w:jc w:val="center"/>
              <w:rPr>
                <w:rFonts w:ascii="Times New Roman" w:hAnsi="Times New Roman" w:cs="Times New Roman"/>
                <w:color w:val="000000"/>
                <w:sz w:val="20"/>
                <w:szCs w:val="20"/>
                <w:lang w:val="en-US"/>
              </w:rPr>
            </w:pPr>
            <w:proofErr w:type="spellStart"/>
            <w:r w:rsidRPr="00933491">
              <w:rPr>
                <w:rFonts w:ascii="Times New Roman" w:hAnsi="Times New Roman" w:cs="Times New Roman"/>
                <w:b/>
                <w:color w:val="000000"/>
                <w:sz w:val="20"/>
                <w:szCs w:val="20"/>
                <w:lang w:val="en-US"/>
              </w:rPr>
              <w:t>Há</w:t>
            </w:r>
            <w:proofErr w:type="spellEnd"/>
            <w:r w:rsidRPr="00933491">
              <w:rPr>
                <w:rFonts w:ascii="Times New Roman" w:hAnsi="Times New Roman" w:cs="Times New Roman"/>
                <w:b/>
                <w:color w:val="000000"/>
                <w:sz w:val="20"/>
                <w:szCs w:val="20"/>
                <w:lang w:val="en-US"/>
              </w:rPr>
              <w:t xml:space="preserve"> </w:t>
            </w:r>
            <w:proofErr w:type="spellStart"/>
            <w:r w:rsidRPr="00933491">
              <w:rPr>
                <w:rFonts w:ascii="Times New Roman" w:hAnsi="Times New Roman" w:cs="Times New Roman"/>
                <w:b/>
                <w:color w:val="000000"/>
                <w:sz w:val="20"/>
                <w:szCs w:val="20"/>
                <w:lang w:val="en-US"/>
              </w:rPr>
              <w:t>igualdade</w:t>
            </w:r>
            <w:proofErr w:type="spellEnd"/>
            <w:r w:rsidRPr="00933491">
              <w:rPr>
                <w:rFonts w:ascii="Times New Roman" w:hAnsi="Times New Roman" w:cs="Times New Roman"/>
                <w:b/>
                <w:color w:val="000000"/>
                <w:sz w:val="20"/>
                <w:szCs w:val="20"/>
                <w:lang w:val="en-US"/>
              </w:rPr>
              <w:t xml:space="preserve"> da </w:t>
            </w:r>
            <w:proofErr w:type="spellStart"/>
            <w:r w:rsidRPr="00933491">
              <w:rPr>
                <w:rFonts w:ascii="Times New Roman" w:hAnsi="Times New Roman" w:cs="Times New Roman"/>
                <w:b/>
                <w:color w:val="000000"/>
                <w:sz w:val="20"/>
                <w:szCs w:val="20"/>
                <w:lang w:val="en-US"/>
              </w:rPr>
              <w:t>variância</w:t>
            </w:r>
            <w:proofErr w:type="spellEnd"/>
            <w:r w:rsidRPr="00933491">
              <w:rPr>
                <w:rFonts w:ascii="Times New Roman" w:hAnsi="Times New Roman" w:cs="Times New Roman"/>
                <w:b/>
                <w:color w:val="000000"/>
                <w:sz w:val="20"/>
                <w:szCs w:val="20"/>
                <w:lang w:val="en-US"/>
              </w:rPr>
              <w:t>?</w:t>
            </w:r>
          </w:p>
        </w:tc>
        <w:tc>
          <w:tcPr>
            <w:tcW w:w="155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D6E2BF0" w14:textId="3F92CB57" w:rsidR="00426673" w:rsidRPr="00933491" w:rsidRDefault="00C72656" w:rsidP="0056798E">
            <w:pPr>
              <w:autoSpaceDE w:val="0"/>
              <w:autoSpaceDN w:val="0"/>
              <w:adjustRightInd w:val="0"/>
              <w:spacing w:after="0" w:line="240" w:lineRule="auto"/>
              <w:ind w:right="62"/>
              <w:jc w:val="center"/>
              <w:rPr>
                <w:rFonts w:ascii="Times New Roman" w:hAnsi="Times New Roman" w:cs="Times New Roman"/>
                <w:color w:val="000000"/>
                <w:sz w:val="20"/>
                <w:szCs w:val="20"/>
              </w:rPr>
            </w:pPr>
            <w:r w:rsidRPr="00933491">
              <w:rPr>
                <w:rFonts w:ascii="Times New Roman" w:hAnsi="Times New Roman" w:cs="Times New Roman"/>
                <w:b/>
                <w:color w:val="000000"/>
                <w:sz w:val="20"/>
                <w:szCs w:val="20"/>
              </w:rPr>
              <w:t xml:space="preserve">Teste </w:t>
            </w:r>
            <w:proofErr w:type="spellStart"/>
            <w:r w:rsidRPr="00933491">
              <w:rPr>
                <w:rFonts w:ascii="Times New Roman" w:hAnsi="Times New Roman" w:cs="Times New Roman"/>
                <w:b/>
                <w:color w:val="000000"/>
                <w:sz w:val="20"/>
                <w:szCs w:val="20"/>
              </w:rPr>
              <w:t>Levene</w:t>
            </w:r>
            <w:proofErr w:type="spellEnd"/>
            <w:r w:rsidRPr="00933491">
              <w:rPr>
                <w:rFonts w:ascii="Times New Roman" w:hAnsi="Times New Roman" w:cs="Times New Roman"/>
                <w:b/>
                <w:color w:val="000000"/>
                <w:sz w:val="20"/>
                <w:szCs w:val="20"/>
              </w:rPr>
              <w:t xml:space="preserve"> para igualdade da variância</w:t>
            </w:r>
          </w:p>
        </w:tc>
        <w:tc>
          <w:tcPr>
            <w:tcW w:w="1880" w:type="pct"/>
            <w:gridSpan w:val="3"/>
            <w:tcBorders>
              <w:top w:val="single" w:sz="4" w:space="0" w:color="auto"/>
              <w:left w:val="single" w:sz="4" w:space="0" w:color="auto"/>
              <w:bottom w:val="single" w:sz="4" w:space="0" w:color="auto"/>
              <w:right w:val="single" w:sz="4" w:space="0" w:color="FFFFFF" w:themeColor="background1"/>
            </w:tcBorders>
            <w:shd w:val="clear" w:color="auto" w:fill="FFFFFF"/>
            <w:vAlign w:val="center"/>
          </w:tcPr>
          <w:p w14:paraId="36988BAD" w14:textId="5AF89403" w:rsidR="00426673"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b/>
                <w:color w:val="000000"/>
                <w:sz w:val="20"/>
                <w:szCs w:val="20"/>
              </w:rPr>
              <w:t xml:space="preserve">Teste </w:t>
            </w:r>
            <w:r w:rsidRPr="00933491">
              <w:rPr>
                <w:rFonts w:ascii="Times New Roman" w:hAnsi="Times New Roman" w:cs="Times New Roman"/>
                <w:b/>
                <w:i/>
                <w:color w:val="000000"/>
                <w:sz w:val="20"/>
                <w:szCs w:val="20"/>
              </w:rPr>
              <w:t>t</w:t>
            </w:r>
            <w:r w:rsidRPr="00933491">
              <w:rPr>
                <w:rFonts w:ascii="Times New Roman" w:hAnsi="Times New Roman" w:cs="Times New Roman"/>
                <w:b/>
                <w:color w:val="000000"/>
                <w:sz w:val="20"/>
                <w:szCs w:val="20"/>
              </w:rPr>
              <w:t xml:space="preserve"> para igualdade de médias</w:t>
            </w:r>
          </w:p>
        </w:tc>
      </w:tr>
      <w:tr w:rsidR="00426673" w:rsidRPr="00933491" w14:paraId="4BC55C3A" w14:textId="77777777" w:rsidTr="004C7DD9">
        <w:trPr>
          <w:cantSplit/>
          <w:trHeight w:val="155"/>
          <w:tblHeader/>
          <w:jc w:val="center"/>
        </w:trPr>
        <w:tc>
          <w:tcPr>
            <w:tcW w:w="481" w:type="pct"/>
            <w:vMerge/>
            <w:tcBorders>
              <w:left w:val="single" w:sz="4" w:space="0" w:color="FFFFFF" w:themeColor="background1"/>
              <w:bottom w:val="single" w:sz="4" w:space="0" w:color="auto"/>
              <w:right w:val="single" w:sz="4" w:space="0" w:color="auto"/>
            </w:tcBorders>
            <w:shd w:val="clear" w:color="auto" w:fill="FFFFFF"/>
            <w:vAlign w:val="center"/>
          </w:tcPr>
          <w:p w14:paraId="3241137D" w14:textId="77777777" w:rsidR="00426673" w:rsidRPr="00933491" w:rsidRDefault="00426673" w:rsidP="0056798E">
            <w:pPr>
              <w:autoSpaceDE w:val="0"/>
              <w:autoSpaceDN w:val="0"/>
              <w:adjustRightInd w:val="0"/>
              <w:spacing w:after="0" w:line="240" w:lineRule="auto"/>
              <w:jc w:val="center"/>
              <w:rPr>
                <w:rFonts w:ascii="Times New Roman" w:hAnsi="Times New Roman" w:cs="Times New Roman"/>
                <w:color w:val="000000"/>
                <w:sz w:val="20"/>
                <w:szCs w:val="20"/>
              </w:rPr>
            </w:pPr>
          </w:p>
        </w:tc>
        <w:tc>
          <w:tcPr>
            <w:tcW w:w="361" w:type="pct"/>
            <w:vMerge/>
            <w:tcBorders>
              <w:top w:val="single" w:sz="18" w:space="0" w:color="000000"/>
              <w:left w:val="single" w:sz="4" w:space="0" w:color="FFFFFF" w:themeColor="background1"/>
              <w:bottom w:val="single" w:sz="4" w:space="0" w:color="auto"/>
              <w:right w:val="single" w:sz="4" w:space="0" w:color="auto"/>
            </w:tcBorders>
            <w:shd w:val="clear" w:color="auto" w:fill="FFFFFF"/>
            <w:vAlign w:val="center"/>
          </w:tcPr>
          <w:p w14:paraId="741CAB88" w14:textId="77777777" w:rsidR="00426673" w:rsidRPr="00933491" w:rsidRDefault="00426673" w:rsidP="0056798E">
            <w:pPr>
              <w:autoSpaceDE w:val="0"/>
              <w:autoSpaceDN w:val="0"/>
              <w:adjustRightInd w:val="0"/>
              <w:spacing w:after="0" w:line="240" w:lineRule="auto"/>
              <w:jc w:val="center"/>
              <w:rPr>
                <w:rFonts w:ascii="Times New Roman" w:hAnsi="Times New Roman" w:cs="Times New Roman"/>
                <w:color w:val="000000"/>
                <w:sz w:val="20"/>
                <w:szCs w:val="20"/>
              </w:rPr>
            </w:pPr>
          </w:p>
        </w:tc>
        <w:tc>
          <w:tcPr>
            <w:tcW w:w="725" w:type="pct"/>
            <w:vMerge/>
            <w:tcBorders>
              <w:top w:val="single" w:sz="18" w:space="0" w:color="000000"/>
              <w:left w:val="single" w:sz="4" w:space="0" w:color="FFFFFF" w:themeColor="background1"/>
              <w:bottom w:val="single" w:sz="4" w:space="0" w:color="auto"/>
              <w:right w:val="single" w:sz="4" w:space="0" w:color="auto"/>
            </w:tcBorders>
            <w:shd w:val="clear" w:color="auto" w:fill="FFFFFF"/>
            <w:vAlign w:val="center"/>
          </w:tcPr>
          <w:p w14:paraId="69F14F06" w14:textId="742CC208" w:rsidR="00426673" w:rsidRPr="00933491" w:rsidRDefault="00426673" w:rsidP="0056798E">
            <w:pPr>
              <w:autoSpaceDE w:val="0"/>
              <w:autoSpaceDN w:val="0"/>
              <w:adjustRightInd w:val="0"/>
              <w:spacing w:after="0" w:line="240" w:lineRule="auto"/>
              <w:jc w:val="center"/>
              <w:rPr>
                <w:rFonts w:ascii="Times New Roman" w:hAnsi="Times New Roman" w:cs="Times New Roman"/>
                <w:color w:val="000000"/>
                <w:sz w:val="20"/>
                <w:szCs w:val="20"/>
              </w:rPr>
            </w:pPr>
          </w:p>
        </w:tc>
        <w:tc>
          <w:tcPr>
            <w:tcW w:w="735" w:type="pct"/>
            <w:tcBorders>
              <w:top w:val="single" w:sz="4" w:space="0" w:color="auto"/>
              <w:left w:val="single" w:sz="4" w:space="0" w:color="auto"/>
              <w:bottom w:val="single" w:sz="4" w:space="0" w:color="auto"/>
            </w:tcBorders>
            <w:shd w:val="clear" w:color="auto" w:fill="FFFFFF"/>
            <w:vAlign w:val="center"/>
          </w:tcPr>
          <w:p w14:paraId="69717E8E" w14:textId="77777777" w:rsidR="00426673" w:rsidRPr="00933491" w:rsidRDefault="00426673"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F</w:t>
            </w:r>
          </w:p>
        </w:tc>
        <w:tc>
          <w:tcPr>
            <w:tcW w:w="818" w:type="pct"/>
            <w:tcBorders>
              <w:top w:val="single" w:sz="4" w:space="0" w:color="auto"/>
              <w:bottom w:val="single" w:sz="4" w:space="0" w:color="auto"/>
            </w:tcBorders>
            <w:shd w:val="clear" w:color="auto" w:fill="FFFFFF"/>
            <w:vAlign w:val="center"/>
          </w:tcPr>
          <w:p w14:paraId="42110492" w14:textId="169D0DF5" w:rsidR="00426673" w:rsidRPr="00933491" w:rsidRDefault="001141D5"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proofErr w:type="gramStart"/>
            <w:r w:rsidRPr="00933491">
              <w:rPr>
                <w:rFonts w:ascii="Times New Roman" w:hAnsi="Times New Roman" w:cs="Times New Roman"/>
                <w:color w:val="000000"/>
                <w:sz w:val="20"/>
                <w:szCs w:val="20"/>
              </w:rPr>
              <w:t>p</w:t>
            </w:r>
            <w:proofErr w:type="gramEnd"/>
            <w:r w:rsidRPr="00933491">
              <w:rPr>
                <w:rFonts w:ascii="Times New Roman" w:hAnsi="Times New Roman" w:cs="Times New Roman"/>
                <w:color w:val="000000"/>
                <w:sz w:val="20"/>
                <w:szCs w:val="20"/>
              </w:rPr>
              <w:t>-valor</w:t>
            </w:r>
          </w:p>
        </w:tc>
        <w:tc>
          <w:tcPr>
            <w:tcW w:w="573" w:type="pct"/>
            <w:tcBorders>
              <w:top w:val="single" w:sz="4" w:space="0" w:color="auto"/>
              <w:bottom w:val="single" w:sz="4" w:space="0" w:color="auto"/>
            </w:tcBorders>
            <w:shd w:val="clear" w:color="auto" w:fill="FFFFFF"/>
            <w:vAlign w:val="center"/>
          </w:tcPr>
          <w:p w14:paraId="21E93FF7" w14:textId="4B72A378" w:rsidR="00426673"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proofErr w:type="gramStart"/>
            <w:r w:rsidRPr="00933491">
              <w:rPr>
                <w:rFonts w:ascii="Times New Roman" w:hAnsi="Times New Roman" w:cs="Times New Roman"/>
                <w:color w:val="000000"/>
                <w:sz w:val="20"/>
                <w:szCs w:val="20"/>
              </w:rPr>
              <w:t>t</w:t>
            </w:r>
            <w:proofErr w:type="gramEnd"/>
          </w:p>
        </w:tc>
        <w:tc>
          <w:tcPr>
            <w:tcW w:w="653" w:type="pct"/>
            <w:tcBorders>
              <w:top w:val="single" w:sz="4" w:space="0" w:color="auto"/>
              <w:bottom w:val="single" w:sz="4" w:space="0" w:color="auto"/>
            </w:tcBorders>
            <w:shd w:val="clear" w:color="auto" w:fill="FFFFFF"/>
            <w:vAlign w:val="center"/>
          </w:tcPr>
          <w:p w14:paraId="0C47A1ED" w14:textId="5C26C44D" w:rsidR="00426673"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proofErr w:type="spellStart"/>
            <w:proofErr w:type="gramStart"/>
            <w:r w:rsidRPr="00933491">
              <w:rPr>
                <w:rFonts w:ascii="Times New Roman" w:hAnsi="Times New Roman" w:cs="Times New Roman"/>
                <w:color w:val="000000"/>
                <w:sz w:val="20"/>
                <w:szCs w:val="20"/>
              </w:rPr>
              <w:t>d</w:t>
            </w:r>
            <w:r w:rsidR="00426673" w:rsidRPr="00933491">
              <w:rPr>
                <w:rFonts w:ascii="Times New Roman" w:hAnsi="Times New Roman" w:cs="Times New Roman"/>
                <w:color w:val="000000"/>
                <w:sz w:val="20"/>
                <w:szCs w:val="20"/>
              </w:rPr>
              <w:t>f</w:t>
            </w:r>
            <w:proofErr w:type="spellEnd"/>
            <w:proofErr w:type="gramEnd"/>
          </w:p>
        </w:tc>
        <w:tc>
          <w:tcPr>
            <w:tcW w:w="654" w:type="pct"/>
            <w:tcBorders>
              <w:top w:val="single" w:sz="4" w:space="0" w:color="auto"/>
              <w:bottom w:val="single" w:sz="4" w:space="0" w:color="auto"/>
              <w:right w:val="single" w:sz="4" w:space="0" w:color="FFFFFF" w:themeColor="background1"/>
            </w:tcBorders>
            <w:shd w:val="clear" w:color="auto" w:fill="FFFFFF"/>
            <w:vAlign w:val="center"/>
          </w:tcPr>
          <w:p w14:paraId="331BC79B" w14:textId="37808553" w:rsidR="00426673" w:rsidRPr="00933491" w:rsidRDefault="001141D5"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proofErr w:type="gramStart"/>
            <w:r w:rsidRPr="00933491">
              <w:rPr>
                <w:rFonts w:ascii="Times New Roman" w:hAnsi="Times New Roman" w:cs="Times New Roman"/>
                <w:color w:val="000000"/>
                <w:sz w:val="20"/>
                <w:szCs w:val="20"/>
              </w:rPr>
              <w:t>p</w:t>
            </w:r>
            <w:proofErr w:type="gramEnd"/>
            <w:r w:rsidRPr="00933491">
              <w:rPr>
                <w:rFonts w:ascii="Times New Roman" w:hAnsi="Times New Roman" w:cs="Times New Roman"/>
                <w:color w:val="000000"/>
                <w:sz w:val="20"/>
                <w:szCs w:val="20"/>
              </w:rPr>
              <w:t>-valor</w:t>
            </w:r>
          </w:p>
        </w:tc>
      </w:tr>
      <w:tr w:rsidR="00C72656" w:rsidRPr="00933491" w14:paraId="561487F2" w14:textId="77777777" w:rsidTr="004C7DD9">
        <w:trPr>
          <w:cantSplit/>
          <w:tblHeader/>
          <w:jc w:val="center"/>
        </w:trPr>
        <w:tc>
          <w:tcPr>
            <w:tcW w:w="481" w:type="pct"/>
            <w:vMerge w:val="restart"/>
            <w:tcBorders>
              <w:left w:val="single" w:sz="4" w:space="0" w:color="FFFFFF" w:themeColor="background1"/>
              <w:right w:val="single" w:sz="4" w:space="0" w:color="auto"/>
            </w:tcBorders>
            <w:shd w:val="clear" w:color="auto" w:fill="FFFFFF"/>
            <w:textDirection w:val="btLr"/>
          </w:tcPr>
          <w:p w14:paraId="2E260AC9" w14:textId="6EA8C352" w:rsidR="00C72656" w:rsidRPr="00CC11DC" w:rsidRDefault="00C72656"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CC11DC">
              <w:rPr>
                <w:rFonts w:ascii="Times New Roman" w:hAnsi="Times New Roman" w:cs="Times New Roman"/>
                <w:color w:val="000000"/>
                <w:sz w:val="20"/>
                <w:szCs w:val="20"/>
              </w:rPr>
              <w:t>Pequeno</w:t>
            </w:r>
          </w:p>
        </w:tc>
        <w:tc>
          <w:tcPr>
            <w:tcW w:w="361" w:type="pct"/>
            <w:vMerge w:val="restart"/>
            <w:tcBorders>
              <w:left w:val="single" w:sz="4" w:space="0" w:color="FFFFFF" w:themeColor="background1"/>
              <w:right w:val="single" w:sz="4" w:space="0" w:color="auto"/>
            </w:tcBorders>
            <w:shd w:val="clear" w:color="auto" w:fill="FFFFFF"/>
            <w:vAlign w:val="center"/>
          </w:tcPr>
          <w:p w14:paraId="097CDA2D" w14:textId="30C91B38" w:rsidR="00C72656" w:rsidRPr="003E40AC" w:rsidRDefault="00C72656"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+1</w:t>
            </w:r>
          </w:p>
        </w:tc>
        <w:tc>
          <w:tcPr>
            <w:tcW w:w="725" w:type="pct"/>
            <w:tcBorders>
              <w:left w:val="single" w:sz="4" w:space="0" w:color="auto"/>
              <w:bottom w:val="nil"/>
              <w:right w:val="single" w:sz="4" w:space="0" w:color="auto"/>
            </w:tcBorders>
            <w:shd w:val="clear" w:color="auto" w:fill="FFFFFF"/>
          </w:tcPr>
          <w:p w14:paraId="15CA9750" w14:textId="1BED8C88" w:rsidR="00C72656" w:rsidRPr="003E40AC" w:rsidRDefault="00C72656"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Sim</w:t>
            </w:r>
          </w:p>
        </w:tc>
        <w:tc>
          <w:tcPr>
            <w:tcW w:w="735" w:type="pct"/>
            <w:tcBorders>
              <w:left w:val="single" w:sz="4" w:space="0" w:color="auto"/>
              <w:bottom w:val="nil"/>
              <w:right w:val="single" w:sz="4" w:space="0" w:color="auto"/>
            </w:tcBorders>
            <w:shd w:val="clear" w:color="auto" w:fill="FFFFFF"/>
          </w:tcPr>
          <w:p w14:paraId="181B9CED" w14:textId="3278BA08"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FF0000"/>
                <w:sz w:val="20"/>
                <w:szCs w:val="20"/>
              </w:rPr>
            </w:pPr>
            <w:r w:rsidRPr="00933491">
              <w:rPr>
                <w:rFonts w:ascii="Times New Roman" w:hAnsi="Times New Roman" w:cs="Times New Roman"/>
                <w:color w:val="000000"/>
                <w:sz w:val="20"/>
                <w:szCs w:val="20"/>
              </w:rPr>
              <w:t>1,514</w:t>
            </w:r>
          </w:p>
        </w:tc>
        <w:tc>
          <w:tcPr>
            <w:tcW w:w="818" w:type="pct"/>
            <w:tcBorders>
              <w:left w:val="single" w:sz="4" w:space="0" w:color="auto"/>
              <w:bottom w:val="nil"/>
            </w:tcBorders>
            <w:shd w:val="clear" w:color="auto" w:fill="FFFFFF"/>
          </w:tcPr>
          <w:p w14:paraId="765FE0CC" w14:textId="0215EF3C"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FF0000"/>
                <w:sz w:val="20"/>
                <w:szCs w:val="20"/>
              </w:rPr>
            </w:pPr>
            <w:r w:rsidRPr="00933491">
              <w:rPr>
                <w:rFonts w:ascii="Times New Roman" w:hAnsi="Times New Roman" w:cs="Times New Roman"/>
                <w:color w:val="000000"/>
                <w:sz w:val="20"/>
                <w:szCs w:val="20"/>
              </w:rPr>
              <w:t>0,221</w:t>
            </w:r>
          </w:p>
        </w:tc>
        <w:tc>
          <w:tcPr>
            <w:tcW w:w="573" w:type="pct"/>
            <w:tcBorders>
              <w:bottom w:val="nil"/>
            </w:tcBorders>
            <w:shd w:val="clear" w:color="auto" w:fill="FFFFFF"/>
          </w:tcPr>
          <w:p w14:paraId="573FF4DC" w14:textId="1ED6522E"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FF0000"/>
                <w:sz w:val="20"/>
                <w:szCs w:val="20"/>
              </w:rPr>
            </w:pPr>
            <w:r w:rsidRPr="00933491">
              <w:rPr>
                <w:rFonts w:ascii="Times New Roman" w:hAnsi="Times New Roman" w:cs="Times New Roman"/>
                <w:color w:val="000000"/>
                <w:sz w:val="20"/>
                <w:szCs w:val="20"/>
              </w:rPr>
              <w:t>-1,028</w:t>
            </w:r>
          </w:p>
        </w:tc>
        <w:tc>
          <w:tcPr>
            <w:tcW w:w="653" w:type="pct"/>
            <w:tcBorders>
              <w:bottom w:val="nil"/>
            </w:tcBorders>
            <w:shd w:val="clear" w:color="auto" w:fill="FFFFFF"/>
          </w:tcPr>
          <w:p w14:paraId="4BA17469" w14:textId="7C7DCFF9"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FF0000"/>
                <w:sz w:val="20"/>
                <w:szCs w:val="20"/>
              </w:rPr>
            </w:pPr>
            <w:r w:rsidRPr="00933491">
              <w:rPr>
                <w:rFonts w:ascii="Times New Roman" w:hAnsi="Times New Roman" w:cs="Times New Roman"/>
                <w:color w:val="000000"/>
                <w:sz w:val="20"/>
                <w:szCs w:val="20"/>
              </w:rPr>
              <w:t>131</w:t>
            </w:r>
          </w:p>
        </w:tc>
        <w:tc>
          <w:tcPr>
            <w:tcW w:w="654" w:type="pct"/>
            <w:tcBorders>
              <w:bottom w:val="nil"/>
              <w:right w:val="single" w:sz="4" w:space="0" w:color="FFFFFF" w:themeColor="background1"/>
            </w:tcBorders>
            <w:shd w:val="clear" w:color="auto" w:fill="FFFFFF"/>
          </w:tcPr>
          <w:p w14:paraId="0BFBCDD8" w14:textId="3BBAE17F"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b/>
                <w:color w:val="FF0000"/>
                <w:sz w:val="20"/>
                <w:szCs w:val="20"/>
              </w:rPr>
            </w:pPr>
            <w:r w:rsidRPr="00933491">
              <w:rPr>
                <w:rFonts w:ascii="Times New Roman" w:hAnsi="Times New Roman" w:cs="Times New Roman"/>
                <w:b/>
                <w:color w:val="000000"/>
                <w:sz w:val="20"/>
                <w:szCs w:val="20"/>
              </w:rPr>
              <w:t>0,306</w:t>
            </w:r>
          </w:p>
        </w:tc>
      </w:tr>
      <w:tr w:rsidR="00C72656" w:rsidRPr="00933491" w14:paraId="7C36B19C" w14:textId="77777777" w:rsidTr="004C7DD9">
        <w:trPr>
          <w:cantSplit/>
          <w:tblHeader/>
          <w:jc w:val="center"/>
        </w:trPr>
        <w:tc>
          <w:tcPr>
            <w:tcW w:w="481" w:type="pct"/>
            <w:vMerge/>
            <w:tcBorders>
              <w:left w:val="single" w:sz="4" w:space="0" w:color="FFFFFF" w:themeColor="background1"/>
              <w:right w:val="single" w:sz="4" w:space="0" w:color="auto"/>
            </w:tcBorders>
            <w:shd w:val="clear" w:color="auto" w:fill="FFFFFF"/>
          </w:tcPr>
          <w:p w14:paraId="21B45D47" w14:textId="77777777" w:rsidR="00C72656" w:rsidRPr="00933491" w:rsidRDefault="00C72656" w:rsidP="0056798E">
            <w:pPr>
              <w:autoSpaceDE w:val="0"/>
              <w:autoSpaceDN w:val="0"/>
              <w:adjustRightInd w:val="0"/>
              <w:spacing w:after="0" w:line="240" w:lineRule="auto"/>
              <w:jc w:val="center"/>
              <w:rPr>
                <w:rFonts w:ascii="Times New Roman" w:hAnsi="Times New Roman" w:cs="Times New Roman"/>
                <w:color w:val="000000"/>
                <w:sz w:val="20"/>
                <w:szCs w:val="20"/>
              </w:rPr>
            </w:pPr>
          </w:p>
        </w:tc>
        <w:tc>
          <w:tcPr>
            <w:tcW w:w="361" w:type="pct"/>
            <w:vMerge/>
            <w:tcBorders>
              <w:left w:val="single" w:sz="4" w:space="0" w:color="FFFFFF" w:themeColor="background1"/>
              <w:right w:val="single" w:sz="4" w:space="0" w:color="auto"/>
            </w:tcBorders>
            <w:shd w:val="clear" w:color="auto" w:fill="FFFFFF"/>
            <w:vAlign w:val="center"/>
          </w:tcPr>
          <w:p w14:paraId="6CB03CC2" w14:textId="047899E3" w:rsidR="00C72656" w:rsidRPr="00933491" w:rsidRDefault="00C72656" w:rsidP="0056798E">
            <w:pPr>
              <w:autoSpaceDE w:val="0"/>
              <w:autoSpaceDN w:val="0"/>
              <w:adjustRightInd w:val="0"/>
              <w:spacing w:after="0" w:line="240" w:lineRule="auto"/>
              <w:jc w:val="center"/>
              <w:rPr>
                <w:rFonts w:ascii="Times New Roman" w:hAnsi="Times New Roman" w:cs="Times New Roman"/>
                <w:color w:val="000000"/>
                <w:sz w:val="20"/>
                <w:szCs w:val="20"/>
              </w:rPr>
            </w:pPr>
          </w:p>
        </w:tc>
        <w:tc>
          <w:tcPr>
            <w:tcW w:w="725" w:type="pct"/>
            <w:tcBorders>
              <w:top w:val="nil"/>
              <w:left w:val="single" w:sz="4" w:space="0" w:color="auto"/>
              <w:right w:val="single" w:sz="4" w:space="0" w:color="auto"/>
            </w:tcBorders>
            <w:shd w:val="clear" w:color="auto" w:fill="FFFFFF"/>
          </w:tcPr>
          <w:p w14:paraId="4017C341" w14:textId="0334ED4A"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Não</w:t>
            </w:r>
          </w:p>
        </w:tc>
        <w:tc>
          <w:tcPr>
            <w:tcW w:w="735" w:type="pct"/>
            <w:tcBorders>
              <w:top w:val="nil"/>
              <w:left w:val="single" w:sz="4" w:space="0" w:color="auto"/>
              <w:right w:val="single" w:sz="4" w:space="0" w:color="auto"/>
            </w:tcBorders>
            <w:shd w:val="clear" w:color="auto" w:fill="FFFFFF"/>
            <w:vAlign w:val="center"/>
          </w:tcPr>
          <w:p w14:paraId="6AAA7A4A" w14:textId="77777777"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FF0000"/>
                <w:sz w:val="20"/>
                <w:szCs w:val="20"/>
              </w:rPr>
            </w:pPr>
          </w:p>
        </w:tc>
        <w:tc>
          <w:tcPr>
            <w:tcW w:w="818" w:type="pct"/>
            <w:tcBorders>
              <w:top w:val="nil"/>
              <w:left w:val="single" w:sz="4" w:space="0" w:color="auto"/>
            </w:tcBorders>
            <w:shd w:val="clear" w:color="auto" w:fill="FFFFFF"/>
            <w:vAlign w:val="center"/>
          </w:tcPr>
          <w:p w14:paraId="29225561" w14:textId="77777777"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FF0000"/>
                <w:sz w:val="20"/>
                <w:szCs w:val="20"/>
              </w:rPr>
            </w:pPr>
          </w:p>
        </w:tc>
        <w:tc>
          <w:tcPr>
            <w:tcW w:w="573" w:type="pct"/>
            <w:tcBorders>
              <w:top w:val="nil"/>
            </w:tcBorders>
            <w:shd w:val="clear" w:color="auto" w:fill="FFFFFF"/>
          </w:tcPr>
          <w:p w14:paraId="253244AE" w14:textId="42673112"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FF0000"/>
                <w:sz w:val="20"/>
                <w:szCs w:val="20"/>
              </w:rPr>
            </w:pPr>
            <w:r w:rsidRPr="00933491">
              <w:rPr>
                <w:rFonts w:ascii="Times New Roman" w:hAnsi="Times New Roman" w:cs="Times New Roman"/>
                <w:color w:val="000000"/>
                <w:sz w:val="20"/>
                <w:szCs w:val="20"/>
              </w:rPr>
              <w:t>-1,026</w:t>
            </w:r>
          </w:p>
        </w:tc>
        <w:tc>
          <w:tcPr>
            <w:tcW w:w="653" w:type="pct"/>
            <w:tcBorders>
              <w:top w:val="nil"/>
            </w:tcBorders>
            <w:shd w:val="clear" w:color="auto" w:fill="FFFFFF"/>
          </w:tcPr>
          <w:p w14:paraId="148183E8" w14:textId="1FE3EE1A"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FF0000"/>
                <w:sz w:val="20"/>
                <w:szCs w:val="20"/>
              </w:rPr>
            </w:pPr>
            <w:r w:rsidRPr="00933491">
              <w:rPr>
                <w:rFonts w:ascii="Times New Roman" w:hAnsi="Times New Roman" w:cs="Times New Roman"/>
                <w:color w:val="000000"/>
                <w:sz w:val="20"/>
                <w:szCs w:val="20"/>
              </w:rPr>
              <w:t>123,721</w:t>
            </w:r>
          </w:p>
        </w:tc>
        <w:tc>
          <w:tcPr>
            <w:tcW w:w="654" w:type="pct"/>
            <w:tcBorders>
              <w:top w:val="nil"/>
              <w:right w:val="single" w:sz="4" w:space="0" w:color="FFFFFF" w:themeColor="background1"/>
            </w:tcBorders>
            <w:shd w:val="clear" w:color="auto" w:fill="FFFFFF"/>
          </w:tcPr>
          <w:p w14:paraId="47AE13B4" w14:textId="0B6998C3"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FF0000"/>
                <w:sz w:val="20"/>
                <w:szCs w:val="20"/>
              </w:rPr>
            </w:pPr>
            <w:r w:rsidRPr="00933491">
              <w:rPr>
                <w:rFonts w:ascii="Times New Roman" w:hAnsi="Times New Roman" w:cs="Times New Roman"/>
                <w:color w:val="000000"/>
                <w:sz w:val="20"/>
                <w:szCs w:val="20"/>
              </w:rPr>
              <w:t>0,307</w:t>
            </w:r>
          </w:p>
        </w:tc>
      </w:tr>
      <w:tr w:rsidR="00C72656" w:rsidRPr="00933491" w14:paraId="267430F0" w14:textId="77777777" w:rsidTr="004C7DD9">
        <w:trPr>
          <w:cantSplit/>
          <w:tblHeader/>
          <w:jc w:val="center"/>
        </w:trPr>
        <w:tc>
          <w:tcPr>
            <w:tcW w:w="481" w:type="pct"/>
            <w:vMerge/>
            <w:tcBorders>
              <w:left w:val="single" w:sz="4" w:space="0" w:color="FFFFFF" w:themeColor="background1"/>
              <w:right w:val="single" w:sz="4" w:space="0" w:color="auto"/>
            </w:tcBorders>
            <w:shd w:val="clear" w:color="auto" w:fill="FFFFFF"/>
          </w:tcPr>
          <w:p w14:paraId="6DF80F42" w14:textId="77777777"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361" w:type="pct"/>
            <w:vMerge w:val="restart"/>
            <w:tcBorders>
              <w:left w:val="single" w:sz="4" w:space="0" w:color="FFFFFF" w:themeColor="background1"/>
              <w:right w:val="single" w:sz="4" w:space="0" w:color="auto"/>
            </w:tcBorders>
            <w:shd w:val="clear" w:color="auto" w:fill="FFFFFF"/>
            <w:vAlign w:val="center"/>
          </w:tcPr>
          <w:p w14:paraId="5948A9FA" w14:textId="1F6B2F08"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+2</w:t>
            </w:r>
          </w:p>
        </w:tc>
        <w:tc>
          <w:tcPr>
            <w:tcW w:w="725" w:type="pct"/>
            <w:tcBorders>
              <w:left w:val="single" w:sz="4" w:space="0" w:color="auto"/>
              <w:bottom w:val="nil"/>
              <w:right w:val="single" w:sz="4" w:space="0" w:color="auto"/>
            </w:tcBorders>
            <w:shd w:val="clear" w:color="auto" w:fill="FFFFFF"/>
          </w:tcPr>
          <w:p w14:paraId="53ADC2D9" w14:textId="207FE5FC"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Sim</w:t>
            </w:r>
          </w:p>
        </w:tc>
        <w:tc>
          <w:tcPr>
            <w:tcW w:w="735" w:type="pct"/>
            <w:tcBorders>
              <w:left w:val="single" w:sz="4" w:space="0" w:color="auto"/>
              <w:bottom w:val="nil"/>
              <w:right w:val="single" w:sz="4" w:space="0" w:color="auto"/>
            </w:tcBorders>
            <w:shd w:val="clear" w:color="auto" w:fill="FFFFFF"/>
          </w:tcPr>
          <w:p w14:paraId="4C18CF4E" w14:textId="1813C9FC"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FF0000"/>
                <w:sz w:val="20"/>
                <w:szCs w:val="20"/>
              </w:rPr>
            </w:pPr>
            <w:r w:rsidRPr="00933491">
              <w:rPr>
                <w:rFonts w:ascii="Times New Roman" w:hAnsi="Times New Roman" w:cs="Times New Roman"/>
                <w:color w:val="000000"/>
                <w:sz w:val="20"/>
                <w:szCs w:val="20"/>
              </w:rPr>
              <w:t>5,252</w:t>
            </w:r>
          </w:p>
        </w:tc>
        <w:tc>
          <w:tcPr>
            <w:tcW w:w="818" w:type="pct"/>
            <w:tcBorders>
              <w:left w:val="single" w:sz="4" w:space="0" w:color="auto"/>
              <w:bottom w:val="nil"/>
            </w:tcBorders>
            <w:shd w:val="clear" w:color="auto" w:fill="FFFFFF"/>
          </w:tcPr>
          <w:p w14:paraId="6ED5C052" w14:textId="1E877EE1"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FF0000"/>
                <w:sz w:val="20"/>
                <w:szCs w:val="20"/>
              </w:rPr>
            </w:pPr>
            <w:r w:rsidRPr="00933491">
              <w:rPr>
                <w:rFonts w:ascii="Times New Roman" w:hAnsi="Times New Roman" w:cs="Times New Roman"/>
                <w:color w:val="000000"/>
                <w:sz w:val="20"/>
                <w:szCs w:val="20"/>
              </w:rPr>
              <w:t>0,024</w:t>
            </w:r>
          </w:p>
        </w:tc>
        <w:tc>
          <w:tcPr>
            <w:tcW w:w="573" w:type="pct"/>
            <w:tcBorders>
              <w:bottom w:val="nil"/>
            </w:tcBorders>
            <w:shd w:val="clear" w:color="auto" w:fill="FFFFFF"/>
          </w:tcPr>
          <w:p w14:paraId="193FF397" w14:textId="12FB605B"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FF0000"/>
                <w:sz w:val="20"/>
                <w:szCs w:val="20"/>
              </w:rPr>
            </w:pPr>
            <w:r w:rsidRPr="00933491">
              <w:rPr>
                <w:rFonts w:ascii="Times New Roman" w:hAnsi="Times New Roman" w:cs="Times New Roman"/>
                <w:color w:val="000000"/>
                <w:sz w:val="20"/>
                <w:szCs w:val="20"/>
              </w:rPr>
              <w:t>-0,508</w:t>
            </w:r>
          </w:p>
        </w:tc>
        <w:tc>
          <w:tcPr>
            <w:tcW w:w="653" w:type="pct"/>
            <w:tcBorders>
              <w:bottom w:val="nil"/>
            </w:tcBorders>
            <w:shd w:val="clear" w:color="auto" w:fill="FFFFFF"/>
          </w:tcPr>
          <w:p w14:paraId="4570AD9D" w14:textId="5B6EA4F7"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FF0000"/>
                <w:sz w:val="20"/>
                <w:szCs w:val="20"/>
              </w:rPr>
            </w:pPr>
            <w:r w:rsidRPr="00933491">
              <w:rPr>
                <w:rFonts w:ascii="Times New Roman" w:hAnsi="Times New Roman" w:cs="Times New Roman"/>
                <w:color w:val="000000"/>
                <w:sz w:val="20"/>
                <w:szCs w:val="20"/>
              </w:rPr>
              <w:t>128</w:t>
            </w:r>
          </w:p>
        </w:tc>
        <w:tc>
          <w:tcPr>
            <w:tcW w:w="654" w:type="pct"/>
            <w:tcBorders>
              <w:bottom w:val="nil"/>
              <w:right w:val="single" w:sz="4" w:space="0" w:color="FFFFFF" w:themeColor="background1"/>
            </w:tcBorders>
            <w:shd w:val="clear" w:color="auto" w:fill="FFFFFF"/>
          </w:tcPr>
          <w:p w14:paraId="0EC13E00" w14:textId="6D161939"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b/>
                <w:color w:val="FF0000"/>
                <w:sz w:val="20"/>
                <w:szCs w:val="20"/>
              </w:rPr>
            </w:pPr>
            <w:r w:rsidRPr="00933491">
              <w:rPr>
                <w:rFonts w:ascii="Times New Roman" w:hAnsi="Times New Roman" w:cs="Times New Roman"/>
                <w:color w:val="000000"/>
                <w:sz w:val="20"/>
                <w:szCs w:val="20"/>
              </w:rPr>
              <w:t>0,612</w:t>
            </w:r>
          </w:p>
        </w:tc>
      </w:tr>
      <w:tr w:rsidR="00C72656" w:rsidRPr="00933491" w14:paraId="61603071" w14:textId="77777777" w:rsidTr="004C7DD9">
        <w:trPr>
          <w:cantSplit/>
          <w:tblHeader/>
          <w:jc w:val="center"/>
        </w:trPr>
        <w:tc>
          <w:tcPr>
            <w:tcW w:w="481" w:type="pct"/>
            <w:vMerge/>
            <w:tcBorders>
              <w:left w:val="single" w:sz="4" w:space="0" w:color="FFFFFF" w:themeColor="background1"/>
              <w:right w:val="single" w:sz="4" w:space="0" w:color="auto"/>
            </w:tcBorders>
            <w:shd w:val="clear" w:color="auto" w:fill="FFFFFF"/>
          </w:tcPr>
          <w:p w14:paraId="03137D0C" w14:textId="77777777" w:rsidR="00C72656" w:rsidRPr="00933491" w:rsidRDefault="00C72656" w:rsidP="0056798E">
            <w:pPr>
              <w:autoSpaceDE w:val="0"/>
              <w:autoSpaceDN w:val="0"/>
              <w:adjustRightInd w:val="0"/>
              <w:spacing w:after="0" w:line="240" w:lineRule="auto"/>
              <w:jc w:val="center"/>
              <w:rPr>
                <w:rFonts w:ascii="Times New Roman" w:hAnsi="Times New Roman" w:cs="Times New Roman"/>
                <w:color w:val="000000"/>
                <w:sz w:val="20"/>
                <w:szCs w:val="20"/>
              </w:rPr>
            </w:pPr>
          </w:p>
        </w:tc>
        <w:tc>
          <w:tcPr>
            <w:tcW w:w="361" w:type="pct"/>
            <w:vMerge/>
            <w:tcBorders>
              <w:left w:val="single" w:sz="4" w:space="0" w:color="FFFFFF" w:themeColor="background1"/>
              <w:right w:val="single" w:sz="4" w:space="0" w:color="auto"/>
            </w:tcBorders>
            <w:shd w:val="clear" w:color="auto" w:fill="FFFFFF"/>
            <w:vAlign w:val="center"/>
          </w:tcPr>
          <w:p w14:paraId="52861DBC" w14:textId="606E5082" w:rsidR="00C72656" w:rsidRPr="00933491" w:rsidRDefault="00C72656" w:rsidP="0056798E">
            <w:pPr>
              <w:autoSpaceDE w:val="0"/>
              <w:autoSpaceDN w:val="0"/>
              <w:adjustRightInd w:val="0"/>
              <w:spacing w:after="0" w:line="240" w:lineRule="auto"/>
              <w:jc w:val="center"/>
              <w:rPr>
                <w:rFonts w:ascii="Times New Roman" w:hAnsi="Times New Roman" w:cs="Times New Roman"/>
                <w:color w:val="000000"/>
                <w:sz w:val="20"/>
                <w:szCs w:val="20"/>
              </w:rPr>
            </w:pPr>
          </w:p>
        </w:tc>
        <w:tc>
          <w:tcPr>
            <w:tcW w:w="725" w:type="pct"/>
            <w:tcBorders>
              <w:top w:val="nil"/>
              <w:left w:val="single" w:sz="4" w:space="0" w:color="auto"/>
              <w:right w:val="single" w:sz="4" w:space="0" w:color="auto"/>
            </w:tcBorders>
            <w:shd w:val="clear" w:color="auto" w:fill="FFFFFF"/>
          </w:tcPr>
          <w:p w14:paraId="7E2F9820" w14:textId="65A6AD91"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Não</w:t>
            </w:r>
          </w:p>
        </w:tc>
        <w:tc>
          <w:tcPr>
            <w:tcW w:w="735" w:type="pct"/>
            <w:tcBorders>
              <w:top w:val="nil"/>
              <w:left w:val="single" w:sz="4" w:space="0" w:color="auto"/>
              <w:right w:val="single" w:sz="4" w:space="0" w:color="auto"/>
            </w:tcBorders>
            <w:shd w:val="clear" w:color="auto" w:fill="FFFFFF"/>
            <w:vAlign w:val="center"/>
          </w:tcPr>
          <w:p w14:paraId="02EBF3DF" w14:textId="77777777"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FF0000"/>
                <w:sz w:val="20"/>
                <w:szCs w:val="20"/>
              </w:rPr>
            </w:pPr>
          </w:p>
        </w:tc>
        <w:tc>
          <w:tcPr>
            <w:tcW w:w="818" w:type="pct"/>
            <w:tcBorders>
              <w:top w:val="nil"/>
              <w:left w:val="single" w:sz="4" w:space="0" w:color="auto"/>
            </w:tcBorders>
            <w:shd w:val="clear" w:color="auto" w:fill="FFFFFF"/>
            <w:vAlign w:val="center"/>
          </w:tcPr>
          <w:p w14:paraId="30F76963" w14:textId="77777777"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FF0000"/>
                <w:sz w:val="20"/>
                <w:szCs w:val="20"/>
              </w:rPr>
            </w:pPr>
          </w:p>
        </w:tc>
        <w:tc>
          <w:tcPr>
            <w:tcW w:w="573" w:type="pct"/>
            <w:tcBorders>
              <w:top w:val="nil"/>
            </w:tcBorders>
            <w:shd w:val="clear" w:color="auto" w:fill="FFFFFF"/>
          </w:tcPr>
          <w:p w14:paraId="1E92B75D" w14:textId="50AC4C90"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FF0000"/>
                <w:sz w:val="20"/>
                <w:szCs w:val="20"/>
              </w:rPr>
            </w:pPr>
            <w:r w:rsidRPr="00933491">
              <w:rPr>
                <w:rFonts w:ascii="Times New Roman" w:hAnsi="Times New Roman" w:cs="Times New Roman"/>
                <w:color w:val="000000"/>
                <w:sz w:val="20"/>
                <w:szCs w:val="20"/>
              </w:rPr>
              <w:t>-0,506</w:t>
            </w:r>
          </w:p>
        </w:tc>
        <w:tc>
          <w:tcPr>
            <w:tcW w:w="653" w:type="pct"/>
            <w:tcBorders>
              <w:top w:val="nil"/>
            </w:tcBorders>
            <w:shd w:val="clear" w:color="auto" w:fill="FFFFFF"/>
          </w:tcPr>
          <w:p w14:paraId="7D911E55" w14:textId="6AAFB3F2"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FF0000"/>
                <w:sz w:val="20"/>
                <w:szCs w:val="20"/>
              </w:rPr>
            </w:pPr>
            <w:r w:rsidRPr="00933491">
              <w:rPr>
                <w:rFonts w:ascii="Times New Roman" w:hAnsi="Times New Roman" w:cs="Times New Roman"/>
                <w:color w:val="000000"/>
                <w:sz w:val="20"/>
                <w:szCs w:val="20"/>
              </w:rPr>
              <w:t>114,745</w:t>
            </w:r>
          </w:p>
        </w:tc>
        <w:tc>
          <w:tcPr>
            <w:tcW w:w="654" w:type="pct"/>
            <w:tcBorders>
              <w:top w:val="nil"/>
              <w:right w:val="single" w:sz="4" w:space="0" w:color="FFFFFF" w:themeColor="background1"/>
            </w:tcBorders>
            <w:shd w:val="clear" w:color="auto" w:fill="FFFFFF"/>
          </w:tcPr>
          <w:p w14:paraId="4345A1E2" w14:textId="03D29C3E"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b/>
                <w:color w:val="FF0000"/>
                <w:sz w:val="20"/>
                <w:szCs w:val="20"/>
              </w:rPr>
            </w:pPr>
            <w:r w:rsidRPr="00933491">
              <w:rPr>
                <w:rFonts w:ascii="Times New Roman" w:hAnsi="Times New Roman" w:cs="Times New Roman"/>
                <w:b/>
                <w:color w:val="000000"/>
                <w:sz w:val="20"/>
                <w:szCs w:val="20"/>
              </w:rPr>
              <w:t>0,614</w:t>
            </w:r>
          </w:p>
        </w:tc>
      </w:tr>
      <w:tr w:rsidR="00C72656" w:rsidRPr="00933491" w14:paraId="15C75FE8" w14:textId="77777777" w:rsidTr="004C7DD9">
        <w:trPr>
          <w:cantSplit/>
          <w:tblHeader/>
          <w:jc w:val="center"/>
        </w:trPr>
        <w:tc>
          <w:tcPr>
            <w:tcW w:w="481" w:type="pct"/>
            <w:vMerge/>
            <w:tcBorders>
              <w:left w:val="single" w:sz="4" w:space="0" w:color="FFFFFF" w:themeColor="background1"/>
              <w:right w:val="single" w:sz="4" w:space="0" w:color="auto"/>
            </w:tcBorders>
            <w:shd w:val="clear" w:color="auto" w:fill="FFFFFF"/>
          </w:tcPr>
          <w:p w14:paraId="265FD13D" w14:textId="77777777"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361" w:type="pct"/>
            <w:vMerge w:val="restart"/>
            <w:tcBorders>
              <w:left w:val="single" w:sz="4" w:space="0" w:color="FFFFFF" w:themeColor="background1"/>
              <w:right w:val="single" w:sz="4" w:space="0" w:color="auto"/>
            </w:tcBorders>
            <w:shd w:val="clear" w:color="auto" w:fill="FFFFFF"/>
            <w:vAlign w:val="center"/>
          </w:tcPr>
          <w:p w14:paraId="422F5AFB" w14:textId="1DB0E577"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+3</w:t>
            </w:r>
          </w:p>
        </w:tc>
        <w:tc>
          <w:tcPr>
            <w:tcW w:w="725" w:type="pct"/>
            <w:tcBorders>
              <w:left w:val="single" w:sz="4" w:space="0" w:color="auto"/>
              <w:bottom w:val="nil"/>
              <w:right w:val="single" w:sz="4" w:space="0" w:color="auto"/>
            </w:tcBorders>
            <w:shd w:val="clear" w:color="auto" w:fill="FFFFFF"/>
          </w:tcPr>
          <w:p w14:paraId="2DC239A8" w14:textId="465D8D49"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Sim</w:t>
            </w:r>
          </w:p>
        </w:tc>
        <w:tc>
          <w:tcPr>
            <w:tcW w:w="735" w:type="pct"/>
            <w:tcBorders>
              <w:left w:val="single" w:sz="4" w:space="0" w:color="auto"/>
              <w:bottom w:val="nil"/>
              <w:right w:val="single" w:sz="4" w:space="0" w:color="auto"/>
            </w:tcBorders>
            <w:shd w:val="clear" w:color="auto" w:fill="FFFFFF"/>
          </w:tcPr>
          <w:p w14:paraId="0F2AC025" w14:textId="6A919F9F"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FF0000"/>
                <w:sz w:val="20"/>
                <w:szCs w:val="20"/>
              </w:rPr>
            </w:pPr>
            <w:r w:rsidRPr="00933491">
              <w:rPr>
                <w:rFonts w:ascii="Times New Roman" w:hAnsi="Times New Roman" w:cs="Times New Roman"/>
                <w:color w:val="000000"/>
                <w:sz w:val="20"/>
                <w:szCs w:val="20"/>
              </w:rPr>
              <w:t>6,072</w:t>
            </w:r>
          </w:p>
        </w:tc>
        <w:tc>
          <w:tcPr>
            <w:tcW w:w="818" w:type="pct"/>
            <w:tcBorders>
              <w:left w:val="single" w:sz="4" w:space="0" w:color="auto"/>
              <w:bottom w:val="nil"/>
            </w:tcBorders>
            <w:shd w:val="clear" w:color="auto" w:fill="FFFFFF"/>
          </w:tcPr>
          <w:p w14:paraId="761A044F" w14:textId="4F1B4C6A"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FF0000"/>
                <w:sz w:val="20"/>
                <w:szCs w:val="20"/>
              </w:rPr>
            </w:pPr>
            <w:r w:rsidRPr="00933491">
              <w:rPr>
                <w:rFonts w:ascii="Times New Roman" w:hAnsi="Times New Roman" w:cs="Times New Roman"/>
                <w:color w:val="000000"/>
                <w:sz w:val="20"/>
                <w:szCs w:val="20"/>
              </w:rPr>
              <w:t>0,015</w:t>
            </w:r>
          </w:p>
        </w:tc>
        <w:tc>
          <w:tcPr>
            <w:tcW w:w="573" w:type="pct"/>
            <w:tcBorders>
              <w:bottom w:val="nil"/>
            </w:tcBorders>
            <w:shd w:val="clear" w:color="auto" w:fill="FFFFFF"/>
          </w:tcPr>
          <w:p w14:paraId="5F2445BB" w14:textId="599AF650"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FF0000"/>
                <w:sz w:val="20"/>
                <w:szCs w:val="20"/>
              </w:rPr>
            </w:pPr>
            <w:r w:rsidRPr="00933491">
              <w:rPr>
                <w:rFonts w:ascii="Times New Roman" w:hAnsi="Times New Roman" w:cs="Times New Roman"/>
                <w:color w:val="000000"/>
                <w:sz w:val="20"/>
                <w:szCs w:val="20"/>
              </w:rPr>
              <w:t>1,022</w:t>
            </w:r>
          </w:p>
        </w:tc>
        <w:tc>
          <w:tcPr>
            <w:tcW w:w="653" w:type="pct"/>
            <w:tcBorders>
              <w:bottom w:val="nil"/>
            </w:tcBorders>
            <w:shd w:val="clear" w:color="auto" w:fill="FFFFFF"/>
          </w:tcPr>
          <w:p w14:paraId="0D93FAAB" w14:textId="6FBB0E28"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FF0000"/>
                <w:sz w:val="20"/>
                <w:szCs w:val="20"/>
              </w:rPr>
            </w:pPr>
            <w:r w:rsidRPr="00933491">
              <w:rPr>
                <w:rFonts w:ascii="Times New Roman" w:hAnsi="Times New Roman" w:cs="Times New Roman"/>
                <w:color w:val="000000"/>
                <w:sz w:val="20"/>
                <w:szCs w:val="20"/>
              </w:rPr>
              <w:t>127</w:t>
            </w:r>
          </w:p>
        </w:tc>
        <w:tc>
          <w:tcPr>
            <w:tcW w:w="654" w:type="pct"/>
            <w:tcBorders>
              <w:bottom w:val="nil"/>
              <w:right w:val="single" w:sz="4" w:space="0" w:color="FFFFFF" w:themeColor="background1"/>
            </w:tcBorders>
            <w:shd w:val="clear" w:color="auto" w:fill="FFFFFF"/>
          </w:tcPr>
          <w:p w14:paraId="01041C89" w14:textId="41C0A5CE"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b/>
                <w:color w:val="FF0000"/>
                <w:sz w:val="20"/>
                <w:szCs w:val="20"/>
              </w:rPr>
            </w:pPr>
            <w:r w:rsidRPr="00933491">
              <w:rPr>
                <w:rFonts w:ascii="Times New Roman" w:hAnsi="Times New Roman" w:cs="Times New Roman"/>
                <w:color w:val="000000"/>
                <w:sz w:val="20"/>
                <w:szCs w:val="20"/>
              </w:rPr>
              <w:t>0,309</w:t>
            </w:r>
          </w:p>
        </w:tc>
      </w:tr>
      <w:tr w:rsidR="00C72656" w:rsidRPr="00933491" w14:paraId="207E42AC" w14:textId="77777777" w:rsidTr="004C7DD9">
        <w:trPr>
          <w:cantSplit/>
          <w:tblHeader/>
          <w:jc w:val="center"/>
        </w:trPr>
        <w:tc>
          <w:tcPr>
            <w:tcW w:w="481" w:type="pct"/>
            <w:vMerge/>
            <w:tcBorders>
              <w:left w:val="single" w:sz="4" w:space="0" w:color="FFFFFF" w:themeColor="background1"/>
              <w:right w:val="single" w:sz="4" w:space="0" w:color="auto"/>
            </w:tcBorders>
            <w:shd w:val="clear" w:color="auto" w:fill="FFFFFF"/>
          </w:tcPr>
          <w:p w14:paraId="7FF356F3" w14:textId="77777777" w:rsidR="00C72656" w:rsidRPr="00933491" w:rsidRDefault="00C72656" w:rsidP="0056798E">
            <w:pPr>
              <w:autoSpaceDE w:val="0"/>
              <w:autoSpaceDN w:val="0"/>
              <w:adjustRightInd w:val="0"/>
              <w:spacing w:after="0" w:line="240" w:lineRule="auto"/>
              <w:jc w:val="center"/>
              <w:rPr>
                <w:rFonts w:ascii="Times New Roman" w:hAnsi="Times New Roman" w:cs="Times New Roman"/>
                <w:color w:val="000000"/>
                <w:sz w:val="20"/>
                <w:szCs w:val="20"/>
              </w:rPr>
            </w:pPr>
          </w:p>
        </w:tc>
        <w:tc>
          <w:tcPr>
            <w:tcW w:w="361" w:type="pct"/>
            <w:vMerge/>
            <w:tcBorders>
              <w:left w:val="single" w:sz="4" w:space="0" w:color="FFFFFF" w:themeColor="background1"/>
              <w:right w:val="single" w:sz="4" w:space="0" w:color="auto"/>
            </w:tcBorders>
            <w:shd w:val="clear" w:color="auto" w:fill="FFFFFF"/>
            <w:vAlign w:val="center"/>
          </w:tcPr>
          <w:p w14:paraId="1CB6FA3C" w14:textId="44EAD4D2" w:rsidR="00C72656" w:rsidRPr="00933491" w:rsidRDefault="00C72656" w:rsidP="0056798E">
            <w:pPr>
              <w:autoSpaceDE w:val="0"/>
              <w:autoSpaceDN w:val="0"/>
              <w:adjustRightInd w:val="0"/>
              <w:spacing w:after="0" w:line="240" w:lineRule="auto"/>
              <w:jc w:val="center"/>
              <w:rPr>
                <w:rFonts w:ascii="Times New Roman" w:hAnsi="Times New Roman" w:cs="Times New Roman"/>
                <w:color w:val="000000"/>
                <w:sz w:val="20"/>
                <w:szCs w:val="20"/>
              </w:rPr>
            </w:pPr>
          </w:p>
        </w:tc>
        <w:tc>
          <w:tcPr>
            <w:tcW w:w="725" w:type="pct"/>
            <w:tcBorders>
              <w:top w:val="nil"/>
              <w:left w:val="single" w:sz="4" w:space="0" w:color="auto"/>
              <w:right w:val="single" w:sz="4" w:space="0" w:color="auto"/>
            </w:tcBorders>
            <w:shd w:val="clear" w:color="auto" w:fill="FFFFFF"/>
          </w:tcPr>
          <w:p w14:paraId="32AAA28E" w14:textId="0E01FBCB"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Não</w:t>
            </w:r>
          </w:p>
        </w:tc>
        <w:tc>
          <w:tcPr>
            <w:tcW w:w="735" w:type="pct"/>
            <w:tcBorders>
              <w:top w:val="nil"/>
              <w:left w:val="single" w:sz="4" w:space="0" w:color="auto"/>
              <w:bottom w:val="single" w:sz="4" w:space="0" w:color="auto"/>
              <w:right w:val="single" w:sz="4" w:space="0" w:color="auto"/>
            </w:tcBorders>
            <w:shd w:val="clear" w:color="auto" w:fill="FFFFFF"/>
            <w:vAlign w:val="center"/>
          </w:tcPr>
          <w:p w14:paraId="572B001B" w14:textId="77777777" w:rsidR="00C72656" w:rsidRPr="00933491" w:rsidRDefault="00C72656" w:rsidP="0056798E">
            <w:pPr>
              <w:autoSpaceDE w:val="0"/>
              <w:autoSpaceDN w:val="0"/>
              <w:adjustRightInd w:val="0"/>
              <w:spacing w:after="0" w:line="240" w:lineRule="auto"/>
              <w:jc w:val="center"/>
              <w:rPr>
                <w:rFonts w:ascii="Times New Roman" w:hAnsi="Times New Roman" w:cs="Times New Roman"/>
                <w:color w:val="FF0000"/>
                <w:sz w:val="20"/>
                <w:szCs w:val="20"/>
              </w:rPr>
            </w:pPr>
          </w:p>
        </w:tc>
        <w:tc>
          <w:tcPr>
            <w:tcW w:w="818" w:type="pct"/>
            <w:tcBorders>
              <w:top w:val="nil"/>
              <w:left w:val="single" w:sz="4" w:space="0" w:color="auto"/>
            </w:tcBorders>
            <w:shd w:val="clear" w:color="auto" w:fill="FFFFFF"/>
            <w:vAlign w:val="center"/>
          </w:tcPr>
          <w:p w14:paraId="27AFFE30" w14:textId="77777777" w:rsidR="00C72656" w:rsidRPr="00933491" w:rsidRDefault="00C72656" w:rsidP="0056798E">
            <w:pPr>
              <w:autoSpaceDE w:val="0"/>
              <w:autoSpaceDN w:val="0"/>
              <w:adjustRightInd w:val="0"/>
              <w:spacing w:after="0" w:line="240" w:lineRule="auto"/>
              <w:jc w:val="center"/>
              <w:rPr>
                <w:rFonts w:ascii="Times New Roman" w:hAnsi="Times New Roman" w:cs="Times New Roman"/>
                <w:color w:val="FF0000"/>
                <w:sz w:val="20"/>
                <w:szCs w:val="20"/>
              </w:rPr>
            </w:pPr>
          </w:p>
        </w:tc>
        <w:tc>
          <w:tcPr>
            <w:tcW w:w="573" w:type="pct"/>
            <w:tcBorders>
              <w:top w:val="nil"/>
            </w:tcBorders>
            <w:shd w:val="clear" w:color="auto" w:fill="FFFFFF"/>
          </w:tcPr>
          <w:p w14:paraId="25B748A9" w14:textId="2E40D6B1"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FF0000"/>
                <w:sz w:val="20"/>
                <w:szCs w:val="20"/>
              </w:rPr>
            </w:pPr>
            <w:r w:rsidRPr="00933491">
              <w:rPr>
                <w:rFonts w:ascii="Times New Roman" w:hAnsi="Times New Roman" w:cs="Times New Roman"/>
                <w:color w:val="000000"/>
                <w:sz w:val="20"/>
                <w:szCs w:val="20"/>
              </w:rPr>
              <w:t>1,019</w:t>
            </w:r>
          </w:p>
        </w:tc>
        <w:tc>
          <w:tcPr>
            <w:tcW w:w="653" w:type="pct"/>
            <w:tcBorders>
              <w:top w:val="nil"/>
            </w:tcBorders>
            <w:shd w:val="clear" w:color="auto" w:fill="FFFFFF"/>
          </w:tcPr>
          <w:p w14:paraId="036B5157" w14:textId="2A4F53B3"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FF0000"/>
                <w:sz w:val="20"/>
                <w:szCs w:val="20"/>
              </w:rPr>
            </w:pPr>
            <w:r w:rsidRPr="00933491">
              <w:rPr>
                <w:rFonts w:ascii="Times New Roman" w:hAnsi="Times New Roman" w:cs="Times New Roman"/>
                <w:color w:val="000000"/>
                <w:sz w:val="20"/>
                <w:szCs w:val="20"/>
              </w:rPr>
              <w:t>109,291</w:t>
            </w:r>
          </w:p>
        </w:tc>
        <w:tc>
          <w:tcPr>
            <w:tcW w:w="654" w:type="pct"/>
            <w:tcBorders>
              <w:top w:val="nil"/>
              <w:right w:val="single" w:sz="4" w:space="0" w:color="FFFFFF" w:themeColor="background1"/>
            </w:tcBorders>
            <w:shd w:val="clear" w:color="auto" w:fill="FFFFFF"/>
          </w:tcPr>
          <w:p w14:paraId="471C3732" w14:textId="16A59AEB"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b/>
                <w:color w:val="FF0000"/>
                <w:sz w:val="20"/>
                <w:szCs w:val="20"/>
              </w:rPr>
            </w:pPr>
            <w:r w:rsidRPr="00933491">
              <w:rPr>
                <w:rFonts w:ascii="Times New Roman" w:hAnsi="Times New Roman" w:cs="Times New Roman"/>
                <w:b/>
                <w:color w:val="000000"/>
                <w:sz w:val="20"/>
                <w:szCs w:val="20"/>
              </w:rPr>
              <w:t>0,310</w:t>
            </w:r>
          </w:p>
        </w:tc>
      </w:tr>
      <w:tr w:rsidR="00C72656" w:rsidRPr="00933491" w14:paraId="2EC32021" w14:textId="77777777" w:rsidTr="004C7DD9">
        <w:trPr>
          <w:cantSplit/>
          <w:tblHeader/>
          <w:jc w:val="center"/>
        </w:trPr>
        <w:tc>
          <w:tcPr>
            <w:tcW w:w="481" w:type="pct"/>
            <w:vMerge/>
            <w:tcBorders>
              <w:left w:val="single" w:sz="4" w:space="0" w:color="FFFFFF" w:themeColor="background1"/>
              <w:right w:val="single" w:sz="4" w:space="0" w:color="auto"/>
            </w:tcBorders>
            <w:shd w:val="clear" w:color="auto" w:fill="FFFFFF"/>
          </w:tcPr>
          <w:p w14:paraId="171F16A9" w14:textId="77777777"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361" w:type="pct"/>
            <w:vMerge w:val="restart"/>
            <w:tcBorders>
              <w:left w:val="single" w:sz="4" w:space="0" w:color="FFFFFF" w:themeColor="background1"/>
              <w:bottom w:val="single" w:sz="16" w:space="0" w:color="000000"/>
              <w:right w:val="single" w:sz="4" w:space="0" w:color="auto"/>
            </w:tcBorders>
            <w:shd w:val="clear" w:color="auto" w:fill="FFFFFF"/>
            <w:vAlign w:val="center"/>
          </w:tcPr>
          <w:p w14:paraId="26D07B3B" w14:textId="355BA03D"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+4</w:t>
            </w:r>
          </w:p>
        </w:tc>
        <w:tc>
          <w:tcPr>
            <w:tcW w:w="725" w:type="pct"/>
            <w:tcBorders>
              <w:left w:val="single" w:sz="4" w:space="0" w:color="auto"/>
              <w:bottom w:val="nil"/>
              <w:right w:val="single" w:sz="4" w:space="0" w:color="auto"/>
            </w:tcBorders>
            <w:shd w:val="clear" w:color="auto" w:fill="FFFFFF"/>
          </w:tcPr>
          <w:p w14:paraId="2714497F" w14:textId="7D255F27"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Sim</w:t>
            </w:r>
          </w:p>
        </w:tc>
        <w:tc>
          <w:tcPr>
            <w:tcW w:w="735" w:type="pct"/>
            <w:tcBorders>
              <w:top w:val="single" w:sz="4" w:space="0" w:color="auto"/>
              <w:left w:val="single" w:sz="4" w:space="0" w:color="auto"/>
              <w:bottom w:val="nil"/>
              <w:right w:val="single" w:sz="4" w:space="0" w:color="auto"/>
            </w:tcBorders>
            <w:shd w:val="clear" w:color="auto" w:fill="FFFFFF"/>
          </w:tcPr>
          <w:p w14:paraId="5054566A" w14:textId="351065C4"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FF0000"/>
                <w:sz w:val="20"/>
                <w:szCs w:val="20"/>
              </w:rPr>
            </w:pPr>
            <w:r w:rsidRPr="00933491">
              <w:rPr>
                <w:rFonts w:ascii="Times New Roman" w:hAnsi="Times New Roman" w:cs="Times New Roman"/>
                <w:color w:val="000000"/>
                <w:sz w:val="20"/>
                <w:szCs w:val="20"/>
              </w:rPr>
              <w:t>7,319</w:t>
            </w:r>
          </w:p>
        </w:tc>
        <w:tc>
          <w:tcPr>
            <w:tcW w:w="818" w:type="pct"/>
            <w:tcBorders>
              <w:left w:val="single" w:sz="4" w:space="0" w:color="auto"/>
              <w:bottom w:val="nil"/>
            </w:tcBorders>
            <w:shd w:val="clear" w:color="auto" w:fill="FFFFFF"/>
          </w:tcPr>
          <w:p w14:paraId="4E841313" w14:textId="654F64B5"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FF0000"/>
                <w:sz w:val="20"/>
                <w:szCs w:val="20"/>
              </w:rPr>
            </w:pPr>
            <w:r w:rsidRPr="00933491">
              <w:rPr>
                <w:rFonts w:ascii="Times New Roman" w:hAnsi="Times New Roman" w:cs="Times New Roman"/>
                <w:color w:val="000000"/>
                <w:sz w:val="20"/>
                <w:szCs w:val="20"/>
              </w:rPr>
              <w:t>0,008</w:t>
            </w:r>
          </w:p>
        </w:tc>
        <w:tc>
          <w:tcPr>
            <w:tcW w:w="573" w:type="pct"/>
            <w:tcBorders>
              <w:bottom w:val="nil"/>
            </w:tcBorders>
            <w:shd w:val="clear" w:color="auto" w:fill="FFFFFF"/>
          </w:tcPr>
          <w:p w14:paraId="3BDC8F54" w14:textId="4111E41E"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FF0000"/>
                <w:sz w:val="20"/>
                <w:szCs w:val="20"/>
              </w:rPr>
            </w:pPr>
            <w:r w:rsidRPr="00933491">
              <w:rPr>
                <w:rFonts w:ascii="Times New Roman" w:hAnsi="Times New Roman" w:cs="Times New Roman"/>
                <w:color w:val="000000"/>
                <w:sz w:val="20"/>
                <w:szCs w:val="20"/>
              </w:rPr>
              <w:t>-1,276</w:t>
            </w:r>
          </w:p>
        </w:tc>
        <w:tc>
          <w:tcPr>
            <w:tcW w:w="653" w:type="pct"/>
            <w:tcBorders>
              <w:bottom w:val="nil"/>
            </w:tcBorders>
            <w:shd w:val="clear" w:color="auto" w:fill="FFFFFF"/>
          </w:tcPr>
          <w:p w14:paraId="177351AD" w14:textId="6E0E0780"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FF0000"/>
                <w:sz w:val="20"/>
                <w:szCs w:val="20"/>
              </w:rPr>
            </w:pPr>
            <w:r w:rsidRPr="00933491">
              <w:rPr>
                <w:rFonts w:ascii="Times New Roman" w:hAnsi="Times New Roman" w:cs="Times New Roman"/>
                <w:color w:val="000000"/>
                <w:sz w:val="20"/>
                <w:szCs w:val="20"/>
              </w:rPr>
              <w:t>122</w:t>
            </w:r>
          </w:p>
        </w:tc>
        <w:tc>
          <w:tcPr>
            <w:tcW w:w="654" w:type="pct"/>
            <w:tcBorders>
              <w:bottom w:val="nil"/>
              <w:right w:val="single" w:sz="4" w:space="0" w:color="FFFFFF" w:themeColor="background1"/>
            </w:tcBorders>
            <w:shd w:val="clear" w:color="auto" w:fill="FFFFFF"/>
          </w:tcPr>
          <w:p w14:paraId="3E110A40" w14:textId="6A34DCFF"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b/>
                <w:color w:val="FF0000"/>
                <w:sz w:val="20"/>
                <w:szCs w:val="20"/>
              </w:rPr>
            </w:pPr>
            <w:r w:rsidRPr="00933491">
              <w:rPr>
                <w:rFonts w:ascii="Times New Roman" w:hAnsi="Times New Roman" w:cs="Times New Roman"/>
                <w:color w:val="000000"/>
                <w:sz w:val="20"/>
                <w:szCs w:val="20"/>
              </w:rPr>
              <w:t>0,204</w:t>
            </w:r>
          </w:p>
        </w:tc>
      </w:tr>
      <w:tr w:rsidR="00C72656" w:rsidRPr="00933491" w14:paraId="69FB3E94" w14:textId="77777777" w:rsidTr="004C7DD9">
        <w:trPr>
          <w:cantSplit/>
          <w:jc w:val="center"/>
        </w:trPr>
        <w:tc>
          <w:tcPr>
            <w:tcW w:w="481" w:type="pct"/>
            <w:vMerge/>
            <w:tcBorders>
              <w:left w:val="single" w:sz="4" w:space="0" w:color="FFFFFF" w:themeColor="background1"/>
              <w:right w:val="single" w:sz="4" w:space="0" w:color="auto"/>
            </w:tcBorders>
            <w:shd w:val="clear" w:color="auto" w:fill="FFFFFF"/>
          </w:tcPr>
          <w:p w14:paraId="21749197" w14:textId="77777777" w:rsidR="00C72656" w:rsidRPr="00933491" w:rsidRDefault="00C72656" w:rsidP="0056798E">
            <w:pPr>
              <w:autoSpaceDE w:val="0"/>
              <w:autoSpaceDN w:val="0"/>
              <w:adjustRightInd w:val="0"/>
              <w:spacing w:after="0" w:line="240" w:lineRule="auto"/>
              <w:rPr>
                <w:rFonts w:ascii="Times New Roman" w:hAnsi="Times New Roman" w:cs="Times New Roman"/>
                <w:color w:val="000000"/>
                <w:sz w:val="20"/>
                <w:szCs w:val="20"/>
              </w:rPr>
            </w:pPr>
          </w:p>
        </w:tc>
        <w:tc>
          <w:tcPr>
            <w:tcW w:w="361" w:type="pct"/>
            <w:vMerge/>
            <w:tcBorders>
              <w:left w:val="single" w:sz="4" w:space="0" w:color="FFFFFF" w:themeColor="background1"/>
              <w:right w:val="single" w:sz="4" w:space="0" w:color="auto"/>
            </w:tcBorders>
            <w:shd w:val="clear" w:color="auto" w:fill="FFFFFF"/>
            <w:vAlign w:val="center"/>
          </w:tcPr>
          <w:p w14:paraId="0EB45487" w14:textId="1EB50459" w:rsidR="00C72656" w:rsidRPr="00933491" w:rsidRDefault="00C72656" w:rsidP="0056798E">
            <w:pPr>
              <w:autoSpaceDE w:val="0"/>
              <w:autoSpaceDN w:val="0"/>
              <w:adjustRightInd w:val="0"/>
              <w:spacing w:after="0" w:line="240" w:lineRule="auto"/>
              <w:jc w:val="center"/>
              <w:rPr>
                <w:rFonts w:ascii="Times New Roman" w:hAnsi="Times New Roman" w:cs="Times New Roman"/>
                <w:color w:val="000000"/>
                <w:sz w:val="20"/>
                <w:szCs w:val="20"/>
              </w:rPr>
            </w:pPr>
          </w:p>
        </w:tc>
        <w:tc>
          <w:tcPr>
            <w:tcW w:w="725" w:type="pct"/>
            <w:tcBorders>
              <w:top w:val="nil"/>
              <w:left w:val="single" w:sz="4" w:space="0" w:color="auto"/>
              <w:bottom w:val="single" w:sz="4" w:space="0" w:color="auto"/>
              <w:right w:val="single" w:sz="4" w:space="0" w:color="auto"/>
            </w:tcBorders>
            <w:shd w:val="clear" w:color="auto" w:fill="FFFFFF"/>
          </w:tcPr>
          <w:p w14:paraId="371B7DE9" w14:textId="1DC05527"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Não</w:t>
            </w:r>
          </w:p>
        </w:tc>
        <w:tc>
          <w:tcPr>
            <w:tcW w:w="735" w:type="pct"/>
            <w:tcBorders>
              <w:top w:val="nil"/>
              <w:left w:val="single" w:sz="4" w:space="0" w:color="auto"/>
              <w:bottom w:val="single" w:sz="4" w:space="0" w:color="auto"/>
              <w:right w:val="single" w:sz="4" w:space="0" w:color="auto"/>
            </w:tcBorders>
            <w:shd w:val="clear" w:color="auto" w:fill="FFFFFF"/>
            <w:vAlign w:val="center"/>
          </w:tcPr>
          <w:p w14:paraId="34BA1655" w14:textId="77777777" w:rsidR="00C72656" w:rsidRPr="00933491" w:rsidRDefault="00C72656" w:rsidP="0056798E">
            <w:pPr>
              <w:autoSpaceDE w:val="0"/>
              <w:autoSpaceDN w:val="0"/>
              <w:adjustRightInd w:val="0"/>
              <w:spacing w:after="0" w:line="240" w:lineRule="auto"/>
              <w:jc w:val="center"/>
              <w:rPr>
                <w:rFonts w:ascii="Times New Roman" w:hAnsi="Times New Roman" w:cs="Times New Roman"/>
                <w:color w:val="FF0000"/>
                <w:sz w:val="20"/>
                <w:szCs w:val="20"/>
              </w:rPr>
            </w:pPr>
          </w:p>
        </w:tc>
        <w:tc>
          <w:tcPr>
            <w:tcW w:w="818" w:type="pct"/>
            <w:tcBorders>
              <w:top w:val="nil"/>
              <w:left w:val="single" w:sz="4" w:space="0" w:color="auto"/>
              <w:bottom w:val="single" w:sz="4" w:space="0" w:color="auto"/>
            </w:tcBorders>
            <w:shd w:val="clear" w:color="auto" w:fill="FFFFFF"/>
            <w:vAlign w:val="center"/>
          </w:tcPr>
          <w:p w14:paraId="61F787AE" w14:textId="77777777" w:rsidR="00C72656" w:rsidRPr="00933491" w:rsidRDefault="00C72656" w:rsidP="0056798E">
            <w:pPr>
              <w:autoSpaceDE w:val="0"/>
              <w:autoSpaceDN w:val="0"/>
              <w:adjustRightInd w:val="0"/>
              <w:spacing w:after="0" w:line="240" w:lineRule="auto"/>
              <w:jc w:val="center"/>
              <w:rPr>
                <w:rFonts w:ascii="Times New Roman" w:hAnsi="Times New Roman" w:cs="Times New Roman"/>
                <w:color w:val="FF0000"/>
                <w:sz w:val="20"/>
                <w:szCs w:val="20"/>
              </w:rPr>
            </w:pPr>
          </w:p>
        </w:tc>
        <w:tc>
          <w:tcPr>
            <w:tcW w:w="573" w:type="pct"/>
            <w:tcBorders>
              <w:top w:val="nil"/>
              <w:bottom w:val="single" w:sz="4" w:space="0" w:color="auto"/>
            </w:tcBorders>
            <w:shd w:val="clear" w:color="auto" w:fill="FFFFFF"/>
          </w:tcPr>
          <w:p w14:paraId="701CFF04" w14:textId="0A03C3E8"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FF0000"/>
                <w:sz w:val="20"/>
                <w:szCs w:val="20"/>
              </w:rPr>
            </w:pPr>
            <w:r w:rsidRPr="00933491">
              <w:rPr>
                <w:rFonts w:ascii="Times New Roman" w:hAnsi="Times New Roman" w:cs="Times New Roman"/>
                <w:color w:val="000000"/>
                <w:sz w:val="20"/>
                <w:szCs w:val="20"/>
              </w:rPr>
              <w:t>-1,260</w:t>
            </w:r>
          </w:p>
        </w:tc>
        <w:tc>
          <w:tcPr>
            <w:tcW w:w="653" w:type="pct"/>
            <w:tcBorders>
              <w:top w:val="nil"/>
              <w:bottom w:val="single" w:sz="4" w:space="0" w:color="auto"/>
            </w:tcBorders>
            <w:shd w:val="clear" w:color="auto" w:fill="FFFFFF"/>
          </w:tcPr>
          <w:p w14:paraId="2370305F" w14:textId="2B41B484"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FF0000"/>
                <w:sz w:val="20"/>
                <w:szCs w:val="20"/>
              </w:rPr>
            </w:pPr>
            <w:r w:rsidRPr="00933491">
              <w:rPr>
                <w:rFonts w:ascii="Times New Roman" w:hAnsi="Times New Roman" w:cs="Times New Roman"/>
                <w:color w:val="000000"/>
                <w:sz w:val="20"/>
                <w:szCs w:val="20"/>
              </w:rPr>
              <w:t>101,966</w:t>
            </w:r>
          </w:p>
        </w:tc>
        <w:tc>
          <w:tcPr>
            <w:tcW w:w="654" w:type="pct"/>
            <w:tcBorders>
              <w:top w:val="nil"/>
              <w:bottom w:val="single" w:sz="4" w:space="0" w:color="auto"/>
              <w:right w:val="single" w:sz="4" w:space="0" w:color="FFFFFF" w:themeColor="background1"/>
            </w:tcBorders>
            <w:shd w:val="clear" w:color="auto" w:fill="FFFFFF"/>
          </w:tcPr>
          <w:p w14:paraId="21FC5FFD" w14:textId="090F0240"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b/>
                <w:color w:val="FF0000"/>
                <w:sz w:val="20"/>
                <w:szCs w:val="20"/>
              </w:rPr>
            </w:pPr>
            <w:r w:rsidRPr="00933491">
              <w:rPr>
                <w:rFonts w:ascii="Times New Roman" w:hAnsi="Times New Roman" w:cs="Times New Roman"/>
                <w:b/>
                <w:color w:val="000000"/>
                <w:sz w:val="20"/>
                <w:szCs w:val="20"/>
              </w:rPr>
              <w:t>0,210</w:t>
            </w:r>
          </w:p>
        </w:tc>
      </w:tr>
      <w:tr w:rsidR="00C72656" w:rsidRPr="00933491" w14:paraId="24C34230" w14:textId="77777777" w:rsidTr="004C7DD9">
        <w:trPr>
          <w:cantSplit/>
          <w:jc w:val="center"/>
        </w:trPr>
        <w:tc>
          <w:tcPr>
            <w:tcW w:w="481" w:type="pct"/>
            <w:vMerge w:val="restart"/>
            <w:tcBorders>
              <w:left w:val="single" w:sz="4" w:space="0" w:color="FFFFFF" w:themeColor="background1"/>
              <w:right w:val="single" w:sz="4" w:space="0" w:color="auto"/>
            </w:tcBorders>
            <w:shd w:val="clear" w:color="auto" w:fill="FFFFFF"/>
            <w:textDirection w:val="btLr"/>
          </w:tcPr>
          <w:p w14:paraId="0019DD2B" w14:textId="461E4004" w:rsidR="00C72656" w:rsidRPr="00CC11DC" w:rsidRDefault="00C72656" w:rsidP="0056798E">
            <w:pPr>
              <w:autoSpaceDE w:val="0"/>
              <w:autoSpaceDN w:val="0"/>
              <w:adjustRightInd w:val="0"/>
              <w:spacing w:after="0" w:line="240" w:lineRule="auto"/>
              <w:ind w:left="113" w:right="113"/>
              <w:jc w:val="center"/>
              <w:rPr>
                <w:rFonts w:ascii="Times New Roman" w:hAnsi="Times New Roman" w:cs="Times New Roman"/>
                <w:color w:val="000000"/>
                <w:sz w:val="20"/>
                <w:szCs w:val="20"/>
              </w:rPr>
            </w:pPr>
            <w:r w:rsidRPr="00CC11DC">
              <w:rPr>
                <w:rFonts w:ascii="Times New Roman" w:hAnsi="Times New Roman" w:cs="Times New Roman"/>
                <w:color w:val="000000"/>
                <w:sz w:val="20"/>
                <w:szCs w:val="20"/>
              </w:rPr>
              <w:t>Grande</w:t>
            </w:r>
          </w:p>
        </w:tc>
        <w:tc>
          <w:tcPr>
            <w:tcW w:w="361" w:type="pct"/>
            <w:vMerge w:val="restart"/>
            <w:tcBorders>
              <w:left w:val="single" w:sz="4" w:space="0" w:color="FFFFFF" w:themeColor="background1"/>
              <w:right w:val="single" w:sz="4" w:space="0" w:color="auto"/>
            </w:tcBorders>
            <w:shd w:val="clear" w:color="auto" w:fill="FFFFFF"/>
            <w:vAlign w:val="center"/>
          </w:tcPr>
          <w:p w14:paraId="7B467AE8" w14:textId="59A3356C" w:rsidR="00C72656" w:rsidRPr="003E40AC" w:rsidRDefault="00C72656" w:rsidP="0056798E">
            <w:pPr>
              <w:autoSpaceDE w:val="0"/>
              <w:autoSpaceDN w:val="0"/>
              <w:adjustRightInd w:val="0"/>
              <w:spacing w:after="0" w:line="240" w:lineRule="auto"/>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+1</w:t>
            </w:r>
          </w:p>
        </w:tc>
        <w:tc>
          <w:tcPr>
            <w:tcW w:w="725" w:type="pct"/>
            <w:tcBorders>
              <w:top w:val="single" w:sz="4" w:space="0" w:color="auto"/>
              <w:left w:val="single" w:sz="4" w:space="0" w:color="auto"/>
              <w:bottom w:val="nil"/>
              <w:right w:val="single" w:sz="4" w:space="0" w:color="auto"/>
            </w:tcBorders>
            <w:shd w:val="clear" w:color="auto" w:fill="FFFFFF"/>
          </w:tcPr>
          <w:p w14:paraId="59E610A4" w14:textId="4884525F" w:rsidR="00C72656" w:rsidRPr="003E40AC" w:rsidRDefault="00C72656"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3E40AC">
              <w:rPr>
                <w:rFonts w:ascii="Times New Roman" w:hAnsi="Times New Roman" w:cs="Times New Roman"/>
                <w:color w:val="000000"/>
                <w:sz w:val="20"/>
                <w:szCs w:val="20"/>
              </w:rPr>
              <w:t>Sim</w:t>
            </w:r>
          </w:p>
        </w:tc>
        <w:tc>
          <w:tcPr>
            <w:tcW w:w="735" w:type="pct"/>
            <w:tcBorders>
              <w:top w:val="single" w:sz="4" w:space="0" w:color="auto"/>
              <w:left w:val="single" w:sz="4" w:space="0" w:color="auto"/>
              <w:bottom w:val="nil"/>
              <w:right w:val="single" w:sz="4" w:space="0" w:color="auto"/>
            </w:tcBorders>
            <w:shd w:val="clear" w:color="auto" w:fill="FFFFFF"/>
          </w:tcPr>
          <w:p w14:paraId="6A193C84" w14:textId="74505804"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0,621</w:t>
            </w:r>
          </w:p>
        </w:tc>
        <w:tc>
          <w:tcPr>
            <w:tcW w:w="818" w:type="pct"/>
            <w:tcBorders>
              <w:top w:val="single" w:sz="4" w:space="0" w:color="auto"/>
              <w:left w:val="single" w:sz="4" w:space="0" w:color="auto"/>
              <w:bottom w:val="nil"/>
            </w:tcBorders>
            <w:shd w:val="clear" w:color="auto" w:fill="FFFFFF"/>
          </w:tcPr>
          <w:p w14:paraId="65338518" w14:textId="31D76AAB"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0,432</w:t>
            </w:r>
          </w:p>
        </w:tc>
        <w:tc>
          <w:tcPr>
            <w:tcW w:w="573" w:type="pct"/>
            <w:tcBorders>
              <w:top w:val="single" w:sz="4" w:space="0" w:color="auto"/>
              <w:bottom w:val="nil"/>
            </w:tcBorders>
            <w:shd w:val="clear" w:color="auto" w:fill="FFFFFF"/>
          </w:tcPr>
          <w:p w14:paraId="0485CE34" w14:textId="7D02116B"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-0,787</w:t>
            </w:r>
          </w:p>
        </w:tc>
        <w:tc>
          <w:tcPr>
            <w:tcW w:w="653" w:type="pct"/>
            <w:tcBorders>
              <w:top w:val="single" w:sz="4" w:space="0" w:color="auto"/>
              <w:bottom w:val="nil"/>
            </w:tcBorders>
            <w:shd w:val="clear" w:color="auto" w:fill="FFFFFF"/>
          </w:tcPr>
          <w:p w14:paraId="1C444442" w14:textId="2F5D56D9"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134</w:t>
            </w:r>
          </w:p>
        </w:tc>
        <w:tc>
          <w:tcPr>
            <w:tcW w:w="654" w:type="pct"/>
            <w:tcBorders>
              <w:top w:val="single" w:sz="4" w:space="0" w:color="auto"/>
              <w:bottom w:val="nil"/>
              <w:right w:val="single" w:sz="4" w:space="0" w:color="FFFFFF" w:themeColor="background1"/>
            </w:tcBorders>
            <w:shd w:val="clear" w:color="auto" w:fill="FFFFFF"/>
          </w:tcPr>
          <w:p w14:paraId="01FB67A1" w14:textId="1FD5FC09"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933491">
              <w:rPr>
                <w:rFonts w:ascii="Times New Roman" w:hAnsi="Times New Roman" w:cs="Times New Roman"/>
                <w:b/>
                <w:color w:val="000000"/>
                <w:sz w:val="20"/>
                <w:szCs w:val="20"/>
              </w:rPr>
              <w:t>0,432</w:t>
            </w:r>
          </w:p>
        </w:tc>
      </w:tr>
      <w:tr w:rsidR="00C72656" w:rsidRPr="00933491" w14:paraId="74E328BA" w14:textId="77777777" w:rsidTr="004C7DD9">
        <w:trPr>
          <w:cantSplit/>
          <w:jc w:val="center"/>
        </w:trPr>
        <w:tc>
          <w:tcPr>
            <w:tcW w:w="481" w:type="pct"/>
            <w:vMerge/>
            <w:tcBorders>
              <w:left w:val="single" w:sz="4" w:space="0" w:color="FFFFFF" w:themeColor="background1"/>
              <w:right w:val="single" w:sz="4" w:space="0" w:color="auto"/>
            </w:tcBorders>
            <w:shd w:val="clear" w:color="auto" w:fill="FFFFFF"/>
          </w:tcPr>
          <w:p w14:paraId="00803346" w14:textId="77777777" w:rsidR="00C72656" w:rsidRPr="00933491" w:rsidRDefault="00C72656" w:rsidP="0056798E">
            <w:pPr>
              <w:autoSpaceDE w:val="0"/>
              <w:autoSpaceDN w:val="0"/>
              <w:adjustRightInd w:val="0"/>
              <w:spacing w:after="0" w:line="240" w:lineRule="auto"/>
              <w:rPr>
                <w:rFonts w:ascii="Times New Roman" w:hAnsi="Times New Roman" w:cs="Times New Roman"/>
                <w:color w:val="000000"/>
                <w:sz w:val="20"/>
                <w:szCs w:val="20"/>
              </w:rPr>
            </w:pPr>
          </w:p>
        </w:tc>
        <w:tc>
          <w:tcPr>
            <w:tcW w:w="361" w:type="pct"/>
            <w:vMerge/>
            <w:tcBorders>
              <w:left w:val="single" w:sz="4" w:space="0" w:color="FFFFFF" w:themeColor="background1"/>
              <w:right w:val="single" w:sz="4" w:space="0" w:color="auto"/>
            </w:tcBorders>
            <w:shd w:val="clear" w:color="auto" w:fill="FFFFFF"/>
            <w:vAlign w:val="center"/>
          </w:tcPr>
          <w:p w14:paraId="513BC744" w14:textId="77777777" w:rsidR="00C72656" w:rsidRPr="00933491" w:rsidRDefault="00C72656" w:rsidP="0056798E">
            <w:pPr>
              <w:autoSpaceDE w:val="0"/>
              <w:autoSpaceDN w:val="0"/>
              <w:adjustRightInd w:val="0"/>
              <w:spacing w:after="0" w:line="240" w:lineRule="auto"/>
              <w:jc w:val="center"/>
              <w:rPr>
                <w:rFonts w:ascii="Times New Roman" w:hAnsi="Times New Roman" w:cs="Times New Roman"/>
                <w:color w:val="000000"/>
                <w:sz w:val="20"/>
                <w:szCs w:val="20"/>
              </w:rPr>
            </w:pPr>
          </w:p>
        </w:tc>
        <w:tc>
          <w:tcPr>
            <w:tcW w:w="725" w:type="pct"/>
            <w:tcBorders>
              <w:top w:val="nil"/>
              <w:left w:val="single" w:sz="4" w:space="0" w:color="auto"/>
              <w:bottom w:val="single" w:sz="4" w:space="0" w:color="auto"/>
              <w:right w:val="single" w:sz="4" w:space="0" w:color="auto"/>
            </w:tcBorders>
            <w:shd w:val="clear" w:color="auto" w:fill="FFFFFF"/>
          </w:tcPr>
          <w:p w14:paraId="7D585670" w14:textId="1758E201"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Não</w:t>
            </w:r>
          </w:p>
        </w:tc>
        <w:tc>
          <w:tcPr>
            <w:tcW w:w="735" w:type="pct"/>
            <w:tcBorders>
              <w:top w:val="nil"/>
              <w:left w:val="single" w:sz="4" w:space="0" w:color="auto"/>
              <w:bottom w:val="single" w:sz="4" w:space="0" w:color="auto"/>
              <w:right w:val="single" w:sz="4" w:space="0" w:color="auto"/>
            </w:tcBorders>
            <w:shd w:val="clear" w:color="auto" w:fill="FFFFFF"/>
            <w:vAlign w:val="center"/>
          </w:tcPr>
          <w:p w14:paraId="40F91115" w14:textId="77777777"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818" w:type="pct"/>
            <w:tcBorders>
              <w:top w:val="nil"/>
              <w:left w:val="single" w:sz="4" w:space="0" w:color="auto"/>
              <w:bottom w:val="single" w:sz="4" w:space="0" w:color="auto"/>
            </w:tcBorders>
            <w:shd w:val="clear" w:color="auto" w:fill="FFFFFF"/>
            <w:vAlign w:val="center"/>
          </w:tcPr>
          <w:p w14:paraId="2E1118FD" w14:textId="77777777"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573" w:type="pct"/>
            <w:tcBorders>
              <w:top w:val="nil"/>
              <w:bottom w:val="single" w:sz="4" w:space="0" w:color="auto"/>
            </w:tcBorders>
            <w:shd w:val="clear" w:color="auto" w:fill="FFFFFF"/>
          </w:tcPr>
          <w:p w14:paraId="60F86AE3" w14:textId="53631F4B"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-0,787</w:t>
            </w:r>
          </w:p>
        </w:tc>
        <w:tc>
          <w:tcPr>
            <w:tcW w:w="653" w:type="pct"/>
            <w:tcBorders>
              <w:top w:val="nil"/>
              <w:bottom w:val="single" w:sz="4" w:space="0" w:color="auto"/>
            </w:tcBorders>
            <w:shd w:val="clear" w:color="auto" w:fill="FFFFFF"/>
          </w:tcPr>
          <w:p w14:paraId="35298385" w14:textId="502E2EDB"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126,231</w:t>
            </w:r>
          </w:p>
        </w:tc>
        <w:tc>
          <w:tcPr>
            <w:tcW w:w="654" w:type="pct"/>
            <w:tcBorders>
              <w:top w:val="nil"/>
              <w:bottom w:val="single" w:sz="4" w:space="0" w:color="auto"/>
              <w:right w:val="single" w:sz="4" w:space="0" w:color="FFFFFF" w:themeColor="background1"/>
            </w:tcBorders>
            <w:shd w:val="clear" w:color="auto" w:fill="FFFFFF"/>
          </w:tcPr>
          <w:p w14:paraId="14A7653A" w14:textId="6F32B43E"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0,432</w:t>
            </w:r>
          </w:p>
        </w:tc>
      </w:tr>
      <w:tr w:rsidR="00C72656" w:rsidRPr="00933491" w14:paraId="1F9FD5F8" w14:textId="77777777" w:rsidTr="004C7DD9">
        <w:trPr>
          <w:cantSplit/>
          <w:jc w:val="center"/>
        </w:trPr>
        <w:tc>
          <w:tcPr>
            <w:tcW w:w="481" w:type="pct"/>
            <w:vMerge/>
            <w:tcBorders>
              <w:left w:val="single" w:sz="4" w:space="0" w:color="FFFFFF" w:themeColor="background1"/>
              <w:right w:val="single" w:sz="4" w:space="0" w:color="auto"/>
            </w:tcBorders>
            <w:shd w:val="clear" w:color="auto" w:fill="FFFFFF"/>
          </w:tcPr>
          <w:p w14:paraId="6CD3825A" w14:textId="77777777" w:rsidR="00C72656" w:rsidRPr="00933491" w:rsidRDefault="00C72656" w:rsidP="0056798E">
            <w:pPr>
              <w:autoSpaceDE w:val="0"/>
              <w:autoSpaceDN w:val="0"/>
              <w:adjustRightInd w:val="0"/>
              <w:spacing w:after="0" w:line="240" w:lineRule="auto"/>
              <w:rPr>
                <w:rFonts w:ascii="Times New Roman" w:hAnsi="Times New Roman" w:cs="Times New Roman"/>
                <w:color w:val="000000"/>
                <w:sz w:val="20"/>
                <w:szCs w:val="20"/>
              </w:rPr>
            </w:pPr>
          </w:p>
        </w:tc>
        <w:tc>
          <w:tcPr>
            <w:tcW w:w="361" w:type="pct"/>
            <w:vMerge w:val="restart"/>
            <w:tcBorders>
              <w:left w:val="single" w:sz="4" w:space="0" w:color="FFFFFF" w:themeColor="background1"/>
              <w:right w:val="single" w:sz="4" w:space="0" w:color="auto"/>
            </w:tcBorders>
            <w:shd w:val="clear" w:color="auto" w:fill="FFFFFF"/>
            <w:vAlign w:val="center"/>
          </w:tcPr>
          <w:p w14:paraId="093CB374" w14:textId="5E7DB6E2" w:rsidR="00C72656" w:rsidRPr="00933491" w:rsidRDefault="00C72656" w:rsidP="0056798E">
            <w:pPr>
              <w:autoSpaceDE w:val="0"/>
              <w:autoSpaceDN w:val="0"/>
              <w:adjustRightInd w:val="0"/>
              <w:spacing w:after="0" w:line="240" w:lineRule="auto"/>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+2</w:t>
            </w:r>
          </w:p>
        </w:tc>
        <w:tc>
          <w:tcPr>
            <w:tcW w:w="725" w:type="pct"/>
            <w:tcBorders>
              <w:top w:val="single" w:sz="4" w:space="0" w:color="auto"/>
              <w:left w:val="single" w:sz="4" w:space="0" w:color="auto"/>
              <w:bottom w:val="nil"/>
              <w:right w:val="single" w:sz="4" w:space="0" w:color="auto"/>
            </w:tcBorders>
            <w:shd w:val="clear" w:color="auto" w:fill="FFFFFF"/>
          </w:tcPr>
          <w:p w14:paraId="78BD2D3F" w14:textId="47E2EB86"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Sim</w:t>
            </w:r>
          </w:p>
        </w:tc>
        <w:tc>
          <w:tcPr>
            <w:tcW w:w="735" w:type="pct"/>
            <w:tcBorders>
              <w:top w:val="single" w:sz="4" w:space="0" w:color="auto"/>
              <w:left w:val="single" w:sz="4" w:space="0" w:color="auto"/>
              <w:bottom w:val="nil"/>
              <w:right w:val="single" w:sz="4" w:space="0" w:color="auto"/>
            </w:tcBorders>
            <w:shd w:val="clear" w:color="auto" w:fill="FFFFFF"/>
          </w:tcPr>
          <w:p w14:paraId="0C7DCE5D" w14:textId="494D890A"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0,077</w:t>
            </w:r>
          </w:p>
        </w:tc>
        <w:tc>
          <w:tcPr>
            <w:tcW w:w="818" w:type="pct"/>
            <w:tcBorders>
              <w:top w:val="single" w:sz="4" w:space="0" w:color="auto"/>
              <w:left w:val="single" w:sz="4" w:space="0" w:color="auto"/>
              <w:bottom w:val="nil"/>
            </w:tcBorders>
            <w:shd w:val="clear" w:color="auto" w:fill="FFFFFF"/>
          </w:tcPr>
          <w:p w14:paraId="51627EA8" w14:textId="17F20E3F"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0,782</w:t>
            </w:r>
          </w:p>
        </w:tc>
        <w:tc>
          <w:tcPr>
            <w:tcW w:w="573" w:type="pct"/>
            <w:tcBorders>
              <w:top w:val="single" w:sz="4" w:space="0" w:color="auto"/>
              <w:bottom w:val="nil"/>
            </w:tcBorders>
            <w:shd w:val="clear" w:color="auto" w:fill="FFFFFF"/>
          </w:tcPr>
          <w:p w14:paraId="4AA1C7B3" w14:textId="1CB46FF7"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0,129</w:t>
            </w:r>
          </w:p>
        </w:tc>
        <w:tc>
          <w:tcPr>
            <w:tcW w:w="653" w:type="pct"/>
            <w:tcBorders>
              <w:top w:val="single" w:sz="4" w:space="0" w:color="auto"/>
              <w:bottom w:val="nil"/>
            </w:tcBorders>
            <w:shd w:val="clear" w:color="auto" w:fill="FFFFFF"/>
          </w:tcPr>
          <w:p w14:paraId="3B77019C" w14:textId="0C4C8DC4"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134</w:t>
            </w:r>
          </w:p>
        </w:tc>
        <w:tc>
          <w:tcPr>
            <w:tcW w:w="654" w:type="pct"/>
            <w:tcBorders>
              <w:top w:val="single" w:sz="4" w:space="0" w:color="auto"/>
              <w:bottom w:val="nil"/>
              <w:right w:val="single" w:sz="4" w:space="0" w:color="FFFFFF" w:themeColor="background1"/>
            </w:tcBorders>
            <w:shd w:val="clear" w:color="auto" w:fill="FFFFFF"/>
          </w:tcPr>
          <w:p w14:paraId="5F858082" w14:textId="0739999A"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933491">
              <w:rPr>
                <w:rFonts w:ascii="Times New Roman" w:hAnsi="Times New Roman" w:cs="Times New Roman"/>
                <w:b/>
                <w:color w:val="000000"/>
                <w:sz w:val="20"/>
                <w:szCs w:val="20"/>
              </w:rPr>
              <w:t>0,897</w:t>
            </w:r>
          </w:p>
        </w:tc>
      </w:tr>
      <w:tr w:rsidR="00C72656" w:rsidRPr="00933491" w14:paraId="22D26B53" w14:textId="77777777" w:rsidTr="004C7DD9">
        <w:trPr>
          <w:cantSplit/>
          <w:jc w:val="center"/>
        </w:trPr>
        <w:tc>
          <w:tcPr>
            <w:tcW w:w="481" w:type="pct"/>
            <w:vMerge/>
            <w:tcBorders>
              <w:left w:val="single" w:sz="4" w:space="0" w:color="FFFFFF" w:themeColor="background1"/>
              <w:right w:val="single" w:sz="4" w:space="0" w:color="auto"/>
            </w:tcBorders>
            <w:shd w:val="clear" w:color="auto" w:fill="FFFFFF"/>
          </w:tcPr>
          <w:p w14:paraId="71740BAE" w14:textId="77777777" w:rsidR="00C72656" w:rsidRPr="00933491" w:rsidRDefault="00C72656" w:rsidP="0056798E">
            <w:pPr>
              <w:autoSpaceDE w:val="0"/>
              <w:autoSpaceDN w:val="0"/>
              <w:adjustRightInd w:val="0"/>
              <w:spacing w:after="0" w:line="240" w:lineRule="auto"/>
              <w:rPr>
                <w:rFonts w:ascii="Times New Roman" w:hAnsi="Times New Roman" w:cs="Times New Roman"/>
                <w:color w:val="000000"/>
                <w:sz w:val="20"/>
                <w:szCs w:val="20"/>
              </w:rPr>
            </w:pPr>
          </w:p>
        </w:tc>
        <w:tc>
          <w:tcPr>
            <w:tcW w:w="361" w:type="pct"/>
            <w:vMerge/>
            <w:tcBorders>
              <w:left w:val="single" w:sz="4" w:space="0" w:color="FFFFFF" w:themeColor="background1"/>
              <w:right w:val="single" w:sz="4" w:space="0" w:color="auto"/>
            </w:tcBorders>
            <w:shd w:val="clear" w:color="auto" w:fill="FFFFFF"/>
            <w:vAlign w:val="center"/>
          </w:tcPr>
          <w:p w14:paraId="0BF0FE09" w14:textId="77777777" w:rsidR="00C72656" w:rsidRPr="00933491" w:rsidRDefault="00C72656" w:rsidP="0056798E">
            <w:pPr>
              <w:autoSpaceDE w:val="0"/>
              <w:autoSpaceDN w:val="0"/>
              <w:adjustRightInd w:val="0"/>
              <w:spacing w:after="0" w:line="240" w:lineRule="auto"/>
              <w:jc w:val="center"/>
              <w:rPr>
                <w:rFonts w:ascii="Times New Roman" w:hAnsi="Times New Roman" w:cs="Times New Roman"/>
                <w:color w:val="000000"/>
                <w:sz w:val="20"/>
                <w:szCs w:val="20"/>
              </w:rPr>
            </w:pPr>
          </w:p>
        </w:tc>
        <w:tc>
          <w:tcPr>
            <w:tcW w:w="725" w:type="pct"/>
            <w:tcBorders>
              <w:top w:val="nil"/>
              <w:left w:val="single" w:sz="4" w:space="0" w:color="auto"/>
              <w:bottom w:val="single" w:sz="4" w:space="0" w:color="auto"/>
              <w:right w:val="single" w:sz="4" w:space="0" w:color="auto"/>
            </w:tcBorders>
            <w:shd w:val="clear" w:color="auto" w:fill="FFFFFF"/>
          </w:tcPr>
          <w:p w14:paraId="374E616F" w14:textId="67723F21"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Não</w:t>
            </w:r>
          </w:p>
        </w:tc>
        <w:tc>
          <w:tcPr>
            <w:tcW w:w="735" w:type="pct"/>
            <w:tcBorders>
              <w:top w:val="nil"/>
              <w:left w:val="single" w:sz="4" w:space="0" w:color="auto"/>
              <w:bottom w:val="single" w:sz="4" w:space="0" w:color="auto"/>
              <w:right w:val="single" w:sz="4" w:space="0" w:color="auto"/>
            </w:tcBorders>
            <w:shd w:val="clear" w:color="auto" w:fill="FFFFFF"/>
            <w:vAlign w:val="center"/>
          </w:tcPr>
          <w:p w14:paraId="54FCA1B6" w14:textId="77777777"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818" w:type="pct"/>
            <w:tcBorders>
              <w:top w:val="nil"/>
              <w:left w:val="single" w:sz="4" w:space="0" w:color="auto"/>
              <w:bottom w:val="single" w:sz="4" w:space="0" w:color="auto"/>
            </w:tcBorders>
            <w:shd w:val="clear" w:color="auto" w:fill="FFFFFF"/>
            <w:vAlign w:val="center"/>
          </w:tcPr>
          <w:p w14:paraId="7AD49A68" w14:textId="77777777"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573" w:type="pct"/>
            <w:tcBorders>
              <w:top w:val="nil"/>
              <w:bottom w:val="single" w:sz="4" w:space="0" w:color="auto"/>
            </w:tcBorders>
            <w:shd w:val="clear" w:color="auto" w:fill="FFFFFF"/>
          </w:tcPr>
          <w:p w14:paraId="49347913" w14:textId="513829E6"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0,129</w:t>
            </w:r>
          </w:p>
        </w:tc>
        <w:tc>
          <w:tcPr>
            <w:tcW w:w="653" w:type="pct"/>
            <w:tcBorders>
              <w:top w:val="nil"/>
              <w:bottom w:val="single" w:sz="4" w:space="0" w:color="auto"/>
            </w:tcBorders>
            <w:shd w:val="clear" w:color="auto" w:fill="FFFFFF"/>
          </w:tcPr>
          <w:p w14:paraId="7D1599F3" w14:textId="5796E078"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133,128</w:t>
            </w:r>
          </w:p>
        </w:tc>
        <w:tc>
          <w:tcPr>
            <w:tcW w:w="654" w:type="pct"/>
            <w:tcBorders>
              <w:top w:val="nil"/>
              <w:bottom w:val="single" w:sz="4" w:space="0" w:color="auto"/>
              <w:right w:val="single" w:sz="4" w:space="0" w:color="FFFFFF" w:themeColor="background1"/>
            </w:tcBorders>
            <w:shd w:val="clear" w:color="auto" w:fill="FFFFFF"/>
          </w:tcPr>
          <w:p w14:paraId="40C00D7E" w14:textId="47C64BC9"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0,897</w:t>
            </w:r>
          </w:p>
        </w:tc>
      </w:tr>
      <w:tr w:rsidR="00C72656" w:rsidRPr="00933491" w14:paraId="493D2538" w14:textId="77777777" w:rsidTr="004C7DD9">
        <w:trPr>
          <w:cantSplit/>
          <w:jc w:val="center"/>
        </w:trPr>
        <w:tc>
          <w:tcPr>
            <w:tcW w:w="481" w:type="pct"/>
            <w:vMerge/>
            <w:tcBorders>
              <w:left w:val="single" w:sz="4" w:space="0" w:color="FFFFFF" w:themeColor="background1"/>
              <w:right w:val="single" w:sz="4" w:space="0" w:color="auto"/>
            </w:tcBorders>
            <w:shd w:val="clear" w:color="auto" w:fill="FFFFFF"/>
          </w:tcPr>
          <w:p w14:paraId="2E3B328A" w14:textId="77777777" w:rsidR="00C72656" w:rsidRPr="00933491" w:rsidRDefault="00C72656" w:rsidP="0056798E">
            <w:pPr>
              <w:autoSpaceDE w:val="0"/>
              <w:autoSpaceDN w:val="0"/>
              <w:adjustRightInd w:val="0"/>
              <w:spacing w:after="0" w:line="240" w:lineRule="auto"/>
              <w:rPr>
                <w:rFonts w:ascii="Times New Roman" w:hAnsi="Times New Roman" w:cs="Times New Roman"/>
                <w:color w:val="000000"/>
                <w:sz w:val="20"/>
                <w:szCs w:val="20"/>
              </w:rPr>
            </w:pPr>
          </w:p>
        </w:tc>
        <w:tc>
          <w:tcPr>
            <w:tcW w:w="361" w:type="pct"/>
            <w:vMerge w:val="restart"/>
            <w:tcBorders>
              <w:left w:val="single" w:sz="4" w:space="0" w:color="FFFFFF" w:themeColor="background1"/>
              <w:right w:val="single" w:sz="4" w:space="0" w:color="auto"/>
            </w:tcBorders>
            <w:shd w:val="clear" w:color="auto" w:fill="FFFFFF"/>
            <w:vAlign w:val="center"/>
          </w:tcPr>
          <w:p w14:paraId="300EB678" w14:textId="669EE171" w:rsidR="00C72656" w:rsidRPr="00933491" w:rsidRDefault="00C72656" w:rsidP="0056798E">
            <w:pPr>
              <w:autoSpaceDE w:val="0"/>
              <w:autoSpaceDN w:val="0"/>
              <w:adjustRightInd w:val="0"/>
              <w:spacing w:after="0" w:line="240" w:lineRule="auto"/>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+3</w:t>
            </w:r>
          </w:p>
        </w:tc>
        <w:tc>
          <w:tcPr>
            <w:tcW w:w="725" w:type="pct"/>
            <w:tcBorders>
              <w:top w:val="single" w:sz="4" w:space="0" w:color="auto"/>
              <w:left w:val="single" w:sz="4" w:space="0" w:color="auto"/>
              <w:bottom w:val="nil"/>
              <w:right w:val="single" w:sz="4" w:space="0" w:color="auto"/>
            </w:tcBorders>
            <w:shd w:val="clear" w:color="auto" w:fill="FFFFFF"/>
          </w:tcPr>
          <w:p w14:paraId="3F7AE75F" w14:textId="24ECD1D2"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Sim</w:t>
            </w:r>
          </w:p>
        </w:tc>
        <w:tc>
          <w:tcPr>
            <w:tcW w:w="735" w:type="pct"/>
            <w:tcBorders>
              <w:top w:val="single" w:sz="4" w:space="0" w:color="auto"/>
              <w:left w:val="single" w:sz="4" w:space="0" w:color="auto"/>
              <w:bottom w:val="nil"/>
              <w:right w:val="single" w:sz="4" w:space="0" w:color="auto"/>
            </w:tcBorders>
            <w:shd w:val="clear" w:color="auto" w:fill="FFFFFF"/>
          </w:tcPr>
          <w:p w14:paraId="690AEFD1" w14:textId="0DB5C983"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2,007</w:t>
            </w:r>
          </w:p>
        </w:tc>
        <w:tc>
          <w:tcPr>
            <w:tcW w:w="818" w:type="pct"/>
            <w:tcBorders>
              <w:top w:val="single" w:sz="4" w:space="0" w:color="auto"/>
              <w:left w:val="single" w:sz="4" w:space="0" w:color="auto"/>
              <w:bottom w:val="nil"/>
            </w:tcBorders>
            <w:shd w:val="clear" w:color="auto" w:fill="FFFFFF"/>
          </w:tcPr>
          <w:p w14:paraId="639F09A1" w14:textId="3C193AF6"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0,159</w:t>
            </w:r>
          </w:p>
        </w:tc>
        <w:tc>
          <w:tcPr>
            <w:tcW w:w="573" w:type="pct"/>
            <w:tcBorders>
              <w:top w:val="single" w:sz="4" w:space="0" w:color="auto"/>
              <w:bottom w:val="nil"/>
            </w:tcBorders>
            <w:shd w:val="clear" w:color="auto" w:fill="FFFFFF"/>
          </w:tcPr>
          <w:p w14:paraId="6741441F" w14:textId="72AC4E38"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-0,235</w:t>
            </w:r>
          </w:p>
        </w:tc>
        <w:tc>
          <w:tcPr>
            <w:tcW w:w="653" w:type="pct"/>
            <w:tcBorders>
              <w:top w:val="single" w:sz="4" w:space="0" w:color="auto"/>
              <w:bottom w:val="nil"/>
            </w:tcBorders>
            <w:shd w:val="clear" w:color="auto" w:fill="FFFFFF"/>
          </w:tcPr>
          <w:p w14:paraId="4DDF42E9" w14:textId="0B73650C"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134</w:t>
            </w:r>
          </w:p>
        </w:tc>
        <w:tc>
          <w:tcPr>
            <w:tcW w:w="654" w:type="pct"/>
            <w:tcBorders>
              <w:top w:val="single" w:sz="4" w:space="0" w:color="auto"/>
              <w:bottom w:val="nil"/>
              <w:right w:val="single" w:sz="4" w:space="0" w:color="FFFFFF" w:themeColor="background1"/>
            </w:tcBorders>
            <w:shd w:val="clear" w:color="auto" w:fill="FFFFFF"/>
          </w:tcPr>
          <w:p w14:paraId="0916C2D5" w14:textId="1D56499E"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933491">
              <w:rPr>
                <w:rFonts w:ascii="Times New Roman" w:hAnsi="Times New Roman" w:cs="Times New Roman"/>
                <w:b/>
                <w:color w:val="000000"/>
                <w:sz w:val="20"/>
                <w:szCs w:val="20"/>
              </w:rPr>
              <w:t>0,814</w:t>
            </w:r>
          </w:p>
        </w:tc>
      </w:tr>
      <w:tr w:rsidR="00C72656" w:rsidRPr="00933491" w14:paraId="16B22769" w14:textId="77777777" w:rsidTr="004C7DD9">
        <w:trPr>
          <w:cantSplit/>
          <w:jc w:val="center"/>
        </w:trPr>
        <w:tc>
          <w:tcPr>
            <w:tcW w:w="481" w:type="pct"/>
            <w:vMerge/>
            <w:tcBorders>
              <w:left w:val="single" w:sz="4" w:space="0" w:color="FFFFFF" w:themeColor="background1"/>
              <w:right w:val="single" w:sz="4" w:space="0" w:color="auto"/>
            </w:tcBorders>
            <w:shd w:val="clear" w:color="auto" w:fill="FFFFFF"/>
          </w:tcPr>
          <w:p w14:paraId="4D094A0D" w14:textId="77777777" w:rsidR="00C72656" w:rsidRPr="00933491" w:rsidRDefault="00C72656" w:rsidP="0056798E">
            <w:pPr>
              <w:autoSpaceDE w:val="0"/>
              <w:autoSpaceDN w:val="0"/>
              <w:adjustRightInd w:val="0"/>
              <w:spacing w:after="0" w:line="240" w:lineRule="auto"/>
              <w:rPr>
                <w:rFonts w:ascii="Times New Roman" w:hAnsi="Times New Roman" w:cs="Times New Roman"/>
                <w:color w:val="000000"/>
                <w:sz w:val="20"/>
                <w:szCs w:val="20"/>
              </w:rPr>
            </w:pPr>
          </w:p>
        </w:tc>
        <w:tc>
          <w:tcPr>
            <w:tcW w:w="361" w:type="pct"/>
            <w:vMerge/>
            <w:tcBorders>
              <w:left w:val="single" w:sz="4" w:space="0" w:color="FFFFFF" w:themeColor="background1"/>
              <w:right w:val="single" w:sz="4" w:space="0" w:color="auto"/>
            </w:tcBorders>
            <w:shd w:val="clear" w:color="auto" w:fill="FFFFFF"/>
            <w:vAlign w:val="center"/>
          </w:tcPr>
          <w:p w14:paraId="786ABBAC" w14:textId="77777777" w:rsidR="00C72656" w:rsidRPr="00933491" w:rsidRDefault="00C72656" w:rsidP="0056798E">
            <w:pPr>
              <w:autoSpaceDE w:val="0"/>
              <w:autoSpaceDN w:val="0"/>
              <w:adjustRightInd w:val="0"/>
              <w:spacing w:after="0" w:line="240" w:lineRule="auto"/>
              <w:jc w:val="center"/>
              <w:rPr>
                <w:rFonts w:ascii="Times New Roman" w:hAnsi="Times New Roman" w:cs="Times New Roman"/>
                <w:color w:val="000000"/>
                <w:sz w:val="20"/>
                <w:szCs w:val="20"/>
              </w:rPr>
            </w:pPr>
          </w:p>
        </w:tc>
        <w:tc>
          <w:tcPr>
            <w:tcW w:w="725" w:type="pct"/>
            <w:tcBorders>
              <w:top w:val="nil"/>
              <w:left w:val="single" w:sz="4" w:space="0" w:color="auto"/>
              <w:bottom w:val="single" w:sz="4" w:space="0" w:color="auto"/>
              <w:right w:val="single" w:sz="4" w:space="0" w:color="auto"/>
            </w:tcBorders>
            <w:shd w:val="clear" w:color="auto" w:fill="FFFFFF"/>
          </w:tcPr>
          <w:p w14:paraId="31AEA55B" w14:textId="2C3A304B"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Não</w:t>
            </w:r>
          </w:p>
        </w:tc>
        <w:tc>
          <w:tcPr>
            <w:tcW w:w="735" w:type="pct"/>
            <w:tcBorders>
              <w:top w:val="nil"/>
              <w:left w:val="single" w:sz="4" w:space="0" w:color="auto"/>
              <w:bottom w:val="single" w:sz="4" w:space="0" w:color="auto"/>
              <w:right w:val="single" w:sz="4" w:space="0" w:color="auto"/>
            </w:tcBorders>
            <w:shd w:val="clear" w:color="auto" w:fill="FFFFFF"/>
            <w:vAlign w:val="center"/>
          </w:tcPr>
          <w:p w14:paraId="140A4EE1" w14:textId="77777777"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818" w:type="pct"/>
            <w:tcBorders>
              <w:top w:val="nil"/>
              <w:left w:val="single" w:sz="4" w:space="0" w:color="auto"/>
              <w:bottom w:val="single" w:sz="4" w:space="0" w:color="auto"/>
            </w:tcBorders>
            <w:shd w:val="clear" w:color="auto" w:fill="FFFFFF"/>
            <w:vAlign w:val="center"/>
          </w:tcPr>
          <w:p w14:paraId="6A80D7C4" w14:textId="77777777"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573" w:type="pct"/>
            <w:tcBorders>
              <w:top w:val="nil"/>
              <w:bottom w:val="single" w:sz="4" w:space="0" w:color="auto"/>
            </w:tcBorders>
            <w:shd w:val="clear" w:color="auto" w:fill="FFFFFF"/>
          </w:tcPr>
          <w:p w14:paraId="6BE265B9" w14:textId="5741A93D"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-0,235</w:t>
            </w:r>
          </w:p>
        </w:tc>
        <w:tc>
          <w:tcPr>
            <w:tcW w:w="653" w:type="pct"/>
            <w:tcBorders>
              <w:top w:val="nil"/>
              <w:bottom w:val="single" w:sz="4" w:space="0" w:color="auto"/>
            </w:tcBorders>
            <w:shd w:val="clear" w:color="auto" w:fill="FFFFFF"/>
          </w:tcPr>
          <w:p w14:paraId="67655D25" w14:textId="394538FE"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123,859</w:t>
            </w:r>
          </w:p>
        </w:tc>
        <w:tc>
          <w:tcPr>
            <w:tcW w:w="654" w:type="pct"/>
            <w:tcBorders>
              <w:top w:val="nil"/>
              <w:bottom w:val="single" w:sz="4" w:space="0" w:color="auto"/>
              <w:right w:val="single" w:sz="4" w:space="0" w:color="FFFFFF" w:themeColor="background1"/>
            </w:tcBorders>
            <w:shd w:val="clear" w:color="auto" w:fill="FFFFFF"/>
          </w:tcPr>
          <w:p w14:paraId="36B346DC" w14:textId="125305F2"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0,814</w:t>
            </w:r>
          </w:p>
        </w:tc>
      </w:tr>
      <w:tr w:rsidR="00C72656" w:rsidRPr="00933491" w14:paraId="3BE277C4" w14:textId="77777777" w:rsidTr="004C7DD9">
        <w:trPr>
          <w:cantSplit/>
          <w:jc w:val="center"/>
        </w:trPr>
        <w:tc>
          <w:tcPr>
            <w:tcW w:w="481" w:type="pct"/>
            <w:vMerge/>
            <w:tcBorders>
              <w:left w:val="single" w:sz="4" w:space="0" w:color="FFFFFF" w:themeColor="background1"/>
              <w:right w:val="single" w:sz="4" w:space="0" w:color="auto"/>
            </w:tcBorders>
            <w:shd w:val="clear" w:color="auto" w:fill="FFFFFF"/>
          </w:tcPr>
          <w:p w14:paraId="0D9C8842" w14:textId="77777777" w:rsidR="00C72656" w:rsidRPr="00933491" w:rsidRDefault="00C72656" w:rsidP="0056798E">
            <w:pPr>
              <w:autoSpaceDE w:val="0"/>
              <w:autoSpaceDN w:val="0"/>
              <w:adjustRightInd w:val="0"/>
              <w:spacing w:after="0" w:line="240" w:lineRule="auto"/>
              <w:rPr>
                <w:rFonts w:ascii="Times New Roman" w:hAnsi="Times New Roman" w:cs="Times New Roman"/>
                <w:color w:val="000000"/>
                <w:sz w:val="20"/>
                <w:szCs w:val="20"/>
              </w:rPr>
            </w:pPr>
          </w:p>
        </w:tc>
        <w:tc>
          <w:tcPr>
            <w:tcW w:w="361" w:type="pct"/>
            <w:vMerge w:val="restart"/>
            <w:tcBorders>
              <w:left w:val="single" w:sz="4" w:space="0" w:color="FFFFFF" w:themeColor="background1"/>
              <w:right w:val="single" w:sz="4" w:space="0" w:color="auto"/>
            </w:tcBorders>
            <w:shd w:val="clear" w:color="auto" w:fill="FFFFFF"/>
            <w:vAlign w:val="center"/>
          </w:tcPr>
          <w:p w14:paraId="4923F5DC" w14:textId="5F2D06A8" w:rsidR="00C72656" w:rsidRPr="00933491" w:rsidRDefault="00C72656" w:rsidP="0056798E">
            <w:pPr>
              <w:autoSpaceDE w:val="0"/>
              <w:autoSpaceDN w:val="0"/>
              <w:adjustRightInd w:val="0"/>
              <w:spacing w:after="0" w:line="240" w:lineRule="auto"/>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+4</w:t>
            </w:r>
          </w:p>
        </w:tc>
        <w:tc>
          <w:tcPr>
            <w:tcW w:w="725" w:type="pct"/>
            <w:tcBorders>
              <w:top w:val="single" w:sz="4" w:space="0" w:color="auto"/>
              <w:left w:val="single" w:sz="4" w:space="0" w:color="auto"/>
              <w:bottom w:val="nil"/>
              <w:right w:val="single" w:sz="4" w:space="0" w:color="auto"/>
            </w:tcBorders>
            <w:shd w:val="clear" w:color="auto" w:fill="FFFFFF"/>
          </w:tcPr>
          <w:p w14:paraId="039BE75F" w14:textId="4F5B8044"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Sim</w:t>
            </w:r>
          </w:p>
        </w:tc>
        <w:tc>
          <w:tcPr>
            <w:tcW w:w="735" w:type="pct"/>
            <w:tcBorders>
              <w:top w:val="single" w:sz="4" w:space="0" w:color="auto"/>
              <w:left w:val="single" w:sz="4" w:space="0" w:color="auto"/>
              <w:bottom w:val="nil"/>
              <w:right w:val="single" w:sz="4" w:space="0" w:color="auto"/>
            </w:tcBorders>
            <w:shd w:val="clear" w:color="auto" w:fill="FFFFFF"/>
          </w:tcPr>
          <w:p w14:paraId="0F07D0F3" w14:textId="3E8F1A93"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0,064</w:t>
            </w:r>
          </w:p>
        </w:tc>
        <w:tc>
          <w:tcPr>
            <w:tcW w:w="818" w:type="pct"/>
            <w:tcBorders>
              <w:top w:val="single" w:sz="4" w:space="0" w:color="auto"/>
              <w:left w:val="single" w:sz="4" w:space="0" w:color="auto"/>
              <w:bottom w:val="nil"/>
            </w:tcBorders>
            <w:shd w:val="clear" w:color="auto" w:fill="FFFFFF"/>
          </w:tcPr>
          <w:p w14:paraId="39E7BEEA" w14:textId="2EF7D26C"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0,800</w:t>
            </w:r>
          </w:p>
        </w:tc>
        <w:tc>
          <w:tcPr>
            <w:tcW w:w="573" w:type="pct"/>
            <w:tcBorders>
              <w:top w:val="single" w:sz="4" w:space="0" w:color="auto"/>
              <w:bottom w:val="nil"/>
            </w:tcBorders>
            <w:shd w:val="clear" w:color="auto" w:fill="FFFFFF"/>
          </w:tcPr>
          <w:p w14:paraId="0A93D92C" w14:textId="0D065C69"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0,179</w:t>
            </w:r>
          </w:p>
        </w:tc>
        <w:tc>
          <w:tcPr>
            <w:tcW w:w="653" w:type="pct"/>
            <w:tcBorders>
              <w:top w:val="single" w:sz="4" w:space="0" w:color="auto"/>
              <w:bottom w:val="nil"/>
            </w:tcBorders>
            <w:shd w:val="clear" w:color="auto" w:fill="FFFFFF"/>
          </w:tcPr>
          <w:p w14:paraId="64FF2F5E" w14:textId="0E074698"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131</w:t>
            </w:r>
          </w:p>
        </w:tc>
        <w:tc>
          <w:tcPr>
            <w:tcW w:w="654" w:type="pct"/>
            <w:tcBorders>
              <w:top w:val="single" w:sz="4" w:space="0" w:color="auto"/>
              <w:bottom w:val="nil"/>
              <w:right w:val="single" w:sz="4" w:space="0" w:color="FFFFFF" w:themeColor="background1"/>
            </w:tcBorders>
            <w:shd w:val="clear" w:color="auto" w:fill="FFFFFF"/>
          </w:tcPr>
          <w:p w14:paraId="2CC926CE" w14:textId="1617DCB3"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933491">
              <w:rPr>
                <w:rFonts w:ascii="Times New Roman" w:hAnsi="Times New Roman" w:cs="Times New Roman"/>
                <w:b/>
                <w:color w:val="000000"/>
                <w:sz w:val="20"/>
                <w:szCs w:val="20"/>
              </w:rPr>
              <w:t>0,858</w:t>
            </w:r>
          </w:p>
        </w:tc>
      </w:tr>
      <w:tr w:rsidR="00C72656" w:rsidRPr="00933491" w14:paraId="4E560BFD" w14:textId="77777777" w:rsidTr="004C7DD9">
        <w:trPr>
          <w:cantSplit/>
          <w:jc w:val="center"/>
        </w:trPr>
        <w:tc>
          <w:tcPr>
            <w:tcW w:w="481" w:type="pct"/>
            <w:vMerge/>
            <w:tcBorders>
              <w:left w:val="single" w:sz="4" w:space="0" w:color="FFFFFF" w:themeColor="background1"/>
              <w:right w:val="single" w:sz="4" w:space="0" w:color="auto"/>
            </w:tcBorders>
            <w:shd w:val="clear" w:color="auto" w:fill="FFFFFF"/>
          </w:tcPr>
          <w:p w14:paraId="522D5CDA" w14:textId="77777777" w:rsidR="00C72656" w:rsidRPr="00933491" w:rsidRDefault="00C72656" w:rsidP="0056798E">
            <w:pPr>
              <w:autoSpaceDE w:val="0"/>
              <w:autoSpaceDN w:val="0"/>
              <w:adjustRightInd w:val="0"/>
              <w:spacing w:after="0" w:line="240" w:lineRule="auto"/>
              <w:rPr>
                <w:rFonts w:ascii="Times New Roman" w:hAnsi="Times New Roman" w:cs="Times New Roman"/>
                <w:color w:val="000000"/>
                <w:sz w:val="20"/>
                <w:szCs w:val="20"/>
              </w:rPr>
            </w:pPr>
          </w:p>
        </w:tc>
        <w:tc>
          <w:tcPr>
            <w:tcW w:w="361" w:type="pct"/>
            <w:vMerge/>
            <w:tcBorders>
              <w:left w:val="single" w:sz="4" w:space="0" w:color="FFFFFF" w:themeColor="background1"/>
              <w:right w:val="single" w:sz="4" w:space="0" w:color="auto"/>
            </w:tcBorders>
            <w:shd w:val="clear" w:color="auto" w:fill="FFFFFF"/>
          </w:tcPr>
          <w:p w14:paraId="314FE86B" w14:textId="77777777" w:rsidR="00C72656" w:rsidRPr="00933491" w:rsidRDefault="00C72656" w:rsidP="0056798E">
            <w:pPr>
              <w:autoSpaceDE w:val="0"/>
              <w:autoSpaceDN w:val="0"/>
              <w:adjustRightInd w:val="0"/>
              <w:spacing w:after="0" w:line="240" w:lineRule="auto"/>
              <w:rPr>
                <w:rFonts w:ascii="Times New Roman" w:hAnsi="Times New Roman" w:cs="Times New Roman"/>
                <w:color w:val="000000"/>
                <w:sz w:val="20"/>
                <w:szCs w:val="20"/>
              </w:rPr>
            </w:pPr>
          </w:p>
        </w:tc>
        <w:tc>
          <w:tcPr>
            <w:tcW w:w="725" w:type="pct"/>
            <w:tcBorders>
              <w:top w:val="nil"/>
              <w:left w:val="single" w:sz="4" w:space="0" w:color="auto"/>
              <w:bottom w:val="single" w:sz="4" w:space="0" w:color="auto"/>
              <w:right w:val="single" w:sz="4" w:space="0" w:color="auto"/>
            </w:tcBorders>
            <w:shd w:val="clear" w:color="auto" w:fill="FFFFFF"/>
          </w:tcPr>
          <w:p w14:paraId="619426D0" w14:textId="04549470"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Não</w:t>
            </w:r>
          </w:p>
        </w:tc>
        <w:tc>
          <w:tcPr>
            <w:tcW w:w="735" w:type="pct"/>
            <w:tcBorders>
              <w:top w:val="nil"/>
              <w:left w:val="single" w:sz="4" w:space="0" w:color="auto"/>
              <w:bottom w:val="single" w:sz="4" w:space="0" w:color="auto"/>
              <w:right w:val="single" w:sz="4" w:space="0" w:color="auto"/>
            </w:tcBorders>
            <w:shd w:val="clear" w:color="auto" w:fill="FFFFFF"/>
            <w:vAlign w:val="center"/>
          </w:tcPr>
          <w:p w14:paraId="0BA1E084" w14:textId="77777777"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818" w:type="pct"/>
            <w:tcBorders>
              <w:top w:val="nil"/>
              <w:left w:val="single" w:sz="4" w:space="0" w:color="auto"/>
              <w:bottom w:val="single" w:sz="4" w:space="0" w:color="auto"/>
            </w:tcBorders>
            <w:shd w:val="clear" w:color="auto" w:fill="FFFFFF"/>
            <w:vAlign w:val="center"/>
          </w:tcPr>
          <w:p w14:paraId="5C2EF175" w14:textId="77777777"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573" w:type="pct"/>
            <w:tcBorders>
              <w:top w:val="nil"/>
              <w:bottom w:val="single" w:sz="4" w:space="0" w:color="auto"/>
            </w:tcBorders>
            <w:shd w:val="clear" w:color="auto" w:fill="FFFFFF"/>
          </w:tcPr>
          <w:p w14:paraId="0FF1F69D" w14:textId="4813D40D"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0,179</w:t>
            </w:r>
          </w:p>
        </w:tc>
        <w:tc>
          <w:tcPr>
            <w:tcW w:w="653" w:type="pct"/>
            <w:tcBorders>
              <w:top w:val="nil"/>
              <w:bottom w:val="single" w:sz="4" w:space="0" w:color="auto"/>
            </w:tcBorders>
            <w:shd w:val="clear" w:color="auto" w:fill="FFFFFF"/>
          </w:tcPr>
          <w:p w14:paraId="508EA818" w14:textId="54183E58"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129,511</w:t>
            </w:r>
          </w:p>
        </w:tc>
        <w:tc>
          <w:tcPr>
            <w:tcW w:w="654" w:type="pct"/>
            <w:tcBorders>
              <w:top w:val="nil"/>
              <w:bottom w:val="single" w:sz="4" w:space="0" w:color="auto"/>
              <w:right w:val="single" w:sz="4" w:space="0" w:color="FFFFFF" w:themeColor="background1"/>
            </w:tcBorders>
            <w:shd w:val="clear" w:color="auto" w:fill="FFFFFF"/>
          </w:tcPr>
          <w:p w14:paraId="0BD3905E" w14:textId="2C7A72F4" w:rsidR="00C72656" w:rsidRPr="00933491" w:rsidRDefault="00C72656" w:rsidP="0056798E">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933491">
              <w:rPr>
                <w:rFonts w:ascii="Times New Roman" w:hAnsi="Times New Roman" w:cs="Times New Roman"/>
                <w:color w:val="000000"/>
                <w:sz w:val="20"/>
                <w:szCs w:val="20"/>
              </w:rPr>
              <w:t>0,858</w:t>
            </w:r>
          </w:p>
        </w:tc>
      </w:tr>
    </w:tbl>
    <w:p w14:paraId="72C3E1DE" w14:textId="77777777" w:rsidR="001F0A10" w:rsidRPr="00CC11DC" w:rsidRDefault="001F0A10" w:rsidP="0056798E">
      <w:pPr>
        <w:spacing w:after="0" w:line="240" w:lineRule="auto"/>
        <w:ind w:firstLine="709"/>
        <w:jc w:val="both"/>
        <w:rPr>
          <w:rFonts w:ascii="Times New Roman" w:hAnsi="Times New Roman" w:cs="Times New Roman"/>
          <w:sz w:val="24"/>
          <w:szCs w:val="24"/>
        </w:rPr>
      </w:pPr>
    </w:p>
    <w:p w14:paraId="34F0F0C1" w14:textId="1812FF4A" w:rsidR="00C36C6E" w:rsidRDefault="006002A0" w:rsidP="00157D35">
      <w:pPr>
        <w:spacing w:after="0" w:line="240" w:lineRule="auto"/>
        <w:ind w:firstLine="709"/>
        <w:jc w:val="both"/>
        <w:rPr>
          <w:rFonts w:ascii="Times New Roman" w:hAnsi="Times New Roman" w:cs="Times New Roman"/>
          <w:sz w:val="24"/>
          <w:szCs w:val="24"/>
        </w:rPr>
      </w:pPr>
      <w:r w:rsidRPr="00933491">
        <w:rPr>
          <w:rFonts w:ascii="Times New Roman" w:hAnsi="Times New Roman" w:cs="Times New Roman"/>
          <w:sz w:val="24"/>
          <w:szCs w:val="24"/>
        </w:rPr>
        <w:t>Por fim,</w:t>
      </w:r>
      <w:r w:rsidR="00F37240">
        <w:rPr>
          <w:rFonts w:ascii="Times New Roman" w:hAnsi="Times New Roman" w:cs="Times New Roman"/>
          <w:sz w:val="24"/>
          <w:szCs w:val="24"/>
        </w:rPr>
        <w:t xml:space="preserve"> a Tabela 13 apresenta os resultados </w:t>
      </w:r>
      <w:r w:rsidR="00B708C0">
        <w:rPr>
          <w:rFonts w:ascii="Times New Roman" w:hAnsi="Times New Roman" w:cs="Times New Roman"/>
          <w:sz w:val="24"/>
          <w:szCs w:val="24"/>
        </w:rPr>
        <w:t>da regressão em dados em painel para examinar se as empresas que realizam SEO são empresas com alto crescimento e obtêm baixo desempenho acionário pós SEO (</w:t>
      </w:r>
      <w:r w:rsidR="009E5F0B">
        <w:rPr>
          <w:rFonts w:ascii="Times New Roman" w:hAnsi="Times New Roman" w:cs="Times New Roman"/>
          <w:sz w:val="24"/>
          <w:szCs w:val="24"/>
        </w:rPr>
        <w:t>LOUGHRAN; RITTER, 1997).</w:t>
      </w:r>
    </w:p>
    <w:p w14:paraId="5DC8281D" w14:textId="77777777" w:rsidR="005216EB" w:rsidRPr="00933491" w:rsidRDefault="005216EB" w:rsidP="0056798E">
      <w:pPr>
        <w:spacing w:after="0" w:line="240" w:lineRule="auto"/>
        <w:ind w:firstLine="567"/>
        <w:jc w:val="both"/>
        <w:rPr>
          <w:rFonts w:ascii="Times New Roman" w:hAnsi="Times New Roman" w:cs="Times New Roman"/>
          <w:sz w:val="24"/>
          <w:szCs w:val="24"/>
        </w:rPr>
      </w:pPr>
    </w:p>
    <w:p w14:paraId="329135CF" w14:textId="3F14CC62" w:rsidR="00643A1C" w:rsidRPr="004C7DD9" w:rsidRDefault="00643A1C" w:rsidP="004C7DD9">
      <w:pPr>
        <w:spacing w:after="0" w:line="240" w:lineRule="auto"/>
        <w:jc w:val="center"/>
        <w:rPr>
          <w:rFonts w:ascii="Times New Roman" w:hAnsi="Times New Roman" w:cs="Times New Roman"/>
          <w:b/>
          <w:sz w:val="24"/>
          <w:szCs w:val="24"/>
        </w:rPr>
      </w:pPr>
      <w:r w:rsidRPr="004C7DD9">
        <w:rPr>
          <w:rFonts w:ascii="Times New Roman" w:hAnsi="Times New Roman" w:cs="Times New Roman"/>
          <w:b/>
          <w:sz w:val="20"/>
          <w:szCs w:val="24"/>
        </w:rPr>
        <w:t>Tabela 1</w:t>
      </w:r>
      <w:r w:rsidR="00421F9A" w:rsidRPr="004C7DD9">
        <w:rPr>
          <w:rFonts w:ascii="Times New Roman" w:hAnsi="Times New Roman" w:cs="Times New Roman"/>
          <w:b/>
          <w:sz w:val="20"/>
          <w:szCs w:val="24"/>
        </w:rPr>
        <w:t>3</w:t>
      </w:r>
      <w:r w:rsidR="004C7DD9" w:rsidRPr="004C7DD9">
        <w:rPr>
          <w:rFonts w:ascii="Times New Roman" w:hAnsi="Times New Roman" w:cs="Times New Roman"/>
          <w:b/>
          <w:sz w:val="20"/>
          <w:szCs w:val="24"/>
        </w:rPr>
        <w:t xml:space="preserve"> - </w:t>
      </w:r>
      <w:r w:rsidRPr="004C7DD9">
        <w:rPr>
          <w:rFonts w:ascii="Times New Roman" w:hAnsi="Times New Roman" w:cs="Times New Roman"/>
          <w:b/>
          <w:sz w:val="20"/>
          <w:szCs w:val="24"/>
        </w:rPr>
        <w:t xml:space="preserve">Parâmetros estimados para a regressão </w:t>
      </w:r>
      <m:oMath>
        <m:sSub>
          <m:sSubPr>
            <m:ctrlPr>
              <w:rPr>
                <w:rFonts w:ascii="Cambria Math" w:hAnsi="Cambria Math" w:cs="Times New Roman"/>
                <w:b/>
                <w:i/>
                <w:sz w:val="20"/>
                <w:szCs w:val="20"/>
              </w:rPr>
            </m:ctrlPr>
          </m:sSubPr>
          <m:e>
            <m:r>
              <m:rPr>
                <m:sty m:val="bi"/>
              </m:rPr>
              <w:rPr>
                <w:rFonts w:ascii="Cambria Math" w:hAnsi="Cambria Math" w:cs="Times New Roman"/>
                <w:sz w:val="20"/>
                <w:szCs w:val="20"/>
              </w:rPr>
              <m:t>r</m:t>
            </m:r>
          </m:e>
          <m:sub>
            <m:r>
              <m:rPr>
                <m:sty m:val="bi"/>
              </m:rPr>
              <w:rPr>
                <w:rFonts w:ascii="Cambria Math" w:hAnsi="Cambria Math" w:cs="Times New Roman"/>
                <w:sz w:val="20"/>
                <w:szCs w:val="20"/>
              </w:rPr>
              <m:t>i</m:t>
            </m:r>
          </m:sub>
        </m:sSub>
        <m:r>
          <m:rPr>
            <m:sty m:val="bi"/>
          </m:rPr>
          <w:rPr>
            <w:rFonts w:ascii="Cambria Math" w:hAnsi="Cambria Math" w:cs="Times New Roman"/>
            <w:sz w:val="20"/>
            <w:szCs w:val="20"/>
          </w:rPr>
          <m:t>-</m:t>
        </m:r>
        <m:sSub>
          <m:sSubPr>
            <m:ctrlPr>
              <w:rPr>
                <w:rFonts w:ascii="Cambria Math" w:hAnsi="Cambria Math" w:cs="Times New Roman"/>
                <w:b/>
                <w:i/>
                <w:sz w:val="20"/>
                <w:szCs w:val="20"/>
              </w:rPr>
            </m:ctrlPr>
          </m:sSubPr>
          <m:e>
            <m:r>
              <m:rPr>
                <m:sty m:val="bi"/>
              </m:rPr>
              <w:rPr>
                <w:rFonts w:ascii="Cambria Math" w:hAnsi="Cambria Math" w:cs="Times New Roman"/>
                <w:sz w:val="20"/>
                <w:szCs w:val="20"/>
              </w:rPr>
              <m:t>r</m:t>
            </m:r>
          </m:e>
          <m:sub>
            <m:r>
              <m:rPr>
                <m:sty m:val="bi"/>
              </m:rPr>
              <w:rPr>
                <w:rFonts w:ascii="Cambria Math" w:hAnsi="Cambria Math" w:cs="Times New Roman"/>
                <w:sz w:val="20"/>
                <w:szCs w:val="20"/>
              </w:rPr>
              <m:t>m</m:t>
            </m:r>
          </m:sub>
        </m:sSub>
        <m:r>
          <m:rPr>
            <m:sty m:val="bi"/>
          </m:rPr>
          <w:rPr>
            <w:rFonts w:ascii="Cambria Math" w:hAnsi="Cambria Math" w:cs="Times New Roman"/>
            <w:sz w:val="20"/>
            <w:szCs w:val="20"/>
          </w:rPr>
          <m:t>=</m:t>
        </m:r>
        <m:sSub>
          <m:sSubPr>
            <m:ctrlPr>
              <w:rPr>
                <w:rFonts w:ascii="Cambria Math" w:hAnsi="Cambria Math" w:cs="Times New Roman"/>
                <w:b/>
                <w:i/>
                <w:sz w:val="20"/>
                <w:szCs w:val="20"/>
              </w:rPr>
            </m:ctrlPr>
          </m:sSubPr>
          <m:e>
            <m:r>
              <m:rPr>
                <m:sty m:val="bi"/>
              </m:rPr>
              <w:rPr>
                <w:rFonts w:ascii="Cambria Math" w:hAnsi="Cambria Math" w:cs="Times New Roman"/>
                <w:sz w:val="20"/>
                <w:szCs w:val="20"/>
              </w:rPr>
              <m:t>α</m:t>
            </m:r>
          </m:e>
          <m:sub>
            <m:r>
              <m:rPr>
                <m:sty m:val="bi"/>
              </m:rPr>
              <w:rPr>
                <w:rFonts w:ascii="Cambria Math" w:hAnsi="Cambria Math" w:cs="Times New Roman"/>
                <w:sz w:val="20"/>
                <w:szCs w:val="20"/>
              </w:rPr>
              <m:t>0</m:t>
            </m:r>
          </m:sub>
        </m:sSub>
        <m:r>
          <m:rPr>
            <m:sty m:val="bi"/>
          </m:rPr>
          <w:rPr>
            <w:rFonts w:ascii="Cambria Math" w:hAnsi="Cambria Math" w:cs="Times New Roman"/>
            <w:sz w:val="20"/>
            <w:szCs w:val="20"/>
          </w:rPr>
          <m:t>+</m:t>
        </m:r>
        <m:sSub>
          <m:sSubPr>
            <m:ctrlPr>
              <w:rPr>
                <w:rFonts w:ascii="Cambria Math" w:hAnsi="Cambria Math" w:cs="Times New Roman"/>
                <w:b/>
                <w:i/>
                <w:sz w:val="20"/>
                <w:szCs w:val="20"/>
              </w:rPr>
            </m:ctrlPr>
          </m:sSubPr>
          <m:e>
            <m:r>
              <m:rPr>
                <m:sty m:val="bi"/>
              </m:rPr>
              <w:rPr>
                <w:rFonts w:ascii="Cambria Math" w:hAnsi="Cambria Math" w:cs="Times New Roman"/>
                <w:sz w:val="20"/>
                <w:szCs w:val="20"/>
              </w:rPr>
              <m:t>α</m:t>
            </m:r>
          </m:e>
          <m:sub>
            <m:r>
              <m:rPr>
                <m:sty m:val="bi"/>
              </m:rPr>
              <w:rPr>
                <w:rFonts w:ascii="Cambria Math" w:hAnsi="Cambria Math" w:cs="Times New Roman"/>
                <w:sz w:val="20"/>
                <w:szCs w:val="20"/>
              </w:rPr>
              <m:t>1</m:t>
            </m:r>
          </m:sub>
        </m:sSub>
        <m:sSub>
          <m:sSubPr>
            <m:ctrlPr>
              <w:rPr>
                <w:rFonts w:ascii="Cambria Math" w:hAnsi="Cambria Math" w:cs="Times New Roman"/>
                <w:b/>
                <w:i/>
                <w:sz w:val="20"/>
                <w:szCs w:val="20"/>
              </w:rPr>
            </m:ctrlPr>
          </m:sSubPr>
          <m:e>
            <m:r>
              <m:rPr>
                <m:sty m:val="bi"/>
              </m:rPr>
              <w:rPr>
                <w:rFonts w:ascii="Cambria Math" w:hAnsi="Cambria Math" w:cs="Times New Roman"/>
                <w:sz w:val="20"/>
                <w:szCs w:val="20"/>
              </w:rPr>
              <m:t>Crescimento</m:t>
            </m:r>
          </m:e>
          <m:sub>
            <m:r>
              <m:rPr>
                <m:sty m:val="bi"/>
              </m:rPr>
              <w:rPr>
                <w:rFonts w:ascii="Cambria Math" w:hAnsi="Cambria Math" w:cs="Times New Roman"/>
                <w:sz w:val="20"/>
                <w:szCs w:val="20"/>
              </w:rPr>
              <m:t>i</m:t>
            </m:r>
          </m:sub>
        </m:sSub>
        <m:r>
          <m:rPr>
            <m:sty m:val="bi"/>
          </m:rPr>
          <w:rPr>
            <w:rFonts w:ascii="Cambria Math" w:hAnsi="Cambria Math" w:cs="Times New Roman"/>
            <w:sz w:val="20"/>
            <w:szCs w:val="20"/>
          </w:rPr>
          <m:t>+</m:t>
        </m:r>
        <m:sSub>
          <m:sSubPr>
            <m:ctrlPr>
              <w:rPr>
                <w:rFonts w:ascii="Cambria Math" w:hAnsi="Cambria Math" w:cs="Times New Roman"/>
                <w:b/>
                <w:i/>
                <w:sz w:val="20"/>
                <w:szCs w:val="20"/>
              </w:rPr>
            </m:ctrlPr>
          </m:sSubPr>
          <m:e>
            <m:r>
              <m:rPr>
                <m:sty m:val="bi"/>
              </m:rPr>
              <w:rPr>
                <w:rFonts w:ascii="Cambria Math" w:hAnsi="Cambria Math" w:cs="Times New Roman"/>
                <w:sz w:val="20"/>
                <w:szCs w:val="20"/>
              </w:rPr>
              <m:t>α</m:t>
            </m:r>
          </m:e>
          <m:sub>
            <m:r>
              <m:rPr>
                <m:sty m:val="bi"/>
              </m:rPr>
              <w:rPr>
                <w:rFonts w:ascii="Cambria Math" w:hAnsi="Cambria Math" w:cs="Times New Roman"/>
                <w:sz w:val="20"/>
                <w:szCs w:val="20"/>
              </w:rPr>
              <m:t>2</m:t>
            </m:r>
          </m:sub>
        </m:sSub>
        <m:sSub>
          <m:sSubPr>
            <m:ctrlPr>
              <w:rPr>
                <w:rFonts w:ascii="Cambria Math" w:hAnsi="Cambria Math" w:cs="Times New Roman"/>
                <w:b/>
                <w:i/>
                <w:sz w:val="20"/>
                <w:szCs w:val="20"/>
              </w:rPr>
            </m:ctrlPr>
          </m:sSubPr>
          <m:e>
            <m:r>
              <m:rPr>
                <m:sty m:val="bi"/>
              </m:rPr>
              <w:rPr>
                <w:rFonts w:ascii="Cambria Math" w:hAnsi="Cambria Math" w:cs="Times New Roman"/>
                <w:sz w:val="20"/>
                <w:szCs w:val="20"/>
              </w:rPr>
              <m:t>DummySEO</m:t>
            </m:r>
          </m:e>
          <m:sub>
            <m:r>
              <m:rPr>
                <m:sty m:val="bi"/>
              </m:rPr>
              <w:rPr>
                <w:rFonts w:ascii="Cambria Math" w:hAnsi="Cambria Math" w:cs="Times New Roman"/>
                <w:sz w:val="20"/>
                <w:szCs w:val="20"/>
              </w:rPr>
              <m:t>i</m:t>
            </m:r>
          </m:sub>
        </m:sSub>
        <m:r>
          <m:rPr>
            <m:sty m:val="bi"/>
          </m:rPr>
          <w:rPr>
            <w:rFonts w:ascii="Cambria Math" w:hAnsi="Cambria Math" w:cs="Times New Roman"/>
            <w:sz w:val="20"/>
            <w:szCs w:val="20"/>
          </w:rPr>
          <m:t>+</m:t>
        </m:r>
        <m:nary>
          <m:naryPr>
            <m:chr m:val="∑"/>
            <m:limLoc m:val="undOvr"/>
            <m:ctrlPr>
              <w:rPr>
                <w:rFonts w:ascii="Cambria Math" w:hAnsi="Cambria Math" w:cs="Times New Roman"/>
                <w:b/>
                <w:i/>
                <w:sz w:val="20"/>
                <w:szCs w:val="20"/>
              </w:rPr>
            </m:ctrlPr>
          </m:naryPr>
          <m:sub>
            <m:r>
              <m:rPr>
                <m:sty m:val="bi"/>
              </m:rPr>
              <w:rPr>
                <w:rFonts w:ascii="Cambria Math" w:hAnsi="Cambria Math" w:cs="Times New Roman"/>
                <w:sz w:val="20"/>
                <w:szCs w:val="20"/>
              </w:rPr>
              <m:t>j=2004</m:t>
            </m:r>
          </m:sub>
          <m:sup>
            <m:r>
              <m:rPr>
                <m:sty m:val="bi"/>
              </m:rPr>
              <w:rPr>
                <w:rFonts w:ascii="Cambria Math" w:hAnsi="Cambria Math" w:cs="Times New Roman"/>
                <w:sz w:val="20"/>
                <w:szCs w:val="20"/>
              </w:rPr>
              <m:t>2011</m:t>
            </m:r>
          </m:sup>
          <m:e>
            <m:sSub>
              <m:sSubPr>
                <m:ctrlPr>
                  <w:rPr>
                    <w:rFonts w:ascii="Cambria Math" w:hAnsi="Cambria Math" w:cs="Times New Roman"/>
                    <w:b/>
                    <w:i/>
                    <w:sz w:val="20"/>
                    <w:szCs w:val="20"/>
                  </w:rPr>
                </m:ctrlPr>
              </m:sSubPr>
              <m:e>
                <m:r>
                  <m:rPr>
                    <m:sty m:val="bi"/>
                  </m:rPr>
                  <w:rPr>
                    <w:rFonts w:ascii="Cambria Math" w:hAnsi="Cambria Math" w:cs="Times New Roman"/>
                    <w:sz w:val="20"/>
                    <w:szCs w:val="20"/>
                  </w:rPr>
                  <m:t>α</m:t>
                </m:r>
              </m:e>
              <m:sub>
                <m:r>
                  <m:rPr>
                    <m:sty m:val="bi"/>
                  </m:rPr>
                  <w:rPr>
                    <w:rFonts w:ascii="Cambria Math" w:hAnsi="Cambria Math" w:cs="Times New Roman"/>
                    <w:sz w:val="20"/>
                    <w:szCs w:val="20"/>
                  </w:rPr>
                  <m:t>3</m:t>
                </m:r>
              </m:sub>
            </m:sSub>
            <m:sSub>
              <m:sSubPr>
                <m:ctrlPr>
                  <w:rPr>
                    <w:rFonts w:ascii="Cambria Math" w:hAnsi="Cambria Math" w:cs="Times New Roman"/>
                    <w:b/>
                    <w:i/>
                    <w:sz w:val="20"/>
                    <w:szCs w:val="20"/>
                  </w:rPr>
                </m:ctrlPr>
              </m:sSubPr>
              <m:e>
                <m:r>
                  <m:rPr>
                    <m:sty m:val="bi"/>
                  </m:rPr>
                  <w:rPr>
                    <w:rFonts w:ascii="Cambria Math" w:hAnsi="Cambria Math" w:cs="Times New Roman"/>
                    <w:sz w:val="20"/>
                    <w:szCs w:val="20"/>
                  </w:rPr>
                  <m:t>Dummy</m:t>
                </m:r>
              </m:e>
              <m:sub>
                <m:r>
                  <m:rPr>
                    <m:sty m:val="bi"/>
                  </m:rPr>
                  <w:rPr>
                    <w:rFonts w:ascii="Cambria Math" w:hAnsi="Cambria Math" w:cs="Times New Roman"/>
                    <w:sz w:val="20"/>
                    <w:szCs w:val="20"/>
                  </w:rPr>
                  <m:t>j</m:t>
                </m:r>
              </m:sub>
            </m:sSub>
          </m:e>
        </m:nary>
        <m:r>
          <m:rPr>
            <m:sty m:val="bi"/>
          </m:rPr>
          <w:rPr>
            <w:rFonts w:ascii="Cambria Math" w:hAnsi="Cambria Math" w:cs="Times New Roman"/>
            <w:sz w:val="20"/>
            <w:szCs w:val="20"/>
          </w:rPr>
          <m:t>+</m:t>
        </m:r>
        <m:sSub>
          <m:sSubPr>
            <m:ctrlPr>
              <w:rPr>
                <w:rFonts w:ascii="Cambria Math" w:hAnsi="Cambria Math" w:cs="Times New Roman"/>
                <w:b/>
                <w:i/>
                <w:sz w:val="20"/>
                <w:szCs w:val="20"/>
              </w:rPr>
            </m:ctrlPr>
          </m:sSubPr>
          <m:e>
            <m:r>
              <m:rPr>
                <m:sty m:val="bi"/>
              </m:rPr>
              <w:rPr>
                <w:rFonts w:ascii="Cambria Math" w:hAnsi="Cambria Math" w:cs="Times New Roman"/>
                <w:sz w:val="20"/>
                <w:szCs w:val="20"/>
              </w:rPr>
              <m:t>ε</m:t>
            </m:r>
          </m:e>
          <m:sub>
            <m:r>
              <m:rPr>
                <m:sty m:val="bi"/>
              </m:rPr>
              <w:rPr>
                <w:rFonts w:ascii="Cambria Math" w:hAnsi="Cambria Math" w:cs="Times New Roman"/>
                <w:sz w:val="20"/>
                <w:szCs w:val="20"/>
              </w:rPr>
              <m:t>i</m:t>
            </m:r>
          </m:sub>
        </m:sSub>
      </m:oMath>
    </w:p>
    <w:tbl>
      <w:tblPr>
        <w:tblW w:w="5232" w:type="dxa"/>
        <w:jc w:val="center"/>
        <w:tblCellMar>
          <w:left w:w="70" w:type="dxa"/>
          <w:right w:w="70" w:type="dxa"/>
        </w:tblCellMar>
        <w:tblLook w:val="04A0" w:firstRow="1" w:lastRow="0" w:firstColumn="1" w:lastColumn="0" w:noHBand="0" w:noVBand="1"/>
      </w:tblPr>
      <w:tblGrid>
        <w:gridCol w:w="1632"/>
        <w:gridCol w:w="1405"/>
        <w:gridCol w:w="1107"/>
        <w:gridCol w:w="1088"/>
      </w:tblGrid>
      <w:tr w:rsidR="00301961" w:rsidRPr="00933491" w14:paraId="0A4B75B0" w14:textId="77777777" w:rsidTr="004C7DD9">
        <w:trPr>
          <w:trHeight w:val="265"/>
          <w:jc w:val="center"/>
        </w:trPr>
        <w:tc>
          <w:tcPr>
            <w:tcW w:w="1632" w:type="dxa"/>
            <w:tcBorders>
              <w:top w:val="single" w:sz="4" w:space="0" w:color="auto"/>
              <w:left w:val="nil"/>
              <w:bottom w:val="single" w:sz="4" w:space="0" w:color="auto"/>
              <w:right w:val="nil"/>
            </w:tcBorders>
            <w:shd w:val="clear" w:color="auto" w:fill="auto"/>
            <w:noWrap/>
            <w:vAlign w:val="bottom"/>
            <w:hideMark/>
          </w:tcPr>
          <w:p w14:paraId="07CA23B7" w14:textId="77777777" w:rsidR="00643A1C" w:rsidRPr="003E40AC" w:rsidRDefault="00643A1C" w:rsidP="0056798E">
            <w:pPr>
              <w:spacing w:after="0" w:line="240" w:lineRule="auto"/>
              <w:jc w:val="center"/>
              <w:rPr>
                <w:rFonts w:ascii="Times New Roman" w:eastAsia="Times New Roman" w:hAnsi="Times New Roman" w:cs="Times New Roman"/>
                <w:b/>
                <w:bCs/>
                <w:sz w:val="20"/>
                <w:szCs w:val="20"/>
                <w:lang w:eastAsia="pt-BR"/>
              </w:rPr>
            </w:pPr>
            <w:r w:rsidRPr="003E40AC">
              <w:rPr>
                <w:rFonts w:ascii="Times New Roman" w:eastAsia="Times New Roman" w:hAnsi="Times New Roman" w:cs="Times New Roman"/>
                <w:b/>
                <w:bCs/>
                <w:sz w:val="20"/>
                <w:szCs w:val="20"/>
                <w:lang w:eastAsia="pt-BR"/>
              </w:rPr>
              <w:t>Variável</w:t>
            </w:r>
          </w:p>
        </w:tc>
        <w:tc>
          <w:tcPr>
            <w:tcW w:w="1405" w:type="dxa"/>
            <w:tcBorders>
              <w:top w:val="single" w:sz="4" w:space="0" w:color="auto"/>
              <w:left w:val="nil"/>
              <w:bottom w:val="single" w:sz="4" w:space="0" w:color="auto"/>
              <w:right w:val="nil"/>
            </w:tcBorders>
            <w:shd w:val="clear" w:color="auto" w:fill="auto"/>
            <w:noWrap/>
            <w:vAlign w:val="bottom"/>
            <w:hideMark/>
          </w:tcPr>
          <w:p w14:paraId="70C8CAF7" w14:textId="77777777" w:rsidR="00643A1C" w:rsidRPr="003E40AC" w:rsidRDefault="00643A1C" w:rsidP="0056798E">
            <w:pPr>
              <w:spacing w:after="0" w:line="240" w:lineRule="auto"/>
              <w:jc w:val="center"/>
              <w:rPr>
                <w:rFonts w:ascii="Times New Roman" w:eastAsia="Times New Roman" w:hAnsi="Times New Roman" w:cs="Times New Roman"/>
                <w:b/>
                <w:bCs/>
                <w:sz w:val="20"/>
                <w:szCs w:val="20"/>
                <w:lang w:eastAsia="pt-BR"/>
              </w:rPr>
            </w:pPr>
            <w:r w:rsidRPr="003E40AC">
              <w:rPr>
                <w:rFonts w:ascii="Times New Roman" w:eastAsia="Times New Roman" w:hAnsi="Times New Roman" w:cs="Times New Roman"/>
                <w:b/>
                <w:bCs/>
                <w:sz w:val="20"/>
                <w:szCs w:val="20"/>
                <w:lang w:eastAsia="pt-BR"/>
              </w:rPr>
              <w:t>Coeficiente</w:t>
            </w:r>
          </w:p>
        </w:tc>
        <w:tc>
          <w:tcPr>
            <w:tcW w:w="1107" w:type="dxa"/>
            <w:tcBorders>
              <w:top w:val="single" w:sz="4" w:space="0" w:color="auto"/>
              <w:left w:val="nil"/>
              <w:bottom w:val="single" w:sz="4" w:space="0" w:color="auto"/>
              <w:right w:val="nil"/>
            </w:tcBorders>
            <w:shd w:val="clear" w:color="auto" w:fill="auto"/>
            <w:noWrap/>
            <w:vAlign w:val="bottom"/>
            <w:hideMark/>
          </w:tcPr>
          <w:p w14:paraId="621F5B5E" w14:textId="6E21F9D6" w:rsidR="00643A1C" w:rsidRPr="00933491" w:rsidRDefault="00C26BAC" w:rsidP="0056798E">
            <w:pPr>
              <w:spacing w:after="0" w:line="240" w:lineRule="auto"/>
              <w:jc w:val="center"/>
              <w:rPr>
                <w:rFonts w:ascii="Times New Roman" w:eastAsia="Times New Roman" w:hAnsi="Times New Roman" w:cs="Times New Roman"/>
                <w:b/>
                <w:bCs/>
                <w:sz w:val="20"/>
                <w:szCs w:val="20"/>
                <w:lang w:eastAsia="pt-BR"/>
              </w:rPr>
            </w:pPr>
            <w:r w:rsidRPr="00933491">
              <w:rPr>
                <w:rFonts w:ascii="Times New Roman" w:eastAsia="Times New Roman" w:hAnsi="Times New Roman" w:cs="Times New Roman"/>
                <w:b/>
                <w:bCs/>
                <w:sz w:val="20"/>
                <w:szCs w:val="20"/>
                <w:lang w:eastAsia="pt-BR"/>
              </w:rPr>
              <w:t>T</w:t>
            </w:r>
          </w:p>
        </w:tc>
        <w:tc>
          <w:tcPr>
            <w:tcW w:w="1088" w:type="dxa"/>
            <w:tcBorders>
              <w:top w:val="single" w:sz="4" w:space="0" w:color="auto"/>
              <w:left w:val="nil"/>
              <w:bottom w:val="single" w:sz="4" w:space="0" w:color="auto"/>
              <w:right w:val="nil"/>
            </w:tcBorders>
            <w:shd w:val="clear" w:color="auto" w:fill="auto"/>
            <w:noWrap/>
            <w:vAlign w:val="bottom"/>
            <w:hideMark/>
          </w:tcPr>
          <w:p w14:paraId="680105E1" w14:textId="77777777" w:rsidR="00643A1C" w:rsidRPr="00933491" w:rsidRDefault="00643A1C" w:rsidP="0056798E">
            <w:pPr>
              <w:spacing w:after="0" w:line="240" w:lineRule="auto"/>
              <w:jc w:val="center"/>
              <w:rPr>
                <w:rFonts w:ascii="Times New Roman" w:eastAsia="Times New Roman" w:hAnsi="Times New Roman" w:cs="Times New Roman"/>
                <w:b/>
                <w:bCs/>
                <w:sz w:val="20"/>
                <w:szCs w:val="20"/>
                <w:lang w:eastAsia="pt-BR"/>
              </w:rPr>
            </w:pPr>
            <w:proofErr w:type="gramStart"/>
            <w:r w:rsidRPr="00933491">
              <w:rPr>
                <w:rFonts w:ascii="Times New Roman" w:eastAsia="Times New Roman" w:hAnsi="Times New Roman" w:cs="Times New Roman"/>
                <w:b/>
                <w:bCs/>
                <w:sz w:val="20"/>
                <w:szCs w:val="20"/>
                <w:lang w:eastAsia="pt-BR"/>
              </w:rPr>
              <w:t>p</w:t>
            </w:r>
            <w:proofErr w:type="gramEnd"/>
            <w:r w:rsidRPr="00933491">
              <w:rPr>
                <w:rFonts w:ascii="Times New Roman" w:eastAsia="Times New Roman" w:hAnsi="Times New Roman" w:cs="Times New Roman"/>
                <w:b/>
                <w:bCs/>
                <w:sz w:val="20"/>
                <w:szCs w:val="20"/>
                <w:lang w:eastAsia="pt-BR"/>
              </w:rPr>
              <w:t>-valor</w:t>
            </w:r>
          </w:p>
        </w:tc>
      </w:tr>
      <w:tr w:rsidR="00421F9A" w:rsidRPr="00933491" w14:paraId="73FF8D29" w14:textId="77777777" w:rsidTr="004C7DD9">
        <w:trPr>
          <w:trHeight w:val="265"/>
          <w:jc w:val="center"/>
        </w:trPr>
        <w:tc>
          <w:tcPr>
            <w:tcW w:w="1632" w:type="dxa"/>
            <w:tcBorders>
              <w:top w:val="single" w:sz="4" w:space="0" w:color="auto"/>
              <w:left w:val="nil"/>
              <w:bottom w:val="nil"/>
              <w:right w:val="nil"/>
            </w:tcBorders>
            <w:shd w:val="clear" w:color="auto" w:fill="auto"/>
            <w:noWrap/>
            <w:vAlign w:val="bottom"/>
            <w:hideMark/>
          </w:tcPr>
          <w:p w14:paraId="0BEE9876" w14:textId="77777777" w:rsidR="00421F9A" w:rsidRPr="00CC11DC" w:rsidRDefault="00421F9A" w:rsidP="0056798E">
            <w:pPr>
              <w:spacing w:after="0" w:line="240" w:lineRule="auto"/>
              <w:rPr>
                <w:rFonts w:ascii="Times New Roman" w:eastAsia="Times New Roman" w:hAnsi="Times New Roman" w:cs="Times New Roman"/>
                <w:sz w:val="20"/>
                <w:szCs w:val="20"/>
                <w:lang w:eastAsia="pt-BR"/>
              </w:rPr>
            </w:pPr>
            <w:r w:rsidRPr="00CC11DC">
              <w:rPr>
                <w:rFonts w:ascii="Times New Roman" w:eastAsia="Times New Roman" w:hAnsi="Times New Roman" w:cs="Times New Roman"/>
                <w:sz w:val="20"/>
                <w:szCs w:val="20"/>
                <w:lang w:eastAsia="pt-BR"/>
              </w:rPr>
              <w:t>Crescimento</w:t>
            </w:r>
          </w:p>
        </w:tc>
        <w:tc>
          <w:tcPr>
            <w:tcW w:w="1405" w:type="dxa"/>
            <w:tcBorders>
              <w:top w:val="single" w:sz="4" w:space="0" w:color="auto"/>
              <w:left w:val="nil"/>
              <w:bottom w:val="nil"/>
              <w:right w:val="nil"/>
            </w:tcBorders>
            <w:shd w:val="clear" w:color="auto" w:fill="auto"/>
            <w:noWrap/>
            <w:vAlign w:val="bottom"/>
          </w:tcPr>
          <w:p w14:paraId="5B5BB132" w14:textId="6ABDD430" w:rsidR="00421F9A" w:rsidRPr="003E40AC" w:rsidRDefault="00421F9A" w:rsidP="0056798E">
            <w:pPr>
              <w:spacing w:after="0" w:line="240" w:lineRule="auto"/>
              <w:jc w:val="center"/>
              <w:rPr>
                <w:rFonts w:ascii="Times New Roman" w:eastAsia="Times New Roman" w:hAnsi="Times New Roman" w:cs="Times New Roman"/>
                <w:sz w:val="20"/>
                <w:szCs w:val="20"/>
                <w:lang w:eastAsia="pt-BR"/>
              </w:rPr>
            </w:pPr>
            <w:r w:rsidRPr="003E40AC">
              <w:rPr>
                <w:rFonts w:ascii="Times New Roman" w:hAnsi="Times New Roman" w:cs="Times New Roman"/>
                <w:color w:val="000000"/>
                <w:sz w:val="20"/>
              </w:rPr>
              <w:t>-</w:t>
            </w:r>
            <w:r w:rsidR="00A36B37">
              <w:rPr>
                <w:rFonts w:ascii="Times New Roman" w:hAnsi="Times New Roman" w:cs="Times New Roman"/>
                <w:color w:val="000000"/>
                <w:sz w:val="20"/>
              </w:rPr>
              <w:t>0,083</w:t>
            </w:r>
          </w:p>
        </w:tc>
        <w:tc>
          <w:tcPr>
            <w:tcW w:w="1107" w:type="dxa"/>
            <w:tcBorders>
              <w:top w:val="single" w:sz="4" w:space="0" w:color="auto"/>
              <w:left w:val="nil"/>
              <w:bottom w:val="nil"/>
              <w:right w:val="nil"/>
            </w:tcBorders>
            <w:shd w:val="clear" w:color="auto" w:fill="auto"/>
            <w:noWrap/>
            <w:vAlign w:val="bottom"/>
          </w:tcPr>
          <w:p w14:paraId="67A9AC32" w14:textId="51B029DB" w:rsidR="00421F9A" w:rsidRPr="00933491" w:rsidRDefault="00983FD0" w:rsidP="0056798E">
            <w:pPr>
              <w:spacing w:after="0" w:line="240" w:lineRule="auto"/>
              <w:jc w:val="center"/>
              <w:rPr>
                <w:rFonts w:ascii="Times New Roman" w:eastAsia="Times New Roman" w:hAnsi="Times New Roman" w:cs="Times New Roman"/>
                <w:sz w:val="20"/>
                <w:szCs w:val="20"/>
                <w:lang w:eastAsia="pt-BR"/>
              </w:rPr>
            </w:pPr>
            <w:r w:rsidRPr="00983FD0">
              <w:rPr>
                <w:rFonts w:ascii="Times New Roman" w:hAnsi="Times New Roman" w:cs="Times New Roman"/>
                <w:color w:val="000000"/>
                <w:sz w:val="20"/>
              </w:rPr>
              <w:t>-</w:t>
            </w:r>
            <w:r w:rsidR="00A36B37">
              <w:rPr>
                <w:rFonts w:ascii="Times New Roman" w:hAnsi="Times New Roman" w:cs="Times New Roman"/>
                <w:color w:val="000000"/>
                <w:sz w:val="20"/>
              </w:rPr>
              <w:t>5.275</w:t>
            </w:r>
          </w:p>
        </w:tc>
        <w:tc>
          <w:tcPr>
            <w:tcW w:w="1088" w:type="dxa"/>
            <w:tcBorders>
              <w:top w:val="single" w:sz="4" w:space="0" w:color="auto"/>
              <w:left w:val="nil"/>
              <w:bottom w:val="nil"/>
              <w:right w:val="nil"/>
            </w:tcBorders>
            <w:shd w:val="clear" w:color="auto" w:fill="auto"/>
            <w:noWrap/>
            <w:vAlign w:val="bottom"/>
          </w:tcPr>
          <w:p w14:paraId="733FDC9E" w14:textId="634DA46A" w:rsidR="00421F9A" w:rsidRPr="00933491" w:rsidRDefault="00A36B37" w:rsidP="0056798E">
            <w:pPr>
              <w:spacing w:after="0" w:line="240" w:lineRule="auto"/>
              <w:jc w:val="center"/>
              <w:rPr>
                <w:rFonts w:ascii="Times New Roman" w:eastAsia="Times New Roman" w:hAnsi="Times New Roman" w:cs="Times New Roman"/>
                <w:sz w:val="20"/>
                <w:szCs w:val="20"/>
                <w:lang w:eastAsia="pt-BR"/>
              </w:rPr>
            </w:pPr>
            <w:r>
              <w:rPr>
                <w:rFonts w:ascii="Times New Roman" w:hAnsi="Times New Roman" w:cs="Times New Roman"/>
                <w:color w:val="000000"/>
                <w:sz w:val="20"/>
              </w:rPr>
              <w:t>0,000</w:t>
            </w:r>
          </w:p>
        </w:tc>
      </w:tr>
      <w:tr w:rsidR="00421F9A" w:rsidRPr="00933491" w14:paraId="0E1405AE" w14:textId="77777777" w:rsidTr="004C7DD9">
        <w:trPr>
          <w:trHeight w:val="265"/>
          <w:jc w:val="center"/>
        </w:trPr>
        <w:tc>
          <w:tcPr>
            <w:tcW w:w="1632" w:type="dxa"/>
            <w:tcBorders>
              <w:top w:val="nil"/>
              <w:left w:val="nil"/>
              <w:bottom w:val="nil"/>
              <w:right w:val="nil"/>
            </w:tcBorders>
            <w:shd w:val="clear" w:color="auto" w:fill="auto"/>
            <w:noWrap/>
            <w:vAlign w:val="bottom"/>
            <w:hideMark/>
          </w:tcPr>
          <w:p w14:paraId="2DD75029" w14:textId="5EA738A4" w:rsidR="00421F9A" w:rsidRPr="00CC11DC" w:rsidRDefault="00421F9A" w:rsidP="0056798E">
            <w:pPr>
              <w:spacing w:after="0" w:line="240" w:lineRule="auto"/>
              <w:rPr>
                <w:rFonts w:ascii="Times New Roman" w:eastAsia="Times New Roman" w:hAnsi="Times New Roman" w:cs="Times New Roman"/>
                <w:i/>
                <w:sz w:val="20"/>
                <w:szCs w:val="20"/>
                <w:lang w:eastAsia="pt-BR"/>
              </w:rPr>
            </w:pPr>
            <w:proofErr w:type="spellStart"/>
            <w:r w:rsidRPr="00CC11DC">
              <w:rPr>
                <w:rFonts w:ascii="Times New Roman" w:eastAsia="Times New Roman" w:hAnsi="Times New Roman" w:cs="Times New Roman"/>
                <w:i/>
                <w:sz w:val="20"/>
                <w:szCs w:val="20"/>
                <w:lang w:eastAsia="pt-BR"/>
              </w:rPr>
              <w:t>Dummy</w:t>
            </w:r>
            <w:r w:rsidR="00C26BAC">
              <w:rPr>
                <w:rFonts w:ascii="Times New Roman" w:eastAsia="Times New Roman" w:hAnsi="Times New Roman" w:cs="Times New Roman"/>
                <w:i/>
                <w:sz w:val="20"/>
                <w:szCs w:val="20"/>
                <w:lang w:eastAsia="pt-BR"/>
              </w:rPr>
              <w:t>SEO</w:t>
            </w:r>
            <w:proofErr w:type="spellEnd"/>
          </w:p>
        </w:tc>
        <w:tc>
          <w:tcPr>
            <w:tcW w:w="1405" w:type="dxa"/>
            <w:tcBorders>
              <w:top w:val="nil"/>
              <w:left w:val="nil"/>
              <w:bottom w:val="nil"/>
              <w:right w:val="nil"/>
            </w:tcBorders>
            <w:shd w:val="clear" w:color="auto" w:fill="auto"/>
            <w:noWrap/>
            <w:vAlign w:val="bottom"/>
          </w:tcPr>
          <w:p w14:paraId="382B0EE2" w14:textId="6C37432B" w:rsidR="00421F9A" w:rsidRPr="003E40AC" w:rsidRDefault="00A36B37" w:rsidP="0056798E">
            <w:pPr>
              <w:spacing w:after="0" w:line="240" w:lineRule="auto"/>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-0,</w:t>
            </w:r>
            <w:r w:rsidRPr="00A36B37">
              <w:rPr>
                <w:rFonts w:ascii="Times New Roman" w:eastAsia="Times New Roman" w:hAnsi="Times New Roman" w:cs="Times New Roman"/>
                <w:sz w:val="20"/>
                <w:szCs w:val="20"/>
                <w:lang w:eastAsia="pt-BR"/>
              </w:rPr>
              <w:t>791</w:t>
            </w:r>
          </w:p>
        </w:tc>
        <w:tc>
          <w:tcPr>
            <w:tcW w:w="1107" w:type="dxa"/>
            <w:tcBorders>
              <w:top w:val="nil"/>
              <w:left w:val="nil"/>
              <w:bottom w:val="nil"/>
              <w:right w:val="nil"/>
            </w:tcBorders>
            <w:shd w:val="clear" w:color="auto" w:fill="auto"/>
            <w:noWrap/>
            <w:vAlign w:val="bottom"/>
          </w:tcPr>
          <w:p w14:paraId="66E6D3B5" w14:textId="1D83609B" w:rsidR="00421F9A" w:rsidRPr="00933491" w:rsidRDefault="00A36B37" w:rsidP="0056798E">
            <w:pPr>
              <w:spacing w:after="0" w:line="240" w:lineRule="auto"/>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-0,</w:t>
            </w:r>
            <w:r w:rsidRPr="00A36B37">
              <w:rPr>
                <w:rFonts w:ascii="Times New Roman" w:eastAsia="Times New Roman" w:hAnsi="Times New Roman" w:cs="Times New Roman"/>
                <w:sz w:val="20"/>
                <w:szCs w:val="20"/>
                <w:lang w:eastAsia="pt-BR"/>
              </w:rPr>
              <w:t>20</w:t>
            </w:r>
            <w:r>
              <w:rPr>
                <w:rFonts w:ascii="Times New Roman" w:eastAsia="Times New Roman" w:hAnsi="Times New Roman" w:cs="Times New Roman"/>
                <w:sz w:val="20"/>
                <w:szCs w:val="20"/>
                <w:lang w:eastAsia="pt-BR"/>
              </w:rPr>
              <w:t>7</w:t>
            </w:r>
          </w:p>
        </w:tc>
        <w:tc>
          <w:tcPr>
            <w:tcW w:w="1088" w:type="dxa"/>
            <w:tcBorders>
              <w:top w:val="nil"/>
              <w:left w:val="nil"/>
              <w:bottom w:val="nil"/>
              <w:right w:val="nil"/>
            </w:tcBorders>
            <w:shd w:val="clear" w:color="auto" w:fill="auto"/>
            <w:noWrap/>
            <w:vAlign w:val="bottom"/>
          </w:tcPr>
          <w:p w14:paraId="4054BE44" w14:textId="1FCA1A9F" w:rsidR="00421F9A" w:rsidRPr="00933491" w:rsidRDefault="00A36B37" w:rsidP="0056798E">
            <w:pPr>
              <w:spacing w:after="0" w:line="240" w:lineRule="auto"/>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0,</w:t>
            </w:r>
            <w:r w:rsidRPr="00A36B37">
              <w:rPr>
                <w:rFonts w:ascii="Times New Roman" w:eastAsia="Times New Roman" w:hAnsi="Times New Roman" w:cs="Times New Roman"/>
                <w:sz w:val="20"/>
                <w:szCs w:val="20"/>
                <w:lang w:eastAsia="pt-BR"/>
              </w:rPr>
              <w:t>836</w:t>
            </w:r>
          </w:p>
        </w:tc>
      </w:tr>
      <w:tr w:rsidR="00421F9A" w:rsidRPr="00933491" w14:paraId="29A37442" w14:textId="77777777" w:rsidTr="004C7DD9">
        <w:trPr>
          <w:trHeight w:val="265"/>
          <w:jc w:val="center"/>
        </w:trPr>
        <w:tc>
          <w:tcPr>
            <w:tcW w:w="1632" w:type="dxa"/>
            <w:tcBorders>
              <w:top w:val="nil"/>
              <w:left w:val="nil"/>
              <w:bottom w:val="single" w:sz="4" w:space="0" w:color="auto"/>
              <w:right w:val="nil"/>
            </w:tcBorders>
            <w:shd w:val="clear" w:color="auto" w:fill="auto"/>
            <w:noWrap/>
            <w:vAlign w:val="bottom"/>
            <w:hideMark/>
          </w:tcPr>
          <w:p w14:paraId="312AA8EC" w14:textId="77777777" w:rsidR="00421F9A" w:rsidRPr="00CC11DC" w:rsidRDefault="00421F9A" w:rsidP="0056798E">
            <w:pPr>
              <w:spacing w:after="0" w:line="240" w:lineRule="auto"/>
              <w:rPr>
                <w:rFonts w:ascii="Times New Roman" w:eastAsia="Times New Roman" w:hAnsi="Times New Roman" w:cs="Times New Roman"/>
                <w:sz w:val="20"/>
                <w:szCs w:val="20"/>
                <w:lang w:eastAsia="pt-BR"/>
              </w:rPr>
            </w:pPr>
            <w:r w:rsidRPr="00CC11DC">
              <w:rPr>
                <w:rFonts w:ascii="Times New Roman" w:eastAsia="Times New Roman" w:hAnsi="Times New Roman" w:cs="Times New Roman"/>
                <w:sz w:val="20"/>
                <w:szCs w:val="20"/>
                <w:lang w:eastAsia="pt-BR"/>
              </w:rPr>
              <w:t>Intercepto</w:t>
            </w:r>
          </w:p>
        </w:tc>
        <w:tc>
          <w:tcPr>
            <w:tcW w:w="1405" w:type="dxa"/>
            <w:tcBorders>
              <w:top w:val="nil"/>
              <w:left w:val="nil"/>
              <w:bottom w:val="single" w:sz="4" w:space="0" w:color="auto"/>
              <w:right w:val="nil"/>
            </w:tcBorders>
            <w:shd w:val="clear" w:color="auto" w:fill="auto"/>
            <w:noWrap/>
            <w:vAlign w:val="bottom"/>
          </w:tcPr>
          <w:p w14:paraId="4C9F2EDD" w14:textId="12CC3033" w:rsidR="00421F9A" w:rsidRPr="003E40AC" w:rsidRDefault="00A36B37" w:rsidP="0056798E">
            <w:pPr>
              <w:spacing w:after="0" w:line="240" w:lineRule="auto"/>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16,</w:t>
            </w:r>
            <w:r w:rsidRPr="00A36B37">
              <w:rPr>
                <w:rFonts w:ascii="Times New Roman" w:eastAsia="Times New Roman" w:hAnsi="Times New Roman" w:cs="Times New Roman"/>
                <w:sz w:val="20"/>
                <w:szCs w:val="20"/>
                <w:lang w:eastAsia="pt-BR"/>
              </w:rPr>
              <w:t>741</w:t>
            </w:r>
          </w:p>
        </w:tc>
        <w:tc>
          <w:tcPr>
            <w:tcW w:w="1107" w:type="dxa"/>
            <w:tcBorders>
              <w:top w:val="nil"/>
              <w:left w:val="nil"/>
              <w:bottom w:val="single" w:sz="4" w:space="0" w:color="auto"/>
              <w:right w:val="nil"/>
            </w:tcBorders>
            <w:shd w:val="clear" w:color="auto" w:fill="auto"/>
            <w:noWrap/>
            <w:vAlign w:val="bottom"/>
          </w:tcPr>
          <w:p w14:paraId="11D5B8EB" w14:textId="65133979" w:rsidR="00421F9A" w:rsidRPr="00933491" w:rsidRDefault="00A36B37" w:rsidP="0056798E">
            <w:pPr>
              <w:spacing w:after="0" w:line="240" w:lineRule="auto"/>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2,</w:t>
            </w:r>
            <w:r w:rsidRPr="00A36B37">
              <w:rPr>
                <w:rFonts w:ascii="Times New Roman" w:eastAsia="Times New Roman" w:hAnsi="Times New Roman" w:cs="Times New Roman"/>
                <w:sz w:val="20"/>
                <w:szCs w:val="20"/>
                <w:lang w:eastAsia="pt-BR"/>
              </w:rPr>
              <w:t>782</w:t>
            </w:r>
          </w:p>
        </w:tc>
        <w:tc>
          <w:tcPr>
            <w:tcW w:w="1088" w:type="dxa"/>
            <w:tcBorders>
              <w:top w:val="nil"/>
              <w:left w:val="nil"/>
              <w:bottom w:val="single" w:sz="4" w:space="0" w:color="auto"/>
              <w:right w:val="nil"/>
            </w:tcBorders>
            <w:shd w:val="clear" w:color="auto" w:fill="auto"/>
            <w:noWrap/>
            <w:vAlign w:val="bottom"/>
          </w:tcPr>
          <w:p w14:paraId="4F23C0AC" w14:textId="5F53CE4E" w:rsidR="00421F9A" w:rsidRPr="00933491" w:rsidRDefault="00A36B37" w:rsidP="0056798E">
            <w:pPr>
              <w:spacing w:after="0" w:line="240" w:lineRule="auto"/>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0,006</w:t>
            </w:r>
          </w:p>
        </w:tc>
      </w:tr>
    </w:tbl>
    <w:p w14:paraId="551BA8FA" w14:textId="77777777" w:rsidR="00421F9A" w:rsidRPr="00CC11DC" w:rsidRDefault="00421F9A" w:rsidP="0056798E">
      <w:pPr>
        <w:spacing w:after="0" w:line="240" w:lineRule="auto"/>
        <w:ind w:firstLine="708"/>
        <w:jc w:val="both"/>
        <w:rPr>
          <w:rFonts w:ascii="Times New Roman" w:hAnsi="Times New Roman" w:cs="Times New Roman"/>
          <w:sz w:val="24"/>
          <w:szCs w:val="24"/>
        </w:rPr>
      </w:pPr>
    </w:p>
    <w:p w14:paraId="7F534B3A" w14:textId="224BAB11" w:rsidR="00785E32" w:rsidRPr="00933491" w:rsidRDefault="00421F9A" w:rsidP="00157D35">
      <w:pPr>
        <w:spacing w:after="0" w:line="240" w:lineRule="auto"/>
        <w:ind w:firstLine="709"/>
        <w:jc w:val="both"/>
        <w:rPr>
          <w:rFonts w:ascii="Times New Roman" w:hAnsi="Times New Roman" w:cs="Times New Roman"/>
          <w:sz w:val="24"/>
          <w:szCs w:val="24"/>
        </w:rPr>
      </w:pPr>
      <w:r w:rsidRPr="003E40AC">
        <w:rPr>
          <w:rFonts w:ascii="Times New Roman" w:hAnsi="Times New Roman" w:cs="Times New Roman"/>
          <w:sz w:val="24"/>
          <w:szCs w:val="24"/>
        </w:rPr>
        <w:t>A Tabela 13</w:t>
      </w:r>
      <w:r w:rsidR="00301961" w:rsidRPr="003E40AC">
        <w:rPr>
          <w:rFonts w:ascii="Times New Roman" w:hAnsi="Times New Roman" w:cs="Times New Roman"/>
          <w:sz w:val="24"/>
          <w:szCs w:val="24"/>
        </w:rPr>
        <w:t xml:space="preserve"> apresenta os coeficientes e sua significância estatística. Os erros padrão dos parâmetros estimados são consistentes para </w:t>
      </w:r>
      <w:proofErr w:type="spellStart"/>
      <w:r w:rsidR="00301961" w:rsidRPr="003E40AC">
        <w:rPr>
          <w:rFonts w:ascii="Times New Roman" w:hAnsi="Times New Roman" w:cs="Times New Roman"/>
          <w:sz w:val="24"/>
          <w:szCs w:val="24"/>
        </w:rPr>
        <w:t>heterocedasticidade</w:t>
      </w:r>
      <w:proofErr w:type="spellEnd"/>
      <w:r w:rsidR="00301961" w:rsidRPr="003E40AC">
        <w:rPr>
          <w:rFonts w:ascii="Times New Roman" w:hAnsi="Times New Roman" w:cs="Times New Roman"/>
          <w:sz w:val="24"/>
          <w:szCs w:val="24"/>
        </w:rPr>
        <w:t xml:space="preserve"> e </w:t>
      </w:r>
      <w:proofErr w:type="spellStart"/>
      <w:r w:rsidR="00301961" w:rsidRPr="003E40AC">
        <w:rPr>
          <w:rFonts w:ascii="Times New Roman" w:hAnsi="Times New Roman" w:cs="Times New Roman"/>
          <w:sz w:val="24"/>
          <w:szCs w:val="24"/>
        </w:rPr>
        <w:t>autocorrelação</w:t>
      </w:r>
      <w:proofErr w:type="spellEnd"/>
      <w:r w:rsidR="00BA6441" w:rsidRPr="00933491">
        <w:rPr>
          <w:rFonts w:ascii="Times New Roman" w:hAnsi="Times New Roman" w:cs="Times New Roman"/>
          <w:sz w:val="24"/>
          <w:szCs w:val="24"/>
        </w:rPr>
        <w:t>, usando a matriz robusta de Newey-West</w:t>
      </w:r>
      <w:r w:rsidR="00301961" w:rsidRPr="00933491">
        <w:rPr>
          <w:rFonts w:ascii="Times New Roman" w:hAnsi="Times New Roman" w:cs="Times New Roman"/>
          <w:sz w:val="24"/>
          <w:szCs w:val="24"/>
        </w:rPr>
        <w:t>.</w:t>
      </w:r>
      <w:r w:rsidR="002C5753" w:rsidRPr="00933491">
        <w:rPr>
          <w:rFonts w:ascii="Times New Roman" w:hAnsi="Times New Roman" w:cs="Times New Roman"/>
          <w:sz w:val="24"/>
          <w:szCs w:val="24"/>
        </w:rPr>
        <w:t xml:space="preserve"> </w:t>
      </w:r>
      <w:r w:rsidR="00F5303B" w:rsidRPr="00933491">
        <w:rPr>
          <w:rFonts w:ascii="Times New Roman" w:hAnsi="Times New Roman" w:cs="Times New Roman"/>
          <w:sz w:val="24"/>
          <w:szCs w:val="24"/>
        </w:rPr>
        <w:t xml:space="preserve">Constata-se que o crescimento da empresa é </w:t>
      </w:r>
      <w:r w:rsidRPr="00933491">
        <w:rPr>
          <w:rFonts w:ascii="Times New Roman" w:hAnsi="Times New Roman" w:cs="Times New Roman"/>
          <w:sz w:val="24"/>
          <w:szCs w:val="24"/>
        </w:rPr>
        <w:t>negativamente</w:t>
      </w:r>
      <w:r w:rsidR="00F5303B" w:rsidRPr="00933491">
        <w:rPr>
          <w:rFonts w:ascii="Times New Roman" w:hAnsi="Times New Roman" w:cs="Times New Roman"/>
          <w:sz w:val="24"/>
          <w:szCs w:val="24"/>
        </w:rPr>
        <w:t xml:space="preserve"> relacionado com o retorno subsequente ajustado ao merc</w:t>
      </w:r>
      <w:r w:rsidR="004A4BAA" w:rsidRPr="00933491">
        <w:rPr>
          <w:rFonts w:ascii="Times New Roman" w:hAnsi="Times New Roman" w:cs="Times New Roman"/>
          <w:sz w:val="24"/>
          <w:szCs w:val="24"/>
        </w:rPr>
        <w:t xml:space="preserve">ado, </w:t>
      </w:r>
      <w:r w:rsidR="003D38FB">
        <w:rPr>
          <w:rFonts w:ascii="Times New Roman" w:hAnsi="Times New Roman" w:cs="Times New Roman"/>
          <w:sz w:val="24"/>
          <w:szCs w:val="24"/>
        </w:rPr>
        <w:t>com significância estatística de 1%</w:t>
      </w:r>
      <w:r w:rsidR="0026428B">
        <w:rPr>
          <w:rFonts w:ascii="Times New Roman" w:hAnsi="Times New Roman" w:cs="Times New Roman"/>
          <w:sz w:val="24"/>
          <w:szCs w:val="24"/>
        </w:rPr>
        <w:t>,</w:t>
      </w:r>
      <w:r w:rsidR="003D38FB">
        <w:rPr>
          <w:rFonts w:ascii="Times New Roman" w:hAnsi="Times New Roman" w:cs="Times New Roman"/>
          <w:sz w:val="24"/>
          <w:szCs w:val="24"/>
        </w:rPr>
        <w:t xml:space="preserve"> </w:t>
      </w:r>
      <w:r w:rsidR="0026428B">
        <w:rPr>
          <w:rFonts w:ascii="Times New Roman" w:hAnsi="Times New Roman" w:cs="Times New Roman"/>
          <w:sz w:val="24"/>
          <w:szCs w:val="24"/>
        </w:rPr>
        <w:t>s</w:t>
      </w:r>
      <w:r w:rsidR="003D38FB">
        <w:rPr>
          <w:rFonts w:ascii="Times New Roman" w:hAnsi="Times New Roman" w:cs="Times New Roman"/>
          <w:sz w:val="24"/>
          <w:szCs w:val="24"/>
        </w:rPr>
        <w:t xml:space="preserve">ugerindo, portanto, </w:t>
      </w:r>
      <w:r w:rsidR="003D38FB" w:rsidRPr="00933491">
        <w:rPr>
          <w:rFonts w:ascii="Times New Roman" w:hAnsi="Times New Roman" w:cs="Times New Roman"/>
          <w:sz w:val="24"/>
          <w:szCs w:val="24"/>
        </w:rPr>
        <w:t>que o baixo desempenho acionário das empresas pós SEO é justificado pelo fato de</w:t>
      </w:r>
      <w:r w:rsidR="0063303C">
        <w:rPr>
          <w:rFonts w:ascii="Times New Roman" w:hAnsi="Times New Roman" w:cs="Times New Roman"/>
          <w:sz w:val="24"/>
          <w:szCs w:val="24"/>
        </w:rPr>
        <w:t xml:space="preserve"> e</w:t>
      </w:r>
      <w:r w:rsidR="003D38FB" w:rsidRPr="00933491">
        <w:rPr>
          <w:rFonts w:ascii="Times New Roman" w:hAnsi="Times New Roman" w:cs="Times New Roman"/>
          <w:sz w:val="24"/>
          <w:szCs w:val="24"/>
        </w:rPr>
        <w:t>ssas empre</w:t>
      </w:r>
      <w:r w:rsidR="00D134B7">
        <w:rPr>
          <w:rFonts w:ascii="Times New Roman" w:hAnsi="Times New Roman" w:cs="Times New Roman"/>
          <w:sz w:val="24"/>
          <w:szCs w:val="24"/>
        </w:rPr>
        <w:t xml:space="preserve">sas crescerem mais rapidamente, estando desassociado ao fato de a empresa realizar ou não SEO. Assim, tal achado não corrobora os resultados de </w:t>
      </w:r>
      <w:proofErr w:type="spellStart"/>
      <w:r w:rsidR="00D134B7">
        <w:rPr>
          <w:rFonts w:ascii="Times New Roman" w:hAnsi="Times New Roman" w:cs="Times New Roman"/>
          <w:sz w:val="24"/>
          <w:szCs w:val="24"/>
        </w:rPr>
        <w:t>Loughran</w:t>
      </w:r>
      <w:proofErr w:type="spellEnd"/>
      <w:r w:rsidR="00D134B7">
        <w:rPr>
          <w:rFonts w:ascii="Times New Roman" w:hAnsi="Times New Roman" w:cs="Times New Roman"/>
          <w:sz w:val="24"/>
          <w:szCs w:val="24"/>
        </w:rPr>
        <w:t xml:space="preserve"> e </w:t>
      </w:r>
      <w:proofErr w:type="spellStart"/>
      <w:r w:rsidR="00D134B7">
        <w:rPr>
          <w:rFonts w:ascii="Times New Roman" w:hAnsi="Times New Roman" w:cs="Times New Roman"/>
          <w:sz w:val="24"/>
          <w:szCs w:val="24"/>
        </w:rPr>
        <w:t>Ritter</w:t>
      </w:r>
      <w:proofErr w:type="spellEnd"/>
      <w:r w:rsidR="00D134B7">
        <w:rPr>
          <w:rFonts w:ascii="Times New Roman" w:hAnsi="Times New Roman" w:cs="Times New Roman"/>
          <w:sz w:val="24"/>
          <w:szCs w:val="24"/>
        </w:rPr>
        <w:t xml:space="preserve"> (1997), os quais evidenciaram que o baixo retorno pós emissão das empresas que realizam SEO é devido ao fato de as empresas crescerem rapidamente no passado.</w:t>
      </w:r>
    </w:p>
    <w:p w14:paraId="17336BB9" w14:textId="77777777" w:rsidR="007A195A" w:rsidRPr="00933491" w:rsidRDefault="007A195A" w:rsidP="0056798E">
      <w:pPr>
        <w:spacing w:after="0" w:line="240" w:lineRule="auto"/>
        <w:ind w:firstLine="708"/>
        <w:jc w:val="both"/>
        <w:rPr>
          <w:rFonts w:ascii="Times New Roman" w:hAnsi="Times New Roman" w:cs="Times New Roman"/>
          <w:sz w:val="24"/>
          <w:szCs w:val="24"/>
        </w:rPr>
      </w:pPr>
    </w:p>
    <w:p w14:paraId="184B0500" w14:textId="0E546449" w:rsidR="007F1F57" w:rsidRDefault="007B116C" w:rsidP="00DB788B">
      <w:pPr>
        <w:pStyle w:val="PargrafodaLista"/>
        <w:numPr>
          <w:ilvl w:val="0"/>
          <w:numId w:val="2"/>
        </w:numPr>
        <w:spacing w:after="120" w:line="240" w:lineRule="auto"/>
        <w:ind w:left="425" w:hanging="425"/>
        <w:rPr>
          <w:rFonts w:ascii="Times New Roman" w:hAnsi="Times New Roman" w:cs="Times New Roman"/>
          <w:b/>
          <w:sz w:val="24"/>
          <w:szCs w:val="24"/>
        </w:rPr>
      </w:pPr>
      <w:r w:rsidRPr="00933491">
        <w:rPr>
          <w:rFonts w:ascii="Times New Roman" w:hAnsi="Times New Roman" w:cs="Times New Roman"/>
          <w:b/>
          <w:sz w:val="24"/>
          <w:szCs w:val="24"/>
        </w:rPr>
        <w:t>Considerações Finais</w:t>
      </w:r>
    </w:p>
    <w:p w14:paraId="110B9962" w14:textId="1116C931" w:rsidR="007F1F57" w:rsidRPr="00933491" w:rsidRDefault="00CD61F5" w:rsidP="00157D35">
      <w:pPr>
        <w:spacing w:after="0" w:line="240" w:lineRule="auto"/>
        <w:ind w:firstLine="709"/>
        <w:jc w:val="both"/>
        <w:rPr>
          <w:rFonts w:ascii="Times New Roman" w:hAnsi="Times New Roman" w:cs="Times New Roman"/>
          <w:sz w:val="24"/>
          <w:szCs w:val="24"/>
        </w:rPr>
      </w:pPr>
      <w:r w:rsidRPr="003E40AC">
        <w:rPr>
          <w:rFonts w:ascii="Times New Roman" w:hAnsi="Times New Roman" w:cs="Times New Roman"/>
          <w:sz w:val="24"/>
          <w:szCs w:val="24"/>
        </w:rPr>
        <w:t xml:space="preserve">Este artigo teve </w:t>
      </w:r>
      <w:r w:rsidR="002E5F51" w:rsidRPr="003E40AC">
        <w:rPr>
          <w:rFonts w:ascii="Times New Roman" w:hAnsi="Times New Roman" w:cs="Times New Roman"/>
          <w:sz w:val="24"/>
          <w:szCs w:val="24"/>
        </w:rPr>
        <w:t>por</w:t>
      </w:r>
      <w:r w:rsidRPr="003E40AC">
        <w:rPr>
          <w:rFonts w:ascii="Times New Roman" w:hAnsi="Times New Roman" w:cs="Times New Roman"/>
          <w:sz w:val="24"/>
          <w:szCs w:val="24"/>
        </w:rPr>
        <w:t xml:space="preserve"> objetivo investigar se houve mudanças no desempenho operacional e acionário </w:t>
      </w:r>
      <w:r w:rsidR="0016640B" w:rsidRPr="00933491">
        <w:rPr>
          <w:rFonts w:ascii="Times New Roman" w:hAnsi="Times New Roman" w:cs="Times New Roman"/>
          <w:sz w:val="24"/>
          <w:szCs w:val="24"/>
        </w:rPr>
        <w:t xml:space="preserve">das empresas listadas na B3, no período de 2004 a 2011, </w:t>
      </w:r>
      <w:r w:rsidRPr="00933491">
        <w:rPr>
          <w:rFonts w:ascii="Times New Roman" w:hAnsi="Times New Roman" w:cs="Times New Roman"/>
          <w:sz w:val="24"/>
          <w:szCs w:val="24"/>
        </w:rPr>
        <w:t>após a realização de ofertas públicas subsequente de ações (</w:t>
      </w:r>
      <w:proofErr w:type="spellStart"/>
      <w:r w:rsidRPr="00933491">
        <w:rPr>
          <w:rFonts w:ascii="Times New Roman" w:hAnsi="Times New Roman" w:cs="Times New Roman"/>
          <w:sz w:val="24"/>
          <w:szCs w:val="24"/>
        </w:rPr>
        <w:t>SEO</w:t>
      </w:r>
      <w:r w:rsidR="004E21B5" w:rsidRPr="00933491">
        <w:rPr>
          <w:rFonts w:ascii="Times New Roman" w:hAnsi="Times New Roman" w:cs="Times New Roman"/>
          <w:sz w:val="24"/>
          <w:szCs w:val="24"/>
        </w:rPr>
        <w:t>’s</w:t>
      </w:r>
      <w:proofErr w:type="spellEnd"/>
      <w:r w:rsidRPr="00933491">
        <w:rPr>
          <w:rFonts w:ascii="Times New Roman" w:hAnsi="Times New Roman" w:cs="Times New Roman"/>
          <w:sz w:val="24"/>
          <w:szCs w:val="24"/>
        </w:rPr>
        <w:t>)</w:t>
      </w:r>
      <w:r w:rsidR="004A24B5" w:rsidRPr="00933491">
        <w:rPr>
          <w:rFonts w:ascii="Times New Roman" w:hAnsi="Times New Roman" w:cs="Times New Roman"/>
          <w:sz w:val="24"/>
          <w:szCs w:val="24"/>
        </w:rPr>
        <w:t>.</w:t>
      </w:r>
      <w:r w:rsidR="002517F7" w:rsidRPr="00933491">
        <w:rPr>
          <w:rFonts w:ascii="Times New Roman" w:hAnsi="Times New Roman" w:cs="Times New Roman"/>
          <w:sz w:val="24"/>
          <w:szCs w:val="24"/>
        </w:rPr>
        <w:t xml:space="preserve"> Em seguida, buscou-se averiguar se existiam diferenças entre o desempenho operacional e acionário das empresas emissoras e não emissoras </w:t>
      </w:r>
      <w:r w:rsidR="00880BDC" w:rsidRPr="00933491">
        <w:rPr>
          <w:rFonts w:ascii="Times New Roman" w:hAnsi="Times New Roman" w:cs="Times New Roman"/>
          <w:sz w:val="24"/>
          <w:szCs w:val="24"/>
        </w:rPr>
        <w:t xml:space="preserve">de SEO. </w:t>
      </w:r>
      <w:r w:rsidR="00880BDC" w:rsidRPr="00933491">
        <w:rPr>
          <w:rFonts w:ascii="Times New Roman" w:hAnsi="Times New Roman" w:cs="Times New Roman"/>
          <w:sz w:val="24"/>
          <w:szCs w:val="24"/>
        </w:rPr>
        <w:lastRenderedPageBreak/>
        <w:t>C</w:t>
      </w:r>
      <w:r w:rsidR="0047388A" w:rsidRPr="00933491">
        <w:rPr>
          <w:rFonts w:ascii="Times New Roman" w:hAnsi="Times New Roman" w:cs="Times New Roman"/>
          <w:sz w:val="24"/>
          <w:szCs w:val="24"/>
        </w:rPr>
        <w:t>omparou-se</w:t>
      </w:r>
      <w:r w:rsidR="00880BDC" w:rsidRPr="00933491">
        <w:rPr>
          <w:rFonts w:ascii="Times New Roman" w:hAnsi="Times New Roman" w:cs="Times New Roman"/>
          <w:sz w:val="24"/>
          <w:szCs w:val="24"/>
        </w:rPr>
        <w:t>, ainda,</w:t>
      </w:r>
      <w:r w:rsidR="0047388A" w:rsidRPr="00933491">
        <w:rPr>
          <w:rFonts w:ascii="Times New Roman" w:hAnsi="Times New Roman" w:cs="Times New Roman"/>
          <w:sz w:val="24"/>
          <w:szCs w:val="24"/>
        </w:rPr>
        <w:t xml:space="preserve"> a performance </w:t>
      </w:r>
      <w:r w:rsidR="00DB2B05" w:rsidRPr="00933491">
        <w:rPr>
          <w:rFonts w:ascii="Times New Roman" w:hAnsi="Times New Roman" w:cs="Times New Roman"/>
          <w:sz w:val="24"/>
          <w:szCs w:val="24"/>
        </w:rPr>
        <w:t xml:space="preserve">operacional </w:t>
      </w:r>
      <w:r w:rsidR="0047388A" w:rsidRPr="00933491">
        <w:rPr>
          <w:rFonts w:ascii="Times New Roman" w:hAnsi="Times New Roman" w:cs="Times New Roman"/>
          <w:sz w:val="24"/>
          <w:szCs w:val="24"/>
        </w:rPr>
        <w:t xml:space="preserve">das empresas que fizeram grandes emissões </w:t>
      </w:r>
      <w:r w:rsidR="00DB2B05" w:rsidRPr="00933491">
        <w:rPr>
          <w:rFonts w:ascii="Times New Roman" w:hAnsi="Times New Roman" w:cs="Times New Roman"/>
          <w:sz w:val="24"/>
          <w:szCs w:val="24"/>
        </w:rPr>
        <w:t>em relação às empresas que f</w:t>
      </w:r>
      <w:r w:rsidR="00880BDC" w:rsidRPr="00933491">
        <w:rPr>
          <w:rFonts w:ascii="Times New Roman" w:hAnsi="Times New Roman" w:cs="Times New Roman"/>
          <w:sz w:val="24"/>
          <w:szCs w:val="24"/>
        </w:rPr>
        <w:t xml:space="preserve">izeram pequenas emissões de SEO. Por fim, </w:t>
      </w:r>
      <w:r w:rsidR="00EB35A5" w:rsidRPr="00933491">
        <w:rPr>
          <w:rFonts w:ascii="Times New Roman" w:hAnsi="Times New Roman" w:cs="Times New Roman"/>
          <w:sz w:val="24"/>
          <w:szCs w:val="24"/>
        </w:rPr>
        <w:t>analisou</w:t>
      </w:r>
      <w:r w:rsidR="007019C0" w:rsidRPr="00933491">
        <w:rPr>
          <w:rFonts w:ascii="Times New Roman" w:hAnsi="Times New Roman" w:cs="Times New Roman"/>
          <w:sz w:val="24"/>
          <w:szCs w:val="24"/>
        </w:rPr>
        <w:t>-se</w:t>
      </w:r>
      <w:r w:rsidR="00EB35A5" w:rsidRPr="00933491">
        <w:rPr>
          <w:rFonts w:ascii="Times New Roman" w:hAnsi="Times New Roman" w:cs="Times New Roman"/>
          <w:sz w:val="24"/>
          <w:szCs w:val="24"/>
        </w:rPr>
        <w:t xml:space="preserve"> se </w:t>
      </w:r>
      <w:r w:rsidR="007F68B1" w:rsidRPr="00933491">
        <w:rPr>
          <w:rFonts w:ascii="Times New Roman" w:hAnsi="Times New Roman" w:cs="Times New Roman"/>
          <w:sz w:val="24"/>
          <w:szCs w:val="24"/>
        </w:rPr>
        <w:t>houve</w:t>
      </w:r>
      <w:r w:rsidR="00EB35A5" w:rsidRPr="00933491">
        <w:rPr>
          <w:rFonts w:ascii="Times New Roman" w:hAnsi="Times New Roman" w:cs="Times New Roman"/>
          <w:sz w:val="24"/>
          <w:szCs w:val="24"/>
        </w:rPr>
        <w:t xml:space="preserve"> diferença no desempenho acionário das pequenas empresas que realizaram SEO e </w:t>
      </w:r>
      <w:r w:rsidR="007019C0" w:rsidRPr="00933491">
        <w:rPr>
          <w:rFonts w:ascii="Times New Roman" w:hAnsi="Times New Roman" w:cs="Times New Roman"/>
          <w:sz w:val="24"/>
          <w:szCs w:val="24"/>
        </w:rPr>
        <w:t xml:space="preserve">as </w:t>
      </w:r>
      <w:r w:rsidR="00EB35A5" w:rsidRPr="00933491">
        <w:rPr>
          <w:rFonts w:ascii="Times New Roman" w:hAnsi="Times New Roman" w:cs="Times New Roman"/>
          <w:sz w:val="24"/>
          <w:szCs w:val="24"/>
        </w:rPr>
        <w:t>que não realizar</w:t>
      </w:r>
      <w:r w:rsidR="00AF5762" w:rsidRPr="00933491">
        <w:rPr>
          <w:rFonts w:ascii="Times New Roman" w:hAnsi="Times New Roman" w:cs="Times New Roman"/>
          <w:sz w:val="24"/>
          <w:szCs w:val="24"/>
        </w:rPr>
        <w:t>am, como também se h</w:t>
      </w:r>
      <w:r w:rsidR="007F68B1" w:rsidRPr="00933491">
        <w:rPr>
          <w:rFonts w:ascii="Times New Roman" w:hAnsi="Times New Roman" w:cs="Times New Roman"/>
          <w:sz w:val="24"/>
          <w:szCs w:val="24"/>
        </w:rPr>
        <w:t>avia</w:t>
      </w:r>
      <w:r w:rsidR="00AF5762" w:rsidRPr="00933491">
        <w:rPr>
          <w:rFonts w:ascii="Times New Roman" w:hAnsi="Times New Roman" w:cs="Times New Roman"/>
          <w:sz w:val="24"/>
          <w:szCs w:val="24"/>
        </w:rPr>
        <w:t xml:space="preserve"> diferença</w:t>
      </w:r>
      <w:r w:rsidR="00DB2B05" w:rsidRPr="00933491">
        <w:rPr>
          <w:rFonts w:ascii="Times New Roman" w:hAnsi="Times New Roman" w:cs="Times New Roman"/>
          <w:sz w:val="24"/>
          <w:szCs w:val="24"/>
        </w:rPr>
        <w:t xml:space="preserve"> </w:t>
      </w:r>
      <w:r w:rsidR="00AF5762" w:rsidRPr="00933491">
        <w:rPr>
          <w:rFonts w:ascii="Times New Roman" w:hAnsi="Times New Roman" w:cs="Times New Roman"/>
          <w:sz w:val="24"/>
          <w:szCs w:val="24"/>
        </w:rPr>
        <w:t>no desempenho acionário das empresas grandes que realizaram ou não SEO.</w:t>
      </w:r>
    </w:p>
    <w:p w14:paraId="7D3522C6" w14:textId="2B14621E" w:rsidR="009876F8" w:rsidRPr="00933491" w:rsidRDefault="008573D2" w:rsidP="00157D35">
      <w:pPr>
        <w:spacing w:after="0" w:line="240" w:lineRule="auto"/>
        <w:ind w:firstLine="709"/>
        <w:jc w:val="both"/>
        <w:rPr>
          <w:rFonts w:ascii="Times New Roman" w:hAnsi="Times New Roman" w:cs="Times New Roman"/>
          <w:sz w:val="24"/>
          <w:szCs w:val="24"/>
        </w:rPr>
      </w:pPr>
      <w:r w:rsidRPr="00933491">
        <w:rPr>
          <w:rFonts w:ascii="Times New Roman" w:hAnsi="Times New Roman" w:cs="Times New Roman"/>
          <w:sz w:val="24"/>
          <w:szCs w:val="24"/>
        </w:rPr>
        <w:t>De acordo com os resultados obtidos</w:t>
      </w:r>
      <w:r w:rsidR="00CE1E0A" w:rsidRPr="00933491">
        <w:rPr>
          <w:rFonts w:ascii="Times New Roman" w:hAnsi="Times New Roman" w:cs="Times New Roman"/>
          <w:sz w:val="24"/>
          <w:szCs w:val="24"/>
        </w:rPr>
        <w:t xml:space="preserve"> referente ao desempenho operacional</w:t>
      </w:r>
      <w:r w:rsidRPr="00933491">
        <w:rPr>
          <w:rFonts w:ascii="Times New Roman" w:hAnsi="Times New Roman" w:cs="Times New Roman"/>
          <w:sz w:val="24"/>
          <w:szCs w:val="24"/>
        </w:rPr>
        <w:t xml:space="preserve">, </w:t>
      </w:r>
      <w:r w:rsidR="008D153E" w:rsidRPr="00933491">
        <w:rPr>
          <w:rFonts w:ascii="Times New Roman" w:hAnsi="Times New Roman" w:cs="Times New Roman"/>
          <w:sz w:val="24"/>
          <w:szCs w:val="24"/>
        </w:rPr>
        <w:t>verificou-se que</w:t>
      </w:r>
      <w:r w:rsidR="009876F8" w:rsidRPr="00933491">
        <w:rPr>
          <w:rFonts w:ascii="Times New Roman" w:hAnsi="Times New Roman" w:cs="Times New Roman"/>
          <w:sz w:val="24"/>
          <w:szCs w:val="24"/>
        </w:rPr>
        <w:t xml:space="preserve"> existe diferença no desempenho operacional entre o período que antecede e sucede o SEO, sendo o desempenho deteriorado após a realização da SEO. Quanto à existência de diferença no desempenho operacional das empresas emissoras de </w:t>
      </w:r>
      <w:proofErr w:type="spellStart"/>
      <w:r w:rsidR="009876F8" w:rsidRPr="00933491">
        <w:rPr>
          <w:rFonts w:ascii="Times New Roman" w:hAnsi="Times New Roman" w:cs="Times New Roman"/>
          <w:sz w:val="24"/>
          <w:szCs w:val="24"/>
        </w:rPr>
        <w:t>SEO’s</w:t>
      </w:r>
      <w:proofErr w:type="spellEnd"/>
      <w:r w:rsidR="009876F8" w:rsidRPr="00933491">
        <w:rPr>
          <w:rFonts w:ascii="Times New Roman" w:hAnsi="Times New Roman" w:cs="Times New Roman"/>
          <w:sz w:val="24"/>
          <w:szCs w:val="24"/>
        </w:rPr>
        <w:t xml:space="preserve"> com o das não emissoras</w:t>
      </w:r>
      <w:r w:rsidR="006B056F" w:rsidRPr="00933491">
        <w:rPr>
          <w:rFonts w:ascii="Times New Roman" w:hAnsi="Times New Roman" w:cs="Times New Roman"/>
          <w:sz w:val="24"/>
          <w:szCs w:val="24"/>
        </w:rPr>
        <w:t>,</w:t>
      </w:r>
      <w:r w:rsidR="009876F8" w:rsidRPr="00933491">
        <w:rPr>
          <w:rFonts w:ascii="Times New Roman" w:hAnsi="Times New Roman" w:cs="Times New Roman"/>
          <w:sz w:val="24"/>
          <w:szCs w:val="24"/>
        </w:rPr>
        <w:t xml:space="preserve"> foi verificada </w:t>
      </w:r>
      <w:r w:rsidR="00CE1E0A" w:rsidRPr="00933491">
        <w:rPr>
          <w:rFonts w:ascii="Times New Roman" w:hAnsi="Times New Roman" w:cs="Times New Roman"/>
          <w:sz w:val="24"/>
          <w:szCs w:val="24"/>
        </w:rPr>
        <w:t xml:space="preserve">diferença significativa </w:t>
      </w:r>
      <w:r w:rsidR="009876F8" w:rsidRPr="00933491">
        <w:rPr>
          <w:rFonts w:ascii="Times New Roman" w:hAnsi="Times New Roman" w:cs="Times New Roman"/>
          <w:sz w:val="24"/>
          <w:szCs w:val="24"/>
        </w:rPr>
        <w:t xml:space="preserve">apenas no ano corrente e anterior à oferta. </w:t>
      </w:r>
      <w:r w:rsidR="007019C0" w:rsidRPr="00933491">
        <w:rPr>
          <w:rFonts w:ascii="Times New Roman" w:hAnsi="Times New Roman" w:cs="Times New Roman"/>
          <w:sz w:val="24"/>
          <w:szCs w:val="24"/>
        </w:rPr>
        <w:t>Quanto</w:t>
      </w:r>
      <w:r w:rsidR="00CE1E0A" w:rsidRPr="00933491">
        <w:rPr>
          <w:rFonts w:ascii="Times New Roman" w:hAnsi="Times New Roman" w:cs="Times New Roman"/>
          <w:sz w:val="24"/>
          <w:szCs w:val="24"/>
        </w:rPr>
        <w:t xml:space="preserve"> à existência de diferença entre o desempenho operacional das empresas que realizaram grandes emissões de </w:t>
      </w:r>
      <w:proofErr w:type="spellStart"/>
      <w:r w:rsidR="00CE1E0A" w:rsidRPr="00933491">
        <w:rPr>
          <w:rFonts w:ascii="Times New Roman" w:hAnsi="Times New Roman" w:cs="Times New Roman"/>
          <w:sz w:val="24"/>
          <w:szCs w:val="24"/>
        </w:rPr>
        <w:t>SEO’s</w:t>
      </w:r>
      <w:proofErr w:type="spellEnd"/>
      <w:r w:rsidR="00CE1E0A" w:rsidRPr="00933491">
        <w:rPr>
          <w:rFonts w:ascii="Times New Roman" w:hAnsi="Times New Roman" w:cs="Times New Roman"/>
          <w:sz w:val="24"/>
          <w:szCs w:val="24"/>
        </w:rPr>
        <w:t xml:space="preserve"> e pequenas emissões</w:t>
      </w:r>
      <w:r w:rsidR="006B056F" w:rsidRPr="00933491">
        <w:rPr>
          <w:rFonts w:ascii="Times New Roman" w:hAnsi="Times New Roman" w:cs="Times New Roman"/>
          <w:sz w:val="24"/>
          <w:szCs w:val="24"/>
        </w:rPr>
        <w:t>,</w:t>
      </w:r>
      <w:r w:rsidR="00CE1E0A" w:rsidRPr="00933491">
        <w:rPr>
          <w:rFonts w:ascii="Times New Roman" w:hAnsi="Times New Roman" w:cs="Times New Roman"/>
          <w:sz w:val="24"/>
          <w:szCs w:val="24"/>
        </w:rPr>
        <w:t xml:space="preserve"> </w:t>
      </w:r>
      <w:r w:rsidR="006F1294" w:rsidRPr="00933491">
        <w:rPr>
          <w:rFonts w:ascii="Times New Roman" w:hAnsi="Times New Roman" w:cs="Times New Roman"/>
          <w:sz w:val="24"/>
          <w:szCs w:val="24"/>
        </w:rPr>
        <w:t>foi verificado</w:t>
      </w:r>
      <w:r w:rsidR="00CE1E0A" w:rsidRPr="00933491">
        <w:rPr>
          <w:rFonts w:ascii="Times New Roman" w:hAnsi="Times New Roman" w:cs="Times New Roman"/>
          <w:sz w:val="24"/>
          <w:szCs w:val="24"/>
        </w:rPr>
        <w:t xml:space="preserve"> que</w:t>
      </w:r>
      <w:r w:rsidR="006F1294" w:rsidRPr="00933491">
        <w:rPr>
          <w:rFonts w:ascii="Times New Roman" w:hAnsi="Times New Roman" w:cs="Times New Roman"/>
          <w:sz w:val="24"/>
          <w:szCs w:val="24"/>
        </w:rPr>
        <w:t xml:space="preserve"> as</w:t>
      </w:r>
      <w:r w:rsidR="00CE1E0A" w:rsidRPr="00933491">
        <w:rPr>
          <w:rFonts w:ascii="Times New Roman" w:hAnsi="Times New Roman" w:cs="Times New Roman"/>
          <w:sz w:val="24"/>
          <w:szCs w:val="24"/>
        </w:rPr>
        <w:t xml:space="preserve"> </w:t>
      </w:r>
      <w:r w:rsidR="006F1294" w:rsidRPr="00933491">
        <w:rPr>
          <w:rFonts w:ascii="Times New Roman" w:hAnsi="Times New Roman" w:cs="Times New Roman"/>
          <w:sz w:val="24"/>
          <w:szCs w:val="24"/>
        </w:rPr>
        <w:t xml:space="preserve">diferenças de desempenho não são significantes estatisticamente. </w:t>
      </w:r>
    </w:p>
    <w:p w14:paraId="44471F5B" w14:textId="4256BD83" w:rsidR="00DC4CE8" w:rsidRPr="00933491" w:rsidRDefault="001A556C" w:rsidP="00157D35">
      <w:pPr>
        <w:spacing w:after="0" w:line="240" w:lineRule="auto"/>
        <w:ind w:firstLine="709"/>
        <w:jc w:val="both"/>
        <w:rPr>
          <w:rFonts w:ascii="Times New Roman" w:hAnsi="Times New Roman" w:cs="Times New Roman"/>
          <w:sz w:val="24"/>
          <w:szCs w:val="24"/>
          <w:lang w:val="pt-PT"/>
        </w:rPr>
      </w:pPr>
      <w:r w:rsidRPr="00933491">
        <w:rPr>
          <w:rFonts w:ascii="Times New Roman" w:hAnsi="Times New Roman" w:cs="Times New Roman"/>
          <w:sz w:val="24"/>
          <w:szCs w:val="24"/>
        </w:rPr>
        <w:t>Quanto ao desempenho acionário</w:t>
      </w:r>
      <w:r w:rsidR="00F12BB6" w:rsidRPr="00933491">
        <w:rPr>
          <w:rFonts w:ascii="Times New Roman" w:hAnsi="Times New Roman" w:cs="Times New Roman"/>
          <w:sz w:val="24"/>
          <w:szCs w:val="24"/>
        </w:rPr>
        <w:t xml:space="preserve">, </w:t>
      </w:r>
      <w:r w:rsidR="00013F76" w:rsidRPr="00933491">
        <w:rPr>
          <w:rFonts w:ascii="Times New Roman" w:hAnsi="Times New Roman" w:cs="Times New Roman"/>
          <w:sz w:val="24"/>
          <w:szCs w:val="24"/>
        </w:rPr>
        <w:t>verificou-se que</w:t>
      </w:r>
      <w:r w:rsidR="00DC4CE8" w:rsidRPr="00933491">
        <w:rPr>
          <w:rFonts w:ascii="Times New Roman" w:hAnsi="Times New Roman" w:cs="Times New Roman"/>
          <w:sz w:val="24"/>
          <w:szCs w:val="24"/>
        </w:rPr>
        <w:t xml:space="preserve"> </w:t>
      </w:r>
      <w:r w:rsidR="00013F76" w:rsidRPr="00933491">
        <w:rPr>
          <w:rFonts w:ascii="Times New Roman" w:hAnsi="Times New Roman" w:cs="Times New Roman"/>
          <w:sz w:val="24"/>
          <w:szCs w:val="24"/>
        </w:rPr>
        <w:t xml:space="preserve">existe diferença no desempenho acionário das empresas um ano antes e após a SEO e quatro anos antes e após a oferta subsequente de ações. Ademais, </w:t>
      </w:r>
      <w:r w:rsidR="00347376" w:rsidRPr="00933491">
        <w:rPr>
          <w:rFonts w:ascii="Times New Roman" w:hAnsi="Times New Roman" w:cs="Times New Roman"/>
          <w:sz w:val="24"/>
          <w:szCs w:val="24"/>
        </w:rPr>
        <w:t xml:space="preserve">verificou-se que não </w:t>
      </w:r>
      <w:r w:rsidR="00013F76" w:rsidRPr="00933491">
        <w:rPr>
          <w:rFonts w:ascii="Times New Roman" w:hAnsi="Times New Roman" w:cs="Times New Roman"/>
          <w:sz w:val="24"/>
          <w:szCs w:val="24"/>
        </w:rPr>
        <w:t>e</w:t>
      </w:r>
      <w:r w:rsidR="00013F76" w:rsidRPr="00933491">
        <w:rPr>
          <w:rFonts w:ascii="Times New Roman" w:hAnsi="Times New Roman" w:cs="Times New Roman"/>
          <w:sz w:val="24"/>
          <w:szCs w:val="24"/>
          <w:lang w:val="pt-PT"/>
        </w:rPr>
        <w:t>xiste diferença no desempenho acionário das empresas emissoras d</w:t>
      </w:r>
      <w:r w:rsidR="00DC4CE8" w:rsidRPr="00933491">
        <w:rPr>
          <w:rFonts w:ascii="Times New Roman" w:hAnsi="Times New Roman" w:cs="Times New Roman"/>
          <w:sz w:val="24"/>
          <w:szCs w:val="24"/>
          <w:lang w:val="pt-PT"/>
        </w:rPr>
        <w:t>e SEO’s com o das não emissoras</w:t>
      </w:r>
      <w:r w:rsidR="00347376" w:rsidRPr="00933491">
        <w:rPr>
          <w:rFonts w:ascii="Times New Roman" w:hAnsi="Times New Roman" w:cs="Times New Roman"/>
          <w:sz w:val="24"/>
          <w:szCs w:val="24"/>
          <w:lang w:val="pt-PT"/>
        </w:rPr>
        <w:t>, bem como não</w:t>
      </w:r>
      <w:r w:rsidR="00DC4CE8" w:rsidRPr="00933491">
        <w:rPr>
          <w:rFonts w:ascii="Times New Roman" w:hAnsi="Times New Roman" w:cs="Times New Roman"/>
          <w:sz w:val="24"/>
          <w:szCs w:val="24"/>
          <w:lang w:val="pt-PT"/>
        </w:rPr>
        <w:t xml:space="preserve"> existe diferença entre o desempenho acionário das empresas pequenas (grandes) que realizaram SEO e o desempenho das empresas pequenas (grandes) que não realizaram SEO.</w:t>
      </w:r>
      <w:r w:rsidR="0081184B" w:rsidRPr="00933491">
        <w:rPr>
          <w:rFonts w:ascii="Times New Roman" w:hAnsi="Times New Roman" w:cs="Times New Roman"/>
          <w:sz w:val="24"/>
          <w:szCs w:val="24"/>
          <w:lang w:val="pt-PT"/>
        </w:rPr>
        <w:t xml:space="preserve"> </w:t>
      </w:r>
      <w:r w:rsidR="0081184B" w:rsidRPr="00DC52BD">
        <w:rPr>
          <w:rFonts w:ascii="Times New Roman" w:hAnsi="Times New Roman" w:cs="Times New Roman"/>
          <w:sz w:val="24"/>
          <w:szCs w:val="24"/>
          <w:lang w:val="pt-PT"/>
        </w:rPr>
        <w:t>Por fim,</w:t>
      </w:r>
      <w:r w:rsidR="00347376" w:rsidRPr="00DC52BD">
        <w:rPr>
          <w:rFonts w:ascii="Times New Roman" w:hAnsi="Times New Roman" w:cs="Times New Roman"/>
          <w:sz w:val="24"/>
          <w:szCs w:val="24"/>
          <w:lang w:val="pt-PT"/>
        </w:rPr>
        <w:t xml:space="preserve"> </w:t>
      </w:r>
      <w:r w:rsidR="00126DFB" w:rsidRPr="00DC52BD">
        <w:rPr>
          <w:rFonts w:ascii="Times New Roman" w:hAnsi="Times New Roman" w:cs="Times New Roman"/>
          <w:sz w:val="24"/>
          <w:szCs w:val="24"/>
          <w:lang w:val="pt-PT"/>
        </w:rPr>
        <w:t>não foram observadas evidências da</w:t>
      </w:r>
      <w:r w:rsidR="0081184B" w:rsidRPr="00DC52BD">
        <w:rPr>
          <w:rFonts w:ascii="Times New Roman" w:hAnsi="Times New Roman" w:cs="Times New Roman"/>
          <w:sz w:val="24"/>
          <w:szCs w:val="24"/>
          <w:lang w:val="pt-PT"/>
        </w:rPr>
        <w:t xml:space="preserve"> relação entre o retorno das ações pós SEO com o crescimento passado da empresa.</w:t>
      </w:r>
    </w:p>
    <w:p w14:paraId="4C0FF2C0" w14:textId="56A76A56" w:rsidR="00631620" w:rsidRPr="00933491" w:rsidRDefault="00631620" w:rsidP="00157D35">
      <w:pPr>
        <w:spacing w:after="0" w:line="240" w:lineRule="auto"/>
        <w:ind w:firstLine="709"/>
        <w:jc w:val="both"/>
        <w:rPr>
          <w:rFonts w:ascii="Times New Roman" w:hAnsi="Times New Roman" w:cs="Times New Roman"/>
          <w:sz w:val="24"/>
          <w:szCs w:val="24"/>
          <w:lang w:val="pt-PT"/>
        </w:rPr>
      </w:pPr>
      <w:r w:rsidRPr="00933491">
        <w:rPr>
          <w:rFonts w:ascii="Times New Roman" w:hAnsi="Times New Roman" w:cs="Times New Roman"/>
          <w:sz w:val="24"/>
          <w:szCs w:val="24"/>
        </w:rPr>
        <w:t xml:space="preserve">Portanto, uma vez que o desempenho operacional </w:t>
      </w:r>
      <w:r w:rsidR="006B3657" w:rsidRPr="00933491">
        <w:rPr>
          <w:rFonts w:ascii="Times New Roman" w:hAnsi="Times New Roman" w:cs="Times New Roman"/>
          <w:sz w:val="24"/>
          <w:szCs w:val="24"/>
        </w:rPr>
        <w:t xml:space="preserve">das empresas emissoras </w:t>
      </w:r>
      <w:r w:rsidR="00995F34" w:rsidRPr="00933491">
        <w:rPr>
          <w:rFonts w:ascii="Times New Roman" w:hAnsi="Times New Roman" w:cs="Times New Roman"/>
          <w:sz w:val="24"/>
          <w:szCs w:val="24"/>
        </w:rPr>
        <w:t xml:space="preserve">piora após a oferta e </w:t>
      </w:r>
      <w:r w:rsidR="006B3657" w:rsidRPr="00933491">
        <w:rPr>
          <w:rFonts w:ascii="Times New Roman" w:hAnsi="Times New Roman" w:cs="Times New Roman"/>
          <w:sz w:val="24"/>
          <w:szCs w:val="24"/>
        </w:rPr>
        <w:t>é inferior ao das</w:t>
      </w:r>
      <w:r w:rsidRPr="00933491">
        <w:rPr>
          <w:rFonts w:ascii="Times New Roman" w:hAnsi="Times New Roman" w:cs="Times New Roman"/>
          <w:sz w:val="24"/>
          <w:szCs w:val="24"/>
        </w:rPr>
        <w:t xml:space="preserve"> não emissoras, apesar de, nesse caso, restritos ao anos corrente e anterior à oferta, e que </w:t>
      </w:r>
      <w:r w:rsidR="00995F34" w:rsidRPr="00933491">
        <w:rPr>
          <w:rFonts w:ascii="Times New Roman" w:hAnsi="Times New Roman" w:cs="Times New Roman"/>
          <w:sz w:val="24"/>
          <w:szCs w:val="24"/>
        </w:rPr>
        <w:t xml:space="preserve">a piora no desempenho acionário ficou restrita ao período de um e quatro anos antes e após a oferta, além de não existir </w:t>
      </w:r>
      <w:r w:rsidRPr="00933491">
        <w:rPr>
          <w:rFonts w:ascii="Times New Roman" w:hAnsi="Times New Roman" w:cs="Times New Roman"/>
          <w:sz w:val="24"/>
          <w:szCs w:val="24"/>
          <w:lang w:val="pt-PT"/>
        </w:rPr>
        <w:t xml:space="preserve">diferença entre </w:t>
      </w:r>
      <w:r w:rsidR="00995F34" w:rsidRPr="00933491">
        <w:rPr>
          <w:rFonts w:ascii="Times New Roman" w:hAnsi="Times New Roman" w:cs="Times New Roman"/>
          <w:sz w:val="24"/>
          <w:szCs w:val="24"/>
          <w:lang w:val="pt-PT"/>
        </w:rPr>
        <w:t xml:space="preserve">o </w:t>
      </w:r>
      <w:r w:rsidRPr="00933491">
        <w:rPr>
          <w:rFonts w:ascii="Times New Roman" w:hAnsi="Times New Roman" w:cs="Times New Roman"/>
          <w:sz w:val="24"/>
          <w:szCs w:val="24"/>
          <w:lang w:val="pt-PT"/>
        </w:rPr>
        <w:t>desempenho acionário das empresas emissoras e não emissoras, não se pode rejeitar a hipótese 1, mas rejeita-se a hipótese 2 da presente pesquisa.</w:t>
      </w:r>
    </w:p>
    <w:p w14:paraId="23A32174" w14:textId="1F12C108" w:rsidR="00DC4CE8" w:rsidRPr="00933491" w:rsidRDefault="00631620" w:rsidP="00157D35">
      <w:pPr>
        <w:spacing w:after="0" w:line="240" w:lineRule="auto"/>
        <w:ind w:firstLine="709"/>
        <w:jc w:val="both"/>
        <w:rPr>
          <w:rFonts w:ascii="Times New Roman" w:hAnsi="Times New Roman" w:cs="Times New Roman"/>
          <w:sz w:val="24"/>
          <w:szCs w:val="24"/>
        </w:rPr>
      </w:pPr>
      <w:r w:rsidRPr="00933491">
        <w:rPr>
          <w:rFonts w:ascii="Times New Roman" w:hAnsi="Times New Roman" w:cs="Times New Roman"/>
          <w:sz w:val="24"/>
          <w:szCs w:val="24"/>
        </w:rPr>
        <w:t>Por fim</w:t>
      </w:r>
      <w:r w:rsidR="00347376" w:rsidRPr="00933491">
        <w:rPr>
          <w:rFonts w:ascii="Times New Roman" w:hAnsi="Times New Roman" w:cs="Times New Roman"/>
          <w:sz w:val="24"/>
          <w:szCs w:val="24"/>
        </w:rPr>
        <w:t>, conclui-se que a diferença do desempenho operacional</w:t>
      </w:r>
      <w:r w:rsidR="00FA143B" w:rsidRPr="00933491">
        <w:rPr>
          <w:rFonts w:ascii="Times New Roman" w:hAnsi="Times New Roman" w:cs="Times New Roman"/>
          <w:sz w:val="24"/>
          <w:szCs w:val="24"/>
        </w:rPr>
        <w:t xml:space="preserve"> entre as empresas emissoras e não emissoras</w:t>
      </w:r>
      <w:r w:rsidR="00347376" w:rsidRPr="00933491">
        <w:rPr>
          <w:rFonts w:ascii="Times New Roman" w:hAnsi="Times New Roman" w:cs="Times New Roman"/>
          <w:sz w:val="24"/>
          <w:szCs w:val="24"/>
        </w:rPr>
        <w:t xml:space="preserve"> é </w:t>
      </w:r>
      <w:r w:rsidR="00AC00C7" w:rsidRPr="00933491">
        <w:rPr>
          <w:rFonts w:ascii="Times New Roman" w:hAnsi="Times New Roman" w:cs="Times New Roman"/>
          <w:sz w:val="24"/>
          <w:szCs w:val="24"/>
        </w:rPr>
        <w:t>específica</w:t>
      </w:r>
      <w:r w:rsidR="00347376" w:rsidRPr="00933491">
        <w:rPr>
          <w:rFonts w:ascii="Times New Roman" w:hAnsi="Times New Roman" w:cs="Times New Roman"/>
          <w:sz w:val="24"/>
          <w:szCs w:val="24"/>
        </w:rPr>
        <w:t xml:space="preserve"> para </w:t>
      </w:r>
      <w:r w:rsidR="00FA143B" w:rsidRPr="00933491">
        <w:rPr>
          <w:rFonts w:ascii="Times New Roman" w:hAnsi="Times New Roman" w:cs="Times New Roman"/>
          <w:sz w:val="24"/>
          <w:szCs w:val="24"/>
        </w:rPr>
        <w:t xml:space="preserve">o ano anterior e corrente </w:t>
      </w:r>
      <w:r w:rsidR="009F69FD" w:rsidRPr="00933491">
        <w:rPr>
          <w:rFonts w:ascii="Times New Roman" w:hAnsi="Times New Roman" w:cs="Times New Roman"/>
          <w:sz w:val="24"/>
          <w:szCs w:val="24"/>
        </w:rPr>
        <w:t>à</w:t>
      </w:r>
      <w:r w:rsidR="00FA143B" w:rsidRPr="00933491">
        <w:rPr>
          <w:rFonts w:ascii="Times New Roman" w:hAnsi="Times New Roman" w:cs="Times New Roman"/>
          <w:sz w:val="24"/>
          <w:szCs w:val="24"/>
        </w:rPr>
        <w:t xml:space="preserve"> SEO</w:t>
      </w:r>
      <w:r w:rsidRPr="00933491">
        <w:rPr>
          <w:rFonts w:ascii="Times New Roman" w:hAnsi="Times New Roman" w:cs="Times New Roman"/>
          <w:sz w:val="24"/>
          <w:szCs w:val="24"/>
        </w:rPr>
        <w:t>, sugerindo</w:t>
      </w:r>
      <w:r w:rsidR="00AC00C7" w:rsidRPr="00933491">
        <w:rPr>
          <w:rFonts w:ascii="Times New Roman" w:hAnsi="Times New Roman" w:cs="Times New Roman"/>
          <w:sz w:val="24"/>
          <w:szCs w:val="24"/>
        </w:rPr>
        <w:t xml:space="preserve"> que as empresas procuram melhorar seu desempenho operacional antes da emissão de SEO.</w:t>
      </w:r>
      <w:r w:rsidR="00FA143B" w:rsidRPr="00933491">
        <w:rPr>
          <w:rFonts w:ascii="Times New Roman" w:hAnsi="Times New Roman" w:cs="Times New Roman"/>
          <w:sz w:val="24"/>
          <w:szCs w:val="24"/>
        </w:rPr>
        <w:t xml:space="preserve"> </w:t>
      </w:r>
      <w:r w:rsidR="00AC00C7" w:rsidRPr="00933491">
        <w:rPr>
          <w:rFonts w:ascii="Times New Roman" w:hAnsi="Times New Roman" w:cs="Times New Roman"/>
          <w:sz w:val="24"/>
          <w:szCs w:val="24"/>
        </w:rPr>
        <w:t xml:space="preserve">Ademais, </w:t>
      </w:r>
      <w:r w:rsidR="00B274AC" w:rsidRPr="00933491">
        <w:rPr>
          <w:rFonts w:ascii="Times New Roman" w:hAnsi="Times New Roman" w:cs="Times New Roman"/>
          <w:sz w:val="24"/>
          <w:szCs w:val="24"/>
        </w:rPr>
        <w:t>sugere-se</w:t>
      </w:r>
      <w:r w:rsidR="0081184B" w:rsidRPr="00933491">
        <w:rPr>
          <w:rFonts w:ascii="Times New Roman" w:hAnsi="Times New Roman" w:cs="Times New Roman"/>
          <w:sz w:val="24"/>
          <w:szCs w:val="24"/>
        </w:rPr>
        <w:t xml:space="preserve"> que </w:t>
      </w:r>
      <w:r w:rsidR="00AC00C7" w:rsidRPr="00933491">
        <w:rPr>
          <w:rFonts w:ascii="Times New Roman" w:hAnsi="Times New Roman" w:cs="Times New Roman"/>
          <w:sz w:val="24"/>
          <w:szCs w:val="24"/>
        </w:rPr>
        <w:t>não existe</w:t>
      </w:r>
      <w:r w:rsidR="0081184B" w:rsidRPr="00933491">
        <w:rPr>
          <w:rFonts w:ascii="Times New Roman" w:hAnsi="Times New Roman" w:cs="Times New Roman"/>
          <w:sz w:val="24"/>
          <w:szCs w:val="24"/>
        </w:rPr>
        <w:t xml:space="preserve"> </w:t>
      </w:r>
      <w:r w:rsidR="00AC00C7" w:rsidRPr="00933491">
        <w:rPr>
          <w:rFonts w:ascii="Times New Roman" w:hAnsi="Times New Roman" w:cs="Times New Roman"/>
          <w:sz w:val="24"/>
          <w:szCs w:val="24"/>
        </w:rPr>
        <w:t>diferença</w:t>
      </w:r>
      <w:r w:rsidR="0081184B" w:rsidRPr="00933491">
        <w:rPr>
          <w:rFonts w:ascii="Times New Roman" w:hAnsi="Times New Roman" w:cs="Times New Roman"/>
          <w:sz w:val="24"/>
          <w:szCs w:val="24"/>
        </w:rPr>
        <w:t xml:space="preserve"> no desempenho acionário</w:t>
      </w:r>
      <w:r w:rsidR="00AC00C7" w:rsidRPr="00933491">
        <w:rPr>
          <w:rFonts w:ascii="Times New Roman" w:hAnsi="Times New Roman" w:cs="Times New Roman"/>
          <w:sz w:val="24"/>
          <w:szCs w:val="24"/>
        </w:rPr>
        <w:t>, a qual</w:t>
      </w:r>
      <w:r w:rsidR="0081184B" w:rsidRPr="00933491">
        <w:rPr>
          <w:rFonts w:ascii="Times New Roman" w:hAnsi="Times New Roman" w:cs="Times New Roman"/>
          <w:sz w:val="24"/>
          <w:szCs w:val="24"/>
        </w:rPr>
        <w:t xml:space="preserve"> pode ser atribuída ao fato de que</w:t>
      </w:r>
      <w:r w:rsidR="0093284D" w:rsidRPr="00933491">
        <w:rPr>
          <w:rFonts w:ascii="Times New Roman" w:hAnsi="Times New Roman" w:cs="Times New Roman"/>
          <w:sz w:val="24"/>
          <w:szCs w:val="24"/>
        </w:rPr>
        <w:t>,</w:t>
      </w:r>
      <w:r w:rsidR="0081184B" w:rsidRPr="00933491">
        <w:rPr>
          <w:rFonts w:ascii="Times New Roman" w:hAnsi="Times New Roman" w:cs="Times New Roman"/>
          <w:sz w:val="24"/>
          <w:szCs w:val="24"/>
        </w:rPr>
        <w:t xml:space="preserve"> no cenário brasileiro</w:t>
      </w:r>
      <w:r w:rsidR="0093284D" w:rsidRPr="00933491">
        <w:rPr>
          <w:rFonts w:ascii="Times New Roman" w:hAnsi="Times New Roman" w:cs="Times New Roman"/>
          <w:sz w:val="24"/>
          <w:szCs w:val="24"/>
        </w:rPr>
        <w:t>,</w:t>
      </w:r>
      <w:r w:rsidR="0081184B" w:rsidRPr="00933491">
        <w:rPr>
          <w:rFonts w:ascii="Times New Roman" w:hAnsi="Times New Roman" w:cs="Times New Roman"/>
          <w:sz w:val="24"/>
          <w:szCs w:val="24"/>
        </w:rPr>
        <w:t xml:space="preserve"> há poucas ofertas públicas de ações, ficando a análise restrita apenas às empresas representativas no mercado de ações. Consequentemente, os investidores não avaliam emissoras e não emissoras de maneira diferente.</w:t>
      </w:r>
    </w:p>
    <w:p w14:paraId="298583AF" w14:textId="77777777" w:rsidR="00EA588F" w:rsidRPr="00933491" w:rsidRDefault="00EA588F" w:rsidP="002C415E">
      <w:pPr>
        <w:spacing w:after="0" w:line="240" w:lineRule="auto"/>
        <w:ind w:firstLine="709"/>
        <w:jc w:val="both"/>
        <w:rPr>
          <w:rFonts w:ascii="Times New Roman" w:hAnsi="Times New Roman" w:cs="Times New Roman"/>
          <w:sz w:val="24"/>
          <w:szCs w:val="24"/>
        </w:rPr>
      </w:pPr>
    </w:p>
    <w:p w14:paraId="22B04CE3" w14:textId="5A109BA0" w:rsidR="00EE2113" w:rsidRDefault="007B116C" w:rsidP="00DB788B">
      <w:pPr>
        <w:spacing w:after="120" w:line="240" w:lineRule="auto"/>
        <w:jc w:val="both"/>
        <w:rPr>
          <w:rFonts w:ascii="Times New Roman" w:hAnsi="Times New Roman" w:cs="Times New Roman"/>
          <w:b/>
          <w:sz w:val="24"/>
          <w:szCs w:val="24"/>
          <w:lang w:val="en-US"/>
        </w:rPr>
      </w:pPr>
      <w:proofErr w:type="spellStart"/>
      <w:r w:rsidRPr="00933491">
        <w:rPr>
          <w:rFonts w:ascii="Times New Roman" w:hAnsi="Times New Roman" w:cs="Times New Roman"/>
          <w:b/>
          <w:sz w:val="24"/>
          <w:szCs w:val="24"/>
          <w:lang w:val="en-US"/>
        </w:rPr>
        <w:t>Referências</w:t>
      </w:r>
      <w:proofErr w:type="spellEnd"/>
    </w:p>
    <w:p w14:paraId="6BD0204D" w14:textId="77777777" w:rsidR="00464BF2" w:rsidRPr="00933491" w:rsidRDefault="00464BF2" w:rsidP="00207293">
      <w:pPr>
        <w:autoSpaceDE w:val="0"/>
        <w:autoSpaceDN w:val="0"/>
        <w:adjustRightInd w:val="0"/>
        <w:spacing w:after="0" w:line="240" w:lineRule="auto"/>
        <w:jc w:val="both"/>
        <w:rPr>
          <w:rStyle w:val="hps"/>
          <w:rFonts w:ascii="Times New Roman" w:hAnsi="Times New Roman" w:cs="Times New Roman"/>
          <w:sz w:val="24"/>
          <w:szCs w:val="24"/>
          <w:lang w:val="en-US"/>
        </w:rPr>
      </w:pPr>
      <w:r w:rsidRPr="00933491">
        <w:rPr>
          <w:rStyle w:val="hps"/>
          <w:rFonts w:ascii="Times New Roman" w:hAnsi="Times New Roman" w:cs="Times New Roman"/>
          <w:sz w:val="24"/>
          <w:szCs w:val="24"/>
          <w:lang w:val="en-US"/>
        </w:rPr>
        <w:t>ASQUITH, P.; MULLINS, D. Equity issues and offering dilution</w:t>
      </w:r>
      <w:r w:rsidRPr="00933491">
        <w:rPr>
          <w:rStyle w:val="hps"/>
          <w:rFonts w:ascii="Times New Roman" w:hAnsi="Times New Roman" w:cs="Times New Roman"/>
          <w:b/>
          <w:sz w:val="24"/>
          <w:szCs w:val="24"/>
          <w:lang w:val="en-US"/>
        </w:rPr>
        <w:t>. Journal of Financial Economics</w:t>
      </w:r>
      <w:r w:rsidRPr="00933491">
        <w:rPr>
          <w:rStyle w:val="hps"/>
          <w:rFonts w:ascii="Times New Roman" w:hAnsi="Times New Roman" w:cs="Times New Roman"/>
          <w:sz w:val="24"/>
          <w:szCs w:val="24"/>
          <w:lang w:val="en-US"/>
        </w:rPr>
        <w:t>, v. 15, p. 61-89, 1986.</w:t>
      </w:r>
    </w:p>
    <w:p w14:paraId="15334AFA" w14:textId="77777777" w:rsidR="00464BF2" w:rsidRPr="00933491" w:rsidRDefault="00464BF2" w:rsidP="00207293">
      <w:pPr>
        <w:autoSpaceDE w:val="0"/>
        <w:autoSpaceDN w:val="0"/>
        <w:adjustRightInd w:val="0"/>
        <w:spacing w:after="0" w:line="240" w:lineRule="auto"/>
        <w:jc w:val="both"/>
        <w:rPr>
          <w:rStyle w:val="hps"/>
          <w:rFonts w:ascii="Times New Roman" w:hAnsi="Times New Roman" w:cs="Times New Roman"/>
          <w:sz w:val="24"/>
          <w:szCs w:val="24"/>
          <w:lang w:val="en-US"/>
        </w:rPr>
      </w:pPr>
    </w:p>
    <w:p w14:paraId="069730DB" w14:textId="4E96A182" w:rsidR="00527227" w:rsidRDefault="00207293" w:rsidP="00207293">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BAKER, M.; </w:t>
      </w:r>
      <w:r w:rsidRPr="006A0D91">
        <w:rPr>
          <w:rFonts w:ascii="Times New Roman" w:hAnsi="Times New Roman" w:cs="Times New Roman"/>
          <w:sz w:val="24"/>
          <w:szCs w:val="24"/>
          <w:lang w:val="en-US"/>
        </w:rPr>
        <w:t xml:space="preserve">WURGLER, </w:t>
      </w:r>
      <w:r w:rsidR="00527227" w:rsidRPr="006A0D91">
        <w:rPr>
          <w:rFonts w:ascii="Times New Roman" w:hAnsi="Times New Roman" w:cs="Times New Roman"/>
          <w:sz w:val="24"/>
          <w:szCs w:val="24"/>
          <w:lang w:val="en-US"/>
        </w:rPr>
        <w:t>J. Market timing and capital structures</w:t>
      </w:r>
      <w:r w:rsidR="00527227" w:rsidRPr="006A0D91">
        <w:rPr>
          <w:rFonts w:ascii="Times New Roman" w:hAnsi="Times New Roman" w:cs="Times New Roman"/>
          <w:i/>
          <w:sz w:val="24"/>
          <w:szCs w:val="24"/>
          <w:lang w:val="en-US"/>
        </w:rPr>
        <w:t xml:space="preserve">. </w:t>
      </w:r>
      <w:r w:rsidR="00527227" w:rsidRPr="00207293">
        <w:rPr>
          <w:rFonts w:ascii="Times New Roman" w:hAnsi="Times New Roman" w:cs="Times New Roman"/>
          <w:b/>
          <w:sz w:val="24"/>
          <w:szCs w:val="24"/>
          <w:lang w:val="en-US"/>
        </w:rPr>
        <w:t>Journal of Finance</w:t>
      </w:r>
      <w:r w:rsidR="00527227" w:rsidRPr="00AB596C">
        <w:rPr>
          <w:rFonts w:ascii="Times New Roman" w:hAnsi="Times New Roman" w:cs="Times New Roman"/>
          <w:sz w:val="24"/>
          <w:szCs w:val="24"/>
          <w:lang w:val="en-US"/>
        </w:rPr>
        <w:t>,</w:t>
      </w:r>
      <w:r w:rsidR="00527227" w:rsidRPr="006A0D9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v. </w:t>
      </w:r>
      <w:r w:rsidR="00527227" w:rsidRPr="006A0D91">
        <w:rPr>
          <w:rFonts w:ascii="Times New Roman" w:hAnsi="Times New Roman" w:cs="Times New Roman"/>
          <w:sz w:val="24"/>
          <w:szCs w:val="24"/>
          <w:lang w:val="en-US"/>
        </w:rPr>
        <w:t>57</w:t>
      </w:r>
      <w:r>
        <w:rPr>
          <w:rFonts w:ascii="Times New Roman" w:hAnsi="Times New Roman" w:cs="Times New Roman"/>
          <w:sz w:val="24"/>
          <w:szCs w:val="24"/>
          <w:lang w:val="en-US"/>
        </w:rPr>
        <w:t>, n.1</w:t>
      </w:r>
      <w:r w:rsidR="00527227" w:rsidRPr="006A0D91">
        <w:rPr>
          <w:rFonts w:ascii="Times New Roman" w:hAnsi="Times New Roman" w:cs="Times New Roman"/>
          <w:sz w:val="24"/>
          <w:szCs w:val="24"/>
          <w:lang w:val="en-US"/>
        </w:rPr>
        <w:t xml:space="preserve">, </w:t>
      </w:r>
      <w:r>
        <w:rPr>
          <w:rFonts w:ascii="Times New Roman" w:hAnsi="Times New Roman" w:cs="Times New Roman"/>
          <w:sz w:val="24"/>
          <w:szCs w:val="24"/>
          <w:lang w:val="en-US"/>
        </w:rPr>
        <w:t>p. 1-30, 2002.</w:t>
      </w:r>
    </w:p>
    <w:p w14:paraId="4166C16E" w14:textId="77777777" w:rsidR="00464BF2" w:rsidRPr="006A0D91" w:rsidRDefault="00464BF2" w:rsidP="00207293">
      <w:pPr>
        <w:spacing w:after="0" w:line="240" w:lineRule="auto"/>
        <w:jc w:val="both"/>
        <w:rPr>
          <w:rFonts w:ascii="Times New Roman" w:hAnsi="Times New Roman" w:cs="Times New Roman"/>
          <w:i/>
          <w:sz w:val="24"/>
          <w:szCs w:val="24"/>
          <w:lang w:val="en-US"/>
        </w:rPr>
      </w:pPr>
    </w:p>
    <w:p w14:paraId="01A7F629" w14:textId="77777777" w:rsidR="00464BF2" w:rsidRPr="00933491" w:rsidRDefault="00464BF2" w:rsidP="00207293">
      <w:pPr>
        <w:autoSpaceDE w:val="0"/>
        <w:autoSpaceDN w:val="0"/>
        <w:adjustRightInd w:val="0"/>
        <w:spacing w:after="0" w:line="240" w:lineRule="auto"/>
        <w:jc w:val="both"/>
        <w:rPr>
          <w:rFonts w:ascii="Times New Roman" w:eastAsia="Calibri" w:hAnsi="Times New Roman" w:cs="Times New Roman"/>
          <w:sz w:val="24"/>
          <w:szCs w:val="24"/>
          <w:lang w:val="en-US"/>
        </w:rPr>
      </w:pPr>
      <w:r w:rsidRPr="00933491">
        <w:rPr>
          <w:rFonts w:ascii="Times New Roman" w:eastAsia="Calibri" w:hAnsi="Times New Roman" w:cs="Times New Roman"/>
          <w:sz w:val="24"/>
          <w:szCs w:val="24"/>
          <w:lang w:val="en-US"/>
        </w:rPr>
        <w:t xml:space="preserve">CHEN, K. Y.; LIN, </w:t>
      </w:r>
      <w:proofErr w:type="spellStart"/>
      <w:r w:rsidRPr="00933491">
        <w:rPr>
          <w:rFonts w:ascii="Times New Roman" w:eastAsia="Calibri" w:hAnsi="Times New Roman" w:cs="Times New Roman"/>
          <w:sz w:val="24"/>
          <w:szCs w:val="24"/>
          <w:lang w:val="en-US"/>
        </w:rPr>
        <w:t>Kuen</w:t>
      </w:r>
      <w:proofErr w:type="spellEnd"/>
      <w:r w:rsidRPr="00933491">
        <w:rPr>
          <w:rFonts w:ascii="Times New Roman" w:eastAsia="Calibri" w:hAnsi="Times New Roman" w:cs="Times New Roman"/>
          <w:sz w:val="24"/>
          <w:szCs w:val="24"/>
          <w:lang w:val="en-US"/>
        </w:rPr>
        <w:t xml:space="preserve">-Lin; ZHOU, </w:t>
      </w:r>
      <w:proofErr w:type="spellStart"/>
      <w:r w:rsidRPr="00933491">
        <w:rPr>
          <w:rFonts w:ascii="Times New Roman" w:eastAsia="Calibri" w:hAnsi="Times New Roman" w:cs="Times New Roman"/>
          <w:sz w:val="24"/>
          <w:szCs w:val="24"/>
          <w:lang w:val="en-US"/>
        </w:rPr>
        <w:t>Jian</w:t>
      </w:r>
      <w:proofErr w:type="spellEnd"/>
      <w:r w:rsidRPr="00933491">
        <w:rPr>
          <w:rFonts w:ascii="Times New Roman" w:eastAsia="Calibri" w:hAnsi="Times New Roman" w:cs="Times New Roman"/>
          <w:sz w:val="24"/>
          <w:szCs w:val="24"/>
          <w:lang w:val="en-US"/>
        </w:rPr>
        <w:t xml:space="preserve">. Audit quality and earnings management for Taiwan IPO firms. </w:t>
      </w:r>
      <w:r w:rsidRPr="00933491">
        <w:rPr>
          <w:rFonts w:ascii="Times New Roman" w:eastAsia="Calibri" w:hAnsi="Times New Roman" w:cs="Times New Roman"/>
          <w:b/>
          <w:bCs/>
          <w:sz w:val="24"/>
          <w:szCs w:val="24"/>
          <w:lang w:val="en-US"/>
        </w:rPr>
        <w:t xml:space="preserve">Managerial Auditing Journal, </w:t>
      </w:r>
      <w:r w:rsidRPr="00933491">
        <w:rPr>
          <w:rFonts w:ascii="Times New Roman" w:eastAsia="Calibri" w:hAnsi="Times New Roman" w:cs="Times New Roman"/>
          <w:sz w:val="24"/>
          <w:szCs w:val="24"/>
          <w:lang w:val="en-US"/>
        </w:rPr>
        <w:t>v. 20, n. 1, p. 86-104, 2005.</w:t>
      </w:r>
    </w:p>
    <w:p w14:paraId="1E175F19" w14:textId="77777777" w:rsidR="00464BF2" w:rsidRPr="00933491" w:rsidRDefault="00464BF2" w:rsidP="00207293">
      <w:pPr>
        <w:autoSpaceDE w:val="0"/>
        <w:autoSpaceDN w:val="0"/>
        <w:adjustRightInd w:val="0"/>
        <w:spacing w:after="0" w:line="240" w:lineRule="auto"/>
        <w:jc w:val="both"/>
        <w:rPr>
          <w:rFonts w:ascii="Times New Roman" w:eastAsia="Calibri" w:hAnsi="Times New Roman" w:cs="Times New Roman"/>
          <w:sz w:val="24"/>
          <w:szCs w:val="24"/>
          <w:lang w:val="en-US"/>
        </w:rPr>
      </w:pPr>
    </w:p>
    <w:p w14:paraId="15E33C48" w14:textId="77777777" w:rsidR="00464BF2" w:rsidRPr="00933491" w:rsidRDefault="00464BF2" w:rsidP="00207293">
      <w:pPr>
        <w:autoSpaceDE w:val="0"/>
        <w:autoSpaceDN w:val="0"/>
        <w:adjustRightInd w:val="0"/>
        <w:spacing w:after="0" w:line="240" w:lineRule="auto"/>
        <w:jc w:val="both"/>
        <w:rPr>
          <w:rFonts w:ascii="Times New Roman" w:eastAsia="Calibri" w:hAnsi="Times New Roman" w:cs="Times New Roman"/>
          <w:sz w:val="24"/>
          <w:szCs w:val="24"/>
          <w:lang w:val="en-US"/>
        </w:rPr>
      </w:pPr>
      <w:r w:rsidRPr="00933491">
        <w:rPr>
          <w:rFonts w:ascii="Times New Roman" w:eastAsia="Calibri" w:hAnsi="Times New Roman" w:cs="Times New Roman"/>
          <w:sz w:val="24"/>
          <w:szCs w:val="24"/>
          <w:lang w:val="en-US"/>
        </w:rPr>
        <w:t xml:space="preserve">COHEN, D. ZAROWIN, P. Z.  Accrual-based and real earnings management activities around seasoned equity offerings. </w:t>
      </w:r>
      <w:r w:rsidRPr="00933491">
        <w:rPr>
          <w:rFonts w:ascii="Times New Roman" w:eastAsia="Calibri" w:hAnsi="Times New Roman" w:cs="Times New Roman"/>
          <w:b/>
          <w:sz w:val="24"/>
          <w:szCs w:val="24"/>
          <w:lang w:val="en-US"/>
        </w:rPr>
        <w:t>Journal of Accounting and Economics</w:t>
      </w:r>
      <w:r w:rsidRPr="00933491">
        <w:rPr>
          <w:rFonts w:ascii="Times New Roman" w:eastAsia="Calibri" w:hAnsi="Times New Roman" w:cs="Times New Roman"/>
          <w:sz w:val="24"/>
          <w:szCs w:val="24"/>
          <w:lang w:val="en-US"/>
        </w:rPr>
        <w:t>, v.50, p. 2-19, 2010.</w:t>
      </w:r>
    </w:p>
    <w:p w14:paraId="498C4C84" w14:textId="77777777" w:rsidR="00464BF2" w:rsidRDefault="00464BF2" w:rsidP="00207293">
      <w:pPr>
        <w:spacing w:after="0" w:line="240" w:lineRule="auto"/>
        <w:jc w:val="both"/>
        <w:rPr>
          <w:rFonts w:ascii="Times New Roman" w:hAnsi="Times New Roman" w:cs="Times New Roman"/>
          <w:sz w:val="24"/>
          <w:szCs w:val="24"/>
        </w:rPr>
      </w:pPr>
    </w:p>
    <w:p w14:paraId="3E6B94E6" w14:textId="703C0A8B" w:rsidR="00527227" w:rsidRDefault="00207293" w:rsidP="002072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COSTA, V.; </w:t>
      </w:r>
      <w:r w:rsidRPr="0028497B">
        <w:rPr>
          <w:rFonts w:ascii="Times New Roman" w:hAnsi="Times New Roman" w:cs="Times New Roman"/>
          <w:sz w:val="24"/>
          <w:szCs w:val="24"/>
        </w:rPr>
        <w:t>MACHADO, M</w:t>
      </w:r>
      <w:r>
        <w:rPr>
          <w:rFonts w:ascii="Times New Roman" w:hAnsi="Times New Roman" w:cs="Times New Roman"/>
          <w:sz w:val="24"/>
          <w:szCs w:val="24"/>
        </w:rPr>
        <w:t xml:space="preserve"> A. V</w:t>
      </w:r>
      <w:r w:rsidR="00527227" w:rsidRPr="0028497B">
        <w:rPr>
          <w:rFonts w:ascii="Times New Roman" w:hAnsi="Times New Roman" w:cs="Times New Roman"/>
          <w:sz w:val="24"/>
          <w:szCs w:val="24"/>
        </w:rPr>
        <w:t>. Market Timing, Estágio do Ciclo de Vida e Ofertas Públicas de Ações</w:t>
      </w:r>
      <w:r w:rsidR="00527227" w:rsidRPr="00207293">
        <w:rPr>
          <w:rFonts w:ascii="Times New Roman" w:hAnsi="Times New Roman" w:cs="Times New Roman"/>
          <w:b/>
          <w:sz w:val="24"/>
          <w:szCs w:val="24"/>
        </w:rPr>
        <w:t xml:space="preserve">. </w:t>
      </w:r>
      <w:r w:rsidR="00527227" w:rsidRPr="00207293">
        <w:rPr>
          <w:rFonts w:ascii="Times New Roman" w:hAnsi="Times New Roman" w:cs="Times New Roman"/>
          <w:b/>
          <w:iCs/>
          <w:sz w:val="24"/>
          <w:szCs w:val="24"/>
        </w:rPr>
        <w:t>Sociedade, Contabilidade e Gestão</w:t>
      </w:r>
      <w:r w:rsidR="00527227" w:rsidRPr="00AB596C">
        <w:rPr>
          <w:rFonts w:ascii="Times New Roman" w:hAnsi="Times New Roman" w:cs="Times New Roman"/>
          <w:i/>
          <w:iCs/>
          <w:sz w:val="24"/>
          <w:szCs w:val="24"/>
        </w:rPr>
        <w:t>,</w:t>
      </w:r>
      <w:r w:rsidR="00527227" w:rsidRPr="0028497B">
        <w:rPr>
          <w:rFonts w:ascii="Times New Roman" w:hAnsi="Times New Roman" w:cs="Times New Roman"/>
          <w:sz w:val="24"/>
          <w:szCs w:val="24"/>
        </w:rPr>
        <w:t xml:space="preserve"> </w:t>
      </w:r>
      <w:r>
        <w:rPr>
          <w:rFonts w:ascii="Times New Roman" w:hAnsi="Times New Roman" w:cs="Times New Roman"/>
          <w:sz w:val="24"/>
          <w:szCs w:val="24"/>
        </w:rPr>
        <w:t>v.</w:t>
      </w:r>
      <w:r w:rsidR="00527227" w:rsidRPr="0028497B">
        <w:rPr>
          <w:rFonts w:ascii="Times New Roman" w:hAnsi="Times New Roman" w:cs="Times New Roman"/>
          <w:sz w:val="24"/>
          <w:szCs w:val="24"/>
        </w:rPr>
        <w:t>9</w:t>
      </w:r>
      <w:r>
        <w:rPr>
          <w:rFonts w:ascii="Times New Roman" w:hAnsi="Times New Roman" w:cs="Times New Roman"/>
          <w:sz w:val="24"/>
          <w:szCs w:val="24"/>
        </w:rPr>
        <w:t>, n.</w:t>
      </w:r>
      <w:r w:rsidR="00527227" w:rsidRPr="0028497B">
        <w:rPr>
          <w:rFonts w:ascii="Times New Roman" w:hAnsi="Times New Roman" w:cs="Times New Roman"/>
          <w:sz w:val="24"/>
          <w:szCs w:val="24"/>
        </w:rPr>
        <w:t xml:space="preserve">2, </w:t>
      </w:r>
      <w:r>
        <w:rPr>
          <w:rFonts w:ascii="Times New Roman" w:hAnsi="Times New Roman" w:cs="Times New Roman"/>
          <w:sz w:val="24"/>
          <w:szCs w:val="24"/>
        </w:rPr>
        <w:t xml:space="preserve">p. </w:t>
      </w:r>
      <w:r w:rsidR="00527227">
        <w:rPr>
          <w:rFonts w:ascii="Times New Roman" w:hAnsi="Times New Roman" w:cs="Times New Roman"/>
          <w:sz w:val="24"/>
          <w:szCs w:val="24"/>
        </w:rPr>
        <w:t>117-135</w:t>
      </w:r>
      <w:r>
        <w:rPr>
          <w:rFonts w:ascii="Times New Roman" w:hAnsi="Times New Roman" w:cs="Times New Roman"/>
          <w:sz w:val="24"/>
          <w:szCs w:val="24"/>
        </w:rPr>
        <w:t>, 2014.</w:t>
      </w:r>
    </w:p>
    <w:p w14:paraId="2660488C" w14:textId="77777777" w:rsidR="00464BF2" w:rsidRPr="0028497B" w:rsidRDefault="00464BF2" w:rsidP="00207293">
      <w:pPr>
        <w:spacing w:after="0" w:line="240" w:lineRule="auto"/>
        <w:jc w:val="both"/>
        <w:rPr>
          <w:rFonts w:ascii="Times New Roman" w:hAnsi="Times New Roman" w:cs="Times New Roman"/>
          <w:sz w:val="24"/>
          <w:szCs w:val="24"/>
        </w:rPr>
      </w:pPr>
    </w:p>
    <w:p w14:paraId="403C15EB" w14:textId="0B7D6C88" w:rsidR="00527227" w:rsidRDefault="00207293" w:rsidP="00207293">
      <w:pPr>
        <w:spacing w:after="0" w:line="240" w:lineRule="auto"/>
        <w:jc w:val="both"/>
        <w:rPr>
          <w:rFonts w:ascii="Times New Roman" w:hAnsi="Times New Roman" w:cs="Times New Roman"/>
          <w:sz w:val="24"/>
          <w:szCs w:val="24"/>
          <w:lang w:val="en-US"/>
        </w:rPr>
      </w:pPr>
      <w:r w:rsidRPr="006A0D91">
        <w:rPr>
          <w:rFonts w:ascii="Times New Roman" w:hAnsi="Times New Roman" w:cs="Times New Roman"/>
          <w:sz w:val="24"/>
          <w:szCs w:val="24"/>
          <w:lang w:val="en-US"/>
        </w:rPr>
        <w:t>DEANGELO, H.</w:t>
      </w:r>
      <w:r>
        <w:rPr>
          <w:rFonts w:ascii="Times New Roman" w:hAnsi="Times New Roman" w:cs="Times New Roman"/>
          <w:sz w:val="24"/>
          <w:szCs w:val="24"/>
          <w:lang w:val="en-US"/>
        </w:rPr>
        <w:t>;</w:t>
      </w:r>
      <w:r w:rsidRPr="006A0D91">
        <w:rPr>
          <w:rFonts w:ascii="Times New Roman" w:hAnsi="Times New Roman" w:cs="Times New Roman"/>
          <w:sz w:val="24"/>
          <w:szCs w:val="24"/>
          <w:lang w:val="en-US"/>
        </w:rPr>
        <w:t xml:space="preserve"> DEANGELO, L.</w:t>
      </w:r>
      <w:r>
        <w:rPr>
          <w:rFonts w:ascii="Times New Roman" w:hAnsi="Times New Roman" w:cs="Times New Roman"/>
          <w:sz w:val="24"/>
          <w:szCs w:val="24"/>
          <w:lang w:val="en-US"/>
        </w:rPr>
        <w:t xml:space="preserve">; </w:t>
      </w:r>
      <w:r w:rsidRPr="006A0D91">
        <w:rPr>
          <w:rFonts w:ascii="Times New Roman" w:hAnsi="Times New Roman" w:cs="Times New Roman"/>
          <w:sz w:val="24"/>
          <w:szCs w:val="24"/>
          <w:lang w:val="en-US"/>
        </w:rPr>
        <w:t xml:space="preserve">STULZ, R. M. </w:t>
      </w:r>
      <w:r w:rsidR="00527227" w:rsidRPr="006A0D91">
        <w:rPr>
          <w:rFonts w:ascii="Times New Roman" w:hAnsi="Times New Roman" w:cs="Times New Roman"/>
          <w:sz w:val="24"/>
          <w:szCs w:val="24"/>
          <w:lang w:val="en-US"/>
        </w:rPr>
        <w:t xml:space="preserve">Seasoned equity offerings, market timing, and the corporate lifecycle. </w:t>
      </w:r>
      <w:r w:rsidR="00527227" w:rsidRPr="00207293">
        <w:rPr>
          <w:rFonts w:ascii="Times New Roman" w:hAnsi="Times New Roman" w:cs="Times New Roman"/>
          <w:b/>
          <w:sz w:val="24"/>
          <w:szCs w:val="24"/>
          <w:lang w:val="en-US"/>
        </w:rPr>
        <w:t>Journal of Financial Economic</w:t>
      </w:r>
      <w:r w:rsidR="00527227" w:rsidRPr="00AB596C">
        <w:rPr>
          <w:rFonts w:ascii="Times New Roman" w:hAnsi="Times New Roman" w:cs="Times New Roman"/>
          <w:sz w:val="24"/>
          <w:szCs w:val="24"/>
          <w:lang w:val="en-US"/>
        </w:rPr>
        <w:t>,</w:t>
      </w:r>
      <w:r w:rsidR="00527227" w:rsidRPr="006A0D91">
        <w:rPr>
          <w:rFonts w:ascii="Times New Roman" w:hAnsi="Times New Roman" w:cs="Times New Roman"/>
          <w:sz w:val="24"/>
          <w:szCs w:val="24"/>
          <w:lang w:val="en-US"/>
        </w:rPr>
        <w:t xml:space="preserve"> </w:t>
      </w:r>
      <w:r w:rsidR="00981327">
        <w:rPr>
          <w:rFonts w:ascii="Times New Roman" w:hAnsi="Times New Roman" w:cs="Times New Roman"/>
          <w:sz w:val="24"/>
          <w:szCs w:val="24"/>
          <w:lang w:val="en-US"/>
        </w:rPr>
        <w:t>v.</w:t>
      </w:r>
      <w:r w:rsidR="00527227" w:rsidRPr="006A0D91">
        <w:rPr>
          <w:rFonts w:ascii="Times New Roman" w:hAnsi="Times New Roman" w:cs="Times New Roman"/>
          <w:sz w:val="24"/>
          <w:szCs w:val="24"/>
          <w:lang w:val="en-US"/>
        </w:rPr>
        <w:t xml:space="preserve">95, </w:t>
      </w:r>
      <w:r>
        <w:rPr>
          <w:rFonts w:ascii="Times New Roman" w:hAnsi="Times New Roman" w:cs="Times New Roman"/>
          <w:sz w:val="24"/>
          <w:szCs w:val="24"/>
          <w:lang w:val="en-US"/>
        </w:rPr>
        <w:t>p. 275-295, 2010.</w:t>
      </w:r>
    </w:p>
    <w:p w14:paraId="35D2ED87" w14:textId="77777777" w:rsidR="00207293" w:rsidRPr="006A0D91" w:rsidRDefault="00207293" w:rsidP="00207293">
      <w:pPr>
        <w:spacing w:after="0" w:line="240" w:lineRule="auto"/>
        <w:jc w:val="both"/>
        <w:rPr>
          <w:rFonts w:ascii="Times New Roman" w:hAnsi="Times New Roman" w:cs="Times New Roman"/>
          <w:sz w:val="24"/>
          <w:szCs w:val="24"/>
          <w:lang w:val="en-US"/>
        </w:rPr>
      </w:pPr>
    </w:p>
    <w:p w14:paraId="2A8FAD81" w14:textId="196F37F5" w:rsidR="00207293" w:rsidRPr="00933491" w:rsidRDefault="00207293" w:rsidP="00207293">
      <w:pPr>
        <w:autoSpaceDE w:val="0"/>
        <w:autoSpaceDN w:val="0"/>
        <w:adjustRightInd w:val="0"/>
        <w:spacing w:after="0" w:line="240" w:lineRule="auto"/>
        <w:jc w:val="both"/>
        <w:rPr>
          <w:rFonts w:ascii="Times New Roman" w:eastAsia="Calibri" w:hAnsi="Times New Roman" w:cs="Times New Roman"/>
          <w:sz w:val="24"/>
          <w:szCs w:val="24"/>
          <w:lang w:val="en-US"/>
        </w:rPr>
      </w:pPr>
      <w:r w:rsidRPr="00933491">
        <w:rPr>
          <w:rFonts w:ascii="Times New Roman" w:eastAsia="Calibri" w:hAnsi="Times New Roman" w:cs="Times New Roman"/>
          <w:sz w:val="24"/>
          <w:szCs w:val="24"/>
          <w:lang w:val="en-US"/>
        </w:rPr>
        <w:t>DENIS, David J.</w:t>
      </w:r>
      <w:proofErr w:type="gramStart"/>
      <w:r w:rsidRPr="00933491">
        <w:rPr>
          <w:rFonts w:ascii="Times New Roman" w:eastAsia="Calibri" w:hAnsi="Times New Roman" w:cs="Times New Roman"/>
          <w:sz w:val="24"/>
          <w:szCs w:val="24"/>
          <w:lang w:val="en-US"/>
        </w:rPr>
        <w:t>;</w:t>
      </w:r>
      <w:proofErr w:type="gramEnd"/>
      <w:r w:rsidRPr="00933491">
        <w:rPr>
          <w:rFonts w:ascii="Times New Roman" w:eastAsia="Calibri" w:hAnsi="Times New Roman" w:cs="Times New Roman"/>
          <w:sz w:val="24"/>
          <w:szCs w:val="24"/>
          <w:lang w:val="en-US"/>
        </w:rPr>
        <w:t xml:space="preserve"> SARIN, A. </w:t>
      </w:r>
      <w:proofErr w:type="gramStart"/>
      <w:r w:rsidRPr="00933491">
        <w:rPr>
          <w:rFonts w:ascii="Times New Roman" w:eastAsia="Calibri" w:hAnsi="Times New Roman" w:cs="Times New Roman"/>
          <w:sz w:val="24"/>
          <w:szCs w:val="24"/>
          <w:lang w:val="en-US"/>
        </w:rPr>
        <w:t>Is the market surprised</w:t>
      </w:r>
      <w:proofErr w:type="gramEnd"/>
      <w:r w:rsidRPr="00933491">
        <w:rPr>
          <w:rFonts w:ascii="Times New Roman" w:eastAsia="Calibri" w:hAnsi="Times New Roman" w:cs="Times New Roman"/>
          <w:sz w:val="24"/>
          <w:szCs w:val="24"/>
          <w:lang w:val="en-US"/>
        </w:rPr>
        <w:t xml:space="preserve"> by poor earnings realizations following seasoned equity offerings? </w:t>
      </w:r>
      <w:r w:rsidRPr="00933491">
        <w:rPr>
          <w:rFonts w:ascii="Times New Roman" w:eastAsia="Calibri" w:hAnsi="Times New Roman" w:cs="Times New Roman"/>
          <w:b/>
          <w:bCs/>
          <w:sz w:val="24"/>
          <w:szCs w:val="24"/>
          <w:lang w:val="en-US"/>
        </w:rPr>
        <w:t xml:space="preserve">The Journal of Financial and Quantitative Analysis, </w:t>
      </w:r>
      <w:r w:rsidR="00981327">
        <w:rPr>
          <w:rFonts w:ascii="Times New Roman" w:eastAsia="Calibri" w:hAnsi="Times New Roman" w:cs="Times New Roman"/>
          <w:sz w:val="24"/>
          <w:szCs w:val="24"/>
          <w:lang w:val="en-US"/>
        </w:rPr>
        <w:t>v.</w:t>
      </w:r>
      <w:r w:rsidRPr="00933491">
        <w:rPr>
          <w:rFonts w:ascii="Times New Roman" w:eastAsia="Calibri" w:hAnsi="Times New Roman" w:cs="Times New Roman"/>
          <w:sz w:val="24"/>
          <w:szCs w:val="24"/>
          <w:lang w:val="en-US"/>
        </w:rPr>
        <w:t>3</w:t>
      </w:r>
      <w:r w:rsidR="00981327">
        <w:rPr>
          <w:rFonts w:ascii="Times New Roman" w:eastAsia="Calibri" w:hAnsi="Times New Roman" w:cs="Times New Roman"/>
          <w:sz w:val="24"/>
          <w:szCs w:val="24"/>
          <w:lang w:val="en-US"/>
        </w:rPr>
        <w:t>6, n.</w:t>
      </w:r>
      <w:r w:rsidRPr="00933491">
        <w:rPr>
          <w:rFonts w:ascii="Times New Roman" w:eastAsia="Calibri" w:hAnsi="Times New Roman" w:cs="Times New Roman"/>
          <w:sz w:val="24"/>
          <w:szCs w:val="24"/>
          <w:lang w:val="en-US"/>
        </w:rPr>
        <w:t>2, p. 169-193, 2001.</w:t>
      </w:r>
    </w:p>
    <w:p w14:paraId="77EF1899" w14:textId="77777777" w:rsidR="00207293" w:rsidRPr="00933491" w:rsidRDefault="00207293" w:rsidP="00207293">
      <w:pPr>
        <w:autoSpaceDE w:val="0"/>
        <w:autoSpaceDN w:val="0"/>
        <w:adjustRightInd w:val="0"/>
        <w:spacing w:after="0" w:line="240" w:lineRule="auto"/>
        <w:jc w:val="both"/>
        <w:rPr>
          <w:rFonts w:ascii="Times New Roman" w:eastAsia="Calibri" w:hAnsi="Times New Roman" w:cs="Times New Roman"/>
          <w:sz w:val="24"/>
          <w:szCs w:val="24"/>
          <w:lang w:val="en-US"/>
        </w:rPr>
      </w:pPr>
    </w:p>
    <w:p w14:paraId="256C9932" w14:textId="7222EA2B" w:rsidR="00207293" w:rsidRPr="00933491" w:rsidRDefault="00207293" w:rsidP="00207293">
      <w:pPr>
        <w:autoSpaceDE w:val="0"/>
        <w:autoSpaceDN w:val="0"/>
        <w:adjustRightInd w:val="0"/>
        <w:spacing w:after="0" w:line="240" w:lineRule="auto"/>
        <w:jc w:val="both"/>
        <w:rPr>
          <w:rFonts w:ascii="Times New Roman" w:eastAsia="TimesNewRoman" w:hAnsi="Times New Roman" w:cs="Times New Roman"/>
          <w:sz w:val="24"/>
          <w:szCs w:val="24"/>
          <w:lang w:val="en-US"/>
        </w:rPr>
      </w:pPr>
      <w:r w:rsidRPr="00933491">
        <w:rPr>
          <w:rFonts w:ascii="Times New Roman" w:eastAsia="TimesNewRoman" w:hAnsi="Times New Roman" w:cs="Times New Roman"/>
          <w:sz w:val="24"/>
          <w:szCs w:val="24"/>
          <w:lang w:val="en-US"/>
        </w:rPr>
        <w:t>DITTMAR, A.</w:t>
      </w:r>
      <w:proofErr w:type="gramStart"/>
      <w:r w:rsidRPr="00933491">
        <w:rPr>
          <w:rFonts w:ascii="Times New Roman" w:eastAsia="TimesNewRoman" w:hAnsi="Times New Roman" w:cs="Times New Roman"/>
          <w:sz w:val="24"/>
          <w:szCs w:val="24"/>
          <w:lang w:val="en-US"/>
        </w:rPr>
        <w:t>;</w:t>
      </w:r>
      <w:proofErr w:type="gramEnd"/>
      <w:r w:rsidRPr="00933491">
        <w:rPr>
          <w:rFonts w:ascii="Times New Roman" w:eastAsia="TimesNewRoman" w:hAnsi="Times New Roman" w:cs="Times New Roman"/>
          <w:sz w:val="24"/>
          <w:szCs w:val="24"/>
          <w:lang w:val="en-US"/>
        </w:rPr>
        <w:t xml:space="preserve"> THAKOR, A. Why do firms issue equity? </w:t>
      </w:r>
      <w:r w:rsidRPr="00933491">
        <w:rPr>
          <w:rFonts w:ascii="Times New Roman" w:eastAsia="TimesNewRoman" w:hAnsi="Times New Roman" w:cs="Times New Roman"/>
          <w:b/>
          <w:bCs/>
          <w:sz w:val="24"/>
          <w:szCs w:val="24"/>
          <w:lang w:val="en-US"/>
        </w:rPr>
        <w:t>Journal of Finance</w:t>
      </w:r>
      <w:r w:rsidR="00981327">
        <w:rPr>
          <w:rFonts w:ascii="Times New Roman" w:eastAsia="TimesNewRoman" w:hAnsi="Times New Roman" w:cs="Times New Roman"/>
          <w:sz w:val="24"/>
          <w:szCs w:val="24"/>
          <w:lang w:val="en-US"/>
        </w:rPr>
        <w:t>, v.</w:t>
      </w:r>
      <w:r w:rsidRPr="00933491">
        <w:rPr>
          <w:rFonts w:ascii="Times New Roman" w:eastAsia="TimesNewRoman" w:hAnsi="Times New Roman" w:cs="Times New Roman"/>
          <w:sz w:val="24"/>
          <w:szCs w:val="24"/>
          <w:lang w:val="en-US"/>
        </w:rPr>
        <w:t>57, p. 1-54, 2007.</w:t>
      </w:r>
    </w:p>
    <w:p w14:paraId="64FFF485" w14:textId="77777777" w:rsidR="00207293" w:rsidRPr="00933491" w:rsidRDefault="00207293" w:rsidP="00207293">
      <w:pPr>
        <w:autoSpaceDE w:val="0"/>
        <w:autoSpaceDN w:val="0"/>
        <w:adjustRightInd w:val="0"/>
        <w:spacing w:after="0" w:line="240" w:lineRule="auto"/>
        <w:jc w:val="both"/>
        <w:rPr>
          <w:rFonts w:ascii="Times New Roman" w:eastAsia="TimesNewRoman" w:hAnsi="Times New Roman" w:cs="Times New Roman"/>
          <w:sz w:val="24"/>
          <w:szCs w:val="24"/>
          <w:lang w:val="en-US"/>
        </w:rPr>
      </w:pPr>
    </w:p>
    <w:p w14:paraId="7D65BFFD" w14:textId="45F817F9" w:rsidR="00527227" w:rsidRDefault="00207293" w:rsidP="00207293">
      <w:pPr>
        <w:autoSpaceDE w:val="0"/>
        <w:autoSpaceDN w:val="0"/>
        <w:adjustRightInd w:val="0"/>
        <w:spacing w:after="0" w:line="240" w:lineRule="auto"/>
        <w:jc w:val="both"/>
        <w:rPr>
          <w:rFonts w:ascii="Times New Roman" w:hAnsi="Times New Roman" w:cs="Times New Roman"/>
          <w:iCs/>
          <w:sz w:val="24"/>
          <w:szCs w:val="24"/>
          <w:lang w:val="en-US"/>
        </w:rPr>
      </w:pPr>
      <w:r>
        <w:rPr>
          <w:rFonts w:ascii="Times New Roman" w:hAnsi="Times New Roman" w:cs="Times New Roman"/>
          <w:bCs/>
          <w:sz w:val="24"/>
          <w:szCs w:val="24"/>
          <w:lang w:val="en-US"/>
        </w:rPr>
        <w:t xml:space="preserve">FAMA, E. F.; </w:t>
      </w:r>
      <w:r w:rsidRPr="006A0D91">
        <w:rPr>
          <w:rFonts w:ascii="Times New Roman" w:hAnsi="Times New Roman" w:cs="Times New Roman"/>
          <w:bCs/>
          <w:sz w:val="24"/>
          <w:szCs w:val="24"/>
          <w:lang w:val="en-US"/>
        </w:rPr>
        <w:t>FRENCH, K.</w:t>
      </w:r>
      <w:r>
        <w:rPr>
          <w:rFonts w:ascii="Times New Roman" w:hAnsi="Times New Roman" w:cs="Times New Roman"/>
          <w:bCs/>
          <w:sz w:val="24"/>
          <w:szCs w:val="24"/>
          <w:lang w:val="en-US"/>
        </w:rPr>
        <w:t xml:space="preserve"> </w:t>
      </w:r>
      <w:r w:rsidRPr="006A0D91">
        <w:rPr>
          <w:rFonts w:ascii="Times New Roman" w:hAnsi="Times New Roman" w:cs="Times New Roman"/>
          <w:bCs/>
          <w:sz w:val="24"/>
          <w:szCs w:val="24"/>
          <w:lang w:val="en-US"/>
        </w:rPr>
        <w:t>R.</w:t>
      </w:r>
      <w:r>
        <w:rPr>
          <w:rFonts w:ascii="Times New Roman" w:hAnsi="Times New Roman" w:cs="Times New Roman"/>
          <w:bCs/>
          <w:sz w:val="24"/>
          <w:szCs w:val="24"/>
          <w:lang w:val="en-US"/>
        </w:rPr>
        <w:t xml:space="preserve"> </w:t>
      </w:r>
      <w:r w:rsidR="00527227" w:rsidRPr="006A0D91">
        <w:rPr>
          <w:rFonts w:ascii="Times New Roman" w:hAnsi="Times New Roman" w:cs="Times New Roman"/>
          <w:bCs/>
          <w:sz w:val="24"/>
          <w:szCs w:val="24"/>
          <w:lang w:val="en-US"/>
        </w:rPr>
        <w:t xml:space="preserve">Testing Trade-Off and Pecking Order Predictions </w:t>
      </w:r>
      <w:proofErr w:type="gramStart"/>
      <w:r w:rsidR="00527227" w:rsidRPr="006A0D91">
        <w:rPr>
          <w:rFonts w:ascii="Times New Roman" w:hAnsi="Times New Roman" w:cs="Times New Roman"/>
          <w:bCs/>
          <w:sz w:val="24"/>
          <w:szCs w:val="24"/>
          <w:lang w:val="en-US"/>
        </w:rPr>
        <w:t>About</w:t>
      </w:r>
      <w:proofErr w:type="gramEnd"/>
      <w:r w:rsidR="00527227" w:rsidRPr="006A0D91">
        <w:rPr>
          <w:rFonts w:ascii="Times New Roman" w:hAnsi="Times New Roman" w:cs="Times New Roman"/>
          <w:bCs/>
          <w:sz w:val="24"/>
          <w:szCs w:val="24"/>
          <w:lang w:val="en-US"/>
        </w:rPr>
        <w:t xml:space="preserve"> Dividends and Debt</w:t>
      </w:r>
      <w:r w:rsidR="00527227" w:rsidRPr="006A0D91">
        <w:rPr>
          <w:rFonts w:ascii="Times New Roman" w:hAnsi="Times New Roman" w:cs="Times New Roman"/>
          <w:b/>
          <w:bCs/>
          <w:sz w:val="24"/>
          <w:szCs w:val="24"/>
          <w:lang w:val="en-US"/>
        </w:rPr>
        <w:t xml:space="preserve">. </w:t>
      </w:r>
      <w:r w:rsidR="00527227" w:rsidRPr="00207293">
        <w:rPr>
          <w:rFonts w:ascii="Times New Roman" w:hAnsi="Times New Roman" w:cs="Times New Roman"/>
          <w:b/>
          <w:iCs/>
          <w:sz w:val="24"/>
          <w:szCs w:val="24"/>
          <w:lang w:val="en-US"/>
        </w:rPr>
        <w:t>The Review of Financial Studies</w:t>
      </w:r>
      <w:r w:rsidR="00527227" w:rsidRPr="00AB596C">
        <w:rPr>
          <w:rFonts w:ascii="Times New Roman" w:hAnsi="Times New Roman" w:cs="Times New Roman"/>
          <w:iCs/>
          <w:sz w:val="24"/>
          <w:szCs w:val="24"/>
          <w:lang w:val="en-US"/>
        </w:rPr>
        <w:t>,</w:t>
      </w:r>
      <w:r w:rsidR="00527227" w:rsidRPr="006A0D91">
        <w:rPr>
          <w:rFonts w:ascii="Times New Roman" w:hAnsi="Times New Roman" w:cs="Times New Roman"/>
          <w:iCs/>
          <w:sz w:val="24"/>
          <w:szCs w:val="24"/>
          <w:lang w:val="en-US"/>
        </w:rPr>
        <w:t xml:space="preserve"> </w:t>
      </w:r>
      <w:r>
        <w:rPr>
          <w:rFonts w:ascii="Times New Roman" w:hAnsi="Times New Roman" w:cs="Times New Roman"/>
          <w:iCs/>
          <w:sz w:val="24"/>
          <w:szCs w:val="24"/>
          <w:lang w:val="en-US"/>
        </w:rPr>
        <w:t>v.</w:t>
      </w:r>
      <w:r w:rsidR="00527227" w:rsidRPr="006A0D91">
        <w:rPr>
          <w:rFonts w:ascii="Times New Roman" w:hAnsi="Times New Roman" w:cs="Times New Roman"/>
          <w:iCs/>
          <w:sz w:val="24"/>
          <w:szCs w:val="24"/>
          <w:lang w:val="en-US"/>
        </w:rPr>
        <w:t>15</w:t>
      </w:r>
      <w:r>
        <w:rPr>
          <w:rFonts w:ascii="Times New Roman" w:hAnsi="Times New Roman" w:cs="Times New Roman"/>
          <w:iCs/>
          <w:sz w:val="24"/>
          <w:szCs w:val="24"/>
          <w:lang w:val="en-US"/>
        </w:rPr>
        <w:t>, n.</w:t>
      </w:r>
      <w:r w:rsidR="00527227" w:rsidRPr="006A0D91">
        <w:rPr>
          <w:rFonts w:ascii="Times New Roman" w:hAnsi="Times New Roman" w:cs="Times New Roman"/>
          <w:iCs/>
          <w:sz w:val="24"/>
          <w:szCs w:val="24"/>
          <w:lang w:val="en-US"/>
        </w:rPr>
        <w:t xml:space="preserve">1, </w:t>
      </w:r>
      <w:r>
        <w:rPr>
          <w:rFonts w:ascii="Times New Roman" w:hAnsi="Times New Roman" w:cs="Times New Roman"/>
          <w:iCs/>
          <w:sz w:val="24"/>
          <w:szCs w:val="24"/>
          <w:lang w:val="en-US"/>
        </w:rPr>
        <w:t xml:space="preserve">p. </w:t>
      </w:r>
      <w:r w:rsidR="00527227">
        <w:rPr>
          <w:rFonts w:ascii="Times New Roman" w:hAnsi="Times New Roman" w:cs="Times New Roman"/>
          <w:iCs/>
          <w:sz w:val="24"/>
          <w:szCs w:val="24"/>
          <w:lang w:val="en-US"/>
        </w:rPr>
        <w:t>1-33</w:t>
      </w:r>
      <w:r>
        <w:rPr>
          <w:rFonts w:ascii="Times New Roman" w:hAnsi="Times New Roman" w:cs="Times New Roman"/>
          <w:iCs/>
          <w:sz w:val="24"/>
          <w:szCs w:val="24"/>
          <w:lang w:val="en-US"/>
        </w:rPr>
        <w:t>, 2002.</w:t>
      </w:r>
    </w:p>
    <w:p w14:paraId="523DCE35" w14:textId="77777777" w:rsidR="00207293" w:rsidRPr="006A0D91" w:rsidRDefault="00207293" w:rsidP="00207293">
      <w:pPr>
        <w:autoSpaceDE w:val="0"/>
        <w:autoSpaceDN w:val="0"/>
        <w:adjustRightInd w:val="0"/>
        <w:spacing w:after="0" w:line="240" w:lineRule="auto"/>
        <w:jc w:val="both"/>
        <w:rPr>
          <w:rFonts w:ascii="Times New Roman" w:hAnsi="Times New Roman" w:cs="Times New Roman"/>
          <w:iCs/>
          <w:sz w:val="24"/>
          <w:szCs w:val="24"/>
          <w:lang w:val="en-US"/>
        </w:rPr>
      </w:pPr>
    </w:p>
    <w:p w14:paraId="6AD9E148" w14:textId="4AF53C71" w:rsidR="00207293" w:rsidRPr="00643AFC" w:rsidRDefault="00207293" w:rsidP="00207293">
      <w:pPr>
        <w:autoSpaceDE w:val="0"/>
        <w:autoSpaceDN w:val="0"/>
        <w:adjustRightInd w:val="0"/>
        <w:spacing w:after="0" w:line="240" w:lineRule="auto"/>
        <w:jc w:val="both"/>
        <w:rPr>
          <w:rFonts w:ascii="Times New Roman" w:hAnsi="Times New Roman" w:cs="Times New Roman"/>
          <w:sz w:val="24"/>
          <w:szCs w:val="24"/>
          <w:lang w:val="en-US"/>
        </w:rPr>
      </w:pPr>
      <w:r w:rsidRPr="00643AFC">
        <w:rPr>
          <w:rFonts w:ascii="Times New Roman" w:hAnsi="Times New Roman" w:cs="Times New Roman"/>
          <w:sz w:val="24"/>
          <w:szCs w:val="24"/>
          <w:lang w:val="en-US"/>
        </w:rPr>
        <w:t xml:space="preserve">FAUVER, L.; LOUREIRO, G.; TABOADA, A. G. The impact of regulation on information quality and performance around seasoned equity offerings: International Evidence. </w:t>
      </w:r>
      <w:r w:rsidRPr="00643AFC">
        <w:rPr>
          <w:rFonts w:ascii="Times New Roman" w:hAnsi="Times New Roman" w:cs="Times New Roman"/>
          <w:b/>
          <w:sz w:val="24"/>
          <w:szCs w:val="24"/>
          <w:lang w:val="en-US"/>
        </w:rPr>
        <w:t xml:space="preserve">Journal of Corporate Finance, </w:t>
      </w:r>
      <w:r w:rsidR="00981327">
        <w:rPr>
          <w:rFonts w:ascii="Times New Roman" w:hAnsi="Times New Roman" w:cs="Times New Roman"/>
          <w:sz w:val="24"/>
          <w:szCs w:val="24"/>
          <w:lang w:val="en-US"/>
        </w:rPr>
        <w:t>v.</w:t>
      </w:r>
      <w:r w:rsidRPr="00643AFC">
        <w:rPr>
          <w:rFonts w:ascii="Times New Roman" w:hAnsi="Times New Roman" w:cs="Times New Roman"/>
          <w:sz w:val="24"/>
          <w:szCs w:val="24"/>
          <w:lang w:val="en-US"/>
        </w:rPr>
        <w:t>44, p. 73–98, 2017.</w:t>
      </w:r>
    </w:p>
    <w:p w14:paraId="281CA631" w14:textId="77777777" w:rsidR="00207293" w:rsidRPr="00643AFC" w:rsidRDefault="00207293" w:rsidP="00207293">
      <w:pPr>
        <w:autoSpaceDE w:val="0"/>
        <w:autoSpaceDN w:val="0"/>
        <w:adjustRightInd w:val="0"/>
        <w:spacing w:after="0" w:line="240" w:lineRule="auto"/>
        <w:jc w:val="both"/>
        <w:rPr>
          <w:rFonts w:ascii="Times New Roman" w:hAnsi="Times New Roman" w:cs="Times New Roman"/>
          <w:sz w:val="24"/>
          <w:szCs w:val="24"/>
          <w:lang w:val="en-US"/>
        </w:rPr>
      </w:pPr>
    </w:p>
    <w:p w14:paraId="1F23C401" w14:textId="058B4611" w:rsidR="00527227" w:rsidRDefault="00207293" w:rsidP="00207293">
      <w:pPr>
        <w:autoSpaceDE w:val="0"/>
        <w:autoSpaceDN w:val="0"/>
        <w:adjustRightInd w:val="0"/>
        <w:spacing w:after="0" w:line="240" w:lineRule="auto"/>
        <w:jc w:val="both"/>
        <w:rPr>
          <w:rFonts w:ascii="Times New Roman" w:hAnsi="Times New Roman" w:cs="Times New Roman"/>
          <w:sz w:val="24"/>
          <w:szCs w:val="24"/>
          <w:lang w:val="en-US"/>
        </w:rPr>
      </w:pPr>
      <w:r w:rsidRPr="006A0D91">
        <w:rPr>
          <w:rFonts w:ascii="Times New Roman" w:hAnsi="Times New Roman" w:cs="Times New Roman"/>
          <w:sz w:val="24"/>
          <w:szCs w:val="24"/>
          <w:lang w:val="en-US"/>
        </w:rPr>
        <w:t>FLANNERY, M. J.</w:t>
      </w:r>
      <w:r>
        <w:rPr>
          <w:rFonts w:ascii="Times New Roman" w:hAnsi="Times New Roman" w:cs="Times New Roman"/>
          <w:sz w:val="24"/>
          <w:szCs w:val="24"/>
          <w:lang w:val="en-US"/>
        </w:rPr>
        <w:t>;</w:t>
      </w:r>
      <w:r w:rsidRPr="006A0D91">
        <w:rPr>
          <w:rFonts w:ascii="Times New Roman" w:hAnsi="Times New Roman" w:cs="Times New Roman"/>
          <w:sz w:val="24"/>
          <w:szCs w:val="24"/>
          <w:lang w:val="en-US"/>
        </w:rPr>
        <w:t xml:space="preserve"> RANGAN, K. P. </w:t>
      </w:r>
      <w:r w:rsidR="00527227" w:rsidRPr="006A0D91">
        <w:rPr>
          <w:rFonts w:ascii="Times New Roman" w:hAnsi="Times New Roman" w:cs="Times New Roman"/>
          <w:bCs/>
          <w:sz w:val="24"/>
          <w:szCs w:val="24"/>
          <w:lang w:val="en-US"/>
        </w:rPr>
        <w:t xml:space="preserve">Partial Adjustment </w:t>
      </w:r>
      <w:proofErr w:type="gramStart"/>
      <w:r w:rsidR="00527227" w:rsidRPr="006A0D91">
        <w:rPr>
          <w:rFonts w:ascii="Times New Roman" w:hAnsi="Times New Roman" w:cs="Times New Roman"/>
          <w:bCs/>
          <w:sz w:val="24"/>
          <w:szCs w:val="24"/>
          <w:lang w:val="en-US"/>
        </w:rPr>
        <w:t>Toward</w:t>
      </w:r>
      <w:proofErr w:type="gramEnd"/>
      <w:r w:rsidR="00527227" w:rsidRPr="006A0D91">
        <w:rPr>
          <w:rFonts w:ascii="Times New Roman" w:hAnsi="Times New Roman" w:cs="Times New Roman"/>
          <w:bCs/>
          <w:sz w:val="24"/>
          <w:szCs w:val="24"/>
          <w:lang w:val="en-US"/>
        </w:rPr>
        <w:t xml:space="preserve"> Target Capital Structures</w:t>
      </w:r>
      <w:r w:rsidR="00527227" w:rsidRPr="006A0D91">
        <w:rPr>
          <w:rFonts w:ascii="Times New Roman" w:hAnsi="Times New Roman" w:cs="Times New Roman"/>
          <w:sz w:val="24"/>
          <w:szCs w:val="24"/>
          <w:lang w:val="en-US"/>
        </w:rPr>
        <w:t xml:space="preserve">. </w:t>
      </w:r>
      <w:r w:rsidR="00527227" w:rsidRPr="004321EB">
        <w:rPr>
          <w:rFonts w:ascii="Times New Roman" w:hAnsi="Times New Roman" w:cs="Times New Roman"/>
          <w:i/>
          <w:sz w:val="24"/>
          <w:szCs w:val="24"/>
          <w:lang w:val="en-US"/>
        </w:rPr>
        <w:t>Journal of Financial Economics</w:t>
      </w:r>
      <w:r w:rsidR="00527227" w:rsidRPr="004321EB">
        <w:rPr>
          <w:rFonts w:ascii="Times New Roman" w:hAnsi="Times New Roman" w:cs="Times New Roman"/>
          <w:sz w:val="24"/>
          <w:szCs w:val="24"/>
          <w:lang w:val="en-US"/>
        </w:rPr>
        <w:t xml:space="preserve">, </w:t>
      </w:r>
      <w:r>
        <w:rPr>
          <w:rFonts w:ascii="Times New Roman" w:hAnsi="Times New Roman" w:cs="Times New Roman"/>
          <w:sz w:val="24"/>
          <w:szCs w:val="24"/>
          <w:lang w:val="en-US"/>
        </w:rPr>
        <w:t>v.</w:t>
      </w:r>
      <w:r w:rsidR="00527227" w:rsidRPr="006A0D91">
        <w:rPr>
          <w:rFonts w:ascii="Times New Roman" w:hAnsi="Times New Roman" w:cs="Times New Roman"/>
          <w:sz w:val="24"/>
          <w:szCs w:val="24"/>
          <w:lang w:val="en-US"/>
        </w:rPr>
        <w:t>79</w:t>
      </w:r>
      <w:r>
        <w:rPr>
          <w:rFonts w:ascii="Times New Roman" w:hAnsi="Times New Roman" w:cs="Times New Roman"/>
          <w:sz w:val="24"/>
          <w:szCs w:val="24"/>
          <w:lang w:val="en-US"/>
        </w:rPr>
        <w:t>, n.</w:t>
      </w:r>
      <w:r w:rsidR="00527227" w:rsidRPr="006A0D91">
        <w:rPr>
          <w:rFonts w:ascii="Times New Roman" w:hAnsi="Times New Roman" w:cs="Times New Roman"/>
          <w:sz w:val="24"/>
          <w:szCs w:val="24"/>
          <w:lang w:val="en-US"/>
        </w:rPr>
        <w:t xml:space="preserve">3, </w:t>
      </w:r>
      <w:r>
        <w:rPr>
          <w:rFonts w:ascii="Times New Roman" w:hAnsi="Times New Roman" w:cs="Times New Roman"/>
          <w:sz w:val="24"/>
          <w:szCs w:val="24"/>
          <w:lang w:val="en-US"/>
        </w:rPr>
        <w:t>p. 469-506, 2006.</w:t>
      </w:r>
    </w:p>
    <w:p w14:paraId="43A46EEF" w14:textId="77777777" w:rsidR="00207293" w:rsidRPr="006A0D91" w:rsidRDefault="00207293" w:rsidP="00207293">
      <w:pPr>
        <w:autoSpaceDE w:val="0"/>
        <w:autoSpaceDN w:val="0"/>
        <w:adjustRightInd w:val="0"/>
        <w:spacing w:after="0" w:line="240" w:lineRule="auto"/>
        <w:jc w:val="both"/>
        <w:rPr>
          <w:rFonts w:ascii="Times New Roman" w:hAnsi="Times New Roman" w:cs="Times New Roman"/>
          <w:sz w:val="24"/>
          <w:szCs w:val="24"/>
          <w:lang w:val="en-US"/>
        </w:rPr>
      </w:pPr>
    </w:p>
    <w:p w14:paraId="4E10082F" w14:textId="6088EE42" w:rsidR="00207293" w:rsidRPr="00643AFC" w:rsidRDefault="00207293" w:rsidP="00207293">
      <w:pPr>
        <w:autoSpaceDE w:val="0"/>
        <w:autoSpaceDN w:val="0"/>
        <w:adjustRightInd w:val="0"/>
        <w:spacing w:after="0" w:line="240" w:lineRule="auto"/>
        <w:jc w:val="both"/>
        <w:rPr>
          <w:rFonts w:ascii="Times New Roman" w:hAnsi="Times New Roman" w:cs="Times New Roman"/>
          <w:sz w:val="24"/>
          <w:szCs w:val="24"/>
          <w:lang w:val="en-US"/>
        </w:rPr>
      </w:pPr>
      <w:r w:rsidRPr="00643AFC">
        <w:rPr>
          <w:rFonts w:ascii="Times New Roman" w:hAnsi="Times New Roman" w:cs="Times New Roman"/>
          <w:sz w:val="24"/>
          <w:szCs w:val="24"/>
          <w:lang w:val="en-US"/>
        </w:rPr>
        <w:t>FU, F</w:t>
      </w:r>
      <w:proofErr w:type="gramStart"/>
      <w:r w:rsidRPr="00643AFC">
        <w:rPr>
          <w:rFonts w:ascii="Times New Roman" w:hAnsi="Times New Roman" w:cs="Times New Roman"/>
          <w:sz w:val="24"/>
          <w:szCs w:val="24"/>
          <w:lang w:val="en-US"/>
        </w:rPr>
        <w:t>,;</w:t>
      </w:r>
      <w:proofErr w:type="gramEnd"/>
      <w:r w:rsidRPr="00643AFC">
        <w:rPr>
          <w:rFonts w:ascii="Times New Roman" w:hAnsi="Times New Roman" w:cs="Times New Roman"/>
          <w:sz w:val="24"/>
          <w:szCs w:val="24"/>
          <w:lang w:val="en-US"/>
        </w:rPr>
        <w:t xml:space="preserve"> HUANG, S. The Persistence of Long-Run Abnormal Returns Following Stock Repurchases and Offerings. </w:t>
      </w:r>
      <w:r w:rsidRPr="00643AFC">
        <w:rPr>
          <w:rFonts w:ascii="Times New Roman" w:hAnsi="Times New Roman" w:cs="Times New Roman"/>
          <w:b/>
          <w:sz w:val="24"/>
          <w:szCs w:val="24"/>
          <w:lang w:val="en-US"/>
        </w:rPr>
        <w:t>Management Science,</w:t>
      </w:r>
      <w:r w:rsidR="00981327">
        <w:rPr>
          <w:rFonts w:ascii="Times New Roman" w:hAnsi="Times New Roman" w:cs="Times New Roman"/>
          <w:sz w:val="24"/>
          <w:szCs w:val="24"/>
          <w:lang w:val="en-US"/>
        </w:rPr>
        <w:t xml:space="preserve"> v.62, n.4, </w:t>
      </w:r>
      <w:r w:rsidRPr="00643AFC">
        <w:rPr>
          <w:rFonts w:ascii="Times New Roman" w:hAnsi="Times New Roman" w:cs="Times New Roman"/>
          <w:sz w:val="24"/>
          <w:szCs w:val="24"/>
          <w:lang w:val="en-US"/>
        </w:rPr>
        <w:t>p. 964-984, 2016.</w:t>
      </w:r>
    </w:p>
    <w:p w14:paraId="16409055" w14:textId="77777777" w:rsidR="00207293" w:rsidRPr="00643AFC" w:rsidRDefault="00207293" w:rsidP="00207293">
      <w:pPr>
        <w:autoSpaceDE w:val="0"/>
        <w:autoSpaceDN w:val="0"/>
        <w:adjustRightInd w:val="0"/>
        <w:spacing w:after="0" w:line="240" w:lineRule="auto"/>
        <w:jc w:val="both"/>
        <w:rPr>
          <w:rFonts w:ascii="Times New Roman" w:hAnsi="Times New Roman" w:cs="Times New Roman"/>
          <w:sz w:val="24"/>
          <w:szCs w:val="24"/>
          <w:lang w:val="en-US"/>
        </w:rPr>
      </w:pPr>
    </w:p>
    <w:p w14:paraId="23A490C9" w14:textId="4C65482F" w:rsidR="00207293" w:rsidRPr="00933491" w:rsidRDefault="00207293" w:rsidP="00207293">
      <w:pPr>
        <w:autoSpaceDE w:val="0"/>
        <w:autoSpaceDN w:val="0"/>
        <w:adjustRightInd w:val="0"/>
        <w:spacing w:after="0" w:line="240" w:lineRule="auto"/>
        <w:jc w:val="both"/>
        <w:rPr>
          <w:rFonts w:ascii="Times New Roman" w:eastAsia="TimesNewRoman" w:hAnsi="Times New Roman" w:cs="Times New Roman"/>
          <w:sz w:val="24"/>
          <w:szCs w:val="24"/>
          <w:lang w:val="en-US"/>
        </w:rPr>
      </w:pPr>
      <w:r w:rsidRPr="00643AFC">
        <w:rPr>
          <w:rFonts w:ascii="Times New Roman" w:eastAsia="TimesNewRoman" w:hAnsi="Times New Roman" w:cs="Times New Roman"/>
          <w:sz w:val="24"/>
          <w:szCs w:val="24"/>
          <w:lang w:val="en-US"/>
        </w:rPr>
        <w:t xml:space="preserve">GUIMARÃES, N. G. T. </w:t>
      </w:r>
      <w:proofErr w:type="gramStart"/>
      <w:r w:rsidRPr="00643AFC">
        <w:rPr>
          <w:rFonts w:ascii="Times New Roman" w:eastAsia="TimesNewRoman" w:hAnsi="Times New Roman" w:cs="Times New Roman"/>
          <w:i/>
          <w:sz w:val="24"/>
          <w:szCs w:val="24"/>
          <w:lang w:val="en-US"/>
        </w:rPr>
        <w:t>et</w:t>
      </w:r>
      <w:proofErr w:type="gramEnd"/>
      <w:r w:rsidRPr="00643AFC">
        <w:rPr>
          <w:rFonts w:ascii="Times New Roman" w:eastAsia="TimesNewRoman" w:hAnsi="Times New Roman" w:cs="Times New Roman"/>
          <w:i/>
          <w:sz w:val="24"/>
          <w:szCs w:val="24"/>
          <w:lang w:val="en-US"/>
        </w:rPr>
        <w:t xml:space="preserve">. </w:t>
      </w:r>
      <w:proofErr w:type="gramStart"/>
      <w:r w:rsidRPr="00643AFC">
        <w:rPr>
          <w:rFonts w:ascii="Times New Roman" w:eastAsia="TimesNewRoman" w:hAnsi="Times New Roman" w:cs="Times New Roman"/>
          <w:i/>
          <w:sz w:val="24"/>
          <w:szCs w:val="24"/>
          <w:lang w:val="en-US"/>
        </w:rPr>
        <w:t>al</w:t>
      </w:r>
      <w:proofErr w:type="gramEnd"/>
      <w:r w:rsidRPr="00643AFC">
        <w:rPr>
          <w:rFonts w:ascii="Times New Roman" w:eastAsia="TimesNewRoman" w:hAnsi="Times New Roman" w:cs="Times New Roman"/>
          <w:i/>
          <w:sz w:val="24"/>
          <w:szCs w:val="24"/>
          <w:lang w:val="en-US"/>
        </w:rPr>
        <w:t xml:space="preserve">. </w:t>
      </w:r>
      <w:r w:rsidRPr="00CC11DC">
        <w:rPr>
          <w:rFonts w:ascii="Times New Roman" w:eastAsia="TimesNewRoman" w:hAnsi="Times New Roman" w:cs="Times New Roman"/>
          <w:sz w:val="24"/>
          <w:szCs w:val="24"/>
        </w:rPr>
        <w:t>Impacto do re</w:t>
      </w:r>
      <w:r w:rsidRPr="003E40AC">
        <w:rPr>
          <w:rFonts w:ascii="Times New Roman" w:eastAsia="TimesNewRoman" w:hAnsi="Times New Roman" w:cs="Times New Roman"/>
          <w:sz w:val="24"/>
          <w:szCs w:val="24"/>
        </w:rPr>
        <w:t>gistro de ofertas públicas subsequentes nos retornos de ações de empresas listadas no segmento Bovespa</w:t>
      </w:r>
      <w:r w:rsidRPr="003E40AC">
        <w:rPr>
          <w:rFonts w:ascii="Times New Roman" w:eastAsia="TimesNewRoman" w:hAnsi="Times New Roman" w:cs="Times New Roman"/>
          <w:b/>
          <w:sz w:val="24"/>
          <w:szCs w:val="24"/>
        </w:rPr>
        <w:t xml:space="preserve">. </w:t>
      </w:r>
      <w:proofErr w:type="spellStart"/>
      <w:r w:rsidRPr="003E40AC">
        <w:rPr>
          <w:rFonts w:ascii="Times New Roman" w:eastAsia="TimesNewRoman" w:hAnsi="Times New Roman" w:cs="Times New Roman"/>
          <w:b/>
          <w:sz w:val="24"/>
          <w:szCs w:val="24"/>
          <w:lang w:val="en-US"/>
        </w:rPr>
        <w:t>Revista</w:t>
      </w:r>
      <w:proofErr w:type="spellEnd"/>
      <w:r w:rsidRPr="003E40AC">
        <w:rPr>
          <w:rFonts w:ascii="Times New Roman" w:eastAsia="TimesNewRoman" w:hAnsi="Times New Roman" w:cs="Times New Roman"/>
          <w:b/>
          <w:sz w:val="24"/>
          <w:szCs w:val="24"/>
          <w:lang w:val="en-US"/>
        </w:rPr>
        <w:t xml:space="preserve"> Universo </w:t>
      </w:r>
      <w:proofErr w:type="spellStart"/>
      <w:r w:rsidRPr="003E40AC">
        <w:rPr>
          <w:rFonts w:ascii="Times New Roman" w:eastAsia="TimesNewRoman" w:hAnsi="Times New Roman" w:cs="Times New Roman"/>
          <w:b/>
          <w:sz w:val="24"/>
          <w:szCs w:val="24"/>
          <w:lang w:val="en-US"/>
        </w:rPr>
        <w:t>Contábil</w:t>
      </w:r>
      <w:proofErr w:type="spellEnd"/>
      <w:r w:rsidR="00981327">
        <w:rPr>
          <w:rFonts w:ascii="Times New Roman" w:eastAsia="TimesNewRoman" w:hAnsi="Times New Roman" w:cs="Times New Roman"/>
          <w:sz w:val="24"/>
          <w:szCs w:val="24"/>
          <w:lang w:val="en-US"/>
        </w:rPr>
        <w:t>, Blumenau, v.9, n.</w:t>
      </w:r>
      <w:r w:rsidRPr="00933491">
        <w:rPr>
          <w:rFonts w:ascii="Times New Roman" w:eastAsia="TimesNewRoman" w:hAnsi="Times New Roman" w:cs="Times New Roman"/>
          <w:sz w:val="24"/>
          <w:szCs w:val="24"/>
          <w:lang w:val="en-US"/>
        </w:rPr>
        <w:t>2, p. 45-62, 2013.</w:t>
      </w:r>
    </w:p>
    <w:p w14:paraId="5816E2B7" w14:textId="77777777" w:rsidR="00207293" w:rsidRPr="00345C3F" w:rsidRDefault="00207293" w:rsidP="00207293">
      <w:pPr>
        <w:autoSpaceDE w:val="0"/>
        <w:autoSpaceDN w:val="0"/>
        <w:adjustRightInd w:val="0"/>
        <w:spacing w:after="0" w:line="240" w:lineRule="auto"/>
        <w:jc w:val="both"/>
        <w:rPr>
          <w:rFonts w:ascii="Times New Roman" w:hAnsi="Times New Roman" w:cs="Times New Roman"/>
          <w:sz w:val="24"/>
          <w:szCs w:val="24"/>
          <w:lang w:val="en-US"/>
        </w:rPr>
      </w:pPr>
    </w:p>
    <w:p w14:paraId="27F6CB99" w14:textId="2D054FD0" w:rsidR="00207293" w:rsidRPr="00933491" w:rsidRDefault="00207293" w:rsidP="00207293">
      <w:pPr>
        <w:autoSpaceDE w:val="0"/>
        <w:autoSpaceDN w:val="0"/>
        <w:adjustRightInd w:val="0"/>
        <w:spacing w:after="0" w:line="240" w:lineRule="auto"/>
        <w:jc w:val="both"/>
        <w:rPr>
          <w:rFonts w:ascii="Times New Roman" w:hAnsi="Times New Roman" w:cs="Times New Roman"/>
          <w:bCs/>
          <w:sz w:val="24"/>
          <w:szCs w:val="24"/>
          <w:lang w:val="en-US"/>
        </w:rPr>
      </w:pPr>
      <w:r w:rsidRPr="00933491">
        <w:rPr>
          <w:rFonts w:ascii="Times New Roman" w:hAnsi="Times New Roman" w:cs="Times New Roman"/>
          <w:bCs/>
          <w:sz w:val="24"/>
          <w:szCs w:val="24"/>
          <w:lang w:val="en-US"/>
        </w:rPr>
        <w:t xml:space="preserve">HANSEN, R.S.; CRUTCHLEY. C. Corporate earnings and financing: An empirical analysis. </w:t>
      </w:r>
      <w:r w:rsidRPr="00933491">
        <w:rPr>
          <w:rFonts w:ascii="Times New Roman" w:hAnsi="Times New Roman" w:cs="Times New Roman"/>
          <w:b/>
          <w:bCs/>
          <w:sz w:val="24"/>
          <w:szCs w:val="24"/>
          <w:lang w:val="en-US"/>
        </w:rPr>
        <w:t>Journal of Business,</w:t>
      </w:r>
      <w:r w:rsidRPr="00933491">
        <w:rPr>
          <w:rFonts w:ascii="Times New Roman" w:hAnsi="Times New Roman" w:cs="Times New Roman"/>
          <w:bCs/>
          <w:sz w:val="24"/>
          <w:szCs w:val="24"/>
          <w:lang w:val="en-US"/>
        </w:rPr>
        <w:t xml:space="preserve"> v.63, </w:t>
      </w:r>
      <w:r w:rsidR="00981327">
        <w:rPr>
          <w:rFonts w:ascii="Times New Roman" w:hAnsi="Times New Roman" w:cs="Times New Roman"/>
          <w:bCs/>
          <w:sz w:val="24"/>
          <w:szCs w:val="24"/>
          <w:lang w:val="en-US"/>
        </w:rPr>
        <w:t xml:space="preserve">p. </w:t>
      </w:r>
      <w:r w:rsidRPr="00933491">
        <w:rPr>
          <w:rFonts w:ascii="Times New Roman" w:hAnsi="Times New Roman" w:cs="Times New Roman"/>
          <w:bCs/>
          <w:sz w:val="24"/>
          <w:szCs w:val="24"/>
          <w:lang w:val="en-US"/>
        </w:rPr>
        <w:t>347-371, 1990.</w:t>
      </w:r>
    </w:p>
    <w:p w14:paraId="7B53372C" w14:textId="77777777" w:rsidR="00207293" w:rsidRPr="00933491" w:rsidRDefault="00207293" w:rsidP="00207293">
      <w:pPr>
        <w:autoSpaceDE w:val="0"/>
        <w:autoSpaceDN w:val="0"/>
        <w:adjustRightInd w:val="0"/>
        <w:spacing w:after="0" w:line="240" w:lineRule="auto"/>
        <w:jc w:val="both"/>
        <w:rPr>
          <w:rFonts w:ascii="Times New Roman" w:hAnsi="Times New Roman" w:cs="Times New Roman"/>
          <w:bCs/>
          <w:sz w:val="24"/>
          <w:szCs w:val="24"/>
          <w:lang w:val="en-US"/>
        </w:rPr>
      </w:pPr>
    </w:p>
    <w:p w14:paraId="11519600" w14:textId="5FA45688" w:rsidR="00207293" w:rsidRPr="00933491" w:rsidRDefault="00207293" w:rsidP="00207293">
      <w:pPr>
        <w:spacing w:after="0" w:line="240" w:lineRule="auto"/>
        <w:jc w:val="both"/>
        <w:rPr>
          <w:rFonts w:ascii="Times New Roman" w:hAnsi="Times New Roman" w:cs="Times New Roman"/>
          <w:sz w:val="24"/>
          <w:szCs w:val="24"/>
          <w:lang w:val="en-US"/>
        </w:rPr>
      </w:pPr>
      <w:r w:rsidRPr="00933491">
        <w:rPr>
          <w:rFonts w:ascii="Times New Roman" w:hAnsi="Times New Roman" w:cs="Times New Roman"/>
          <w:sz w:val="24"/>
          <w:szCs w:val="24"/>
          <w:lang w:val="en-US"/>
        </w:rPr>
        <w:t>KIM, W.</w:t>
      </w:r>
      <w:proofErr w:type="gramStart"/>
      <w:r w:rsidRPr="00933491">
        <w:rPr>
          <w:rFonts w:ascii="Times New Roman" w:hAnsi="Times New Roman" w:cs="Times New Roman"/>
          <w:sz w:val="24"/>
          <w:szCs w:val="24"/>
          <w:lang w:val="en-US"/>
        </w:rPr>
        <w:t>;</w:t>
      </w:r>
      <w:proofErr w:type="gramEnd"/>
      <w:r w:rsidRPr="00933491">
        <w:rPr>
          <w:rFonts w:ascii="Times New Roman" w:hAnsi="Times New Roman" w:cs="Times New Roman"/>
          <w:sz w:val="24"/>
          <w:szCs w:val="24"/>
          <w:lang w:val="en-US"/>
        </w:rPr>
        <w:t xml:space="preserve"> WEISBACH, M.S. Motivations for public equity offers: an international perspective. </w:t>
      </w:r>
      <w:r w:rsidRPr="00933491">
        <w:rPr>
          <w:rFonts w:ascii="Times New Roman" w:hAnsi="Times New Roman" w:cs="Times New Roman"/>
          <w:b/>
          <w:bCs/>
          <w:sz w:val="24"/>
          <w:szCs w:val="24"/>
          <w:lang w:val="en-US"/>
        </w:rPr>
        <w:t>Journal of Financial Economics</w:t>
      </w:r>
      <w:r w:rsidR="00981327">
        <w:rPr>
          <w:rFonts w:ascii="Times New Roman" w:hAnsi="Times New Roman" w:cs="Times New Roman"/>
          <w:sz w:val="24"/>
          <w:szCs w:val="24"/>
          <w:lang w:val="en-US"/>
        </w:rPr>
        <w:t>, v.</w:t>
      </w:r>
      <w:r w:rsidRPr="00933491">
        <w:rPr>
          <w:rFonts w:ascii="Times New Roman" w:hAnsi="Times New Roman" w:cs="Times New Roman"/>
          <w:sz w:val="24"/>
          <w:szCs w:val="24"/>
          <w:lang w:val="en-US"/>
        </w:rPr>
        <w:t xml:space="preserve">87, p. 281-307, 2008. </w:t>
      </w:r>
    </w:p>
    <w:p w14:paraId="41ED8632" w14:textId="77777777" w:rsidR="00207293" w:rsidRPr="00933491" w:rsidRDefault="00207293" w:rsidP="00207293">
      <w:pPr>
        <w:spacing w:after="0" w:line="240" w:lineRule="auto"/>
        <w:jc w:val="both"/>
        <w:rPr>
          <w:rFonts w:ascii="Times New Roman" w:hAnsi="Times New Roman" w:cs="Times New Roman"/>
          <w:sz w:val="24"/>
          <w:szCs w:val="24"/>
          <w:lang w:val="en-US"/>
        </w:rPr>
      </w:pPr>
    </w:p>
    <w:p w14:paraId="47C2E51E" w14:textId="28B2A955" w:rsidR="00527227" w:rsidRDefault="00207293" w:rsidP="00207293">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KJELLMAN, A.; </w:t>
      </w:r>
      <w:r w:rsidRPr="006A0D91">
        <w:rPr>
          <w:rFonts w:ascii="Times New Roman" w:hAnsi="Times New Roman" w:cs="Times New Roman"/>
          <w:sz w:val="24"/>
          <w:szCs w:val="24"/>
          <w:lang w:val="en-US"/>
        </w:rPr>
        <w:t xml:space="preserve">HANSÉN, </w:t>
      </w:r>
      <w:r w:rsidR="004321EB" w:rsidRPr="006A0D91">
        <w:rPr>
          <w:rFonts w:ascii="Times New Roman" w:hAnsi="Times New Roman" w:cs="Times New Roman"/>
          <w:sz w:val="24"/>
          <w:szCs w:val="24"/>
          <w:lang w:val="en-US"/>
        </w:rPr>
        <w:t>S</w:t>
      </w:r>
      <w:r w:rsidR="00527227" w:rsidRPr="006A0D91">
        <w:rPr>
          <w:rFonts w:ascii="Times New Roman" w:hAnsi="Times New Roman" w:cs="Times New Roman"/>
          <w:sz w:val="24"/>
          <w:szCs w:val="24"/>
          <w:lang w:val="en-US"/>
        </w:rPr>
        <w:t xml:space="preserve">. Determinants of capital structure: theory vs. practice. </w:t>
      </w:r>
      <w:r w:rsidR="00527227" w:rsidRPr="00207293">
        <w:rPr>
          <w:rFonts w:ascii="Times New Roman" w:hAnsi="Times New Roman" w:cs="Times New Roman"/>
          <w:b/>
          <w:sz w:val="24"/>
          <w:szCs w:val="24"/>
          <w:lang w:val="en-US"/>
        </w:rPr>
        <w:t xml:space="preserve">Scand. J. </w:t>
      </w:r>
      <w:proofErr w:type="spellStart"/>
      <w:r w:rsidR="00527227" w:rsidRPr="00207293">
        <w:rPr>
          <w:rFonts w:ascii="Times New Roman" w:hAnsi="Times New Roman" w:cs="Times New Roman"/>
          <w:b/>
          <w:sz w:val="24"/>
          <w:szCs w:val="24"/>
          <w:lang w:val="en-US"/>
        </w:rPr>
        <w:t>Magmt</w:t>
      </w:r>
      <w:proofErr w:type="spellEnd"/>
      <w:r w:rsidR="00527227" w:rsidRPr="00207293">
        <w:rPr>
          <w:rFonts w:ascii="Times New Roman" w:hAnsi="Times New Roman" w:cs="Times New Roman"/>
          <w:b/>
          <w:sz w:val="24"/>
          <w:szCs w:val="24"/>
          <w:lang w:val="en-US"/>
        </w:rPr>
        <w:t>,</w:t>
      </w:r>
      <w:r w:rsidR="00527227" w:rsidRPr="006A0D91">
        <w:rPr>
          <w:rFonts w:ascii="Times New Roman" w:hAnsi="Times New Roman" w:cs="Times New Roman"/>
          <w:sz w:val="24"/>
          <w:szCs w:val="24"/>
          <w:lang w:val="en-US"/>
        </w:rPr>
        <w:t xml:space="preserve"> </w:t>
      </w:r>
      <w:r>
        <w:rPr>
          <w:rFonts w:ascii="Times New Roman" w:hAnsi="Times New Roman" w:cs="Times New Roman"/>
          <w:sz w:val="24"/>
          <w:szCs w:val="24"/>
          <w:lang w:val="en-US"/>
        </w:rPr>
        <w:t>v.</w:t>
      </w:r>
      <w:r w:rsidR="00527227" w:rsidRPr="006A0D91">
        <w:rPr>
          <w:rFonts w:ascii="Times New Roman" w:hAnsi="Times New Roman" w:cs="Times New Roman"/>
          <w:sz w:val="24"/>
          <w:szCs w:val="24"/>
          <w:lang w:val="en-US"/>
        </w:rPr>
        <w:t>11</w:t>
      </w:r>
      <w:r>
        <w:rPr>
          <w:rFonts w:ascii="Times New Roman" w:hAnsi="Times New Roman" w:cs="Times New Roman"/>
          <w:sz w:val="24"/>
          <w:szCs w:val="24"/>
          <w:lang w:val="en-US"/>
        </w:rPr>
        <w:t>, n.</w:t>
      </w:r>
      <w:r w:rsidR="00527227" w:rsidRPr="006A0D91">
        <w:rPr>
          <w:rFonts w:ascii="Times New Roman" w:hAnsi="Times New Roman" w:cs="Times New Roman"/>
          <w:sz w:val="24"/>
          <w:szCs w:val="24"/>
          <w:lang w:val="en-US"/>
        </w:rPr>
        <w:t xml:space="preserve">2, </w:t>
      </w:r>
      <w:r>
        <w:rPr>
          <w:rFonts w:ascii="Times New Roman" w:hAnsi="Times New Roman" w:cs="Times New Roman"/>
          <w:sz w:val="24"/>
          <w:szCs w:val="24"/>
          <w:lang w:val="en-US"/>
        </w:rPr>
        <w:t>p. 91-102, 1995.</w:t>
      </w:r>
    </w:p>
    <w:p w14:paraId="01F44B1B" w14:textId="77777777" w:rsidR="00207293" w:rsidRPr="006A0D91" w:rsidRDefault="00207293" w:rsidP="00207293">
      <w:pPr>
        <w:spacing w:after="0" w:line="240" w:lineRule="auto"/>
        <w:jc w:val="both"/>
        <w:rPr>
          <w:rFonts w:ascii="Times New Roman" w:hAnsi="Times New Roman" w:cs="Times New Roman"/>
          <w:sz w:val="24"/>
          <w:szCs w:val="24"/>
          <w:lang w:val="en-US"/>
        </w:rPr>
      </w:pPr>
    </w:p>
    <w:p w14:paraId="332AF9CB" w14:textId="55B935CF" w:rsidR="00207293" w:rsidRPr="00933491" w:rsidRDefault="00207293" w:rsidP="00207293">
      <w:pPr>
        <w:autoSpaceDE w:val="0"/>
        <w:autoSpaceDN w:val="0"/>
        <w:adjustRightInd w:val="0"/>
        <w:spacing w:after="0" w:line="240" w:lineRule="auto"/>
        <w:jc w:val="both"/>
        <w:rPr>
          <w:rFonts w:ascii="Times New Roman" w:eastAsia="Calibri" w:hAnsi="Times New Roman" w:cs="Times New Roman"/>
          <w:sz w:val="24"/>
          <w:szCs w:val="24"/>
          <w:lang w:val="en-US"/>
        </w:rPr>
      </w:pPr>
      <w:r w:rsidRPr="00933491">
        <w:rPr>
          <w:rFonts w:ascii="Times New Roman" w:eastAsia="Calibri" w:hAnsi="Times New Roman" w:cs="Times New Roman"/>
          <w:sz w:val="24"/>
          <w:szCs w:val="24"/>
          <w:lang w:val="en-US"/>
        </w:rPr>
        <w:t xml:space="preserve">LOUGHRAN, T.; RITTER, J.  The operating performance of firms conducting seasoned equity offerings. </w:t>
      </w:r>
      <w:r w:rsidRPr="00933491">
        <w:rPr>
          <w:rFonts w:ascii="Times New Roman" w:eastAsia="Calibri" w:hAnsi="Times New Roman" w:cs="Times New Roman"/>
          <w:b/>
          <w:bCs/>
          <w:sz w:val="24"/>
          <w:szCs w:val="24"/>
          <w:lang w:val="en-US"/>
        </w:rPr>
        <w:t>Journal of Finance</w:t>
      </w:r>
      <w:r w:rsidR="00A973A3">
        <w:rPr>
          <w:rFonts w:ascii="Times New Roman" w:eastAsia="Calibri" w:hAnsi="Times New Roman" w:cs="Times New Roman"/>
          <w:sz w:val="24"/>
          <w:szCs w:val="24"/>
          <w:lang w:val="en-US"/>
        </w:rPr>
        <w:t>, v. 52, p. 1823-1850, 1997.</w:t>
      </w:r>
    </w:p>
    <w:p w14:paraId="0E1ABF56" w14:textId="77777777" w:rsidR="00207293" w:rsidRPr="00933491" w:rsidRDefault="00207293" w:rsidP="00207293">
      <w:pPr>
        <w:autoSpaceDE w:val="0"/>
        <w:autoSpaceDN w:val="0"/>
        <w:adjustRightInd w:val="0"/>
        <w:spacing w:after="0" w:line="240" w:lineRule="auto"/>
        <w:jc w:val="both"/>
        <w:rPr>
          <w:rFonts w:ascii="Times New Roman" w:eastAsia="Calibri" w:hAnsi="Times New Roman" w:cs="Times New Roman"/>
          <w:sz w:val="24"/>
          <w:szCs w:val="24"/>
          <w:lang w:val="en-US"/>
        </w:rPr>
      </w:pPr>
    </w:p>
    <w:p w14:paraId="5F102C65" w14:textId="7BB508F1" w:rsidR="00207293" w:rsidRPr="00933491" w:rsidRDefault="00207293" w:rsidP="00207293">
      <w:pPr>
        <w:autoSpaceDE w:val="0"/>
        <w:autoSpaceDN w:val="0"/>
        <w:adjustRightInd w:val="0"/>
        <w:spacing w:after="0" w:line="240" w:lineRule="auto"/>
        <w:jc w:val="both"/>
        <w:rPr>
          <w:rFonts w:ascii="Times New Roman" w:eastAsia="Calibri" w:hAnsi="Times New Roman" w:cs="Times New Roman"/>
          <w:sz w:val="24"/>
          <w:szCs w:val="24"/>
          <w:lang w:val="en-US"/>
        </w:rPr>
      </w:pPr>
      <w:r w:rsidRPr="00933491">
        <w:rPr>
          <w:rFonts w:ascii="Times New Roman" w:eastAsia="Calibri" w:hAnsi="Times New Roman" w:cs="Times New Roman"/>
          <w:sz w:val="24"/>
          <w:szCs w:val="24"/>
          <w:lang w:val="en-US"/>
        </w:rPr>
        <w:t xml:space="preserve">LOUGHRAN, T; RITTER, J. The new issues puzzle.  </w:t>
      </w:r>
      <w:r w:rsidRPr="00933491">
        <w:rPr>
          <w:rFonts w:ascii="Times New Roman" w:eastAsia="Calibri" w:hAnsi="Times New Roman" w:cs="Times New Roman"/>
          <w:b/>
          <w:bCs/>
          <w:sz w:val="24"/>
          <w:szCs w:val="24"/>
          <w:lang w:val="en-US"/>
        </w:rPr>
        <w:t>Journal of Finance</w:t>
      </w:r>
      <w:r w:rsidR="00981327">
        <w:rPr>
          <w:rFonts w:ascii="Times New Roman" w:eastAsia="Calibri" w:hAnsi="Times New Roman" w:cs="Times New Roman"/>
          <w:sz w:val="24"/>
          <w:szCs w:val="24"/>
          <w:lang w:val="en-US"/>
        </w:rPr>
        <w:t>, v.</w:t>
      </w:r>
      <w:r w:rsidRPr="00933491">
        <w:rPr>
          <w:rFonts w:ascii="Times New Roman" w:eastAsia="Calibri" w:hAnsi="Times New Roman" w:cs="Times New Roman"/>
          <w:sz w:val="24"/>
          <w:szCs w:val="24"/>
          <w:lang w:val="en-US"/>
        </w:rPr>
        <w:t>50, p. 23-51, 1995.</w:t>
      </w:r>
    </w:p>
    <w:p w14:paraId="137DE03C" w14:textId="77777777" w:rsidR="00207293" w:rsidRPr="00933491" w:rsidRDefault="00207293" w:rsidP="00207293">
      <w:pPr>
        <w:autoSpaceDE w:val="0"/>
        <w:autoSpaceDN w:val="0"/>
        <w:adjustRightInd w:val="0"/>
        <w:spacing w:after="0" w:line="240" w:lineRule="auto"/>
        <w:jc w:val="both"/>
        <w:rPr>
          <w:rFonts w:ascii="Times New Roman" w:eastAsia="Calibri" w:hAnsi="Times New Roman" w:cs="Times New Roman"/>
          <w:sz w:val="24"/>
          <w:szCs w:val="24"/>
          <w:lang w:val="en-US"/>
        </w:rPr>
      </w:pPr>
    </w:p>
    <w:p w14:paraId="3372010E" w14:textId="2455BF7E" w:rsidR="00527227" w:rsidRDefault="00207293" w:rsidP="00207293">
      <w:pPr>
        <w:pStyle w:val="Recuodecorpodetexto"/>
        <w:spacing w:after="0"/>
        <w:ind w:left="0"/>
        <w:jc w:val="both"/>
        <w:rPr>
          <w:lang w:val="en-US"/>
        </w:rPr>
      </w:pPr>
      <w:r>
        <w:rPr>
          <w:lang w:val="en-US"/>
        </w:rPr>
        <w:t xml:space="preserve">MYERS, S. C.; </w:t>
      </w:r>
      <w:r w:rsidRPr="006A0D91">
        <w:rPr>
          <w:lang w:val="en-US"/>
        </w:rPr>
        <w:t xml:space="preserve">MAJLUF, N. S. </w:t>
      </w:r>
      <w:r w:rsidR="00527227" w:rsidRPr="006A0D91">
        <w:rPr>
          <w:lang w:val="en-US"/>
        </w:rPr>
        <w:t xml:space="preserve">Corporate financing and investment decisions when firms have information that investors do not have. </w:t>
      </w:r>
      <w:r w:rsidR="00527227" w:rsidRPr="00207293">
        <w:rPr>
          <w:b/>
          <w:lang w:val="en-US"/>
        </w:rPr>
        <w:t>Journal of Financial Economics</w:t>
      </w:r>
      <w:r w:rsidR="00527227" w:rsidRPr="004321EB">
        <w:rPr>
          <w:lang w:val="en-US"/>
        </w:rPr>
        <w:t>,</w:t>
      </w:r>
      <w:r w:rsidR="00527227" w:rsidRPr="006A0D91">
        <w:rPr>
          <w:lang w:val="en-US"/>
        </w:rPr>
        <w:t xml:space="preserve"> </w:t>
      </w:r>
      <w:r>
        <w:rPr>
          <w:lang w:val="en-US"/>
        </w:rPr>
        <w:t>v.</w:t>
      </w:r>
      <w:r w:rsidR="00527227" w:rsidRPr="006A0D91">
        <w:rPr>
          <w:lang w:val="en-US"/>
        </w:rPr>
        <w:t xml:space="preserve">13, </w:t>
      </w:r>
      <w:r>
        <w:rPr>
          <w:lang w:val="en-US"/>
        </w:rPr>
        <w:t>p.187-221, 1984.</w:t>
      </w:r>
    </w:p>
    <w:p w14:paraId="06FE8742" w14:textId="77777777" w:rsidR="00207293" w:rsidRPr="006A0D91" w:rsidRDefault="00207293" w:rsidP="00207293">
      <w:pPr>
        <w:pStyle w:val="Recuodecorpodetexto"/>
        <w:spacing w:after="0"/>
        <w:ind w:left="0"/>
        <w:jc w:val="both"/>
        <w:rPr>
          <w:lang w:val="en-US"/>
        </w:rPr>
      </w:pPr>
    </w:p>
    <w:p w14:paraId="379F4EA7" w14:textId="256BA0D2" w:rsidR="00527227" w:rsidRDefault="00207293" w:rsidP="0020729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PAGANO, M.; PANETA, F.; </w:t>
      </w:r>
      <w:r w:rsidRPr="006A0D91">
        <w:rPr>
          <w:rFonts w:ascii="Times New Roman" w:hAnsi="Times New Roman" w:cs="Times New Roman"/>
          <w:sz w:val="24"/>
          <w:szCs w:val="24"/>
          <w:lang w:val="en-US"/>
        </w:rPr>
        <w:t xml:space="preserve">ZINGALES, L. </w:t>
      </w:r>
      <w:r w:rsidR="00527227" w:rsidRPr="006A0D91">
        <w:rPr>
          <w:rFonts w:ascii="Times New Roman" w:hAnsi="Times New Roman" w:cs="Times New Roman"/>
          <w:sz w:val="24"/>
          <w:szCs w:val="24"/>
          <w:lang w:val="en-US"/>
        </w:rPr>
        <w:t>Why do companies go public? An empirical analysis</w:t>
      </w:r>
      <w:r w:rsidR="00527227" w:rsidRPr="006A0D91">
        <w:rPr>
          <w:rFonts w:ascii="Times New Roman" w:hAnsi="Times New Roman" w:cs="Times New Roman"/>
          <w:b/>
          <w:sz w:val="24"/>
          <w:szCs w:val="24"/>
          <w:lang w:val="en-US"/>
        </w:rPr>
        <w:t>.</w:t>
      </w:r>
      <w:r w:rsidR="00527227" w:rsidRPr="006A0D91">
        <w:rPr>
          <w:rFonts w:ascii="Times New Roman" w:hAnsi="Times New Roman" w:cs="Times New Roman"/>
          <w:sz w:val="24"/>
          <w:szCs w:val="24"/>
          <w:lang w:val="en-US"/>
        </w:rPr>
        <w:t xml:space="preserve"> </w:t>
      </w:r>
      <w:r w:rsidR="00527227" w:rsidRPr="00207293">
        <w:rPr>
          <w:rFonts w:ascii="Times New Roman" w:hAnsi="Times New Roman" w:cs="Times New Roman"/>
          <w:b/>
          <w:bCs/>
          <w:sz w:val="24"/>
          <w:szCs w:val="24"/>
        </w:rPr>
        <w:t xml:space="preserve">The </w:t>
      </w:r>
      <w:proofErr w:type="spellStart"/>
      <w:r w:rsidR="00527227" w:rsidRPr="00207293">
        <w:rPr>
          <w:rFonts w:ascii="Times New Roman" w:hAnsi="Times New Roman" w:cs="Times New Roman"/>
          <w:b/>
          <w:bCs/>
          <w:sz w:val="24"/>
          <w:szCs w:val="24"/>
        </w:rPr>
        <w:t>Journal</w:t>
      </w:r>
      <w:proofErr w:type="spellEnd"/>
      <w:r w:rsidR="00527227" w:rsidRPr="00207293">
        <w:rPr>
          <w:rFonts w:ascii="Times New Roman" w:hAnsi="Times New Roman" w:cs="Times New Roman"/>
          <w:b/>
          <w:bCs/>
          <w:sz w:val="24"/>
          <w:szCs w:val="24"/>
        </w:rPr>
        <w:t xml:space="preserve"> </w:t>
      </w:r>
      <w:proofErr w:type="spellStart"/>
      <w:r w:rsidR="00527227" w:rsidRPr="00207293">
        <w:rPr>
          <w:rFonts w:ascii="Times New Roman" w:hAnsi="Times New Roman" w:cs="Times New Roman"/>
          <w:b/>
          <w:bCs/>
          <w:sz w:val="24"/>
          <w:szCs w:val="24"/>
        </w:rPr>
        <w:t>of</w:t>
      </w:r>
      <w:proofErr w:type="spellEnd"/>
      <w:r w:rsidR="00527227" w:rsidRPr="00207293">
        <w:rPr>
          <w:rFonts w:ascii="Times New Roman" w:hAnsi="Times New Roman" w:cs="Times New Roman"/>
          <w:b/>
          <w:bCs/>
          <w:sz w:val="24"/>
          <w:szCs w:val="24"/>
        </w:rPr>
        <w:t xml:space="preserve"> </w:t>
      </w:r>
      <w:proofErr w:type="spellStart"/>
      <w:r w:rsidR="00527227" w:rsidRPr="00207293">
        <w:rPr>
          <w:rFonts w:ascii="Times New Roman" w:hAnsi="Times New Roman" w:cs="Times New Roman"/>
          <w:b/>
          <w:bCs/>
          <w:sz w:val="24"/>
          <w:szCs w:val="24"/>
        </w:rPr>
        <w:t>Finance</w:t>
      </w:r>
      <w:proofErr w:type="spellEnd"/>
      <w:r w:rsidR="00527227" w:rsidRPr="004321EB">
        <w:rPr>
          <w:rFonts w:ascii="Times New Roman" w:hAnsi="Times New Roman" w:cs="Times New Roman"/>
          <w:bCs/>
          <w:sz w:val="24"/>
          <w:szCs w:val="24"/>
        </w:rPr>
        <w:t>,</w:t>
      </w:r>
      <w:r w:rsidR="00527227" w:rsidRPr="006A0D91">
        <w:rPr>
          <w:rFonts w:ascii="Times New Roman" w:hAnsi="Times New Roman" w:cs="Times New Roman"/>
          <w:bCs/>
          <w:sz w:val="24"/>
          <w:szCs w:val="24"/>
        </w:rPr>
        <w:t xml:space="preserve"> </w:t>
      </w:r>
      <w:r>
        <w:rPr>
          <w:rFonts w:ascii="Times New Roman" w:hAnsi="Times New Roman" w:cs="Times New Roman"/>
          <w:bCs/>
          <w:sz w:val="24"/>
          <w:szCs w:val="24"/>
        </w:rPr>
        <w:t>v.</w:t>
      </w:r>
      <w:r w:rsidR="00527227" w:rsidRPr="006A0D91">
        <w:rPr>
          <w:rFonts w:ascii="Times New Roman" w:hAnsi="Times New Roman" w:cs="Times New Roman"/>
          <w:bCs/>
          <w:sz w:val="24"/>
          <w:szCs w:val="24"/>
        </w:rPr>
        <w:t xml:space="preserve">53, </w:t>
      </w:r>
      <w:r w:rsidR="00981327">
        <w:rPr>
          <w:rFonts w:ascii="Times New Roman" w:hAnsi="Times New Roman" w:cs="Times New Roman"/>
          <w:bCs/>
          <w:sz w:val="24"/>
          <w:szCs w:val="24"/>
        </w:rPr>
        <w:t xml:space="preserve">p. </w:t>
      </w:r>
      <w:r w:rsidR="00527227" w:rsidRPr="006A0D91">
        <w:rPr>
          <w:rFonts w:ascii="Times New Roman" w:hAnsi="Times New Roman" w:cs="Times New Roman"/>
          <w:bCs/>
          <w:sz w:val="24"/>
          <w:szCs w:val="24"/>
        </w:rPr>
        <w:t>27-64</w:t>
      </w:r>
      <w:r>
        <w:rPr>
          <w:rFonts w:ascii="Times New Roman" w:hAnsi="Times New Roman" w:cs="Times New Roman"/>
          <w:sz w:val="24"/>
          <w:szCs w:val="24"/>
        </w:rPr>
        <w:t>, 1984.</w:t>
      </w:r>
    </w:p>
    <w:p w14:paraId="6D97AB5E" w14:textId="77777777" w:rsidR="00207293" w:rsidRPr="006A0D91" w:rsidRDefault="00207293" w:rsidP="00207293">
      <w:pPr>
        <w:autoSpaceDE w:val="0"/>
        <w:autoSpaceDN w:val="0"/>
        <w:adjustRightInd w:val="0"/>
        <w:spacing w:after="0" w:line="240" w:lineRule="auto"/>
        <w:jc w:val="both"/>
        <w:rPr>
          <w:rFonts w:ascii="Times New Roman" w:hAnsi="Times New Roman" w:cs="Times New Roman"/>
          <w:sz w:val="24"/>
          <w:szCs w:val="24"/>
        </w:rPr>
      </w:pPr>
    </w:p>
    <w:p w14:paraId="1019F705" w14:textId="057D38E6" w:rsidR="00207293" w:rsidRPr="00933491" w:rsidRDefault="00207293" w:rsidP="00207293">
      <w:pPr>
        <w:autoSpaceDE w:val="0"/>
        <w:autoSpaceDN w:val="0"/>
        <w:adjustRightInd w:val="0"/>
        <w:spacing w:after="0" w:line="240" w:lineRule="auto"/>
        <w:jc w:val="both"/>
        <w:rPr>
          <w:rFonts w:ascii="Times New Roman" w:eastAsia="Calibri" w:hAnsi="Times New Roman" w:cs="Times New Roman"/>
          <w:sz w:val="24"/>
          <w:szCs w:val="24"/>
          <w:lang w:val="en-US"/>
        </w:rPr>
      </w:pPr>
      <w:r w:rsidRPr="00933491">
        <w:rPr>
          <w:rFonts w:ascii="Times New Roman" w:eastAsia="Calibri" w:hAnsi="Times New Roman" w:cs="Times New Roman"/>
          <w:sz w:val="24"/>
          <w:szCs w:val="24"/>
          <w:lang w:val="en-US"/>
        </w:rPr>
        <w:lastRenderedPageBreak/>
        <w:t xml:space="preserve">RANGAN, Srinivasan. Earnings management and the performance of seasoned equity offerings. </w:t>
      </w:r>
      <w:r w:rsidRPr="00933491">
        <w:rPr>
          <w:rFonts w:ascii="Times New Roman" w:eastAsia="Calibri" w:hAnsi="Times New Roman" w:cs="Times New Roman"/>
          <w:b/>
          <w:bCs/>
          <w:sz w:val="24"/>
          <w:szCs w:val="24"/>
          <w:lang w:val="en-US"/>
        </w:rPr>
        <w:t xml:space="preserve">Journal of Financial Economics, </w:t>
      </w:r>
      <w:r w:rsidR="00981327">
        <w:rPr>
          <w:rFonts w:ascii="Times New Roman" w:eastAsia="Calibri" w:hAnsi="Times New Roman" w:cs="Times New Roman"/>
          <w:sz w:val="24"/>
          <w:szCs w:val="24"/>
          <w:lang w:val="en-US"/>
        </w:rPr>
        <w:t>Lausanne, v.</w:t>
      </w:r>
      <w:r w:rsidRPr="00933491">
        <w:rPr>
          <w:rFonts w:ascii="Times New Roman" w:eastAsia="Calibri" w:hAnsi="Times New Roman" w:cs="Times New Roman"/>
          <w:sz w:val="24"/>
          <w:szCs w:val="24"/>
          <w:lang w:val="en-US"/>
        </w:rPr>
        <w:t xml:space="preserve">50, n.1, p. 101-122, 1998. </w:t>
      </w:r>
    </w:p>
    <w:p w14:paraId="6E961E6C" w14:textId="77777777" w:rsidR="00207293" w:rsidRPr="00933491" w:rsidRDefault="00207293" w:rsidP="00207293">
      <w:pPr>
        <w:autoSpaceDE w:val="0"/>
        <w:autoSpaceDN w:val="0"/>
        <w:adjustRightInd w:val="0"/>
        <w:spacing w:after="0" w:line="240" w:lineRule="auto"/>
        <w:jc w:val="both"/>
        <w:rPr>
          <w:rFonts w:ascii="Times New Roman" w:eastAsia="Calibri" w:hAnsi="Times New Roman" w:cs="Times New Roman"/>
          <w:sz w:val="24"/>
          <w:szCs w:val="24"/>
          <w:lang w:val="en-US"/>
        </w:rPr>
      </w:pPr>
    </w:p>
    <w:p w14:paraId="10123ED1" w14:textId="40E2E178" w:rsidR="00527227" w:rsidRDefault="00207293" w:rsidP="00207293">
      <w:pPr>
        <w:autoSpaceDE w:val="0"/>
        <w:autoSpaceDN w:val="0"/>
        <w:adjustRightInd w:val="0"/>
        <w:spacing w:after="0" w:line="240" w:lineRule="auto"/>
        <w:jc w:val="both"/>
        <w:rPr>
          <w:rFonts w:ascii="Times New Roman" w:hAnsi="Times New Roman" w:cs="Times New Roman"/>
          <w:sz w:val="24"/>
          <w:szCs w:val="24"/>
        </w:rPr>
      </w:pPr>
      <w:r w:rsidRPr="006A0D91">
        <w:rPr>
          <w:rFonts w:ascii="Times New Roman" w:hAnsi="Times New Roman" w:cs="Times New Roman"/>
          <w:sz w:val="24"/>
          <w:szCs w:val="24"/>
        </w:rPr>
        <w:t>RIBEIRO</w:t>
      </w:r>
      <w:r>
        <w:rPr>
          <w:rFonts w:ascii="Times New Roman" w:hAnsi="Times New Roman" w:cs="Times New Roman"/>
          <w:sz w:val="24"/>
          <w:szCs w:val="24"/>
        </w:rPr>
        <w:t xml:space="preserve"> NETO</w:t>
      </w:r>
      <w:r w:rsidRPr="006A0D91">
        <w:rPr>
          <w:rFonts w:ascii="Times New Roman" w:hAnsi="Times New Roman" w:cs="Times New Roman"/>
          <w:sz w:val="24"/>
          <w:szCs w:val="24"/>
        </w:rPr>
        <w:t>, R. M</w:t>
      </w:r>
      <w:r>
        <w:rPr>
          <w:rFonts w:ascii="Times New Roman" w:hAnsi="Times New Roman" w:cs="Times New Roman"/>
          <w:sz w:val="24"/>
          <w:szCs w:val="24"/>
        </w:rPr>
        <w:t xml:space="preserve">.; </w:t>
      </w:r>
      <w:r w:rsidRPr="006A0D91">
        <w:rPr>
          <w:rFonts w:ascii="Times New Roman" w:hAnsi="Times New Roman" w:cs="Times New Roman"/>
          <w:sz w:val="24"/>
          <w:szCs w:val="24"/>
        </w:rPr>
        <w:t xml:space="preserve">FAMA, R. </w:t>
      </w:r>
      <w:r w:rsidR="001C4122" w:rsidRPr="006A0D91">
        <w:rPr>
          <w:rFonts w:ascii="Times New Roman" w:hAnsi="Times New Roman" w:cs="Times New Roman"/>
          <w:sz w:val="24"/>
          <w:szCs w:val="24"/>
        </w:rPr>
        <w:t>Uma</w:t>
      </w:r>
      <w:r w:rsidRPr="006A0D91">
        <w:rPr>
          <w:rFonts w:ascii="Times New Roman" w:hAnsi="Times New Roman" w:cs="Times New Roman"/>
          <w:sz w:val="24"/>
          <w:szCs w:val="24"/>
        </w:rPr>
        <w:t xml:space="preserve"> </w:t>
      </w:r>
      <w:r w:rsidR="00527227" w:rsidRPr="006A0D91">
        <w:rPr>
          <w:rFonts w:ascii="Times New Roman" w:hAnsi="Times New Roman" w:cs="Times New Roman"/>
          <w:sz w:val="24"/>
          <w:szCs w:val="24"/>
        </w:rPr>
        <w:t xml:space="preserve">alternativa de crescimento para o mercado de capitais brasileiro: o novo mercado. </w:t>
      </w:r>
      <w:r w:rsidR="00527227" w:rsidRPr="00207293">
        <w:rPr>
          <w:rFonts w:ascii="Times New Roman" w:hAnsi="Times New Roman" w:cs="Times New Roman"/>
          <w:b/>
          <w:iCs/>
          <w:sz w:val="24"/>
          <w:szCs w:val="24"/>
        </w:rPr>
        <w:t>Revista de Administração</w:t>
      </w:r>
      <w:r w:rsidR="00527227" w:rsidRPr="004321EB">
        <w:rPr>
          <w:rFonts w:ascii="Times New Roman" w:hAnsi="Times New Roman" w:cs="Times New Roman"/>
          <w:i/>
          <w:sz w:val="24"/>
          <w:szCs w:val="24"/>
        </w:rPr>
        <w:t>,</w:t>
      </w:r>
      <w:r w:rsidR="00527227" w:rsidRPr="004321EB">
        <w:rPr>
          <w:rFonts w:ascii="Times New Roman" w:hAnsi="Times New Roman" w:cs="Times New Roman"/>
          <w:sz w:val="24"/>
          <w:szCs w:val="24"/>
        </w:rPr>
        <w:t xml:space="preserve"> </w:t>
      </w:r>
      <w:r>
        <w:rPr>
          <w:rFonts w:ascii="Times New Roman" w:hAnsi="Times New Roman" w:cs="Times New Roman"/>
          <w:sz w:val="24"/>
          <w:szCs w:val="24"/>
        </w:rPr>
        <w:t>v.</w:t>
      </w:r>
      <w:r w:rsidR="00527227" w:rsidRPr="004321EB">
        <w:rPr>
          <w:rFonts w:ascii="Times New Roman" w:hAnsi="Times New Roman" w:cs="Times New Roman"/>
          <w:sz w:val="24"/>
          <w:szCs w:val="24"/>
        </w:rPr>
        <w:t>37</w:t>
      </w:r>
      <w:r>
        <w:rPr>
          <w:rFonts w:ascii="Times New Roman" w:hAnsi="Times New Roman" w:cs="Times New Roman"/>
          <w:sz w:val="24"/>
          <w:szCs w:val="24"/>
        </w:rPr>
        <w:t>, n.</w:t>
      </w:r>
      <w:r w:rsidR="00527227" w:rsidRPr="006A0D91">
        <w:rPr>
          <w:rFonts w:ascii="Times New Roman" w:hAnsi="Times New Roman" w:cs="Times New Roman"/>
          <w:sz w:val="24"/>
          <w:szCs w:val="24"/>
        </w:rPr>
        <w:t>1</w:t>
      </w:r>
      <w:r>
        <w:rPr>
          <w:rFonts w:ascii="Times New Roman" w:hAnsi="Times New Roman" w:cs="Times New Roman"/>
          <w:sz w:val="24"/>
          <w:szCs w:val="24"/>
        </w:rPr>
        <w:t>, p. 29-38, 2002.</w:t>
      </w:r>
    </w:p>
    <w:p w14:paraId="070A0214" w14:textId="77777777" w:rsidR="00207293" w:rsidRPr="006A0D91" w:rsidRDefault="00207293" w:rsidP="00207293">
      <w:pPr>
        <w:autoSpaceDE w:val="0"/>
        <w:autoSpaceDN w:val="0"/>
        <w:adjustRightInd w:val="0"/>
        <w:spacing w:after="0" w:line="240" w:lineRule="auto"/>
        <w:jc w:val="both"/>
        <w:rPr>
          <w:rFonts w:ascii="Times New Roman" w:hAnsi="Times New Roman" w:cs="Times New Roman"/>
          <w:sz w:val="24"/>
          <w:szCs w:val="24"/>
        </w:rPr>
      </w:pPr>
    </w:p>
    <w:p w14:paraId="27009FC9" w14:textId="404285D9" w:rsidR="00527227" w:rsidRDefault="00207293" w:rsidP="00207293">
      <w:pPr>
        <w:autoSpaceDE w:val="0"/>
        <w:autoSpaceDN w:val="0"/>
        <w:adjustRightInd w:val="0"/>
        <w:spacing w:after="0" w:line="240" w:lineRule="auto"/>
        <w:jc w:val="both"/>
        <w:rPr>
          <w:rFonts w:ascii="Times New Roman" w:eastAsia="TimesNewRoman" w:hAnsi="Times New Roman" w:cs="Times New Roman"/>
          <w:sz w:val="24"/>
          <w:szCs w:val="24"/>
          <w:lang w:val="en-US"/>
        </w:rPr>
      </w:pPr>
      <w:r w:rsidRPr="00933491">
        <w:rPr>
          <w:rFonts w:ascii="Times New Roman" w:eastAsia="TimesNewRoman" w:hAnsi="Times New Roman" w:cs="Times New Roman"/>
          <w:sz w:val="24"/>
          <w:szCs w:val="24"/>
          <w:lang w:val="en-US"/>
        </w:rPr>
        <w:t>RITTER, J.</w:t>
      </w:r>
      <w:r w:rsidR="004321EB" w:rsidRPr="00933491">
        <w:rPr>
          <w:rFonts w:ascii="Times New Roman" w:eastAsia="TimesNewRoman" w:hAnsi="Times New Roman" w:cs="Times New Roman"/>
          <w:sz w:val="24"/>
          <w:szCs w:val="24"/>
          <w:lang w:val="en-US"/>
        </w:rPr>
        <w:t xml:space="preserve"> Initial </w:t>
      </w:r>
      <w:r w:rsidR="00527227" w:rsidRPr="00933491">
        <w:rPr>
          <w:rFonts w:ascii="Times New Roman" w:eastAsia="TimesNewRoman" w:hAnsi="Times New Roman" w:cs="Times New Roman"/>
          <w:sz w:val="24"/>
          <w:szCs w:val="24"/>
          <w:lang w:val="en-US"/>
        </w:rPr>
        <w:t xml:space="preserve">public offering. </w:t>
      </w:r>
      <w:r w:rsidR="00527227" w:rsidRPr="00207293">
        <w:rPr>
          <w:rFonts w:ascii="Times New Roman" w:eastAsia="TimesNewRoman" w:hAnsi="Times New Roman" w:cs="Times New Roman"/>
          <w:b/>
          <w:bCs/>
          <w:sz w:val="24"/>
          <w:szCs w:val="24"/>
          <w:lang w:val="en-US"/>
        </w:rPr>
        <w:t>Contemporary Finance Digest</w:t>
      </w:r>
      <w:r w:rsidR="00527227" w:rsidRPr="00933491">
        <w:rPr>
          <w:rFonts w:ascii="Times New Roman" w:eastAsia="TimesNewRoman" w:hAnsi="Times New Roman" w:cs="Times New Roman"/>
          <w:sz w:val="24"/>
          <w:szCs w:val="24"/>
          <w:lang w:val="en-US"/>
        </w:rPr>
        <w:t xml:space="preserve">, </w:t>
      </w:r>
      <w:r>
        <w:rPr>
          <w:rFonts w:ascii="Times New Roman" w:eastAsia="TimesNewRoman" w:hAnsi="Times New Roman" w:cs="Times New Roman"/>
          <w:sz w:val="24"/>
          <w:szCs w:val="24"/>
          <w:lang w:val="en-US"/>
        </w:rPr>
        <w:t>v.</w:t>
      </w:r>
      <w:r w:rsidR="00527227" w:rsidRPr="00933491">
        <w:rPr>
          <w:rFonts w:ascii="Times New Roman" w:eastAsia="TimesNewRoman" w:hAnsi="Times New Roman" w:cs="Times New Roman"/>
          <w:sz w:val="24"/>
          <w:szCs w:val="24"/>
          <w:lang w:val="en-US"/>
        </w:rPr>
        <w:t>2</w:t>
      </w:r>
      <w:r>
        <w:rPr>
          <w:rFonts w:ascii="Times New Roman" w:eastAsia="TimesNewRoman" w:hAnsi="Times New Roman" w:cs="Times New Roman"/>
          <w:sz w:val="24"/>
          <w:szCs w:val="24"/>
          <w:lang w:val="en-US"/>
        </w:rPr>
        <w:t>, n.</w:t>
      </w:r>
      <w:r w:rsidR="00527227" w:rsidRPr="00933491">
        <w:rPr>
          <w:rFonts w:ascii="Times New Roman" w:eastAsia="TimesNewRoman" w:hAnsi="Times New Roman" w:cs="Times New Roman"/>
          <w:sz w:val="24"/>
          <w:szCs w:val="24"/>
          <w:lang w:val="en-US"/>
        </w:rPr>
        <w:t xml:space="preserve">1, </w:t>
      </w:r>
      <w:r>
        <w:rPr>
          <w:rFonts w:ascii="Times New Roman" w:eastAsia="TimesNewRoman" w:hAnsi="Times New Roman" w:cs="Times New Roman"/>
          <w:sz w:val="24"/>
          <w:szCs w:val="24"/>
          <w:lang w:val="en-US"/>
        </w:rPr>
        <w:t>p.05-30, 1998.</w:t>
      </w:r>
    </w:p>
    <w:p w14:paraId="25FE5E5B" w14:textId="77777777" w:rsidR="00207293" w:rsidRPr="00933491" w:rsidRDefault="00207293" w:rsidP="00207293">
      <w:pPr>
        <w:autoSpaceDE w:val="0"/>
        <w:autoSpaceDN w:val="0"/>
        <w:adjustRightInd w:val="0"/>
        <w:spacing w:after="0" w:line="240" w:lineRule="auto"/>
        <w:jc w:val="both"/>
        <w:rPr>
          <w:rFonts w:ascii="Times New Roman" w:eastAsia="TimesNewRoman" w:hAnsi="Times New Roman" w:cs="Times New Roman"/>
          <w:sz w:val="24"/>
          <w:szCs w:val="24"/>
          <w:lang w:val="en-US"/>
        </w:rPr>
      </w:pPr>
    </w:p>
    <w:p w14:paraId="23D2C90C" w14:textId="0313B46A" w:rsidR="00207293" w:rsidRPr="00933491" w:rsidRDefault="00207293" w:rsidP="00207293">
      <w:pPr>
        <w:spacing w:after="0" w:line="240" w:lineRule="auto"/>
        <w:jc w:val="both"/>
        <w:rPr>
          <w:rFonts w:ascii="Times New Roman" w:eastAsia="Calibri" w:hAnsi="Times New Roman" w:cs="Times New Roman"/>
          <w:sz w:val="24"/>
          <w:szCs w:val="24"/>
          <w:lang w:val="en-US"/>
        </w:rPr>
      </w:pPr>
      <w:r w:rsidRPr="00933491">
        <w:rPr>
          <w:rFonts w:ascii="Times New Roman" w:eastAsia="Calibri" w:hAnsi="Times New Roman" w:cs="Times New Roman"/>
          <w:sz w:val="24"/>
          <w:szCs w:val="24"/>
          <w:lang w:val="en-US"/>
        </w:rPr>
        <w:t xml:space="preserve">SHU, P.G.; CHIANG, S.J. Firm size, timing, and earnings management of seasoned equity offerings. </w:t>
      </w:r>
      <w:r w:rsidRPr="00933491">
        <w:rPr>
          <w:rFonts w:ascii="Times New Roman" w:eastAsia="Calibri" w:hAnsi="Times New Roman" w:cs="Times New Roman"/>
          <w:b/>
          <w:sz w:val="24"/>
          <w:szCs w:val="24"/>
          <w:lang w:val="en-US"/>
        </w:rPr>
        <w:t>International Review of Economics and Finance</w:t>
      </w:r>
      <w:r w:rsidR="00981327">
        <w:rPr>
          <w:rFonts w:ascii="Times New Roman" w:eastAsia="Calibri" w:hAnsi="Times New Roman" w:cs="Times New Roman"/>
          <w:sz w:val="24"/>
          <w:szCs w:val="24"/>
          <w:lang w:val="en-US"/>
        </w:rPr>
        <w:t>, v.</w:t>
      </w:r>
      <w:r w:rsidRPr="00933491">
        <w:rPr>
          <w:rFonts w:ascii="Times New Roman" w:eastAsia="Calibri" w:hAnsi="Times New Roman" w:cs="Times New Roman"/>
          <w:sz w:val="24"/>
          <w:szCs w:val="24"/>
          <w:lang w:val="en-US"/>
        </w:rPr>
        <w:t>29, p.177-194, 2014.</w:t>
      </w:r>
    </w:p>
    <w:p w14:paraId="2A769F87" w14:textId="77777777" w:rsidR="00207293" w:rsidRPr="00933491" w:rsidRDefault="00207293" w:rsidP="00207293">
      <w:pPr>
        <w:spacing w:after="0" w:line="240" w:lineRule="auto"/>
        <w:jc w:val="both"/>
        <w:rPr>
          <w:rFonts w:ascii="Times New Roman" w:eastAsia="Calibri" w:hAnsi="Times New Roman" w:cs="Times New Roman"/>
          <w:sz w:val="24"/>
          <w:szCs w:val="24"/>
          <w:lang w:val="en-US"/>
        </w:rPr>
      </w:pPr>
    </w:p>
    <w:p w14:paraId="0BD68E02" w14:textId="6EBEB67C" w:rsidR="00527227" w:rsidRDefault="00207293" w:rsidP="00207293">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SHYAM-SUNDER, L.; </w:t>
      </w:r>
      <w:r w:rsidRPr="006A0D91">
        <w:rPr>
          <w:rFonts w:ascii="Times New Roman" w:hAnsi="Times New Roman" w:cs="Times New Roman"/>
          <w:sz w:val="24"/>
          <w:szCs w:val="24"/>
          <w:lang w:val="en-US"/>
        </w:rPr>
        <w:t>MYERS</w:t>
      </w:r>
      <w:r w:rsidR="004321EB" w:rsidRPr="006A0D91">
        <w:rPr>
          <w:rFonts w:ascii="Times New Roman" w:hAnsi="Times New Roman" w:cs="Times New Roman"/>
          <w:sz w:val="24"/>
          <w:szCs w:val="24"/>
          <w:lang w:val="en-US"/>
        </w:rPr>
        <w:t xml:space="preserve">, S. C. </w:t>
      </w:r>
      <w:r w:rsidR="00527227" w:rsidRPr="006A0D91">
        <w:rPr>
          <w:rFonts w:ascii="Times New Roman" w:hAnsi="Times New Roman" w:cs="Times New Roman"/>
          <w:sz w:val="24"/>
          <w:szCs w:val="24"/>
          <w:lang w:val="en-US"/>
        </w:rPr>
        <w:t>Testing static tradeoff against pecking order models of capital structure</w:t>
      </w:r>
      <w:r w:rsidR="00527227" w:rsidRPr="006A0D91">
        <w:rPr>
          <w:rFonts w:ascii="Times New Roman" w:hAnsi="Times New Roman" w:cs="Times New Roman"/>
          <w:b/>
          <w:sz w:val="24"/>
          <w:szCs w:val="24"/>
          <w:lang w:val="en-US"/>
        </w:rPr>
        <w:t xml:space="preserve">. </w:t>
      </w:r>
      <w:r w:rsidR="00527227" w:rsidRPr="00207293">
        <w:rPr>
          <w:rFonts w:ascii="Times New Roman" w:hAnsi="Times New Roman" w:cs="Times New Roman"/>
          <w:b/>
          <w:sz w:val="24"/>
          <w:szCs w:val="24"/>
          <w:lang w:val="en-US"/>
        </w:rPr>
        <w:t>Journal of Financial Economics</w:t>
      </w:r>
      <w:r w:rsidR="00527227" w:rsidRPr="004321EB">
        <w:rPr>
          <w:rFonts w:ascii="Times New Roman" w:hAnsi="Times New Roman" w:cs="Times New Roman"/>
          <w:i/>
          <w:sz w:val="24"/>
          <w:szCs w:val="24"/>
          <w:lang w:val="en-US"/>
        </w:rPr>
        <w:t>,</w:t>
      </w:r>
      <w:r w:rsidR="004321EB">
        <w:rPr>
          <w:rFonts w:ascii="Times New Roman" w:hAnsi="Times New Roman" w:cs="Times New Roman"/>
          <w:i/>
          <w:sz w:val="24"/>
          <w:szCs w:val="24"/>
          <w:lang w:val="en-US"/>
        </w:rPr>
        <w:t xml:space="preserve"> </w:t>
      </w:r>
      <w:r w:rsidRPr="00207293">
        <w:rPr>
          <w:rFonts w:ascii="Times New Roman" w:hAnsi="Times New Roman" w:cs="Times New Roman"/>
          <w:sz w:val="24"/>
          <w:szCs w:val="24"/>
          <w:lang w:val="en-US"/>
        </w:rPr>
        <w:t>v.</w:t>
      </w:r>
      <w:r w:rsidR="00527227" w:rsidRPr="006A0D91">
        <w:rPr>
          <w:rFonts w:ascii="Times New Roman" w:hAnsi="Times New Roman" w:cs="Times New Roman"/>
          <w:sz w:val="24"/>
          <w:szCs w:val="24"/>
          <w:lang w:val="en-US"/>
        </w:rPr>
        <w:t>51</w:t>
      </w:r>
      <w:r>
        <w:rPr>
          <w:rFonts w:ascii="Times New Roman" w:hAnsi="Times New Roman" w:cs="Times New Roman"/>
          <w:sz w:val="24"/>
          <w:szCs w:val="24"/>
          <w:lang w:val="en-US"/>
        </w:rPr>
        <w:t>, n.</w:t>
      </w:r>
      <w:r w:rsidR="00527227" w:rsidRPr="006A0D91">
        <w:rPr>
          <w:rFonts w:ascii="Times New Roman" w:hAnsi="Times New Roman" w:cs="Times New Roman"/>
          <w:sz w:val="24"/>
          <w:szCs w:val="24"/>
          <w:lang w:val="en-US"/>
        </w:rPr>
        <w:t>2</w:t>
      </w:r>
      <w:r>
        <w:rPr>
          <w:rFonts w:ascii="Times New Roman" w:hAnsi="Times New Roman" w:cs="Times New Roman"/>
          <w:sz w:val="24"/>
          <w:szCs w:val="24"/>
          <w:lang w:val="en-US"/>
        </w:rPr>
        <w:t xml:space="preserve">, </w:t>
      </w:r>
      <w:r w:rsidR="00981327">
        <w:rPr>
          <w:rFonts w:ascii="Times New Roman" w:hAnsi="Times New Roman" w:cs="Times New Roman"/>
          <w:sz w:val="24"/>
          <w:szCs w:val="24"/>
          <w:lang w:val="en-US"/>
        </w:rPr>
        <w:t xml:space="preserve">p. </w:t>
      </w:r>
      <w:r>
        <w:rPr>
          <w:rFonts w:ascii="Times New Roman" w:hAnsi="Times New Roman" w:cs="Times New Roman"/>
          <w:sz w:val="24"/>
          <w:szCs w:val="24"/>
          <w:lang w:val="en-US"/>
        </w:rPr>
        <w:t>219-244, 1999.</w:t>
      </w:r>
    </w:p>
    <w:p w14:paraId="50EA00F8" w14:textId="77777777" w:rsidR="00207293" w:rsidRPr="006A0D91" w:rsidRDefault="00207293" w:rsidP="00207293">
      <w:pPr>
        <w:spacing w:after="0" w:line="240" w:lineRule="auto"/>
        <w:jc w:val="both"/>
        <w:rPr>
          <w:rFonts w:ascii="Times New Roman" w:hAnsi="Times New Roman" w:cs="Times New Roman"/>
          <w:sz w:val="24"/>
          <w:szCs w:val="24"/>
          <w:lang w:val="en-US"/>
        </w:rPr>
      </w:pPr>
    </w:p>
    <w:p w14:paraId="312BE925" w14:textId="72D5E3D3" w:rsidR="00207293" w:rsidRPr="00933491" w:rsidRDefault="00207293" w:rsidP="00207293">
      <w:pPr>
        <w:autoSpaceDE w:val="0"/>
        <w:autoSpaceDN w:val="0"/>
        <w:adjustRightInd w:val="0"/>
        <w:spacing w:after="0" w:line="240" w:lineRule="auto"/>
        <w:jc w:val="both"/>
        <w:rPr>
          <w:rFonts w:ascii="Times New Roman" w:eastAsia="Calibri" w:hAnsi="Times New Roman" w:cs="Times New Roman"/>
          <w:sz w:val="24"/>
          <w:szCs w:val="24"/>
          <w:lang w:val="en-US"/>
        </w:rPr>
      </w:pPr>
      <w:r w:rsidRPr="00933491">
        <w:rPr>
          <w:rFonts w:ascii="Times New Roman" w:eastAsia="Calibri" w:hAnsi="Times New Roman" w:cs="Times New Roman"/>
          <w:sz w:val="24"/>
          <w:szCs w:val="24"/>
          <w:lang w:val="en-US"/>
        </w:rPr>
        <w:t xml:space="preserve">SPIESS, K.; AFFLECK-GRAVES, J. Underperformance in long-run stock returns following seasoned equity offerings. </w:t>
      </w:r>
      <w:r w:rsidRPr="00933491">
        <w:rPr>
          <w:rFonts w:ascii="Times New Roman" w:eastAsia="Calibri" w:hAnsi="Times New Roman" w:cs="Times New Roman"/>
          <w:b/>
          <w:bCs/>
          <w:sz w:val="24"/>
          <w:szCs w:val="24"/>
          <w:lang w:val="en-US"/>
        </w:rPr>
        <w:t xml:space="preserve">Journal of Financial Economics, </w:t>
      </w:r>
      <w:r w:rsidR="00981327">
        <w:rPr>
          <w:rFonts w:ascii="Times New Roman" w:eastAsia="Calibri" w:hAnsi="Times New Roman" w:cs="Times New Roman"/>
          <w:sz w:val="24"/>
          <w:szCs w:val="24"/>
          <w:lang w:val="en-US"/>
        </w:rPr>
        <w:t>v.</w:t>
      </w:r>
      <w:r w:rsidRPr="00933491">
        <w:rPr>
          <w:rFonts w:ascii="Times New Roman" w:eastAsia="Calibri" w:hAnsi="Times New Roman" w:cs="Times New Roman"/>
          <w:sz w:val="24"/>
          <w:szCs w:val="24"/>
          <w:lang w:val="en-US"/>
        </w:rPr>
        <w:t>38, p. 243-267, 1995.</w:t>
      </w:r>
    </w:p>
    <w:p w14:paraId="3C33FADE" w14:textId="77777777" w:rsidR="00207293" w:rsidRPr="00933491" w:rsidRDefault="00207293" w:rsidP="00207293">
      <w:pPr>
        <w:autoSpaceDE w:val="0"/>
        <w:autoSpaceDN w:val="0"/>
        <w:adjustRightInd w:val="0"/>
        <w:spacing w:after="0" w:line="240" w:lineRule="auto"/>
        <w:jc w:val="both"/>
        <w:rPr>
          <w:rFonts w:ascii="Times New Roman" w:eastAsia="Calibri" w:hAnsi="Times New Roman" w:cs="Times New Roman"/>
          <w:sz w:val="24"/>
          <w:szCs w:val="24"/>
          <w:lang w:val="en-US"/>
        </w:rPr>
      </w:pPr>
    </w:p>
    <w:p w14:paraId="6FBAE23E" w14:textId="77777777" w:rsidR="00207293" w:rsidRPr="00933491" w:rsidRDefault="00207293" w:rsidP="00207293">
      <w:pPr>
        <w:autoSpaceDE w:val="0"/>
        <w:autoSpaceDN w:val="0"/>
        <w:adjustRightInd w:val="0"/>
        <w:spacing w:after="0" w:line="240" w:lineRule="auto"/>
        <w:jc w:val="both"/>
        <w:rPr>
          <w:rFonts w:ascii="Times New Roman" w:eastAsia="Calibri" w:hAnsi="Times New Roman" w:cs="Times New Roman"/>
          <w:sz w:val="24"/>
          <w:szCs w:val="24"/>
          <w:lang w:val="en-US"/>
        </w:rPr>
      </w:pPr>
      <w:r w:rsidRPr="00933491">
        <w:rPr>
          <w:rFonts w:ascii="Times New Roman" w:eastAsia="Calibri" w:hAnsi="Times New Roman" w:cs="Times New Roman"/>
          <w:sz w:val="24"/>
          <w:szCs w:val="24"/>
          <w:lang w:val="en-US"/>
        </w:rPr>
        <w:t xml:space="preserve">TEOH, S.H; WELCH, I; WONG, T.J.  Earnings management and the underperformance of seasoned equity offerings. </w:t>
      </w:r>
      <w:r w:rsidRPr="00933491">
        <w:rPr>
          <w:rFonts w:ascii="Times New Roman" w:eastAsia="Calibri" w:hAnsi="Times New Roman" w:cs="Times New Roman"/>
          <w:b/>
          <w:bCs/>
          <w:sz w:val="24"/>
          <w:szCs w:val="24"/>
          <w:lang w:val="en-US"/>
        </w:rPr>
        <w:t>The Journal of Financial Economics</w:t>
      </w:r>
      <w:r w:rsidRPr="00933491">
        <w:rPr>
          <w:rFonts w:ascii="Times New Roman" w:eastAsia="Calibri" w:hAnsi="Times New Roman" w:cs="Times New Roman"/>
          <w:sz w:val="24"/>
          <w:szCs w:val="24"/>
          <w:lang w:val="en-US"/>
        </w:rPr>
        <w:t>, v.50, n.1, p. 63-99, 1998.</w:t>
      </w:r>
    </w:p>
    <w:p w14:paraId="092F1EBD" w14:textId="77777777" w:rsidR="00207293" w:rsidRPr="00933491" w:rsidRDefault="00207293" w:rsidP="00207293">
      <w:pPr>
        <w:autoSpaceDE w:val="0"/>
        <w:autoSpaceDN w:val="0"/>
        <w:adjustRightInd w:val="0"/>
        <w:spacing w:after="0" w:line="240" w:lineRule="auto"/>
        <w:jc w:val="both"/>
        <w:rPr>
          <w:rFonts w:ascii="Times New Roman" w:eastAsia="Calibri" w:hAnsi="Times New Roman" w:cs="Times New Roman"/>
          <w:sz w:val="24"/>
          <w:szCs w:val="24"/>
          <w:lang w:val="en-US"/>
        </w:rPr>
      </w:pPr>
    </w:p>
    <w:p w14:paraId="32E5BDEA" w14:textId="44F633F0" w:rsidR="00527227" w:rsidRDefault="00207293" w:rsidP="00207293">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WADHWA, K.; REDDY, V. N; GOYAL, A</w:t>
      </w:r>
      <w:r w:rsidRPr="0028497B">
        <w:rPr>
          <w:rFonts w:ascii="Times New Roman" w:hAnsi="Times New Roman" w:cs="Times New Roman"/>
          <w:sz w:val="24"/>
          <w:szCs w:val="24"/>
        </w:rPr>
        <w:t>.</w:t>
      </w:r>
      <w:r w:rsidR="00527227" w:rsidRPr="0028497B">
        <w:rPr>
          <w:rFonts w:ascii="Times New Roman" w:hAnsi="Times New Roman" w:cs="Times New Roman"/>
          <w:sz w:val="24"/>
          <w:szCs w:val="24"/>
        </w:rPr>
        <w:t xml:space="preserve"> </w:t>
      </w:r>
      <w:proofErr w:type="spellStart"/>
      <w:r w:rsidR="00527227" w:rsidRPr="0028497B">
        <w:rPr>
          <w:rFonts w:ascii="Times New Roman" w:hAnsi="Times New Roman" w:cs="Times New Roman"/>
          <w:color w:val="000000"/>
          <w:sz w:val="24"/>
          <w:szCs w:val="24"/>
        </w:rPr>
        <w:t>IPOs</w:t>
      </w:r>
      <w:proofErr w:type="spellEnd"/>
      <w:r w:rsidR="00527227" w:rsidRPr="0028497B">
        <w:rPr>
          <w:rFonts w:ascii="Times New Roman" w:hAnsi="Times New Roman" w:cs="Times New Roman"/>
          <w:color w:val="000000"/>
          <w:sz w:val="24"/>
          <w:szCs w:val="24"/>
        </w:rPr>
        <w:t xml:space="preserve"> </w:t>
      </w:r>
      <w:proofErr w:type="spellStart"/>
      <w:r w:rsidR="00527227" w:rsidRPr="0028497B">
        <w:rPr>
          <w:rFonts w:ascii="Times New Roman" w:hAnsi="Times New Roman" w:cs="Times New Roman"/>
          <w:color w:val="000000"/>
          <w:sz w:val="24"/>
          <w:szCs w:val="24"/>
        </w:rPr>
        <w:t>and</w:t>
      </w:r>
      <w:proofErr w:type="spellEnd"/>
      <w:r w:rsidR="00527227" w:rsidRPr="0028497B">
        <w:rPr>
          <w:rFonts w:ascii="Times New Roman" w:hAnsi="Times New Roman" w:cs="Times New Roman"/>
          <w:color w:val="000000"/>
          <w:sz w:val="24"/>
          <w:szCs w:val="24"/>
        </w:rPr>
        <w:t xml:space="preserve"> </w:t>
      </w:r>
      <w:proofErr w:type="spellStart"/>
      <w:r w:rsidR="00527227" w:rsidRPr="0028497B">
        <w:rPr>
          <w:rFonts w:ascii="Times New Roman" w:hAnsi="Times New Roman" w:cs="Times New Roman"/>
          <w:color w:val="000000"/>
          <w:sz w:val="24"/>
          <w:szCs w:val="24"/>
        </w:rPr>
        <w:t>SEOs</w:t>
      </w:r>
      <w:proofErr w:type="spellEnd"/>
      <w:r w:rsidR="00527227" w:rsidRPr="0028497B">
        <w:rPr>
          <w:rFonts w:ascii="Times New Roman" w:hAnsi="Times New Roman" w:cs="Times New Roman"/>
          <w:color w:val="000000"/>
          <w:sz w:val="24"/>
          <w:szCs w:val="24"/>
        </w:rPr>
        <w:t xml:space="preserve">, real </w:t>
      </w:r>
      <w:proofErr w:type="spellStart"/>
      <w:r w:rsidR="00527227" w:rsidRPr="0028497B">
        <w:rPr>
          <w:rFonts w:ascii="Times New Roman" w:hAnsi="Times New Roman" w:cs="Times New Roman"/>
          <w:color w:val="000000"/>
          <w:sz w:val="24"/>
          <w:szCs w:val="24"/>
        </w:rPr>
        <w:t>investments</w:t>
      </w:r>
      <w:proofErr w:type="spellEnd"/>
      <w:r w:rsidR="00527227" w:rsidRPr="0028497B">
        <w:rPr>
          <w:rFonts w:ascii="Times New Roman" w:hAnsi="Times New Roman" w:cs="Times New Roman"/>
          <w:color w:val="000000"/>
          <w:sz w:val="24"/>
          <w:szCs w:val="24"/>
        </w:rPr>
        <w:t xml:space="preserve">, </w:t>
      </w:r>
      <w:proofErr w:type="spellStart"/>
      <w:r w:rsidR="00527227" w:rsidRPr="0028497B">
        <w:rPr>
          <w:rFonts w:ascii="Times New Roman" w:hAnsi="Times New Roman" w:cs="Times New Roman"/>
          <w:color w:val="000000"/>
          <w:sz w:val="24"/>
          <w:szCs w:val="24"/>
        </w:rPr>
        <w:t>and</w:t>
      </w:r>
      <w:proofErr w:type="spellEnd"/>
      <w:r w:rsidR="00527227" w:rsidRPr="0028497B">
        <w:rPr>
          <w:rFonts w:ascii="Times New Roman" w:hAnsi="Times New Roman" w:cs="Times New Roman"/>
          <w:color w:val="000000"/>
          <w:sz w:val="24"/>
          <w:szCs w:val="24"/>
        </w:rPr>
        <w:t xml:space="preserve"> </w:t>
      </w:r>
      <w:proofErr w:type="spellStart"/>
      <w:r w:rsidR="00527227" w:rsidRPr="0028497B">
        <w:rPr>
          <w:rFonts w:ascii="Times New Roman" w:hAnsi="Times New Roman" w:cs="Times New Roman"/>
          <w:color w:val="000000"/>
          <w:sz w:val="24"/>
          <w:szCs w:val="24"/>
        </w:rPr>
        <w:t>market</w:t>
      </w:r>
      <w:proofErr w:type="spellEnd"/>
      <w:r w:rsidR="00527227" w:rsidRPr="0028497B">
        <w:rPr>
          <w:rFonts w:ascii="Times New Roman" w:hAnsi="Times New Roman" w:cs="Times New Roman"/>
          <w:color w:val="000000"/>
          <w:sz w:val="24"/>
          <w:szCs w:val="24"/>
        </w:rPr>
        <w:t xml:space="preserve"> timing: </w:t>
      </w:r>
      <w:proofErr w:type="spellStart"/>
      <w:r w:rsidR="00527227" w:rsidRPr="0028497B">
        <w:rPr>
          <w:rFonts w:ascii="Times New Roman" w:hAnsi="Times New Roman" w:cs="Times New Roman"/>
          <w:color w:val="000000"/>
          <w:sz w:val="24"/>
          <w:szCs w:val="24"/>
        </w:rPr>
        <w:t>Emerging</w:t>
      </w:r>
      <w:proofErr w:type="spellEnd"/>
      <w:r w:rsidR="00527227" w:rsidRPr="0028497B">
        <w:rPr>
          <w:rFonts w:ascii="Times New Roman" w:hAnsi="Times New Roman" w:cs="Times New Roman"/>
          <w:color w:val="000000"/>
          <w:sz w:val="24"/>
          <w:szCs w:val="24"/>
        </w:rPr>
        <w:t xml:space="preserve"> </w:t>
      </w:r>
      <w:proofErr w:type="spellStart"/>
      <w:r w:rsidR="00527227" w:rsidRPr="0028497B">
        <w:rPr>
          <w:rFonts w:ascii="Times New Roman" w:hAnsi="Times New Roman" w:cs="Times New Roman"/>
          <w:color w:val="000000"/>
          <w:sz w:val="24"/>
          <w:szCs w:val="24"/>
        </w:rPr>
        <w:t>market</w:t>
      </w:r>
      <w:proofErr w:type="spellEnd"/>
      <w:r w:rsidR="00527227" w:rsidRPr="0028497B">
        <w:rPr>
          <w:rFonts w:ascii="Times New Roman" w:hAnsi="Times New Roman" w:cs="Times New Roman"/>
          <w:color w:val="000000"/>
          <w:sz w:val="24"/>
          <w:szCs w:val="24"/>
        </w:rPr>
        <w:t xml:space="preserve"> </w:t>
      </w:r>
      <w:proofErr w:type="spellStart"/>
      <w:r w:rsidR="00527227" w:rsidRPr="0028497B">
        <w:rPr>
          <w:rFonts w:ascii="Times New Roman" w:hAnsi="Times New Roman" w:cs="Times New Roman"/>
          <w:color w:val="000000"/>
          <w:sz w:val="24"/>
          <w:szCs w:val="24"/>
        </w:rPr>
        <w:t>evidence</w:t>
      </w:r>
      <w:proofErr w:type="spellEnd"/>
      <w:r w:rsidR="00527227" w:rsidRPr="0028497B">
        <w:rPr>
          <w:rFonts w:ascii="Times New Roman" w:hAnsi="Times New Roman" w:cs="Times New Roman"/>
          <w:color w:val="000000"/>
          <w:sz w:val="24"/>
          <w:szCs w:val="24"/>
        </w:rPr>
        <w:t xml:space="preserve">. </w:t>
      </w:r>
      <w:proofErr w:type="spellStart"/>
      <w:r w:rsidR="00527227" w:rsidRPr="00207293">
        <w:rPr>
          <w:rFonts w:ascii="Times New Roman" w:hAnsi="Times New Roman" w:cs="Times New Roman"/>
          <w:b/>
          <w:iCs/>
          <w:color w:val="000000"/>
          <w:sz w:val="24"/>
          <w:szCs w:val="24"/>
        </w:rPr>
        <w:t>Journal</w:t>
      </w:r>
      <w:proofErr w:type="spellEnd"/>
      <w:r w:rsidR="00527227" w:rsidRPr="00207293">
        <w:rPr>
          <w:rFonts w:ascii="Times New Roman" w:hAnsi="Times New Roman" w:cs="Times New Roman"/>
          <w:b/>
          <w:iCs/>
          <w:color w:val="000000"/>
          <w:sz w:val="24"/>
          <w:szCs w:val="24"/>
        </w:rPr>
        <w:t xml:space="preserve"> </w:t>
      </w:r>
      <w:proofErr w:type="spellStart"/>
      <w:r w:rsidR="00527227" w:rsidRPr="00207293">
        <w:rPr>
          <w:rFonts w:ascii="Times New Roman" w:hAnsi="Times New Roman" w:cs="Times New Roman"/>
          <w:b/>
          <w:iCs/>
          <w:color w:val="000000"/>
          <w:sz w:val="24"/>
          <w:szCs w:val="24"/>
        </w:rPr>
        <w:t>of</w:t>
      </w:r>
      <w:proofErr w:type="spellEnd"/>
      <w:r w:rsidR="00527227" w:rsidRPr="00207293">
        <w:rPr>
          <w:rFonts w:ascii="Times New Roman" w:hAnsi="Times New Roman" w:cs="Times New Roman"/>
          <w:b/>
          <w:iCs/>
          <w:color w:val="000000"/>
          <w:sz w:val="24"/>
          <w:szCs w:val="24"/>
        </w:rPr>
        <w:t xml:space="preserve"> </w:t>
      </w:r>
      <w:proofErr w:type="spellStart"/>
      <w:r w:rsidR="00527227" w:rsidRPr="00207293">
        <w:rPr>
          <w:rFonts w:ascii="Times New Roman" w:hAnsi="Times New Roman" w:cs="Times New Roman"/>
          <w:b/>
          <w:iCs/>
          <w:color w:val="000000"/>
          <w:sz w:val="24"/>
          <w:szCs w:val="24"/>
        </w:rPr>
        <w:t>International</w:t>
      </w:r>
      <w:proofErr w:type="spellEnd"/>
      <w:r w:rsidR="00527227" w:rsidRPr="00207293">
        <w:rPr>
          <w:rFonts w:ascii="Times New Roman" w:hAnsi="Times New Roman" w:cs="Times New Roman"/>
          <w:b/>
          <w:iCs/>
          <w:color w:val="000000"/>
          <w:sz w:val="24"/>
          <w:szCs w:val="24"/>
        </w:rPr>
        <w:t xml:space="preserve"> Financial </w:t>
      </w:r>
      <w:proofErr w:type="spellStart"/>
      <w:r w:rsidR="00527227" w:rsidRPr="00207293">
        <w:rPr>
          <w:rFonts w:ascii="Times New Roman" w:hAnsi="Times New Roman" w:cs="Times New Roman"/>
          <w:b/>
          <w:iCs/>
          <w:color w:val="000000"/>
          <w:sz w:val="24"/>
          <w:szCs w:val="24"/>
        </w:rPr>
        <w:t>Markets</w:t>
      </w:r>
      <w:proofErr w:type="spellEnd"/>
      <w:r w:rsidR="00527227" w:rsidRPr="00207293">
        <w:rPr>
          <w:rFonts w:ascii="Times New Roman" w:hAnsi="Times New Roman" w:cs="Times New Roman"/>
          <w:b/>
          <w:iCs/>
          <w:color w:val="000000"/>
          <w:sz w:val="24"/>
          <w:szCs w:val="24"/>
        </w:rPr>
        <w:t xml:space="preserve">, </w:t>
      </w:r>
      <w:proofErr w:type="spellStart"/>
      <w:r w:rsidR="00527227" w:rsidRPr="00207293">
        <w:rPr>
          <w:rFonts w:ascii="Times New Roman" w:hAnsi="Times New Roman" w:cs="Times New Roman"/>
          <w:b/>
          <w:iCs/>
          <w:color w:val="000000"/>
          <w:sz w:val="24"/>
          <w:szCs w:val="24"/>
        </w:rPr>
        <w:t>Institutions</w:t>
      </w:r>
      <w:proofErr w:type="spellEnd"/>
      <w:r w:rsidR="00527227" w:rsidRPr="00207293">
        <w:rPr>
          <w:rFonts w:ascii="Times New Roman" w:hAnsi="Times New Roman" w:cs="Times New Roman"/>
          <w:b/>
          <w:iCs/>
          <w:color w:val="000000"/>
          <w:sz w:val="24"/>
          <w:szCs w:val="24"/>
        </w:rPr>
        <w:t>, &amp; Money</w:t>
      </w:r>
      <w:r w:rsidR="00527227" w:rsidRPr="0080356B">
        <w:rPr>
          <w:rFonts w:ascii="Times New Roman" w:hAnsi="Times New Roman" w:cs="Times New Roman"/>
          <w:i/>
          <w:iCs/>
          <w:color w:val="000000"/>
          <w:sz w:val="24"/>
          <w:szCs w:val="24"/>
        </w:rPr>
        <w:t>,</w:t>
      </w:r>
      <w:r w:rsidR="00527227" w:rsidRPr="0080356B">
        <w:rPr>
          <w:rFonts w:ascii="Times New Roman" w:hAnsi="Times New Roman" w:cs="Times New Roman"/>
          <w:color w:val="000000"/>
          <w:sz w:val="24"/>
          <w:szCs w:val="24"/>
        </w:rPr>
        <w:t xml:space="preserve"> </w:t>
      </w:r>
      <w:r>
        <w:rPr>
          <w:rFonts w:ascii="Times New Roman" w:hAnsi="Times New Roman" w:cs="Times New Roman"/>
          <w:color w:val="000000"/>
          <w:sz w:val="24"/>
          <w:szCs w:val="24"/>
        </w:rPr>
        <w:t>v.</w:t>
      </w:r>
      <w:r w:rsidR="00527227">
        <w:rPr>
          <w:rFonts w:ascii="Times New Roman" w:hAnsi="Times New Roman" w:cs="Times New Roman"/>
          <w:color w:val="000000"/>
          <w:sz w:val="24"/>
          <w:szCs w:val="24"/>
        </w:rPr>
        <w:t xml:space="preserve">45, </w:t>
      </w:r>
      <w:r>
        <w:rPr>
          <w:rFonts w:ascii="Times New Roman" w:hAnsi="Times New Roman" w:cs="Times New Roman"/>
          <w:color w:val="000000"/>
          <w:sz w:val="24"/>
          <w:szCs w:val="24"/>
        </w:rPr>
        <w:t xml:space="preserve">p. </w:t>
      </w:r>
      <w:r w:rsidR="00527227">
        <w:rPr>
          <w:rFonts w:ascii="Times New Roman" w:hAnsi="Times New Roman" w:cs="Times New Roman"/>
          <w:color w:val="000000"/>
          <w:sz w:val="24"/>
          <w:szCs w:val="24"/>
        </w:rPr>
        <w:t>21-41</w:t>
      </w:r>
      <w:r>
        <w:rPr>
          <w:rFonts w:ascii="Times New Roman" w:hAnsi="Times New Roman" w:cs="Times New Roman"/>
          <w:color w:val="000000"/>
          <w:sz w:val="24"/>
          <w:szCs w:val="24"/>
        </w:rPr>
        <w:t>, 2016.</w:t>
      </w:r>
    </w:p>
    <w:p w14:paraId="6F865D75" w14:textId="77777777" w:rsidR="00207293" w:rsidRPr="0028497B" w:rsidRDefault="00207293" w:rsidP="00207293">
      <w:pPr>
        <w:spacing w:after="0" w:line="240" w:lineRule="auto"/>
        <w:jc w:val="both"/>
        <w:rPr>
          <w:rFonts w:ascii="Times New Roman" w:hAnsi="Times New Roman" w:cs="Times New Roman"/>
          <w:sz w:val="24"/>
          <w:szCs w:val="24"/>
          <w:lang w:val="pt-PT"/>
        </w:rPr>
      </w:pPr>
    </w:p>
    <w:p w14:paraId="16B17526" w14:textId="088B6DD3" w:rsidR="00207293" w:rsidRPr="003E40AC" w:rsidRDefault="00207293" w:rsidP="00207293">
      <w:pPr>
        <w:spacing w:after="0" w:line="240" w:lineRule="auto"/>
        <w:jc w:val="both"/>
        <w:rPr>
          <w:rFonts w:ascii="Times New Roman" w:hAnsi="Times New Roman" w:cs="Times New Roman"/>
          <w:sz w:val="24"/>
          <w:szCs w:val="24"/>
          <w:lang w:val="en-US"/>
        </w:rPr>
      </w:pPr>
      <w:r w:rsidRPr="00643AFC">
        <w:rPr>
          <w:rFonts w:ascii="Times New Roman" w:hAnsi="Times New Roman" w:cs="Times New Roman"/>
          <w:sz w:val="24"/>
          <w:szCs w:val="24"/>
          <w:lang w:val="en-US"/>
        </w:rPr>
        <w:t xml:space="preserve">YANG, T.H.; HSU, J.; YANG, W. B. Firm's motives behind SEOs, earnings management, and performance.  </w:t>
      </w:r>
      <w:r w:rsidRPr="00CC11DC">
        <w:rPr>
          <w:rFonts w:ascii="Times New Roman" w:hAnsi="Times New Roman" w:cs="Times New Roman"/>
          <w:b/>
          <w:sz w:val="24"/>
          <w:szCs w:val="24"/>
          <w:lang w:val="pt-PT"/>
        </w:rPr>
        <w:t>International Review of Economics and Finance</w:t>
      </w:r>
      <w:r w:rsidR="00981327">
        <w:rPr>
          <w:rFonts w:ascii="Times New Roman" w:hAnsi="Times New Roman" w:cs="Times New Roman"/>
          <w:sz w:val="24"/>
          <w:szCs w:val="24"/>
          <w:lang w:val="pt-PT"/>
        </w:rPr>
        <w:t>, v.</w:t>
      </w:r>
      <w:r w:rsidRPr="003E40AC">
        <w:rPr>
          <w:rFonts w:ascii="Times New Roman" w:hAnsi="Times New Roman" w:cs="Times New Roman"/>
          <w:sz w:val="24"/>
          <w:szCs w:val="24"/>
          <w:lang w:val="pt-PT"/>
        </w:rPr>
        <w:t>43, p. 160–169, 2016.</w:t>
      </w:r>
    </w:p>
    <w:p w14:paraId="32B37F52" w14:textId="2E087D08" w:rsidR="00527227" w:rsidRPr="0028497B" w:rsidRDefault="00527227" w:rsidP="00207293">
      <w:pPr>
        <w:spacing w:after="0" w:line="240" w:lineRule="auto"/>
        <w:jc w:val="both"/>
        <w:rPr>
          <w:rFonts w:ascii="Times New Roman" w:hAnsi="Times New Roman" w:cs="Times New Roman"/>
          <w:sz w:val="24"/>
          <w:szCs w:val="24"/>
          <w:lang w:val="pt-PT"/>
        </w:rPr>
      </w:pPr>
    </w:p>
    <w:sectPr w:rsidR="00527227" w:rsidRPr="0028497B" w:rsidSect="00F9691E">
      <w:footerReference w:type="default" r:id="rId10"/>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3A48A3" w14:textId="77777777" w:rsidR="00D5537B" w:rsidRDefault="00D5537B" w:rsidP="00C92AF0">
      <w:pPr>
        <w:spacing w:after="0" w:line="240" w:lineRule="auto"/>
      </w:pPr>
      <w:r>
        <w:separator/>
      </w:r>
    </w:p>
  </w:endnote>
  <w:endnote w:type="continuationSeparator" w:id="0">
    <w:p w14:paraId="3D18E3B1" w14:textId="77777777" w:rsidR="00D5537B" w:rsidRDefault="00D5537B" w:rsidP="00C92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TimesNewRoman">
    <w:altName w:val="MS Gothic"/>
    <w:panose1 w:val="00000000000000000000"/>
    <w:charset w:val="80"/>
    <w:family w:val="auto"/>
    <w:notTrueType/>
    <w:pitch w:val="default"/>
    <w:sig w:usb0="00000000" w:usb1="08070000" w:usb2="00000010" w:usb3="00000000" w:csb0="0002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9878701"/>
      <w:docPartObj>
        <w:docPartGallery w:val="Page Numbers (Bottom of Page)"/>
        <w:docPartUnique/>
      </w:docPartObj>
    </w:sdtPr>
    <w:sdtEndPr>
      <w:rPr>
        <w:rFonts w:ascii="Times New Roman" w:hAnsi="Times New Roman" w:cs="Times New Roman"/>
        <w:sz w:val="20"/>
        <w:szCs w:val="20"/>
      </w:rPr>
    </w:sdtEndPr>
    <w:sdtContent>
      <w:p w14:paraId="54CEAE54" w14:textId="11316EB1" w:rsidR="00157D35" w:rsidRPr="00157D35" w:rsidRDefault="00157D35" w:rsidP="00157D35">
        <w:pPr>
          <w:pStyle w:val="Rodap"/>
          <w:jc w:val="right"/>
          <w:rPr>
            <w:rFonts w:ascii="Times New Roman" w:hAnsi="Times New Roman" w:cs="Times New Roman"/>
            <w:sz w:val="20"/>
            <w:szCs w:val="20"/>
          </w:rPr>
        </w:pPr>
        <w:r w:rsidRPr="00157D35">
          <w:rPr>
            <w:rFonts w:ascii="Times New Roman" w:hAnsi="Times New Roman" w:cs="Times New Roman"/>
            <w:sz w:val="20"/>
            <w:szCs w:val="20"/>
          </w:rPr>
          <w:fldChar w:fldCharType="begin"/>
        </w:r>
        <w:r w:rsidRPr="00157D35">
          <w:rPr>
            <w:rFonts w:ascii="Times New Roman" w:hAnsi="Times New Roman" w:cs="Times New Roman"/>
            <w:sz w:val="20"/>
            <w:szCs w:val="20"/>
          </w:rPr>
          <w:instrText>PAGE   \* MERGEFORMAT</w:instrText>
        </w:r>
        <w:r w:rsidRPr="00157D35">
          <w:rPr>
            <w:rFonts w:ascii="Times New Roman" w:hAnsi="Times New Roman" w:cs="Times New Roman"/>
            <w:sz w:val="20"/>
            <w:szCs w:val="20"/>
          </w:rPr>
          <w:fldChar w:fldCharType="separate"/>
        </w:r>
        <w:r w:rsidR="00363BB2">
          <w:rPr>
            <w:rFonts w:ascii="Times New Roman" w:hAnsi="Times New Roman" w:cs="Times New Roman"/>
            <w:noProof/>
            <w:sz w:val="20"/>
            <w:szCs w:val="20"/>
          </w:rPr>
          <w:t>2</w:t>
        </w:r>
        <w:r w:rsidRPr="00157D35">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D7009B" w14:textId="77777777" w:rsidR="00D5537B" w:rsidRDefault="00D5537B" w:rsidP="00C92AF0">
      <w:pPr>
        <w:spacing w:after="0" w:line="240" w:lineRule="auto"/>
      </w:pPr>
      <w:r>
        <w:separator/>
      </w:r>
    </w:p>
  </w:footnote>
  <w:footnote w:type="continuationSeparator" w:id="0">
    <w:p w14:paraId="5FDD4621" w14:textId="77777777" w:rsidR="00D5537B" w:rsidRDefault="00D5537B" w:rsidP="00C92A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F05792"/>
    <w:multiLevelType w:val="hybridMultilevel"/>
    <w:tmpl w:val="948C6870"/>
    <w:lvl w:ilvl="0" w:tplc="4F3299CC">
      <w:start w:val="3"/>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09E2690"/>
    <w:multiLevelType w:val="hybridMultilevel"/>
    <w:tmpl w:val="E7007C88"/>
    <w:lvl w:ilvl="0" w:tplc="270E8CD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E4A6D3D"/>
    <w:multiLevelType w:val="hybridMultilevel"/>
    <w:tmpl w:val="A876566A"/>
    <w:lvl w:ilvl="0" w:tplc="E95C2DC0">
      <w:start w:val="1"/>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70165B24"/>
    <w:multiLevelType w:val="multilevel"/>
    <w:tmpl w:val="565EC9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555"/>
    <w:rsid w:val="000020D0"/>
    <w:rsid w:val="00002390"/>
    <w:rsid w:val="00002E08"/>
    <w:rsid w:val="00005045"/>
    <w:rsid w:val="00006BCB"/>
    <w:rsid w:val="0001226C"/>
    <w:rsid w:val="00012E4E"/>
    <w:rsid w:val="00013F76"/>
    <w:rsid w:val="0001422C"/>
    <w:rsid w:val="00016812"/>
    <w:rsid w:val="00016B83"/>
    <w:rsid w:val="00017FAF"/>
    <w:rsid w:val="000201D0"/>
    <w:rsid w:val="00020F9D"/>
    <w:rsid w:val="0002136F"/>
    <w:rsid w:val="00021924"/>
    <w:rsid w:val="00021D54"/>
    <w:rsid w:val="00022255"/>
    <w:rsid w:val="00023E33"/>
    <w:rsid w:val="0002559E"/>
    <w:rsid w:val="000259C3"/>
    <w:rsid w:val="00026B2F"/>
    <w:rsid w:val="000278CE"/>
    <w:rsid w:val="000314CC"/>
    <w:rsid w:val="000319F6"/>
    <w:rsid w:val="00031FA6"/>
    <w:rsid w:val="00032099"/>
    <w:rsid w:val="000321BF"/>
    <w:rsid w:val="00032F1B"/>
    <w:rsid w:val="000336A1"/>
    <w:rsid w:val="000343F8"/>
    <w:rsid w:val="000345E1"/>
    <w:rsid w:val="00034E92"/>
    <w:rsid w:val="0003518B"/>
    <w:rsid w:val="000366C6"/>
    <w:rsid w:val="000379A4"/>
    <w:rsid w:val="00037E77"/>
    <w:rsid w:val="00040E99"/>
    <w:rsid w:val="000449BF"/>
    <w:rsid w:val="000459CB"/>
    <w:rsid w:val="00047ED3"/>
    <w:rsid w:val="00050B45"/>
    <w:rsid w:val="0005145A"/>
    <w:rsid w:val="000515C9"/>
    <w:rsid w:val="000516B2"/>
    <w:rsid w:val="00052B3B"/>
    <w:rsid w:val="000548AB"/>
    <w:rsid w:val="0005509F"/>
    <w:rsid w:val="000562FC"/>
    <w:rsid w:val="0005690A"/>
    <w:rsid w:val="00057222"/>
    <w:rsid w:val="00060B0C"/>
    <w:rsid w:val="00061AB5"/>
    <w:rsid w:val="00061DD5"/>
    <w:rsid w:val="00062357"/>
    <w:rsid w:val="0006287A"/>
    <w:rsid w:val="00065D67"/>
    <w:rsid w:val="00067573"/>
    <w:rsid w:val="00067EBE"/>
    <w:rsid w:val="00071590"/>
    <w:rsid w:val="00072827"/>
    <w:rsid w:val="0007461F"/>
    <w:rsid w:val="000746D9"/>
    <w:rsid w:val="0007545C"/>
    <w:rsid w:val="00076A92"/>
    <w:rsid w:val="000777A1"/>
    <w:rsid w:val="00077BEB"/>
    <w:rsid w:val="000813B2"/>
    <w:rsid w:val="00082B36"/>
    <w:rsid w:val="0008435E"/>
    <w:rsid w:val="00084AB4"/>
    <w:rsid w:val="000851C5"/>
    <w:rsid w:val="000902B5"/>
    <w:rsid w:val="00091C04"/>
    <w:rsid w:val="000921C5"/>
    <w:rsid w:val="00092713"/>
    <w:rsid w:val="000937B8"/>
    <w:rsid w:val="0009425F"/>
    <w:rsid w:val="00094E23"/>
    <w:rsid w:val="000955B6"/>
    <w:rsid w:val="000959BA"/>
    <w:rsid w:val="00095E4D"/>
    <w:rsid w:val="00095EAF"/>
    <w:rsid w:val="00096D17"/>
    <w:rsid w:val="000970EB"/>
    <w:rsid w:val="000972F5"/>
    <w:rsid w:val="00097ABB"/>
    <w:rsid w:val="000A0AC8"/>
    <w:rsid w:val="000A0C86"/>
    <w:rsid w:val="000A0E29"/>
    <w:rsid w:val="000A4BC0"/>
    <w:rsid w:val="000A5F32"/>
    <w:rsid w:val="000A655D"/>
    <w:rsid w:val="000A7234"/>
    <w:rsid w:val="000B01C9"/>
    <w:rsid w:val="000B10C8"/>
    <w:rsid w:val="000B1D1E"/>
    <w:rsid w:val="000B265C"/>
    <w:rsid w:val="000B360A"/>
    <w:rsid w:val="000B604D"/>
    <w:rsid w:val="000B799C"/>
    <w:rsid w:val="000C0347"/>
    <w:rsid w:val="000C138E"/>
    <w:rsid w:val="000C3FF9"/>
    <w:rsid w:val="000C7B7A"/>
    <w:rsid w:val="000D1365"/>
    <w:rsid w:val="000D5A8C"/>
    <w:rsid w:val="000D6D55"/>
    <w:rsid w:val="000D6F62"/>
    <w:rsid w:val="000E0003"/>
    <w:rsid w:val="000E0255"/>
    <w:rsid w:val="000E0639"/>
    <w:rsid w:val="000E1372"/>
    <w:rsid w:val="000E19A7"/>
    <w:rsid w:val="000E20E3"/>
    <w:rsid w:val="000E29D5"/>
    <w:rsid w:val="000E5FA7"/>
    <w:rsid w:val="000F117C"/>
    <w:rsid w:val="000F2263"/>
    <w:rsid w:val="000F3F07"/>
    <w:rsid w:val="000F4C1E"/>
    <w:rsid w:val="000F62DA"/>
    <w:rsid w:val="000F6AE3"/>
    <w:rsid w:val="000F7F7B"/>
    <w:rsid w:val="00100C65"/>
    <w:rsid w:val="0010287B"/>
    <w:rsid w:val="00104F8B"/>
    <w:rsid w:val="00105B57"/>
    <w:rsid w:val="00110726"/>
    <w:rsid w:val="00113131"/>
    <w:rsid w:val="00113ACA"/>
    <w:rsid w:val="001141D5"/>
    <w:rsid w:val="00114C48"/>
    <w:rsid w:val="0011514B"/>
    <w:rsid w:val="0011520C"/>
    <w:rsid w:val="0011566C"/>
    <w:rsid w:val="00116637"/>
    <w:rsid w:val="00116672"/>
    <w:rsid w:val="00116B55"/>
    <w:rsid w:val="0012108D"/>
    <w:rsid w:val="00122566"/>
    <w:rsid w:val="00122D29"/>
    <w:rsid w:val="00122F49"/>
    <w:rsid w:val="0012409A"/>
    <w:rsid w:val="00126DFB"/>
    <w:rsid w:val="001273DD"/>
    <w:rsid w:val="001275EB"/>
    <w:rsid w:val="00127E93"/>
    <w:rsid w:val="001306FC"/>
    <w:rsid w:val="001307A9"/>
    <w:rsid w:val="0013296D"/>
    <w:rsid w:val="001339D8"/>
    <w:rsid w:val="001342F4"/>
    <w:rsid w:val="001344F6"/>
    <w:rsid w:val="00136707"/>
    <w:rsid w:val="0013789D"/>
    <w:rsid w:val="00140926"/>
    <w:rsid w:val="00141193"/>
    <w:rsid w:val="001420F9"/>
    <w:rsid w:val="00143D2C"/>
    <w:rsid w:val="001445BF"/>
    <w:rsid w:val="00145248"/>
    <w:rsid w:val="0014530A"/>
    <w:rsid w:val="00146CA1"/>
    <w:rsid w:val="00147842"/>
    <w:rsid w:val="00147D05"/>
    <w:rsid w:val="0015125C"/>
    <w:rsid w:val="001518A7"/>
    <w:rsid w:val="0015199A"/>
    <w:rsid w:val="00151EA5"/>
    <w:rsid w:val="00151FF3"/>
    <w:rsid w:val="00152335"/>
    <w:rsid w:val="001530B0"/>
    <w:rsid w:val="001543BD"/>
    <w:rsid w:val="00154A06"/>
    <w:rsid w:val="00155641"/>
    <w:rsid w:val="001561C5"/>
    <w:rsid w:val="00157D35"/>
    <w:rsid w:val="001608F1"/>
    <w:rsid w:val="00160E7F"/>
    <w:rsid w:val="00161892"/>
    <w:rsid w:val="0016191E"/>
    <w:rsid w:val="001619E0"/>
    <w:rsid w:val="00162947"/>
    <w:rsid w:val="0016415A"/>
    <w:rsid w:val="0016516D"/>
    <w:rsid w:val="0016640B"/>
    <w:rsid w:val="0016644D"/>
    <w:rsid w:val="00167B53"/>
    <w:rsid w:val="00167DF8"/>
    <w:rsid w:val="0017049A"/>
    <w:rsid w:val="00170E39"/>
    <w:rsid w:val="001716CA"/>
    <w:rsid w:val="001722FA"/>
    <w:rsid w:val="001730AC"/>
    <w:rsid w:val="0017495E"/>
    <w:rsid w:val="00175999"/>
    <w:rsid w:val="00176D95"/>
    <w:rsid w:val="00177A83"/>
    <w:rsid w:val="00180AF3"/>
    <w:rsid w:val="001823A5"/>
    <w:rsid w:val="001834F4"/>
    <w:rsid w:val="00185A37"/>
    <w:rsid w:val="00185C68"/>
    <w:rsid w:val="001874F6"/>
    <w:rsid w:val="0019067B"/>
    <w:rsid w:val="001915FD"/>
    <w:rsid w:val="00194346"/>
    <w:rsid w:val="001959B4"/>
    <w:rsid w:val="001959DE"/>
    <w:rsid w:val="00195CB0"/>
    <w:rsid w:val="00197B93"/>
    <w:rsid w:val="001A25F4"/>
    <w:rsid w:val="001A2E49"/>
    <w:rsid w:val="001A33C7"/>
    <w:rsid w:val="001A45F9"/>
    <w:rsid w:val="001A51DE"/>
    <w:rsid w:val="001A5535"/>
    <w:rsid w:val="001A556C"/>
    <w:rsid w:val="001A60FD"/>
    <w:rsid w:val="001A7BFD"/>
    <w:rsid w:val="001B0BE2"/>
    <w:rsid w:val="001B0CD6"/>
    <w:rsid w:val="001B22DE"/>
    <w:rsid w:val="001B4735"/>
    <w:rsid w:val="001B4C4D"/>
    <w:rsid w:val="001B4FFC"/>
    <w:rsid w:val="001B59EF"/>
    <w:rsid w:val="001B62E3"/>
    <w:rsid w:val="001B7713"/>
    <w:rsid w:val="001C112F"/>
    <w:rsid w:val="001C3132"/>
    <w:rsid w:val="001C4122"/>
    <w:rsid w:val="001C43C9"/>
    <w:rsid w:val="001C470F"/>
    <w:rsid w:val="001C5222"/>
    <w:rsid w:val="001C6F61"/>
    <w:rsid w:val="001D01BE"/>
    <w:rsid w:val="001D0651"/>
    <w:rsid w:val="001D10B1"/>
    <w:rsid w:val="001D196F"/>
    <w:rsid w:val="001D2295"/>
    <w:rsid w:val="001D23FB"/>
    <w:rsid w:val="001D27B8"/>
    <w:rsid w:val="001D3F39"/>
    <w:rsid w:val="001D4BCB"/>
    <w:rsid w:val="001D593A"/>
    <w:rsid w:val="001D70DC"/>
    <w:rsid w:val="001E0729"/>
    <w:rsid w:val="001E0D00"/>
    <w:rsid w:val="001E225B"/>
    <w:rsid w:val="001E408A"/>
    <w:rsid w:val="001E4C4A"/>
    <w:rsid w:val="001E4DC2"/>
    <w:rsid w:val="001E4DFA"/>
    <w:rsid w:val="001E5FCA"/>
    <w:rsid w:val="001E697A"/>
    <w:rsid w:val="001F0A10"/>
    <w:rsid w:val="001F1B5F"/>
    <w:rsid w:val="001F2E64"/>
    <w:rsid w:val="001F2E6F"/>
    <w:rsid w:val="001F2F98"/>
    <w:rsid w:val="001F3306"/>
    <w:rsid w:val="001F3930"/>
    <w:rsid w:val="001F5039"/>
    <w:rsid w:val="001F78A9"/>
    <w:rsid w:val="001F7B34"/>
    <w:rsid w:val="001F7DC2"/>
    <w:rsid w:val="002011E9"/>
    <w:rsid w:val="00201BD9"/>
    <w:rsid w:val="00203C65"/>
    <w:rsid w:val="00203D19"/>
    <w:rsid w:val="00204B02"/>
    <w:rsid w:val="00205924"/>
    <w:rsid w:val="00205AC9"/>
    <w:rsid w:val="002068F3"/>
    <w:rsid w:val="00206FF9"/>
    <w:rsid w:val="00207293"/>
    <w:rsid w:val="00207A78"/>
    <w:rsid w:val="00207C81"/>
    <w:rsid w:val="00207E24"/>
    <w:rsid w:val="00210B9A"/>
    <w:rsid w:val="00210C0D"/>
    <w:rsid w:val="00211940"/>
    <w:rsid w:val="00213CCE"/>
    <w:rsid w:val="00214ED1"/>
    <w:rsid w:val="002204A3"/>
    <w:rsid w:val="00222371"/>
    <w:rsid w:val="00222A59"/>
    <w:rsid w:val="00224A4B"/>
    <w:rsid w:val="00225599"/>
    <w:rsid w:val="0022604C"/>
    <w:rsid w:val="0022621D"/>
    <w:rsid w:val="00226575"/>
    <w:rsid w:val="00227F1D"/>
    <w:rsid w:val="0023132C"/>
    <w:rsid w:val="00231DA2"/>
    <w:rsid w:val="00231E26"/>
    <w:rsid w:val="0023449E"/>
    <w:rsid w:val="002355A7"/>
    <w:rsid w:val="00237E47"/>
    <w:rsid w:val="00237E92"/>
    <w:rsid w:val="00241EE4"/>
    <w:rsid w:val="002445C6"/>
    <w:rsid w:val="00244B98"/>
    <w:rsid w:val="00244C00"/>
    <w:rsid w:val="002460A8"/>
    <w:rsid w:val="00246794"/>
    <w:rsid w:val="00247AA8"/>
    <w:rsid w:val="00247F60"/>
    <w:rsid w:val="002517F7"/>
    <w:rsid w:val="002530B8"/>
    <w:rsid w:val="00253946"/>
    <w:rsid w:val="00254341"/>
    <w:rsid w:val="00254E7A"/>
    <w:rsid w:val="00261206"/>
    <w:rsid w:val="00261505"/>
    <w:rsid w:val="00261571"/>
    <w:rsid w:val="002615FA"/>
    <w:rsid w:val="00261DCC"/>
    <w:rsid w:val="0026428B"/>
    <w:rsid w:val="002646A0"/>
    <w:rsid w:val="00264AEF"/>
    <w:rsid w:val="002715D1"/>
    <w:rsid w:val="00272243"/>
    <w:rsid w:val="00274696"/>
    <w:rsid w:val="00274942"/>
    <w:rsid w:val="00275655"/>
    <w:rsid w:val="002764FE"/>
    <w:rsid w:val="00276977"/>
    <w:rsid w:val="00277175"/>
    <w:rsid w:val="00277513"/>
    <w:rsid w:val="00280D41"/>
    <w:rsid w:val="002836A9"/>
    <w:rsid w:val="00283CB3"/>
    <w:rsid w:val="0028497B"/>
    <w:rsid w:val="002877B0"/>
    <w:rsid w:val="00291830"/>
    <w:rsid w:val="00291C89"/>
    <w:rsid w:val="002922E2"/>
    <w:rsid w:val="002934CF"/>
    <w:rsid w:val="002956BA"/>
    <w:rsid w:val="00295FE7"/>
    <w:rsid w:val="0029723E"/>
    <w:rsid w:val="0029747A"/>
    <w:rsid w:val="002A047F"/>
    <w:rsid w:val="002A16A4"/>
    <w:rsid w:val="002A1D7B"/>
    <w:rsid w:val="002A2783"/>
    <w:rsid w:val="002A2F08"/>
    <w:rsid w:val="002A4DFB"/>
    <w:rsid w:val="002A58D2"/>
    <w:rsid w:val="002A72AF"/>
    <w:rsid w:val="002B110F"/>
    <w:rsid w:val="002B2750"/>
    <w:rsid w:val="002B3373"/>
    <w:rsid w:val="002B3824"/>
    <w:rsid w:val="002B5331"/>
    <w:rsid w:val="002B602F"/>
    <w:rsid w:val="002B6609"/>
    <w:rsid w:val="002B7672"/>
    <w:rsid w:val="002B7F1D"/>
    <w:rsid w:val="002C0E19"/>
    <w:rsid w:val="002C1C69"/>
    <w:rsid w:val="002C1F14"/>
    <w:rsid w:val="002C415E"/>
    <w:rsid w:val="002C5108"/>
    <w:rsid w:val="002C5753"/>
    <w:rsid w:val="002C581B"/>
    <w:rsid w:val="002C661F"/>
    <w:rsid w:val="002C6DEB"/>
    <w:rsid w:val="002D2AD1"/>
    <w:rsid w:val="002D3C82"/>
    <w:rsid w:val="002D615A"/>
    <w:rsid w:val="002D621C"/>
    <w:rsid w:val="002D63A8"/>
    <w:rsid w:val="002E0ACB"/>
    <w:rsid w:val="002E41BE"/>
    <w:rsid w:val="002E466E"/>
    <w:rsid w:val="002E5BB1"/>
    <w:rsid w:val="002E5F51"/>
    <w:rsid w:val="002E6882"/>
    <w:rsid w:val="002E76E0"/>
    <w:rsid w:val="002F172F"/>
    <w:rsid w:val="002F1C45"/>
    <w:rsid w:val="002F37D4"/>
    <w:rsid w:val="002F571F"/>
    <w:rsid w:val="002F6036"/>
    <w:rsid w:val="002F610E"/>
    <w:rsid w:val="002F6365"/>
    <w:rsid w:val="002F7D34"/>
    <w:rsid w:val="0030048F"/>
    <w:rsid w:val="00301961"/>
    <w:rsid w:val="00302037"/>
    <w:rsid w:val="003041CC"/>
    <w:rsid w:val="00305AD4"/>
    <w:rsid w:val="00305BB8"/>
    <w:rsid w:val="00306ABC"/>
    <w:rsid w:val="0031221F"/>
    <w:rsid w:val="00314735"/>
    <w:rsid w:val="00315553"/>
    <w:rsid w:val="0031584D"/>
    <w:rsid w:val="00317086"/>
    <w:rsid w:val="0032027A"/>
    <w:rsid w:val="003203BD"/>
    <w:rsid w:val="003205CA"/>
    <w:rsid w:val="003206C6"/>
    <w:rsid w:val="00320753"/>
    <w:rsid w:val="00320B00"/>
    <w:rsid w:val="00320C1D"/>
    <w:rsid w:val="00320DAD"/>
    <w:rsid w:val="0032158C"/>
    <w:rsid w:val="00321DDA"/>
    <w:rsid w:val="00322530"/>
    <w:rsid w:val="00322590"/>
    <w:rsid w:val="003231D4"/>
    <w:rsid w:val="00325D9E"/>
    <w:rsid w:val="00334EC6"/>
    <w:rsid w:val="00336D20"/>
    <w:rsid w:val="00337A1E"/>
    <w:rsid w:val="00340698"/>
    <w:rsid w:val="00340F01"/>
    <w:rsid w:val="003412E5"/>
    <w:rsid w:val="00341E33"/>
    <w:rsid w:val="00342F87"/>
    <w:rsid w:val="00343F2E"/>
    <w:rsid w:val="003441FD"/>
    <w:rsid w:val="00344824"/>
    <w:rsid w:val="00345C3F"/>
    <w:rsid w:val="00347376"/>
    <w:rsid w:val="00347921"/>
    <w:rsid w:val="003520A1"/>
    <w:rsid w:val="00354C49"/>
    <w:rsid w:val="00356246"/>
    <w:rsid w:val="003569C1"/>
    <w:rsid w:val="0035705E"/>
    <w:rsid w:val="00357781"/>
    <w:rsid w:val="0036141B"/>
    <w:rsid w:val="00363BB2"/>
    <w:rsid w:val="00365923"/>
    <w:rsid w:val="00365B18"/>
    <w:rsid w:val="0037171D"/>
    <w:rsid w:val="00371C12"/>
    <w:rsid w:val="00373D06"/>
    <w:rsid w:val="00374295"/>
    <w:rsid w:val="00375C36"/>
    <w:rsid w:val="003761FE"/>
    <w:rsid w:val="0037687E"/>
    <w:rsid w:val="00380976"/>
    <w:rsid w:val="00382F01"/>
    <w:rsid w:val="003836C0"/>
    <w:rsid w:val="0038392B"/>
    <w:rsid w:val="0038419A"/>
    <w:rsid w:val="003847BD"/>
    <w:rsid w:val="00385E19"/>
    <w:rsid w:val="00386B2D"/>
    <w:rsid w:val="00386D65"/>
    <w:rsid w:val="00386E07"/>
    <w:rsid w:val="00393F51"/>
    <w:rsid w:val="00395820"/>
    <w:rsid w:val="00396914"/>
    <w:rsid w:val="00396BEC"/>
    <w:rsid w:val="003975A9"/>
    <w:rsid w:val="003A0522"/>
    <w:rsid w:val="003A227C"/>
    <w:rsid w:val="003A4169"/>
    <w:rsid w:val="003A7A4F"/>
    <w:rsid w:val="003B11C9"/>
    <w:rsid w:val="003B1A2D"/>
    <w:rsid w:val="003B1B34"/>
    <w:rsid w:val="003B1BBA"/>
    <w:rsid w:val="003B1F27"/>
    <w:rsid w:val="003B2456"/>
    <w:rsid w:val="003B4565"/>
    <w:rsid w:val="003B5192"/>
    <w:rsid w:val="003B5D17"/>
    <w:rsid w:val="003B688A"/>
    <w:rsid w:val="003B6C93"/>
    <w:rsid w:val="003B6F86"/>
    <w:rsid w:val="003B7D0D"/>
    <w:rsid w:val="003C00B5"/>
    <w:rsid w:val="003C05FD"/>
    <w:rsid w:val="003C0875"/>
    <w:rsid w:val="003C1708"/>
    <w:rsid w:val="003C2247"/>
    <w:rsid w:val="003C23DB"/>
    <w:rsid w:val="003C3369"/>
    <w:rsid w:val="003C5B32"/>
    <w:rsid w:val="003C78BC"/>
    <w:rsid w:val="003D0051"/>
    <w:rsid w:val="003D039A"/>
    <w:rsid w:val="003D090B"/>
    <w:rsid w:val="003D0CE9"/>
    <w:rsid w:val="003D165C"/>
    <w:rsid w:val="003D2025"/>
    <w:rsid w:val="003D26D9"/>
    <w:rsid w:val="003D38FB"/>
    <w:rsid w:val="003D6D4C"/>
    <w:rsid w:val="003D6DD2"/>
    <w:rsid w:val="003D7374"/>
    <w:rsid w:val="003E09B7"/>
    <w:rsid w:val="003E0A1F"/>
    <w:rsid w:val="003E1757"/>
    <w:rsid w:val="003E1E87"/>
    <w:rsid w:val="003E386A"/>
    <w:rsid w:val="003E3BB1"/>
    <w:rsid w:val="003E40AC"/>
    <w:rsid w:val="003E431A"/>
    <w:rsid w:val="003E46BE"/>
    <w:rsid w:val="003E512B"/>
    <w:rsid w:val="003E70E4"/>
    <w:rsid w:val="003F7149"/>
    <w:rsid w:val="003F79F2"/>
    <w:rsid w:val="0040111B"/>
    <w:rsid w:val="004026C9"/>
    <w:rsid w:val="00403AD0"/>
    <w:rsid w:val="00405BBA"/>
    <w:rsid w:val="0040603B"/>
    <w:rsid w:val="00407FCA"/>
    <w:rsid w:val="00410EAD"/>
    <w:rsid w:val="00412B8F"/>
    <w:rsid w:val="00414A16"/>
    <w:rsid w:val="004167A6"/>
    <w:rsid w:val="00417E1B"/>
    <w:rsid w:val="00420EEE"/>
    <w:rsid w:val="00421F9A"/>
    <w:rsid w:val="004226A1"/>
    <w:rsid w:val="0042283C"/>
    <w:rsid w:val="00424448"/>
    <w:rsid w:val="0042497D"/>
    <w:rsid w:val="004256E0"/>
    <w:rsid w:val="00426673"/>
    <w:rsid w:val="004302F2"/>
    <w:rsid w:val="00431FE7"/>
    <w:rsid w:val="004321EB"/>
    <w:rsid w:val="004328E4"/>
    <w:rsid w:val="00432A67"/>
    <w:rsid w:val="0043334C"/>
    <w:rsid w:val="0043448E"/>
    <w:rsid w:val="00435A58"/>
    <w:rsid w:val="004365EC"/>
    <w:rsid w:val="00440044"/>
    <w:rsid w:val="004401BA"/>
    <w:rsid w:val="00440DAA"/>
    <w:rsid w:val="004434A8"/>
    <w:rsid w:val="004438FD"/>
    <w:rsid w:val="004442A5"/>
    <w:rsid w:val="00444A12"/>
    <w:rsid w:val="0044516E"/>
    <w:rsid w:val="00445527"/>
    <w:rsid w:val="00446B66"/>
    <w:rsid w:val="00447C07"/>
    <w:rsid w:val="0045003D"/>
    <w:rsid w:val="00451A61"/>
    <w:rsid w:val="00452858"/>
    <w:rsid w:val="00453150"/>
    <w:rsid w:val="0045607E"/>
    <w:rsid w:val="0045691F"/>
    <w:rsid w:val="0045720F"/>
    <w:rsid w:val="00457C90"/>
    <w:rsid w:val="00460A8D"/>
    <w:rsid w:val="00461A28"/>
    <w:rsid w:val="00462D40"/>
    <w:rsid w:val="00463ECB"/>
    <w:rsid w:val="00464BF2"/>
    <w:rsid w:val="004654F4"/>
    <w:rsid w:val="004674AB"/>
    <w:rsid w:val="004675CF"/>
    <w:rsid w:val="00467B54"/>
    <w:rsid w:val="0047062D"/>
    <w:rsid w:val="004707E9"/>
    <w:rsid w:val="00471099"/>
    <w:rsid w:val="00472230"/>
    <w:rsid w:val="00472B58"/>
    <w:rsid w:val="00472BF0"/>
    <w:rsid w:val="00472FB7"/>
    <w:rsid w:val="0047388A"/>
    <w:rsid w:val="00474118"/>
    <w:rsid w:val="004761E6"/>
    <w:rsid w:val="004767CD"/>
    <w:rsid w:val="004778F5"/>
    <w:rsid w:val="00477A21"/>
    <w:rsid w:val="00477CE5"/>
    <w:rsid w:val="0048052C"/>
    <w:rsid w:val="0048073D"/>
    <w:rsid w:val="004807C5"/>
    <w:rsid w:val="004812B0"/>
    <w:rsid w:val="004829E9"/>
    <w:rsid w:val="00484B1E"/>
    <w:rsid w:val="00485950"/>
    <w:rsid w:val="004870C6"/>
    <w:rsid w:val="004879DC"/>
    <w:rsid w:val="00490D56"/>
    <w:rsid w:val="00492AF0"/>
    <w:rsid w:val="00493102"/>
    <w:rsid w:val="004935CF"/>
    <w:rsid w:val="0049516A"/>
    <w:rsid w:val="004951EA"/>
    <w:rsid w:val="0049535D"/>
    <w:rsid w:val="004965EF"/>
    <w:rsid w:val="004A05A8"/>
    <w:rsid w:val="004A157E"/>
    <w:rsid w:val="004A1E98"/>
    <w:rsid w:val="004A24B5"/>
    <w:rsid w:val="004A321C"/>
    <w:rsid w:val="004A37C7"/>
    <w:rsid w:val="004A3F52"/>
    <w:rsid w:val="004A4BAA"/>
    <w:rsid w:val="004A4EFF"/>
    <w:rsid w:val="004A5284"/>
    <w:rsid w:val="004A59CE"/>
    <w:rsid w:val="004B0C6E"/>
    <w:rsid w:val="004B1669"/>
    <w:rsid w:val="004B1A03"/>
    <w:rsid w:val="004B2A01"/>
    <w:rsid w:val="004B301B"/>
    <w:rsid w:val="004B3164"/>
    <w:rsid w:val="004B3256"/>
    <w:rsid w:val="004B4324"/>
    <w:rsid w:val="004B5786"/>
    <w:rsid w:val="004B77B7"/>
    <w:rsid w:val="004C06C0"/>
    <w:rsid w:val="004C136C"/>
    <w:rsid w:val="004C2D2D"/>
    <w:rsid w:val="004C4083"/>
    <w:rsid w:val="004C59CE"/>
    <w:rsid w:val="004C5D66"/>
    <w:rsid w:val="004C71FC"/>
    <w:rsid w:val="004C7605"/>
    <w:rsid w:val="004C7BEE"/>
    <w:rsid w:val="004C7DD9"/>
    <w:rsid w:val="004D1173"/>
    <w:rsid w:val="004D12CA"/>
    <w:rsid w:val="004D2828"/>
    <w:rsid w:val="004D3C02"/>
    <w:rsid w:val="004D6430"/>
    <w:rsid w:val="004E030F"/>
    <w:rsid w:val="004E21B5"/>
    <w:rsid w:val="004E4122"/>
    <w:rsid w:val="004E671A"/>
    <w:rsid w:val="004F047E"/>
    <w:rsid w:val="004F2D76"/>
    <w:rsid w:val="004F324D"/>
    <w:rsid w:val="004F3B57"/>
    <w:rsid w:val="004F7338"/>
    <w:rsid w:val="004F753A"/>
    <w:rsid w:val="004F7D51"/>
    <w:rsid w:val="00500A93"/>
    <w:rsid w:val="00501EE6"/>
    <w:rsid w:val="00502A1F"/>
    <w:rsid w:val="00504F2F"/>
    <w:rsid w:val="00505E82"/>
    <w:rsid w:val="00506F81"/>
    <w:rsid w:val="00507B35"/>
    <w:rsid w:val="005107D3"/>
    <w:rsid w:val="005127BD"/>
    <w:rsid w:val="00513653"/>
    <w:rsid w:val="00514A93"/>
    <w:rsid w:val="00515D19"/>
    <w:rsid w:val="005169FB"/>
    <w:rsid w:val="00517E05"/>
    <w:rsid w:val="00520958"/>
    <w:rsid w:val="00521643"/>
    <w:rsid w:val="005216EB"/>
    <w:rsid w:val="00521760"/>
    <w:rsid w:val="0052288C"/>
    <w:rsid w:val="00524916"/>
    <w:rsid w:val="00524C5B"/>
    <w:rsid w:val="00525748"/>
    <w:rsid w:val="00527151"/>
    <w:rsid w:val="00527227"/>
    <w:rsid w:val="00533780"/>
    <w:rsid w:val="00533B14"/>
    <w:rsid w:val="00533FDB"/>
    <w:rsid w:val="00535113"/>
    <w:rsid w:val="0054014B"/>
    <w:rsid w:val="00541A42"/>
    <w:rsid w:val="0054209E"/>
    <w:rsid w:val="00542509"/>
    <w:rsid w:val="00542C98"/>
    <w:rsid w:val="00543FA0"/>
    <w:rsid w:val="00544BC0"/>
    <w:rsid w:val="00544D29"/>
    <w:rsid w:val="00545A34"/>
    <w:rsid w:val="00545E31"/>
    <w:rsid w:val="0054692D"/>
    <w:rsid w:val="00546F26"/>
    <w:rsid w:val="00550B6A"/>
    <w:rsid w:val="00551750"/>
    <w:rsid w:val="005526AC"/>
    <w:rsid w:val="005527A2"/>
    <w:rsid w:val="0055425A"/>
    <w:rsid w:val="00554665"/>
    <w:rsid w:val="00554AE5"/>
    <w:rsid w:val="00555666"/>
    <w:rsid w:val="005571B6"/>
    <w:rsid w:val="005624B8"/>
    <w:rsid w:val="005626B7"/>
    <w:rsid w:val="00562BB2"/>
    <w:rsid w:val="0056448B"/>
    <w:rsid w:val="005664FB"/>
    <w:rsid w:val="005669B6"/>
    <w:rsid w:val="0056798E"/>
    <w:rsid w:val="005704E6"/>
    <w:rsid w:val="0057195B"/>
    <w:rsid w:val="00571FBB"/>
    <w:rsid w:val="00573943"/>
    <w:rsid w:val="00575CEF"/>
    <w:rsid w:val="00575D52"/>
    <w:rsid w:val="0057697E"/>
    <w:rsid w:val="005813E0"/>
    <w:rsid w:val="00582A81"/>
    <w:rsid w:val="00582A85"/>
    <w:rsid w:val="00582F0F"/>
    <w:rsid w:val="00586854"/>
    <w:rsid w:val="00586BCD"/>
    <w:rsid w:val="00586BFF"/>
    <w:rsid w:val="00590850"/>
    <w:rsid w:val="005926F5"/>
    <w:rsid w:val="00592B10"/>
    <w:rsid w:val="0059355E"/>
    <w:rsid w:val="005A201F"/>
    <w:rsid w:val="005A21F4"/>
    <w:rsid w:val="005A27F6"/>
    <w:rsid w:val="005A35D5"/>
    <w:rsid w:val="005A4385"/>
    <w:rsid w:val="005A47B8"/>
    <w:rsid w:val="005A562C"/>
    <w:rsid w:val="005A5CA6"/>
    <w:rsid w:val="005A6E0D"/>
    <w:rsid w:val="005B0307"/>
    <w:rsid w:val="005B1AF5"/>
    <w:rsid w:val="005B3FF4"/>
    <w:rsid w:val="005B41C9"/>
    <w:rsid w:val="005B5648"/>
    <w:rsid w:val="005B5C7F"/>
    <w:rsid w:val="005B728A"/>
    <w:rsid w:val="005C0F30"/>
    <w:rsid w:val="005C12BD"/>
    <w:rsid w:val="005C3B69"/>
    <w:rsid w:val="005C5689"/>
    <w:rsid w:val="005C6C91"/>
    <w:rsid w:val="005D15A6"/>
    <w:rsid w:val="005D1950"/>
    <w:rsid w:val="005D1EE4"/>
    <w:rsid w:val="005D20D0"/>
    <w:rsid w:val="005D5B57"/>
    <w:rsid w:val="005D5EC7"/>
    <w:rsid w:val="005E18A4"/>
    <w:rsid w:val="005E1CAF"/>
    <w:rsid w:val="005E1F3C"/>
    <w:rsid w:val="005E4029"/>
    <w:rsid w:val="005E7FD2"/>
    <w:rsid w:val="005F0AB0"/>
    <w:rsid w:val="005F0EEA"/>
    <w:rsid w:val="005F18A5"/>
    <w:rsid w:val="005F1D90"/>
    <w:rsid w:val="005F4916"/>
    <w:rsid w:val="005F5B60"/>
    <w:rsid w:val="005F5DCD"/>
    <w:rsid w:val="005F63D8"/>
    <w:rsid w:val="005F76C2"/>
    <w:rsid w:val="006002A0"/>
    <w:rsid w:val="006002B7"/>
    <w:rsid w:val="006028C1"/>
    <w:rsid w:val="00605C44"/>
    <w:rsid w:val="00606308"/>
    <w:rsid w:val="0060631B"/>
    <w:rsid w:val="00607448"/>
    <w:rsid w:val="006074D8"/>
    <w:rsid w:val="0061029D"/>
    <w:rsid w:val="006110ED"/>
    <w:rsid w:val="00612860"/>
    <w:rsid w:val="00613A9C"/>
    <w:rsid w:val="0061400C"/>
    <w:rsid w:val="00617414"/>
    <w:rsid w:val="0062091B"/>
    <w:rsid w:val="006223F6"/>
    <w:rsid w:val="00622595"/>
    <w:rsid w:val="006238F7"/>
    <w:rsid w:val="006239A7"/>
    <w:rsid w:val="00623ED6"/>
    <w:rsid w:val="006270F6"/>
    <w:rsid w:val="00631388"/>
    <w:rsid w:val="00631620"/>
    <w:rsid w:val="0063303C"/>
    <w:rsid w:val="006337BF"/>
    <w:rsid w:val="00634858"/>
    <w:rsid w:val="00641B2F"/>
    <w:rsid w:val="006420A0"/>
    <w:rsid w:val="00642D26"/>
    <w:rsid w:val="00643A1C"/>
    <w:rsid w:val="00643AFC"/>
    <w:rsid w:val="00644570"/>
    <w:rsid w:val="00645B0F"/>
    <w:rsid w:val="00646AA7"/>
    <w:rsid w:val="006473EE"/>
    <w:rsid w:val="00647C64"/>
    <w:rsid w:val="00647D45"/>
    <w:rsid w:val="00650C8F"/>
    <w:rsid w:val="00650E6D"/>
    <w:rsid w:val="00652C64"/>
    <w:rsid w:val="00653AFF"/>
    <w:rsid w:val="006540A3"/>
    <w:rsid w:val="0065422F"/>
    <w:rsid w:val="00654644"/>
    <w:rsid w:val="00655515"/>
    <w:rsid w:val="00655530"/>
    <w:rsid w:val="00656079"/>
    <w:rsid w:val="00660065"/>
    <w:rsid w:val="00660764"/>
    <w:rsid w:val="00661428"/>
    <w:rsid w:val="00661880"/>
    <w:rsid w:val="00661E2B"/>
    <w:rsid w:val="00662B26"/>
    <w:rsid w:val="006702AD"/>
    <w:rsid w:val="00670C31"/>
    <w:rsid w:val="00672802"/>
    <w:rsid w:val="00672BC2"/>
    <w:rsid w:val="006737E0"/>
    <w:rsid w:val="00675FA4"/>
    <w:rsid w:val="006769A2"/>
    <w:rsid w:val="00677254"/>
    <w:rsid w:val="006805CC"/>
    <w:rsid w:val="0068133D"/>
    <w:rsid w:val="00681E0B"/>
    <w:rsid w:val="0068233E"/>
    <w:rsid w:val="006847E6"/>
    <w:rsid w:val="00685479"/>
    <w:rsid w:val="006858C1"/>
    <w:rsid w:val="006864DC"/>
    <w:rsid w:val="00687B42"/>
    <w:rsid w:val="006909D1"/>
    <w:rsid w:val="006916F3"/>
    <w:rsid w:val="00693C42"/>
    <w:rsid w:val="00693E12"/>
    <w:rsid w:val="00694AD1"/>
    <w:rsid w:val="00695A46"/>
    <w:rsid w:val="00695FD1"/>
    <w:rsid w:val="006A053E"/>
    <w:rsid w:val="006A0C91"/>
    <w:rsid w:val="006A0D91"/>
    <w:rsid w:val="006A0EB4"/>
    <w:rsid w:val="006A12B5"/>
    <w:rsid w:val="006A4DB3"/>
    <w:rsid w:val="006A5D16"/>
    <w:rsid w:val="006A74BD"/>
    <w:rsid w:val="006B04A5"/>
    <w:rsid w:val="006B056F"/>
    <w:rsid w:val="006B0C6D"/>
    <w:rsid w:val="006B156A"/>
    <w:rsid w:val="006B1802"/>
    <w:rsid w:val="006B3657"/>
    <w:rsid w:val="006B4CE7"/>
    <w:rsid w:val="006B52FA"/>
    <w:rsid w:val="006B559C"/>
    <w:rsid w:val="006B560D"/>
    <w:rsid w:val="006B7317"/>
    <w:rsid w:val="006C0577"/>
    <w:rsid w:val="006C0F79"/>
    <w:rsid w:val="006C20C1"/>
    <w:rsid w:val="006C2E8E"/>
    <w:rsid w:val="006C3D2D"/>
    <w:rsid w:val="006C3D91"/>
    <w:rsid w:val="006C5494"/>
    <w:rsid w:val="006C5751"/>
    <w:rsid w:val="006C5EB3"/>
    <w:rsid w:val="006C5F10"/>
    <w:rsid w:val="006C64D5"/>
    <w:rsid w:val="006D0386"/>
    <w:rsid w:val="006D03F9"/>
    <w:rsid w:val="006D0943"/>
    <w:rsid w:val="006D12F4"/>
    <w:rsid w:val="006D17EF"/>
    <w:rsid w:val="006D59DC"/>
    <w:rsid w:val="006D633F"/>
    <w:rsid w:val="006D6AEC"/>
    <w:rsid w:val="006D6E6A"/>
    <w:rsid w:val="006D7435"/>
    <w:rsid w:val="006E0A03"/>
    <w:rsid w:val="006E296C"/>
    <w:rsid w:val="006E410C"/>
    <w:rsid w:val="006E6C56"/>
    <w:rsid w:val="006E6FAA"/>
    <w:rsid w:val="006E7745"/>
    <w:rsid w:val="006F079F"/>
    <w:rsid w:val="006F1294"/>
    <w:rsid w:val="006F1F61"/>
    <w:rsid w:val="006F355B"/>
    <w:rsid w:val="006F3686"/>
    <w:rsid w:val="006F435C"/>
    <w:rsid w:val="006F4EBC"/>
    <w:rsid w:val="006F546A"/>
    <w:rsid w:val="006F58B2"/>
    <w:rsid w:val="006F778D"/>
    <w:rsid w:val="006F7DBD"/>
    <w:rsid w:val="007001F4"/>
    <w:rsid w:val="0070102E"/>
    <w:rsid w:val="00701476"/>
    <w:rsid w:val="007016A7"/>
    <w:rsid w:val="007019C0"/>
    <w:rsid w:val="007039C7"/>
    <w:rsid w:val="00704581"/>
    <w:rsid w:val="00706172"/>
    <w:rsid w:val="00707A24"/>
    <w:rsid w:val="00714457"/>
    <w:rsid w:val="00716605"/>
    <w:rsid w:val="007216FE"/>
    <w:rsid w:val="00721E1A"/>
    <w:rsid w:val="00721FC7"/>
    <w:rsid w:val="00722625"/>
    <w:rsid w:val="0072372A"/>
    <w:rsid w:val="00724211"/>
    <w:rsid w:val="00724F5B"/>
    <w:rsid w:val="00725239"/>
    <w:rsid w:val="007255CA"/>
    <w:rsid w:val="00726675"/>
    <w:rsid w:val="00730672"/>
    <w:rsid w:val="00731294"/>
    <w:rsid w:val="00732C85"/>
    <w:rsid w:val="00732EC1"/>
    <w:rsid w:val="007330C1"/>
    <w:rsid w:val="00733256"/>
    <w:rsid w:val="0073338C"/>
    <w:rsid w:val="00734199"/>
    <w:rsid w:val="007377A2"/>
    <w:rsid w:val="00737808"/>
    <w:rsid w:val="00737840"/>
    <w:rsid w:val="00743679"/>
    <w:rsid w:val="007437FE"/>
    <w:rsid w:val="00744222"/>
    <w:rsid w:val="00744B08"/>
    <w:rsid w:val="007463F5"/>
    <w:rsid w:val="007468D8"/>
    <w:rsid w:val="00750307"/>
    <w:rsid w:val="007511F1"/>
    <w:rsid w:val="007527E9"/>
    <w:rsid w:val="00753799"/>
    <w:rsid w:val="00753C58"/>
    <w:rsid w:val="00753F76"/>
    <w:rsid w:val="00754008"/>
    <w:rsid w:val="0075418A"/>
    <w:rsid w:val="0075504F"/>
    <w:rsid w:val="007567AA"/>
    <w:rsid w:val="00756857"/>
    <w:rsid w:val="00756CBB"/>
    <w:rsid w:val="00756DCA"/>
    <w:rsid w:val="00757129"/>
    <w:rsid w:val="00760D57"/>
    <w:rsid w:val="007613DD"/>
    <w:rsid w:val="00761F63"/>
    <w:rsid w:val="0076219E"/>
    <w:rsid w:val="00766444"/>
    <w:rsid w:val="0076764F"/>
    <w:rsid w:val="00767E8A"/>
    <w:rsid w:val="00771893"/>
    <w:rsid w:val="00773EBD"/>
    <w:rsid w:val="00774460"/>
    <w:rsid w:val="007758C0"/>
    <w:rsid w:val="0077666F"/>
    <w:rsid w:val="007809A0"/>
    <w:rsid w:val="00780A9E"/>
    <w:rsid w:val="00780D79"/>
    <w:rsid w:val="00780D91"/>
    <w:rsid w:val="00781277"/>
    <w:rsid w:val="00781554"/>
    <w:rsid w:val="00782B96"/>
    <w:rsid w:val="00783B56"/>
    <w:rsid w:val="00784725"/>
    <w:rsid w:val="00784ACD"/>
    <w:rsid w:val="007851B6"/>
    <w:rsid w:val="0078595A"/>
    <w:rsid w:val="00785E32"/>
    <w:rsid w:val="00786006"/>
    <w:rsid w:val="0078642B"/>
    <w:rsid w:val="00786B27"/>
    <w:rsid w:val="007873F0"/>
    <w:rsid w:val="007911B5"/>
    <w:rsid w:val="007913D8"/>
    <w:rsid w:val="00791CAE"/>
    <w:rsid w:val="00793781"/>
    <w:rsid w:val="00794684"/>
    <w:rsid w:val="00794AFC"/>
    <w:rsid w:val="00796D98"/>
    <w:rsid w:val="007972C6"/>
    <w:rsid w:val="007A0CB3"/>
    <w:rsid w:val="007A195A"/>
    <w:rsid w:val="007A1FE9"/>
    <w:rsid w:val="007A640C"/>
    <w:rsid w:val="007A6F20"/>
    <w:rsid w:val="007A6FC7"/>
    <w:rsid w:val="007A7DA4"/>
    <w:rsid w:val="007B0E67"/>
    <w:rsid w:val="007B116C"/>
    <w:rsid w:val="007B13E3"/>
    <w:rsid w:val="007B197B"/>
    <w:rsid w:val="007B24CF"/>
    <w:rsid w:val="007B34BE"/>
    <w:rsid w:val="007B58C9"/>
    <w:rsid w:val="007B612F"/>
    <w:rsid w:val="007B68F1"/>
    <w:rsid w:val="007C0024"/>
    <w:rsid w:val="007C0129"/>
    <w:rsid w:val="007C1563"/>
    <w:rsid w:val="007C1ECF"/>
    <w:rsid w:val="007C2D68"/>
    <w:rsid w:val="007C4571"/>
    <w:rsid w:val="007C6846"/>
    <w:rsid w:val="007C74AA"/>
    <w:rsid w:val="007C77C6"/>
    <w:rsid w:val="007C7A99"/>
    <w:rsid w:val="007C7B92"/>
    <w:rsid w:val="007D199A"/>
    <w:rsid w:val="007D2CDE"/>
    <w:rsid w:val="007D4E0D"/>
    <w:rsid w:val="007D4E4C"/>
    <w:rsid w:val="007D6AA0"/>
    <w:rsid w:val="007D6B99"/>
    <w:rsid w:val="007E0F5A"/>
    <w:rsid w:val="007E155A"/>
    <w:rsid w:val="007E26C1"/>
    <w:rsid w:val="007E2927"/>
    <w:rsid w:val="007E366E"/>
    <w:rsid w:val="007E3AB7"/>
    <w:rsid w:val="007E5505"/>
    <w:rsid w:val="007E554B"/>
    <w:rsid w:val="007E78E6"/>
    <w:rsid w:val="007F15E9"/>
    <w:rsid w:val="007F19A1"/>
    <w:rsid w:val="007F1F57"/>
    <w:rsid w:val="007F2C1E"/>
    <w:rsid w:val="007F3846"/>
    <w:rsid w:val="007F5295"/>
    <w:rsid w:val="007F5623"/>
    <w:rsid w:val="007F65EE"/>
    <w:rsid w:val="007F68B1"/>
    <w:rsid w:val="007F733A"/>
    <w:rsid w:val="007F74CC"/>
    <w:rsid w:val="0080356B"/>
    <w:rsid w:val="00806643"/>
    <w:rsid w:val="008069CB"/>
    <w:rsid w:val="00806F39"/>
    <w:rsid w:val="00807B69"/>
    <w:rsid w:val="00810E76"/>
    <w:rsid w:val="0081184B"/>
    <w:rsid w:val="008132DC"/>
    <w:rsid w:val="008144ED"/>
    <w:rsid w:val="00814B00"/>
    <w:rsid w:val="00814C66"/>
    <w:rsid w:val="00815313"/>
    <w:rsid w:val="00815611"/>
    <w:rsid w:val="00816FBB"/>
    <w:rsid w:val="008174E5"/>
    <w:rsid w:val="00820AE1"/>
    <w:rsid w:val="00820E8B"/>
    <w:rsid w:val="00821832"/>
    <w:rsid w:val="00822B71"/>
    <w:rsid w:val="008241D5"/>
    <w:rsid w:val="008248E4"/>
    <w:rsid w:val="00824F76"/>
    <w:rsid w:val="00825083"/>
    <w:rsid w:val="008253E1"/>
    <w:rsid w:val="00826D83"/>
    <w:rsid w:val="008272A3"/>
    <w:rsid w:val="00827D47"/>
    <w:rsid w:val="00830A81"/>
    <w:rsid w:val="008329BF"/>
    <w:rsid w:val="00832FBE"/>
    <w:rsid w:val="00833FC6"/>
    <w:rsid w:val="008340D6"/>
    <w:rsid w:val="00835254"/>
    <w:rsid w:val="0083536B"/>
    <w:rsid w:val="008370A3"/>
    <w:rsid w:val="008378C1"/>
    <w:rsid w:val="008413F5"/>
    <w:rsid w:val="00841AED"/>
    <w:rsid w:val="00843BF4"/>
    <w:rsid w:val="0084473E"/>
    <w:rsid w:val="00845060"/>
    <w:rsid w:val="00846EF5"/>
    <w:rsid w:val="00847837"/>
    <w:rsid w:val="00847DFB"/>
    <w:rsid w:val="008507B7"/>
    <w:rsid w:val="00850EDA"/>
    <w:rsid w:val="00851EB9"/>
    <w:rsid w:val="0085201B"/>
    <w:rsid w:val="00855251"/>
    <w:rsid w:val="00856990"/>
    <w:rsid w:val="00856D11"/>
    <w:rsid w:val="008573D2"/>
    <w:rsid w:val="00860E1A"/>
    <w:rsid w:val="0086100A"/>
    <w:rsid w:val="00862181"/>
    <w:rsid w:val="0086225B"/>
    <w:rsid w:val="00862B04"/>
    <w:rsid w:val="00863F65"/>
    <w:rsid w:val="00864E7F"/>
    <w:rsid w:val="00866939"/>
    <w:rsid w:val="008669E4"/>
    <w:rsid w:val="0087044A"/>
    <w:rsid w:val="00873689"/>
    <w:rsid w:val="00873909"/>
    <w:rsid w:val="008739D0"/>
    <w:rsid w:val="00877762"/>
    <w:rsid w:val="00877A75"/>
    <w:rsid w:val="00880BDC"/>
    <w:rsid w:val="0088101C"/>
    <w:rsid w:val="00882EF3"/>
    <w:rsid w:val="00883D8D"/>
    <w:rsid w:val="00884037"/>
    <w:rsid w:val="008849A4"/>
    <w:rsid w:val="00886927"/>
    <w:rsid w:val="008879D6"/>
    <w:rsid w:val="008900A7"/>
    <w:rsid w:val="00890855"/>
    <w:rsid w:val="00890860"/>
    <w:rsid w:val="00891769"/>
    <w:rsid w:val="00892011"/>
    <w:rsid w:val="00893D18"/>
    <w:rsid w:val="00894BB6"/>
    <w:rsid w:val="00894D7F"/>
    <w:rsid w:val="00894FEB"/>
    <w:rsid w:val="00895BB0"/>
    <w:rsid w:val="008962C4"/>
    <w:rsid w:val="008969D3"/>
    <w:rsid w:val="0089758D"/>
    <w:rsid w:val="008A1E66"/>
    <w:rsid w:val="008A2084"/>
    <w:rsid w:val="008A20F2"/>
    <w:rsid w:val="008A2C1E"/>
    <w:rsid w:val="008A2CF9"/>
    <w:rsid w:val="008A44FC"/>
    <w:rsid w:val="008A56B5"/>
    <w:rsid w:val="008A5F2E"/>
    <w:rsid w:val="008A7D6B"/>
    <w:rsid w:val="008B02AB"/>
    <w:rsid w:val="008B0AC4"/>
    <w:rsid w:val="008B147B"/>
    <w:rsid w:val="008B1649"/>
    <w:rsid w:val="008B2709"/>
    <w:rsid w:val="008B325B"/>
    <w:rsid w:val="008B46A0"/>
    <w:rsid w:val="008B4E6B"/>
    <w:rsid w:val="008B68DF"/>
    <w:rsid w:val="008C03D4"/>
    <w:rsid w:val="008C1DEF"/>
    <w:rsid w:val="008C2281"/>
    <w:rsid w:val="008C2ACE"/>
    <w:rsid w:val="008C466D"/>
    <w:rsid w:val="008C612E"/>
    <w:rsid w:val="008C6316"/>
    <w:rsid w:val="008D0911"/>
    <w:rsid w:val="008D153E"/>
    <w:rsid w:val="008D2C44"/>
    <w:rsid w:val="008D411F"/>
    <w:rsid w:val="008D61A8"/>
    <w:rsid w:val="008D7116"/>
    <w:rsid w:val="008E1331"/>
    <w:rsid w:val="008E27F4"/>
    <w:rsid w:val="008E3551"/>
    <w:rsid w:val="008E4CF0"/>
    <w:rsid w:val="008E578F"/>
    <w:rsid w:val="008E7189"/>
    <w:rsid w:val="008E73A3"/>
    <w:rsid w:val="008E7DDC"/>
    <w:rsid w:val="008F0708"/>
    <w:rsid w:val="008F383E"/>
    <w:rsid w:val="008F64AC"/>
    <w:rsid w:val="0090220F"/>
    <w:rsid w:val="009059B0"/>
    <w:rsid w:val="00906320"/>
    <w:rsid w:val="00907246"/>
    <w:rsid w:val="009073D6"/>
    <w:rsid w:val="00910545"/>
    <w:rsid w:val="00911D37"/>
    <w:rsid w:val="00914324"/>
    <w:rsid w:val="009149C5"/>
    <w:rsid w:val="00914A98"/>
    <w:rsid w:val="00915725"/>
    <w:rsid w:val="00915CED"/>
    <w:rsid w:val="00916279"/>
    <w:rsid w:val="00916644"/>
    <w:rsid w:val="009171BD"/>
    <w:rsid w:val="00921831"/>
    <w:rsid w:val="00923301"/>
    <w:rsid w:val="00924961"/>
    <w:rsid w:val="00924FFB"/>
    <w:rsid w:val="0092507A"/>
    <w:rsid w:val="0092540B"/>
    <w:rsid w:val="00925451"/>
    <w:rsid w:val="00925658"/>
    <w:rsid w:val="0093278E"/>
    <w:rsid w:val="0093284D"/>
    <w:rsid w:val="00932884"/>
    <w:rsid w:val="00933491"/>
    <w:rsid w:val="00933F89"/>
    <w:rsid w:val="00934276"/>
    <w:rsid w:val="00935274"/>
    <w:rsid w:val="0093665C"/>
    <w:rsid w:val="009379CA"/>
    <w:rsid w:val="00937AC3"/>
    <w:rsid w:val="009404AE"/>
    <w:rsid w:val="00942664"/>
    <w:rsid w:val="00942860"/>
    <w:rsid w:val="009429D5"/>
    <w:rsid w:val="00944275"/>
    <w:rsid w:val="00944C0D"/>
    <w:rsid w:val="009473E7"/>
    <w:rsid w:val="009477D3"/>
    <w:rsid w:val="00950214"/>
    <w:rsid w:val="00950BC7"/>
    <w:rsid w:val="009526C0"/>
    <w:rsid w:val="00952A90"/>
    <w:rsid w:val="0095303E"/>
    <w:rsid w:val="00955606"/>
    <w:rsid w:val="00960B4C"/>
    <w:rsid w:val="00960BF3"/>
    <w:rsid w:val="009614C9"/>
    <w:rsid w:val="00961942"/>
    <w:rsid w:val="00962BF9"/>
    <w:rsid w:val="00963673"/>
    <w:rsid w:val="009647D8"/>
    <w:rsid w:val="0096661E"/>
    <w:rsid w:val="00966E8D"/>
    <w:rsid w:val="00966F58"/>
    <w:rsid w:val="009675DC"/>
    <w:rsid w:val="00967ED5"/>
    <w:rsid w:val="0097008F"/>
    <w:rsid w:val="00970666"/>
    <w:rsid w:val="009708B4"/>
    <w:rsid w:val="009708BB"/>
    <w:rsid w:val="009723D1"/>
    <w:rsid w:val="00973164"/>
    <w:rsid w:val="00974822"/>
    <w:rsid w:val="00976316"/>
    <w:rsid w:val="00976F14"/>
    <w:rsid w:val="00980911"/>
    <w:rsid w:val="00980C00"/>
    <w:rsid w:val="00981327"/>
    <w:rsid w:val="00982118"/>
    <w:rsid w:val="0098252E"/>
    <w:rsid w:val="00982594"/>
    <w:rsid w:val="009829CB"/>
    <w:rsid w:val="009833A8"/>
    <w:rsid w:val="00983A97"/>
    <w:rsid w:val="00983FD0"/>
    <w:rsid w:val="009848BE"/>
    <w:rsid w:val="00984A96"/>
    <w:rsid w:val="009864F2"/>
    <w:rsid w:val="0098656D"/>
    <w:rsid w:val="009876F8"/>
    <w:rsid w:val="009905FB"/>
    <w:rsid w:val="009918CE"/>
    <w:rsid w:val="00992AF2"/>
    <w:rsid w:val="009934DA"/>
    <w:rsid w:val="00995A2B"/>
    <w:rsid w:val="00995F34"/>
    <w:rsid w:val="0099784D"/>
    <w:rsid w:val="009A04A4"/>
    <w:rsid w:val="009A095B"/>
    <w:rsid w:val="009A141C"/>
    <w:rsid w:val="009A2611"/>
    <w:rsid w:val="009A3208"/>
    <w:rsid w:val="009A387D"/>
    <w:rsid w:val="009A41A2"/>
    <w:rsid w:val="009A62D6"/>
    <w:rsid w:val="009A664C"/>
    <w:rsid w:val="009A7AFD"/>
    <w:rsid w:val="009B0301"/>
    <w:rsid w:val="009B03AC"/>
    <w:rsid w:val="009B10BA"/>
    <w:rsid w:val="009B29E0"/>
    <w:rsid w:val="009B2C29"/>
    <w:rsid w:val="009B2F33"/>
    <w:rsid w:val="009B3E58"/>
    <w:rsid w:val="009B4702"/>
    <w:rsid w:val="009B52E0"/>
    <w:rsid w:val="009B5F6D"/>
    <w:rsid w:val="009C07D3"/>
    <w:rsid w:val="009C0AD7"/>
    <w:rsid w:val="009C2918"/>
    <w:rsid w:val="009C2C2F"/>
    <w:rsid w:val="009C436C"/>
    <w:rsid w:val="009C5251"/>
    <w:rsid w:val="009C5D45"/>
    <w:rsid w:val="009C68B7"/>
    <w:rsid w:val="009D03AD"/>
    <w:rsid w:val="009D0D34"/>
    <w:rsid w:val="009D1448"/>
    <w:rsid w:val="009D2D3C"/>
    <w:rsid w:val="009D3164"/>
    <w:rsid w:val="009D3E4C"/>
    <w:rsid w:val="009D5B40"/>
    <w:rsid w:val="009D6AC7"/>
    <w:rsid w:val="009E0D50"/>
    <w:rsid w:val="009E0F76"/>
    <w:rsid w:val="009E0FA1"/>
    <w:rsid w:val="009E1FC5"/>
    <w:rsid w:val="009E23B0"/>
    <w:rsid w:val="009E5302"/>
    <w:rsid w:val="009E5D13"/>
    <w:rsid w:val="009E5F0B"/>
    <w:rsid w:val="009E601C"/>
    <w:rsid w:val="009E6577"/>
    <w:rsid w:val="009E697A"/>
    <w:rsid w:val="009E6FCC"/>
    <w:rsid w:val="009F0A93"/>
    <w:rsid w:val="009F137E"/>
    <w:rsid w:val="009F5A10"/>
    <w:rsid w:val="009F6256"/>
    <w:rsid w:val="009F6685"/>
    <w:rsid w:val="009F69FD"/>
    <w:rsid w:val="009F7237"/>
    <w:rsid w:val="00A00154"/>
    <w:rsid w:val="00A00A75"/>
    <w:rsid w:val="00A02226"/>
    <w:rsid w:val="00A04AD8"/>
    <w:rsid w:val="00A05127"/>
    <w:rsid w:val="00A06928"/>
    <w:rsid w:val="00A06DBF"/>
    <w:rsid w:val="00A074C4"/>
    <w:rsid w:val="00A102D2"/>
    <w:rsid w:val="00A11C9B"/>
    <w:rsid w:val="00A13D13"/>
    <w:rsid w:val="00A148D1"/>
    <w:rsid w:val="00A1541D"/>
    <w:rsid w:val="00A15B3A"/>
    <w:rsid w:val="00A210AC"/>
    <w:rsid w:val="00A216FA"/>
    <w:rsid w:val="00A22AA8"/>
    <w:rsid w:val="00A24CB6"/>
    <w:rsid w:val="00A25611"/>
    <w:rsid w:val="00A25E04"/>
    <w:rsid w:val="00A262A0"/>
    <w:rsid w:val="00A26698"/>
    <w:rsid w:val="00A31027"/>
    <w:rsid w:val="00A315CA"/>
    <w:rsid w:val="00A31CF3"/>
    <w:rsid w:val="00A327F4"/>
    <w:rsid w:val="00A336B6"/>
    <w:rsid w:val="00A33B7C"/>
    <w:rsid w:val="00A351A9"/>
    <w:rsid w:val="00A35DA0"/>
    <w:rsid w:val="00A36258"/>
    <w:rsid w:val="00A366A6"/>
    <w:rsid w:val="00A36B37"/>
    <w:rsid w:val="00A378AD"/>
    <w:rsid w:val="00A40ECB"/>
    <w:rsid w:val="00A4357B"/>
    <w:rsid w:val="00A44139"/>
    <w:rsid w:val="00A44751"/>
    <w:rsid w:val="00A46386"/>
    <w:rsid w:val="00A4651D"/>
    <w:rsid w:val="00A47F44"/>
    <w:rsid w:val="00A5018E"/>
    <w:rsid w:val="00A532C6"/>
    <w:rsid w:val="00A56448"/>
    <w:rsid w:val="00A57359"/>
    <w:rsid w:val="00A57837"/>
    <w:rsid w:val="00A6237C"/>
    <w:rsid w:val="00A63E39"/>
    <w:rsid w:val="00A64048"/>
    <w:rsid w:val="00A64897"/>
    <w:rsid w:val="00A65BE6"/>
    <w:rsid w:val="00A65C31"/>
    <w:rsid w:val="00A65C6A"/>
    <w:rsid w:val="00A67090"/>
    <w:rsid w:val="00A670CB"/>
    <w:rsid w:val="00A676E9"/>
    <w:rsid w:val="00A70F39"/>
    <w:rsid w:val="00A718B9"/>
    <w:rsid w:val="00A721B0"/>
    <w:rsid w:val="00A728E3"/>
    <w:rsid w:val="00A734A8"/>
    <w:rsid w:val="00A7592C"/>
    <w:rsid w:val="00A76C75"/>
    <w:rsid w:val="00A80A2C"/>
    <w:rsid w:val="00A8105B"/>
    <w:rsid w:val="00A81794"/>
    <w:rsid w:val="00A81B71"/>
    <w:rsid w:val="00A83CA1"/>
    <w:rsid w:val="00A84756"/>
    <w:rsid w:val="00A84AAB"/>
    <w:rsid w:val="00A869FD"/>
    <w:rsid w:val="00A87D34"/>
    <w:rsid w:val="00A9151F"/>
    <w:rsid w:val="00A91E74"/>
    <w:rsid w:val="00A9394E"/>
    <w:rsid w:val="00A93A38"/>
    <w:rsid w:val="00A973A3"/>
    <w:rsid w:val="00A97427"/>
    <w:rsid w:val="00AA04A4"/>
    <w:rsid w:val="00AA12E8"/>
    <w:rsid w:val="00AA2FA2"/>
    <w:rsid w:val="00AA44CA"/>
    <w:rsid w:val="00AA53C0"/>
    <w:rsid w:val="00AA5F36"/>
    <w:rsid w:val="00AA5FD1"/>
    <w:rsid w:val="00AA63B3"/>
    <w:rsid w:val="00AA681A"/>
    <w:rsid w:val="00AA68D8"/>
    <w:rsid w:val="00AA6EAB"/>
    <w:rsid w:val="00AA7168"/>
    <w:rsid w:val="00AA7AE8"/>
    <w:rsid w:val="00AB4AB6"/>
    <w:rsid w:val="00AB596C"/>
    <w:rsid w:val="00AB7F5A"/>
    <w:rsid w:val="00AB7FDE"/>
    <w:rsid w:val="00AC00C7"/>
    <w:rsid w:val="00AC1379"/>
    <w:rsid w:val="00AC218E"/>
    <w:rsid w:val="00AC3347"/>
    <w:rsid w:val="00AC3F52"/>
    <w:rsid w:val="00AC4278"/>
    <w:rsid w:val="00AC79C8"/>
    <w:rsid w:val="00AD05E7"/>
    <w:rsid w:val="00AD0FFF"/>
    <w:rsid w:val="00AD207F"/>
    <w:rsid w:val="00AD22EF"/>
    <w:rsid w:val="00AD2A99"/>
    <w:rsid w:val="00AD4591"/>
    <w:rsid w:val="00AD485D"/>
    <w:rsid w:val="00AD49DE"/>
    <w:rsid w:val="00AD68BF"/>
    <w:rsid w:val="00AD75BC"/>
    <w:rsid w:val="00AD7B9C"/>
    <w:rsid w:val="00AD7E55"/>
    <w:rsid w:val="00AE1397"/>
    <w:rsid w:val="00AE25CE"/>
    <w:rsid w:val="00AE5DCB"/>
    <w:rsid w:val="00AE5E00"/>
    <w:rsid w:val="00AE633A"/>
    <w:rsid w:val="00AF0C20"/>
    <w:rsid w:val="00AF0C97"/>
    <w:rsid w:val="00AF1364"/>
    <w:rsid w:val="00AF154C"/>
    <w:rsid w:val="00AF1EC7"/>
    <w:rsid w:val="00AF234D"/>
    <w:rsid w:val="00AF42DE"/>
    <w:rsid w:val="00AF5480"/>
    <w:rsid w:val="00AF56DD"/>
    <w:rsid w:val="00AF5762"/>
    <w:rsid w:val="00AF7C2D"/>
    <w:rsid w:val="00B014AE"/>
    <w:rsid w:val="00B01A87"/>
    <w:rsid w:val="00B0311A"/>
    <w:rsid w:val="00B03208"/>
    <w:rsid w:val="00B056E6"/>
    <w:rsid w:val="00B06336"/>
    <w:rsid w:val="00B06585"/>
    <w:rsid w:val="00B065E7"/>
    <w:rsid w:val="00B06F36"/>
    <w:rsid w:val="00B1091C"/>
    <w:rsid w:val="00B12031"/>
    <w:rsid w:val="00B140FA"/>
    <w:rsid w:val="00B14A65"/>
    <w:rsid w:val="00B14D5D"/>
    <w:rsid w:val="00B168A5"/>
    <w:rsid w:val="00B17604"/>
    <w:rsid w:val="00B17A7B"/>
    <w:rsid w:val="00B23A6E"/>
    <w:rsid w:val="00B23CFB"/>
    <w:rsid w:val="00B2602C"/>
    <w:rsid w:val="00B26C37"/>
    <w:rsid w:val="00B273C4"/>
    <w:rsid w:val="00B274AC"/>
    <w:rsid w:val="00B3142B"/>
    <w:rsid w:val="00B3184F"/>
    <w:rsid w:val="00B322C2"/>
    <w:rsid w:val="00B32621"/>
    <w:rsid w:val="00B37200"/>
    <w:rsid w:val="00B3734F"/>
    <w:rsid w:val="00B37860"/>
    <w:rsid w:val="00B42A34"/>
    <w:rsid w:val="00B43BF7"/>
    <w:rsid w:val="00B4439C"/>
    <w:rsid w:val="00B44808"/>
    <w:rsid w:val="00B45927"/>
    <w:rsid w:val="00B46AF8"/>
    <w:rsid w:val="00B478AB"/>
    <w:rsid w:val="00B47D1B"/>
    <w:rsid w:val="00B50A02"/>
    <w:rsid w:val="00B516FB"/>
    <w:rsid w:val="00B527D1"/>
    <w:rsid w:val="00B5295C"/>
    <w:rsid w:val="00B529DC"/>
    <w:rsid w:val="00B53778"/>
    <w:rsid w:val="00B553ED"/>
    <w:rsid w:val="00B55D7E"/>
    <w:rsid w:val="00B5707D"/>
    <w:rsid w:val="00B5735A"/>
    <w:rsid w:val="00B574DE"/>
    <w:rsid w:val="00B57A64"/>
    <w:rsid w:val="00B601F8"/>
    <w:rsid w:val="00B60DF4"/>
    <w:rsid w:val="00B6116D"/>
    <w:rsid w:val="00B63F37"/>
    <w:rsid w:val="00B6637E"/>
    <w:rsid w:val="00B70641"/>
    <w:rsid w:val="00B708C0"/>
    <w:rsid w:val="00B72AF2"/>
    <w:rsid w:val="00B73D08"/>
    <w:rsid w:val="00B77246"/>
    <w:rsid w:val="00B84B33"/>
    <w:rsid w:val="00B942EB"/>
    <w:rsid w:val="00B964A7"/>
    <w:rsid w:val="00B974BE"/>
    <w:rsid w:val="00B975CB"/>
    <w:rsid w:val="00BA1408"/>
    <w:rsid w:val="00BA180A"/>
    <w:rsid w:val="00BA1C4A"/>
    <w:rsid w:val="00BA299B"/>
    <w:rsid w:val="00BA31D7"/>
    <w:rsid w:val="00BA4246"/>
    <w:rsid w:val="00BA6441"/>
    <w:rsid w:val="00BA79DA"/>
    <w:rsid w:val="00BB0082"/>
    <w:rsid w:val="00BB0188"/>
    <w:rsid w:val="00BB20F5"/>
    <w:rsid w:val="00BB3CB3"/>
    <w:rsid w:val="00BB4104"/>
    <w:rsid w:val="00BB435A"/>
    <w:rsid w:val="00BB4A2D"/>
    <w:rsid w:val="00BB6499"/>
    <w:rsid w:val="00BB6C74"/>
    <w:rsid w:val="00BB7408"/>
    <w:rsid w:val="00BC0576"/>
    <w:rsid w:val="00BC1346"/>
    <w:rsid w:val="00BC1A2C"/>
    <w:rsid w:val="00BC2CAD"/>
    <w:rsid w:val="00BC379C"/>
    <w:rsid w:val="00BC5792"/>
    <w:rsid w:val="00BC6CB8"/>
    <w:rsid w:val="00BC6F7A"/>
    <w:rsid w:val="00BD0EB3"/>
    <w:rsid w:val="00BD255F"/>
    <w:rsid w:val="00BD28BE"/>
    <w:rsid w:val="00BD2F87"/>
    <w:rsid w:val="00BD594B"/>
    <w:rsid w:val="00BD5DB2"/>
    <w:rsid w:val="00BD6068"/>
    <w:rsid w:val="00BD6BC0"/>
    <w:rsid w:val="00BD77BA"/>
    <w:rsid w:val="00BD7B6F"/>
    <w:rsid w:val="00BE212A"/>
    <w:rsid w:val="00BE2C2E"/>
    <w:rsid w:val="00BE35FD"/>
    <w:rsid w:val="00BE3724"/>
    <w:rsid w:val="00BE38BB"/>
    <w:rsid w:val="00BE39FF"/>
    <w:rsid w:val="00BE45B4"/>
    <w:rsid w:val="00BE5651"/>
    <w:rsid w:val="00BE5F26"/>
    <w:rsid w:val="00BE6049"/>
    <w:rsid w:val="00BE615D"/>
    <w:rsid w:val="00BE64C8"/>
    <w:rsid w:val="00BE7672"/>
    <w:rsid w:val="00BF0799"/>
    <w:rsid w:val="00BF1E8E"/>
    <w:rsid w:val="00BF2659"/>
    <w:rsid w:val="00BF3EC5"/>
    <w:rsid w:val="00BF3FC4"/>
    <w:rsid w:val="00BF411D"/>
    <w:rsid w:val="00BF4611"/>
    <w:rsid w:val="00BF7431"/>
    <w:rsid w:val="00C008C0"/>
    <w:rsid w:val="00C009A1"/>
    <w:rsid w:val="00C0157B"/>
    <w:rsid w:val="00C01835"/>
    <w:rsid w:val="00C023E3"/>
    <w:rsid w:val="00C02E1B"/>
    <w:rsid w:val="00C04816"/>
    <w:rsid w:val="00C0555A"/>
    <w:rsid w:val="00C069A8"/>
    <w:rsid w:val="00C06B33"/>
    <w:rsid w:val="00C1130C"/>
    <w:rsid w:val="00C119B1"/>
    <w:rsid w:val="00C149EF"/>
    <w:rsid w:val="00C15DC0"/>
    <w:rsid w:val="00C177FA"/>
    <w:rsid w:val="00C20296"/>
    <w:rsid w:val="00C203C6"/>
    <w:rsid w:val="00C204BD"/>
    <w:rsid w:val="00C22CFC"/>
    <w:rsid w:val="00C233E1"/>
    <w:rsid w:val="00C2486E"/>
    <w:rsid w:val="00C2629F"/>
    <w:rsid w:val="00C26BAC"/>
    <w:rsid w:val="00C3107E"/>
    <w:rsid w:val="00C3179C"/>
    <w:rsid w:val="00C34610"/>
    <w:rsid w:val="00C3627E"/>
    <w:rsid w:val="00C36C6E"/>
    <w:rsid w:val="00C3736E"/>
    <w:rsid w:val="00C378F0"/>
    <w:rsid w:val="00C40301"/>
    <w:rsid w:val="00C406DD"/>
    <w:rsid w:val="00C410E7"/>
    <w:rsid w:val="00C4144B"/>
    <w:rsid w:val="00C42DD7"/>
    <w:rsid w:val="00C42E5E"/>
    <w:rsid w:val="00C42E7B"/>
    <w:rsid w:val="00C43749"/>
    <w:rsid w:val="00C438AB"/>
    <w:rsid w:val="00C43A5D"/>
    <w:rsid w:val="00C43C2D"/>
    <w:rsid w:val="00C43F99"/>
    <w:rsid w:val="00C474C5"/>
    <w:rsid w:val="00C51BE0"/>
    <w:rsid w:val="00C53EF4"/>
    <w:rsid w:val="00C55A88"/>
    <w:rsid w:val="00C573ED"/>
    <w:rsid w:val="00C617E4"/>
    <w:rsid w:val="00C61935"/>
    <w:rsid w:val="00C6230E"/>
    <w:rsid w:val="00C63CA1"/>
    <w:rsid w:val="00C65806"/>
    <w:rsid w:val="00C65B3B"/>
    <w:rsid w:val="00C664C1"/>
    <w:rsid w:val="00C6678F"/>
    <w:rsid w:val="00C70A54"/>
    <w:rsid w:val="00C72656"/>
    <w:rsid w:val="00C76587"/>
    <w:rsid w:val="00C7694F"/>
    <w:rsid w:val="00C773AC"/>
    <w:rsid w:val="00C813E5"/>
    <w:rsid w:val="00C82AA8"/>
    <w:rsid w:val="00C852F6"/>
    <w:rsid w:val="00C85ACB"/>
    <w:rsid w:val="00C87DBD"/>
    <w:rsid w:val="00C90ADE"/>
    <w:rsid w:val="00C928C0"/>
    <w:rsid w:val="00C92AF0"/>
    <w:rsid w:val="00C92DE6"/>
    <w:rsid w:val="00C932E9"/>
    <w:rsid w:val="00C9487E"/>
    <w:rsid w:val="00C95144"/>
    <w:rsid w:val="00C95555"/>
    <w:rsid w:val="00C959BF"/>
    <w:rsid w:val="00C963AC"/>
    <w:rsid w:val="00C96438"/>
    <w:rsid w:val="00C96EC4"/>
    <w:rsid w:val="00C97BA8"/>
    <w:rsid w:val="00CA03FF"/>
    <w:rsid w:val="00CA112C"/>
    <w:rsid w:val="00CA28FF"/>
    <w:rsid w:val="00CA3447"/>
    <w:rsid w:val="00CA3844"/>
    <w:rsid w:val="00CA457E"/>
    <w:rsid w:val="00CA5FCC"/>
    <w:rsid w:val="00CA733A"/>
    <w:rsid w:val="00CA751F"/>
    <w:rsid w:val="00CB14E9"/>
    <w:rsid w:val="00CB16CC"/>
    <w:rsid w:val="00CB3F48"/>
    <w:rsid w:val="00CB44DC"/>
    <w:rsid w:val="00CB607A"/>
    <w:rsid w:val="00CB6CB7"/>
    <w:rsid w:val="00CB73EB"/>
    <w:rsid w:val="00CB7650"/>
    <w:rsid w:val="00CB783F"/>
    <w:rsid w:val="00CC01B2"/>
    <w:rsid w:val="00CC04A2"/>
    <w:rsid w:val="00CC11DC"/>
    <w:rsid w:val="00CC1A6B"/>
    <w:rsid w:val="00CC27D3"/>
    <w:rsid w:val="00CC6A2B"/>
    <w:rsid w:val="00CC6A37"/>
    <w:rsid w:val="00CC7A59"/>
    <w:rsid w:val="00CD1178"/>
    <w:rsid w:val="00CD12E4"/>
    <w:rsid w:val="00CD230C"/>
    <w:rsid w:val="00CD2FED"/>
    <w:rsid w:val="00CD455D"/>
    <w:rsid w:val="00CD49D3"/>
    <w:rsid w:val="00CD5EC3"/>
    <w:rsid w:val="00CD61F5"/>
    <w:rsid w:val="00CE089B"/>
    <w:rsid w:val="00CE0E90"/>
    <w:rsid w:val="00CE1E0A"/>
    <w:rsid w:val="00CE2359"/>
    <w:rsid w:val="00CE243C"/>
    <w:rsid w:val="00CE2BE0"/>
    <w:rsid w:val="00CE32D0"/>
    <w:rsid w:val="00CE459C"/>
    <w:rsid w:val="00CE49D3"/>
    <w:rsid w:val="00CE6F9D"/>
    <w:rsid w:val="00CE7548"/>
    <w:rsid w:val="00CF205E"/>
    <w:rsid w:val="00CF2079"/>
    <w:rsid w:val="00CF30F1"/>
    <w:rsid w:val="00CF4C9D"/>
    <w:rsid w:val="00CF4CEF"/>
    <w:rsid w:val="00CF54BD"/>
    <w:rsid w:val="00D00233"/>
    <w:rsid w:val="00D00C50"/>
    <w:rsid w:val="00D04DE2"/>
    <w:rsid w:val="00D05AC1"/>
    <w:rsid w:val="00D06529"/>
    <w:rsid w:val="00D10409"/>
    <w:rsid w:val="00D11DC4"/>
    <w:rsid w:val="00D1281B"/>
    <w:rsid w:val="00D134B7"/>
    <w:rsid w:val="00D13BFB"/>
    <w:rsid w:val="00D14B9F"/>
    <w:rsid w:val="00D14E43"/>
    <w:rsid w:val="00D15808"/>
    <w:rsid w:val="00D15DD0"/>
    <w:rsid w:val="00D20017"/>
    <w:rsid w:val="00D2041E"/>
    <w:rsid w:val="00D210B2"/>
    <w:rsid w:val="00D21310"/>
    <w:rsid w:val="00D240D8"/>
    <w:rsid w:val="00D252F0"/>
    <w:rsid w:val="00D258CD"/>
    <w:rsid w:val="00D30CA8"/>
    <w:rsid w:val="00D313E8"/>
    <w:rsid w:val="00D31B46"/>
    <w:rsid w:val="00D32FAF"/>
    <w:rsid w:val="00D330E7"/>
    <w:rsid w:val="00D33730"/>
    <w:rsid w:val="00D33A42"/>
    <w:rsid w:val="00D34F29"/>
    <w:rsid w:val="00D362F6"/>
    <w:rsid w:val="00D363F7"/>
    <w:rsid w:val="00D37720"/>
    <w:rsid w:val="00D379A0"/>
    <w:rsid w:val="00D37AB9"/>
    <w:rsid w:val="00D413C8"/>
    <w:rsid w:val="00D42779"/>
    <w:rsid w:val="00D42C63"/>
    <w:rsid w:val="00D4573B"/>
    <w:rsid w:val="00D4592F"/>
    <w:rsid w:val="00D45CA7"/>
    <w:rsid w:val="00D46FB6"/>
    <w:rsid w:val="00D510BF"/>
    <w:rsid w:val="00D51190"/>
    <w:rsid w:val="00D515A0"/>
    <w:rsid w:val="00D52C45"/>
    <w:rsid w:val="00D54DC8"/>
    <w:rsid w:val="00D5500B"/>
    <w:rsid w:val="00D5537B"/>
    <w:rsid w:val="00D55E14"/>
    <w:rsid w:val="00D56090"/>
    <w:rsid w:val="00D56E18"/>
    <w:rsid w:val="00D57EA7"/>
    <w:rsid w:val="00D600A7"/>
    <w:rsid w:val="00D604C0"/>
    <w:rsid w:val="00D60DD6"/>
    <w:rsid w:val="00D60EEC"/>
    <w:rsid w:val="00D64086"/>
    <w:rsid w:val="00D64797"/>
    <w:rsid w:val="00D651A4"/>
    <w:rsid w:val="00D65671"/>
    <w:rsid w:val="00D656D9"/>
    <w:rsid w:val="00D664E0"/>
    <w:rsid w:val="00D6680F"/>
    <w:rsid w:val="00D66CE6"/>
    <w:rsid w:val="00D70127"/>
    <w:rsid w:val="00D7279F"/>
    <w:rsid w:val="00D73757"/>
    <w:rsid w:val="00D739EC"/>
    <w:rsid w:val="00D75A3D"/>
    <w:rsid w:val="00D80DDD"/>
    <w:rsid w:val="00D84D52"/>
    <w:rsid w:val="00D865A7"/>
    <w:rsid w:val="00D90C89"/>
    <w:rsid w:val="00D92239"/>
    <w:rsid w:val="00D939C7"/>
    <w:rsid w:val="00D93FAC"/>
    <w:rsid w:val="00D94C91"/>
    <w:rsid w:val="00D95BBD"/>
    <w:rsid w:val="00D97456"/>
    <w:rsid w:val="00DA0229"/>
    <w:rsid w:val="00DA0C4C"/>
    <w:rsid w:val="00DA2B65"/>
    <w:rsid w:val="00DA3663"/>
    <w:rsid w:val="00DA3D24"/>
    <w:rsid w:val="00DA3FAB"/>
    <w:rsid w:val="00DB02E5"/>
    <w:rsid w:val="00DB0F35"/>
    <w:rsid w:val="00DB1C93"/>
    <w:rsid w:val="00DB2B05"/>
    <w:rsid w:val="00DB470A"/>
    <w:rsid w:val="00DB48C1"/>
    <w:rsid w:val="00DB788B"/>
    <w:rsid w:val="00DC047B"/>
    <w:rsid w:val="00DC047F"/>
    <w:rsid w:val="00DC10C5"/>
    <w:rsid w:val="00DC18D8"/>
    <w:rsid w:val="00DC3663"/>
    <w:rsid w:val="00DC3739"/>
    <w:rsid w:val="00DC4CE8"/>
    <w:rsid w:val="00DC52BD"/>
    <w:rsid w:val="00DC5BD9"/>
    <w:rsid w:val="00DC5FEF"/>
    <w:rsid w:val="00DD0BE7"/>
    <w:rsid w:val="00DD1A7A"/>
    <w:rsid w:val="00DD1C97"/>
    <w:rsid w:val="00DD38FA"/>
    <w:rsid w:val="00DD4AF1"/>
    <w:rsid w:val="00DD69D6"/>
    <w:rsid w:val="00DD7013"/>
    <w:rsid w:val="00DD7069"/>
    <w:rsid w:val="00DE00FE"/>
    <w:rsid w:val="00DE0270"/>
    <w:rsid w:val="00DE0A4B"/>
    <w:rsid w:val="00DE2FE2"/>
    <w:rsid w:val="00DE47EF"/>
    <w:rsid w:val="00DE5C42"/>
    <w:rsid w:val="00DE5CA8"/>
    <w:rsid w:val="00DE61D3"/>
    <w:rsid w:val="00DE75D3"/>
    <w:rsid w:val="00DE7622"/>
    <w:rsid w:val="00DF01D2"/>
    <w:rsid w:val="00DF03C5"/>
    <w:rsid w:val="00DF1484"/>
    <w:rsid w:val="00DF2712"/>
    <w:rsid w:val="00DF28FC"/>
    <w:rsid w:val="00DF463F"/>
    <w:rsid w:val="00DF715A"/>
    <w:rsid w:val="00DF79B3"/>
    <w:rsid w:val="00E01867"/>
    <w:rsid w:val="00E0777A"/>
    <w:rsid w:val="00E102D2"/>
    <w:rsid w:val="00E113BC"/>
    <w:rsid w:val="00E11BCA"/>
    <w:rsid w:val="00E1246B"/>
    <w:rsid w:val="00E13E2A"/>
    <w:rsid w:val="00E14BD1"/>
    <w:rsid w:val="00E14E09"/>
    <w:rsid w:val="00E160E0"/>
    <w:rsid w:val="00E17BAC"/>
    <w:rsid w:val="00E2381A"/>
    <w:rsid w:val="00E24A1B"/>
    <w:rsid w:val="00E26FAD"/>
    <w:rsid w:val="00E303D0"/>
    <w:rsid w:val="00E30B25"/>
    <w:rsid w:val="00E34CFC"/>
    <w:rsid w:val="00E36F3F"/>
    <w:rsid w:val="00E40AE1"/>
    <w:rsid w:val="00E4460D"/>
    <w:rsid w:val="00E44E67"/>
    <w:rsid w:val="00E46B17"/>
    <w:rsid w:val="00E46D84"/>
    <w:rsid w:val="00E46F14"/>
    <w:rsid w:val="00E4750E"/>
    <w:rsid w:val="00E50DF6"/>
    <w:rsid w:val="00E54FF4"/>
    <w:rsid w:val="00E558B6"/>
    <w:rsid w:val="00E55C9A"/>
    <w:rsid w:val="00E56264"/>
    <w:rsid w:val="00E569EF"/>
    <w:rsid w:val="00E60EA7"/>
    <w:rsid w:val="00E63F5B"/>
    <w:rsid w:val="00E64C66"/>
    <w:rsid w:val="00E6575D"/>
    <w:rsid w:val="00E705ED"/>
    <w:rsid w:val="00E706E6"/>
    <w:rsid w:val="00E70CAA"/>
    <w:rsid w:val="00E7136B"/>
    <w:rsid w:val="00E71564"/>
    <w:rsid w:val="00E73A1F"/>
    <w:rsid w:val="00E75E16"/>
    <w:rsid w:val="00E7794B"/>
    <w:rsid w:val="00E81764"/>
    <w:rsid w:val="00E821A4"/>
    <w:rsid w:val="00E83188"/>
    <w:rsid w:val="00E841B1"/>
    <w:rsid w:val="00E8448B"/>
    <w:rsid w:val="00E87B5D"/>
    <w:rsid w:val="00E916D3"/>
    <w:rsid w:val="00E930C2"/>
    <w:rsid w:val="00E947E1"/>
    <w:rsid w:val="00E94BE2"/>
    <w:rsid w:val="00EA07CE"/>
    <w:rsid w:val="00EA2244"/>
    <w:rsid w:val="00EA256B"/>
    <w:rsid w:val="00EA2BC9"/>
    <w:rsid w:val="00EA35B9"/>
    <w:rsid w:val="00EA41B8"/>
    <w:rsid w:val="00EA4B9D"/>
    <w:rsid w:val="00EA588F"/>
    <w:rsid w:val="00EA5B7E"/>
    <w:rsid w:val="00EA79EB"/>
    <w:rsid w:val="00EB20B4"/>
    <w:rsid w:val="00EB20D5"/>
    <w:rsid w:val="00EB249F"/>
    <w:rsid w:val="00EB35A5"/>
    <w:rsid w:val="00EB4494"/>
    <w:rsid w:val="00EB54D7"/>
    <w:rsid w:val="00EB5D1A"/>
    <w:rsid w:val="00EB795C"/>
    <w:rsid w:val="00EB7E34"/>
    <w:rsid w:val="00EC0530"/>
    <w:rsid w:val="00EC08C0"/>
    <w:rsid w:val="00EC0AE9"/>
    <w:rsid w:val="00EC162C"/>
    <w:rsid w:val="00EC30BD"/>
    <w:rsid w:val="00EC5C02"/>
    <w:rsid w:val="00EC6561"/>
    <w:rsid w:val="00EC6CA5"/>
    <w:rsid w:val="00ED236D"/>
    <w:rsid w:val="00ED2879"/>
    <w:rsid w:val="00ED2D43"/>
    <w:rsid w:val="00ED338C"/>
    <w:rsid w:val="00ED4FB7"/>
    <w:rsid w:val="00ED7F56"/>
    <w:rsid w:val="00EE1B11"/>
    <w:rsid w:val="00EE2113"/>
    <w:rsid w:val="00EE2471"/>
    <w:rsid w:val="00EE645C"/>
    <w:rsid w:val="00EE6A43"/>
    <w:rsid w:val="00EE6F7C"/>
    <w:rsid w:val="00EF0785"/>
    <w:rsid w:val="00EF0D92"/>
    <w:rsid w:val="00EF39DA"/>
    <w:rsid w:val="00EF46FE"/>
    <w:rsid w:val="00EF48FC"/>
    <w:rsid w:val="00EF5139"/>
    <w:rsid w:val="00EF51D1"/>
    <w:rsid w:val="00EF575D"/>
    <w:rsid w:val="00EF618B"/>
    <w:rsid w:val="00EF6735"/>
    <w:rsid w:val="00EF737F"/>
    <w:rsid w:val="00F00415"/>
    <w:rsid w:val="00F00A7D"/>
    <w:rsid w:val="00F0665E"/>
    <w:rsid w:val="00F07CC2"/>
    <w:rsid w:val="00F1023C"/>
    <w:rsid w:val="00F10479"/>
    <w:rsid w:val="00F12AA6"/>
    <w:rsid w:val="00F12BB6"/>
    <w:rsid w:val="00F15825"/>
    <w:rsid w:val="00F15D6A"/>
    <w:rsid w:val="00F163D2"/>
    <w:rsid w:val="00F16FBD"/>
    <w:rsid w:val="00F17636"/>
    <w:rsid w:val="00F225DB"/>
    <w:rsid w:val="00F24164"/>
    <w:rsid w:val="00F245CB"/>
    <w:rsid w:val="00F24ADE"/>
    <w:rsid w:val="00F254A8"/>
    <w:rsid w:val="00F25C95"/>
    <w:rsid w:val="00F261B9"/>
    <w:rsid w:val="00F2625D"/>
    <w:rsid w:val="00F313BE"/>
    <w:rsid w:val="00F31765"/>
    <w:rsid w:val="00F32BD9"/>
    <w:rsid w:val="00F33D35"/>
    <w:rsid w:val="00F35E2C"/>
    <w:rsid w:val="00F37240"/>
    <w:rsid w:val="00F4111B"/>
    <w:rsid w:val="00F43610"/>
    <w:rsid w:val="00F44244"/>
    <w:rsid w:val="00F505F7"/>
    <w:rsid w:val="00F5252A"/>
    <w:rsid w:val="00F5303B"/>
    <w:rsid w:val="00F5646A"/>
    <w:rsid w:val="00F57C59"/>
    <w:rsid w:val="00F62DA7"/>
    <w:rsid w:val="00F64E74"/>
    <w:rsid w:val="00F66B48"/>
    <w:rsid w:val="00F6750C"/>
    <w:rsid w:val="00F67515"/>
    <w:rsid w:val="00F70974"/>
    <w:rsid w:val="00F71381"/>
    <w:rsid w:val="00F71625"/>
    <w:rsid w:val="00F72785"/>
    <w:rsid w:val="00F72948"/>
    <w:rsid w:val="00F73F73"/>
    <w:rsid w:val="00F74B3D"/>
    <w:rsid w:val="00F74D31"/>
    <w:rsid w:val="00F76929"/>
    <w:rsid w:val="00F80BBF"/>
    <w:rsid w:val="00F80D47"/>
    <w:rsid w:val="00F81068"/>
    <w:rsid w:val="00F817FC"/>
    <w:rsid w:val="00F84D3F"/>
    <w:rsid w:val="00F85F75"/>
    <w:rsid w:val="00F87F87"/>
    <w:rsid w:val="00F905BC"/>
    <w:rsid w:val="00F91E5C"/>
    <w:rsid w:val="00F936A7"/>
    <w:rsid w:val="00F948EE"/>
    <w:rsid w:val="00F94C3A"/>
    <w:rsid w:val="00F95E84"/>
    <w:rsid w:val="00F9691E"/>
    <w:rsid w:val="00FA10B2"/>
    <w:rsid w:val="00FA143B"/>
    <w:rsid w:val="00FA27D0"/>
    <w:rsid w:val="00FA3EF4"/>
    <w:rsid w:val="00FA4530"/>
    <w:rsid w:val="00FA6FF1"/>
    <w:rsid w:val="00FA7996"/>
    <w:rsid w:val="00FB147F"/>
    <w:rsid w:val="00FB1EE5"/>
    <w:rsid w:val="00FB232B"/>
    <w:rsid w:val="00FB2485"/>
    <w:rsid w:val="00FB2B12"/>
    <w:rsid w:val="00FB2BED"/>
    <w:rsid w:val="00FB5CFE"/>
    <w:rsid w:val="00FB6604"/>
    <w:rsid w:val="00FC2C86"/>
    <w:rsid w:val="00FC3595"/>
    <w:rsid w:val="00FC48A1"/>
    <w:rsid w:val="00FC5AE1"/>
    <w:rsid w:val="00FC7F94"/>
    <w:rsid w:val="00FD2440"/>
    <w:rsid w:val="00FD2859"/>
    <w:rsid w:val="00FD3D84"/>
    <w:rsid w:val="00FD4B41"/>
    <w:rsid w:val="00FD6182"/>
    <w:rsid w:val="00FD6EFB"/>
    <w:rsid w:val="00FD70E3"/>
    <w:rsid w:val="00FE0C3F"/>
    <w:rsid w:val="00FE1F70"/>
    <w:rsid w:val="00FE1FCF"/>
    <w:rsid w:val="00FE2D2B"/>
    <w:rsid w:val="00FE4001"/>
    <w:rsid w:val="00FF262E"/>
    <w:rsid w:val="00FF44B9"/>
    <w:rsid w:val="00FF72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18E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C0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Nvel1">
    <w:name w:val="Estilo Nível 1"/>
    <w:basedOn w:val="Normal"/>
    <w:link w:val="EstiloNvel1Char"/>
    <w:autoRedefine/>
    <w:qFormat/>
    <w:rsid w:val="00D604C0"/>
    <w:pPr>
      <w:spacing w:after="0" w:line="360" w:lineRule="auto"/>
      <w:jc w:val="both"/>
    </w:pPr>
    <w:rPr>
      <w:rFonts w:ascii="Times New Roman" w:hAnsi="Times New Roman" w:cs="Times New Roman"/>
      <w:b/>
      <w:sz w:val="24"/>
      <w:szCs w:val="24"/>
    </w:rPr>
  </w:style>
  <w:style w:type="character" w:customStyle="1" w:styleId="EstiloNvel1Char">
    <w:name w:val="Estilo Nível 1 Char"/>
    <w:basedOn w:val="Fontepargpadro"/>
    <w:link w:val="EstiloNvel1"/>
    <w:rsid w:val="00D604C0"/>
    <w:rPr>
      <w:rFonts w:ascii="Times New Roman" w:hAnsi="Times New Roman" w:cs="Times New Roman"/>
      <w:b/>
      <w:sz w:val="24"/>
      <w:szCs w:val="24"/>
    </w:rPr>
  </w:style>
  <w:style w:type="paragraph" w:customStyle="1" w:styleId="EstiloPargrafos">
    <w:name w:val="Estilo Parágrafos"/>
    <w:basedOn w:val="EstiloNvel1"/>
    <w:link w:val="EstiloPargrafosChar"/>
    <w:autoRedefine/>
    <w:qFormat/>
    <w:rsid w:val="00D604C0"/>
    <w:rPr>
      <w:b w:val="0"/>
    </w:rPr>
  </w:style>
  <w:style w:type="character" w:customStyle="1" w:styleId="EstiloPargrafosChar">
    <w:name w:val="Estilo Parágrafos Char"/>
    <w:basedOn w:val="EstiloNvel1Char"/>
    <w:link w:val="EstiloPargrafos"/>
    <w:rsid w:val="00D604C0"/>
    <w:rPr>
      <w:rFonts w:ascii="Times New Roman" w:hAnsi="Times New Roman" w:cs="Times New Roman"/>
      <w:b w:val="0"/>
      <w:sz w:val="24"/>
      <w:szCs w:val="24"/>
    </w:rPr>
  </w:style>
  <w:style w:type="paragraph" w:styleId="PargrafodaLista">
    <w:name w:val="List Paragraph"/>
    <w:basedOn w:val="Normal"/>
    <w:uiPriority w:val="34"/>
    <w:qFormat/>
    <w:rsid w:val="00213CCE"/>
    <w:pPr>
      <w:ind w:left="720"/>
      <w:contextualSpacing/>
    </w:pPr>
  </w:style>
  <w:style w:type="character" w:styleId="Refdecomentrio">
    <w:name w:val="annotation reference"/>
    <w:basedOn w:val="Fontepargpadro"/>
    <w:uiPriority w:val="99"/>
    <w:semiHidden/>
    <w:unhideWhenUsed/>
    <w:rsid w:val="007437FE"/>
    <w:rPr>
      <w:sz w:val="16"/>
      <w:szCs w:val="16"/>
    </w:rPr>
  </w:style>
  <w:style w:type="paragraph" w:styleId="Textodecomentrio">
    <w:name w:val="annotation text"/>
    <w:basedOn w:val="Normal"/>
    <w:link w:val="TextodecomentrioChar"/>
    <w:uiPriority w:val="99"/>
    <w:unhideWhenUsed/>
    <w:rsid w:val="007437FE"/>
    <w:pPr>
      <w:spacing w:line="240" w:lineRule="auto"/>
    </w:pPr>
    <w:rPr>
      <w:sz w:val="20"/>
      <w:szCs w:val="20"/>
    </w:rPr>
  </w:style>
  <w:style w:type="character" w:customStyle="1" w:styleId="TextodecomentrioChar">
    <w:name w:val="Texto de comentário Char"/>
    <w:basedOn w:val="Fontepargpadro"/>
    <w:link w:val="Textodecomentrio"/>
    <w:uiPriority w:val="99"/>
    <w:rsid w:val="007437FE"/>
    <w:rPr>
      <w:sz w:val="20"/>
      <w:szCs w:val="20"/>
    </w:rPr>
  </w:style>
  <w:style w:type="paragraph" w:styleId="Assuntodocomentrio">
    <w:name w:val="annotation subject"/>
    <w:basedOn w:val="Textodecomentrio"/>
    <w:next w:val="Textodecomentrio"/>
    <w:link w:val="AssuntodocomentrioChar"/>
    <w:uiPriority w:val="99"/>
    <w:semiHidden/>
    <w:unhideWhenUsed/>
    <w:rsid w:val="007437FE"/>
    <w:rPr>
      <w:b/>
      <w:bCs/>
    </w:rPr>
  </w:style>
  <w:style w:type="character" w:customStyle="1" w:styleId="AssuntodocomentrioChar">
    <w:name w:val="Assunto do comentário Char"/>
    <w:basedOn w:val="TextodecomentrioChar"/>
    <w:link w:val="Assuntodocomentrio"/>
    <w:uiPriority w:val="99"/>
    <w:semiHidden/>
    <w:rsid w:val="007437FE"/>
    <w:rPr>
      <w:b/>
      <w:bCs/>
      <w:sz w:val="20"/>
      <w:szCs w:val="20"/>
    </w:rPr>
  </w:style>
  <w:style w:type="paragraph" w:styleId="Textodebalo">
    <w:name w:val="Balloon Text"/>
    <w:basedOn w:val="Normal"/>
    <w:link w:val="TextodebaloChar"/>
    <w:uiPriority w:val="99"/>
    <w:semiHidden/>
    <w:unhideWhenUsed/>
    <w:rsid w:val="007437F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437FE"/>
    <w:rPr>
      <w:rFonts w:ascii="Segoe UI" w:hAnsi="Segoe UI" w:cs="Segoe UI"/>
      <w:sz w:val="18"/>
      <w:szCs w:val="18"/>
    </w:rPr>
  </w:style>
  <w:style w:type="table" w:styleId="Tabelacomgrade">
    <w:name w:val="Table Grid"/>
    <w:basedOn w:val="Tabelanormal"/>
    <w:uiPriority w:val="59"/>
    <w:rsid w:val="006D03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C92AF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92AF0"/>
  </w:style>
  <w:style w:type="paragraph" w:styleId="Rodap">
    <w:name w:val="footer"/>
    <w:basedOn w:val="Normal"/>
    <w:link w:val="RodapChar"/>
    <w:uiPriority w:val="99"/>
    <w:unhideWhenUsed/>
    <w:rsid w:val="00C92AF0"/>
    <w:pPr>
      <w:tabs>
        <w:tab w:val="center" w:pos="4252"/>
        <w:tab w:val="right" w:pos="8504"/>
      </w:tabs>
      <w:spacing w:after="0" w:line="240" w:lineRule="auto"/>
    </w:pPr>
  </w:style>
  <w:style w:type="character" w:customStyle="1" w:styleId="RodapChar">
    <w:name w:val="Rodapé Char"/>
    <w:basedOn w:val="Fontepargpadro"/>
    <w:link w:val="Rodap"/>
    <w:uiPriority w:val="99"/>
    <w:rsid w:val="00C92AF0"/>
  </w:style>
  <w:style w:type="character" w:styleId="TextodoEspaoReservado">
    <w:name w:val="Placeholder Text"/>
    <w:basedOn w:val="Fontepargpadro"/>
    <w:uiPriority w:val="99"/>
    <w:semiHidden/>
    <w:rsid w:val="009F137E"/>
    <w:rPr>
      <w:color w:val="808080"/>
    </w:rPr>
  </w:style>
  <w:style w:type="character" w:customStyle="1" w:styleId="hps">
    <w:name w:val="hps"/>
    <w:basedOn w:val="Fontepargpadro"/>
    <w:rsid w:val="006002B7"/>
  </w:style>
  <w:style w:type="paragraph" w:customStyle="1" w:styleId="Default">
    <w:name w:val="Default"/>
    <w:rsid w:val="006002B7"/>
    <w:pPr>
      <w:autoSpaceDE w:val="0"/>
      <w:autoSpaceDN w:val="0"/>
      <w:adjustRightInd w:val="0"/>
      <w:spacing w:after="0" w:line="240" w:lineRule="auto"/>
    </w:pPr>
    <w:rPr>
      <w:rFonts w:ascii="Palatino Linotype" w:eastAsia="Times New Roman" w:hAnsi="Palatino Linotype" w:cs="Palatino Linotype"/>
      <w:color w:val="000000"/>
      <w:sz w:val="24"/>
      <w:szCs w:val="24"/>
      <w:lang w:eastAsia="pt-BR"/>
    </w:rPr>
  </w:style>
  <w:style w:type="character" w:customStyle="1" w:styleId="A2">
    <w:name w:val="A2"/>
    <w:uiPriority w:val="99"/>
    <w:rsid w:val="006002B7"/>
    <w:rPr>
      <w:color w:val="000000"/>
      <w:sz w:val="19"/>
      <w:szCs w:val="19"/>
    </w:rPr>
  </w:style>
  <w:style w:type="character" w:customStyle="1" w:styleId="shorttext">
    <w:name w:val="short_text"/>
    <w:basedOn w:val="Fontepargpadro"/>
    <w:rsid w:val="003A4169"/>
  </w:style>
  <w:style w:type="paragraph" w:styleId="Textodenotaderodap">
    <w:name w:val="footnote text"/>
    <w:basedOn w:val="Normal"/>
    <w:link w:val="TextodenotaderodapChar"/>
    <w:uiPriority w:val="99"/>
    <w:semiHidden/>
    <w:unhideWhenUsed/>
    <w:rsid w:val="002C661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C661F"/>
    <w:rPr>
      <w:sz w:val="20"/>
      <w:szCs w:val="20"/>
    </w:rPr>
  </w:style>
  <w:style w:type="character" w:styleId="Refdenotaderodap">
    <w:name w:val="footnote reference"/>
    <w:basedOn w:val="Fontepargpadro"/>
    <w:uiPriority w:val="99"/>
    <w:semiHidden/>
    <w:unhideWhenUsed/>
    <w:rsid w:val="002C661F"/>
    <w:rPr>
      <w:vertAlign w:val="superscript"/>
    </w:rPr>
  </w:style>
  <w:style w:type="character" w:styleId="Hyperlink">
    <w:name w:val="Hyperlink"/>
    <w:basedOn w:val="Fontepargpadro"/>
    <w:uiPriority w:val="99"/>
    <w:unhideWhenUsed/>
    <w:rsid w:val="008272A3"/>
    <w:rPr>
      <w:color w:val="0563C1" w:themeColor="hyperlink"/>
      <w:u w:val="single"/>
    </w:rPr>
  </w:style>
  <w:style w:type="paragraph" w:styleId="Recuodecorpodetexto">
    <w:name w:val="Body Text Indent"/>
    <w:basedOn w:val="Normal"/>
    <w:link w:val="RecuodecorpodetextoChar"/>
    <w:semiHidden/>
    <w:rsid w:val="006A0D91"/>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semiHidden/>
    <w:rsid w:val="006A0D91"/>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08399">
      <w:bodyDiv w:val="1"/>
      <w:marLeft w:val="0"/>
      <w:marRight w:val="0"/>
      <w:marTop w:val="0"/>
      <w:marBottom w:val="0"/>
      <w:divBdr>
        <w:top w:val="none" w:sz="0" w:space="0" w:color="auto"/>
        <w:left w:val="none" w:sz="0" w:space="0" w:color="auto"/>
        <w:bottom w:val="none" w:sz="0" w:space="0" w:color="auto"/>
        <w:right w:val="none" w:sz="0" w:space="0" w:color="auto"/>
      </w:divBdr>
    </w:div>
    <w:div w:id="77138398">
      <w:bodyDiv w:val="1"/>
      <w:marLeft w:val="0"/>
      <w:marRight w:val="0"/>
      <w:marTop w:val="0"/>
      <w:marBottom w:val="0"/>
      <w:divBdr>
        <w:top w:val="none" w:sz="0" w:space="0" w:color="auto"/>
        <w:left w:val="none" w:sz="0" w:space="0" w:color="auto"/>
        <w:bottom w:val="none" w:sz="0" w:space="0" w:color="auto"/>
        <w:right w:val="none" w:sz="0" w:space="0" w:color="auto"/>
      </w:divBdr>
    </w:div>
    <w:div w:id="79955230">
      <w:bodyDiv w:val="1"/>
      <w:marLeft w:val="0"/>
      <w:marRight w:val="0"/>
      <w:marTop w:val="0"/>
      <w:marBottom w:val="0"/>
      <w:divBdr>
        <w:top w:val="none" w:sz="0" w:space="0" w:color="auto"/>
        <w:left w:val="none" w:sz="0" w:space="0" w:color="auto"/>
        <w:bottom w:val="none" w:sz="0" w:space="0" w:color="auto"/>
        <w:right w:val="none" w:sz="0" w:space="0" w:color="auto"/>
      </w:divBdr>
    </w:div>
    <w:div w:id="86536916">
      <w:bodyDiv w:val="1"/>
      <w:marLeft w:val="0"/>
      <w:marRight w:val="0"/>
      <w:marTop w:val="0"/>
      <w:marBottom w:val="0"/>
      <w:divBdr>
        <w:top w:val="none" w:sz="0" w:space="0" w:color="auto"/>
        <w:left w:val="none" w:sz="0" w:space="0" w:color="auto"/>
        <w:bottom w:val="none" w:sz="0" w:space="0" w:color="auto"/>
        <w:right w:val="none" w:sz="0" w:space="0" w:color="auto"/>
      </w:divBdr>
    </w:div>
    <w:div w:id="118647979">
      <w:bodyDiv w:val="1"/>
      <w:marLeft w:val="0"/>
      <w:marRight w:val="0"/>
      <w:marTop w:val="0"/>
      <w:marBottom w:val="0"/>
      <w:divBdr>
        <w:top w:val="none" w:sz="0" w:space="0" w:color="auto"/>
        <w:left w:val="none" w:sz="0" w:space="0" w:color="auto"/>
        <w:bottom w:val="none" w:sz="0" w:space="0" w:color="auto"/>
        <w:right w:val="none" w:sz="0" w:space="0" w:color="auto"/>
      </w:divBdr>
    </w:div>
    <w:div w:id="189491145">
      <w:bodyDiv w:val="1"/>
      <w:marLeft w:val="0"/>
      <w:marRight w:val="0"/>
      <w:marTop w:val="0"/>
      <w:marBottom w:val="0"/>
      <w:divBdr>
        <w:top w:val="none" w:sz="0" w:space="0" w:color="auto"/>
        <w:left w:val="none" w:sz="0" w:space="0" w:color="auto"/>
        <w:bottom w:val="none" w:sz="0" w:space="0" w:color="auto"/>
        <w:right w:val="none" w:sz="0" w:space="0" w:color="auto"/>
      </w:divBdr>
    </w:div>
    <w:div w:id="190849380">
      <w:bodyDiv w:val="1"/>
      <w:marLeft w:val="0"/>
      <w:marRight w:val="0"/>
      <w:marTop w:val="0"/>
      <w:marBottom w:val="0"/>
      <w:divBdr>
        <w:top w:val="none" w:sz="0" w:space="0" w:color="auto"/>
        <w:left w:val="none" w:sz="0" w:space="0" w:color="auto"/>
        <w:bottom w:val="none" w:sz="0" w:space="0" w:color="auto"/>
        <w:right w:val="none" w:sz="0" w:space="0" w:color="auto"/>
      </w:divBdr>
    </w:div>
    <w:div w:id="296768210">
      <w:bodyDiv w:val="1"/>
      <w:marLeft w:val="0"/>
      <w:marRight w:val="0"/>
      <w:marTop w:val="0"/>
      <w:marBottom w:val="0"/>
      <w:divBdr>
        <w:top w:val="none" w:sz="0" w:space="0" w:color="auto"/>
        <w:left w:val="none" w:sz="0" w:space="0" w:color="auto"/>
        <w:bottom w:val="none" w:sz="0" w:space="0" w:color="auto"/>
        <w:right w:val="none" w:sz="0" w:space="0" w:color="auto"/>
      </w:divBdr>
    </w:div>
    <w:div w:id="303125805">
      <w:bodyDiv w:val="1"/>
      <w:marLeft w:val="0"/>
      <w:marRight w:val="0"/>
      <w:marTop w:val="0"/>
      <w:marBottom w:val="0"/>
      <w:divBdr>
        <w:top w:val="none" w:sz="0" w:space="0" w:color="auto"/>
        <w:left w:val="none" w:sz="0" w:space="0" w:color="auto"/>
        <w:bottom w:val="none" w:sz="0" w:space="0" w:color="auto"/>
        <w:right w:val="none" w:sz="0" w:space="0" w:color="auto"/>
      </w:divBdr>
    </w:div>
    <w:div w:id="312219680">
      <w:bodyDiv w:val="1"/>
      <w:marLeft w:val="0"/>
      <w:marRight w:val="0"/>
      <w:marTop w:val="0"/>
      <w:marBottom w:val="0"/>
      <w:divBdr>
        <w:top w:val="none" w:sz="0" w:space="0" w:color="auto"/>
        <w:left w:val="none" w:sz="0" w:space="0" w:color="auto"/>
        <w:bottom w:val="none" w:sz="0" w:space="0" w:color="auto"/>
        <w:right w:val="none" w:sz="0" w:space="0" w:color="auto"/>
      </w:divBdr>
    </w:div>
    <w:div w:id="373165361">
      <w:bodyDiv w:val="1"/>
      <w:marLeft w:val="0"/>
      <w:marRight w:val="0"/>
      <w:marTop w:val="0"/>
      <w:marBottom w:val="0"/>
      <w:divBdr>
        <w:top w:val="none" w:sz="0" w:space="0" w:color="auto"/>
        <w:left w:val="none" w:sz="0" w:space="0" w:color="auto"/>
        <w:bottom w:val="none" w:sz="0" w:space="0" w:color="auto"/>
        <w:right w:val="none" w:sz="0" w:space="0" w:color="auto"/>
      </w:divBdr>
    </w:div>
    <w:div w:id="429202190">
      <w:bodyDiv w:val="1"/>
      <w:marLeft w:val="0"/>
      <w:marRight w:val="0"/>
      <w:marTop w:val="0"/>
      <w:marBottom w:val="0"/>
      <w:divBdr>
        <w:top w:val="none" w:sz="0" w:space="0" w:color="auto"/>
        <w:left w:val="none" w:sz="0" w:space="0" w:color="auto"/>
        <w:bottom w:val="none" w:sz="0" w:space="0" w:color="auto"/>
        <w:right w:val="none" w:sz="0" w:space="0" w:color="auto"/>
      </w:divBdr>
    </w:div>
    <w:div w:id="457652958">
      <w:bodyDiv w:val="1"/>
      <w:marLeft w:val="0"/>
      <w:marRight w:val="0"/>
      <w:marTop w:val="0"/>
      <w:marBottom w:val="0"/>
      <w:divBdr>
        <w:top w:val="none" w:sz="0" w:space="0" w:color="auto"/>
        <w:left w:val="none" w:sz="0" w:space="0" w:color="auto"/>
        <w:bottom w:val="none" w:sz="0" w:space="0" w:color="auto"/>
        <w:right w:val="none" w:sz="0" w:space="0" w:color="auto"/>
      </w:divBdr>
    </w:div>
    <w:div w:id="523713766">
      <w:bodyDiv w:val="1"/>
      <w:marLeft w:val="0"/>
      <w:marRight w:val="0"/>
      <w:marTop w:val="0"/>
      <w:marBottom w:val="0"/>
      <w:divBdr>
        <w:top w:val="none" w:sz="0" w:space="0" w:color="auto"/>
        <w:left w:val="none" w:sz="0" w:space="0" w:color="auto"/>
        <w:bottom w:val="none" w:sz="0" w:space="0" w:color="auto"/>
        <w:right w:val="none" w:sz="0" w:space="0" w:color="auto"/>
      </w:divBdr>
    </w:div>
    <w:div w:id="551963198">
      <w:bodyDiv w:val="1"/>
      <w:marLeft w:val="0"/>
      <w:marRight w:val="0"/>
      <w:marTop w:val="0"/>
      <w:marBottom w:val="0"/>
      <w:divBdr>
        <w:top w:val="none" w:sz="0" w:space="0" w:color="auto"/>
        <w:left w:val="none" w:sz="0" w:space="0" w:color="auto"/>
        <w:bottom w:val="none" w:sz="0" w:space="0" w:color="auto"/>
        <w:right w:val="none" w:sz="0" w:space="0" w:color="auto"/>
      </w:divBdr>
    </w:div>
    <w:div w:id="630866653">
      <w:bodyDiv w:val="1"/>
      <w:marLeft w:val="0"/>
      <w:marRight w:val="0"/>
      <w:marTop w:val="0"/>
      <w:marBottom w:val="0"/>
      <w:divBdr>
        <w:top w:val="none" w:sz="0" w:space="0" w:color="auto"/>
        <w:left w:val="none" w:sz="0" w:space="0" w:color="auto"/>
        <w:bottom w:val="none" w:sz="0" w:space="0" w:color="auto"/>
        <w:right w:val="none" w:sz="0" w:space="0" w:color="auto"/>
      </w:divBdr>
    </w:div>
    <w:div w:id="812255474">
      <w:bodyDiv w:val="1"/>
      <w:marLeft w:val="0"/>
      <w:marRight w:val="0"/>
      <w:marTop w:val="0"/>
      <w:marBottom w:val="0"/>
      <w:divBdr>
        <w:top w:val="none" w:sz="0" w:space="0" w:color="auto"/>
        <w:left w:val="none" w:sz="0" w:space="0" w:color="auto"/>
        <w:bottom w:val="none" w:sz="0" w:space="0" w:color="auto"/>
        <w:right w:val="none" w:sz="0" w:space="0" w:color="auto"/>
      </w:divBdr>
    </w:div>
    <w:div w:id="880553066">
      <w:bodyDiv w:val="1"/>
      <w:marLeft w:val="0"/>
      <w:marRight w:val="0"/>
      <w:marTop w:val="0"/>
      <w:marBottom w:val="0"/>
      <w:divBdr>
        <w:top w:val="none" w:sz="0" w:space="0" w:color="auto"/>
        <w:left w:val="none" w:sz="0" w:space="0" w:color="auto"/>
        <w:bottom w:val="none" w:sz="0" w:space="0" w:color="auto"/>
        <w:right w:val="none" w:sz="0" w:space="0" w:color="auto"/>
      </w:divBdr>
    </w:div>
    <w:div w:id="905796903">
      <w:bodyDiv w:val="1"/>
      <w:marLeft w:val="0"/>
      <w:marRight w:val="0"/>
      <w:marTop w:val="0"/>
      <w:marBottom w:val="0"/>
      <w:divBdr>
        <w:top w:val="none" w:sz="0" w:space="0" w:color="auto"/>
        <w:left w:val="none" w:sz="0" w:space="0" w:color="auto"/>
        <w:bottom w:val="none" w:sz="0" w:space="0" w:color="auto"/>
        <w:right w:val="none" w:sz="0" w:space="0" w:color="auto"/>
      </w:divBdr>
    </w:div>
    <w:div w:id="929314097">
      <w:bodyDiv w:val="1"/>
      <w:marLeft w:val="0"/>
      <w:marRight w:val="0"/>
      <w:marTop w:val="0"/>
      <w:marBottom w:val="0"/>
      <w:divBdr>
        <w:top w:val="none" w:sz="0" w:space="0" w:color="auto"/>
        <w:left w:val="none" w:sz="0" w:space="0" w:color="auto"/>
        <w:bottom w:val="none" w:sz="0" w:space="0" w:color="auto"/>
        <w:right w:val="none" w:sz="0" w:space="0" w:color="auto"/>
      </w:divBdr>
    </w:div>
    <w:div w:id="964654098">
      <w:bodyDiv w:val="1"/>
      <w:marLeft w:val="0"/>
      <w:marRight w:val="0"/>
      <w:marTop w:val="0"/>
      <w:marBottom w:val="0"/>
      <w:divBdr>
        <w:top w:val="none" w:sz="0" w:space="0" w:color="auto"/>
        <w:left w:val="none" w:sz="0" w:space="0" w:color="auto"/>
        <w:bottom w:val="none" w:sz="0" w:space="0" w:color="auto"/>
        <w:right w:val="none" w:sz="0" w:space="0" w:color="auto"/>
      </w:divBdr>
    </w:div>
    <w:div w:id="1006711422">
      <w:bodyDiv w:val="1"/>
      <w:marLeft w:val="0"/>
      <w:marRight w:val="0"/>
      <w:marTop w:val="0"/>
      <w:marBottom w:val="0"/>
      <w:divBdr>
        <w:top w:val="none" w:sz="0" w:space="0" w:color="auto"/>
        <w:left w:val="none" w:sz="0" w:space="0" w:color="auto"/>
        <w:bottom w:val="none" w:sz="0" w:space="0" w:color="auto"/>
        <w:right w:val="none" w:sz="0" w:space="0" w:color="auto"/>
      </w:divBdr>
    </w:div>
    <w:div w:id="1021321634">
      <w:bodyDiv w:val="1"/>
      <w:marLeft w:val="0"/>
      <w:marRight w:val="0"/>
      <w:marTop w:val="0"/>
      <w:marBottom w:val="0"/>
      <w:divBdr>
        <w:top w:val="none" w:sz="0" w:space="0" w:color="auto"/>
        <w:left w:val="none" w:sz="0" w:space="0" w:color="auto"/>
        <w:bottom w:val="none" w:sz="0" w:space="0" w:color="auto"/>
        <w:right w:val="none" w:sz="0" w:space="0" w:color="auto"/>
      </w:divBdr>
    </w:div>
    <w:div w:id="1252818323">
      <w:bodyDiv w:val="1"/>
      <w:marLeft w:val="0"/>
      <w:marRight w:val="0"/>
      <w:marTop w:val="0"/>
      <w:marBottom w:val="0"/>
      <w:divBdr>
        <w:top w:val="none" w:sz="0" w:space="0" w:color="auto"/>
        <w:left w:val="none" w:sz="0" w:space="0" w:color="auto"/>
        <w:bottom w:val="none" w:sz="0" w:space="0" w:color="auto"/>
        <w:right w:val="none" w:sz="0" w:space="0" w:color="auto"/>
      </w:divBdr>
    </w:div>
    <w:div w:id="1287931661">
      <w:bodyDiv w:val="1"/>
      <w:marLeft w:val="0"/>
      <w:marRight w:val="0"/>
      <w:marTop w:val="0"/>
      <w:marBottom w:val="0"/>
      <w:divBdr>
        <w:top w:val="none" w:sz="0" w:space="0" w:color="auto"/>
        <w:left w:val="none" w:sz="0" w:space="0" w:color="auto"/>
        <w:bottom w:val="none" w:sz="0" w:space="0" w:color="auto"/>
        <w:right w:val="none" w:sz="0" w:space="0" w:color="auto"/>
      </w:divBdr>
    </w:div>
    <w:div w:id="1324700489">
      <w:bodyDiv w:val="1"/>
      <w:marLeft w:val="0"/>
      <w:marRight w:val="0"/>
      <w:marTop w:val="0"/>
      <w:marBottom w:val="0"/>
      <w:divBdr>
        <w:top w:val="none" w:sz="0" w:space="0" w:color="auto"/>
        <w:left w:val="none" w:sz="0" w:space="0" w:color="auto"/>
        <w:bottom w:val="none" w:sz="0" w:space="0" w:color="auto"/>
        <w:right w:val="none" w:sz="0" w:space="0" w:color="auto"/>
      </w:divBdr>
    </w:div>
    <w:div w:id="1327593324">
      <w:bodyDiv w:val="1"/>
      <w:marLeft w:val="0"/>
      <w:marRight w:val="0"/>
      <w:marTop w:val="0"/>
      <w:marBottom w:val="0"/>
      <w:divBdr>
        <w:top w:val="none" w:sz="0" w:space="0" w:color="auto"/>
        <w:left w:val="none" w:sz="0" w:space="0" w:color="auto"/>
        <w:bottom w:val="none" w:sz="0" w:space="0" w:color="auto"/>
        <w:right w:val="none" w:sz="0" w:space="0" w:color="auto"/>
      </w:divBdr>
    </w:div>
    <w:div w:id="1354843178">
      <w:bodyDiv w:val="1"/>
      <w:marLeft w:val="0"/>
      <w:marRight w:val="0"/>
      <w:marTop w:val="0"/>
      <w:marBottom w:val="0"/>
      <w:divBdr>
        <w:top w:val="none" w:sz="0" w:space="0" w:color="auto"/>
        <w:left w:val="none" w:sz="0" w:space="0" w:color="auto"/>
        <w:bottom w:val="none" w:sz="0" w:space="0" w:color="auto"/>
        <w:right w:val="none" w:sz="0" w:space="0" w:color="auto"/>
      </w:divBdr>
    </w:div>
    <w:div w:id="1406151461">
      <w:bodyDiv w:val="1"/>
      <w:marLeft w:val="0"/>
      <w:marRight w:val="0"/>
      <w:marTop w:val="0"/>
      <w:marBottom w:val="0"/>
      <w:divBdr>
        <w:top w:val="none" w:sz="0" w:space="0" w:color="auto"/>
        <w:left w:val="none" w:sz="0" w:space="0" w:color="auto"/>
        <w:bottom w:val="none" w:sz="0" w:space="0" w:color="auto"/>
        <w:right w:val="none" w:sz="0" w:space="0" w:color="auto"/>
      </w:divBdr>
    </w:div>
    <w:div w:id="1417479323">
      <w:bodyDiv w:val="1"/>
      <w:marLeft w:val="0"/>
      <w:marRight w:val="0"/>
      <w:marTop w:val="0"/>
      <w:marBottom w:val="0"/>
      <w:divBdr>
        <w:top w:val="none" w:sz="0" w:space="0" w:color="auto"/>
        <w:left w:val="none" w:sz="0" w:space="0" w:color="auto"/>
        <w:bottom w:val="none" w:sz="0" w:space="0" w:color="auto"/>
        <w:right w:val="none" w:sz="0" w:space="0" w:color="auto"/>
      </w:divBdr>
    </w:div>
    <w:div w:id="1510439624">
      <w:bodyDiv w:val="1"/>
      <w:marLeft w:val="0"/>
      <w:marRight w:val="0"/>
      <w:marTop w:val="0"/>
      <w:marBottom w:val="0"/>
      <w:divBdr>
        <w:top w:val="none" w:sz="0" w:space="0" w:color="auto"/>
        <w:left w:val="none" w:sz="0" w:space="0" w:color="auto"/>
        <w:bottom w:val="none" w:sz="0" w:space="0" w:color="auto"/>
        <w:right w:val="none" w:sz="0" w:space="0" w:color="auto"/>
      </w:divBdr>
    </w:div>
    <w:div w:id="1569195880">
      <w:bodyDiv w:val="1"/>
      <w:marLeft w:val="0"/>
      <w:marRight w:val="0"/>
      <w:marTop w:val="0"/>
      <w:marBottom w:val="0"/>
      <w:divBdr>
        <w:top w:val="none" w:sz="0" w:space="0" w:color="auto"/>
        <w:left w:val="none" w:sz="0" w:space="0" w:color="auto"/>
        <w:bottom w:val="none" w:sz="0" w:space="0" w:color="auto"/>
        <w:right w:val="none" w:sz="0" w:space="0" w:color="auto"/>
      </w:divBdr>
    </w:div>
    <w:div w:id="1576472390">
      <w:bodyDiv w:val="1"/>
      <w:marLeft w:val="0"/>
      <w:marRight w:val="0"/>
      <w:marTop w:val="0"/>
      <w:marBottom w:val="0"/>
      <w:divBdr>
        <w:top w:val="none" w:sz="0" w:space="0" w:color="auto"/>
        <w:left w:val="none" w:sz="0" w:space="0" w:color="auto"/>
        <w:bottom w:val="none" w:sz="0" w:space="0" w:color="auto"/>
        <w:right w:val="none" w:sz="0" w:space="0" w:color="auto"/>
      </w:divBdr>
    </w:div>
    <w:div w:id="1595090846">
      <w:bodyDiv w:val="1"/>
      <w:marLeft w:val="0"/>
      <w:marRight w:val="0"/>
      <w:marTop w:val="0"/>
      <w:marBottom w:val="0"/>
      <w:divBdr>
        <w:top w:val="none" w:sz="0" w:space="0" w:color="auto"/>
        <w:left w:val="none" w:sz="0" w:space="0" w:color="auto"/>
        <w:bottom w:val="none" w:sz="0" w:space="0" w:color="auto"/>
        <w:right w:val="none" w:sz="0" w:space="0" w:color="auto"/>
      </w:divBdr>
    </w:div>
    <w:div w:id="1615670599">
      <w:bodyDiv w:val="1"/>
      <w:marLeft w:val="0"/>
      <w:marRight w:val="0"/>
      <w:marTop w:val="0"/>
      <w:marBottom w:val="0"/>
      <w:divBdr>
        <w:top w:val="none" w:sz="0" w:space="0" w:color="auto"/>
        <w:left w:val="none" w:sz="0" w:space="0" w:color="auto"/>
        <w:bottom w:val="none" w:sz="0" w:space="0" w:color="auto"/>
        <w:right w:val="none" w:sz="0" w:space="0" w:color="auto"/>
      </w:divBdr>
    </w:div>
    <w:div w:id="1646279266">
      <w:bodyDiv w:val="1"/>
      <w:marLeft w:val="0"/>
      <w:marRight w:val="0"/>
      <w:marTop w:val="0"/>
      <w:marBottom w:val="0"/>
      <w:divBdr>
        <w:top w:val="none" w:sz="0" w:space="0" w:color="auto"/>
        <w:left w:val="none" w:sz="0" w:space="0" w:color="auto"/>
        <w:bottom w:val="none" w:sz="0" w:space="0" w:color="auto"/>
        <w:right w:val="none" w:sz="0" w:space="0" w:color="auto"/>
      </w:divBdr>
    </w:div>
    <w:div w:id="1702587232">
      <w:bodyDiv w:val="1"/>
      <w:marLeft w:val="0"/>
      <w:marRight w:val="0"/>
      <w:marTop w:val="0"/>
      <w:marBottom w:val="0"/>
      <w:divBdr>
        <w:top w:val="none" w:sz="0" w:space="0" w:color="auto"/>
        <w:left w:val="none" w:sz="0" w:space="0" w:color="auto"/>
        <w:bottom w:val="none" w:sz="0" w:space="0" w:color="auto"/>
        <w:right w:val="none" w:sz="0" w:space="0" w:color="auto"/>
      </w:divBdr>
    </w:div>
    <w:div w:id="1781224197">
      <w:bodyDiv w:val="1"/>
      <w:marLeft w:val="0"/>
      <w:marRight w:val="0"/>
      <w:marTop w:val="0"/>
      <w:marBottom w:val="0"/>
      <w:divBdr>
        <w:top w:val="none" w:sz="0" w:space="0" w:color="auto"/>
        <w:left w:val="none" w:sz="0" w:space="0" w:color="auto"/>
        <w:bottom w:val="none" w:sz="0" w:space="0" w:color="auto"/>
        <w:right w:val="none" w:sz="0" w:space="0" w:color="auto"/>
      </w:divBdr>
    </w:div>
    <w:div w:id="1825000851">
      <w:bodyDiv w:val="1"/>
      <w:marLeft w:val="0"/>
      <w:marRight w:val="0"/>
      <w:marTop w:val="0"/>
      <w:marBottom w:val="0"/>
      <w:divBdr>
        <w:top w:val="none" w:sz="0" w:space="0" w:color="auto"/>
        <w:left w:val="none" w:sz="0" w:space="0" w:color="auto"/>
        <w:bottom w:val="none" w:sz="0" w:space="0" w:color="auto"/>
        <w:right w:val="none" w:sz="0" w:space="0" w:color="auto"/>
      </w:divBdr>
    </w:div>
    <w:div w:id="1833107534">
      <w:bodyDiv w:val="1"/>
      <w:marLeft w:val="0"/>
      <w:marRight w:val="0"/>
      <w:marTop w:val="0"/>
      <w:marBottom w:val="0"/>
      <w:divBdr>
        <w:top w:val="none" w:sz="0" w:space="0" w:color="auto"/>
        <w:left w:val="none" w:sz="0" w:space="0" w:color="auto"/>
        <w:bottom w:val="none" w:sz="0" w:space="0" w:color="auto"/>
        <w:right w:val="none" w:sz="0" w:space="0" w:color="auto"/>
      </w:divBdr>
    </w:div>
    <w:div w:id="1853572638">
      <w:bodyDiv w:val="1"/>
      <w:marLeft w:val="0"/>
      <w:marRight w:val="0"/>
      <w:marTop w:val="0"/>
      <w:marBottom w:val="0"/>
      <w:divBdr>
        <w:top w:val="none" w:sz="0" w:space="0" w:color="auto"/>
        <w:left w:val="none" w:sz="0" w:space="0" w:color="auto"/>
        <w:bottom w:val="none" w:sz="0" w:space="0" w:color="auto"/>
        <w:right w:val="none" w:sz="0" w:space="0" w:color="auto"/>
      </w:divBdr>
    </w:div>
    <w:div w:id="1913346653">
      <w:bodyDiv w:val="1"/>
      <w:marLeft w:val="0"/>
      <w:marRight w:val="0"/>
      <w:marTop w:val="0"/>
      <w:marBottom w:val="0"/>
      <w:divBdr>
        <w:top w:val="none" w:sz="0" w:space="0" w:color="auto"/>
        <w:left w:val="none" w:sz="0" w:space="0" w:color="auto"/>
        <w:bottom w:val="none" w:sz="0" w:space="0" w:color="auto"/>
        <w:right w:val="none" w:sz="0" w:space="0" w:color="auto"/>
      </w:divBdr>
    </w:div>
    <w:div w:id="1913814476">
      <w:bodyDiv w:val="1"/>
      <w:marLeft w:val="0"/>
      <w:marRight w:val="0"/>
      <w:marTop w:val="0"/>
      <w:marBottom w:val="0"/>
      <w:divBdr>
        <w:top w:val="none" w:sz="0" w:space="0" w:color="auto"/>
        <w:left w:val="none" w:sz="0" w:space="0" w:color="auto"/>
        <w:bottom w:val="none" w:sz="0" w:space="0" w:color="auto"/>
        <w:right w:val="none" w:sz="0" w:space="0" w:color="auto"/>
      </w:divBdr>
    </w:div>
    <w:div w:id="1914390429">
      <w:bodyDiv w:val="1"/>
      <w:marLeft w:val="0"/>
      <w:marRight w:val="0"/>
      <w:marTop w:val="0"/>
      <w:marBottom w:val="0"/>
      <w:divBdr>
        <w:top w:val="none" w:sz="0" w:space="0" w:color="auto"/>
        <w:left w:val="none" w:sz="0" w:space="0" w:color="auto"/>
        <w:bottom w:val="none" w:sz="0" w:space="0" w:color="auto"/>
        <w:right w:val="none" w:sz="0" w:space="0" w:color="auto"/>
      </w:divBdr>
    </w:div>
    <w:div w:id="2061441546">
      <w:bodyDiv w:val="1"/>
      <w:marLeft w:val="0"/>
      <w:marRight w:val="0"/>
      <w:marTop w:val="0"/>
      <w:marBottom w:val="0"/>
      <w:divBdr>
        <w:top w:val="none" w:sz="0" w:space="0" w:color="auto"/>
        <w:left w:val="none" w:sz="0" w:space="0" w:color="auto"/>
        <w:bottom w:val="none" w:sz="0" w:space="0" w:color="auto"/>
        <w:right w:val="none" w:sz="0" w:space="0" w:color="auto"/>
      </w:divBdr>
    </w:div>
    <w:div w:id="2073038010">
      <w:bodyDiv w:val="1"/>
      <w:marLeft w:val="0"/>
      <w:marRight w:val="0"/>
      <w:marTop w:val="0"/>
      <w:marBottom w:val="0"/>
      <w:divBdr>
        <w:top w:val="none" w:sz="0" w:space="0" w:color="auto"/>
        <w:left w:val="none" w:sz="0" w:space="0" w:color="auto"/>
        <w:bottom w:val="none" w:sz="0" w:space="0" w:color="auto"/>
        <w:right w:val="none" w:sz="0" w:space="0" w:color="auto"/>
      </w:divBdr>
    </w:div>
    <w:div w:id="213282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vmachado@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u.cariele@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3F199-2CED-4EA6-B13F-92F32670B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9550</Words>
  <Characters>51573</Characters>
  <Application>Microsoft Office Word</Application>
  <DocSecurity>0</DocSecurity>
  <Lines>429</Lines>
  <Paragraphs>122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61001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2018-03-23T21:27:00Z</dcterms:created>
  <dcterms:modified xsi:type="dcterms:W3CDTF">2018-03-23T21:30:00Z</dcterms:modified>
</cp:coreProperties>
</file>