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A2D11" w14:textId="77777777" w:rsidR="005A021A" w:rsidRDefault="0001178B" w:rsidP="005A021A">
      <w:pPr>
        <w:spacing w:line="240" w:lineRule="auto"/>
        <w:contextualSpacing/>
        <w:jc w:val="center"/>
        <w:rPr>
          <w:rFonts w:ascii="Times New Roman" w:hAnsi="Times New Roman" w:cs="Times New Roman"/>
          <w:b/>
          <w:sz w:val="24"/>
          <w:szCs w:val="24"/>
        </w:rPr>
      </w:pPr>
      <w:r w:rsidRPr="00217059">
        <w:rPr>
          <w:rFonts w:ascii="Times New Roman" w:hAnsi="Times New Roman" w:cs="Times New Roman"/>
          <w:b/>
          <w:sz w:val="24"/>
          <w:szCs w:val="24"/>
        </w:rPr>
        <w:t xml:space="preserve">Ciclo Político </w:t>
      </w:r>
      <w:r>
        <w:rPr>
          <w:rFonts w:ascii="Times New Roman" w:hAnsi="Times New Roman" w:cs="Times New Roman"/>
          <w:b/>
          <w:sz w:val="24"/>
          <w:szCs w:val="24"/>
        </w:rPr>
        <w:t>n</w:t>
      </w:r>
      <w:r w:rsidRPr="00217059">
        <w:rPr>
          <w:rFonts w:ascii="Times New Roman" w:hAnsi="Times New Roman" w:cs="Times New Roman"/>
          <w:b/>
          <w:sz w:val="24"/>
          <w:szCs w:val="24"/>
        </w:rPr>
        <w:t xml:space="preserve">o Índice </w:t>
      </w:r>
      <w:r>
        <w:rPr>
          <w:rFonts w:ascii="Times New Roman" w:hAnsi="Times New Roman" w:cs="Times New Roman"/>
          <w:b/>
          <w:sz w:val="24"/>
          <w:szCs w:val="24"/>
        </w:rPr>
        <w:t>d</w:t>
      </w:r>
      <w:r w:rsidRPr="00217059">
        <w:rPr>
          <w:rFonts w:ascii="Times New Roman" w:hAnsi="Times New Roman" w:cs="Times New Roman"/>
          <w:b/>
          <w:sz w:val="24"/>
          <w:szCs w:val="24"/>
        </w:rPr>
        <w:t xml:space="preserve">e Gasto </w:t>
      </w:r>
      <w:r>
        <w:rPr>
          <w:rFonts w:ascii="Times New Roman" w:hAnsi="Times New Roman" w:cs="Times New Roman"/>
          <w:b/>
          <w:sz w:val="24"/>
          <w:szCs w:val="24"/>
        </w:rPr>
        <w:t>c</w:t>
      </w:r>
      <w:r w:rsidRPr="00217059">
        <w:rPr>
          <w:rFonts w:ascii="Times New Roman" w:hAnsi="Times New Roman" w:cs="Times New Roman"/>
          <w:b/>
          <w:sz w:val="24"/>
          <w:szCs w:val="24"/>
        </w:rPr>
        <w:t>om Pessoal: Um</w:t>
      </w:r>
      <w:r w:rsidR="000B2C89">
        <w:rPr>
          <w:rFonts w:ascii="Times New Roman" w:hAnsi="Times New Roman" w:cs="Times New Roman"/>
          <w:b/>
          <w:sz w:val="24"/>
          <w:szCs w:val="24"/>
        </w:rPr>
        <w:t>a Análise no Contexto Brasileiro</w:t>
      </w:r>
    </w:p>
    <w:p w14:paraId="30EFC250" w14:textId="77777777" w:rsidR="0001178B" w:rsidRPr="005C53F0" w:rsidRDefault="0001178B" w:rsidP="00217059">
      <w:pPr>
        <w:spacing w:line="240" w:lineRule="auto"/>
        <w:contextualSpacing/>
        <w:jc w:val="center"/>
        <w:rPr>
          <w:rFonts w:ascii="Times New Roman" w:hAnsi="Times New Roman" w:cs="Times New Roman"/>
          <w:b/>
          <w:sz w:val="24"/>
          <w:szCs w:val="24"/>
        </w:rPr>
      </w:pPr>
    </w:p>
    <w:p w14:paraId="78FE486E" w14:textId="77777777" w:rsidR="001324C4" w:rsidRDefault="0001178B" w:rsidP="000B2C89">
      <w:pPr>
        <w:spacing w:line="240" w:lineRule="auto"/>
        <w:contextualSpacing/>
        <w:jc w:val="center"/>
        <w:rPr>
          <w:rFonts w:ascii="Times New Roman" w:hAnsi="Times New Roman" w:cs="Times New Roman"/>
          <w:b/>
          <w:sz w:val="24"/>
          <w:szCs w:val="24"/>
          <w:lang w:val="en-US"/>
        </w:rPr>
      </w:pPr>
      <w:r w:rsidRPr="00217059">
        <w:rPr>
          <w:rFonts w:ascii="Times New Roman" w:hAnsi="Times New Roman" w:cs="Times New Roman"/>
          <w:b/>
          <w:sz w:val="24"/>
          <w:szCs w:val="24"/>
          <w:lang w:val="en-US"/>
        </w:rPr>
        <w:t xml:space="preserve">Political Cycle </w:t>
      </w:r>
      <w:r>
        <w:rPr>
          <w:rFonts w:ascii="Times New Roman" w:hAnsi="Times New Roman" w:cs="Times New Roman"/>
          <w:b/>
          <w:sz w:val="24"/>
          <w:szCs w:val="24"/>
          <w:lang w:val="en-US"/>
        </w:rPr>
        <w:t>i</w:t>
      </w:r>
      <w:r w:rsidRPr="00217059">
        <w:rPr>
          <w:rFonts w:ascii="Times New Roman" w:hAnsi="Times New Roman" w:cs="Times New Roman"/>
          <w:b/>
          <w:sz w:val="24"/>
          <w:szCs w:val="24"/>
          <w:lang w:val="en-US"/>
        </w:rPr>
        <w:t xml:space="preserve">n Spent Personnel Index: </w:t>
      </w:r>
      <w:r w:rsidR="000B2C89">
        <w:rPr>
          <w:rFonts w:ascii="Times New Roman" w:hAnsi="Times New Roman" w:cs="Times New Roman"/>
          <w:b/>
          <w:sz w:val="24"/>
          <w:szCs w:val="24"/>
          <w:lang w:val="en-US"/>
        </w:rPr>
        <w:t xml:space="preserve"> </w:t>
      </w:r>
      <w:r w:rsidR="000B2C89" w:rsidRPr="000B2C89">
        <w:rPr>
          <w:rFonts w:ascii="Times New Roman" w:hAnsi="Times New Roman" w:cs="Times New Roman"/>
          <w:b/>
          <w:sz w:val="24"/>
          <w:szCs w:val="24"/>
          <w:lang w:val="en-US"/>
        </w:rPr>
        <w:t>An Analysis in the Brazilian Context</w:t>
      </w:r>
    </w:p>
    <w:p w14:paraId="4E2DAE34" w14:textId="77777777" w:rsidR="000B2C89" w:rsidRPr="000B2C89" w:rsidRDefault="000B2C89" w:rsidP="000B2C89">
      <w:pPr>
        <w:spacing w:line="240" w:lineRule="auto"/>
        <w:contextualSpacing/>
        <w:jc w:val="center"/>
        <w:rPr>
          <w:rFonts w:ascii="Times New Roman" w:hAnsi="Times New Roman" w:cs="Times New Roman"/>
          <w:b/>
          <w:sz w:val="24"/>
          <w:szCs w:val="24"/>
          <w:lang w:val="en-US"/>
        </w:rPr>
      </w:pPr>
    </w:p>
    <w:p w14:paraId="4980DFAD" w14:textId="77777777" w:rsidR="001324C4" w:rsidRDefault="001324C4" w:rsidP="001324C4">
      <w:pPr>
        <w:spacing w:line="240" w:lineRule="auto"/>
        <w:contextualSpacing/>
        <w:jc w:val="center"/>
        <w:rPr>
          <w:rFonts w:ascii="Times New Roman" w:hAnsi="Times New Roman" w:cs="Times New Roman"/>
          <w:b/>
          <w:sz w:val="24"/>
          <w:szCs w:val="24"/>
        </w:rPr>
      </w:pPr>
      <w:r w:rsidRPr="001324C4">
        <w:rPr>
          <w:rFonts w:ascii="Times New Roman" w:hAnsi="Times New Roman" w:cs="Times New Roman"/>
          <w:b/>
          <w:sz w:val="24"/>
          <w:szCs w:val="24"/>
        </w:rPr>
        <w:t>Lívia Maria Freire de Morais</w:t>
      </w:r>
    </w:p>
    <w:p w14:paraId="7011C111" w14:textId="77777777" w:rsidR="001324C4" w:rsidRPr="001324C4" w:rsidRDefault="001324C4" w:rsidP="001324C4">
      <w:pPr>
        <w:spacing w:line="240" w:lineRule="auto"/>
        <w:contextualSpacing/>
        <w:jc w:val="center"/>
        <w:rPr>
          <w:rFonts w:ascii="Times New Roman" w:hAnsi="Times New Roman" w:cs="Times New Roman"/>
          <w:color w:val="000000" w:themeColor="text1"/>
          <w:sz w:val="24"/>
          <w:szCs w:val="24"/>
        </w:rPr>
      </w:pPr>
      <w:r w:rsidRPr="001324C4">
        <w:rPr>
          <w:rFonts w:ascii="Times New Roman" w:hAnsi="Times New Roman" w:cs="Times New Roman"/>
          <w:color w:val="000000" w:themeColor="text1"/>
          <w:sz w:val="24"/>
          <w:szCs w:val="24"/>
        </w:rPr>
        <w:t>Mestranda em Ciências Contábeis – PPGCC/UFPB</w:t>
      </w:r>
    </w:p>
    <w:p w14:paraId="7428A57B" w14:textId="77777777" w:rsidR="001324C4" w:rsidRPr="001324C4" w:rsidRDefault="001324C4" w:rsidP="001324C4">
      <w:pPr>
        <w:spacing w:line="240" w:lineRule="auto"/>
        <w:contextualSpacing/>
        <w:jc w:val="center"/>
        <w:rPr>
          <w:rFonts w:ascii="Times New Roman" w:hAnsi="Times New Roman" w:cs="Times New Roman"/>
          <w:color w:val="000000" w:themeColor="text1"/>
          <w:sz w:val="24"/>
          <w:szCs w:val="24"/>
        </w:rPr>
      </w:pPr>
      <w:r w:rsidRPr="001324C4">
        <w:rPr>
          <w:rFonts w:ascii="Times New Roman" w:hAnsi="Times New Roman" w:cs="Times New Roman"/>
          <w:color w:val="000000" w:themeColor="text1"/>
          <w:sz w:val="24"/>
          <w:szCs w:val="24"/>
        </w:rPr>
        <w:t>Universidade Federal da Paraíba</w:t>
      </w:r>
    </w:p>
    <w:p w14:paraId="566146B5" w14:textId="77777777" w:rsidR="001324C4" w:rsidRPr="007808D4" w:rsidRDefault="001324C4" w:rsidP="001324C4">
      <w:pPr>
        <w:spacing w:after="0" w:line="240" w:lineRule="auto"/>
        <w:jc w:val="center"/>
        <w:rPr>
          <w:rFonts w:ascii="Times New Roman" w:hAnsi="Times New Roman"/>
          <w:sz w:val="24"/>
          <w:szCs w:val="24"/>
        </w:rPr>
      </w:pPr>
      <w:r w:rsidRPr="007808D4">
        <w:rPr>
          <w:rFonts w:ascii="Times New Roman" w:hAnsi="Times New Roman"/>
          <w:sz w:val="24"/>
          <w:szCs w:val="24"/>
        </w:rPr>
        <w:t>Rua Miguel Antônio da Silva Neto, 98. Aeroporto I - Mossoró/RN</w:t>
      </w:r>
    </w:p>
    <w:p w14:paraId="6CE284AA" w14:textId="77777777" w:rsidR="001324C4" w:rsidRDefault="001324C4" w:rsidP="001324C4">
      <w:pPr>
        <w:spacing w:after="0" w:line="240" w:lineRule="auto"/>
        <w:jc w:val="center"/>
        <w:rPr>
          <w:rFonts w:ascii="Times New Roman" w:hAnsi="Times New Roman"/>
          <w:sz w:val="24"/>
          <w:szCs w:val="24"/>
        </w:rPr>
      </w:pPr>
      <w:r>
        <w:rPr>
          <w:rFonts w:ascii="Times New Roman" w:hAnsi="Times New Roman"/>
          <w:sz w:val="24"/>
          <w:szCs w:val="24"/>
        </w:rPr>
        <w:t>E-mail:</w:t>
      </w:r>
      <w:r w:rsidRPr="001324C4">
        <w:rPr>
          <w:rFonts w:ascii="Times New Roman" w:hAnsi="Times New Roman"/>
          <w:color w:val="000000" w:themeColor="text1"/>
          <w:sz w:val="24"/>
          <w:szCs w:val="24"/>
        </w:rPr>
        <w:t xml:space="preserve"> </w:t>
      </w:r>
      <w:hyperlink r:id="rId8" w:history="1">
        <w:r w:rsidRPr="001324C4">
          <w:rPr>
            <w:rStyle w:val="Hyperlink"/>
            <w:rFonts w:ascii="Times New Roman" w:hAnsi="Times New Roman"/>
            <w:color w:val="000000" w:themeColor="text1"/>
            <w:sz w:val="24"/>
            <w:szCs w:val="24"/>
            <w:u w:val="none"/>
          </w:rPr>
          <w:t>liviamfm@gmail.com</w:t>
        </w:r>
      </w:hyperlink>
    </w:p>
    <w:p w14:paraId="490851B6" w14:textId="77777777" w:rsidR="001324C4" w:rsidRPr="007808D4" w:rsidRDefault="001324C4" w:rsidP="001324C4">
      <w:pPr>
        <w:spacing w:after="0" w:line="240" w:lineRule="auto"/>
        <w:jc w:val="center"/>
        <w:rPr>
          <w:rFonts w:ascii="Times New Roman" w:hAnsi="Times New Roman"/>
          <w:sz w:val="24"/>
          <w:szCs w:val="24"/>
        </w:rPr>
      </w:pPr>
    </w:p>
    <w:p w14:paraId="5F3398F1" w14:textId="77777777" w:rsidR="001324C4" w:rsidRPr="001324C4" w:rsidRDefault="001324C4" w:rsidP="001324C4">
      <w:pPr>
        <w:spacing w:line="240" w:lineRule="auto"/>
        <w:contextualSpacing/>
        <w:jc w:val="center"/>
        <w:rPr>
          <w:rFonts w:ascii="Times New Roman" w:hAnsi="Times New Roman" w:cs="Times New Roman"/>
          <w:b/>
          <w:sz w:val="24"/>
          <w:szCs w:val="24"/>
        </w:rPr>
      </w:pPr>
      <w:r w:rsidRPr="001324C4">
        <w:rPr>
          <w:rFonts w:ascii="Times New Roman" w:hAnsi="Times New Roman" w:cs="Times New Roman"/>
          <w:b/>
          <w:sz w:val="24"/>
          <w:szCs w:val="24"/>
        </w:rPr>
        <w:t xml:space="preserve">Dimas </w:t>
      </w:r>
      <w:proofErr w:type="spellStart"/>
      <w:r w:rsidRPr="001324C4">
        <w:rPr>
          <w:rFonts w:ascii="Times New Roman" w:hAnsi="Times New Roman" w:cs="Times New Roman"/>
          <w:b/>
          <w:sz w:val="24"/>
          <w:szCs w:val="24"/>
        </w:rPr>
        <w:t>Barrêto</w:t>
      </w:r>
      <w:proofErr w:type="spellEnd"/>
      <w:r w:rsidRPr="001324C4">
        <w:rPr>
          <w:rFonts w:ascii="Times New Roman" w:hAnsi="Times New Roman" w:cs="Times New Roman"/>
          <w:b/>
          <w:sz w:val="24"/>
          <w:szCs w:val="24"/>
        </w:rPr>
        <w:t xml:space="preserve"> de Queiroz </w:t>
      </w:r>
    </w:p>
    <w:p w14:paraId="597F4FFB" w14:textId="77777777" w:rsidR="001324C4" w:rsidRPr="001324C4" w:rsidRDefault="001324C4" w:rsidP="001324C4">
      <w:pPr>
        <w:spacing w:line="240" w:lineRule="auto"/>
        <w:contextualSpacing/>
        <w:jc w:val="center"/>
        <w:rPr>
          <w:rFonts w:ascii="Times New Roman" w:hAnsi="Times New Roman" w:cs="Times New Roman"/>
          <w:color w:val="000000" w:themeColor="text1"/>
          <w:sz w:val="24"/>
          <w:szCs w:val="24"/>
        </w:rPr>
      </w:pPr>
      <w:r w:rsidRPr="001324C4">
        <w:rPr>
          <w:rFonts w:ascii="Times New Roman" w:hAnsi="Times New Roman" w:cs="Times New Roman"/>
          <w:color w:val="000000" w:themeColor="text1"/>
          <w:sz w:val="24"/>
          <w:szCs w:val="24"/>
        </w:rPr>
        <w:t>Doutor em Ciências Contábeis UnB/UFPB/UFRN</w:t>
      </w:r>
    </w:p>
    <w:p w14:paraId="042C48BF" w14:textId="77777777" w:rsidR="001324C4" w:rsidRPr="001324C4" w:rsidRDefault="001324C4" w:rsidP="001324C4">
      <w:pPr>
        <w:spacing w:line="240" w:lineRule="auto"/>
        <w:contextualSpacing/>
        <w:jc w:val="center"/>
        <w:rPr>
          <w:rFonts w:ascii="Times New Roman" w:hAnsi="Times New Roman" w:cs="Times New Roman"/>
          <w:color w:val="000000" w:themeColor="text1"/>
          <w:sz w:val="24"/>
          <w:szCs w:val="24"/>
        </w:rPr>
      </w:pPr>
      <w:r w:rsidRPr="001324C4">
        <w:rPr>
          <w:rFonts w:ascii="Times New Roman" w:hAnsi="Times New Roman" w:cs="Times New Roman"/>
          <w:color w:val="000000" w:themeColor="text1"/>
          <w:sz w:val="24"/>
          <w:szCs w:val="24"/>
        </w:rPr>
        <w:t>Universidade Federal da Paraíba</w:t>
      </w:r>
    </w:p>
    <w:p w14:paraId="31EF84D4" w14:textId="77777777" w:rsidR="001324C4" w:rsidRPr="001324C4" w:rsidRDefault="001324C4" w:rsidP="001324C4">
      <w:pPr>
        <w:spacing w:line="240" w:lineRule="auto"/>
        <w:contextualSpacing/>
        <w:jc w:val="center"/>
        <w:rPr>
          <w:rFonts w:ascii="Times New Roman" w:hAnsi="Times New Roman" w:cs="Times New Roman"/>
          <w:color w:val="000000" w:themeColor="text1"/>
          <w:sz w:val="24"/>
          <w:szCs w:val="24"/>
        </w:rPr>
      </w:pPr>
      <w:r w:rsidRPr="001324C4">
        <w:rPr>
          <w:rFonts w:ascii="Times New Roman" w:hAnsi="Times New Roman" w:cs="Times New Roman"/>
          <w:color w:val="000000" w:themeColor="text1"/>
          <w:sz w:val="24"/>
          <w:szCs w:val="24"/>
        </w:rPr>
        <w:t xml:space="preserve">Rua Sebastião </w:t>
      </w:r>
      <w:proofErr w:type="spellStart"/>
      <w:r w:rsidRPr="001324C4">
        <w:rPr>
          <w:rFonts w:ascii="Times New Roman" w:hAnsi="Times New Roman" w:cs="Times New Roman"/>
          <w:color w:val="000000" w:themeColor="text1"/>
          <w:sz w:val="24"/>
          <w:szCs w:val="24"/>
        </w:rPr>
        <w:t>Interaminense</w:t>
      </w:r>
      <w:proofErr w:type="spellEnd"/>
      <w:r w:rsidRPr="001324C4">
        <w:rPr>
          <w:rFonts w:ascii="Times New Roman" w:hAnsi="Times New Roman" w:cs="Times New Roman"/>
          <w:color w:val="000000" w:themeColor="text1"/>
          <w:sz w:val="24"/>
          <w:szCs w:val="24"/>
        </w:rPr>
        <w:t>, 601. Jardim Oceania - João Pessoa/PB</w:t>
      </w:r>
    </w:p>
    <w:p w14:paraId="4CC790C2" w14:textId="77777777" w:rsidR="001324C4" w:rsidRDefault="000269C3" w:rsidP="001324C4">
      <w:pPr>
        <w:spacing w:line="240" w:lineRule="auto"/>
        <w:contextualSpacing/>
        <w:jc w:val="center"/>
        <w:rPr>
          <w:rFonts w:ascii="Times New Roman" w:hAnsi="Times New Roman" w:cs="Times New Roman"/>
          <w:color w:val="000000" w:themeColor="text1"/>
          <w:sz w:val="24"/>
          <w:szCs w:val="24"/>
        </w:rPr>
      </w:pPr>
      <w:hyperlink r:id="rId9" w:history="1">
        <w:r w:rsidR="001324C4" w:rsidRPr="001324C4">
          <w:rPr>
            <w:rStyle w:val="Hyperlink"/>
            <w:rFonts w:ascii="Times New Roman" w:hAnsi="Times New Roman" w:cs="Times New Roman"/>
            <w:color w:val="000000" w:themeColor="text1"/>
            <w:sz w:val="24"/>
            <w:szCs w:val="24"/>
            <w:u w:val="none"/>
          </w:rPr>
          <w:t>dimasqueiroz@gmail.com</w:t>
        </w:r>
      </w:hyperlink>
    </w:p>
    <w:p w14:paraId="1F0930DB" w14:textId="77777777" w:rsidR="001324C4" w:rsidRDefault="001324C4" w:rsidP="001324C4">
      <w:pPr>
        <w:spacing w:line="240" w:lineRule="auto"/>
        <w:contextualSpacing/>
        <w:jc w:val="center"/>
        <w:rPr>
          <w:rFonts w:ascii="Times New Roman" w:hAnsi="Times New Roman" w:cs="Times New Roman"/>
          <w:b/>
          <w:sz w:val="24"/>
          <w:szCs w:val="24"/>
        </w:rPr>
      </w:pPr>
    </w:p>
    <w:p w14:paraId="3EA3F4E3" w14:textId="77777777" w:rsidR="001324C4" w:rsidRDefault="001324C4" w:rsidP="001324C4">
      <w:pPr>
        <w:spacing w:line="240" w:lineRule="auto"/>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Rossana</w:t>
      </w:r>
      <w:proofErr w:type="spellEnd"/>
      <w:r>
        <w:rPr>
          <w:rFonts w:ascii="Times New Roman" w:hAnsi="Times New Roman" w:cs="Times New Roman"/>
          <w:b/>
          <w:sz w:val="24"/>
          <w:szCs w:val="24"/>
        </w:rPr>
        <w:t xml:space="preserve"> Guerra de Sousa</w:t>
      </w:r>
    </w:p>
    <w:p w14:paraId="32F66C33" w14:textId="77777777" w:rsidR="001324C4" w:rsidRPr="001324C4" w:rsidRDefault="001324C4" w:rsidP="001324C4">
      <w:pPr>
        <w:spacing w:line="240" w:lineRule="auto"/>
        <w:contextualSpacing/>
        <w:jc w:val="center"/>
        <w:rPr>
          <w:rFonts w:ascii="Times New Roman" w:hAnsi="Times New Roman" w:cs="Times New Roman"/>
          <w:color w:val="000000" w:themeColor="text1"/>
          <w:sz w:val="24"/>
          <w:szCs w:val="24"/>
        </w:rPr>
      </w:pPr>
      <w:r w:rsidRPr="001324C4">
        <w:rPr>
          <w:rFonts w:ascii="Times New Roman" w:hAnsi="Times New Roman" w:cs="Times New Roman"/>
          <w:color w:val="000000" w:themeColor="text1"/>
          <w:sz w:val="24"/>
          <w:szCs w:val="24"/>
        </w:rPr>
        <w:t>Doutor em Ciências Contábeis UnB/UFPB/UFRN</w:t>
      </w:r>
    </w:p>
    <w:p w14:paraId="32A1C229" w14:textId="77777777" w:rsidR="001324C4" w:rsidRDefault="001324C4" w:rsidP="001324C4">
      <w:pPr>
        <w:spacing w:line="240" w:lineRule="auto"/>
        <w:contextualSpacing/>
        <w:jc w:val="center"/>
        <w:rPr>
          <w:rFonts w:ascii="Times New Roman" w:hAnsi="Times New Roman" w:cs="Times New Roman"/>
          <w:sz w:val="24"/>
          <w:szCs w:val="24"/>
        </w:rPr>
      </w:pPr>
      <w:r w:rsidRPr="001324C4">
        <w:rPr>
          <w:rFonts w:ascii="Times New Roman" w:hAnsi="Times New Roman" w:cs="Times New Roman"/>
          <w:sz w:val="24"/>
          <w:szCs w:val="24"/>
        </w:rPr>
        <w:t>Universidade Federal da Paraíba</w:t>
      </w:r>
    </w:p>
    <w:p w14:paraId="02A26C60" w14:textId="77777777" w:rsidR="00B64057" w:rsidRPr="007808D4" w:rsidRDefault="00B64057" w:rsidP="00B64057">
      <w:pPr>
        <w:spacing w:after="0" w:line="240" w:lineRule="auto"/>
        <w:contextualSpacing/>
        <w:jc w:val="center"/>
        <w:rPr>
          <w:rFonts w:ascii="Times New Roman" w:hAnsi="Times New Roman"/>
          <w:sz w:val="24"/>
          <w:szCs w:val="24"/>
        </w:rPr>
      </w:pPr>
      <w:r>
        <w:rPr>
          <w:rFonts w:ascii="Times New Roman" w:hAnsi="Times New Roman"/>
          <w:sz w:val="24"/>
          <w:szCs w:val="24"/>
        </w:rPr>
        <w:t>Cidade Universitária</w:t>
      </w:r>
      <w:r w:rsidRPr="007808D4">
        <w:rPr>
          <w:rFonts w:ascii="Times New Roman" w:hAnsi="Times New Roman"/>
          <w:sz w:val="24"/>
          <w:szCs w:val="24"/>
        </w:rPr>
        <w:t xml:space="preserve"> </w:t>
      </w:r>
      <w:r>
        <w:rPr>
          <w:rFonts w:ascii="Times New Roman" w:hAnsi="Times New Roman"/>
          <w:sz w:val="24"/>
          <w:szCs w:val="24"/>
        </w:rPr>
        <w:t>– Campus I -</w:t>
      </w:r>
      <w:r w:rsidRPr="007808D4">
        <w:rPr>
          <w:rFonts w:ascii="Times New Roman" w:hAnsi="Times New Roman"/>
          <w:sz w:val="24"/>
          <w:szCs w:val="24"/>
        </w:rPr>
        <w:t xml:space="preserve"> João Pessoa/PB</w:t>
      </w:r>
    </w:p>
    <w:p w14:paraId="2C244B4F" w14:textId="77777777" w:rsidR="001324C4" w:rsidRDefault="001324C4" w:rsidP="001324C4">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E-mail: rossanagsousa@yahoo.com.br</w:t>
      </w:r>
    </w:p>
    <w:p w14:paraId="0769E488" w14:textId="77777777" w:rsidR="001324C4" w:rsidRPr="001324C4" w:rsidRDefault="001324C4" w:rsidP="001324C4">
      <w:pPr>
        <w:spacing w:line="240" w:lineRule="auto"/>
        <w:contextualSpacing/>
        <w:jc w:val="center"/>
        <w:rPr>
          <w:rFonts w:ascii="Times New Roman" w:hAnsi="Times New Roman" w:cs="Times New Roman"/>
          <w:sz w:val="24"/>
          <w:szCs w:val="24"/>
        </w:rPr>
      </w:pPr>
    </w:p>
    <w:p w14:paraId="0470DCD3" w14:textId="77777777" w:rsidR="005A021A" w:rsidRPr="001324C4" w:rsidRDefault="005A021A" w:rsidP="005A021A">
      <w:pPr>
        <w:spacing w:line="240" w:lineRule="auto"/>
        <w:contextualSpacing/>
        <w:jc w:val="both"/>
        <w:rPr>
          <w:rFonts w:ascii="Times New Roman" w:hAnsi="Times New Roman" w:cs="Times New Roman"/>
          <w:sz w:val="24"/>
          <w:szCs w:val="24"/>
        </w:rPr>
      </w:pPr>
    </w:p>
    <w:p w14:paraId="78D42C97" w14:textId="77777777" w:rsidR="005A021A" w:rsidRPr="00217059" w:rsidRDefault="0001178B" w:rsidP="00B64057">
      <w:pPr>
        <w:spacing w:after="120" w:line="240" w:lineRule="auto"/>
        <w:contextualSpacing/>
        <w:jc w:val="both"/>
        <w:rPr>
          <w:rFonts w:ascii="Times New Roman" w:hAnsi="Times New Roman" w:cs="Times New Roman"/>
          <w:b/>
          <w:sz w:val="24"/>
          <w:szCs w:val="24"/>
        </w:rPr>
      </w:pPr>
      <w:r w:rsidRPr="00217059">
        <w:rPr>
          <w:rFonts w:ascii="Times New Roman" w:hAnsi="Times New Roman" w:cs="Times New Roman"/>
          <w:b/>
          <w:sz w:val="24"/>
          <w:szCs w:val="24"/>
        </w:rPr>
        <w:t>Resumo</w:t>
      </w:r>
    </w:p>
    <w:p w14:paraId="7EBFA7EB" w14:textId="1B0A72DF" w:rsidR="005A021A" w:rsidRPr="00217059" w:rsidRDefault="005A021A" w:rsidP="005A021A">
      <w:pPr>
        <w:spacing w:line="240" w:lineRule="auto"/>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A literatura sobre ciclos políticos demonstra que o contexto institucional e a presença de regras fiscais são fatores condicionantes à presença e magnitude de tais ciclos. Entende-se que limitações impostas aos gestores públicos podem reduzir a margem para manipulações oportunistas. Assim, o objetivo da pesquisa consistiu em analisar a influência de fatores políticos sobre o </w:t>
      </w:r>
      <w:r w:rsidR="00F4670B" w:rsidRPr="00217059">
        <w:rPr>
          <w:rFonts w:ascii="Times New Roman" w:hAnsi="Times New Roman" w:cs="Times New Roman"/>
          <w:sz w:val="24"/>
          <w:szCs w:val="24"/>
        </w:rPr>
        <w:t xml:space="preserve">Índice </w:t>
      </w:r>
      <w:r w:rsidR="00F4670B">
        <w:rPr>
          <w:rFonts w:ascii="Times New Roman" w:hAnsi="Times New Roman" w:cs="Times New Roman"/>
          <w:sz w:val="24"/>
          <w:szCs w:val="24"/>
        </w:rPr>
        <w:t>d</w:t>
      </w:r>
      <w:r w:rsidR="00F4670B" w:rsidRPr="00217059">
        <w:rPr>
          <w:rFonts w:ascii="Times New Roman" w:hAnsi="Times New Roman" w:cs="Times New Roman"/>
          <w:sz w:val="24"/>
          <w:szCs w:val="24"/>
        </w:rPr>
        <w:t xml:space="preserve">e Gastos </w:t>
      </w:r>
      <w:r w:rsidR="00F4670B">
        <w:rPr>
          <w:rFonts w:ascii="Times New Roman" w:hAnsi="Times New Roman" w:cs="Times New Roman"/>
          <w:sz w:val="24"/>
          <w:szCs w:val="24"/>
        </w:rPr>
        <w:t>c</w:t>
      </w:r>
      <w:r w:rsidR="00F4670B" w:rsidRPr="00217059">
        <w:rPr>
          <w:rFonts w:ascii="Times New Roman" w:hAnsi="Times New Roman" w:cs="Times New Roman"/>
          <w:sz w:val="24"/>
          <w:szCs w:val="24"/>
        </w:rPr>
        <w:t>om Pessoal (</w:t>
      </w:r>
      <w:r w:rsidRPr="00217059">
        <w:rPr>
          <w:rFonts w:ascii="Times New Roman" w:hAnsi="Times New Roman" w:cs="Times New Roman"/>
          <w:sz w:val="24"/>
          <w:szCs w:val="24"/>
        </w:rPr>
        <w:t>IGP</w:t>
      </w:r>
      <w:r w:rsidR="00F4670B" w:rsidRPr="00217059">
        <w:rPr>
          <w:rFonts w:ascii="Times New Roman" w:hAnsi="Times New Roman" w:cs="Times New Roman"/>
          <w:sz w:val="24"/>
          <w:szCs w:val="24"/>
        </w:rPr>
        <w:t xml:space="preserve">) </w:t>
      </w:r>
      <w:r w:rsidRPr="00217059">
        <w:rPr>
          <w:rFonts w:ascii="Times New Roman" w:hAnsi="Times New Roman" w:cs="Times New Roman"/>
          <w:sz w:val="24"/>
          <w:szCs w:val="24"/>
        </w:rPr>
        <w:t xml:space="preserve">definido pela </w:t>
      </w:r>
      <w:r w:rsidR="00F4670B" w:rsidRPr="00217059">
        <w:rPr>
          <w:rFonts w:ascii="Times New Roman" w:hAnsi="Times New Roman" w:cs="Times New Roman"/>
          <w:sz w:val="24"/>
          <w:szCs w:val="24"/>
        </w:rPr>
        <w:t xml:space="preserve">Lei </w:t>
      </w:r>
      <w:r w:rsidR="00F4670B">
        <w:rPr>
          <w:rFonts w:ascii="Times New Roman" w:hAnsi="Times New Roman" w:cs="Times New Roman"/>
          <w:sz w:val="24"/>
          <w:szCs w:val="24"/>
        </w:rPr>
        <w:t>d</w:t>
      </w:r>
      <w:r w:rsidR="00F4670B" w:rsidRPr="00217059">
        <w:rPr>
          <w:rFonts w:ascii="Times New Roman" w:hAnsi="Times New Roman" w:cs="Times New Roman"/>
          <w:sz w:val="24"/>
          <w:szCs w:val="24"/>
        </w:rPr>
        <w:t>e Responsabilidade Fiscal</w:t>
      </w:r>
      <w:r w:rsidRPr="00217059">
        <w:rPr>
          <w:rFonts w:ascii="Times New Roman" w:hAnsi="Times New Roman" w:cs="Times New Roman"/>
          <w:sz w:val="24"/>
          <w:szCs w:val="24"/>
        </w:rPr>
        <w:t xml:space="preserve">, considerando o IGP uma variável fiscal com limitações legais. </w:t>
      </w:r>
      <w:r w:rsidR="00024F24">
        <w:rPr>
          <w:rFonts w:ascii="Times New Roman" w:hAnsi="Times New Roman" w:cs="Times New Roman"/>
          <w:sz w:val="24"/>
          <w:szCs w:val="24"/>
        </w:rPr>
        <w:t>Utilizou-se, como fatores políticos, três variáveis, descritas pela literatura, capazes de influenciar variáveis fiscais</w:t>
      </w:r>
      <w:r w:rsidRPr="00217059">
        <w:rPr>
          <w:rFonts w:ascii="Times New Roman" w:hAnsi="Times New Roman" w:cs="Times New Roman"/>
          <w:sz w:val="24"/>
          <w:szCs w:val="24"/>
        </w:rPr>
        <w:t>: o ano eleitora</w:t>
      </w:r>
      <w:r w:rsidR="0048563E">
        <w:rPr>
          <w:rFonts w:ascii="Times New Roman" w:hAnsi="Times New Roman" w:cs="Times New Roman"/>
          <w:sz w:val="24"/>
          <w:szCs w:val="24"/>
        </w:rPr>
        <w:t>l</w:t>
      </w:r>
      <w:r w:rsidRPr="00217059">
        <w:rPr>
          <w:rFonts w:ascii="Times New Roman" w:hAnsi="Times New Roman" w:cs="Times New Roman"/>
          <w:sz w:val="24"/>
          <w:szCs w:val="24"/>
        </w:rPr>
        <w:t>, a mudança de prefeitos e o mandato eleitoral. A amostra foi composta por 1</w:t>
      </w:r>
      <w:r w:rsidR="00F4670B">
        <w:rPr>
          <w:rFonts w:ascii="Times New Roman" w:hAnsi="Times New Roman" w:cs="Times New Roman"/>
          <w:sz w:val="24"/>
          <w:szCs w:val="24"/>
        </w:rPr>
        <w:t>016</w:t>
      </w:r>
      <w:r w:rsidRPr="00217059">
        <w:rPr>
          <w:rFonts w:ascii="Times New Roman" w:hAnsi="Times New Roman" w:cs="Times New Roman"/>
          <w:sz w:val="24"/>
          <w:szCs w:val="24"/>
        </w:rPr>
        <w:t xml:space="preserve"> municípios </w:t>
      </w:r>
      <w:r w:rsidR="00F4670B">
        <w:rPr>
          <w:rFonts w:ascii="Times New Roman" w:hAnsi="Times New Roman" w:cs="Times New Roman"/>
          <w:sz w:val="24"/>
          <w:szCs w:val="24"/>
        </w:rPr>
        <w:t>brasileiros</w:t>
      </w:r>
      <w:r w:rsidRPr="00217059">
        <w:rPr>
          <w:rFonts w:ascii="Times New Roman" w:hAnsi="Times New Roman" w:cs="Times New Roman"/>
          <w:sz w:val="24"/>
          <w:szCs w:val="24"/>
        </w:rPr>
        <w:t xml:space="preserve"> no período de 2009 a 2016, compreendendo dois ciclos eleitorais. A metodologia utilizada consistiu na técnica de regressão com dados em painel. As evidências revelaram que a variável que indica o ano eleitoral e a variável </w:t>
      </w:r>
      <w:r w:rsidR="00F4670B" w:rsidRPr="00217059">
        <w:rPr>
          <w:rFonts w:ascii="Times New Roman" w:hAnsi="Times New Roman" w:cs="Times New Roman"/>
          <w:sz w:val="24"/>
          <w:szCs w:val="24"/>
        </w:rPr>
        <w:t>que indica o primeiro man</w:t>
      </w:r>
      <w:r w:rsidR="00F4670B">
        <w:rPr>
          <w:rFonts w:ascii="Times New Roman" w:hAnsi="Times New Roman" w:cs="Times New Roman"/>
          <w:sz w:val="24"/>
          <w:szCs w:val="24"/>
        </w:rPr>
        <w:t xml:space="preserve">dato eleitoral </w:t>
      </w:r>
      <w:r w:rsidRPr="00217059">
        <w:rPr>
          <w:rFonts w:ascii="Times New Roman" w:hAnsi="Times New Roman" w:cs="Times New Roman"/>
          <w:sz w:val="24"/>
          <w:szCs w:val="24"/>
        </w:rPr>
        <w:t>exercem influência</w:t>
      </w:r>
      <w:r w:rsidR="00615A70">
        <w:rPr>
          <w:rFonts w:ascii="Times New Roman" w:hAnsi="Times New Roman" w:cs="Times New Roman"/>
          <w:sz w:val="24"/>
          <w:szCs w:val="24"/>
        </w:rPr>
        <w:t xml:space="preserve"> positiva</w:t>
      </w:r>
      <w:r w:rsidRPr="00217059">
        <w:rPr>
          <w:rFonts w:ascii="Times New Roman" w:hAnsi="Times New Roman" w:cs="Times New Roman"/>
          <w:sz w:val="24"/>
          <w:szCs w:val="24"/>
        </w:rPr>
        <w:t xml:space="preserve"> sobre o índice de gasto com pessoal</w:t>
      </w:r>
      <w:r w:rsidR="00615A70">
        <w:rPr>
          <w:rFonts w:ascii="Times New Roman" w:hAnsi="Times New Roman" w:cs="Times New Roman"/>
          <w:sz w:val="24"/>
          <w:szCs w:val="24"/>
        </w:rPr>
        <w:t xml:space="preserve"> ao nível de 1% de significância estatística</w:t>
      </w:r>
      <w:r w:rsidRPr="00217059">
        <w:rPr>
          <w:rFonts w:ascii="Times New Roman" w:hAnsi="Times New Roman" w:cs="Times New Roman"/>
          <w:sz w:val="24"/>
          <w:szCs w:val="24"/>
        </w:rPr>
        <w:t xml:space="preserve"> Já a variável </w:t>
      </w:r>
      <w:r w:rsidR="00F4670B" w:rsidRPr="00217059">
        <w:rPr>
          <w:rFonts w:ascii="Times New Roman" w:hAnsi="Times New Roman" w:cs="Times New Roman"/>
          <w:sz w:val="24"/>
          <w:szCs w:val="24"/>
        </w:rPr>
        <w:t>que in</w:t>
      </w:r>
      <w:r w:rsidR="0048563E">
        <w:rPr>
          <w:rFonts w:ascii="Times New Roman" w:hAnsi="Times New Roman" w:cs="Times New Roman"/>
          <w:sz w:val="24"/>
          <w:szCs w:val="24"/>
        </w:rPr>
        <w:t xml:space="preserve">dica a mudança de prefeito </w:t>
      </w:r>
      <w:r w:rsidRPr="00217059">
        <w:rPr>
          <w:rFonts w:ascii="Times New Roman" w:hAnsi="Times New Roman" w:cs="Times New Roman"/>
          <w:sz w:val="24"/>
          <w:szCs w:val="24"/>
        </w:rPr>
        <w:t>apresentou significância estatística ao nível de 1%</w:t>
      </w:r>
      <w:r w:rsidR="00F4670B">
        <w:rPr>
          <w:rFonts w:ascii="Times New Roman" w:hAnsi="Times New Roman" w:cs="Times New Roman"/>
          <w:sz w:val="24"/>
          <w:szCs w:val="24"/>
        </w:rPr>
        <w:t xml:space="preserve"> com sinal negativo</w:t>
      </w:r>
      <w:r w:rsidRPr="00217059">
        <w:rPr>
          <w:rFonts w:ascii="Times New Roman" w:hAnsi="Times New Roman" w:cs="Times New Roman"/>
          <w:sz w:val="24"/>
          <w:szCs w:val="24"/>
        </w:rPr>
        <w:t xml:space="preserve">. Neste sentido, a pesquisa concluiu que a presença de limitações legais </w:t>
      </w:r>
      <w:r w:rsidR="00F4670B">
        <w:rPr>
          <w:rFonts w:ascii="Times New Roman" w:hAnsi="Times New Roman" w:cs="Times New Roman"/>
          <w:sz w:val="24"/>
          <w:szCs w:val="24"/>
        </w:rPr>
        <w:t>não é suficiente para</w:t>
      </w:r>
      <w:r w:rsidRPr="00217059">
        <w:rPr>
          <w:rFonts w:ascii="Times New Roman" w:hAnsi="Times New Roman" w:cs="Times New Roman"/>
          <w:sz w:val="24"/>
          <w:szCs w:val="24"/>
        </w:rPr>
        <w:t xml:space="preserve"> amenizar os ciclos político-orçamentários</w:t>
      </w:r>
      <w:r w:rsidR="00024F24">
        <w:rPr>
          <w:rFonts w:ascii="Times New Roman" w:hAnsi="Times New Roman" w:cs="Times New Roman"/>
          <w:sz w:val="24"/>
          <w:szCs w:val="24"/>
        </w:rPr>
        <w:t xml:space="preserve"> na despesa com pessoal de municípios brasileiros</w:t>
      </w:r>
      <w:r w:rsidRPr="00217059">
        <w:rPr>
          <w:rFonts w:ascii="Times New Roman" w:hAnsi="Times New Roman" w:cs="Times New Roman"/>
          <w:sz w:val="24"/>
          <w:szCs w:val="24"/>
        </w:rPr>
        <w:t>.</w:t>
      </w:r>
      <w:r w:rsidR="002D251A">
        <w:rPr>
          <w:rFonts w:ascii="Times New Roman" w:hAnsi="Times New Roman" w:cs="Times New Roman"/>
          <w:sz w:val="24"/>
          <w:szCs w:val="24"/>
        </w:rPr>
        <w:t xml:space="preserve"> Além disso, ressalta-se que </w:t>
      </w:r>
      <w:r w:rsidR="002D251A" w:rsidRPr="00B54593">
        <w:rPr>
          <w:rFonts w:ascii="Times New Roman" w:hAnsi="Times New Roman" w:cs="Times New Roman"/>
          <w:sz w:val="24"/>
          <w:szCs w:val="24"/>
        </w:rPr>
        <w:t>a presença de regras fiscais, especificamente a Lei Eleitoral e a L</w:t>
      </w:r>
      <w:r w:rsidR="002D251A">
        <w:rPr>
          <w:rFonts w:ascii="Times New Roman" w:hAnsi="Times New Roman" w:cs="Times New Roman"/>
          <w:sz w:val="24"/>
          <w:szCs w:val="24"/>
        </w:rPr>
        <w:t xml:space="preserve">ei de </w:t>
      </w:r>
      <w:r w:rsidR="002D251A" w:rsidRPr="00B54593">
        <w:rPr>
          <w:rFonts w:ascii="Times New Roman" w:hAnsi="Times New Roman" w:cs="Times New Roman"/>
          <w:sz w:val="24"/>
          <w:szCs w:val="24"/>
        </w:rPr>
        <w:t>R</w:t>
      </w:r>
      <w:r w:rsidR="002D251A">
        <w:rPr>
          <w:rFonts w:ascii="Times New Roman" w:hAnsi="Times New Roman" w:cs="Times New Roman"/>
          <w:sz w:val="24"/>
          <w:szCs w:val="24"/>
        </w:rPr>
        <w:t xml:space="preserve">esponsabilidade </w:t>
      </w:r>
      <w:r w:rsidR="002D251A" w:rsidRPr="00B54593">
        <w:rPr>
          <w:rFonts w:ascii="Times New Roman" w:hAnsi="Times New Roman" w:cs="Times New Roman"/>
          <w:sz w:val="24"/>
          <w:szCs w:val="24"/>
        </w:rPr>
        <w:t>F</w:t>
      </w:r>
      <w:r w:rsidR="002D251A">
        <w:rPr>
          <w:rFonts w:ascii="Times New Roman" w:hAnsi="Times New Roman" w:cs="Times New Roman"/>
          <w:sz w:val="24"/>
          <w:szCs w:val="24"/>
        </w:rPr>
        <w:t>iscal</w:t>
      </w:r>
      <w:r w:rsidR="002D251A" w:rsidRPr="00B54593">
        <w:rPr>
          <w:rFonts w:ascii="Times New Roman" w:hAnsi="Times New Roman" w:cs="Times New Roman"/>
          <w:sz w:val="24"/>
          <w:szCs w:val="24"/>
        </w:rPr>
        <w:t xml:space="preserve">, não impede </w:t>
      </w:r>
      <w:r w:rsidR="002D251A">
        <w:rPr>
          <w:rFonts w:ascii="Times New Roman" w:hAnsi="Times New Roman" w:cs="Times New Roman"/>
          <w:sz w:val="24"/>
          <w:szCs w:val="24"/>
        </w:rPr>
        <w:t xml:space="preserve">efetivamente </w:t>
      </w:r>
      <w:r w:rsidR="002D251A" w:rsidRPr="00B54593">
        <w:rPr>
          <w:rFonts w:ascii="Times New Roman" w:hAnsi="Times New Roman" w:cs="Times New Roman"/>
          <w:sz w:val="24"/>
          <w:szCs w:val="24"/>
        </w:rPr>
        <w:t>a ocorrência de alterações d</w:t>
      </w:r>
      <w:r w:rsidR="002D251A">
        <w:rPr>
          <w:rFonts w:ascii="Times New Roman" w:hAnsi="Times New Roman" w:cs="Times New Roman"/>
          <w:sz w:val="24"/>
          <w:szCs w:val="24"/>
        </w:rPr>
        <w:t>e natureza política na</w:t>
      </w:r>
      <w:r w:rsidR="002D251A" w:rsidRPr="00B54593">
        <w:rPr>
          <w:rFonts w:ascii="Times New Roman" w:hAnsi="Times New Roman" w:cs="Times New Roman"/>
          <w:sz w:val="24"/>
          <w:szCs w:val="24"/>
        </w:rPr>
        <w:t xml:space="preserve"> despesa</w:t>
      </w:r>
      <w:r w:rsidR="002D251A">
        <w:rPr>
          <w:rFonts w:ascii="Times New Roman" w:hAnsi="Times New Roman" w:cs="Times New Roman"/>
          <w:sz w:val="24"/>
          <w:szCs w:val="24"/>
        </w:rPr>
        <w:t xml:space="preserve"> com pessoal e encargos sociais</w:t>
      </w:r>
      <w:r w:rsidR="002D251A" w:rsidRPr="00B54593">
        <w:rPr>
          <w:rFonts w:ascii="Times New Roman" w:hAnsi="Times New Roman" w:cs="Times New Roman"/>
          <w:sz w:val="24"/>
          <w:szCs w:val="24"/>
        </w:rPr>
        <w:t>.</w:t>
      </w:r>
    </w:p>
    <w:p w14:paraId="1999E75F" w14:textId="77777777" w:rsidR="005A021A" w:rsidRPr="00217059" w:rsidRDefault="005A021A" w:rsidP="005A021A">
      <w:pPr>
        <w:spacing w:line="240" w:lineRule="auto"/>
        <w:contextualSpacing/>
        <w:jc w:val="both"/>
        <w:rPr>
          <w:rFonts w:ascii="Times New Roman" w:hAnsi="Times New Roman" w:cs="Times New Roman"/>
          <w:sz w:val="24"/>
          <w:szCs w:val="24"/>
        </w:rPr>
      </w:pPr>
    </w:p>
    <w:p w14:paraId="404DEADF" w14:textId="61D87896" w:rsidR="005A021A" w:rsidRDefault="005A021A" w:rsidP="005A021A">
      <w:pPr>
        <w:spacing w:line="240" w:lineRule="auto"/>
        <w:contextualSpacing/>
        <w:jc w:val="both"/>
        <w:rPr>
          <w:rFonts w:ascii="Times New Roman" w:hAnsi="Times New Roman" w:cs="Times New Roman"/>
          <w:sz w:val="24"/>
          <w:szCs w:val="24"/>
        </w:rPr>
      </w:pPr>
      <w:r w:rsidRPr="0001178B">
        <w:rPr>
          <w:rFonts w:ascii="Times New Roman" w:hAnsi="Times New Roman" w:cs="Times New Roman"/>
          <w:b/>
          <w:sz w:val="24"/>
          <w:szCs w:val="24"/>
        </w:rPr>
        <w:t>Palavras-chave:</w:t>
      </w:r>
      <w:r w:rsidRPr="00217059">
        <w:rPr>
          <w:rFonts w:ascii="Times New Roman" w:hAnsi="Times New Roman" w:cs="Times New Roman"/>
          <w:sz w:val="24"/>
          <w:szCs w:val="24"/>
        </w:rPr>
        <w:t xml:space="preserve"> Ciclos político</w:t>
      </w:r>
      <w:r w:rsidR="00CD57BD">
        <w:rPr>
          <w:rFonts w:ascii="Times New Roman" w:hAnsi="Times New Roman" w:cs="Times New Roman"/>
          <w:sz w:val="24"/>
          <w:szCs w:val="24"/>
        </w:rPr>
        <w:t>-orçamentários</w:t>
      </w:r>
      <w:r w:rsidRPr="00217059">
        <w:rPr>
          <w:rFonts w:ascii="Times New Roman" w:hAnsi="Times New Roman" w:cs="Times New Roman"/>
          <w:sz w:val="24"/>
          <w:szCs w:val="24"/>
        </w:rPr>
        <w:t>, Lei de responsabilidade fiscal, Regras fiscais.</w:t>
      </w:r>
    </w:p>
    <w:p w14:paraId="0838522B" w14:textId="77777777" w:rsidR="0001178B" w:rsidRDefault="0001178B" w:rsidP="005A021A">
      <w:pPr>
        <w:spacing w:line="240" w:lineRule="auto"/>
        <w:contextualSpacing/>
        <w:jc w:val="both"/>
        <w:rPr>
          <w:rFonts w:ascii="Times New Roman" w:hAnsi="Times New Roman" w:cs="Times New Roman"/>
          <w:sz w:val="24"/>
          <w:szCs w:val="24"/>
        </w:rPr>
      </w:pPr>
    </w:p>
    <w:p w14:paraId="73B4F756" w14:textId="77777777" w:rsidR="0001178B" w:rsidRPr="005F2534" w:rsidRDefault="0001178B" w:rsidP="005A021A">
      <w:pPr>
        <w:spacing w:line="240" w:lineRule="auto"/>
        <w:contextualSpacing/>
        <w:jc w:val="both"/>
        <w:rPr>
          <w:rFonts w:ascii="Times New Roman" w:hAnsi="Times New Roman" w:cs="Times New Roman"/>
          <w:b/>
          <w:sz w:val="24"/>
          <w:szCs w:val="24"/>
        </w:rPr>
      </w:pPr>
      <w:r w:rsidRPr="005F2534">
        <w:rPr>
          <w:rFonts w:ascii="Times New Roman" w:hAnsi="Times New Roman" w:cs="Times New Roman"/>
          <w:b/>
          <w:sz w:val="24"/>
          <w:szCs w:val="24"/>
        </w:rPr>
        <w:t>Abstract</w:t>
      </w:r>
    </w:p>
    <w:p w14:paraId="214DF9D0" w14:textId="32FFEAD5" w:rsidR="00CD57BD" w:rsidRDefault="005F2534" w:rsidP="005A021A">
      <w:pPr>
        <w:spacing w:line="240" w:lineRule="auto"/>
        <w:contextualSpacing/>
        <w:jc w:val="both"/>
        <w:rPr>
          <w:rFonts w:ascii="Times New Roman" w:hAnsi="Times New Roman" w:cs="Times New Roman"/>
          <w:sz w:val="24"/>
          <w:szCs w:val="24"/>
          <w:highlight w:val="yellow"/>
          <w:lang w:val="en-US"/>
        </w:rPr>
      </w:pPr>
      <w:r w:rsidRPr="005F2534">
        <w:rPr>
          <w:rFonts w:ascii="Times New Roman" w:hAnsi="Times New Roman" w:cs="Times New Roman"/>
          <w:sz w:val="24"/>
          <w:szCs w:val="24"/>
          <w:lang w:val="en-US"/>
        </w:rPr>
        <w:t xml:space="preserve">The literature on political cycles shows that the institutional context and the presence of fiscal rules are factors that determine the presence and magnitude of such cycles. It is understood that limitations imposed on public managers can reduce the scope for opportunistic manipulation. Thus, the objective of the research was to analyze the influence of political factors on the </w:t>
      </w:r>
      <w:r w:rsidRPr="00CD57BD">
        <w:rPr>
          <w:rFonts w:ascii="Times New Roman" w:hAnsi="Times New Roman" w:cs="Times New Roman"/>
          <w:sz w:val="24"/>
          <w:szCs w:val="24"/>
          <w:lang w:val="en-US"/>
        </w:rPr>
        <w:lastRenderedPageBreak/>
        <w:t>Personnel Expenditure Index</w:t>
      </w:r>
      <w:r w:rsidRPr="005F2534">
        <w:rPr>
          <w:rFonts w:ascii="Times New Roman" w:hAnsi="Times New Roman" w:cs="Times New Roman"/>
          <w:sz w:val="24"/>
          <w:szCs w:val="24"/>
          <w:lang w:val="en-US"/>
        </w:rPr>
        <w:t xml:space="preserve"> (P</w:t>
      </w:r>
      <w:r w:rsidR="00CD57BD">
        <w:rPr>
          <w:rFonts w:ascii="Times New Roman" w:hAnsi="Times New Roman" w:cs="Times New Roman"/>
          <w:sz w:val="24"/>
          <w:szCs w:val="24"/>
          <w:lang w:val="en-US"/>
        </w:rPr>
        <w:t>E</w:t>
      </w:r>
      <w:r w:rsidRPr="005F2534">
        <w:rPr>
          <w:rFonts w:ascii="Times New Roman" w:hAnsi="Times New Roman" w:cs="Times New Roman"/>
          <w:sz w:val="24"/>
          <w:szCs w:val="24"/>
          <w:lang w:val="en-US"/>
        </w:rPr>
        <w:t xml:space="preserve">I) defined by the Fiscal Responsibility Law, considering the </w:t>
      </w:r>
      <w:r w:rsidR="00CD57BD">
        <w:rPr>
          <w:rFonts w:ascii="Times New Roman" w:hAnsi="Times New Roman" w:cs="Times New Roman"/>
          <w:sz w:val="24"/>
          <w:szCs w:val="24"/>
          <w:lang w:val="en-US"/>
        </w:rPr>
        <w:t>PEI</w:t>
      </w:r>
      <w:r w:rsidRPr="005F2534">
        <w:rPr>
          <w:rFonts w:ascii="Times New Roman" w:hAnsi="Times New Roman" w:cs="Times New Roman"/>
          <w:sz w:val="24"/>
          <w:szCs w:val="24"/>
          <w:lang w:val="en-US"/>
        </w:rPr>
        <w:t xml:space="preserve"> a</w:t>
      </w:r>
      <w:r w:rsidR="00CD57BD">
        <w:rPr>
          <w:rFonts w:ascii="Times New Roman" w:hAnsi="Times New Roman" w:cs="Times New Roman"/>
          <w:sz w:val="24"/>
          <w:szCs w:val="24"/>
          <w:lang w:val="en-US"/>
        </w:rPr>
        <w:t>s a fiscal</w:t>
      </w:r>
      <w:r w:rsidRPr="005F2534">
        <w:rPr>
          <w:rFonts w:ascii="Times New Roman" w:hAnsi="Times New Roman" w:cs="Times New Roman"/>
          <w:sz w:val="24"/>
          <w:szCs w:val="24"/>
          <w:lang w:val="en-US"/>
        </w:rPr>
        <w:t xml:space="preserve"> variable with legal limitations. As political factors, three variables, described in the literature, capable of influencing fiscal variables were used: the electoral year, the change of mayors and the electoral mandate. </w:t>
      </w:r>
      <w:r w:rsidR="00CD57BD" w:rsidRPr="00A20FD6">
        <w:rPr>
          <w:rFonts w:ascii="Times New Roman" w:hAnsi="Times New Roman"/>
          <w:sz w:val="24"/>
          <w:szCs w:val="24"/>
          <w:lang w:val="en-CA"/>
        </w:rPr>
        <w:t xml:space="preserve">The sample was composed </w:t>
      </w:r>
      <w:r w:rsidRPr="005F2534">
        <w:rPr>
          <w:rFonts w:ascii="Times New Roman" w:hAnsi="Times New Roman" w:cs="Times New Roman"/>
          <w:sz w:val="24"/>
          <w:szCs w:val="24"/>
          <w:lang w:val="en-US"/>
        </w:rPr>
        <w:t xml:space="preserve">of 1016 Brazilian municipalities from 2009 to 2016, </w:t>
      </w:r>
      <w:r w:rsidR="00CD57BD" w:rsidRPr="00A20FD6">
        <w:rPr>
          <w:rFonts w:ascii="Times New Roman" w:hAnsi="Times New Roman"/>
          <w:sz w:val="24"/>
          <w:szCs w:val="24"/>
          <w:lang w:val="en-CA"/>
        </w:rPr>
        <w:t>comprehending</w:t>
      </w:r>
      <w:r w:rsidR="00CD57BD">
        <w:rPr>
          <w:rFonts w:ascii="Times New Roman" w:hAnsi="Times New Roman"/>
          <w:sz w:val="24"/>
          <w:szCs w:val="24"/>
          <w:lang w:val="en-CA"/>
        </w:rPr>
        <w:t xml:space="preserve"> the </w:t>
      </w:r>
      <w:r w:rsidR="00CD57BD" w:rsidRPr="00A20FD6">
        <w:rPr>
          <w:rFonts w:ascii="Times New Roman" w:hAnsi="Times New Roman"/>
          <w:sz w:val="24"/>
          <w:szCs w:val="24"/>
          <w:lang w:val="en-CA"/>
        </w:rPr>
        <w:t>t</w:t>
      </w:r>
      <w:r w:rsidR="00CD57BD">
        <w:rPr>
          <w:rFonts w:ascii="Times New Roman" w:hAnsi="Times New Roman"/>
          <w:sz w:val="24"/>
          <w:szCs w:val="24"/>
          <w:lang w:val="en-CA"/>
        </w:rPr>
        <w:t>wo</w:t>
      </w:r>
      <w:r w:rsidR="00CD57BD" w:rsidRPr="00A20FD6">
        <w:rPr>
          <w:rFonts w:ascii="Times New Roman" w:hAnsi="Times New Roman"/>
          <w:sz w:val="24"/>
          <w:szCs w:val="24"/>
          <w:lang w:val="en-CA"/>
        </w:rPr>
        <w:t xml:space="preserve"> electoral cycles</w:t>
      </w:r>
      <w:r w:rsidRPr="005F2534">
        <w:rPr>
          <w:rFonts w:ascii="Times New Roman" w:hAnsi="Times New Roman" w:cs="Times New Roman"/>
          <w:sz w:val="24"/>
          <w:szCs w:val="24"/>
          <w:lang w:val="en-US"/>
        </w:rPr>
        <w:t xml:space="preserve">. The methodology used consisted of the regression technique with panel data. Evidence revealed that the variable indicating the electoral year and the variable indicating the first electoral mandate exert a positive influence on the </w:t>
      </w:r>
      <w:r w:rsidR="00CD57BD" w:rsidRPr="00CD57BD">
        <w:rPr>
          <w:rFonts w:ascii="Times New Roman" w:hAnsi="Times New Roman" w:cs="Times New Roman"/>
          <w:sz w:val="24"/>
          <w:szCs w:val="24"/>
          <w:lang w:val="en-US"/>
        </w:rPr>
        <w:t>PEI</w:t>
      </w:r>
      <w:r w:rsidR="00CD57BD" w:rsidRPr="005F2534">
        <w:rPr>
          <w:rFonts w:ascii="Times New Roman" w:hAnsi="Times New Roman" w:cs="Times New Roman"/>
          <w:sz w:val="24"/>
          <w:szCs w:val="24"/>
          <w:lang w:val="en-US"/>
        </w:rPr>
        <w:t xml:space="preserve"> </w:t>
      </w:r>
      <w:r w:rsidRPr="005F2534">
        <w:rPr>
          <w:rFonts w:ascii="Times New Roman" w:hAnsi="Times New Roman" w:cs="Times New Roman"/>
          <w:sz w:val="24"/>
          <w:szCs w:val="24"/>
          <w:lang w:val="en-US"/>
        </w:rPr>
        <w:t xml:space="preserve">at the level of 1% of statistical significance. The variable indicating the change of mayor showed statistical significance at the level of 1% with a negative signal. In this sense, the research concluded that the presence of legal limitations is not enough to soften the political-budget cycles in the </w:t>
      </w:r>
      <w:r w:rsidR="00CD57BD">
        <w:rPr>
          <w:rFonts w:ascii="Times New Roman" w:hAnsi="Times New Roman" w:cs="Times New Roman"/>
          <w:sz w:val="24"/>
          <w:szCs w:val="24"/>
          <w:lang w:val="en-US"/>
        </w:rPr>
        <w:t>p</w:t>
      </w:r>
      <w:r w:rsidR="00CD57BD" w:rsidRPr="00CD57BD">
        <w:rPr>
          <w:rFonts w:ascii="Times New Roman" w:hAnsi="Times New Roman" w:cs="Times New Roman"/>
          <w:sz w:val="24"/>
          <w:szCs w:val="24"/>
          <w:lang w:val="en-US"/>
        </w:rPr>
        <w:t xml:space="preserve">ersonnel expenditures </w:t>
      </w:r>
      <w:r w:rsidRPr="005F2534">
        <w:rPr>
          <w:rFonts w:ascii="Times New Roman" w:hAnsi="Times New Roman" w:cs="Times New Roman"/>
          <w:sz w:val="24"/>
          <w:szCs w:val="24"/>
          <w:lang w:val="en-US"/>
        </w:rPr>
        <w:t xml:space="preserve">of Brazilian municipalities. In addition, it should be noted that the presence of fiscal rules, specifically the Electoral Law and the Fiscal Responsibility Law, does not effectively prevent the occurrence of political changes in </w:t>
      </w:r>
      <w:r w:rsidR="00CD57BD">
        <w:rPr>
          <w:rFonts w:ascii="Times New Roman" w:hAnsi="Times New Roman" w:cs="Times New Roman"/>
          <w:sz w:val="24"/>
          <w:szCs w:val="24"/>
          <w:lang w:val="en-US"/>
        </w:rPr>
        <w:t>p</w:t>
      </w:r>
      <w:r w:rsidR="00CD57BD" w:rsidRPr="00CD57BD">
        <w:rPr>
          <w:rFonts w:ascii="Times New Roman" w:hAnsi="Times New Roman" w:cs="Times New Roman"/>
          <w:sz w:val="24"/>
          <w:szCs w:val="24"/>
          <w:lang w:val="en-US"/>
        </w:rPr>
        <w:t xml:space="preserve">ersonnel expenditures </w:t>
      </w:r>
      <w:r w:rsidRPr="005F2534">
        <w:rPr>
          <w:rFonts w:ascii="Times New Roman" w:hAnsi="Times New Roman" w:cs="Times New Roman"/>
          <w:sz w:val="24"/>
          <w:szCs w:val="24"/>
          <w:lang w:val="en-US"/>
        </w:rPr>
        <w:t>and social charges.</w:t>
      </w:r>
    </w:p>
    <w:p w14:paraId="1C3FED0B" w14:textId="77777777" w:rsidR="004E41A6" w:rsidRDefault="004E41A6" w:rsidP="005A021A">
      <w:pPr>
        <w:spacing w:line="240" w:lineRule="auto"/>
        <w:contextualSpacing/>
        <w:jc w:val="both"/>
        <w:rPr>
          <w:rFonts w:ascii="Times New Roman" w:hAnsi="Times New Roman" w:cs="Times New Roman"/>
          <w:b/>
          <w:sz w:val="24"/>
          <w:szCs w:val="24"/>
          <w:lang w:val="en-US"/>
        </w:rPr>
      </w:pPr>
    </w:p>
    <w:p w14:paraId="00819588" w14:textId="18921464" w:rsidR="0001178B" w:rsidRPr="00CD57BD" w:rsidRDefault="0001178B" w:rsidP="005A021A">
      <w:pPr>
        <w:spacing w:line="240" w:lineRule="auto"/>
        <w:contextualSpacing/>
        <w:jc w:val="both"/>
        <w:rPr>
          <w:rFonts w:ascii="Times New Roman" w:hAnsi="Times New Roman" w:cs="Times New Roman"/>
          <w:sz w:val="24"/>
          <w:szCs w:val="24"/>
          <w:highlight w:val="yellow"/>
          <w:lang w:val="en-US"/>
        </w:rPr>
      </w:pPr>
      <w:r w:rsidRPr="00CD57BD">
        <w:rPr>
          <w:rFonts w:ascii="Times New Roman" w:hAnsi="Times New Roman" w:cs="Times New Roman"/>
          <w:b/>
          <w:sz w:val="24"/>
          <w:szCs w:val="24"/>
          <w:lang w:val="en-US"/>
        </w:rPr>
        <w:t>Keywords:</w:t>
      </w:r>
      <w:r w:rsidR="00CD57BD" w:rsidRPr="00CD57BD">
        <w:rPr>
          <w:rFonts w:ascii="Times New Roman" w:hAnsi="Times New Roman" w:cs="Times New Roman"/>
          <w:b/>
          <w:sz w:val="24"/>
          <w:szCs w:val="24"/>
          <w:lang w:val="en-US"/>
        </w:rPr>
        <w:t xml:space="preserve"> </w:t>
      </w:r>
      <w:r w:rsidR="00CD57BD" w:rsidRPr="00CD57BD">
        <w:rPr>
          <w:rFonts w:ascii="Times New Roman" w:hAnsi="Times New Roman" w:cs="Times New Roman"/>
          <w:sz w:val="24"/>
          <w:szCs w:val="24"/>
          <w:lang w:val="en-US"/>
        </w:rPr>
        <w:t>Political budget cycles, Fiscal responsibility law, Fiscal rules.</w:t>
      </w:r>
    </w:p>
    <w:p w14:paraId="06523C7B" w14:textId="77777777" w:rsidR="005A021A" w:rsidRPr="00CD57BD" w:rsidRDefault="005A021A" w:rsidP="00B64057">
      <w:pPr>
        <w:spacing w:after="120" w:line="240" w:lineRule="auto"/>
        <w:jc w:val="both"/>
        <w:rPr>
          <w:rFonts w:ascii="Times New Roman" w:hAnsi="Times New Roman" w:cs="Times New Roman"/>
          <w:sz w:val="24"/>
          <w:szCs w:val="24"/>
          <w:lang w:val="en-US"/>
        </w:rPr>
      </w:pPr>
    </w:p>
    <w:p w14:paraId="1BE6E565" w14:textId="77777777" w:rsidR="005A021A" w:rsidRPr="00217059" w:rsidRDefault="0001178B" w:rsidP="00B64057">
      <w:pPr>
        <w:pStyle w:val="PargrafodaLista"/>
        <w:numPr>
          <w:ilvl w:val="0"/>
          <w:numId w:val="2"/>
        </w:numPr>
        <w:spacing w:after="120" w:line="240" w:lineRule="auto"/>
        <w:ind w:left="142" w:hanging="142"/>
        <w:contextualSpacing w:val="0"/>
        <w:jc w:val="both"/>
        <w:rPr>
          <w:rFonts w:ascii="Times New Roman" w:hAnsi="Times New Roman" w:cs="Times New Roman"/>
          <w:b/>
          <w:sz w:val="24"/>
          <w:szCs w:val="24"/>
        </w:rPr>
      </w:pPr>
      <w:r w:rsidRPr="00217059">
        <w:rPr>
          <w:rFonts w:ascii="Times New Roman" w:hAnsi="Times New Roman" w:cs="Times New Roman"/>
          <w:b/>
          <w:sz w:val="24"/>
          <w:szCs w:val="24"/>
        </w:rPr>
        <w:t>Introdução</w:t>
      </w:r>
    </w:p>
    <w:p w14:paraId="03FB2733" w14:textId="77777777" w:rsidR="005A021A" w:rsidRPr="00217059" w:rsidRDefault="00024F24" w:rsidP="00B64057">
      <w:pPr>
        <w:spacing w:after="12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Ao estabelecer os fundamentos</w:t>
      </w:r>
      <w:r w:rsidRPr="00217059">
        <w:rPr>
          <w:rFonts w:ascii="Times New Roman" w:hAnsi="Times New Roman" w:cs="Times New Roman"/>
          <w:sz w:val="24"/>
          <w:szCs w:val="24"/>
        </w:rPr>
        <w:t xml:space="preserve"> </w:t>
      </w:r>
      <w:r>
        <w:rPr>
          <w:rFonts w:ascii="Times New Roman" w:hAnsi="Times New Roman" w:cs="Times New Roman"/>
          <w:sz w:val="24"/>
          <w:szCs w:val="24"/>
        </w:rPr>
        <w:t>d</w:t>
      </w:r>
      <w:r w:rsidRPr="00217059">
        <w:rPr>
          <w:rFonts w:ascii="Times New Roman" w:hAnsi="Times New Roman" w:cs="Times New Roman"/>
          <w:sz w:val="24"/>
          <w:szCs w:val="24"/>
        </w:rPr>
        <w:t xml:space="preserve">a </w:t>
      </w:r>
      <w:r>
        <w:rPr>
          <w:rFonts w:ascii="Times New Roman" w:hAnsi="Times New Roman" w:cs="Times New Roman"/>
          <w:sz w:val="24"/>
          <w:szCs w:val="24"/>
        </w:rPr>
        <w:t>teoria dos</w:t>
      </w:r>
      <w:r w:rsidR="005A021A" w:rsidRPr="00217059">
        <w:rPr>
          <w:rFonts w:ascii="Times New Roman" w:hAnsi="Times New Roman" w:cs="Times New Roman"/>
          <w:sz w:val="24"/>
          <w:szCs w:val="24"/>
        </w:rPr>
        <w:t xml:space="preserve"> ciclos políticos, </w:t>
      </w:r>
      <w:proofErr w:type="spellStart"/>
      <w:r w:rsidR="005A021A" w:rsidRPr="00217059">
        <w:rPr>
          <w:rFonts w:ascii="Times New Roman" w:hAnsi="Times New Roman" w:cs="Times New Roman"/>
          <w:sz w:val="24"/>
          <w:szCs w:val="24"/>
        </w:rPr>
        <w:t>Downs</w:t>
      </w:r>
      <w:proofErr w:type="spellEnd"/>
      <w:r w:rsidR="005A021A" w:rsidRPr="00217059">
        <w:rPr>
          <w:rFonts w:ascii="Times New Roman" w:hAnsi="Times New Roman" w:cs="Times New Roman"/>
          <w:sz w:val="24"/>
          <w:szCs w:val="24"/>
        </w:rPr>
        <w:t xml:space="preserve"> (1957)</w:t>
      </w:r>
      <w:r>
        <w:rPr>
          <w:rFonts w:ascii="Times New Roman" w:hAnsi="Times New Roman" w:cs="Times New Roman"/>
          <w:sz w:val="24"/>
          <w:szCs w:val="24"/>
        </w:rPr>
        <w:t xml:space="preserve"> parte da premissa de</w:t>
      </w:r>
      <w:r w:rsidR="005A021A" w:rsidRPr="00217059">
        <w:rPr>
          <w:rFonts w:ascii="Times New Roman" w:hAnsi="Times New Roman" w:cs="Times New Roman"/>
          <w:sz w:val="24"/>
          <w:szCs w:val="24"/>
        </w:rPr>
        <w:t xml:space="preserve"> que todos os agentes na divisão do trabalho possuem funções sociais e motivações privadas. Assim, as pessoas exercem funções sociais como um subproduto de seus fins privados, como a obtenção de renda, prestigio e poder. O autor relaciona a economia e o calendário eleitoral, indicando manipulação de políticas econômicas por parte dos gestores públicos em períodos pré-eleitorais, desviando-as do “socialmente ótimo” até o ponto em que lhes seja conveniente.</w:t>
      </w:r>
    </w:p>
    <w:p w14:paraId="551B7900" w14:textId="0EF0FFA2" w:rsidR="005A021A" w:rsidRPr="00217059" w:rsidRDefault="005A021A" w:rsidP="00B64057">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Dentro desse contexto, </w:t>
      </w:r>
      <w:proofErr w:type="spellStart"/>
      <w:r w:rsidRPr="00217059">
        <w:rPr>
          <w:rFonts w:ascii="Times New Roman" w:hAnsi="Times New Roman" w:cs="Times New Roman"/>
          <w:sz w:val="24"/>
          <w:szCs w:val="24"/>
        </w:rPr>
        <w:t>Nordhaus</w:t>
      </w:r>
      <w:proofErr w:type="spellEnd"/>
      <w:r w:rsidRPr="00217059">
        <w:rPr>
          <w:rFonts w:ascii="Times New Roman" w:hAnsi="Times New Roman" w:cs="Times New Roman"/>
          <w:sz w:val="24"/>
          <w:szCs w:val="24"/>
        </w:rPr>
        <w:t xml:space="preserve"> (1975) elaborou um modelo denominado </w:t>
      </w:r>
      <w:proofErr w:type="spellStart"/>
      <w:r w:rsidR="00F5448F" w:rsidRPr="00217059">
        <w:rPr>
          <w:rFonts w:ascii="Times New Roman" w:hAnsi="Times New Roman" w:cs="Times New Roman"/>
          <w:i/>
          <w:sz w:val="24"/>
          <w:szCs w:val="24"/>
        </w:rPr>
        <w:t>Political</w:t>
      </w:r>
      <w:proofErr w:type="spellEnd"/>
      <w:r w:rsidR="00F5448F" w:rsidRPr="00217059">
        <w:rPr>
          <w:rFonts w:ascii="Times New Roman" w:hAnsi="Times New Roman" w:cs="Times New Roman"/>
          <w:i/>
          <w:sz w:val="24"/>
          <w:szCs w:val="24"/>
        </w:rPr>
        <w:t xml:space="preserve"> Business </w:t>
      </w:r>
      <w:proofErr w:type="spellStart"/>
      <w:r w:rsidR="00F5448F" w:rsidRPr="00217059">
        <w:rPr>
          <w:rFonts w:ascii="Times New Roman" w:hAnsi="Times New Roman" w:cs="Times New Roman"/>
          <w:i/>
          <w:sz w:val="24"/>
          <w:szCs w:val="24"/>
        </w:rPr>
        <w:t>Cycle</w:t>
      </w:r>
      <w:proofErr w:type="spellEnd"/>
      <w:r w:rsidRPr="00217059">
        <w:rPr>
          <w:rFonts w:ascii="Times New Roman" w:hAnsi="Times New Roman" w:cs="Times New Roman"/>
          <w:sz w:val="24"/>
          <w:szCs w:val="24"/>
        </w:rPr>
        <w:t xml:space="preserve">, no qual foi analisado o </w:t>
      </w:r>
      <w:r w:rsidRPr="006C451A">
        <w:rPr>
          <w:rFonts w:ascii="Times New Roman" w:hAnsi="Times New Roman" w:cs="Times New Roman"/>
          <w:i/>
          <w:sz w:val="24"/>
          <w:szCs w:val="24"/>
        </w:rPr>
        <w:t>trade-off</w:t>
      </w:r>
      <w:r w:rsidR="00024F24">
        <w:rPr>
          <w:rFonts w:ascii="Times New Roman" w:hAnsi="Times New Roman" w:cs="Times New Roman"/>
          <w:sz w:val="24"/>
          <w:szCs w:val="24"/>
        </w:rPr>
        <w:t xml:space="preserve"> entre inflação e desemprego</w:t>
      </w:r>
      <w:r w:rsidRPr="00217059">
        <w:rPr>
          <w:rFonts w:ascii="Times New Roman" w:hAnsi="Times New Roman" w:cs="Times New Roman"/>
          <w:sz w:val="24"/>
          <w:szCs w:val="24"/>
        </w:rPr>
        <w:t>. O autor utilizou o pressuposto de que os eleitores possuem uma memória decadente</w:t>
      </w:r>
      <w:r w:rsidR="00024F24">
        <w:rPr>
          <w:rFonts w:ascii="Times New Roman" w:hAnsi="Times New Roman" w:cs="Times New Roman"/>
          <w:sz w:val="24"/>
          <w:szCs w:val="24"/>
        </w:rPr>
        <w:t xml:space="preserve"> em</w:t>
      </w:r>
      <w:r w:rsidRPr="00217059">
        <w:rPr>
          <w:rFonts w:ascii="Times New Roman" w:hAnsi="Times New Roman" w:cs="Times New Roman"/>
          <w:sz w:val="24"/>
          <w:szCs w:val="24"/>
        </w:rPr>
        <w:t xml:space="preserve"> relação aos eventos passados, </w:t>
      </w:r>
      <w:r w:rsidR="00E222D4">
        <w:rPr>
          <w:rFonts w:ascii="Times New Roman" w:hAnsi="Times New Roman" w:cs="Times New Roman"/>
          <w:sz w:val="24"/>
          <w:szCs w:val="24"/>
        </w:rPr>
        <w:t>ou seja</w:t>
      </w:r>
      <w:r w:rsidRPr="00217059">
        <w:rPr>
          <w:rFonts w:ascii="Times New Roman" w:hAnsi="Times New Roman" w:cs="Times New Roman"/>
          <w:sz w:val="24"/>
          <w:szCs w:val="24"/>
        </w:rPr>
        <w:t xml:space="preserve">, os eventos mais recentes possuem um peso maior na decisão de voto dos eleitores. A conclusão geral do estudo mostra que os candidatos utilizam a manipulação de instrumentos econômicos para construir o cenário ideal para reeleição ou manutenção do partido no poder, e, posteriormente, revertem suas ações oportunistas. </w:t>
      </w:r>
    </w:p>
    <w:p w14:paraId="19FDD04E"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proofErr w:type="spellStart"/>
      <w:r w:rsidRPr="00217059">
        <w:rPr>
          <w:rFonts w:ascii="Times New Roman" w:hAnsi="Times New Roman" w:cs="Times New Roman"/>
          <w:sz w:val="24"/>
          <w:szCs w:val="24"/>
        </w:rPr>
        <w:t>Rogoff</w:t>
      </w:r>
      <w:proofErr w:type="spellEnd"/>
      <w:r w:rsidRPr="00217059">
        <w:rPr>
          <w:rFonts w:ascii="Times New Roman" w:hAnsi="Times New Roman" w:cs="Times New Roman"/>
          <w:sz w:val="24"/>
          <w:szCs w:val="24"/>
        </w:rPr>
        <w:t xml:space="preserve"> e </w:t>
      </w:r>
      <w:proofErr w:type="spellStart"/>
      <w:r w:rsidRPr="00217059">
        <w:rPr>
          <w:rFonts w:ascii="Times New Roman" w:hAnsi="Times New Roman" w:cs="Times New Roman"/>
          <w:sz w:val="24"/>
          <w:szCs w:val="24"/>
        </w:rPr>
        <w:t>Sibert</w:t>
      </w:r>
      <w:proofErr w:type="spellEnd"/>
      <w:r w:rsidRPr="00217059">
        <w:rPr>
          <w:rFonts w:ascii="Times New Roman" w:hAnsi="Times New Roman" w:cs="Times New Roman"/>
          <w:sz w:val="24"/>
          <w:szCs w:val="24"/>
        </w:rPr>
        <w:t xml:space="preserve"> (1988) consideraram a existência de assimetrias informacionais entre eleitores e governantes, sendo este um fator que possibilita a manipulação de políticas fiscais por meio de aumento dos gastos mais aparentes, utilizados como meio de avaliação da competência do gestor. Os autores afirmam ainda que os governantes usam o conhecimento limitado do eleitor com relação aos elementos contidos nos relatórios contábeis para benefício próprio. </w:t>
      </w:r>
    </w:p>
    <w:p w14:paraId="392CED4B" w14:textId="225E1C83" w:rsidR="005A021A" w:rsidRPr="00217059" w:rsidRDefault="005A021A" w:rsidP="009426BA">
      <w:pPr>
        <w:spacing w:line="240" w:lineRule="auto"/>
        <w:ind w:firstLine="709"/>
        <w:contextualSpacing/>
        <w:jc w:val="both"/>
        <w:rPr>
          <w:rFonts w:ascii="Times New Roman" w:hAnsi="Times New Roman" w:cs="Times New Roman"/>
          <w:sz w:val="24"/>
          <w:szCs w:val="24"/>
        </w:rPr>
      </w:pPr>
      <w:proofErr w:type="spellStart"/>
      <w:r w:rsidRPr="00217059">
        <w:rPr>
          <w:rFonts w:ascii="Times New Roman" w:hAnsi="Times New Roman" w:cs="Times New Roman"/>
          <w:sz w:val="24"/>
          <w:szCs w:val="24"/>
        </w:rPr>
        <w:t>Rogoff</w:t>
      </w:r>
      <w:proofErr w:type="spellEnd"/>
      <w:r w:rsidRPr="00217059">
        <w:rPr>
          <w:rFonts w:ascii="Times New Roman" w:hAnsi="Times New Roman" w:cs="Times New Roman"/>
          <w:sz w:val="24"/>
          <w:szCs w:val="24"/>
        </w:rPr>
        <w:t xml:space="preserve"> (1990) propôs um modelo denominado </w:t>
      </w:r>
      <w:proofErr w:type="spellStart"/>
      <w:r w:rsidRPr="00217059">
        <w:rPr>
          <w:rFonts w:ascii="Times New Roman" w:hAnsi="Times New Roman" w:cs="Times New Roman"/>
          <w:i/>
          <w:sz w:val="24"/>
          <w:szCs w:val="24"/>
        </w:rPr>
        <w:t>Political</w:t>
      </w:r>
      <w:proofErr w:type="spellEnd"/>
      <w:r w:rsidRPr="00217059">
        <w:rPr>
          <w:rFonts w:ascii="Times New Roman" w:hAnsi="Times New Roman" w:cs="Times New Roman"/>
          <w:i/>
          <w:sz w:val="24"/>
          <w:szCs w:val="24"/>
        </w:rPr>
        <w:t xml:space="preserve"> Budget </w:t>
      </w:r>
      <w:proofErr w:type="spellStart"/>
      <w:r w:rsidRPr="00217059">
        <w:rPr>
          <w:rFonts w:ascii="Times New Roman" w:hAnsi="Times New Roman" w:cs="Times New Roman"/>
          <w:i/>
          <w:sz w:val="24"/>
          <w:szCs w:val="24"/>
        </w:rPr>
        <w:t>Cycle</w:t>
      </w:r>
      <w:proofErr w:type="spellEnd"/>
      <w:r w:rsidRPr="00217059">
        <w:rPr>
          <w:rFonts w:ascii="Times New Roman" w:hAnsi="Times New Roman" w:cs="Times New Roman"/>
          <w:sz w:val="24"/>
          <w:szCs w:val="24"/>
        </w:rPr>
        <w:t>, sob a perspectiva de</w:t>
      </w:r>
      <w:r w:rsidR="00024F24">
        <w:rPr>
          <w:rFonts w:ascii="Times New Roman" w:hAnsi="Times New Roman" w:cs="Times New Roman"/>
          <w:sz w:val="24"/>
          <w:szCs w:val="24"/>
        </w:rPr>
        <w:t xml:space="preserve"> que</w:t>
      </w:r>
      <w:r w:rsidRPr="00217059">
        <w:rPr>
          <w:rFonts w:ascii="Times New Roman" w:hAnsi="Times New Roman" w:cs="Times New Roman"/>
          <w:sz w:val="24"/>
          <w:szCs w:val="24"/>
        </w:rPr>
        <w:t xml:space="preserve"> eleitores racionais irão optar por candidatos que lhe ofereçam uma expectativa de bem-estar maior. Seus achados evidenciaram que os governantes possuem vantagem sobre os demais candidatos, tendo </w:t>
      </w:r>
      <w:r w:rsidR="002F7868">
        <w:rPr>
          <w:rFonts w:ascii="Times New Roman" w:hAnsi="Times New Roman" w:cs="Times New Roman"/>
          <w:sz w:val="24"/>
          <w:szCs w:val="24"/>
        </w:rPr>
        <w:t xml:space="preserve">amplo </w:t>
      </w:r>
      <w:r w:rsidRPr="00217059">
        <w:rPr>
          <w:rFonts w:ascii="Times New Roman" w:hAnsi="Times New Roman" w:cs="Times New Roman"/>
          <w:sz w:val="24"/>
          <w:szCs w:val="24"/>
        </w:rPr>
        <w:t xml:space="preserve">acesso </w:t>
      </w:r>
      <w:r w:rsidR="002F7868">
        <w:rPr>
          <w:rFonts w:ascii="Times New Roman" w:hAnsi="Times New Roman" w:cs="Times New Roman"/>
          <w:sz w:val="24"/>
          <w:szCs w:val="24"/>
        </w:rPr>
        <w:t>aos recursos públicos</w:t>
      </w:r>
      <w:r w:rsidRPr="00217059">
        <w:rPr>
          <w:rFonts w:ascii="Times New Roman" w:hAnsi="Times New Roman" w:cs="Times New Roman"/>
          <w:sz w:val="24"/>
          <w:szCs w:val="24"/>
        </w:rPr>
        <w:t xml:space="preserve"> e maximizando as despesas de visualização imediata no período pré-eleitoral. O modelo apontou que as despesas correntes estão relacionadas à sinalização da competência do governante. </w:t>
      </w:r>
      <w:proofErr w:type="spellStart"/>
      <w:r w:rsidRPr="00217059">
        <w:rPr>
          <w:rFonts w:ascii="Times New Roman" w:hAnsi="Times New Roman" w:cs="Times New Roman"/>
          <w:sz w:val="24"/>
          <w:szCs w:val="24"/>
        </w:rPr>
        <w:t>Rogoff</w:t>
      </w:r>
      <w:proofErr w:type="spellEnd"/>
      <w:r w:rsidRPr="00217059">
        <w:rPr>
          <w:rFonts w:ascii="Times New Roman" w:hAnsi="Times New Roman" w:cs="Times New Roman"/>
          <w:sz w:val="24"/>
          <w:szCs w:val="24"/>
        </w:rPr>
        <w:t xml:space="preserve"> (1990) menciona também que alterações institucionais podem suavizar a margem para o comportamento oportunista por parte dos governantes.</w:t>
      </w:r>
    </w:p>
    <w:p w14:paraId="0B982F7D"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Alguns estudos analisaram a influência do contexto institucional sobre os ciclos políticos. Em pesquisa aplicada </w:t>
      </w:r>
      <w:r w:rsidR="00024F24">
        <w:rPr>
          <w:rFonts w:ascii="Times New Roman" w:hAnsi="Times New Roman" w:cs="Times New Roman"/>
          <w:sz w:val="24"/>
          <w:szCs w:val="24"/>
        </w:rPr>
        <w:t>aos</w:t>
      </w:r>
      <w:r w:rsidRPr="00217059">
        <w:rPr>
          <w:rFonts w:ascii="Times New Roman" w:hAnsi="Times New Roman" w:cs="Times New Roman"/>
          <w:sz w:val="24"/>
          <w:szCs w:val="24"/>
        </w:rPr>
        <w:t xml:space="preserve"> estados norte-americanos, Rose (2006) concluiu que na presença de regras orçamentarias restritivas, os ciclos políticos-orçamentários são amortecidos, </w:t>
      </w:r>
      <w:r w:rsidRPr="00217059">
        <w:rPr>
          <w:rFonts w:ascii="Times New Roman" w:hAnsi="Times New Roman" w:cs="Times New Roman"/>
          <w:sz w:val="24"/>
          <w:szCs w:val="24"/>
        </w:rPr>
        <w:lastRenderedPageBreak/>
        <w:t xml:space="preserve">enquanto os estados que não possuem tais restrições estão mais propensos à volatilidade fiscal. Contrariando os achados de Rose (2006), </w:t>
      </w:r>
      <w:proofErr w:type="spellStart"/>
      <w:r w:rsidRPr="00217059">
        <w:rPr>
          <w:rFonts w:ascii="Times New Roman" w:hAnsi="Times New Roman" w:cs="Times New Roman"/>
          <w:sz w:val="24"/>
          <w:szCs w:val="24"/>
        </w:rPr>
        <w:t>Streb</w:t>
      </w:r>
      <w:proofErr w:type="spellEnd"/>
      <w:r w:rsidRPr="00217059">
        <w:rPr>
          <w:rFonts w:ascii="Times New Roman" w:hAnsi="Times New Roman" w:cs="Times New Roman"/>
          <w:sz w:val="24"/>
          <w:szCs w:val="24"/>
        </w:rPr>
        <w:t xml:space="preserve"> e </w:t>
      </w:r>
      <w:proofErr w:type="spellStart"/>
      <w:r w:rsidRPr="00217059">
        <w:rPr>
          <w:rFonts w:ascii="Times New Roman" w:hAnsi="Times New Roman" w:cs="Times New Roman"/>
          <w:sz w:val="24"/>
          <w:szCs w:val="24"/>
        </w:rPr>
        <w:t>Torrens</w:t>
      </w:r>
      <w:proofErr w:type="spellEnd"/>
      <w:r w:rsidRPr="00217059">
        <w:rPr>
          <w:rFonts w:ascii="Times New Roman" w:hAnsi="Times New Roman" w:cs="Times New Roman"/>
          <w:sz w:val="24"/>
          <w:szCs w:val="24"/>
        </w:rPr>
        <w:t xml:space="preserve"> (2013) encontraram evidencias de que as regras fiscais não são suficientes para evitar a ocorrência dos ciclos políticos, acrescentando que se faz necessária a capacidade de supervisão e fiscalização sobre o poder executivo.</w:t>
      </w:r>
    </w:p>
    <w:p w14:paraId="68628EB2" w14:textId="49A6C592"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Reportando-se especificamente às despesas com pessoal, </w:t>
      </w:r>
      <w:r w:rsidR="00024F24">
        <w:rPr>
          <w:rFonts w:ascii="Times New Roman" w:hAnsi="Times New Roman" w:cs="Times New Roman"/>
          <w:sz w:val="24"/>
          <w:szCs w:val="24"/>
        </w:rPr>
        <w:t>a literatura aponta que essas despesas sofrem alterações ao longo do ciclo eleitoral.</w:t>
      </w:r>
      <w:r w:rsidRPr="00217059">
        <w:rPr>
          <w:rFonts w:ascii="Times New Roman" w:hAnsi="Times New Roman" w:cs="Times New Roman"/>
          <w:sz w:val="24"/>
          <w:szCs w:val="24"/>
        </w:rPr>
        <w:t xml:space="preserve"> Em pesquisa realizada em 42 países em desenvolvimento, no período de 1975 a 2001, </w:t>
      </w:r>
      <w:proofErr w:type="spellStart"/>
      <w:r w:rsidRPr="00217059">
        <w:rPr>
          <w:rFonts w:ascii="Times New Roman" w:hAnsi="Times New Roman" w:cs="Times New Roman"/>
          <w:sz w:val="24"/>
          <w:szCs w:val="24"/>
        </w:rPr>
        <w:t>Vergne</w:t>
      </w:r>
      <w:proofErr w:type="spellEnd"/>
      <w:r w:rsidRPr="00217059">
        <w:rPr>
          <w:rFonts w:ascii="Times New Roman" w:hAnsi="Times New Roman" w:cs="Times New Roman"/>
          <w:sz w:val="24"/>
          <w:szCs w:val="24"/>
        </w:rPr>
        <w:t xml:space="preserve"> (2009) demonstrou a existência de ciclos políticos</w:t>
      </w:r>
      <w:r w:rsidR="007B30DA">
        <w:rPr>
          <w:rFonts w:ascii="Times New Roman" w:hAnsi="Times New Roman" w:cs="Times New Roman"/>
          <w:sz w:val="24"/>
          <w:szCs w:val="24"/>
        </w:rPr>
        <w:t>,</w:t>
      </w:r>
      <w:r w:rsidRPr="00217059">
        <w:rPr>
          <w:rFonts w:ascii="Times New Roman" w:hAnsi="Times New Roman" w:cs="Times New Roman"/>
          <w:sz w:val="24"/>
          <w:szCs w:val="24"/>
        </w:rPr>
        <w:t xml:space="preserve"> encontrando evidências de maximização da despesa com pessoal. Já </w:t>
      </w:r>
      <w:proofErr w:type="spellStart"/>
      <w:r w:rsidRPr="00217059">
        <w:rPr>
          <w:rFonts w:ascii="Times New Roman" w:hAnsi="Times New Roman" w:cs="Times New Roman"/>
          <w:sz w:val="24"/>
          <w:szCs w:val="24"/>
        </w:rPr>
        <w:t>Brender</w:t>
      </w:r>
      <w:proofErr w:type="spellEnd"/>
      <w:r w:rsidRPr="00217059">
        <w:rPr>
          <w:rFonts w:ascii="Times New Roman" w:hAnsi="Times New Roman" w:cs="Times New Roman"/>
          <w:sz w:val="24"/>
          <w:szCs w:val="24"/>
        </w:rPr>
        <w:t xml:space="preserve"> (2</w:t>
      </w:r>
      <w:r w:rsidR="00024F24">
        <w:rPr>
          <w:rFonts w:ascii="Times New Roman" w:hAnsi="Times New Roman" w:cs="Times New Roman"/>
          <w:sz w:val="24"/>
          <w:szCs w:val="24"/>
        </w:rPr>
        <w:t>003)</w:t>
      </w:r>
      <w:r w:rsidRPr="00217059">
        <w:rPr>
          <w:rFonts w:ascii="Times New Roman" w:hAnsi="Times New Roman" w:cs="Times New Roman"/>
          <w:sz w:val="24"/>
          <w:szCs w:val="24"/>
        </w:rPr>
        <w:t xml:space="preserve"> e Queiroz (2015), obtiveram resultados que relacionam os períodos eleitorais à redução desse gasto.</w:t>
      </w:r>
    </w:p>
    <w:p w14:paraId="28093D06" w14:textId="10E7FAA0"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Diante da necessidade de controle das finanças públicas e buscando também a redução de assimetrias informacionais, a Lei Complementar nº 101/2000, conhecida como a Lei de Responsabilidade Fiscal (LRF),</w:t>
      </w:r>
      <w:r w:rsidR="00024F24">
        <w:rPr>
          <w:rFonts w:ascii="Times New Roman" w:hAnsi="Times New Roman" w:cs="Times New Roman"/>
          <w:sz w:val="24"/>
          <w:szCs w:val="24"/>
        </w:rPr>
        <w:t xml:space="preserve"> apresenta, entre outros </w:t>
      </w:r>
      <w:r w:rsidRPr="00217059">
        <w:rPr>
          <w:rFonts w:ascii="Times New Roman" w:hAnsi="Times New Roman" w:cs="Times New Roman"/>
          <w:sz w:val="24"/>
          <w:szCs w:val="24"/>
        </w:rPr>
        <w:t>dispositivos</w:t>
      </w:r>
      <w:r w:rsidR="00024F24">
        <w:rPr>
          <w:rFonts w:ascii="Times New Roman" w:hAnsi="Times New Roman" w:cs="Times New Roman"/>
          <w:sz w:val="24"/>
          <w:szCs w:val="24"/>
        </w:rPr>
        <w:t>,</w:t>
      </w:r>
      <w:r w:rsidRPr="00217059">
        <w:rPr>
          <w:rFonts w:ascii="Times New Roman" w:hAnsi="Times New Roman" w:cs="Times New Roman"/>
          <w:sz w:val="24"/>
          <w:szCs w:val="24"/>
        </w:rPr>
        <w:t xml:space="preserve"> o estabelecimento de limites para gastos com pessoal e encargos sociais. Tais limites objetivam a obtenção de uma postura transparente por parte do governo, prevenindo riscos e corrigindo ações que venham a afetar o equilíbrio das contas públicas.</w:t>
      </w:r>
    </w:p>
    <w:p w14:paraId="0576DA69"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Baseando-se nas pesquisas acima citadas e buscando analisar a influência das restrições institucionais sobre os ciclos políticos no Brasil, surge o questionamento: Qual a influência de fatores políticos sobre o índice de gastos com pessoal definido pela Lei de Responsabilidade Fiscal?</w:t>
      </w:r>
    </w:p>
    <w:p w14:paraId="48834656" w14:textId="38C750EF" w:rsidR="002D251A" w:rsidRDefault="005A021A" w:rsidP="002D251A">
      <w:pPr>
        <w:spacing w:after="100" w:afterAutospacing="1" w:line="240" w:lineRule="auto"/>
        <w:ind w:firstLine="576"/>
        <w:contextualSpacing/>
        <w:jc w:val="both"/>
        <w:rPr>
          <w:rFonts w:ascii="Times New Roman" w:hAnsi="Times New Roman"/>
          <w:sz w:val="24"/>
          <w:szCs w:val="24"/>
        </w:rPr>
      </w:pPr>
      <w:r w:rsidRPr="00217059">
        <w:rPr>
          <w:rFonts w:ascii="Times New Roman" w:hAnsi="Times New Roman" w:cs="Times New Roman"/>
          <w:sz w:val="24"/>
          <w:szCs w:val="24"/>
        </w:rPr>
        <w:t>Para fins dessa pesquisa, foram considerados três fatores relacionados aos ciclos políticos: ano eleitoral, mudança de gestor público e mandato eleitoral. Nesse sentido, o objetivo da pesquisa consiste em verificar a influência do ano eleitoral, da mudança de gestor público e do mandato eleitoral sobre o índice de gastos com pessoal definido pela Lei de Responsabilidade Fiscal.</w:t>
      </w:r>
      <w:r w:rsidR="002D251A">
        <w:rPr>
          <w:rFonts w:ascii="Times New Roman" w:hAnsi="Times New Roman" w:cs="Times New Roman"/>
          <w:sz w:val="24"/>
          <w:szCs w:val="24"/>
        </w:rPr>
        <w:t xml:space="preserve"> </w:t>
      </w:r>
      <w:r w:rsidR="002D251A" w:rsidRPr="00E77F30">
        <w:rPr>
          <w:rFonts w:ascii="Times New Roman" w:hAnsi="Times New Roman"/>
          <w:sz w:val="24"/>
          <w:szCs w:val="24"/>
        </w:rPr>
        <w:t>Para a realização da análise</w:t>
      </w:r>
      <w:r w:rsidR="002D251A">
        <w:rPr>
          <w:rFonts w:ascii="Times New Roman" w:hAnsi="Times New Roman"/>
          <w:sz w:val="24"/>
          <w:szCs w:val="24"/>
        </w:rPr>
        <w:t>,</w:t>
      </w:r>
      <w:r w:rsidR="002D251A" w:rsidRPr="00E77F30">
        <w:rPr>
          <w:rFonts w:ascii="Times New Roman" w:hAnsi="Times New Roman"/>
          <w:sz w:val="24"/>
          <w:szCs w:val="24"/>
        </w:rPr>
        <w:t xml:space="preserve"> foi </w:t>
      </w:r>
      <w:r w:rsidR="002D251A">
        <w:rPr>
          <w:rFonts w:ascii="Times New Roman" w:hAnsi="Times New Roman"/>
          <w:sz w:val="24"/>
          <w:szCs w:val="24"/>
        </w:rPr>
        <w:t xml:space="preserve">utilizada </w:t>
      </w:r>
      <w:r w:rsidR="002D251A" w:rsidRPr="00E77F30">
        <w:rPr>
          <w:rFonts w:ascii="Times New Roman" w:hAnsi="Times New Roman"/>
          <w:sz w:val="24"/>
          <w:szCs w:val="24"/>
        </w:rPr>
        <w:t xml:space="preserve">uma amostra composta </w:t>
      </w:r>
      <w:r w:rsidR="00636B5A">
        <w:rPr>
          <w:rFonts w:ascii="Times New Roman" w:hAnsi="Times New Roman"/>
          <w:sz w:val="24"/>
          <w:szCs w:val="24"/>
        </w:rPr>
        <w:t xml:space="preserve">por </w:t>
      </w:r>
      <w:r w:rsidR="002D251A" w:rsidRPr="00E77F30">
        <w:rPr>
          <w:rFonts w:ascii="Times New Roman" w:hAnsi="Times New Roman"/>
          <w:sz w:val="24"/>
          <w:szCs w:val="24"/>
        </w:rPr>
        <w:t>1</w:t>
      </w:r>
      <w:r w:rsidR="002D251A">
        <w:rPr>
          <w:rFonts w:ascii="Times New Roman" w:hAnsi="Times New Roman"/>
          <w:sz w:val="24"/>
          <w:szCs w:val="24"/>
        </w:rPr>
        <w:t>016</w:t>
      </w:r>
      <w:r w:rsidR="002D251A" w:rsidRPr="00E77F30">
        <w:rPr>
          <w:rFonts w:ascii="Times New Roman" w:hAnsi="Times New Roman"/>
          <w:sz w:val="24"/>
          <w:szCs w:val="24"/>
        </w:rPr>
        <w:t xml:space="preserve"> municípios</w:t>
      </w:r>
      <w:r w:rsidR="002D251A">
        <w:rPr>
          <w:rFonts w:ascii="Times New Roman" w:hAnsi="Times New Roman"/>
          <w:sz w:val="24"/>
          <w:szCs w:val="24"/>
        </w:rPr>
        <w:t xml:space="preserve"> brasileiros</w:t>
      </w:r>
      <w:r w:rsidR="002D251A" w:rsidRPr="00E77F30">
        <w:rPr>
          <w:rFonts w:ascii="Times New Roman" w:hAnsi="Times New Roman"/>
          <w:sz w:val="24"/>
          <w:szCs w:val="24"/>
        </w:rPr>
        <w:t xml:space="preserve"> no </w:t>
      </w:r>
      <w:r w:rsidR="002D251A">
        <w:rPr>
          <w:rFonts w:ascii="Times New Roman" w:hAnsi="Times New Roman"/>
          <w:sz w:val="24"/>
          <w:szCs w:val="24"/>
        </w:rPr>
        <w:t>período de 2009</w:t>
      </w:r>
      <w:r w:rsidR="002D251A" w:rsidRPr="00E77F30">
        <w:rPr>
          <w:rFonts w:ascii="Times New Roman" w:hAnsi="Times New Roman"/>
          <w:sz w:val="24"/>
          <w:szCs w:val="24"/>
        </w:rPr>
        <w:t xml:space="preserve"> a 2016. </w:t>
      </w:r>
      <w:r w:rsidR="002D251A">
        <w:rPr>
          <w:rFonts w:ascii="Times New Roman" w:hAnsi="Times New Roman"/>
          <w:sz w:val="24"/>
          <w:szCs w:val="24"/>
        </w:rPr>
        <w:t>O processamento dos dados se deu pela aplicação de</w:t>
      </w:r>
      <w:r w:rsidR="002D251A" w:rsidRPr="00E77F30">
        <w:rPr>
          <w:rFonts w:ascii="Times New Roman" w:hAnsi="Times New Roman"/>
          <w:sz w:val="24"/>
          <w:szCs w:val="24"/>
        </w:rPr>
        <w:t xml:space="preserve"> um modelo de regressão</w:t>
      </w:r>
      <w:r w:rsidR="002D251A">
        <w:rPr>
          <w:rFonts w:ascii="Times New Roman" w:hAnsi="Times New Roman"/>
          <w:sz w:val="24"/>
          <w:szCs w:val="24"/>
        </w:rPr>
        <w:t xml:space="preserve"> com dados em painel</w:t>
      </w:r>
      <w:r w:rsidR="002D251A" w:rsidRPr="00E77F30">
        <w:rPr>
          <w:rFonts w:ascii="Times New Roman" w:hAnsi="Times New Roman"/>
          <w:sz w:val="24"/>
          <w:szCs w:val="24"/>
        </w:rPr>
        <w:t>.</w:t>
      </w:r>
    </w:p>
    <w:p w14:paraId="5E528A1E"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A pesquisa contribui para o estudo dos ciclos políticos brasileiros na medida em que verifica os efeitos de fatores políticos sobre uma variável fiscal sujeita a limites impostos pela LRF e por normas eleitorais. Nesse sentido, os resultados dessa pesquisa permitem ampliar o conhecimento sobre ciclos político-orçamentários no contexto brasileiro, tendo em vista suas particularidades institucionais.</w:t>
      </w:r>
    </w:p>
    <w:p w14:paraId="1F899929" w14:textId="77777777" w:rsidR="005A021A" w:rsidRPr="00217059" w:rsidRDefault="005A021A" w:rsidP="00B64057">
      <w:pPr>
        <w:spacing w:after="120" w:line="240" w:lineRule="auto"/>
        <w:ind w:firstLine="709"/>
        <w:jc w:val="both"/>
        <w:rPr>
          <w:rFonts w:ascii="Times New Roman" w:hAnsi="Times New Roman" w:cs="Times New Roman"/>
          <w:sz w:val="24"/>
          <w:szCs w:val="24"/>
        </w:rPr>
      </w:pPr>
    </w:p>
    <w:p w14:paraId="7CC581D3" w14:textId="77777777" w:rsidR="005A021A" w:rsidRPr="00B64057" w:rsidRDefault="0001178B" w:rsidP="00B64057">
      <w:pPr>
        <w:pStyle w:val="PargrafodaLista"/>
        <w:numPr>
          <w:ilvl w:val="0"/>
          <w:numId w:val="2"/>
        </w:numPr>
        <w:tabs>
          <w:tab w:val="left" w:pos="284"/>
        </w:tabs>
        <w:spacing w:after="120" w:line="240" w:lineRule="auto"/>
        <w:ind w:left="284" w:hanging="284"/>
        <w:contextualSpacing w:val="0"/>
        <w:jc w:val="both"/>
        <w:rPr>
          <w:rFonts w:ascii="Times New Roman" w:hAnsi="Times New Roman" w:cs="Times New Roman"/>
          <w:b/>
          <w:sz w:val="24"/>
          <w:szCs w:val="24"/>
        </w:rPr>
      </w:pPr>
      <w:r w:rsidRPr="00B64057">
        <w:rPr>
          <w:rFonts w:ascii="Times New Roman" w:hAnsi="Times New Roman" w:cs="Times New Roman"/>
          <w:b/>
          <w:sz w:val="24"/>
          <w:szCs w:val="24"/>
        </w:rPr>
        <w:t>Fundamentação Teórica</w:t>
      </w:r>
    </w:p>
    <w:p w14:paraId="401263E1" w14:textId="77777777" w:rsidR="005A021A" w:rsidRPr="00217059" w:rsidRDefault="005A021A" w:rsidP="00B64057">
      <w:pPr>
        <w:spacing w:after="120" w:line="240" w:lineRule="auto"/>
        <w:jc w:val="both"/>
        <w:rPr>
          <w:rFonts w:ascii="Times New Roman" w:hAnsi="Times New Roman" w:cs="Times New Roman"/>
          <w:b/>
          <w:sz w:val="24"/>
          <w:szCs w:val="24"/>
        </w:rPr>
      </w:pPr>
      <w:r w:rsidRPr="00217059">
        <w:rPr>
          <w:rFonts w:ascii="Times New Roman" w:hAnsi="Times New Roman" w:cs="Times New Roman"/>
          <w:b/>
          <w:sz w:val="24"/>
          <w:szCs w:val="24"/>
        </w:rPr>
        <w:t>2.1</w:t>
      </w:r>
      <w:r w:rsidR="00B64057">
        <w:rPr>
          <w:rFonts w:ascii="Times New Roman" w:hAnsi="Times New Roman" w:cs="Times New Roman"/>
          <w:b/>
          <w:sz w:val="24"/>
          <w:szCs w:val="24"/>
        </w:rPr>
        <w:t xml:space="preserve"> </w:t>
      </w:r>
      <w:r w:rsidRPr="00217059">
        <w:rPr>
          <w:rFonts w:ascii="Times New Roman" w:hAnsi="Times New Roman" w:cs="Times New Roman"/>
          <w:b/>
          <w:sz w:val="24"/>
          <w:szCs w:val="24"/>
        </w:rPr>
        <w:t>Teoria dos Ciclos Políticos</w:t>
      </w:r>
    </w:p>
    <w:p w14:paraId="1C8E7BB1" w14:textId="77777777" w:rsidR="005A021A" w:rsidRPr="00217059" w:rsidRDefault="005A021A" w:rsidP="00B64057">
      <w:pPr>
        <w:spacing w:after="120" w:line="240" w:lineRule="auto"/>
        <w:ind w:firstLine="709"/>
        <w:contextualSpacing/>
        <w:jc w:val="both"/>
        <w:rPr>
          <w:rFonts w:ascii="Times New Roman" w:hAnsi="Times New Roman" w:cs="Times New Roman"/>
          <w:sz w:val="24"/>
          <w:szCs w:val="24"/>
        </w:rPr>
      </w:pPr>
      <w:proofErr w:type="spellStart"/>
      <w:r w:rsidRPr="00217059">
        <w:rPr>
          <w:rFonts w:ascii="Times New Roman" w:hAnsi="Times New Roman" w:cs="Times New Roman"/>
          <w:sz w:val="24"/>
          <w:szCs w:val="24"/>
        </w:rPr>
        <w:t>Downs</w:t>
      </w:r>
      <w:proofErr w:type="spellEnd"/>
      <w:r w:rsidRPr="00217059">
        <w:rPr>
          <w:rFonts w:ascii="Times New Roman" w:hAnsi="Times New Roman" w:cs="Times New Roman"/>
          <w:sz w:val="24"/>
          <w:szCs w:val="24"/>
        </w:rPr>
        <w:t xml:space="preserve"> (1957), sendo um dos precursores da Teoria dos Ciclos Políticos, consid</w:t>
      </w:r>
      <w:r w:rsidR="00024F24">
        <w:rPr>
          <w:rFonts w:ascii="Times New Roman" w:hAnsi="Times New Roman" w:cs="Times New Roman"/>
          <w:sz w:val="24"/>
          <w:szCs w:val="24"/>
        </w:rPr>
        <w:t>era que o governante</w:t>
      </w:r>
      <w:r w:rsidRPr="00217059">
        <w:rPr>
          <w:rFonts w:ascii="Times New Roman" w:hAnsi="Times New Roman" w:cs="Times New Roman"/>
          <w:sz w:val="24"/>
          <w:szCs w:val="24"/>
        </w:rPr>
        <w:t xml:space="preserve">, como um agente da divisão do trabalho, possui tanto uma função social quanto uma motivação privada. Assim, os gestores públicos direcionam a execução de políticas públicas motivados por interesses particulares, como a obtenção de renda, prestigio e poder. A principal hipótese de </w:t>
      </w:r>
      <w:proofErr w:type="spellStart"/>
      <w:r w:rsidRPr="00217059">
        <w:rPr>
          <w:rFonts w:ascii="Times New Roman" w:hAnsi="Times New Roman" w:cs="Times New Roman"/>
          <w:sz w:val="24"/>
          <w:szCs w:val="24"/>
        </w:rPr>
        <w:t>Downs</w:t>
      </w:r>
      <w:proofErr w:type="spellEnd"/>
      <w:r w:rsidRPr="00217059">
        <w:rPr>
          <w:rFonts w:ascii="Times New Roman" w:hAnsi="Times New Roman" w:cs="Times New Roman"/>
          <w:sz w:val="24"/>
          <w:szCs w:val="24"/>
        </w:rPr>
        <w:t xml:space="preserve"> (1957) consiste na ideia de que em uma democracia, a prioridade dos partidos políticos é a maximização dos votos e não o bem-estar social. O autor afirma ainda que existe manipulação de políticas econômicas no período anterior as eleições, estabelecendo dessa forma, que a economia pode ser influenciada pelo calendário eleitoral.</w:t>
      </w:r>
    </w:p>
    <w:p w14:paraId="212BFDAF" w14:textId="77777777" w:rsidR="005A021A" w:rsidRPr="00217059" w:rsidRDefault="005A021A" w:rsidP="00B64057">
      <w:pPr>
        <w:spacing w:line="240" w:lineRule="auto"/>
        <w:ind w:firstLine="709"/>
        <w:contextualSpacing/>
        <w:jc w:val="both"/>
        <w:rPr>
          <w:rFonts w:ascii="Times New Roman" w:hAnsi="Times New Roman" w:cs="Times New Roman"/>
          <w:sz w:val="24"/>
          <w:szCs w:val="24"/>
        </w:rPr>
      </w:pPr>
      <w:proofErr w:type="spellStart"/>
      <w:r w:rsidRPr="00217059">
        <w:rPr>
          <w:rFonts w:ascii="Times New Roman" w:hAnsi="Times New Roman" w:cs="Times New Roman"/>
          <w:sz w:val="24"/>
          <w:szCs w:val="24"/>
        </w:rPr>
        <w:t>Nordhaus</w:t>
      </w:r>
      <w:proofErr w:type="spellEnd"/>
      <w:r w:rsidRPr="00217059">
        <w:rPr>
          <w:rFonts w:ascii="Times New Roman" w:hAnsi="Times New Roman" w:cs="Times New Roman"/>
          <w:sz w:val="24"/>
          <w:szCs w:val="24"/>
        </w:rPr>
        <w:t xml:space="preserve"> (1975) impulsionou o estudo dos ciclos políticos propondo o </w:t>
      </w:r>
      <w:proofErr w:type="spellStart"/>
      <w:r w:rsidR="00F5448F" w:rsidRPr="00217059">
        <w:rPr>
          <w:rFonts w:ascii="Times New Roman" w:hAnsi="Times New Roman" w:cs="Times New Roman"/>
          <w:i/>
          <w:sz w:val="24"/>
          <w:szCs w:val="24"/>
        </w:rPr>
        <w:t>Political</w:t>
      </w:r>
      <w:proofErr w:type="spellEnd"/>
      <w:r w:rsidR="00F5448F" w:rsidRPr="00217059">
        <w:rPr>
          <w:rFonts w:ascii="Times New Roman" w:hAnsi="Times New Roman" w:cs="Times New Roman"/>
          <w:i/>
          <w:sz w:val="24"/>
          <w:szCs w:val="24"/>
        </w:rPr>
        <w:t xml:space="preserve"> Business </w:t>
      </w:r>
      <w:proofErr w:type="spellStart"/>
      <w:r w:rsidR="00F5448F" w:rsidRPr="00217059">
        <w:rPr>
          <w:rFonts w:ascii="Times New Roman" w:hAnsi="Times New Roman" w:cs="Times New Roman"/>
          <w:i/>
          <w:sz w:val="24"/>
          <w:szCs w:val="24"/>
        </w:rPr>
        <w:t>Cycle</w:t>
      </w:r>
      <w:proofErr w:type="spellEnd"/>
      <w:r w:rsidRPr="00217059">
        <w:rPr>
          <w:rFonts w:ascii="Times New Roman" w:hAnsi="Times New Roman" w:cs="Times New Roman"/>
          <w:sz w:val="24"/>
          <w:szCs w:val="24"/>
        </w:rPr>
        <w:t xml:space="preserve">, criando um dos primeiros estudos formais baseados em um modelo oportunista. Foi analisado o </w:t>
      </w:r>
      <w:r w:rsidRPr="0048563E">
        <w:rPr>
          <w:rFonts w:ascii="Times New Roman" w:hAnsi="Times New Roman" w:cs="Times New Roman"/>
          <w:i/>
          <w:sz w:val="24"/>
          <w:szCs w:val="24"/>
        </w:rPr>
        <w:t>trade-off</w:t>
      </w:r>
      <w:r w:rsidRPr="00217059">
        <w:rPr>
          <w:rFonts w:ascii="Times New Roman" w:hAnsi="Times New Roman" w:cs="Times New Roman"/>
          <w:sz w:val="24"/>
          <w:szCs w:val="24"/>
        </w:rPr>
        <w:t xml:space="preserve"> entre a inflação e o desemprego (curva de </w:t>
      </w:r>
      <w:r w:rsidRPr="00217059">
        <w:rPr>
          <w:rFonts w:ascii="Times New Roman" w:hAnsi="Times New Roman" w:cs="Times New Roman"/>
          <w:i/>
          <w:sz w:val="24"/>
          <w:szCs w:val="24"/>
        </w:rPr>
        <w:t>Phillips</w:t>
      </w:r>
      <w:r w:rsidRPr="00217059">
        <w:rPr>
          <w:rFonts w:ascii="Times New Roman" w:hAnsi="Times New Roman" w:cs="Times New Roman"/>
          <w:sz w:val="24"/>
          <w:szCs w:val="24"/>
        </w:rPr>
        <w:t xml:space="preserve">), levando-se em consideração que essas variáveis podem influenciar o comportamento dos indivíduos no período pré-eleitoral. O autor afirma que mesmo utilizando os eventos passados como base na </w:t>
      </w:r>
      <w:r w:rsidRPr="00217059">
        <w:rPr>
          <w:rFonts w:ascii="Times New Roman" w:hAnsi="Times New Roman" w:cs="Times New Roman"/>
          <w:sz w:val="24"/>
          <w:szCs w:val="24"/>
        </w:rPr>
        <w:lastRenderedPageBreak/>
        <w:t xml:space="preserve">construção de suas decisões políticas, a memória dos eleitores é decadente. Portanto, os acontecimentos do período pré-eleitoral provavelmente se sobrepõem aos eventos passados. </w:t>
      </w:r>
    </w:p>
    <w:p w14:paraId="2FAFE7E2"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proofErr w:type="spellStart"/>
      <w:r w:rsidRPr="00217059">
        <w:rPr>
          <w:rFonts w:ascii="Times New Roman" w:hAnsi="Times New Roman" w:cs="Times New Roman"/>
          <w:sz w:val="24"/>
          <w:szCs w:val="24"/>
        </w:rPr>
        <w:t>Nordhaus</w:t>
      </w:r>
      <w:proofErr w:type="spellEnd"/>
      <w:r w:rsidRPr="00217059">
        <w:rPr>
          <w:rFonts w:ascii="Times New Roman" w:hAnsi="Times New Roman" w:cs="Times New Roman"/>
          <w:sz w:val="24"/>
          <w:szCs w:val="24"/>
        </w:rPr>
        <w:t xml:space="preserve"> (1975) constatou que com a proximidade das eleições os governantes manipulam os instrumentos de política econômica até o ponto puramente “míope” aos eleitores, estabelecendo o cenário econômico ideal, visando sempre a reeleição ou a manutenção do seu partido no poder. Após o período eleitoral, os candidatos reeleitos adotam medidas que revertem as consequências da política econômica implementada no período eleitoral.</w:t>
      </w:r>
    </w:p>
    <w:p w14:paraId="0A5FA39E"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Diferindo de </w:t>
      </w:r>
      <w:proofErr w:type="spellStart"/>
      <w:r w:rsidRPr="00217059">
        <w:rPr>
          <w:rFonts w:ascii="Times New Roman" w:hAnsi="Times New Roman" w:cs="Times New Roman"/>
          <w:sz w:val="24"/>
          <w:szCs w:val="24"/>
        </w:rPr>
        <w:t>Nordhaus</w:t>
      </w:r>
      <w:proofErr w:type="spellEnd"/>
      <w:r w:rsidRPr="00217059">
        <w:rPr>
          <w:rFonts w:ascii="Times New Roman" w:hAnsi="Times New Roman" w:cs="Times New Roman"/>
          <w:sz w:val="24"/>
          <w:szCs w:val="24"/>
        </w:rPr>
        <w:t xml:space="preserve"> (1975), </w:t>
      </w:r>
      <w:proofErr w:type="spellStart"/>
      <w:r w:rsidRPr="00217059">
        <w:rPr>
          <w:rFonts w:ascii="Times New Roman" w:hAnsi="Times New Roman" w:cs="Times New Roman"/>
          <w:sz w:val="24"/>
          <w:szCs w:val="24"/>
        </w:rPr>
        <w:t>Hibbs</w:t>
      </w:r>
      <w:proofErr w:type="spellEnd"/>
      <w:r w:rsidRPr="00217059">
        <w:rPr>
          <w:rFonts w:ascii="Times New Roman" w:hAnsi="Times New Roman" w:cs="Times New Roman"/>
          <w:sz w:val="24"/>
          <w:szCs w:val="24"/>
        </w:rPr>
        <w:t xml:space="preserve"> </w:t>
      </w:r>
      <w:r w:rsidR="000960FD" w:rsidRPr="00217059">
        <w:rPr>
          <w:rFonts w:ascii="Times New Roman" w:hAnsi="Times New Roman" w:cs="Times New Roman"/>
          <w:sz w:val="24"/>
          <w:szCs w:val="24"/>
        </w:rPr>
        <w:t xml:space="preserve">Junior </w:t>
      </w:r>
      <w:r w:rsidRPr="00217059">
        <w:rPr>
          <w:rFonts w:ascii="Times New Roman" w:hAnsi="Times New Roman" w:cs="Times New Roman"/>
          <w:sz w:val="24"/>
          <w:szCs w:val="24"/>
        </w:rPr>
        <w:t xml:space="preserve">(1977) introduziu o viés ideológico aos ciclos políticos. Sua pesquisa analisou o padrão das políticas macroeconômicas em 12 países, incluindo Estados Unidos e Inglaterra. </w:t>
      </w:r>
      <w:proofErr w:type="spellStart"/>
      <w:r w:rsidRPr="00217059">
        <w:rPr>
          <w:rFonts w:ascii="Times New Roman" w:hAnsi="Times New Roman" w:cs="Times New Roman"/>
          <w:sz w:val="24"/>
          <w:szCs w:val="24"/>
        </w:rPr>
        <w:t>Hibbs</w:t>
      </w:r>
      <w:proofErr w:type="spellEnd"/>
      <w:r w:rsidRPr="00217059">
        <w:rPr>
          <w:rFonts w:ascii="Times New Roman" w:hAnsi="Times New Roman" w:cs="Times New Roman"/>
          <w:sz w:val="24"/>
          <w:szCs w:val="24"/>
        </w:rPr>
        <w:t xml:space="preserve"> </w:t>
      </w:r>
      <w:proofErr w:type="spellStart"/>
      <w:r w:rsidR="000960FD" w:rsidRPr="00217059">
        <w:rPr>
          <w:rFonts w:ascii="Times New Roman" w:hAnsi="Times New Roman" w:cs="Times New Roman"/>
          <w:sz w:val="24"/>
          <w:szCs w:val="24"/>
        </w:rPr>
        <w:t>junior</w:t>
      </w:r>
      <w:proofErr w:type="spellEnd"/>
      <w:r w:rsidR="000960FD" w:rsidRPr="00217059">
        <w:rPr>
          <w:rFonts w:ascii="Times New Roman" w:hAnsi="Times New Roman" w:cs="Times New Roman"/>
          <w:sz w:val="24"/>
          <w:szCs w:val="24"/>
        </w:rPr>
        <w:t xml:space="preserve"> </w:t>
      </w:r>
      <w:r w:rsidRPr="00217059">
        <w:rPr>
          <w:rFonts w:ascii="Times New Roman" w:hAnsi="Times New Roman" w:cs="Times New Roman"/>
          <w:sz w:val="24"/>
          <w:szCs w:val="24"/>
        </w:rPr>
        <w:t xml:space="preserve">(1977) assumiu que os eleitores possuem uma ideologia partidária, e estes não agem de forma racional, afirmando assim que a motivação dos partidos e de seus componentes não estão exclusivamente baseados em alcançar o poder, mas direcionam-se pela implementação de políticas partidárias sustentadas por suas principais bases de apoio eleitoral. </w:t>
      </w:r>
    </w:p>
    <w:p w14:paraId="1214A810"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A</w:t>
      </w:r>
      <w:r w:rsidR="00024F24">
        <w:rPr>
          <w:rFonts w:ascii="Times New Roman" w:hAnsi="Times New Roman" w:cs="Times New Roman"/>
          <w:sz w:val="24"/>
          <w:szCs w:val="24"/>
        </w:rPr>
        <w:t xml:space="preserve"> pesquisa</w:t>
      </w:r>
      <w:r w:rsidRPr="00217059">
        <w:rPr>
          <w:rFonts w:ascii="Times New Roman" w:hAnsi="Times New Roman" w:cs="Times New Roman"/>
          <w:sz w:val="24"/>
          <w:szCs w:val="24"/>
        </w:rPr>
        <w:t xml:space="preserve"> de </w:t>
      </w:r>
      <w:proofErr w:type="spellStart"/>
      <w:r w:rsidRPr="00217059">
        <w:rPr>
          <w:rFonts w:ascii="Times New Roman" w:hAnsi="Times New Roman" w:cs="Times New Roman"/>
          <w:sz w:val="24"/>
          <w:szCs w:val="24"/>
        </w:rPr>
        <w:t>Rogoff</w:t>
      </w:r>
      <w:proofErr w:type="spellEnd"/>
      <w:r w:rsidRPr="00217059">
        <w:rPr>
          <w:rFonts w:ascii="Times New Roman" w:hAnsi="Times New Roman" w:cs="Times New Roman"/>
          <w:sz w:val="24"/>
          <w:szCs w:val="24"/>
        </w:rPr>
        <w:t xml:space="preserve"> e </w:t>
      </w:r>
      <w:proofErr w:type="spellStart"/>
      <w:r w:rsidRPr="00217059">
        <w:rPr>
          <w:rFonts w:ascii="Times New Roman" w:hAnsi="Times New Roman" w:cs="Times New Roman"/>
          <w:sz w:val="24"/>
          <w:szCs w:val="24"/>
        </w:rPr>
        <w:t>Silbert</w:t>
      </w:r>
      <w:proofErr w:type="spellEnd"/>
      <w:r w:rsidRPr="00217059">
        <w:rPr>
          <w:rFonts w:ascii="Times New Roman" w:hAnsi="Times New Roman" w:cs="Times New Roman"/>
          <w:sz w:val="24"/>
          <w:szCs w:val="24"/>
        </w:rPr>
        <w:t xml:space="preserve"> (1988) apresent</w:t>
      </w:r>
      <w:r w:rsidR="00024F24">
        <w:rPr>
          <w:rFonts w:ascii="Times New Roman" w:hAnsi="Times New Roman" w:cs="Times New Roman"/>
          <w:sz w:val="24"/>
          <w:szCs w:val="24"/>
        </w:rPr>
        <w:t>ou</w:t>
      </w:r>
      <w:r w:rsidRPr="00217059">
        <w:rPr>
          <w:rFonts w:ascii="Times New Roman" w:hAnsi="Times New Roman" w:cs="Times New Roman"/>
          <w:sz w:val="24"/>
          <w:szCs w:val="24"/>
        </w:rPr>
        <w:t xml:space="preserve"> um novo enfoque no estudo dos ciclos políticos ao introduzir os instrumentos de política fiscal como medida de avaliação da competência do governante. A parir daí, passou-se a ponderar a possibilidade de manipulações em impostos e despesas públicas. </w:t>
      </w:r>
      <w:proofErr w:type="spellStart"/>
      <w:r w:rsidRPr="00217059">
        <w:rPr>
          <w:rFonts w:ascii="Times New Roman" w:hAnsi="Times New Roman" w:cs="Times New Roman"/>
          <w:sz w:val="24"/>
          <w:szCs w:val="24"/>
        </w:rPr>
        <w:t>Rogoff</w:t>
      </w:r>
      <w:proofErr w:type="spellEnd"/>
      <w:r w:rsidRPr="00217059">
        <w:rPr>
          <w:rFonts w:ascii="Times New Roman" w:hAnsi="Times New Roman" w:cs="Times New Roman"/>
          <w:sz w:val="24"/>
          <w:szCs w:val="24"/>
        </w:rPr>
        <w:t xml:space="preserve"> e </w:t>
      </w:r>
      <w:proofErr w:type="spellStart"/>
      <w:r w:rsidRPr="00217059">
        <w:rPr>
          <w:rFonts w:ascii="Times New Roman" w:hAnsi="Times New Roman" w:cs="Times New Roman"/>
          <w:sz w:val="24"/>
          <w:szCs w:val="24"/>
        </w:rPr>
        <w:t>Sibert</w:t>
      </w:r>
      <w:proofErr w:type="spellEnd"/>
      <w:r w:rsidRPr="00217059">
        <w:rPr>
          <w:rFonts w:ascii="Times New Roman" w:hAnsi="Times New Roman" w:cs="Times New Roman"/>
          <w:sz w:val="24"/>
          <w:szCs w:val="24"/>
        </w:rPr>
        <w:t xml:space="preserve"> (1988), destacaram que a existência de assimetrias informacionais e a compreensão limitada dos eleitores na leitura dos relatórios fiscais, possibilitam a distorção da política fiscal pré-eleitoral.</w:t>
      </w:r>
    </w:p>
    <w:p w14:paraId="3D80221D"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O </w:t>
      </w:r>
      <w:proofErr w:type="spellStart"/>
      <w:r w:rsidRPr="00217059">
        <w:rPr>
          <w:rFonts w:ascii="Times New Roman" w:hAnsi="Times New Roman" w:cs="Times New Roman"/>
          <w:i/>
          <w:sz w:val="24"/>
          <w:szCs w:val="24"/>
        </w:rPr>
        <w:t>Political</w:t>
      </w:r>
      <w:proofErr w:type="spellEnd"/>
      <w:r w:rsidRPr="00217059">
        <w:rPr>
          <w:rFonts w:ascii="Times New Roman" w:hAnsi="Times New Roman" w:cs="Times New Roman"/>
          <w:i/>
          <w:sz w:val="24"/>
          <w:szCs w:val="24"/>
        </w:rPr>
        <w:t xml:space="preserve"> Budget </w:t>
      </w:r>
      <w:proofErr w:type="spellStart"/>
      <w:r w:rsidRPr="00217059">
        <w:rPr>
          <w:rFonts w:ascii="Times New Roman" w:hAnsi="Times New Roman" w:cs="Times New Roman"/>
          <w:i/>
          <w:sz w:val="24"/>
          <w:szCs w:val="24"/>
        </w:rPr>
        <w:t>Cycle</w:t>
      </w:r>
      <w:proofErr w:type="spellEnd"/>
      <w:r w:rsidRPr="00217059">
        <w:rPr>
          <w:rFonts w:ascii="Times New Roman" w:hAnsi="Times New Roman" w:cs="Times New Roman"/>
          <w:sz w:val="24"/>
          <w:szCs w:val="24"/>
        </w:rPr>
        <w:t xml:space="preserve"> proposto por </w:t>
      </w:r>
      <w:proofErr w:type="spellStart"/>
      <w:r w:rsidRPr="00217059">
        <w:rPr>
          <w:rFonts w:ascii="Times New Roman" w:hAnsi="Times New Roman" w:cs="Times New Roman"/>
          <w:sz w:val="24"/>
          <w:szCs w:val="24"/>
        </w:rPr>
        <w:t>Rogoff</w:t>
      </w:r>
      <w:proofErr w:type="spellEnd"/>
      <w:r w:rsidRPr="00217059">
        <w:rPr>
          <w:rFonts w:ascii="Times New Roman" w:hAnsi="Times New Roman" w:cs="Times New Roman"/>
          <w:sz w:val="24"/>
          <w:szCs w:val="24"/>
        </w:rPr>
        <w:t xml:space="preserve"> (1990) demonstrou que é possível verificar a existência de ciclos políticos por meio da alteração das variáveis fiscais. Assim, os gestores em exercício podem modificar a execução orçamentária para sinaliza</w:t>
      </w:r>
      <w:r w:rsidR="00024F24">
        <w:rPr>
          <w:rFonts w:ascii="Times New Roman" w:hAnsi="Times New Roman" w:cs="Times New Roman"/>
          <w:sz w:val="24"/>
          <w:szCs w:val="24"/>
        </w:rPr>
        <w:t>r</w:t>
      </w:r>
      <w:r w:rsidRPr="00217059">
        <w:rPr>
          <w:rFonts w:ascii="Times New Roman" w:hAnsi="Times New Roman" w:cs="Times New Roman"/>
          <w:sz w:val="24"/>
          <w:szCs w:val="24"/>
        </w:rPr>
        <w:t xml:space="preserve"> competência no processo de produção dos bens públicos, e maximizar a probabilidade de sucesso no pleito. Seu estudo constatou uma redução nas despesas com infraestrutura, e um aumento das despesas correntes, tais como consumo e serviços, assumindo que estas são as mais visíveis ao eleitorado. </w:t>
      </w:r>
      <w:proofErr w:type="spellStart"/>
      <w:r w:rsidRPr="00217059">
        <w:rPr>
          <w:rFonts w:ascii="Times New Roman" w:hAnsi="Times New Roman" w:cs="Times New Roman"/>
          <w:sz w:val="24"/>
          <w:szCs w:val="24"/>
        </w:rPr>
        <w:t>Rogoff</w:t>
      </w:r>
      <w:proofErr w:type="spellEnd"/>
      <w:r w:rsidRPr="00217059">
        <w:rPr>
          <w:rFonts w:ascii="Times New Roman" w:hAnsi="Times New Roman" w:cs="Times New Roman"/>
          <w:sz w:val="24"/>
          <w:szCs w:val="24"/>
        </w:rPr>
        <w:t xml:space="preserve"> (1990) sugere ainda que mudanças institucionais podem suavizar o comportamento oportunista na manipulação de políticas fiscais.</w:t>
      </w:r>
    </w:p>
    <w:p w14:paraId="77A98421"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Sobre isso, Rose (2006) explanou que o contexto institucional da elaboração orçamentária interfere diretamente na intensidade da manipulação das despesas públicas. Sua pesquisa foi aplicada nas unidades federativas estadunidenses, e demonstrou que em </w:t>
      </w:r>
      <w:r w:rsidR="00024F24">
        <w:rPr>
          <w:rFonts w:ascii="Times New Roman" w:hAnsi="Times New Roman" w:cs="Times New Roman"/>
          <w:sz w:val="24"/>
          <w:szCs w:val="24"/>
        </w:rPr>
        <w:t>aproximadamente</w:t>
      </w:r>
      <w:r w:rsidRPr="00217059">
        <w:rPr>
          <w:rFonts w:ascii="Times New Roman" w:hAnsi="Times New Roman" w:cs="Times New Roman"/>
          <w:sz w:val="24"/>
          <w:szCs w:val="24"/>
        </w:rPr>
        <w:t xml:space="preserve"> 50% da amostra existe a imposição de regras orçamentarias rigorosas que coíbem déficits orçamentários de um ano fiscal para o outro. Tais regras não foram incorporadas em função da experiência eleitoral, mas sim pela influência do ambiente constitucional comum. Assim, Rose (2006) concluiu que a presença de regras orçamentárias dificulta a existência dos ciclos políticos. Já </w:t>
      </w:r>
      <w:proofErr w:type="spellStart"/>
      <w:r w:rsidRPr="00217059">
        <w:rPr>
          <w:rFonts w:ascii="Times New Roman" w:hAnsi="Times New Roman" w:cs="Times New Roman"/>
          <w:sz w:val="24"/>
          <w:szCs w:val="24"/>
        </w:rPr>
        <w:t>Streb</w:t>
      </w:r>
      <w:proofErr w:type="spellEnd"/>
      <w:r w:rsidRPr="00217059">
        <w:rPr>
          <w:rFonts w:ascii="Times New Roman" w:hAnsi="Times New Roman" w:cs="Times New Roman"/>
          <w:sz w:val="24"/>
          <w:szCs w:val="24"/>
        </w:rPr>
        <w:t xml:space="preserve"> e </w:t>
      </w:r>
      <w:proofErr w:type="spellStart"/>
      <w:r w:rsidRPr="00217059">
        <w:rPr>
          <w:rFonts w:ascii="Times New Roman" w:hAnsi="Times New Roman" w:cs="Times New Roman"/>
          <w:sz w:val="24"/>
          <w:szCs w:val="24"/>
        </w:rPr>
        <w:t>Torrens</w:t>
      </w:r>
      <w:proofErr w:type="spellEnd"/>
      <w:r w:rsidRPr="00217059">
        <w:rPr>
          <w:rFonts w:ascii="Times New Roman" w:hAnsi="Times New Roman" w:cs="Times New Roman"/>
          <w:sz w:val="24"/>
          <w:szCs w:val="24"/>
        </w:rPr>
        <w:t xml:space="preserve"> (2013) avaliaram o papel dos agente de veto legislativos como solução para as manipulações políticas. Os autores demonstraram que a imposição de regras fiscais não é suficiente para evitar os ciclos políticos, tendo em vista que o poder legislativo deve ter capacidade de supervisão e fiscalização.</w:t>
      </w:r>
    </w:p>
    <w:p w14:paraId="3D3EDEC6"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É com base nos achados de Rose (2006) que as hipóteses de pesquisa serão elaboradas, levando-se em consideração as restrições fiscais vigentes no Brasil na avaliação do contexto institucional. Buscando o estabelecimento da fundamentação teórica da escolha das variáveis de interesse a serem utilizadas, os fatores políticos serão abordados isoladamente nesse referencial teórico. Para a consecução do objetivo, restringe-se a avaliação </w:t>
      </w:r>
      <w:r w:rsidR="00024F24">
        <w:rPr>
          <w:rFonts w:ascii="Times New Roman" w:hAnsi="Times New Roman" w:cs="Times New Roman"/>
          <w:sz w:val="24"/>
          <w:szCs w:val="24"/>
        </w:rPr>
        <w:t>aos</w:t>
      </w:r>
      <w:r w:rsidRPr="00217059">
        <w:rPr>
          <w:rFonts w:ascii="Times New Roman" w:hAnsi="Times New Roman" w:cs="Times New Roman"/>
          <w:sz w:val="24"/>
          <w:szCs w:val="24"/>
        </w:rPr>
        <w:t xml:space="preserve"> três fatores políticos: o ano eleitoral, a mudança de gestor e o fator mandato eleitoral.</w:t>
      </w:r>
    </w:p>
    <w:p w14:paraId="2FF52447" w14:textId="77777777" w:rsidR="005A021A" w:rsidRPr="00217059" w:rsidRDefault="005A021A" w:rsidP="00B64057">
      <w:pPr>
        <w:spacing w:after="120" w:line="240" w:lineRule="auto"/>
        <w:ind w:firstLine="709"/>
        <w:jc w:val="both"/>
        <w:rPr>
          <w:rFonts w:ascii="Times New Roman" w:hAnsi="Times New Roman" w:cs="Times New Roman"/>
          <w:sz w:val="24"/>
          <w:szCs w:val="24"/>
        </w:rPr>
      </w:pPr>
    </w:p>
    <w:p w14:paraId="6A7D832B" w14:textId="77777777" w:rsidR="005A021A" w:rsidRPr="00217059" w:rsidRDefault="005A021A" w:rsidP="00B64057">
      <w:pPr>
        <w:spacing w:after="120" w:line="240" w:lineRule="auto"/>
        <w:jc w:val="both"/>
        <w:rPr>
          <w:rFonts w:ascii="Times New Roman" w:hAnsi="Times New Roman" w:cs="Times New Roman"/>
          <w:b/>
          <w:sz w:val="24"/>
          <w:szCs w:val="24"/>
        </w:rPr>
      </w:pPr>
      <w:r w:rsidRPr="00217059">
        <w:rPr>
          <w:rFonts w:ascii="Times New Roman" w:hAnsi="Times New Roman" w:cs="Times New Roman"/>
          <w:b/>
          <w:sz w:val="24"/>
          <w:szCs w:val="24"/>
        </w:rPr>
        <w:t>2.1.1</w:t>
      </w:r>
      <w:r w:rsidR="00B64057">
        <w:rPr>
          <w:rFonts w:ascii="Times New Roman" w:hAnsi="Times New Roman" w:cs="Times New Roman"/>
          <w:b/>
          <w:sz w:val="24"/>
          <w:szCs w:val="24"/>
        </w:rPr>
        <w:t xml:space="preserve"> </w:t>
      </w:r>
      <w:r w:rsidRPr="00217059">
        <w:rPr>
          <w:rFonts w:ascii="Times New Roman" w:hAnsi="Times New Roman" w:cs="Times New Roman"/>
          <w:b/>
          <w:sz w:val="24"/>
          <w:szCs w:val="24"/>
        </w:rPr>
        <w:t>Influência do Ano Eleitoral sobre os Gastos Públicos</w:t>
      </w:r>
    </w:p>
    <w:p w14:paraId="6C1DFE7B"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Considerando o período eleitoral como fator condicionante aos ciclos políticos, Veiga e Veiga (2007) avaliaram os ciclos políticos orçamentários nos municípios portugueses, no </w:t>
      </w:r>
      <w:r w:rsidRPr="00217059">
        <w:rPr>
          <w:rFonts w:ascii="Times New Roman" w:hAnsi="Times New Roman" w:cs="Times New Roman"/>
          <w:sz w:val="24"/>
          <w:szCs w:val="24"/>
        </w:rPr>
        <w:lastRenderedPageBreak/>
        <w:t xml:space="preserve">período de 1979 a 2001, demonstrando um comportamento oportunista por parte dos prefeitos. Os resultados evidenciaram que em anos eleitorais a receita tributária é reduzida e as despesas mais visíveis são maximizadas, destacando-se manipulações nas despesas com investimentos. </w:t>
      </w:r>
    </w:p>
    <w:p w14:paraId="55B8AA2C"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Segundo os autores, essa combinação dá aos eleitores a impressão de competência por parte do prefeito, pois este seria capaz de fornecer maior produção e cobrar impostos mais baixos ao mesmo tempo. No entanto, os déficits orçamentários que resultam desse comportamento oportunista levam a uma acumulação de dívidas que só é observada pelos eleitores no período pós-eleitoral (</w:t>
      </w:r>
      <w:r w:rsidR="00F5448F" w:rsidRPr="00217059">
        <w:rPr>
          <w:rFonts w:ascii="Times New Roman" w:hAnsi="Times New Roman" w:cs="Times New Roman"/>
          <w:sz w:val="24"/>
          <w:szCs w:val="24"/>
        </w:rPr>
        <w:t>VEIGA; VEIGA, 2007</w:t>
      </w:r>
      <w:r w:rsidRPr="00217059">
        <w:rPr>
          <w:rFonts w:ascii="Times New Roman" w:hAnsi="Times New Roman" w:cs="Times New Roman"/>
          <w:sz w:val="24"/>
          <w:szCs w:val="24"/>
        </w:rPr>
        <w:t>)</w:t>
      </w:r>
      <w:r w:rsidR="00024F24">
        <w:rPr>
          <w:rFonts w:ascii="Times New Roman" w:hAnsi="Times New Roman" w:cs="Times New Roman"/>
          <w:sz w:val="24"/>
          <w:szCs w:val="24"/>
        </w:rPr>
        <w:t>.</w:t>
      </w:r>
    </w:p>
    <w:p w14:paraId="28652CA2"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proofErr w:type="spellStart"/>
      <w:r w:rsidRPr="00217059">
        <w:rPr>
          <w:rFonts w:ascii="Times New Roman" w:hAnsi="Times New Roman" w:cs="Times New Roman"/>
          <w:sz w:val="24"/>
          <w:szCs w:val="24"/>
        </w:rPr>
        <w:t>Vergne</w:t>
      </w:r>
      <w:proofErr w:type="spellEnd"/>
      <w:r w:rsidRPr="00217059">
        <w:rPr>
          <w:rFonts w:ascii="Times New Roman" w:hAnsi="Times New Roman" w:cs="Times New Roman"/>
          <w:sz w:val="24"/>
          <w:szCs w:val="24"/>
        </w:rPr>
        <w:t xml:space="preserve"> (2009) estudou a relação do ano eleitoral sobre as despesas correntes e de capital. Analisando os ciclos políticos-orçamentários em 42 países em desenvolvimento nos anos de 1975 a 2001, o autor verificou a existência de manipulação na composição dos gastos públicos pré-eleitorais, mostrando a maximização das despesas correntes e redução das despesas de capital. Os achados de </w:t>
      </w:r>
      <w:proofErr w:type="spellStart"/>
      <w:r w:rsidRPr="00217059">
        <w:rPr>
          <w:rFonts w:ascii="Times New Roman" w:hAnsi="Times New Roman" w:cs="Times New Roman"/>
          <w:sz w:val="24"/>
          <w:szCs w:val="24"/>
        </w:rPr>
        <w:t>Vergne</w:t>
      </w:r>
      <w:proofErr w:type="spellEnd"/>
      <w:r w:rsidRPr="00217059">
        <w:rPr>
          <w:rFonts w:ascii="Times New Roman" w:hAnsi="Times New Roman" w:cs="Times New Roman"/>
          <w:sz w:val="24"/>
          <w:szCs w:val="24"/>
        </w:rPr>
        <w:t xml:space="preserve"> (2009) se repetiram durante as cinco eleições ocorridas no período estudado, o que indica a constância dos ciclos políticos, e da prática de modificações na alocação das despesas públicas. Destaca-se a relação significativa e positiva do ano eleitoral sobre as despesas com pessoal.  </w:t>
      </w:r>
    </w:p>
    <w:p w14:paraId="4C6E03BD"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Em estudo com países desenvolvidos e democracias estabelecidas</w:t>
      </w:r>
      <w:r w:rsidR="00024F24">
        <w:rPr>
          <w:rFonts w:ascii="Times New Roman" w:hAnsi="Times New Roman" w:cs="Times New Roman"/>
          <w:sz w:val="24"/>
          <w:szCs w:val="24"/>
        </w:rPr>
        <w:t xml:space="preserve"> no período de</w:t>
      </w:r>
      <w:r w:rsidRPr="00217059">
        <w:rPr>
          <w:rFonts w:ascii="Times New Roman" w:hAnsi="Times New Roman" w:cs="Times New Roman"/>
          <w:sz w:val="24"/>
          <w:szCs w:val="24"/>
        </w:rPr>
        <w:t xml:space="preserve"> 1972 a 1999, </w:t>
      </w:r>
      <w:proofErr w:type="spellStart"/>
      <w:r w:rsidRPr="00217059">
        <w:rPr>
          <w:rFonts w:ascii="Times New Roman" w:hAnsi="Times New Roman" w:cs="Times New Roman"/>
          <w:sz w:val="24"/>
          <w:szCs w:val="24"/>
        </w:rPr>
        <w:t>Katsimi</w:t>
      </w:r>
      <w:proofErr w:type="spellEnd"/>
      <w:r w:rsidRPr="00217059">
        <w:rPr>
          <w:rFonts w:ascii="Times New Roman" w:hAnsi="Times New Roman" w:cs="Times New Roman"/>
          <w:sz w:val="24"/>
          <w:szCs w:val="24"/>
        </w:rPr>
        <w:t xml:space="preserve"> e </w:t>
      </w:r>
      <w:proofErr w:type="spellStart"/>
      <w:r w:rsidRPr="00217059">
        <w:rPr>
          <w:rFonts w:ascii="Times New Roman" w:hAnsi="Times New Roman" w:cs="Times New Roman"/>
          <w:sz w:val="24"/>
          <w:szCs w:val="24"/>
        </w:rPr>
        <w:t>Sarantides</w:t>
      </w:r>
      <w:proofErr w:type="spellEnd"/>
      <w:r w:rsidRPr="00217059">
        <w:rPr>
          <w:rFonts w:ascii="Times New Roman" w:hAnsi="Times New Roman" w:cs="Times New Roman"/>
          <w:sz w:val="24"/>
          <w:szCs w:val="24"/>
        </w:rPr>
        <w:t xml:space="preserve"> (2012) reafirmam a visão teórica de que os políticos tendem a mudar a</w:t>
      </w:r>
      <w:r w:rsidR="00024F24">
        <w:rPr>
          <w:rFonts w:ascii="Times New Roman" w:hAnsi="Times New Roman" w:cs="Times New Roman"/>
          <w:sz w:val="24"/>
          <w:szCs w:val="24"/>
        </w:rPr>
        <w:t xml:space="preserve"> composição do</w:t>
      </w:r>
      <w:r w:rsidRPr="00217059">
        <w:rPr>
          <w:rFonts w:ascii="Times New Roman" w:hAnsi="Times New Roman" w:cs="Times New Roman"/>
          <w:sz w:val="24"/>
          <w:szCs w:val="24"/>
        </w:rPr>
        <w:t xml:space="preserve"> orçamento em anos eleitorais. Analisando a influência do ano eleitoral sobre as despesas, verificou-se que os gestores maximizam as despesas correntes, evitando as de capital, afim de aumentar sua probabilidade de reeleição.   </w:t>
      </w:r>
    </w:p>
    <w:p w14:paraId="33924F0A"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proofErr w:type="spellStart"/>
      <w:r w:rsidRPr="00217059">
        <w:rPr>
          <w:rFonts w:ascii="Times New Roman" w:hAnsi="Times New Roman" w:cs="Times New Roman"/>
          <w:sz w:val="24"/>
          <w:szCs w:val="24"/>
        </w:rPr>
        <w:t>Drazen</w:t>
      </w:r>
      <w:proofErr w:type="spellEnd"/>
      <w:r w:rsidRPr="00217059">
        <w:rPr>
          <w:rFonts w:ascii="Times New Roman" w:hAnsi="Times New Roman" w:cs="Times New Roman"/>
          <w:sz w:val="24"/>
          <w:szCs w:val="24"/>
        </w:rPr>
        <w:t xml:space="preserve"> e Eslava (2010) também propuseram um modelo de ciclo político-orçamentário no qual foi constatado a presença de mudanças sistemáticas de despesas especificas em anos eleitorais. Avaliando municípios colombianos durante o período de 1987 a 2002, foi evidenciado que transferências correntes e despesas com trabalhadores temporários são reduzidos nos períodos pré-eleitorais, já as despesas com investimentos são maximizadas nos períodos anteriores as eleições.</w:t>
      </w:r>
      <w:r w:rsidR="00F5448F" w:rsidRPr="00217059">
        <w:rPr>
          <w:rFonts w:ascii="Times New Roman" w:hAnsi="Times New Roman" w:cs="Times New Roman"/>
          <w:sz w:val="24"/>
          <w:szCs w:val="24"/>
        </w:rPr>
        <w:tab/>
      </w:r>
    </w:p>
    <w:p w14:paraId="0EEF0342"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No Brasil, </w:t>
      </w:r>
      <w:proofErr w:type="spellStart"/>
      <w:r w:rsidRPr="00217059">
        <w:rPr>
          <w:rFonts w:ascii="Times New Roman" w:hAnsi="Times New Roman" w:cs="Times New Roman"/>
          <w:sz w:val="24"/>
          <w:szCs w:val="24"/>
        </w:rPr>
        <w:t>Sakurai</w:t>
      </w:r>
      <w:proofErr w:type="spellEnd"/>
      <w:r w:rsidRPr="00217059">
        <w:rPr>
          <w:rFonts w:ascii="Times New Roman" w:hAnsi="Times New Roman" w:cs="Times New Roman"/>
          <w:sz w:val="24"/>
          <w:szCs w:val="24"/>
        </w:rPr>
        <w:t xml:space="preserve"> (2005) revelou impulsos positivos na despesa orçamentária em anos eleitorais. </w:t>
      </w:r>
      <w:proofErr w:type="spellStart"/>
      <w:r w:rsidRPr="00217059">
        <w:rPr>
          <w:rFonts w:ascii="Times New Roman" w:hAnsi="Times New Roman" w:cs="Times New Roman"/>
          <w:sz w:val="24"/>
          <w:szCs w:val="24"/>
        </w:rPr>
        <w:t>Sakurai</w:t>
      </w:r>
      <w:proofErr w:type="spellEnd"/>
      <w:r w:rsidRPr="00217059">
        <w:rPr>
          <w:rFonts w:ascii="Times New Roman" w:hAnsi="Times New Roman" w:cs="Times New Roman"/>
          <w:sz w:val="24"/>
          <w:szCs w:val="24"/>
        </w:rPr>
        <w:t xml:space="preserve"> e Menezes</w:t>
      </w:r>
      <w:r w:rsidR="00F5448F" w:rsidRPr="00217059">
        <w:rPr>
          <w:rFonts w:ascii="Times New Roman" w:hAnsi="Times New Roman" w:cs="Times New Roman"/>
          <w:sz w:val="24"/>
          <w:szCs w:val="24"/>
        </w:rPr>
        <w:t>-Filho</w:t>
      </w:r>
      <w:r w:rsidRPr="00217059">
        <w:rPr>
          <w:rFonts w:ascii="Times New Roman" w:hAnsi="Times New Roman" w:cs="Times New Roman"/>
          <w:sz w:val="24"/>
          <w:szCs w:val="24"/>
        </w:rPr>
        <w:t xml:space="preserve"> (2011) mostraram reduções das despesas com investimento, nas receitas tributárias e no resultado orçamentário</w:t>
      </w:r>
      <w:r w:rsidR="00024F24">
        <w:rPr>
          <w:rFonts w:ascii="Times New Roman" w:hAnsi="Times New Roman" w:cs="Times New Roman"/>
          <w:sz w:val="24"/>
          <w:szCs w:val="24"/>
        </w:rPr>
        <w:t>. E</w:t>
      </w:r>
      <w:r w:rsidRPr="00217059">
        <w:rPr>
          <w:rFonts w:ascii="Times New Roman" w:hAnsi="Times New Roman" w:cs="Times New Roman"/>
          <w:sz w:val="24"/>
          <w:szCs w:val="24"/>
        </w:rPr>
        <w:t>m contrapartida</w:t>
      </w:r>
      <w:r w:rsidR="00024F24">
        <w:rPr>
          <w:rFonts w:ascii="Times New Roman" w:hAnsi="Times New Roman" w:cs="Times New Roman"/>
          <w:sz w:val="24"/>
          <w:szCs w:val="24"/>
        </w:rPr>
        <w:t>,</w:t>
      </w:r>
      <w:r w:rsidRPr="00217059">
        <w:rPr>
          <w:rFonts w:ascii="Times New Roman" w:hAnsi="Times New Roman" w:cs="Times New Roman"/>
          <w:sz w:val="24"/>
          <w:szCs w:val="24"/>
        </w:rPr>
        <w:t xml:space="preserve"> as despesas correntes são maximizadas nos anos eleitorais. Já Queiroz (2015) demonstrou que percentuais maiores da despesa orçamentária com investimentos e menores gastos com pessoal e outras despesas correntes aumentam a probabilidade de recondução do partido no poder. </w:t>
      </w:r>
    </w:p>
    <w:p w14:paraId="025CBF8A"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Avaliando as despesas públicas ao nível das funções orçamentarias, </w:t>
      </w:r>
      <w:proofErr w:type="spellStart"/>
      <w:r w:rsidRPr="00217059">
        <w:rPr>
          <w:rFonts w:ascii="Times New Roman" w:hAnsi="Times New Roman" w:cs="Times New Roman"/>
          <w:sz w:val="24"/>
          <w:szCs w:val="24"/>
        </w:rPr>
        <w:t>Sakurai</w:t>
      </w:r>
      <w:proofErr w:type="spellEnd"/>
      <w:r w:rsidRPr="00217059">
        <w:rPr>
          <w:rFonts w:ascii="Times New Roman" w:hAnsi="Times New Roman" w:cs="Times New Roman"/>
          <w:sz w:val="24"/>
          <w:szCs w:val="24"/>
        </w:rPr>
        <w:t xml:space="preserve"> (2009) investigou a existência de ciclos eleitorais de municípios brasileiros no período de 1990 a 2005. As evidências sugeriram a existência de manipulações nas funções saúde e saneamento; assistência e previdência; habitação e urbanismo; e transporte. </w:t>
      </w:r>
    </w:p>
    <w:p w14:paraId="3B2CCC54"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Com base nas pesquisas supracitadas, parte-se do pressuposto que o ano eleitoral consiste em um fator capaz de influenciar variáveis fiscais. Neste sentido, a primeira hipótese de pesquisa foi elaborada:</w:t>
      </w:r>
    </w:p>
    <w:p w14:paraId="40A77907"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p>
    <w:p w14:paraId="73DAC919" w14:textId="06B11E1F"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H</w:t>
      </w:r>
      <w:r w:rsidRPr="00217059">
        <w:rPr>
          <w:rFonts w:ascii="Times New Roman" w:hAnsi="Times New Roman" w:cs="Times New Roman"/>
          <w:sz w:val="24"/>
          <w:szCs w:val="24"/>
          <w:vertAlign w:val="subscript"/>
        </w:rPr>
        <w:t>1</w:t>
      </w:r>
      <w:r w:rsidRPr="00217059">
        <w:rPr>
          <w:rFonts w:ascii="Times New Roman" w:hAnsi="Times New Roman" w:cs="Times New Roman"/>
          <w:sz w:val="24"/>
          <w:szCs w:val="24"/>
        </w:rPr>
        <w:t>: O ano eleitora</w:t>
      </w:r>
      <w:r w:rsidR="00557DCD">
        <w:rPr>
          <w:rFonts w:ascii="Times New Roman" w:hAnsi="Times New Roman" w:cs="Times New Roman"/>
          <w:sz w:val="24"/>
          <w:szCs w:val="24"/>
        </w:rPr>
        <w:t>l</w:t>
      </w:r>
      <w:r w:rsidRPr="00217059">
        <w:rPr>
          <w:rFonts w:ascii="Times New Roman" w:hAnsi="Times New Roman" w:cs="Times New Roman"/>
          <w:sz w:val="24"/>
          <w:szCs w:val="24"/>
        </w:rPr>
        <w:t xml:space="preserve"> exerce influência sobre o índice de gastos com pessoal definido pela Lei de Responsabilidade Fiscal.</w:t>
      </w:r>
    </w:p>
    <w:p w14:paraId="2B61AFD5" w14:textId="77777777" w:rsidR="005A021A" w:rsidRPr="00217059" w:rsidRDefault="005A021A" w:rsidP="00B64057">
      <w:pPr>
        <w:spacing w:after="120" w:line="240" w:lineRule="auto"/>
        <w:ind w:firstLine="709"/>
        <w:jc w:val="both"/>
        <w:rPr>
          <w:rFonts w:ascii="Times New Roman" w:hAnsi="Times New Roman" w:cs="Times New Roman"/>
          <w:sz w:val="24"/>
          <w:szCs w:val="24"/>
        </w:rPr>
      </w:pPr>
    </w:p>
    <w:p w14:paraId="5DA339A5" w14:textId="77777777" w:rsidR="005A021A" w:rsidRPr="00217059" w:rsidRDefault="005A021A" w:rsidP="00B64057">
      <w:pPr>
        <w:spacing w:after="120" w:line="240" w:lineRule="auto"/>
        <w:jc w:val="both"/>
        <w:rPr>
          <w:rFonts w:ascii="Times New Roman" w:hAnsi="Times New Roman" w:cs="Times New Roman"/>
          <w:b/>
          <w:sz w:val="24"/>
          <w:szCs w:val="24"/>
        </w:rPr>
      </w:pPr>
      <w:r w:rsidRPr="00217059">
        <w:rPr>
          <w:rFonts w:ascii="Times New Roman" w:hAnsi="Times New Roman" w:cs="Times New Roman"/>
          <w:b/>
          <w:sz w:val="24"/>
          <w:szCs w:val="24"/>
        </w:rPr>
        <w:t>2.1.2</w:t>
      </w:r>
      <w:r w:rsidR="00B64057">
        <w:rPr>
          <w:rFonts w:ascii="Times New Roman" w:hAnsi="Times New Roman" w:cs="Times New Roman"/>
          <w:b/>
          <w:sz w:val="24"/>
          <w:szCs w:val="24"/>
        </w:rPr>
        <w:t xml:space="preserve"> </w:t>
      </w:r>
      <w:r w:rsidRPr="00217059">
        <w:rPr>
          <w:rFonts w:ascii="Times New Roman" w:hAnsi="Times New Roman" w:cs="Times New Roman"/>
          <w:b/>
          <w:sz w:val="24"/>
          <w:szCs w:val="24"/>
        </w:rPr>
        <w:t>Influência da Mudança de Gestor Público sobre os Gastos Públicos</w:t>
      </w:r>
    </w:p>
    <w:p w14:paraId="59E762C7" w14:textId="0E7FA094"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A pesquisa de </w:t>
      </w:r>
      <w:proofErr w:type="spellStart"/>
      <w:r w:rsidRPr="00217059">
        <w:rPr>
          <w:rFonts w:ascii="Times New Roman" w:hAnsi="Times New Roman" w:cs="Times New Roman"/>
          <w:sz w:val="24"/>
          <w:szCs w:val="24"/>
        </w:rPr>
        <w:t>Budge</w:t>
      </w:r>
      <w:proofErr w:type="spellEnd"/>
      <w:r w:rsidRPr="00217059">
        <w:rPr>
          <w:rFonts w:ascii="Times New Roman" w:hAnsi="Times New Roman" w:cs="Times New Roman"/>
          <w:sz w:val="24"/>
          <w:szCs w:val="24"/>
        </w:rPr>
        <w:t xml:space="preserve"> e </w:t>
      </w:r>
      <w:proofErr w:type="spellStart"/>
      <w:r w:rsidRPr="00217059">
        <w:rPr>
          <w:rFonts w:ascii="Times New Roman" w:hAnsi="Times New Roman" w:cs="Times New Roman"/>
          <w:sz w:val="24"/>
          <w:szCs w:val="24"/>
        </w:rPr>
        <w:t>Hofferbert</w:t>
      </w:r>
      <w:proofErr w:type="spellEnd"/>
      <w:r w:rsidRPr="00217059">
        <w:rPr>
          <w:rFonts w:ascii="Times New Roman" w:hAnsi="Times New Roman" w:cs="Times New Roman"/>
          <w:sz w:val="24"/>
          <w:szCs w:val="24"/>
        </w:rPr>
        <w:t xml:space="preserve"> (1990) avaliou o impacto do posicionamento político/ideológico assumido pelos candidatos na política governamental </w:t>
      </w:r>
      <w:r w:rsidR="00024F24">
        <w:rPr>
          <w:rFonts w:ascii="Times New Roman" w:hAnsi="Times New Roman" w:cs="Times New Roman"/>
          <w:sz w:val="24"/>
          <w:szCs w:val="24"/>
        </w:rPr>
        <w:t>sobre os</w:t>
      </w:r>
      <w:r w:rsidRPr="00217059">
        <w:rPr>
          <w:rFonts w:ascii="Times New Roman" w:hAnsi="Times New Roman" w:cs="Times New Roman"/>
          <w:sz w:val="24"/>
          <w:szCs w:val="24"/>
        </w:rPr>
        <w:t xml:space="preserve"> gastos públicos. Os autores partiram do pressuposto de que os partidos políticos oferecem diferentes plataformas eleitorais, representando diferentes ênfases programáticas. </w:t>
      </w:r>
      <w:proofErr w:type="spellStart"/>
      <w:r w:rsidRPr="00217059">
        <w:rPr>
          <w:rFonts w:ascii="Times New Roman" w:hAnsi="Times New Roman" w:cs="Times New Roman"/>
          <w:sz w:val="24"/>
          <w:szCs w:val="24"/>
        </w:rPr>
        <w:t>Budge</w:t>
      </w:r>
      <w:proofErr w:type="spellEnd"/>
      <w:r w:rsidRPr="00217059">
        <w:rPr>
          <w:rFonts w:ascii="Times New Roman" w:hAnsi="Times New Roman" w:cs="Times New Roman"/>
          <w:sz w:val="24"/>
          <w:szCs w:val="24"/>
        </w:rPr>
        <w:t xml:space="preserve"> e </w:t>
      </w:r>
      <w:proofErr w:type="spellStart"/>
      <w:r w:rsidRPr="00217059">
        <w:rPr>
          <w:rFonts w:ascii="Times New Roman" w:hAnsi="Times New Roman" w:cs="Times New Roman"/>
          <w:sz w:val="24"/>
          <w:szCs w:val="24"/>
        </w:rPr>
        <w:t>Hofferbert</w:t>
      </w:r>
      <w:proofErr w:type="spellEnd"/>
      <w:r w:rsidRPr="00217059">
        <w:rPr>
          <w:rFonts w:ascii="Times New Roman" w:hAnsi="Times New Roman" w:cs="Times New Roman"/>
          <w:sz w:val="24"/>
          <w:szCs w:val="24"/>
        </w:rPr>
        <w:t xml:space="preserve"> </w:t>
      </w:r>
      <w:r w:rsidRPr="00217059">
        <w:rPr>
          <w:rFonts w:ascii="Times New Roman" w:hAnsi="Times New Roman" w:cs="Times New Roman"/>
          <w:sz w:val="24"/>
          <w:szCs w:val="24"/>
        </w:rPr>
        <w:lastRenderedPageBreak/>
        <w:t>(1990) concluíram que os partidos políticos executam realmente as políticas propostas no período eleitoral.</w:t>
      </w:r>
    </w:p>
    <w:p w14:paraId="1CC56574"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 </w:t>
      </w:r>
      <w:proofErr w:type="spellStart"/>
      <w:r w:rsidRPr="00217059">
        <w:rPr>
          <w:rFonts w:ascii="Times New Roman" w:hAnsi="Times New Roman" w:cs="Times New Roman"/>
          <w:sz w:val="24"/>
          <w:szCs w:val="24"/>
        </w:rPr>
        <w:t>Tsebelis</w:t>
      </w:r>
      <w:proofErr w:type="spellEnd"/>
      <w:r w:rsidRPr="00217059">
        <w:rPr>
          <w:rFonts w:ascii="Times New Roman" w:hAnsi="Times New Roman" w:cs="Times New Roman"/>
          <w:sz w:val="24"/>
          <w:szCs w:val="24"/>
        </w:rPr>
        <w:t xml:space="preserve"> e Chang (2004) verificaram se a alternância de governo altera a composição d</w:t>
      </w:r>
      <w:r w:rsidR="0026670E">
        <w:rPr>
          <w:rFonts w:ascii="Times New Roman" w:hAnsi="Times New Roman" w:cs="Times New Roman"/>
          <w:sz w:val="24"/>
          <w:szCs w:val="24"/>
        </w:rPr>
        <w:t>o</w:t>
      </w:r>
      <w:r w:rsidRPr="00217059">
        <w:rPr>
          <w:rFonts w:ascii="Times New Roman" w:hAnsi="Times New Roman" w:cs="Times New Roman"/>
          <w:sz w:val="24"/>
          <w:szCs w:val="24"/>
        </w:rPr>
        <w:t xml:space="preserve"> orçamento. Os autores utilizaram uma amostra de 19 países da OCDE, no período de 1973 a 1995</w:t>
      </w:r>
      <w:r w:rsidR="00024F24">
        <w:rPr>
          <w:rFonts w:ascii="Times New Roman" w:hAnsi="Times New Roman" w:cs="Times New Roman"/>
          <w:sz w:val="24"/>
          <w:szCs w:val="24"/>
        </w:rPr>
        <w:t xml:space="preserve"> e</w:t>
      </w:r>
      <w:r w:rsidRPr="00217059">
        <w:rPr>
          <w:rFonts w:ascii="Times New Roman" w:hAnsi="Times New Roman" w:cs="Times New Roman"/>
          <w:sz w:val="24"/>
          <w:szCs w:val="24"/>
        </w:rPr>
        <w:t xml:space="preserve"> considera</w:t>
      </w:r>
      <w:r w:rsidR="00024F24">
        <w:rPr>
          <w:rFonts w:ascii="Times New Roman" w:hAnsi="Times New Roman" w:cs="Times New Roman"/>
          <w:sz w:val="24"/>
          <w:szCs w:val="24"/>
        </w:rPr>
        <w:t xml:space="preserve">ram </w:t>
      </w:r>
      <w:r w:rsidRPr="00217059">
        <w:rPr>
          <w:rFonts w:ascii="Times New Roman" w:hAnsi="Times New Roman" w:cs="Times New Roman"/>
          <w:sz w:val="24"/>
          <w:szCs w:val="24"/>
        </w:rPr>
        <w:t xml:space="preserve">9 categorias de despesas. Verificou-se </w:t>
      </w:r>
      <w:r w:rsidRPr="00217059">
        <w:rPr>
          <w:rFonts w:ascii="Times New Roman" w:hAnsi="Times New Roman" w:cs="Times New Roman"/>
          <w:sz w:val="24"/>
          <w:szCs w:val="24"/>
        </w:rPr>
        <w:tab/>
        <w:t xml:space="preserve">que a existência de diferenças ideológicas entre partidos de um governo gera poucas modificações orçamentarias, e de forma inversa, mudanças ideológicas significativas do governo de um ano para o outro provocam mudanças significativas na composição do orçamento. </w:t>
      </w:r>
    </w:p>
    <w:p w14:paraId="5BD1E1F7"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Partindo da hipótese que os partidos que competem por votos prometem implementar programas que melhor atendam aos grupos que representam, </w:t>
      </w:r>
      <w:proofErr w:type="spellStart"/>
      <w:r w:rsidRPr="00217059">
        <w:rPr>
          <w:rFonts w:ascii="Times New Roman" w:hAnsi="Times New Roman" w:cs="Times New Roman"/>
          <w:sz w:val="24"/>
          <w:szCs w:val="24"/>
        </w:rPr>
        <w:t>Brauninger</w:t>
      </w:r>
      <w:proofErr w:type="spellEnd"/>
      <w:r w:rsidRPr="00217059">
        <w:rPr>
          <w:rFonts w:ascii="Times New Roman" w:hAnsi="Times New Roman" w:cs="Times New Roman"/>
          <w:sz w:val="24"/>
          <w:szCs w:val="24"/>
        </w:rPr>
        <w:t xml:space="preserve"> (2005) estudou 19 países da OCDE no período de 1971 a 1999, e seus resultados demonstraram que não é a ideologia partidária – posicionamento de esquerda ou direita – que tem um efeito significativo sobre o comportamento da despesa pública, mas as preferências programáticas dos atores governamentais, conforme declarado em seus manifestos eleitorais. O modelo tem efeito estatisticamente significante, particularmente para a distribuição das despesas com seguridade social e fatores econômicos.</w:t>
      </w:r>
    </w:p>
    <w:p w14:paraId="1DD69DDE"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Buscando explicações para as variações extraordinárias do crescimento econômico, Jones e </w:t>
      </w:r>
      <w:proofErr w:type="spellStart"/>
      <w:r w:rsidRPr="00217059">
        <w:rPr>
          <w:rFonts w:ascii="Times New Roman" w:hAnsi="Times New Roman" w:cs="Times New Roman"/>
          <w:sz w:val="24"/>
          <w:szCs w:val="24"/>
        </w:rPr>
        <w:t>Olken</w:t>
      </w:r>
      <w:proofErr w:type="spellEnd"/>
      <w:r w:rsidRPr="00217059">
        <w:rPr>
          <w:rFonts w:ascii="Times New Roman" w:hAnsi="Times New Roman" w:cs="Times New Roman"/>
          <w:sz w:val="24"/>
          <w:szCs w:val="24"/>
        </w:rPr>
        <w:t xml:space="preserve"> (2005) avaliaram o efeito de mudanças de liderança exógena sobre o desempenho econômico, utilizando casos onde o momento da transferência de um líder para o outro era essencialmente aleatório, determinado pela morte do líder em vez das condições económicas subjacentes. Com uma amostra de 57 transições no período pós-guerra de 1945 a 2000, os resultados mostraram que os padrões de crescimento do PIB real per capta mudam com as transições de liderança, apresentando evidencias sólidas da importância da mudança de gestor sobre efeitos da política fiscal de um pais. </w:t>
      </w:r>
    </w:p>
    <w:p w14:paraId="4D731F05"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proofErr w:type="spellStart"/>
      <w:r w:rsidRPr="00217059">
        <w:rPr>
          <w:rFonts w:ascii="Times New Roman" w:hAnsi="Times New Roman" w:cs="Times New Roman"/>
          <w:sz w:val="24"/>
          <w:szCs w:val="24"/>
        </w:rPr>
        <w:t>Brender</w:t>
      </w:r>
      <w:proofErr w:type="spellEnd"/>
      <w:r w:rsidRPr="00217059">
        <w:rPr>
          <w:rFonts w:ascii="Times New Roman" w:hAnsi="Times New Roman" w:cs="Times New Roman"/>
          <w:sz w:val="24"/>
          <w:szCs w:val="24"/>
        </w:rPr>
        <w:t xml:space="preserve"> e </w:t>
      </w:r>
      <w:proofErr w:type="spellStart"/>
      <w:r w:rsidRPr="00217059">
        <w:rPr>
          <w:rFonts w:ascii="Times New Roman" w:hAnsi="Times New Roman" w:cs="Times New Roman"/>
          <w:sz w:val="24"/>
          <w:szCs w:val="24"/>
        </w:rPr>
        <w:t>Drazen</w:t>
      </w:r>
      <w:proofErr w:type="spellEnd"/>
      <w:r w:rsidRPr="00217059">
        <w:rPr>
          <w:rFonts w:ascii="Times New Roman" w:hAnsi="Times New Roman" w:cs="Times New Roman"/>
          <w:sz w:val="24"/>
          <w:szCs w:val="24"/>
        </w:rPr>
        <w:t xml:space="preserve"> (2013) averiguaram o efeito das mudanças de gestores na composição dos gastos públicos, com foco em se a substituição de um líder altera a composição dos gastos do governo e quanto tempo levaria para isso ocorrer. Os autores utilizaram um conjunto de dados composto por um índice da variação na composição da despesa pública em 71 democracias durante 1972-2009. </w:t>
      </w:r>
    </w:p>
    <w:p w14:paraId="5479E6B2" w14:textId="514014A6"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Os autores concluíram que leva um tempo considerável para um líder recém-eleito efetuar uma mudança na composição das despesas do governo. A análise de curto prazo (1 ou 2 anos) demonstrou que mudanças de gestores não possui influência significativa sobre a composição das despesas públicas. No entanto, a análise de longo prazo (4 anos) identificou uma influência significativa das mudanças de gestores sobre a composição orçamentária em países desenvolvidos. Nos países em desenvolvimento, essa influência não apresentou significância. </w:t>
      </w:r>
      <w:r w:rsidR="00F5448F" w:rsidRPr="00217059">
        <w:rPr>
          <w:rFonts w:ascii="Times New Roman" w:hAnsi="Times New Roman" w:cs="Times New Roman"/>
          <w:sz w:val="24"/>
          <w:szCs w:val="24"/>
        </w:rPr>
        <w:t>(BRENDER; DRAZEN 2013)</w:t>
      </w:r>
    </w:p>
    <w:p w14:paraId="6394195F"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De forma semelhante a </w:t>
      </w:r>
      <w:proofErr w:type="spellStart"/>
      <w:r w:rsidRPr="00217059">
        <w:rPr>
          <w:rFonts w:ascii="Times New Roman" w:hAnsi="Times New Roman" w:cs="Times New Roman"/>
          <w:sz w:val="24"/>
          <w:szCs w:val="24"/>
        </w:rPr>
        <w:t>Brender</w:t>
      </w:r>
      <w:proofErr w:type="spellEnd"/>
      <w:r w:rsidRPr="00217059">
        <w:rPr>
          <w:rFonts w:ascii="Times New Roman" w:hAnsi="Times New Roman" w:cs="Times New Roman"/>
          <w:sz w:val="24"/>
          <w:szCs w:val="24"/>
        </w:rPr>
        <w:t xml:space="preserve"> e </w:t>
      </w:r>
      <w:proofErr w:type="spellStart"/>
      <w:r w:rsidRPr="00217059">
        <w:rPr>
          <w:rFonts w:ascii="Times New Roman" w:hAnsi="Times New Roman" w:cs="Times New Roman"/>
          <w:sz w:val="24"/>
          <w:szCs w:val="24"/>
        </w:rPr>
        <w:t>Drazen</w:t>
      </w:r>
      <w:proofErr w:type="spellEnd"/>
      <w:r w:rsidRPr="00217059">
        <w:rPr>
          <w:rFonts w:ascii="Times New Roman" w:hAnsi="Times New Roman" w:cs="Times New Roman"/>
          <w:sz w:val="24"/>
          <w:szCs w:val="24"/>
        </w:rPr>
        <w:t xml:space="preserve"> (2013), Queiroz (2017), utilizando uma amostra d</w:t>
      </w:r>
      <w:r w:rsidR="00024F24">
        <w:rPr>
          <w:rFonts w:ascii="Times New Roman" w:hAnsi="Times New Roman" w:cs="Times New Roman"/>
          <w:sz w:val="24"/>
          <w:szCs w:val="24"/>
        </w:rPr>
        <w:t>e</w:t>
      </w:r>
      <w:r w:rsidRPr="00217059">
        <w:rPr>
          <w:rFonts w:ascii="Times New Roman" w:hAnsi="Times New Roman" w:cs="Times New Roman"/>
          <w:sz w:val="24"/>
          <w:szCs w:val="24"/>
        </w:rPr>
        <w:t xml:space="preserve"> estados brasileiros no período de 2003 a 2015, verificou que mudança de liderança exerce influência positiva e significativa sobre as mudanças na composição dos gastos públicos. Ou seja, a mudança de governador é acompanhada por uma maior alteração na composição dos gastos públicos quando comparada à situação na qual não há mudança de liderança.</w:t>
      </w:r>
    </w:p>
    <w:p w14:paraId="439E4221"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Conforme foi possível verificar pelas pesquisas citadas, alterações de ideologias políticas </w:t>
      </w:r>
      <w:r w:rsidR="00F5448F" w:rsidRPr="00217059">
        <w:rPr>
          <w:rFonts w:ascii="Times New Roman" w:hAnsi="Times New Roman" w:cs="Times New Roman"/>
          <w:sz w:val="24"/>
          <w:szCs w:val="24"/>
        </w:rPr>
        <w:t>(TSEBELIS; CHANG, 2004</w:t>
      </w:r>
      <w:r w:rsidRPr="00217059">
        <w:rPr>
          <w:rFonts w:ascii="Times New Roman" w:hAnsi="Times New Roman" w:cs="Times New Roman"/>
          <w:sz w:val="24"/>
          <w:szCs w:val="24"/>
        </w:rPr>
        <w:t>) e de gestores públicos (</w:t>
      </w:r>
      <w:r w:rsidR="00F5448F" w:rsidRPr="00217059">
        <w:rPr>
          <w:rFonts w:ascii="Times New Roman" w:hAnsi="Times New Roman" w:cs="Times New Roman"/>
          <w:sz w:val="24"/>
          <w:szCs w:val="24"/>
        </w:rPr>
        <w:t>BRENDER; DRAZEN, 2013; QUEIROZ, 2017</w:t>
      </w:r>
      <w:r w:rsidRPr="00217059">
        <w:rPr>
          <w:rFonts w:ascii="Times New Roman" w:hAnsi="Times New Roman" w:cs="Times New Roman"/>
          <w:sz w:val="24"/>
          <w:szCs w:val="24"/>
        </w:rPr>
        <w:t>) possuem influência sobre variáveis fiscais. Com base nisso, a segunda hipótese de pesquisa é apresentada:</w:t>
      </w:r>
    </w:p>
    <w:p w14:paraId="295BC60E"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p>
    <w:p w14:paraId="40C9C74D"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H</w:t>
      </w:r>
      <w:r w:rsidRPr="00217059">
        <w:rPr>
          <w:rFonts w:ascii="Times New Roman" w:hAnsi="Times New Roman" w:cs="Times New Roman"/>
          <w:sz w:val="24"/>
          <w:szCs w:val="24"/>
          <w:vertAlign w:val="subscript"/>
        </w:rPr>
        <w:t>2</w:t>
      </w:r>
      <w:r w:rsidRPr="00217059">
        <w:rPr>
          <w:rFonts w:ascii="Times New Roman" w:hAnsi="Times New Roman" w:cs="Times New Roman"/>
          <w:sz w:val="24"/>
          <w:szCs w:val="24"/>
        </w:rPr>
        <w:t>: A mudança de prefeito exerce influência sobre o índice de gastos com pessoal definido pela Lei de Responsabilidade Fiscal.</w:t>
      </w:r>
    </w:p>
    <w:p w14:paraId="17EFA200" w14:textId="77777777" w:rsidR="00F5448F" w:rsidRDefault="00F5448F" w:rsidP="00B64057">
      <w:pPr>
        <w:spacing w:after="120" w:line="240" w:lineRule="auto"/>
        <w:ind w:firstLine="709"/>
        <w:jc w:val="both"/>
        <w:rPr>
          <w:rFonts w:ascii="Times New Roman" w:hAnsi="Times New Roman" w:cs="Times New Roman"/>
          <w:sz w:val="24"/>
          <w:szCs w:val="24"/>
        </w:rPr>
      </w:pPr>
    </w:p>
    <w:p w14:paraId="5B758DD2" w14:textId="77777777" w:rsidR="004E41A6" w:rsidRPr="00217059" w:rsidRDefault="004E41A6" w:rsidP="00B64057">
      <w:pPr>
        <w:spacing w:after="120" w:line="240" w:lineRule="auto"/>
        <w:ind w:firstLine="709"/>
        <w:jc w:val="both"/>
        <w:rPr>
          <w:rFonts w:ascii="Times New Roman" w:hAnsi="Times New Roman" w:cs="Times New Roman"/>
          <w:sz w:val="24"/>
          <w:szCs w:val="24"/>
        </w:rPr>
      </w:pPr>
    </w:p>
    <w:p w14:paraId="5F26A959" w14:textId="77777777" w:rsidR="005A021A" w:rsidRPr="00217059" w:rsidRDefault="005A021A" w:rsidP="00B64057">
      <w:pPr>
        <w:spacing w:after="120" w:line="240" w:lineRule="auto"/>
        <w:jc w:val="both"/>
        <w:rPr>
          <w:rFonts w:ascii="Times New Roman" w:hAnsi="Times New Roman" w:cs="Times New Roman"/>
          <w:b/>
          <w:sz w:val="24"/>
          <w:szCs w:val="24"/>
        </w:rPr>
      </w:pPr>
      <w:r w:rsidRPr="00217059">
        <w:rPr>
          <w:rFonts w:ascii="Times New Roman" w:hAnsi="Times New Roman" w:cs="Times New Roman"/>
          <w:b/>
          <w:sz w:val="24"/>
          <w:szCs w:val="24"/>
        </w:rPr>
        <w:lastRenderedPageBreak/>
        <w:t>2.1.3</w:t>
      </w:r>
      <w:r w:rsidR="00B64057">
        <w:rPr>
          <w:rFonts w:ascii="Times New Roman" w:hAnsi="Times New Roman" w:cs="Times New Roman"/>
          <w:b/>
          <w:sz w:val="24"/>
          <w:szCs w:val="24"/>
        </w:rPr>
        <w:t xml:space="preserve"> </w:t>
      </w:r>
      <w:r w:rsidRPr="00217059">
        <w:rPr>
          <w:rFonts w:ascii="Times New Roman" w:hAnsi="Times New Roman" w:cs="Times New Roman"/>
          <w:b/>
          <w:sz w:val="24"/>
          <w:szCs w:val="24"/>
        </w:rPr>
        <w:t>Influência do Mandato Eleitoral sobre os Gastos Públicos</w:t>
      </w:r>
    </w:p>
    <w:p w14:paraId="693BA2E1"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Partindo do pressuposto de gestores legalmente reelegíveis possuem uma pré-disposição maior ao comportamento oportunista se comparados aos gestores em segundo mandato, Klein e </w:t>
      </w:r>
      <w:proofErr w:type="spellStart"/>
      <w:r w:rsidRPr="00217059">
        <w:rPr>
          <w:rFonts w:ascii="Times New Roman" w:hAnsi="Times New Roman" w:cs="Times New Roman"/>
          <w:sz w:val="24"/>
          <w:szCs w:val="24"/>
        </w:rPr>
        <w:t>Sakurai</w:t>
      </w:r>
      <w:proofErr w:type="spellEnd"/>
      <w:r w:rsidRPr="00217059">
        <w:rPr>
          <w:rFonts w:ascii="Times New Roman" w:hAnsi="Times New Roman" w:cs="Times New Roman"/>
          <w:sz w:val="24"/>
          <w:szCs w:val="24"/>
        </w:rPr>
        <w:t xml:space="preserve"> (2015) e Queiroz</w:t>
      </w:r>
      <w:r w:rsidR="00F5448F" w:rsidRPr="00217059">
        <w:rPr>
          <w:rFonts w:ascii="Times New Roman" w:hAnsi="Times New Roman" w:cs="Times New Roman"/>
          <w:sz w:val="24"/>
          <w:szCs w:val="24"/>
        </w:rPr>
        <w:t xml:space="preserve"> et al.</w:t>
      </w:r>
      <w:r w:rsidRPr="00217059">
        <w:rPr>
          <w:rFonts w:ascii="Times New Roman" w:hAnsi="Times New Roman" w:cs="Times New Roman"/>
          <w:sz w:val="24"/>
          <w:szCs w:val="24"/>
        </w:rPr>
        <w:t xml:space="preserve"> (2016) verificaram a influência do fator mandato eleitoral sobre variáveis fiscais de municípios e estados brasileiros, respectivamente.</w:t>
      </w:r>
    </w:p>
    <w:p w14:paraId="2FE492FE"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A partir do pressuposto de que os governantes são instigados à manipulação de políticas fiscais visando a reeleição, Klein e </w:t>
      </w:r>
      <w:proofErr w:type="spellStart"/>
      <w:r w:rsidRPr="00217059">
        <w:rPr>
          <w:rFonts w:ascii="Times New Roman" w:hAnsi="Times New Roman" w:cs="Times New Roman"/>
          <w:sz w:val="24"/>
          <w:szCs w:val="24"/>
        </w:rPr>
        <w:t>Sakurai</w:t>
      </w:r>
      <w:proofErr w:type="spellEnd"/>
      <w:r w:rsidRPr="00217059">
        <w:rPr>
          <w:rFonts w:ascii="Times New Roman" w:hAnsi="Times New Roman" w:cs="Times New Roman"/>
          <w:sz w:val="24"/>
          <w:szCs w:val="24"/>
        </w:rPr>
        <w:t xml:space="preserve"> (2015) avaliaram a influência do mandato eleitoral sobre variáveis fiscais</w:t>
      </w:r>
      <w:r w:rsidR="00024F24">
        <w:rPr>
          <w:rFonts w:ascii="Times New Roman" w:hAnsi="Times New Roman" w:cs="Times New Roman"/>
          <w:sz w:val="24"/>
          <w:szCs w:val="24"/>
        </w:rPr>
        <w:t xml:space="preserve"> n</w:t>
      </w:r>
      <w:r w:rsidRPr="00217059">
        <w:rPr>
          <w:rFonts w:ascii="Times New Roman" w:hAnsi="Times New Roman" w:cs="Times New Roman"/>
          <w:sz w:val="24"/>
          <w:szCs w:val="24"/>
        </w:rPr>
        <w:t xml:space="preserve">os municípios brasileiros nos anos de 2001 </w:t>
      </w:r>
      <w:r w:rsidR="00024F24">
        <w:rPr>
          <w:rFonts w:ascii="Times New Roman" w:hAnsi="Times New Roman" w:cs="Times New Roman"/>
          <w:sz w:val="24"/>
          <w:szCs w:val="24"/>
        </w:rPr>
        <w:t>a</w:t>
      </w:r>
      <w:r w:rsidRPr="00217059">
        <w:rPr>
          <w:rFonts w:ascii="Times New Roman" w:hAnsi="Times New Roman" w:cs="Times New Roman"/>
          <w:sz w:val="24"/>
          <w:szCs w:val="24"/>
        </w:rPr>
        <w:t xml:space="preserve"> 2008. Foi constatado que existem diferenças fiscais expressivas entre os prefeitos de primeiro e segundo mandato. No</w:t>
      </w:r>
      <w:r w:rsidR="00024F24">
        <w:rPr>
          <w:rFonts w:ascii="Times New Roman" w:hAnsi="Times New Roman" w:cs="Times New Roman"/>
          <w:sz w:val="24"/>
          <w:szCs w:val="24"/>
        </w:rPr>
        <w:t xml:space="preserve"> ano</w:t>
      </w:r>
      <w:r w:rsidRPr="00217059">
        <w:rPr>
          <w:rFonts w:ascii="Times New Roman" w:hAnsi="Times New Roman" w:cs="Times New Roman"/>
          <w:sz w:val="24"/>
          <w:szCs w:val="24"/>
        </w:rPr>
        <w:t xml:space="preserve"> eleitoral os prefeitos de primeiro mandato modificam a execução orçamentária maximizando gastos de capital, principalmente as despesas com investimentos, reduzindo as despesas correntes. </w:t>
      </w:r>
    </w:p>
    <w:p w14:paraId="6EE7DA69"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Queiroz et al. (2016) também estudaram a influência do mandato eleitoral sobre os ciclos políticos-orçamentários. Em pesquisa realizada nos 26 estados brasileiros, no período de 2003 a 2014, os autores encontraram evidencias que demonstraram que os gestores que exercem o primeiro mandato alteram a composição dos gastos públicos maximizando as despesas com investimentos em anos eleitorais.</w:t>
      </w:r>
    </w:p>
    <w:p w14:paraId="4FB2DA91"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Conforme evidências apresentadas, o primeiro mandato consiste em um incentivo para a manipulação oportunista de variáveis fiscais. Com base nessa expectativa, a terceira hipótese dessa pesquisa foi estabelecida.</w:t>
      </w:r>
    </w:p>
    <w:p w14:paraId="1B77C039"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p>
    <w:p w14:paraId="5C16127D"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H</w:t>
      </w:r>
      <w:r w:rsidRPr="00217059">
        <w:rPr>
          <w:rFonts w:ascii="Times New Roman" w:hAnsi="Times New Roman" w:cs="Times New Roman"/>
          <w:sz w:val="24"/>
          <w:szCs w:val="24"/>
          <w:vertAlign w:val="subscript"/>
        </w:rPr>
        <w:t>3</w:t>
      </w:r>
      <w:r w:rsidRPr="00217059">
        <w:rPr>
          <w:rFonts w:ascii="Times New Roman" w:hAnsi="Times New Roman" w:cs="Times New Roman"/>
          <w:sz w:val="24"/>
          <w:szCs w:val="24"/>
        </w:rPr>
        <w:t xml:space="preserve">: O primeiro mandato exerce influência </w:t>
      </w:r>
      <w:r w:rsidR="00024F24">
        <w:rPr>
          <w:rFonts w:ascii="Times New Roman" w:hAnsi="Times New Roman" w:cs="Times New Roman"/>
          <w:sz w:val="24"/>
          <w:szCs w:val="24"/>
        </w:rPr>
        <w:t xml:space="preserve">sobre </w:t>
      </w:r>
      <w:r w:rsidRPr="00217059">
        <w:rPr>
          <w:rFonts w:ascii="Times New Roman" w:hAnsi="Times New Roman" w:cs="Times New Roman"/>
          <w:sz w:val="24"/>
          <w:szCs w:val="24"/>
        </w:rPr>
        <w:t>o índice de gastos com pessoal definido pela Lei de Responsabilidade Fiscal.</w:t>
      </w:r>
    </w:p>
    <w:p w14:paraId="55D01FB3" w14:textId="77777777" w:rsidR="005A021A" w:rsidRPr="00217059" w:rsidRDefault="005A021A" w:rsidP="00B64057">
      <w:pPr>
        <w:spacing w:after="120" w:line="240" w:lineRule="auto"/>
        <w:ind w:firstLine="709"/>
        <w:jc w:val="both"/>
        <w:rPr>
          <w:rFonts w:ascii="Times New Roman" w:hAnsi="Times New Roman" w:cs="Times New Roman"/>
          <w:sz w:val="24"/>
          <w:szCs w:val="24"/>
        </w:rPr>
      </w:pPr>
    </w:p>
    <w:p w14:paraId="2C5CEB26" w14:textId="77777777" w:rsidR="005A021A" w:rsidRPr="00217059" w:rsidRDefault="00B64057" w:rsidP="00B64057">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5A021A" w:rsidRPr="00217059">
        <w:rPr>
          <w:rFonts w:ascii="Times New Roman" w:hAnsi="Times New Roman" w:cs="Times New Roman"/>
          <w:b/>
          <w:sz w:val="24"/>
          <w:szCs w:val="24"/>
        </w:rPr>
        <w:t>Limitações Fiscais Relacionados à Despesa com Pessoal no Brasil</w:t>
      </w:r>
    </w:p>
    <w:p w14:paraId="03B5D179"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A Lei 9.504/97 que estabelece normas para as eleições, elenca as condutas vedadas aos agentes públicos em campanhas eleitorais. Entre as condutas vedadas, existem limitações às modificações da despesa com pessoal em período anterior as eleições. O art. 73 proíbe a nomeação, contratação ou admissão de qualquer forma, demissão sem justa causa, supressão ou readaptação de vantagens, e ainda a remoção, transferência ou exoneração de servidor público nos três meses que antecedem a eleição, até a posse dos eleitos, sob pena de nulidade de pleno direito.</w:t>
      </w:r>
    </w:p>
    <w:p w14:paraId="7131B910" w14:textId="77777777" w:rsidR="00024F24" w:rsidRDefault="00024F24" w:rsidP="009426BA">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Já a</w:t>
      </w:r>
      <w:r w:rsidR="005A021A" w:rsidRPr="00217059">
        <w:rPr>
          <w:rFonts w:ascii="Times New Roman" w:hAnsi="Times New Roman" w:cs="Times New Roman"/>
          <w:sz w:val="24"/>
          <w:szCs w:val="24"/>
        </w:rPr>
        <w:t xml:space="preserve"> Lei de Responsabilidade Fiscal foi elaborada em cumprimento ao comando da Constituição Federal</w:t>
      </w:r>
      <w:r>
        <w:rPr>
          <w:rFonts w:ascii="Times New Roman" w:hAnsi="Times New Roman" w:cs="Times New Roman"/>
          <w:sz w:val="24"/>
          <w:szCs w:val="24"/>
        </w:rPr>
        <w:t xml:space="preserve"> (CF) </w:t>
      </w:r>
      <w:r w:rsidR="005A021A" w:rsidRPr="00217059">
        <w:rPr>
          <w:rFonts w:ascii="Times New Roman" w:hAnsi="Times New Roman" w:cs="Times New Roman"/>
          <w:sz w:val="24"/>
          <w:szCs w:val="24"/>
        </w:rPr>
        <w:t xml:space="preserve">de 1988, que em seu artigo 163 estabelece a necessidade de lei complementar sobre finanças públicas. O artigo 169 </w:t>
      </w:r>
      <w:r>
        <w:rPr>
          <w:rFonts w:ascii="Times New Roman" w:hAnsi="Times New Roman" w:cs="Times New Roman"/>
          <w:sz w:val="24"/>
          <w:szCs w:val="24"/>
        </w:rPr>
        <w:t xml:space="preserve">da CF </w:t>
      </w:r>
      <w:r w:rsidR="005A021A" w:rsidRPr="00217059">
        <w:rPr>
          <w:rFonts w:ascii="Times New Roman" w:hAnsi="Times New Roman" w:cs="Times New Roman"/>
          <w:sz w:val="24"/>
          <w:szCs w:val="24"/>
        </w:rPr>
        <w:t xml:space="preserve">aborda especificamente a despesa com pessoal, determinando que os Estados, o Distrito Federal e os Municípios não podem ultrapassar os limites estabelecidos em lei complementar. </w:t>
      </w:r>
    </w:p>
    <w:p w14:paraId="1B959E2A"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A LRF normatiza as finanças públicas relativas à responsabilidade na gestão fiscal, pressupondo planejamentos antecipados e postura transparente do governo, prevenindo riscos e corrigindo ações que venham a afetar o equilíbrio das contas públicas, por meio do cumprimento de metas de resultados entre receitas e despesas e a obediência a limites e condições no que tange a renúncia de receita, geração de despesas com pessoal, da seguridade social e outras, dívidas consolidada e mobiliária, operações de crédito, inclusive por antecipação de receita, concessão de garantia e inscrição em Restos a Pagar.</w:t>
      </w:r>
    </w:p>
    <w:p w14:paraId="55E174C4"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Estão entre as suas imposições, os limites máximos para as despesas com pessoal. Direcionando-se especificamente aos governos municipais, a LRF, em seu artigo 20 fixa o percentual máximo de 60% sobre a Receita Corrente Líquida, sendo 6% para o Legislativo, incluído o Tribunal de Contas do Município, quando houver; e 54% para o Poder Executivo. A verificação do cumprimento dos limites estabelecidos é realizada quadrimestralmente por meio </w:t>
      </w:r>
      <w:r w:rsidRPr="00217059">
        <w:rPr>
          <w:rFonts w:ascii="Times New Roman" w:hAnsi="Times New Roman" w:cs="Times New Roman"/>
          <w:sz w:val="24"/>
          <w:szCs w:val="24"/>
        </w:rPr>
        <w:lastRenderedPageBreak/>
        <w:t>dos Relatórios de Gestão Fiscal. Segundo o artigo 23, o desrespeito ao limite máximo da despesa com pessoal acarreta na impossibilidade do ente de receber transferências voluntárias; obter garantia, direta ou indireta, de outro ente; e contratar operações de crédito.</w:t>
      </w:r>
    </w:p>
    <w:p w14:paraId="4549764B" w14:textId="417FBDCB" w:rsidR="005A021A" w:rsidRPr="00217059" w:rsidRDefault="0001178B" w:rsidP="009426BA">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A021A" w:rsidRPr="00217059">
        <w:rPr>
          <w:rFonts w:ascii="Times New Roman" w:hAnsi="Times New Roman" w:cs="Times New Roman"/>
          <w:sz w:val="24"/>
          <w:szCs w:val="24"/>
        </w:rPr>
        <w:t>São impostas ainda</w:t>
      </w:r>
      <w:r w:rsidR="00B54593">
        <w:rPr>
          <w:rFonts w:ascii="Times New Roman" w:hAnsi="Times New Roman" w:cs="Times New Roman"/>
          <w:sz w:val="24"/>
          <w:szCs w:val="24"/>
        </w:rPr>
        <w:t>,</w:t>
      </w:r>
      <w:r w:rsidR="005A021A" w:rsidRPr="00217059">
        <w:rPr>
          <w:rFonts w:ascii="Times New Roman" w:hAnsi="Times New Roman" w:cs="Times New Roman"/>
          <w:sz w:val="24"/>
          <w:szCs w:val="24"/>
        </w:rPr>
        <w:t xml:space="preserve"> medidas de controle par</w:t>
      </w:r>
      <w:r w:rsidR="00B576A0">
        <w:rPr>
          <w:rFonts w:ascii="Times New Roman" w:hAnsi="Times New Roman" w:cs="Times New Roman"/>
          <w:sz w:val="24"/>
          <w:szCs w:val="24"/>
        </w:rPr>
        <w:t>a a Despesa com P</w:t>
      </w:r>
      <w:r w:rsidR="005A021A" w:rsidRPr="00217059">
        <w:rPr>
          <w:rFonts w:ascii="Times New Roman" w:hAnsi="Times New Roman" w:cs="Times New Roman"/>
          <w:sz w:val="24"/>
          <w:szCs w:val="24"/>
        </w:rPr>
        <w:t>essoal</w:t>
      </w:r>
      <w:r w:rsidR="00B576A0">
        <w:rPr>
          <w:rFonts w:ascii="Times New Roman" w:hAnsi="Times New Roman" w:cs="Times New Roman"/>
          <w:sz w:val="24"/>
          <w:szCs w:val="24"/>
        </w:rPr>
        <w:t xml:space="preserve">, entre as quais pode-se citar o limite prudencial </w:t>
      </w:r>
      <w:r w:rsidR="00B54593">
        <w:rPr>
          <w:rFonts w:ascii="Times New Roman" w:hAnsi="Times New Roman" w:cs="Times New Roman"/>
          <w:sz w:val="24"/>
          <w:szCs w:val="24"/>
        </w:rPr>
        <w:t xml:space="preserve">instituído </w:t>
      </w:r>
      <w:r w:rsidR="00B576A0">
        <w:rPr>
          <w:rFonts w:ascii="Times New Roman" w:hAnsi="Times New Roman" w:cs="Times New Roman"/>
          <w:sz w:val="24"/>
          <w:szCs w:val="24"/>
        </w:rPr>
        <w:t>pelo</w:t>
      </w:r>
      <w:r w:rsidR="005A021A" w:rsidRPr="00217059">
        <w:rPr>
          <w:rFonts w:ascii="Times New Roman" w:hAnsi="Times New Roman" w:cs="Times New Roman"/>
          <w:sz w:val="24"/>
          <w:szCs w:val="24"/>
        </w:rPr>
        <w:t xml:space="preserve"> art. 22 da LRF</w:t>
      </w:r>
      <w:r w:rsidR="00B54593">
        <w:rPr>
          <w:rFonts w:ascii="Times New Roman" w:hAnsi="Times New Roman" w:cs="Times New Roman"/>
          <w:sz w:val="24"/>
          <w:szCs w:val="24"/>
        </w:rPr>
        <w:t xml:space="preserve">, compreendendo </w:t>
      </w:r>
      <w:r w:rsidR="00024F24" w:rsidRPr="00024F24">
        <w:rPr>
          <w:rFonts w:ascii="Times New Roman" w:hAnsi="Times New Roman" w:cs="Times New Roman"/>
          <w:sz w:val="24"/>
          <w:szCs w:val="24"/>
        </w:rPr>
        <w:t>95% do limite máximo</w:t>
      </w:r>
      <w:r w:rsidR="00B54593">
        <w:rPr>
          <w:rFonts w:ascii="Times New Roman" w:hAnsi="Times New Roman" w:cs="Times New Roman"/>
          <w:sz w:val="24"/>
          <w:szCs w:val="24"/>
        </w:rPr>
        <w:t xml:space="preserve"> da despesa com pessoal</w:t>
      </w:r>
      <w:r w:rsidR="005A021A" w:rsidRPr="00217059">
        <w:rPr>
          <w:rFonts w:ascii="Times New Roman" w:hAnsi="Times New Roman" w:cs="Times New Roman"/>
          <w:sz w:val="24"/>
          <w:szCs w:val="24"/>
        </w:rPr>
        <w:t>. O artigo menciona ainda, que o descumprimento do limite prudencial é penalizado com a suspensão da concessão de vantagem, aumento, reajuste ou adequação de remuneração a qualquer título ou qualquer outro ato administrativo que implique aumento de despesa com pessoal.</w:t>
      </w:r>
    </w:p>
    <w:p w14:paraId="2E4BF516" w14:textId="3339F495"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Buscando a concepção do objetivo de pesquisa, o Índice de Gasto com Pessoal (IGP) estabelecido pela LRF constitui a variável dependente da pesquisa, tendo em vista que o mesmo é uma variável fiscal com limitações legais. Apesar da existência de pesquisas que demonstraram ciclos políticos no gasto com pessoal, originados por reduções e manipulações dessas despesas (</w:t>
      </w:r>
      <w:r w:rsidR="00F5448F" w:rsidRPr="00217059">
        <w:rPr>
          <w:rFonts w:ascii="Times New Roman" w:hAnsi="Times New Roman" w:cs="Times New Roman"/>
          <w:sz w:val="24"/>
          <w:szCs w:val="24"/>
        </w:rPr>
        <w:t>VEIGA; VEIGA, 2007; DRAZEN; ESLAVA, 2010; BRENDER, 2003; QUEIROZ, 2015</w:t>
      </w:r>
      <w:r w:rsidRPr="00217059">
        <w:rPr>
          <w:rFonts w:ascii="Times New Roman" w:hAnsi="Times New Roman" w:cs="Times New Roman"/>
          <w:sz w:val="24"/>
          <w:szCs w:val="24"/>
        </w:rPr>
        <w:t xml:space="preserve">), semelhantemente a Rose (2006), espera-se que o contexto institucional da elaboração orçamentária e a presença de regras fiscais dificulte a presença de ciclo político para as despesas com pessoal </w:t>
      </w:r>
      <w:r w:rsidRPr="00B1044B">
        <w:rPr>
          <w:rFonts w:ascii="Times New Roman" w:hAnsi="Times New Roman" w:cs="Times New Roman"/>
          <w:sz w:val="24"/>
          <w:szCs w:val="24"/>
        </w:rPr>
        <w:t>nos municípios</w:t>
      </w:r>
      <w:r w:rsidR="00B1044B">
        <w:rPr>
          <w:rFonts w:ascii="Times New Roman" w:hAnsi="Times New Roman" w:cs="Times New Roman"/>
          <w:sz w:val="24"/>
          <w:szCs w:val="24"/>
        </w:rPr>
        <w:t xml:space="preserve"> brasileiros</w:t>
      </w:r>
      <w:r w:rsidRPr="00217059">
        <w:rPr>
          <w:rFonts w:ascii="Times New Roman" w:hAnsi="Times New Roman" w:cs="Times New Roman"/>
          <w:sz w:val="24"/>
          <w:szCs w:val="24"/>
        </w:rPr>
        <w:t xml:space="preserve">. </w:t>
      </w:r>
    </w:p>
    <w:p w14:paraId="33061EAA"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Baseando-se ainda nas pesquisas que apontaram que o ano eleitoral, a mudança de gestor e o fator mandato eleitoral exercem influência significativa sobre variáveis fiscais, a análise da influência dos ciclos políticos sobre o IGP será estudada com base nesses três fatores políticos. Ressalta-se que a presença de regras fiscais sobre o IGP representa um fator limitador a manipulações políticas.</w:t>
      </w:r>
    </w:p>
    <w:p w14:paraId="0CD33927" w14:textId="77777777" w:rsidR="005A021A" w:rsidRPr="00217059" w:rsidRDefault="005A021A" w:rsidP="00B64057">
      <w:pPr>
        <w:spacing w:after="120" w:line="240" w:lineRule="auto"/>
        <w:ind w:firstLine="709"/>
        <w:jc w:val="both"/>
        <w:rPr>
          <w:rFonts w:ascii="Times New Roman" w:hAnsi="Times New Roman" w:cs="Times New Roman"/>
          <w:sz w:val="24"/>
          <w:szCs w:val="24"/>
        </w:rPr>
      </w:pPr>
    </w:p>
    <w:p w14:paraId="1E443508" w14:textId="77777777" w:rsidR="005A021A" w:rsidRPr="00217059" w:rsidRDefault="0001178B" w:rsidP="00B64057">
      <w:pPr>
        <w:spacing w:after="120" w:line="240" w:lineRule="auto"/>
        <w:jc w:val="both"/>
        <w:rPr>
          <w:rFonts w:ascii="Times New Roman" w:hAnsi="Times New Roman" w:cs="Times New Roman"/>
          <w:b/>
          <w:sz w:val="24"/>
          <w:szCs w:val="24"/>
        </w:rPr>
      </w:pPr>
      <w:r w:rsidRPr="00217059">
        <w:rPr>
          <w:rFonts w:ascii="Times New Roman" w:hAnsi="Times New Roman" w:cs="Times New Roman"/>
          <w:b/>
          <w:sz w:val="24"/>
          <w:szCs w:val="24"/>
        </w:rPr>
        <w:t>3</w:t>
      </w:r>
      <w:r w:rsidR="00B64057">
        <w:rPr>
          <w:rFonts w:ascii="Times New Roman" w:hAnsi="Times New Roman" w:cs="Times New Roman"/>
          <w:b/>
          <w:sz w:val="24"/>
          <w:szCs w:val="24"/>
        </w:rPr>
        <w:t xml:space="preserve"> </w:t>
      </w:r>
      <w:r w:rsidRPr="00217059">
        <w:rPr>
          <w:rFonts w:ascii="Times New Roman" w:hAnsi="Times New Roman" w:cs="Times New Roman"/>
          <w:b/>
          <w:sz w:val="24"/>
          <w:szCs w:val="24"/>
        </w:rPr>
        <w:t>Metodologia</w:t>
      </w:r>
    </w:p>
    <w:p w14:paraId="39B33FA9" w14:textId="77777777" w:rsidR="005A021A" w:rsidRPr="00217059" w:rsidRDefault="0001178B" w:rsidP="00B64057">
      <w:pPr>
        <w:spacing w:after="120" w:line="240" w:lineRule="auto"/>
        <w:jc w:val="both"/>
        <w:rPr>
          <w:rFonts w:ascii="Times New Roman" w:hAnsi="Times New Roman" w:cs="Times New Roman"/>
          <w:b/>
          <w:sz w:val="24"/>
          <w:szCs w:val="24"/>
        </w:rPr>
      </w:pPr>
      <w:r w:rsidRPr="00217059">
        <w:rPr>
          <w:rFonts w:ascii="Times New Roman" w:hAnsi="Times New Roman" w:cs="Times New Roman"/>
          <w:b/>
          <w:sz w:val="24"/>
          <w:szCs w:val="24"/>
        </w:rPr>
        <w:t>3.1</w:t>
      </w:r>
      <w:r w:rsidR="00B64057">
        <w:rPr>
          <w:rFonts w:ascii="Times New Roman" w:hAnsi="Times New Roman" w:cs="Times New Roman"/>
          <w:b/>
          <w:sz w:val="24"/>
          <w:szCs w:val="24"/>
        </w:rPr>
        <w:t xml:space="preserve"> </w:t>
      </w:r>
      <w:r w:rsidR="005A021A" w:rsidRPr="00217059">
        <w:rPr>
          <w:rFonts w:ascii="Times New Roman" w:hAnsi="Times New Roman" w:cs="Times New Roman"/>
          <w:b/>
          <w:sz w:val="24"/>
          <w:szCs w:val="24"/>
        </w:rPr>
        <w:t>Amostra da Pesquisa</w:t>
      </w:r>
    </w:p>
    <w:p w14:paraId="2C9E0260" w14:textId="32998FAE" w:rsidR="00BC0E66" w:rsidRDefault="005C53F0" w:rsidP="00261A58">
      <w:pPr>
        <w:spacing w:line="240" w:lineRule="auto"/>
        <w:ind w:firstLine="709"/>
        <w:contextualSpacing/>
        <w:jc w:val="both"/>
        <w:rPr>
          <w:rFonts w:ascii="Times New Roman" w:hAnsi="Times New Roman" w:cs="Times New Roman"/>
          <w:sz w:val="24"/>
          <w:szCs w:val="24"/>
        </w:rPr>
      </w:pPr>
      <w:r w:rsidRPr="005C53F0">
        <w:rPr>
          <w:rFonts w:ascii="Times New Roman" w:hAnsi="Times New Roman" w:cs="Times New Roman"/>
          <w:sz w:val="24"/>
          <w:szCs w:val="24"/>
        </w:rPr>
        <w:t>O universo da pesquisa consistiu em todos os municípios brasileiros nos anos de 200</w:t>
      </w:r>
      <w:r>
        <w:rPr>
          <w:rFonts w:ascii="Times New Roman" w:hAnsi="Times New Roman" w:cs="Times New Roman"/>
          <w:sz w:val="24"/>
          <w:szCs w:val="24"/>
        </w:rPr>
        <w:t>9</w:t>
      </w:r>
      <w:r w:rsidRPr="005C53F0">
        <w:rPr>
          <w:rFonts w:ascii="Times New Roman" w:hAnsi="Times New Roman" w:cs="Times New Roman"/>
          <w:sz w:val="24"/>
          <w:szCs w:val="24"/>
        </w:rPr>
        <w:t xml:space="preserve"> a 201</w:t>
      </w:r>
      <w:r>
        <w:rPr>
          <w:rFonts w:ascii="Times New Roman" w:hAnsi="Times New Roman" w:cs="Times New Roman"/>
          <w:sz w:val="24"/>
          <w:szCs w:val="24"/>
        </w:rPr>
        <w:t xml:space="preserve">6, compreendendo 2 ciclos eleitorais. </w:t>
      </w:r>
      <w:r w:rsidR="00BC0E66">
        <w:rPr>
          <w:rFonts w:ascii="Times New Roman" w:hAnsi="Times New Roman" w:cs="Times New Roman"/>
          <w:sz w:val="24"/>
          <w:szCs w:val="24"/>
        </w:rPr>
        <w:t xml:space="preserve">O critério estabelecido para a seleção da </w:t>
      </w:r>
      <w:r w:rsidR="00935CDF">
        <w:rPr>
          <w:rFonts w:ascii="Times New Roman" w:hAnsi="Times New Roman" w:cs="Times New Roman"/>
          <w:sz w:val="24"/>
          <w:szCs w:val="24"/>
        </w:rPr>
        <w:t xml:space="preserve">amostra </w:t>
      </w:r>
      <w:r w:rsidR="00BC0E66">
        <w:rPr>
          <w:rFonts w:ascii="Times New Roman" w:hAnsi="Times New Roman" w:cs="Times New Roman"/>
          <w:sz w:val="24"/>
          <w:szCs w:val="24"/>
        </w:rPr>
        <w:t xml:space="preserve">foi a disponibilidade dos Índices de Gasto com Pessoal nos sítios dos Tribunais de Contas dos Estados para os </w:t>
      </w:r>
      <w:r w:rsidR="006C451A">
        <w:rPr>
          <w:rFonts w:ascii="Times New Roman" w:hAnsi="Times New Roman" w:cs="Times New Roman"/>
          <w:sz w:val="24"/>
          <w:szCs w:val="24"/>
        </w:rPr>
        <w:t>8</w:t>
      </w:r>
      <w:r w:rsidR="00BC0E66">
        <w:rPr>
          <w:rFonts w:ascii="Times New Roman" w:hAnsi="Times New Roman" w:cs="Times New Roman"/>
          <w:sz w:val="24"/>
          <w:szCs w:val="24"/>
        </w:rPr>
        <w:t xml:space="preserve"> anos analisados. </w:t>
      </w:r>
      <w:r w:rsidR="005A021A" w:rsidRPr="00217059">
        <w:rPr>
          <w:rFonts w:ascii="Times New Roman" w:hAnsi="Times New Roman" w:cs="Times New Roman"/>
          <w:sz w:val="24"/>
          <w:szCs w:val="24"/>
        </w:rPr>
        <w:t>D</w:t>
      </w:r>
      <w:r w:rsidR="00BC0E66">
        <w:rPr>
          <w:rFonts w:ascii="Times New Roman" w:hAnsi="Times New Roman" w:cs="Times New Roman"/>
          <w:sz w:val="24"/>
          <w:szCs w:val="24"/>
        </w:rPr>
        <w:t>os 26 estados da f</w:t>
      </w:r>
      <w:r w:rsidR="005E6438">
        <w:rPr>
          <w:rFonts w:ascii="Times New Roman" w:hAnsi="Times New Roman" w:cs="Times New Roman"/>
          <w:sz w:val="24"/>
          <w:szCs w:val="24"/>
        </w:rPr>
        <w:t xml:space="preserve">ederação, apenas 6 </w:t>
      </w:r>
      <w:r w:rsidR="00BC0E66">
        <w:rPr>
          <w:rFonts w:ascii="Times New Roman" w:hAnsi="Times New Roman" w:cs="Times New Roman"/>
          <w:sz w:val="24"/>
          <w:szCs w:val="24"/>
        </w:rPr>
        <w:t>atenderam a esse critério, sendo esses: Espírito Santo, Paraíba, Rio de Janeiro, Rio Grande do Sul, Santa Catarina e Tocantins.</w:t>
      </w:r>
      <w:r w:rsidR="00261A58">
        <w:rPr>
          <w:rFonts w:ascii="Times New Roman" w:hAnsi="Times New Roman" w:cs="Times New Roman"/>
          <w:sz w:val="24"/>
          <w:szCs w:val="24"/>
        </w:rPr>
        <w:t xml:space="preserve"> Pela ausência de dados </w:t>
      </w:r>
      <w:r w:rsidR="00261A58" w:rsidRPr="00261A58">
        <w:rPr>
          <w:rFonts w:ascii="Times New Roman" w:hAnsi="Times New Roman" w:cs="Times New Roman"/>
          <w:sz w:val="24"/>
          <w:szCs w:val="24"/>
        </w:rPr>
        <w:t>financeiros, de controle ou relacionados às eleições</w:t>
      </w:r>
      <w:r w:rsidR="00261A58">
        <w:rPr>
          <w:rFonts w:ascii="Times New Roman" w:hAnsi="Times New Roman" w:cs="Times New Roman"/>
          <w:sz w:val="24"/>
          <w:szCs w:val="24"/>
        </w:rPr>
        <w:t>, p</w:t>
      </w:r>
      <w:r w:rsidR="00BC0E66" w:rsidRPr="00BC0E66">
        <w:rPr>
          <w:rFonts w:ascii="Times New Roman" w:hAnsi="Times New Roman" w:cs="Times New Roman"/>
          <w:sz w:val="24"/>
          <w:szCs w:val="24"/>
        </w:rPr>
        <w:t xml:space="preserve">recisou-se </w:t>
      </w:r>
      <w:r w:rsidR="00BC0E66">
        <w:rPr>
          <w:rFonts w:ascii="Times New Roman" w:hAnsi="Times New Roman" w:cs="Times New Roman"/>
          <w:sz w:val="24"/>
          <w:szCs w:val="24"/>
        </w:rPr>
        <w:t xml:space="preserve">ainda </w:t>
      </w:r>
      <w:r w:rsidR="00BC0E66" w:rsidRPr="00BC0E66">
        <w:rPr>
          <w:rFonts w:ascii="Times New Roman" w:hAnsi="Times New Roman" w:cs="Times New Roman"/>
          <w:sz w:val="24"/>
          <w:szCs w:val="24"/>
        </w:rPr>
        <w:t xml:space="preserve">excluir </w:t>
      </w:r>
      <w:r w:rsidR="00371030">
        <w:rPr>
          <w:rFonts w:ascii="Times New Roman" w:hAnsi="Times New Roman" w:cs="Times New Roman"/>
          <w:sz w:val="24"/>
          <w:szCs w:val="24"/>
        </w:rPr>
        <w:t>309</w:t>
      </w:r>
      <w:r w:rsidR="00BC0E66" w:rsidRPr="00BC0E66">
        <w:rPr>
          <w:rFonts w:ascii="Times New Roman" w:hAnsi="Times New Roman" w:cs="Times New Roman"/>
          <w:sz w:val="24"/>
          <w:szCs w:val="24"/>
        </w:rPr>
        <w:t xml:space="preserve"> municípios</w:t>
      </w:r>
      <w:r w:rsidR="00371030">
        <w:rPr>
          <w:rFonts w:ascii="Times New Roman" w:hAnsi="Times New Roman" w:cs="Times New Roman"/>
          <w:sz w:val="24"/>
          <w:szCs w:val="24"/>
        </w:rPr>
        <w:t xml:space="preserve"> dos estados da amostra</w:t>
      </w:r>
      <w:r w:rsidR="00261A58" w:rsidRPr="00261A58">
        <w:rPr>
          <w:rFonts w:ascii="Times New Roman" w:hAnsi="Times New Roman" w:cs="Times New Roman"/>
          <w:sz w:val="24"/>
          <w:szCs w:val="24"/>
        </w:rPr>
        <w:t>.</w:t>
      </w:r>
      <w:r w:rsidR="00BC0E66">
        <w:rPr>
          <w:rFonts w:ascii="Times New Roman" w:hAnsi="Times New Roman" w:cs="Times New Roman"/>
          <w:sz w:val="24"/>
          <w:szCs w:val="24"/>
        </w:rPr>
        <w:t xml:space="preserve"> A amostra final do estudo</w:t>
      </w:r>
      <w:r w:rsidR="005E6438">
        <w:rPr>
          <w:rFonts w:ascii="Times New Roman" w:hAnsi="Times New Roman" w:cs="Times New Roman"/>
          <w:sz w:val="24"/>
          <w:szCs w:val="24"/>
        </w:rPr>
        <w:t xml:space="preserve"> </w:t>
      </w:r>
      <w:r w:rsidR="005E6438" w:rsidRPr="00261A58">
        <w:rPr>
          <w:rFonts w:ascii="Times New Roman" w:hAnsi="Times New Roman" w:cs="Times New Roman"/>
          <w:sz w:val="24"/>
          <w:szCs w:val="24"/>
        </w:rPr>
        <w:t xml:space="preserve">equivale a </w:t>
      </w:r>
      <w:r w:rsidR="005E6438">
        <w:rPr>
          <w:rFonts w:ascii="Times New Roman" w:hAnsi="Times New Roman" w:cs="Times New Roman"/>
          <w:sz w:val="24"/>
          <w:szCs w:val="24"/>
        </w:rPr>
        <w:t>18</w:t>
      </w:r>
      <w:r w:rsidR="005E6438" w:rsidRPr="00261A58">
        <w:rPr>
          <w:rFonts w:ascii="Times New Roman" w:hAnsi="Times New Roman" w:cs="Times New Roman"/>
          <w:sz w:val="24"/>
          <w:szCs w:val="24"/>
        </w:rPr>
        <w:t>%</w:t>
      </w:r>
      <w:r w:rsidR="005E6438">
        <w:rPr>
          <w:rFonts w:ascii="Times New Roman" w:hAnsi="Times New Roman" w:cs="Times New Roman"/>
          <w:sz w:val="24"/>
          <w:szCs w:val="24"/>
        </w:rPr>
        <w:t xml:space="preserve"> do total dos municípios brasileiros, sendo </w:t>
      </w:r>
      <w:r w:rsidR="00BC0E66">
        <w:rPr>
          <w:rFonts w:ascii="Times New Roman" w:hAnsi="Times New Roman" w:cs="Times New Roman"/>
          <w:sz w:val="24"/>
          <w:szCs w:val="24"/>
        </w:rPr>
        <w:t xml:space="preserve">apresentada pela Tabela 1: </w:t>
      </w:r>
    </w:p>
    <w:p w14:paraId="44CDD765" w14:textId="77777777" w:rsidR="00BC0E66" w:rsidRDefault="00BC0E66" w:rsidP="00BC0E66">
      <w:pPr>
        <w:spacing w:line="240" w:lineRule="auto"/>
        <w:ind w:firstLine="709"/>
        <w:contextualSpacing/>
        <w:jc w:val="both"/>
        <w:rPr>
          <w:rFonts w:ascii="Times New Roman" w:hAnsi="Times New Roman" w:cs="Times New Roman"/>
          <w:sz w:val="24"/>
          <w:szCs w:val="24"/>
        </w:rPr>
      </w:pPr>
    </w:p>
    <w:p w14:paraId="27CD1236" w14:textId="77777777" w:rsidR="00BC0E66" w:rsidRPr="00B64057" w:rsidRDefault="00BC0E66" w:rsidP="00BC0E66">
      <w:pPr>
        <w:spacing w:after="0" w:line="240" w:lineRule="auto"/>
        <w:contextualSpacing/>
        <w:jc w:val="center"/>
        <w:rPr>
          <w:rFonts w:ascii="Times New Roman" w:hAnsi="Times New Roman" w:cs="Times New Roman"/>
          <w:b/>
          <w:sz w:val="20"/>
          <w:szCs w:val="24"/>
        </w:rPr>
      </w:pPr>
      <w:r w:rsidRPr="00B64057">
        <w:rPr>
          <w:rFonts w:ascii="Times New Roman" w:hAnsi="Times New Roman" w:cs="Times New Roman"/>
          <w:b/>
          <w:sz w:val="20"/>
          <w:szCs w:val="24"/>
        </w:rPr>
        <w:t xml:space="preserve">Tabela </w:t>
      </w:r>
      <w:r>
        <w:rPr>
          <w:rFonts w:ascii="Times New Roman" w:hAnsi="Times New Roman" w:cs="Times New Roman"/>
          <w:b/>
          <w:sz w:val="20"/>
          <w:szCs w:val="24"/>
        </w:rPr>
        <w:t>1</w:t>
      </w:r>
      <w:r w:rsidRPr="00B64057">
        <w:rPr>
          <w:rFonts w:ascii="Times New Roman" w:hAnsi="Times New Roman" w:cs="Times New Roman"/>
          <w:b/>
          <w:sz w:val="20"/>
          <w:szCs w:val="24"/>
        </w:rPr>
        <w:t xml:space="preserve"> –</w:t>
      </w:r>
      <w:r>
        <w:rPr>
          <w:rFonts w:ascii="Times New Roman" w:hAnsi="Times New Roman" w:cs="Times New Roman"/>
          <w:b/>
          <w:sz w:val="20"/>
          <w:szCs w:val="24"/>
        </w:rPr>
        <w:t xml:space="preserve"> Amostra da Pesquisa</w:t>
      </w:r>
    </w:p>
    <w:tbl>
      <w:tblPr>
        <w:tblW w:w="5000" w:type="pct"/>
        <w:jc w:val="center"/>
        <w:tblBorders>
          <w:top w:val="single" w:sz="4" w:space="0" w:color="auto"/>
          <w:bottom w:val="single" w:sz="4" w:space="0" w:color="auto"/>
        </w:tblBorders>
        <w:tblLook w:val="04A0" w:firstRow="1" w:lastRow="0" w:firstColumn="1" w:lastColumn="0" w:noHBand="0" w:noVBand="1"/>
      </w:tblPr>
      <w:tblGrid>
        <w:gridCol w:w="3892"/>
        <w:gridCol w:w="2340"/>
        <w:gridCol w:w="2839"/>
      </w:tblGrid>
      <w:tr w:rsidR="00BC0E66" w:rsidRPr="00217059" w14:paraId="41A08D08" w14:textId="77777777" w:rsidTr="00BC0E66">
        <w:trPr>
          <w:jc w:val="center"/>
        </w:trPr>
        <w:tc>
          <w:tcPr>
            <w:tcW w:w="2145" w:type="pct"/>
            <w:tcBorders>
              <w:top w:val="single" w:sz="4" w:space="0" w:color="auto"/>
              <w:bottom w:val="single" w:sz="4" w:space="0" w:color="auto"/>
            </w:tcBorders>
            <w:shd w:val="clear" w:color="auto" w:fill="auto"/>
          </w:tcPr>
          <w:p w14:paraId="01407744" w14:textId="77777777" w:rsidR="00BC0E66" w:rsidRPr="00217059" w:rsidRDefault="00BC0E66" w:rsidP="00BC0E66">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Unidade Federativa</w:t>
            </w:r>
          </w:p>
        </w:tc>
        <w:tc>
          <w:tcPr>
            <w:tcW w:w="1290" w:type="pct"/>
            <w:tcBorders>
              <w:top w:val="single" w:sz="4" w:space="0" w:color="auto"/>
              <w:bottom w:val="single" w:sz="4" w:space="0" w:color="auto"/>
            </w:tcBorders>
            <w:shd w:val="clear" w:color="auto" w:fill="auto"/>
          </w:tcPr>
          <w:p w14:paraId="212C106C" w14:textId="77777777" w:rsidR="00BC0E66" w:rsidRPr="00217059" w:rsidRDefault="00A5363B" w:rsidP="00FE6CE9">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População</w:t>
            </w:r>
          </w:p>
        </w:tc>
        <w:tc>
          <w:tcPr>
            <w:tcW w:w="1565" w:type="pct"/>
            <w:tcBorders>
              <w:top w:val="single" w:sz="4" w:space="0" w:color="auto"/>
              <w:bottom w:val="single" w:sz="4" w:space="0" w:color="auto"/>
            </w:tcBorders>
            <w:shd w:val="clear" w:color="auto" w:fill="auto"/>
          </w:tcPr>
          <w:p w14:paraId="327EB2DD" w14:textId="77777777" w:rsidR="00BC0E66" w:rsidRPr="00217059" w:rsidRDefault="00261A58" w:rsidP="00FE6CE9">
            <w:pPr>
              <w:spacing w:after="0" w:line="240" w:lineRule="auto"/>
              <w:contextualSpacing/>
              <w:jc w:val="center"/>
              <w:rPr>
                <w:rFonts w:ascii="Times New Roman" w:hAnsi="Times New Roman" w:cs="Times New Roman"/>
                <w:b/>
                <w:sz w:val="20"/>
                <w:szCs w:val="20"/>
                <w:vertAlign w:val="superscript"/>
              </w:rPr>
            </w:pPr>
            <w:r>
              <w:rPr>
                <w:rFonts w:ascii="Times New Roman" w:hAnsi="Times New Roman" w:cs="Times New Roman"/>
                <w:b/>
                <w:sz w:val="20"/>
                <w:szCs w:val="20"/>
              </w:rPr>
              <w:t>Amostra</w:t>
            </w:r>
            <w:r w:rsidR="00A5363B">
              <w:rPr>
                <w:rFonts w:ascii="Times New Roman" w:hAnsi="Times New Roman" w:cs="Times New Roman"/>
                <w:b/>
                <w:sz w:val="20"/>
                <w:szCs w:val="20"/>
              </w:rPr>
              <w:t xml:space="preserve"> (%)</w:t>
            </w:r>
          </w:p>
        </w:tc>
      </w:tr>
      <w:tr w:rsidR="00BC0E66" w:rsidRPr="00217059" w14:paraId="16F9ED66" w14:textId="77777777" w:rsidTr="00BC0E66">
        <w:trPr>
          <w:jc w:val="center"/>
        </w:trPr>
        <w:tc>
          <w:tcPr>
            <w:tcW w:w="2145" w:type="pct"/>
            <w:tcBorders>
              <w:top w:val="single" w:sz="4" w:space="0" w:color="auto"/>
            </w:tcBorders>
            <w:shd w:val="clear" w:color="auto" w:fill="auto"/>
          </w:tcPr>
          <w:p w14:paraId="474F4BB4" w14:textId="77777777" w:rsidR="00BC0E66" w:rsidRPr="00217059" w:rsidRDefault="00BC0E66" w:rsidP="00FE6CE9">
            <w:pPr>
              <w:spacing w:after="0" w:line="240" w:lineRule="auto"/>
              <w:contextualSpacing/>
              <w:jc w:val="center"/>
              <w:rPr>
                <w:rFonts w:ascii="Times New Roman" w:hAnsi="Times New Roman" w:cs="Times New Roman"/>
                <w:sz w:val="20"/>
                <w:szCs w:val="20"/>
              </w:rPr>
            </w:pPr>
            <w:r w:rsidRPr="00BC0E66">
              <w:rPr>
                <w:rFonts w:ascii="Times New Roman" w:hAnsi="Times New Roman" w:cs="Times New Roman"/>
                <w:sz w:val="20"/>
                <w:szCs w:val="20"/>
              </w:rPr>
              <w:t>Espírito Santo</w:t>
            </w:r>
          </w:p>
        </w:tc>
        <w:tc>
          <w:tcPr>
            <w:tcW w:w="1290" w:type="pct"/>
            <w:tcBorders>
              <w:top w:val="single" w:sz="4" w:space="0" w:color="auto"/>
            </w:tcBorders>
            <w:shd w:val="clear" w:color="auto" w:fill="auto"/>
          </w:tcPr>
          <w:p w14:paraId="481807D0" w14:textId="77777777" w:rsidR="00BC0E66" w:rsidRPr="00217059" w:rsidRDefault="005E6438" w:rsidP="00FE6CE9">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78</w:t>
            </w:r>
          </w:p>
        </w:tc>
        <w:tc>
          <w:tcPr>
            <w:tcW w:w="1565" w:type="pct"/>
            <w:tcBorders>
              <w:top w:val="single" w:sz="4" w:space="0" w:color="auto"/>
            </w:tcBorders>
            <w:shd w:val="clear" w:color="auto" w:fill="auto"/>
          </w:tcPr>
          <w:p w14:paraId="5CF0A515" w14:textId="77777777" w:rsidR="00BC0E66" w:rsidRPr="00217059" w:rsidRDefault="005E6438" w:rsidP="00FE6CE9">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49</w:t>
            </w:r>
            <w:r w:rsidR="00A5363B">
              <w:rPr>
                <w:rFonts w:ascii="Times New Roman" w:hAnsi="Times New Roman" w:cs="Times New Roman"/>
                <w:sz w:val="20"/>
                <w:szCs w:val="20"/>
              </w:rPr>
              <w:t xml:space="preserve"> (63%)</w:t>
            </w:r>
          </w:p>
        </w:tc>
      </w:tr>
      <w:tr w:rsidR="00BC0E66" w:rsidRPr="00217059" w14:paraId="6D5F6A9C" w14:textId="77777777" w:rsidTr="00BC0E66">
        <w:trPr>
          <w:jc w:val="center"/>
        </w:trPr>
        <w:tc>
          <w:tcPr>
            <w:tcW w:w="2145" w:type="pct"/>
            <w:shd w:val="clear" w:color="auto" w:fill="auto"/>
          </w:tcPr>
          <w:p w14:paraId="0D152292" w14:textId="77777777" w:rsidR="00BC0E66" w:rsidRPr="00217059" w:rsidRDefault="00BC0E66" w:rsidP="00FE6CE9">
            <w:pPr>
              <w:spacing w:after="0" w:line="240" w:lineRule="auto"/>
              <w:contextualSpacing/>
              <w:jc w:val="center"/>
              <w:rPr>
                <w:rFonts w:ascii="Times New Roman" w:hAnsi="Times New Roman" w:cs="Times New Roman"/>
                <w:sz w:val="20"/>
                <w:szCs w:val="20"/>
              </w:rPr>
            </w:pPr>
            <w:r w:rsidRPr="00BC0E66">
              <w:rPr>
                <w:rFonts w:ascii="Times New Roman" w:hAnsi="Times New Roman" w:cs="Times New Roman"/>
                <w:sz w:val="20"/>
                <w:szCs w:val="20"/>
              </w:rPr>
              <w:t>Paraíba</w:t>
            </w:r>
          </w:p>
        </w:tc>
        <w:tc>
          <w:tcPr>
            <w:tcW w:w="1290" w:type="pct"/>
            <w:shd w:val="clear" w:color="auto" w:fill="auto"/>
          </w:tcPr>
          <w:p w14:paraId="7EDBFD92" w14:textId="77777777" w:rsidR="00BC0E66" w:rsidRPr="00217059" w:rsidRDefault="005E6438" w:rsidP="00FE6CE9">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223</w:t>
            </w:r>
          </w:p>
        </w:tc>
        <w:tc>
          <w:tcPr>
            <w:tcW w:w="1565" w:type="pct"/>
            <w:shd w:val="clear" w:color="auto" w:fill="auto"/>
          </w:tcPr>
          <w:p w14:paraId="589BD5A1" w14:textId="77777777" w:rsidR="00BC0E66" w:rsidRPr="00217059" w:rsidRDefault="005E6438" w:rsidP="00FE6CE9">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197</w:t>
            </w:r>
            <w:r w:rsidR="00A5363B">
              <w:rPr>
                <w:rFonts w:ascii="Times New Roman" w:hAnsi="Times New Roman" w:cs="Times New Roman"/>
                <w:sz w:val="20"/>
                <w:szCs w:val="20"/>
              </w:rPr>
              <w:t xml:space="preserve"> (88%)</w:t>
            </w:r>
          </w:p>
        </w:tc>
      </w:tr>
      <w:tr w:rsidR="00BC0E66" w:rsidRPr="00217059" w14:paraId="622528CB" w14:textId="77777777" w:rsidTr="00BC0E66">
        <w:trPr>
          <w:jc w:val="center"/>
        </w:trPr>
        <w:tc>
          <w:tcPr>
            <w:tcW w:w="2145" w:type="pct"/>
            <w:shd w:val="clear" w:color="auto" w:fill="auto"/>
          </w:tcPr>
          <w:p w14:paraId="0089DCCF" w14:textId="77777777" w:rsidR="00BC0E66" w:rsidRPr="00217059" w:rsidRDefault="00BC0E66" w:rsidP="00FE6CE9">
            <w:pPr>
              <w:spacing w:after="0" w:line="240" w:lineRule="auto"/>
              <w:contextualSpacing/>
              <w:jc w:val="center"/>
              <w:rPr>
                <w:rFonts w:ascii="Times New Roman" w:hAnsi="Times New Roman" w:cs="Times New Roman"/>
                <w:sz w:val="20"/>
                <w:szCs w:val="20"/>
              </w:rPr>
            </w:pPr>
            <w:r w:rsidRPr="00BC0E66">
              <w:rPr>
                <w:rFonts w:ascii="Times New Roman" w:hAnsi="Times New Roman" w:cs="Times New Roman"/>
                <w:sz w:val="20"/>
                <w:szCs w:val="20"/>
              </w:rPr>
              <w:t>Rio de Janeiro</w:t>
            </w:r>
          </w:p>
        </w:tc>
        <w:tc>
          <w:tcPr>
            <w:tcW w:w="1290" w:type="pct"/>
            <w:shd w:val="clear" w:color="auto" w:fill="auto"/>
          </w:tcPr>
          <w:p w14:paraId="43E8A7AC" w14:textId="77777777" w:rsidR="00BC0E66" w:rsidRPr="00217059" w:rsidRDefault="005E6438" w:rsidP="00FE6CE9">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92</w:t>
            </w:r>
          </w:p>
        </w:tc>
        <w:tc>
          <w:tcPr>
            <w:tcW w:w="1565" w:type="pct"/>
            <w:shd w:val="clear" w:color="auto" w:fill="auto"/>
          </w:tcPr>
          <w:p w14:paraId="4F754D59" w14:textId="77777777" w:rsidR="00BC0E66" w:rsidRPr="00217059" w:rsidRDefault="005E6438" w:rsidP="00FE6CE9">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54</w:t>
            </w:r>
            <w:r w:rsidR="00A5363B">
              <w:rPr>
                <w:rFonts w:ascii="Times New Roman" w:hAnsi="Times New Roman" w:cs="Times New Roman"/>
                <w:sz w:val="20"/>
                <w:szCs w:val="20"/>
              </w:rPr>
              <w:t xml:space="preserve"> (59%)</w:t>
            </w:r>
          </w:p>
        </w:tc>
      </w:tr>
      <w:tr w:rsidR="00BC0E66" w:rsidRPr="00217059" w14:paraId="6E976AC6" w14:textId="77777777" w:rsidTr="00BC0E66">
        <w:trPr>
          <w:jc w:val="center"/>
        </w:trPr>
        <w:tc>
          <w:tcPr>
            <w:tcW w:w="2145" w:type="pct"/>
            <w:shd w:val="clear" w:color="auto" w:fill="auto"/>
          </w:tcPr>
          <w:p w14:paraId="469AEF4E" w14:textId="77777777" w:rsidR="00BC0E66" w:rsidRPr="00217059" w:rsidRDefault="00BC0E66" w:rsidP="00FE6CE9">
            <w:pPr>
              <w:spacing w:after="0" w:line="240" w:lineRule="auto"/>
              <w:contextualSpacing/>
              <w:jc w:val="center"/>
              <w:rPr>
                <w:rFonts w:ascii="Times New Roman" w:hAnsi="Times New Roman" w:cs="Times New Roman"/>
                <w:sz w:val="20"/>
                <w:szCs w:val="20"/>
              </w:rPr>
            </w:pPr>
            <w:r w:rsidRPr="00BC0E66">
              <w:rPr>
                <w:rFonts w:ascii="Times New Roman" w:hAnsi="Times New Roman" w:cs="Times New Roman"/>
                <w:sz w:val="20"/>
                <w:szCs w:val="20"/>
              </w:rPr>
              <w:t>Rio Grande do Sul</w:t>
            </w:r>
          </w:p>
        </w:tc>
        <w:tc>
          <w:tcPr>
            <w:tcW w:w="1290" w:type="pct"/>
            <w:shd w:val="clear" w:color="auto" w:fill="auto"/>
          </w:tcPr>
          <w:p w14:paraId="40DB4AF8" w14:textId="77777777" w:rsidR="00BC0E66" w:rsidRPr="00217059" w:rsidRDefault="005E6438" w:rsidP="00FE6CE9">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497</w:t>
            </w:r>
          </w:p>
        </w:tc>
        <w:tc>
          <w:tcPr>
            <w:tcW w:w="1565" w:type="pct"/>
            <w:shd w:val="clear" w:color="auto" w:fill="auto"/>
          </w:tcPr>
          <w:p w14:paraId="37D7D872" w14:textId="77777777" w:rsidR="00BC0E66" w:rsidRPr="00217059" w:rsidRDefault="005E6438" w:rsidP="00FE6CE9">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391</w:t>
            </w:r>
            <w:r w:rsidR="00A5363B">
              <w:rPr>
                <w:rFonts w:ascii="Times New Roman" w:hAnsi="Times New Roman" w:cs="Times New Roman"/>
                <w:sz w:val="20"/>
                <w:szCs w:val="20"/>
              </w:rPr>
              <w:t xml:space="preserve"> (79%)</w:t>
            </w:r>
          </w:p>
        </w:tc>
      </w:tr>
      <w:tr w:rsidR="00BC0E66" w:rsidRPr="00217059" w14:paraId="1AE8B600" w14:textId="77777777" w:rsidTr="00BC0E66">
        <w:trPr>
          <w:jc w:val="center"/>
        </w:trPr>
        <w:tc>
          <w:tcPr>
            <w:tcW w:w="2145" w:type="pct"/>
            <w:tcBorders>
              <w:bottom w:val="nil"/>
            </w:tcBorders>
            <w:shd w:val="clear" w:color="auto" w:fill="auto"/>
          </w:tcPr>
          <w:p w14:paraId="41E81435" w14:textId="77777777" w:rsidR="00BC0E66" w:rsidRPr="00217059" w:rsidRDefault="00261A58" w:rsidP="00FE6CE9">
            <w:pPr>
              <w:spacing w:after="0" w:line="240" w:lineRule="auto"/>
              <w:contextualSpacing/>
              <w:jc w:val="center"/>
              <w:rPr>
                <w:rFonts w:ascii="Times New Roman" w:hAnsi="Times New Roman" w:cs="Times New Roman"/>
                <w:sz w:val="20"/>
                <w:szCs w:val="20"/>
              </w:rPr>
            </w:pPr>
            <w:r w:rsidRPr="00261A58">
              <w:rPr>
                <w:rFonts w:ascii="Times New Roman" w:hAnsi="Times New Roman" w:cs="Times New Roman"/>
                <w:sz w:val="20"/>
                <w:szCs w:val="20"/>
              </w:rPr>
              <w:t>Santa Catarina</w:t>
            </w:r>
          </w:p>
        </w:tc>
        <w:tc>
          <w:tcPr>
            <w:tcW w:w="1290" w:type="pct"/>
            <w:tcBorders>
              <w:bottom w:val="nil"/>
            </w:tcBorders>
            <w:shd w:val="clear" w:color="auto" w:fill="auto"/>
          </w:tcPr>
          <w:p w14:paraId="7F5C0CD7" w14:textId="77777777" w:rsidR="00BC0E66" w:rsidRPr="00217059" w:rsidRDefault="005E6438" w:rsidP="00FE6CE9">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296</w:t>
            </w:r>
          </w:p>
        </w:tc>
        <w:tc>
          <w:tcPr>
            <w:tcW w:w="1565" w:type="pct"/>
            <w:tcBorders>
              <w:bottom w:val="nil"/>
            </w:tcBorders>
            <w:shd w:val="clear" w:color="auto" w:fill="auto"/>
          </w:tcPr>
          <w:p w14:paraId="0965A146" w14:textId="77777777" w:rsidR="00BC0E66" w:rsidRPr="00217059" w:rsidRDefault="005E6438" w:rsidP="00FE6CE9">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246</w:t>
            </w:r>
            <w:r w:rsidR="00A5363B">
              <w:rPr>
                <w:rFonts w:ascii="Times New Roman" w:hAnsi="Times New Roman" w:cs="Times New Roman"/>
                <w:sz w:val="20"/>
                <w:szCs w:val="20"/>
              </w:rPr>
              <w:t xml:space="preserve"> (83%)</w:t>
            </w:r>
          </w:p>
        </w:tc>
      </w:tr>
      <w:tr w:rsidR="00BC0E66" w:rsidRPr="00217059" w14:paraId="73205CD3" w14:textId="77777777" w:rsidTr="00261A58">
        <w:trPr>
          <w:jc w:val="center"/>
        </w:trPr>
        <w:tc>
          <w:tcPr>
            <w:tcW w:w="2145" w:type="pct"/>
            <w:tcBorders>
              <w:top w:val="nil"/>
              <w:bottom w:val="single" w:sz="4" w:space="0" w:color="auto"/>
            </w:tcBorders>
            <w:shd w:val="clear" w:color="auto" w:fill="auto"/>
          </w:tcPr>
          <w:p w14:paraId="6C9AE0FC" w14:textId="77777777" w:rsidR="00BC0E66" w:rsidRPr="00217059" w:rsidRDefault="00261A58" w:rsidP="00FE6CE9">
            <w:pPr>
              <w:spacing w:after="0" w:line="240" w:lineRule="auto"/>
              <w:contextualSpacing/>
              <w:jc w:val="center"/>
              <w:rPr>
                <w:rFonts w:ascii="Times New Roman" w:hAnsi="Times New Roman" w:cs="Times New Roman"/>
                <w:sz w:val="20"/>
                <w:szCs w:val="20"/>
              </w:rPr>
            </w:pPr>
            <w:r w:rsidRPr="00261A58">
              <w:rPr>
                <w:rFonts w:ascii="Times New Roman" w:hAnsi="Times New Roman" w:cs="Times New Roman"/>
                <w:sz w:val="20"/>
                <w:szCs w:val="20"/>
              </w:rPr>
              <w:t>Tocantins</w:t>
            </w:r>
          </w:p>
        </w:tc>
        <w:tc>
          <w:tcPr>
            <w:tcW w:w="1290" w:type="pct"/>
            <w:tcBorders>
              <w:top w:val="nil"/>
              <w:bottom w:val="single" w:sz="4" w:space="0" w:color="auto"/>
            </w:tcBorders>
            <w:shd w:val="clear" w:color="auto" w:fill="auto"/>
          </w:tcPr>
          <w:p w14:paraId="0CB60C3A" w14:textId="77777777" w:rsidR="00BC0E66" w:rsidRPr="00217059" w:rsidRDefault="005E6438" w:rsidP="00FE6CE9">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139</w:t>
            </w:r>
          </w:p>
        </w:tc>
        <w:tc>
          <w:tcPr>
            <w:tcW w:w="1565" w:type="pct"/>
            <w:tcBorders>
              <w:top w:val="nil"/>
              <w:bottom w:val="single" w:sz="4" w:space="0" w:color="auto"/>
            </w:tcBorders>
            <w:shd w:val="clear" w:color="auto" w:fill="auto"/>
          </w:tcPr>
          <w:p w14:paraId="3EFFB71B" w14:textId="77777777" w:rsidR="00BC0E66" w:rsidRPr="00217059" w:rsidRDefault="005E6438" w:rsidP="00FE6CE9">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79</w:t>
            </w:r>
            <w:r w:rsidR="00A5363B">
              <w:rPr>
                <w:rFonts w:ascii="Times New Roman" w:hAnsi="Times New Roman" w:cs="Times New Roman"/>
                <w:sz w:val="20"/>
                <w:szCs w:val="20"/>
              </w:rPr>
              <w:t xml:space="preserve"> (57%)</w:t>
            </w:r>
          </w:p>
        </w:tc>
      </w:tr>
      <w:tr w:rsidR="00261A58" w:rsidRPr="00217059" w14:paraId="38A1824B" w14:textId="77777777" w:rsidTr="00261A58">
        <w:trPr>
          <w:jc w:val="center"/>
        </w:trPr>
        <w:tc>
          <w:tcPr>
            <w:tcW w:w="2145" w:type="pct"/>
            <w:tcBorders>
              <w:top w:val="single" w:sz="4" w:space="0" w:color="auto"/>
              <w:bottom w:val="single" w:sz="4" w:space="0" w:color="auto"/>
            </w:tcBorders>
            <w:shd w:val="clear" w:color="auto" w:fill="auto"/>
          </w:tcPr>
          <w:p w14:paraId="3B95F893" w14:textId="77777777" w:rsidR="00261A58" w:rsidRPr="00261A58" w:rsidRDefault="00261A58" w:rsidP="00FE6CE9">
            <w:pPr>
              <w:spacing w:after="0" w:line="240" w:lineRule="auto"/>
              <w:contextualSpacing/>
              <w:jc w:val="center"/>
              <w:rPr>
                <w:rFonts w:ascii="Times New Roman" w:hAnsi="Times New Roman" w:cs="Times New Roman"/>
                <w:b/>
                <w:sz w:val="20"/>
                <w:szCs w:val="20"/>
              </w:rPr>
            </w:pPr>
            <w:r w:rsidRPr="00261A58">
              <w:rPr>
                <w:rFonts w:ascii="Times New Roman" w:hAnsi="Times New Roman" w:cs="Times New Roman"/>
                <w:b/>
                <w:sz w:val="20"/>
                <w:szCs w:val="20"/>
              </w:rPr>
              <w:t>Total</w:t>
            </w:r>
          </w:p>
        </w:tc>
        <w:tc>
          <w:tcPr>
            <w:tcW w:w="1290" w:type="pct"/>
            <w:tcBorders>
              <w:top w:val="single" w:sz="4" w:space="0" w:color="auto"/>
              <w:bottom w:val="single" w:sz="4" w:space="0" w:color="auto"/>
            </w:tcBorders>
            <w:shd w:val="clear" w:color="auto" w:fill="auto"/>
          </w:tcPr>
          <w:p w14:paraId="036DE4DD" w14:textId="77777777" w:rsidR="00261A58" w:rsidRPr="00261A58" w:rsidRDefault="00A5363B" w:rsidP="00FE6CE9">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1.325</w:t>
            </w:r>
          </w:p>
        </w:tc>
        <w:tc>
          <w:tcPr>
            <w:tcW w:w="1565" w:type="pct"/>
            <w:tcBorders>
              <w:top w:val="single" w:sz="4" w:space="0" w:color="auto"/>
              <w:bottom w:val="single" w:sz="4" w:space="0" w:color="auto"/>
            </w:tcBorders>
            <w:shd w:val="clear" w:color="auto" w:fill="auto"/>
          </w:tcPr>
          <w:p w14:paraId="29F1B460" w14:textId="77777777" w:rsidR="00261A58" w:rsidRPr="00261A58" w:rsidRDefault="005E6438" w:rsidP="00FE6CE9">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1.016</w:t>
            </w:r>
            <w:r w:rsidR="00A5363B">
              <w:rPr>
                <w:rFonts w:ascii="Times New Roman" w:hAnsi="Times New Roman" w:cs="Times New Roman"/>
                <w:b/>
                <w:sz w:val="20"/>
                <w:szCs w:val="20"/>
              </w:rPr>
              <w:t xml:space="preserve"> (77%)</w:t>
            </w:r>
          </w:p>
        </w:tc>
      </w:tr>
    </w:tbl>
    <w:p w14:paraId="271052A9" w14:textId="77777777" w:rsidR="00BC0E66" w:rsidRPr="00217059" w:rsidRDefault="00BC0E66" w:rsidP="00BC0E66">
      <w:pPr>
        <w:spacing w:after="0" w:line="240" w:lineRule="auto"/>
        <w:contextualSpacing/>
        <w:jc w:val="both"/>
        <w:rPr>
          <w:rFonts w:ascii="Times New Roman" w:hAnsi="Times New Roman" w:cs="Times New Roman"/>
          <w:sz w:val="20"/>
          <w:szCs w:val="20"/>
        </w:rPr>
      </w:pPr>
      <w:r w:rsidRPr="00217059">
        <w:rPr>
          <w:rFonts w:ascii="Times New Roman" w:hAnsi="Times New Roman" w:cs="Times New Roman"/>
          <w:b/>
          <w:sz w:val="20"/>
          <w:szCs w:val="20"/>
        </w:rPr>
        <w:t>Fonte:</w:t>
      </w:r>
      <w:r w:rsidRPr="00217059">
        <w:rPr>
          <w:rFonts w:ascii="Times New Roman" w:hAnsi="Times New Roman" w:cs="Times New Roman"/>
          <w:sz w:val="20"/>
          <w:szCs w:val="20"/>
        </w:rPr>
        <w:t xml:space="preserve"> Dados da Pesquisa.</w:t>
      </w:r>
    </w:p>
    <w:p w14:paraId="383FE7F3" w14:textId="77777777" w:rsidR="00BC0E66" w:rsidRDefault="00BC0E66" w:rsidP="009426BA">
      <w:pPr>
        <w:spacing w:line="240" w:lineRule="auto"/>
        <w:ind w:firstLine="709"/>
        <w:contextualSpacing/>
        <w:jc w:val="both"/>
        <w:rPr>
          <w:rFonts w:ascii="Times New Roman" w:hAnsi="Times New Roman" w:cs="Times New Roman"/>
          <w:sz w:val="24"/>
          <w:szCs w:val="24"/>
        </w:rPr>
      </w:pPr>
    </w:p>
    <w:p w14:paraId="06B224DB" w14:textId="77777777" w:rsidR="005A021A" w:rsidRPr="00217059" w:rsidRDefault="005A021A" w:rsidP="00073DEE">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O processo de coleta dos dados ocorreu exclusivamente pela internet. As informações eleitorais foram coletadas diretamente do sítio do tribunal superior eleitoral (TSE). Os índices da despesa com pessoal </w:t>
      </w:r>
      <w:r w:rsidR="00261A58">
        <w:rPr>
          <w:rFonts w:ascii="Times New Roman" w:hAnsi="Times New Roman" w:cs="Times New Roman"/>
          <w:sz w:val="24"/>
          <w:szCs w:val="24"/>
        </w:rPr>
        <w:t xml:space="preserve">foram coletados </w:t>
      </w:r>
      <w:r w:rsidRPr="00217059">
        <w:rPr>
          <w:rFonts w:ascii="Times New Roman" w:hAnsi="Times New Roman" w:cs="Times New Roman"/>
          <w:sz w:val="24"/>
          <w:szCs w:val="24"/>
        </w:rPr>
        <w:t>no</w:t>
      </w:r>
      <w:r w:rsidR="00261A58">
        <w:rPr>
          <w:rFonts w:ascii="Times New Roman" w:hAnsi="Times New Roman" w:cs="Times New Roman"/>
          <w:sz w:val="24"/>
          <w:szCs w:val="24"/>
        </w:rPr>
        <w:t>s</w:t>
      </w:r>
      <w:r w:rsidRPr="00217059">
        <w:rPr>
          <w:rFonts w:ascii="Times New Roman" w:hAnsi="Times New Roman" w:cs="Times New Roman"/>
          <w:sz w:val="24"/>
          <w:szCs w:val="24"/>
        </w:rPr>
        <w:t xml:space="preserve"> sítio</w:t>
      </w:r>
      <w:r w:rsidR="00261A58">
        <w:rPr>
          <w:rFonts w:ascii="Times New Roman" w:hAnsi="Times New Roman" w:cs="Times New Roman"/>
          <w:sz w:val="24"/>
          <w:szCs w:val="24"/>
        </w:rPr>
        <w:t>s</w:t>
      </w:r>
      <w:r w:rsidRPr="00217059">
        <w:rPr>
          <w:rFonts w:ascii="Times New Roman" w:hAnsi="Times New Roman" w:cs="Times New Roman"/>
          <w:sz w:val="24"/>
          <w:szCs w:val="24"/>
        </w:rPr>
        <w:t xml:space="preserve"> do</w:t>
      </w:r>
      <w:r w:rsidR="00261A58">
        <w:rPr>
          <w:rFonts w:ascii="Times New Roman" w:hAnsi="Times New Roman" w:cs="Times New Roman"/>
          <w:sz w:val="24"/>
          <w:szCs w:val="24"/>
        </w:rPr>
        <w:t>s</w:t>
      </w:r>
      <w:r w:rsidRPr="00217059">
        <w:rPr>
          <w:rFonts w:ascii="Times New Roman" w:hAnsi="Times New Roman" w:cs="Times New Roman"/>
          <w:sz w:val="24"/>
          <w:szCs w:val="24"/>
        </w:rPr>
        <w:t xml:space="preserve"> Tribuna</w:t>
      </w:r>
      <w:r w:rsidR="00261A58">
        <w:rPr>
          <w:rFonts w:ascii="Times New Roman" w:hAnsi="Times New Roman" w:cs="Times New Roman"/>
          <w:sz w:val="24"/>
          <w:szCs w:val="24"/>
        </w:rPr>
        <w:t>is</w:t>
      </w:r>
      <w:r w:rsidRPr="00217059">
        <w:rPr>
          <w:rFonts w:ascii="Times New Roman" w:hAnsi="Times New Roman" w:cs="Times New Roman"/>
          <w:sz w:val="24"/>
          <w:szCs w:val="24"/>
        </w:rPr>
        <w:t xml:space="preserve"> de Contas do Estado</w:t>
      </w:r>
      <w:r w:rsidR="00261A58">
        <w:rPr>
          <w:rFonts w:ascii="Times New Roman" w:hAnsi="Times New Roman" w:cs="Times New Roman"/>
          <w:sz w:val="24"/>
          <w:szCs w:val="24"/>
        </w:rPr>
        <w:t>s</w:t>
      </w:r>
      <w:r w:rsidRPr="00217059">
        <w:rPr>
          <w:rFonts w:ascii="Times New Roman" w:hAnsi="Times New Roman" w:cs="Times New Roman"/>
          <w:sz w:val="24"/>
          <w:szCs w:val="24"/>
        </w:rPr>
        <w:t>, onde o Relatório de Gastos com Pessoal pode ser consultado pelo</w:t>
      </w:r>
      <w:r w:rsidR="000B2C89">
        <w:rPr>
          <w:rFonts w:ascii="Times New Roman" w:hAnsi="Times New Roman" w:cs="Times New Roman"/>
          <w:sz w:val="24"/>
          <w:szCs w:val="24"/>
        </w:rPr>
        <w:t>s</w:t>
      </w:r>
      <w:r w:rsidRPr="00217059">
        <w:rPr>
          <w:rFonts w:ascii="Times New Roman" w:hAnsi="Times New Roman" w:cs="Times New Roman"/>
          <w:sz w:val="24"/>
          <w:szCs w:val="24"/>
        </w:rPr>
        <w:t xml:space="preserve"> Relatório</w:t>
      </w:r>
      <w:r w:rsidR="000B2C89">
        <w:rPr>
          <w:rFonts w:ascii="Times New Roman" w:hAnsi="Times New Roman" w:cs="Times New Roman"/>
          <w:sz w:val="24"/>
          <w:szCs w:val="24"/>
        </w:rPr>
        <w:t>s</w:t>
      </w:r>
      <w:r w:rsidRPr="00217059">
        <w:rPr>
          <w:rFonts w:ascii="Times New Roman" w:hAnsi="Times New Roman" w:cs="Times New Roman"/>
          <w:sz w:val="24"/>
          <w:szCs w:val="24"/>
        </w:rPr>
        <w:t xml:space="preserve"> de Gestão Fiscal (RGF). </w:t>
      </w:r>
      <w:r w:rsidR="00261A58">
        <w:rPr>
          <w:rFonts w:ascii="Times New Roman" w:hAnsi="Times New Roman" w:cs="Times New Roman"/>
          <w:sz w:val="24"/>
          <w:szCs w:val="24"/>
        </w:rPr>
        <w:lastRenderedPageBreak/>
        <w:t>Por fim, os dados demográficos foram coletados no sitio do Instituto Brasileiro de Geografia e Estatística (IBGE).</w:t>
      </w:r>
    </w:p>
    <w:p w14:paraId="7B3C9549" w14:textId="77777777" w:rsidR="006C72F5" w:rsidRPr="00217059" w:rsidRDefault="006C72F5" w:rsidP="00B64057">
      <w:pPr>
        <w:spacing w:after="120" w:line="240" w:lineRule="auto"/>
        <w:ind w:firstLine="709"/>
        <w:jc w:val="both"/>
        <w:rPr>
          <w:rFonts w:ascii="Times New Roman" w:hAnsi="Times New Roman" w:cs="Times New Roman"/>
          <w:b/>
          <w:sz w:val="24"/>
          <w:szCs w:val="24"/>
        </w:rPr>
      </w:pPr>
    </w:p>
    <w:p w14:paraId="5E380668" w14:textId="77777777" w:rsidR="005A021A" w:rsidRPr="00217059" w:rsidRDefault="005A021A" w:rsidP="00073DEE">
      <w:pPr>
        <w:spacing w:after="120" w:line="240" w:lineRule="auto"/>
        <w:jc w:val="both"/>
        <w:rPr>
          <w:rFonts w:ascii="Times New Roman" w:hAnsi="Times New Roman" w:cs="Times New Roman"/>
          <w:b/>
          <w:sz w:val="24"/>
          <w:szCs w:val="24"/>
        </w:rPr>
      </w:pPr>
      <w:r w:rsidRPr="00217059">
        <w:rPr>
          <w:rFonts w:ascii="Times New Roman" w:hAnsi="Times New Roman" w:cs="Times New Roman"/>
          <w:b/>
          <w:sz w:val="24"/>
          <w:szCs w:val="24"/>
        </w:rPr>
        <w:t>3.2</w:t>
      </w:r>
      <w:r w:rsidR="00B64057">
        <w:rPr>
          <w:rFonts w:ascii="Times New Roman" w:hAnsi="Times New Roman" w:cs="Times New Roman"/>
          <w:b/>
          <w:sz w:val="24"/>
          <w:szCs w:val="24"/>
        </w:rPr>
        <w:t xml:space="preserve"> </w:t>
      </w:r>
      <w:r w:rsidRPr="00217059">
        <w:rPr>
          <w:rFonts w:ascii="Times New Roman" w:hAnsi="Times New Roman" w:cs="Times New Roman"/>
          <w:b/>
          <w:sz w:val="24"/>
          <w:szCs w:val="24"/>
        </w:rPr>
        <w:t>Definição das Variáveis e Modelo Econométrico</w:t>
      </w:r>
    </w:p>
    <w:p w14:paraId="265AAB69"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As variáveis utilizadas foram definidas conforme as hipóteses de pesquisa. A variável dependente é o Índice de Gasto com Pessoal (IGP) estabelecido pela LRF. As variáveis independentes de interesse possuem naturez</w:t>
      </w:r>
      <w:r w:rsidR="006C72F5" w:rsidRPr="00217059">
        <w:rPr>
          <w:rFonts w:ascii="Times New Roman" w:hAnsi="Times New Roman" w:cs="Times New Roman"/>
          <w:sz w:val="24"/>
          <w:szCs w:val="24"/>
        </w:rPr>
        <w:t>a binária, conforme descrição do</w:t>
      </w:r>
      <w:r w:rsidRPr="00217059">
        <w:rPr>
          <w:rFonts w:ascii="Times New Roman" w:hAnsi="Times New Roman" w:cs="Times New Roman"/>
          <w:sz w:val="24"/>
          <w:szCs w:val="24"/>
        </w:rPr>
        <w:t xml:space="preserve"> </w:t>
      </w:r>
      <w:r w:rsidR="006C72F5" w:rsidRPr="00217059">
        <w:rPr>
          <w:rFonts w:ascii="Times New Roman" w:hAnsi="Times New Roman" w:cs="Times New Roman"/>
          <w:sz w:val="24"/>
          <w:szCs w:val="24"/>
        </w:rPr>
        <w:t>Quadro</w:t>
      </w:r>
      <w:r w:rsidRPr="00217059">
        <w:rPr>
          <w:rFonts w:ascii="Times New Roman" w:hAnsi="Times New Roman" w:cs="Times New Roman"/>
          <w:sz w:val="24"/>
          <w:szCs w:val="24"/>
        </w:rPr>
        <w:t xml:space="preserve"> 1:</w:t>
      </w:r>
    </w:p>
    <w:p w14:paraId="7F6E96A2"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p>
    <w:p w14:paraId="5095CD98" w14:textId="77777777" w:rsidR="006C72F5" w:rsidRPr="00B64057" w:rsidRDefault="006C72F5" w:rsidP="00B64057">
      <w:pPr>
        <w:spacing w:after="0" w:line="240" w:lineRule="auto"/>
        <w:contextualSpacing/>
        <w:jc w:val="center"/>
        <w:rPr>
          <w:rFonts w:ascii="Times New Roman" w:hAnsi="Times New Roman" w:cs="Times New Roman"/>
          <w:b/>
          <w:sz w:val="20"/>
          <w:szCs w:val="20"/>
          <w:vertAlign w:val="subscript"/>
        </w:rPr>
      </w:pPr>
      <w:r w:rsidRPr="00B64057">
        <w:rPr>
          <w:rFonts w:ascii="Times New Roman" w:hAnsi="Times New Roman" w:cs="Times New Roman"/>
          <w:b/>
          <w:sz w:val="20"/>
          <w:szCs w:val="20"/>
        </w:rPr>
        <w:t>Quadro 1 – Descrição das variáveis independentes de interesse</w:t>
      </w:r>
    </w:p>
    <w:tbl>
      <w:tblPr>
        <w:tblW w:w="5000" w:type="pct"/>
        <w:tblLook w:val="04A0" w:firstRow="1" w:lastRow="0" w:firstColumn="1" w:lastColumn="0" w:noHBand="0" w:noVBand="1"/>
      </w:tblPr>
      <w:tblGrid>
        <w:gridCol w:w="1658"/>
        <w:gridCol w:w="2035"/>
        <w:gridCol w:w="5368"/>
      </w:tblGrid>
      <w:tr w:rsidR="006C72F5" w:rsidRPr="00B64057" w14:paraId="1C8F0966" w14:textId="77777777" w:rsidTr="003A1FA2">
        <w:tc>
          <w:tcPr>
            <w:tcW w:w="915" w:type="pct"/>
            <w:tcBorders>
              <w:top w:val="single" w:sz="4" w:space="0" w:color="auto"/>
              <w:left w:val="single" w:sz="4" w:space="0" w:color="auto"/>
              <w:bottom w:val="single" w:sz="4" w:space="0" w:color="auto"/>
              <w:right w:val="single" w:sz="4" w:space="0" w:color="auto"/>
            </w:tcBorders>
            <w:vAlign w:val="center"/>
          </w:tcPr>
          <w:p w14:paraId="1DFD2D18" w14:textId="77777777" w:rsidR="006C72F5" w:rsidRPr="00B64057" w:rsidRDefault="006C72F5" w:rsidP="00B64057">
            <w:pPr>
              <w:spacing w:after="0" w:line="240" w:lineRule="auto"/>
              <w:contextualSpacing/>
              <w:jc w:val="center"/>
              <w:rPr>
                <w:rFonts w:ascii="Times New Roman" w:hAnsi="Times New Roman" w:cs="Times New Roman"/>
                <w:b/>
                <w:sz w:val="20"/>
                <w:szCs w:val="20"/>
              </w:rPr>
            </w:pPr>
            <w:r w:rsidRPr="00B64057">
              <w:rPr>
                <w:rFonts w:ascii="Times New Roman" w:hAnsi="Times New Roman" w:cs="Times New Roman"/>
                <w:b/>
                <w:sz w:val="20"/>
                <w:szCs w:val="20"/>
              </w:rPr>
              <w:t>Variável</w:t>
            </w:r>
          </w:p>
        </w:tc>
        <w:tc>
          <w:tcPr>
            <w:tcW w:w="1123" w:type="pct"/>
            <w:tcBorders>
              <w:top w:val="single" w:sz="4" w:space="0" w:color="auto"/>
              <w:left w:val="single" w:sz="4" w:space="0" w:color="auto"/>
              <w:bottom w:val="single" w:sz="4" w:space="0" w:color="auto"/>
              <w:right w:val="single" w:sz="4" w:space="0" w:color="auto"/>
            </w:tcBorders>
            <w:vAlign w:val="center"/>
          </w:tcPr>
          <w:p w14:paraId="14B7A246" w14:textId="77777777" w:rsidR="006C72F5" w:rsidRPr="00B64057" w:rsidRDefault="006C72F5" w:rsidP="00B64057">
            <w:pPr>
              <w:spacing w:after="0" w:line="240" w:lineRule="auto"/>
              <w:contextualSpacing/>
              <w:jc w:val="center"/>
              <w:rPr>
                <w:rFonts w:ascii="Times New Roman" w:hAnsi="Times New Roman" w:cs="Times New Roman"/>
                <w:b/>
                <w:sz w:val="20"/>
                <w:szCs w:val="20"/>
              </w:rPr>
            </w:pPr>
            <w:r w:rsidRPr="00B64057">
              <w:rPr>
                <w:rFonts w:ascii="Times New Roman" w:hAnsi="Times New Roman" w:cs="Times New Roman"/>
                <w:b/>
                <w:sz w:val="20"/>
                <w:szCs w:val="20"/>
              </w:rPr>
              <w:t>Classificação</w:t>
            </w:r>
          </w:p>
        </w:tc>
        <w:tc>
          <w:tcPr>
            <w:tcW w:w="2961" w:type="pct"/>
            <w:tcBorders>
              <w:top w:val="single" w:sz="4" w:space="0" w:color="auto"/>
              <w:left w:val="single" w:sz="4" w:space="0" w:color="auto"/>
              <w:bottom w:val="single" w:sz="4" w:space="0" w:color="auto"/>
              <w:right w:val="single" w:sz="4" w:space="0" w:color="auto"/>
            </w:tcBorders>
            <w:vAlign w:val="center"/>
          </w:tcPr>
          <w:p w14:paraId="63D925E1" w14:textId="77777777" w:rsidR="006C72F5" w:rsidRPr="00B64057" w:rsidRDefault="006C72F5" w:rsidP="00B64057">
            <w:pPr>
              <w:tabs>
                <w:tab w:val="center" w:pos="2023"/>
                <w:tab w:val="right" w:pos="4047"/>
              </w:tabs>
              <w:spacing w:after="0" w:line="240" w:lineRule="auto"/>
              <w:contextualSpacing/>
              <w:jc w:val="center"/>
              <w:rPr>
                <w:rFonts w:ascii="Times New Roman" w:hAnsi="Times New Roman" w:cs="Times New Roman"/>
                <w:b/>
                <w:sz w:val="20"/>
                <w:szCs w:val="20"/>
              </w:rPr>
            </w:pPr>
            <w:r w:rsidRPr="00B64057">
              <w:rPr>
                <w:rFonts w:ascii="Times New Roman" w:hAnsi="Times New Roman" w:cs="Times New Roman"/>
                <w:b/>
                <w:sz w:val="20"/>
                <w:szCs w:val="20"/>
              </w:rPr>
              <w:t>Descrição</w:t>
            </w:r>
          </w:p>
        </w:tc>
      </w:tr>
      <w:tr w:rsidR="006C72F5" w:rsidRPr="00B64057" w14:paraId="52CB841B" w14:textId="77777777" w:rsidTr="003A1FA2">
        <w:tc>
          <w:tcPr>
            <w:tcW w:w="915" w:type="pct"/>
            <w:vMerge w:val="restart"/>
            <w:tcBorders>
              <w:top w:val="single" w:sz="4" w:space="0" w:color="auto"/>
              <w:left w:val="single" w:sz="4" w:space="0" w:color="auto"/>
              <w:bottom w:val="single" w:sz="4" w:space="0" w:color="auto"/>
              <w:right w:val="single" w:sz="4" w:space="0" w:color="auto"/>
            </w:tcBorders>
            <w:vAlign w:val="center"/>
          </w:tcPr>
          <w:p w14:paraId="36684DAB"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QAM</w:t>
            </w:r>
          </w:p>
        </w:tc>
        <w:tc>
          <w:tcPr>
            <w:tcW w:w="1123" w:type="pct"/>
            <w:tcBorders>
              <w:top w:val="single" w:sz="4" w:space="0" w:color="auto"/>
              <w:left w:val="single" w:sz="4" w:space="0" w:color="auto"/>
              <w:bottom w:val="single" w:sz="4" w:space="0" w:color="auto"/>
              <w:right w:val="single" w:sz="4" w:space="0" w:color="auto"/>
            </w:tcBorders>
            <w:vAlign w:val="center"/>
          </w:tcPr>
          <w:p w14:paraId="5A787B20"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1</w:t>
            </w:r>
          </w:p>
        </w:tc>
        <w:tc>
          <w:tcPr>
            <w:tcW w:w="2961" w:type="pct"/>
            <w:tcBorders>
              <w:top w:val="single" w:sz="4" w:space="0" w:color="auto"/>
              <w:left w:val="single" w:sz="4" w:space="0" w:color="auto"/>
              <w:bottom w:val="single" w:sz="4" w:space="0" w:color="auto"/>
              <w:right w:val="single" w:sz="4" w:space="0" w:color="auto"/>
            </w:tcBorders>
            <w:vAlign w:val="center"/>
          </w:tcPr>
          <w:p w14:paraId="5B186AF1"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Prefeito do Município exerce o quarto ano de mandato.</w:t>
            </w:r>
          </w:p>
        </w:tc>
      </w:tr>
      <w:tr w:rsidR="006C72F5" w:rsidRPr="00B64057" w14:paraId="08A1F31C" w14:textId="77777777" w:rsidTr="003A1FA2">
        <w:tc>
          <w:tcPr>
            <w:tcW w:w="915" w:type="pct"/>
            <w:vMerge/>
            <w:tcBorders>
              <w:top w:val="single" w:sz="4" w:space="0" w:color="auto"/>
              <w:left w:val="single" w:sz="4" w:space="0" w:color="auto"/>
              <w:bottom w:val="single" w:sz="4" w:space="0" w:color="auto"/>
              <w:right w:val="single" w:sz="4" w:space="0" w:color="auto"/>
            </w:tcBorders>
            <w:vAlign w:val="center"/>
          </w:tcPr>
          <w:p w14:paraId="6497D081" w14:textId="77777777" w:rsidR="006C72F5" w:rsidRPr="00B64057" w:rsidRDefault="006C72F5" w:rsidP="00B64057">
            <w:pPr>
              <w:spacing w:after="0" w:line="240" w:lineRule="auto"/>
              <w:contextualSpacing/>
              <w:jc w:val="center"/>
              <w:rPr>
                <w:rFonts w:ascii="Times New Roman" w:hAnsi="Times New Roman" w:cs="Times New Roman"/>
                <w:sz w:val="20"/>
                <w:szCs w:val="20"/>
              </w:rPr>
            </w:pPr>
          </w:p>
        </w:tc>
        <w:tc>
          <w:tcPr>
            <w:tcW w:w="1123" w:type="pct"/>
            <w:tcBorders>
              <w:top w:val="single" w:sz="4" w:space="0" w:color="auto"/>
              <w:left w:val="single" w:sz="4" w:space="0" w:color="auto"/>
              <w:bottom w:val="single" w:sz="4" w:space="0" w:color="auto"/>
              <w:right w:val="single" w:sz="4" w:space="0" w:color="auto"/>
            </w:tcBorders>
            <w:vAlign w:val="center"/>
          </w:tcPr>
          <w:p w14:paraId="2F26D6C1"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0</w:t>
            </w:r>
          </w:p>
        </w:tc>
        <w:tc>
          <w:tcPr>
            <w:tcW w:w="2961" w:type="pct"/>
            <w:tcBorders>
              <w:top w:val="single" w:sz="4" w:space="0" w:color="auto"/>
              <w:left w:val="single" w:sz="4" w:space="0" w:color="auto"/>
              <w:bottom w:val="single" w:sz="4" w:space="0" w:color="auto"/>
              <w:right w:val="single" w:sz="4" w:space="0" w:color="auto"/>
            </w:tcBorders>
            <w:vAlign w:val="center"/>
          </w:tcPr>
          <w:p w14:paraId="0009878E"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Prefeito do Município não exerce o quarto ano de mandato.</w:t>
            </w:r>
          </w:p>
        </w:tc>
      </w:tr>
      <w:tr w:rsidR="006C72F5" w:rsidRPr="00B64057" w14:paraId="1BB70403" w14:textId="77777777" w:rsidTr="003A1FA2">
        <w:tc>
          <w:tcPr>
            <w:tcW w:w="915" w:type="pct"/>
            <w:vMerge w:val="restart"/>
            <w:tcBorders>
              <w:top w:val="single" w:sz="4" w:space="0" w:color="auto"/>
              <w:left w:val="single" w:sz="4" w:space="0" w:color="auto"/>
              <w:right w:val="single" w:sz="4" w:space="0" w:color="auto"/>
            </w:tcBorders>
            <w:vAlign w:val="center"/>
          </w:tcPr>
          <w:p w14:paraId="47F82634"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MPM</w:t>
            </w:r>
          </w:p>
        </w:tc>
        <w:tc>
          <w:tcPr>
            <w:tcW w:w="1123" w:type="pct"/>
            <w:tcBorders>
              <w:top w:val="single" w:sz="4" w:space="0" w:color="auto"/>
              <w:left w:val="single" w:sz="4" w:space="0" w:color="auto"/>
              <w:bottom w:val="single" w:sz="4" w:space="0" w:color="auto"/>
              <w:right w:val="single" w:sz="4" w:space="0" w:color="auto"/>
            </w:tcBorders>
            <w:vAlign w:val="center"/>
          </w:tcPr>
          <w:p w14:paraId="15DE86C2"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1</w:t>
            </w:r>
          </w:p>
        </w:tc>
        <w:tc>
          <w:tcPr>
            <w:tcW w:w="2961" w:type="pct"/>
            <w:tcBorders>
              <w:top w:val="single" w:sz="4" w:space="0" w:color="auto"/>
              <w:left w:val="single" w:sz="4" w:space="0" w:color="auto"/>
              <w:bottom w:val="single" w:sz="4" w:space="0" w:color="auto"/>
              <w:right w:val="single" w:sz="4" w:space="0" w:color="auto"/>
            </w:tcBorders>
            <w:vAlign w:val="center"/>
          </w:tcPr>
          <w:p w14:paraId="14E47707"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Prefeito do Município é diferente do ano anterior</w:t>
            </w:r>
          </w:p>
        </w:tc>
      </w:tr>
      <w:tr w:rsidR="006C72F5" w:rsidRPr="00B64057" w14:paraId="563B350F" w14:textId="77777777" w:rsidTr="003A1FA2">
        <w:tc>
          <w:tcPr>
            <w:tcW w:w="915" w:type="pct"/>
            <w:vMerge/>
            <w:tcBorders>
              <w:left w:val="single" w:sz="4" w:space="0" w:color="auto"/>
              <w:bottom w:val="single" w:sz="4" w:space="0" w:color="auto"/>
              <w:right w:val="single" w:sz="4" w:space="0" w:color="auto"/>
            </w:tcBorders>
            <w:vAlign w:val="center"/>
          </w:tcPr>
          <w:p w14:paraId="5721B0F8" w14:textId="77777777" w:rsidR="006C72F5" w:rsidRPr="00B64057" w:rsidRDefault="006C72F5" w:rsidP="00B64057">
            <w:pPr>
              <w:spacing w:after="0" w:line="240" w:lineRule="auto"/>
              <w:contextualSpacing/>
              <w:jc w:val="center"/>
              <w:rPr>
                <w:rFonts w:ascii="Times New Roman" w:hAnsi="Times New Roman" w:cs="Times New Roman"/>
                <w:sz w:val="20"/>
                <w:szCs w:val="20"/>
              </w:rPr>
            </w:pPr>
          </w:p>
        </w:tc>
        <w:tc>
          <w:tcPr>
            <w:tcW w:w="1123" w:type="pct"/>
            <w:tcBorders>
              <w:top w:val="single" w:sz="4" w:space="0" w:color="auto"/>
              <w:left w:val="single" w:sz="4" w:space="0" w:color="auto"/>
              <w:bottom w:val="single" w:sz="4" w:space="0" w:color="auto"/>
              <w:right w:val="single" w:sz="4" w:space="0" w:color="auto"/>
            </w:tcBorders>
            <w:vAlign w:val="center"/>
          </w:tcPr>
          <w:p w14:paraId="428EF7AE"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0</w:t>
            </w:r>
          </w:p>
        </w:tc>
        <w:tc>
          <w:tcPr>
            <w:tcW w:w="2961" w:type="pct"/>
            <w:tcBorders>
              <w:top w:val="single" w:sz="4" w:space="0" w:color="auto"/>
              <w:left w:val="single" w:sz="4" w:space="0" w:color="auto"/>
              <w:bottom w:val="single" w:sz="4" w:space="0" w:color="auto"/>
              <w:right w:val="single" w:sz="4" w:space="0" w:color="auto"/>
            </w:tcBorders>
            <w:vAlign w:val="center"/>
          </w:tcPr>
          <w:p w14:paraId="01C0A309"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Prefeito do Município não é diferente do ano anterior</w:t>
            </w:r>
          </w:p>
        </w:tc>
      </w:tr>
      <w:tr w:rsidR="006C72F5" w:rsidRPr="00B64057" w14:paraId="49A48EBE" w14:textId="77777777" w:rsidTr="003A1FA2">
        <w:tc>
          <w:tcPr>
            <w:tcW w:w="915" w:type="pct"/>
            <w:vMerge w:val="restart"/>
            <w:tcBorders>
              <w:top w:val="single" w:sz="4" w:space="0" w:color="auto"/>
              <w:left w:val="single" w:sz="4" w:space="0" w:color="auto"/>
              <w:right w:val="single" w:sz="4" w:space="0" w:color="auto"/>
            </w:tcBorders>
            <w:vAlign w:val="center"/>
          </w:tcPr>
          <w:p w14:paraId="386F6169"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PME</w:t>
            </w:r>
          </w:p>
        </w:tc>
        <w:tc>
          <w:tcPr>
            <w:tcW w:w="1123" w:type="pct"/>
            <w:tcBorders>
              <w:top w:val="single" w:sz="4" w:space="0" w:color="auto"/>
              <w:left w:val="single" w:sz="4" w:space="0" w:color="auto"/>
              <w:bottom w:val="single" w:sz="4" w:space="0" w:color="auto"/>
              <w:right w:val="single" w:sz="4" w:space="0" w:color="auto"/>
            </w:tcBorders>
            <w:vAlign w:val="center"/>
          </w:tcPr>
          <w:p w14:paraId="23F8C546"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1</w:t>
            </w:r>
          </w:p>
        </w:tc>
        <w:tc>
          <w:tcPr>
            <w:tcW w:w="2961" w:type="pct"/>
            <w:tcBorders>
              <w:top w:val="single" w:sz="4" w:space="0" w:color="auto"/>
              <w:left w:val="single" w:sz="4" w:space="0" w:color="auto"/>
              <w:bottom w:val="single" w:sz="4" w:space="0" w:color="auto"/>
              <w:right w:val="single" w:sz="4" w:space="0" w:color="auto"/>
            </w:tcBorders>
            <w:vAlign w:val="center"/>
          </w:tcPr>
          <w:p w14:paraId="19B4D6E3"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Prefeito do Município exerce o primeiro mandato eleitoral.</w:t>
            </w:r>
          </w:p>
        </w:tc>
      </w:tr>
      <w:tr w:rsidR="006C72F5" w:rsidRPr="00B64057" w14:paraId="4BA30697" w14:textId="77777777" w:rsidTr="003A1FA2">
        <w:tc>
          <w:tcPr>
            <w:tcW w:w="915" w:type="pct"/>
            <w:vMerge/>
            <w:tcBorders>
              <w:left w:val="single" w:sz="4" w:space="0" w:color="auto"/>
              <w:bottom w:val="single" w:sz="4" w:space="0" w:color="auto"/>
              <w:right w:val="single" w:sz="4" w:space="0" w:color="auto"/>
            </w:tcBorders>
            <w:vAlign w:val="center"/>
          </w:tcPr>
          <w:p w14:paraId="4904E56A" w14:textId="77777777" w:rsidR="006C72F5" w:rsidRPr="00B64057" w:rsidRDefault="006C72F5" w:rsidP="00B64057">
            <w:pPr>
              <w:spacing w:after="0" w:line="240" w:lineRule="auto"/>
              <w:contextualSpacing/>
              <w:jc w:val="center"/>
              <w:rPr>
                <w:rFonts w:ascii="Times New Roman" w:hAnsi="Times New Roman" w:cs="Times New Roman"/>
                <w:sz w:val="20"/>
                <w:szCs w:val="20"/>
              </w:rPr>
            </w:pPr>
          </w:p>
        </w:tc>
        <w:tc>
          <w:tcPr>
            <w:tcW w:w="1123" w:type="pct"/>
            <w:tcBorders>
              <w:top w:val="single" w:sz="4" w:space="0" w:color="auto"/>
              <w:left w:val="single" w:sz="4" w:space="0" w:color="auto"/>
              <w:bottom w:val="single" w:sz="4" w:space="0" w:color="auto"/>
              <w:right w:val="single" w:sz="4" w:space="0" w:color="auto"/>
            </w:tcBorders>
            <w:vAlign w:val="center"/>
          </w:tcPr>
          <w:p w14:paraId="5BE1FDE8"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0</w:t>
            </w:r>
          </w:p>
        </w:tc>
        <w:tc>
          <w:tcPr>
            <w:tcW w:w="2961" w:type="pct"/>
            <w:tcBorders>
              <w:top w:val="single" w:sz="4" w:space="0" w:color="auto"/>
              <w:left w:val="single" w:sz="4" w:space="0" w:color="auto"/>
              <w:bottom w:val="single" w:sz="4" w:space="0" w:color="auto"/>
              <w:right w:val="single" w:sz="4" w:space="0" w:color="auto"/>
            </w:tcBorders>
            <w:vAlign w:val="center"/>
          </w:tcPr>
          <w:p w14:paraId="07D6846D" w14:textId="77777777" w:rsidR="006C72F5" w:rsidRPr="00B64057" w:rsidRDefault="006C72F5" w:rsidP="00B64057">
            <w:pPr>
              <w:spacing w:after="0" w:line="240" w:lineRule="auto"/>
              <w:contextualSpacing/>
              <w:jc w:val="center"/>
              <w:rPr>
                <w:rFonts w:ascii="Times New Roman" w:hAnsi="Times New Roman" w:cs="Times New Roman"/>
                <w:sz w:val="20"/>
                <w:szCs w:val="20"/>
              </w:rPr>
            </w:pPr>
            <w:r w:rsidRPr="00B64057">
              <w:rPr>
                <w:rFonts w:ascii="Times New Roman" w:hAnsi="Times New Roman" w:cs="Times New Roman"/>
                <w:sz w:val="20"/>
                <w:szCs w:val="20"/>
              </w:rPr>
              <w:t>Prefeito do Município não exerce o primeiro mandato eleitoral.</w:t>
            </w:r>
          </w:p>
        </w:tc>
      </w:tr>
    </w:tbl>
    <w:p w14:paraId="4840A326" w14:textId="77777777" w:rsidR="006C72F5" w:rsidRPr="00B64057" w:rsidRDefault="006C72F5" w:rsidP="00B64057">
      <w:pPr>
        <w:spacing w:after="0" w:line="240" w:lineRule="auto"/>
        <w:contextualSpacing/>
        <w:jc w:val="both"/>
        <w:rPr>
          <w:rFonts w:ascii="Times New Roman" w:hAnsi="Times New Roman" w:cs="Times New Roman"/>
          <w:b/>
          <w:sz w:val="20"/>
          <w:szCs w:val="20"/>
        </w:rPr>
      </w:pPr>
      <w:r w:rsidRPr="00B64057">
        <w:rPr>
          <w:rFonts w:ascii="Times New Roman" w:hAnsi="Times New Roman" w:cs="Times New Roman"/>
          <w:b/>
          <w:sz w:val="20"/>
          <w:szCs w:val="20"/>
        </w:rPr>
        <w:t xml:space="preserve">Nota: </w:t>
      </w:r>
      <w:r w:rsidRPr="00B64057">
        <w:rPr>
          <w:rFonts w:ascii="Times New Roman" w:hAnsi="Times New Roman" w:cs="Times New Roman"/>
          <w:sz w:val="20"/>
          <w:szCs w:val="20"/>
        </w:rPr>
        <w:t>QAM = Quarto Ano de Mandato; MPM = Mudança de Prefeito do Município; PME = Primeiro Mandato Eleitoral.</w:t>
      </w:r>
    </w:p>
    <w:p w14:paraId="72BFCFE7" w14:textId="77777777" w:rsidR="006C72F5" w:rsidRPr="00B64057" w:rsidRDefault="006C72F5" w:rsidP="00B64057">
      <w:pPr>
        <w:spacing w:after="0" w:line="240" w:lineRule="auto"/>
        <w:contextualSpacing/>
        <w:jc w:val="both"/>
        <w:rPr>
          <w:rFonts w:ascii="Times New Roman" w:hAnsi="Times New Roman" w:cs="Times New Roman"/>
          <w:sz w:val="20"/>
          <w:szCs w:val="20"/>
        </w:rPr>
      </w:pPr>
      <w:r w:rsidRPr="00B64057">
        <w:rPr>
          <w:rFonts w:ascii="Times New Roman" w:hAnsi="Times New Roman" w:cs="Times New Roman"/>
          <w:b/>
          <w:sz w:val="20"/>
          <w:szCs w:val="20"/>
        </w:rPr>
        <w:t>Fonte:</w:t>
      </w:r>
      <w:r w:rsidRPr="00B64057">
        <w:rPr>
          <w:rFonts w:ascii="Times New Roman" w:hAnsi="Times New Roman" w:cs="Times New Roman"/>
          <w:sz w:val="20"/>
          <w:szCs w:val="20"/>
        </w:rPr>
        <w:t xml:space="preserve"> Elaboração própria.</w:t>
      </w:r>
    </w:p>
    <w:p w14:paraId="4397CEB9" w14:textId="77777777" w:rsidR="005A021A" w:rsidRPr="00217059" w:rsidRDefault="005A021A" w:rsidP="00B64057">
      <w:pPr>
        <w:spacing w:line="240" w:lineRule="auto"/>
        <w:ind w:firstLine="709"/>
        <w:contextualSpacing/>
        <w:jc w:val="both"/>
        <w:rPr>
          <w:rFonts w:ascii="Times New Roman" w:hAnsi="Times New Roman" w:cs="Times New Roman"/>
          <w:sz w:val="24"/>
          <w:szCs w:val="24"/>
        </w:rPr>
      </w:pPr>
    </w:p>
    <w:p w14:paraId="31E26826"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A variável QAM objetiva a verificação da influência do ano eleitoral (quarto ano de mandato) sobre a variável dependente de interesse, conforme </w:t>
      </w:r>
      <w:r w:rsidR="00FE6CE9">
        <w:rPr>
          <w:rFonts w:ascii="Times New Roman" w:hAnsi="Times New Roman" w:cs="Times New Roman"/>
          <w:sz w:val="24"/>
          <w:szCs w:val="24"/>
        </w:rPr>
        <w:t>a primeira hipótese de pesquisa (</w:t>
      </w:r>
      <w:r w:rsidRPr="00217059">
        <w:rPr>
          <w:rFonts w:ascii="Times New Roman" w:hAnsi="Times New Roman" w:cs="Times New Roman"/>
          <w:sz w:val="24"/>
          <w:szCs w:val="24"/>
        </w:rPr>
        <w:t>H</w:t>
      </w:r>
      <w:r w:rsidRPr="00217059">
        <w:rPr>
          <w:rFonts w:ascii="Times New Roman" w:hAnsi="Times New Roman" w:cs="Times New Roman"/>
          <w:sz w:val="24"/>
          <w:szCs w:val="24"/>
          <w:vertAlign w:val="subscript"/>
        </w:rPr>
        <w:t>1</w:t>
      </w:r>
      <w:r w:rsidR="00FE6CE9">
        <w:rPr>
          <w:rFonts w:ascii="Times New Roman" w:hAnsi="Times New Roman" w:cs="Times New Roman"/>
          <w:sz w:val="24"/>
          <w:szCs w:val="24"/>
        </w:rPr>
        <w:t>).</w:t>
      </w:r>
      <w:r w:rsidRPr="00217059">
        <w:rPr>
          <w:rFonts w:ascii="Times New Roman" w:hAnsi="Times New Roman" w:cs="Times New Roman"/>
          <w:sz w:val="24"/>
          <w:szCs w:val="24"/>
        </w:rPr>
        <w:t xml:space="preserve"> A variável MPM busca identificar a influência da mudança de prefeitos dos municípios sobre o IGP, considerando a</w:t>
      </w:r>
      <w:r w:rsidR="00FE6CE9">
        <w:rPr>
          <w:rFonts w:ascii="Times New Roman" w:hAnsi="Times New Roman" w:cs="Times New Roman"/>
          <w:sz w:val="24"/>
          <w:szCs w:val="24"/>
        </w:rPr>
        <w:t xml:space="preserve"> segunda hipótese de pesquisa (</w:t>
      </w:r>
      <w:r w:rsidRPr="00217059">
        <w:rPr>
          <w:rFonts w:ascii="Times New Roman" w:hAnsi="Times New Roman" w:cs="Times New Roman"/>
          <w:sz w:val="24"/>
          <w:szCs w:val="24"/>
        </w:rPr>
        <w:t>H</w:t>
      </w:r>
      <w:r w:rsidRPr="00217059">
        <w:rPr>
          <w:rFonts w:ascii="Times New Roman" w:hAnsi="Times New Roman" w:cs="Times New Roman"/>
          <w:sz w:val="24"/>
          <w:szCs w:val="24"/>
          <w:vertAlign w:val="subscript"/>
        </w:rPr>
        <w:t>2</w:t>
      </w:r>
      <w:r w:rsidR="00FE6CE9">
        <w:rPr>
          <w:rFonts w:ascii="Times New Roman" w:hAnsi="Times New Roman" w:cs="Times New Roman"/>
          <w:sz w:val="24"/>
          <w:szCs w:val="24"/>
        </w:rPr>
        <w:t>).</w:t>
      </w:r>
      <w:r w:rsidRPr="00217059">
        <w:rPr>
          <w:rFonts w:ascii="Times New Roman" w:hAnsi="Times New Roman" w:cs="Times New Roman"/>
          <w:sz w:val="24"/>
          <w:szCs w:val="24"/>
        </w:rPr>
        <w:t xml:space="preserve"> Por fim, conforme </w:t>
      </w:r>
      <w:r w:rsidR="00FE6CE9">
        <w:rPr>
          <w:rFonts w:ascii="Times New Roman" w:hAnsi="Times New Roman" w:cs="Times New Roman"/>
          <w:sz w:val="24"/>
          <w:szCs w:val="24"/>
        </w:rPr>
        <w:t>a terceira hipótese de pesquisa (</w:t>
      </w:r>
      <w:r w:rsidRPr="00217059">
        <w:rPr>
          <w:rFonts w:ascii="Times New Roman" w:hAnsi="Times New Roman" w:cs="Times New Roman"/>
          <w:sz w:val="24"/>
          <w:szCs w:val="24"/>
        </w:rPr>
        <w:t>H</w:t>
      </w:r>
      <w:r w:rsidRPr="00217059">
        <w:rPr>
          <w:rFonts w:ascii="Times New Roman" w:hAnsi="Times New Roman" w:cs="Times New Roman"/>
          <w:sz w:val="24"/>
          <w:szCs w:val="24"/>
          <w:vertAlign w:val="subscript"/>
        </w:rPr>
        <w:t>3</w:t>
      </w:r>
      <w:r w:rsidR="00FE6CE9">
        <w:rPr>
          <w:rFonts w:ascii="Times New Roman" w:hAnsi="Times New Roman" w:cs="Times New Roman"/>
          <w:sz w:val="24"/>
          <w:szCs w:val="24"/>
        </w:rPr>
        <w:t xml:space="preserve">), </w:t>
      </w:r>
      <w:r w:rsidRPr="00217059">
        <w:rPr>
          <w:rFonts w:ascii="Times New Roman" w:hAnsi="Times New Roman" w:cs="Times New Roman"/>
          <w:sz w:val="24"/>
          <w:szCs w:val="24"/>
        </w:rPr>
        <w:t xml:space="preserve">a variável PME busca verificar qual o efeito do primeiro mandato eleitoral dos prefeitos dos municípios </w:t>
      </w:r>
      <w:r w:rsidR="006C451A">
        <w:rPr>
          <w:rFonts w:ascii="Times New Roman" w:hAnsi="Times New Roman" w:cs="Times New Roman"/>
          <w:sz w:val="24"/>
          <w:szCs w:val="24"/>
        </w:rPr>
        <w:t>brasileiros</w:t>
      </w:r>
      <w:r w:rsidRPr="00217059">
        <w:rPr>
          <w:rFonts w:ascii="Times New Roman" w:hAnsi="Times New Roman" w:cs="Times New Roman"/>
          <w:sz w:val="24"/>
          <w:szCs w:val="24"/>
        </w:rPr>
        <w:t xml:space="preserve"> sobre o IGP.</w:t>
      </w:r>
    </w:p>
    <w:p w14:paraId="55C24495" w14:textId="77777777" w:rsidR="0001178B" w:rsidRDefault="005A021A" w:rsidP="0001178B">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Para o exame da relação entre as variáveis, foi utilizada a técnica de regressão com dados em painel, tendo em vista que a amostra é composta por dados secc</w:t>
      </w:r>
      <w:r w:rsidR="00FE6CE9">
        <w:rPr>
          <w:rFonts w:ascii="Times New Roman" w:hAnsi="Times New Roman" w:cs="Times New Roman"/>
          <w:sz w:val="24"/>
          <w:szCs w:val="24"/>
        </w:rPr>
        <w:t>ionais (os municípios brasileiros</w:t>
      </w:r>
      <w:r w:rsidRPr="00217059">
        <w:rPr>
          <w:rFonts w:ascii="Times New Roman" w:hAnsi="Times New Roman" w:cs="Times New Roman"/>
          <w:sz w:val="24"/>
          <w:szCs w:val="24"/>
        </w:rPr>
        <w:t>) e temporais (os anos de 2009 a 2016). A Equação 1 apresenta o modelo econométrico utilizado.</w:t>
      </w:r>
    </w:p>
    <w:p w14:paraId="18CDEC9C" w14:textId="77777777" w:rsidR="0001178B" w:rsidRDefault="0001178B" w:rsidP="0001178B">
      <w:pPr>
        <w:spacing w:line="240" w:lineRule="auto"/>
        <w:ind w:firstLine="709"/>
        <w:contextualSpacing/>
        <w:jc w:val="both"/>
        <w:rPr>
          <w:rFonts w:ascii="Times New Roman" w:hAnsi="Times New Roman" w:cs="Times New Roman"/>
          <w:sz w:val="24"/>
          <w:szCs w:val="24"/>
        </w:rPr>
      </w:pPr>
    </w:p>
    <w:p w14:paraId="2EFAE667" w14:textId="77777777" w:rsidR="005A021A" w:rsidRPr="00217059" w:rsidRDefault="005A021A" w:rsidP="0001178B">
      <w:pPr>
        <w:spacing w:line="240" w:lineRule="auto"/>
        <w:ind w:firstLine="709"/>
        <w:contextualSpacing/>
        <w:jc w:val="both"/>
        <w:rPr>
          <w:rFonts w:ascii="Times New Roman" w:hAnsi="Times New Roman" w:cs="Times New Roman"/>
          <w:sz w:val="24"/>
          <w:szCs w:val="24"/>
        </w:rPr>
      </w:pPr>
      <w:proofErr w:type="spellStart"/>
      <w:r w:rsidRPr="00217059">
        <w:rPr>
          <w:rFonts w:ascii="Times New Roman" w:hAnsi="Times New Roman" w:cs="Times New Roman"/>
          <w:i/>
          <w:sz w:val="24"/>
          <w:szCs w:val="24"/>
        </w:rPr>
        <w:t>IGP</w:t>
      </w:r>
      <w:r w:rsidRPr="00137A4D">
        <w:rPr>
          <w:rFonts w:ascii="Times New Roman" w:hAnsi="Times New Roman" w:cs="Times New Roman"/>
          <w:i/>
          <w:sz w:val="24"/>
          <w:szCs w:val="24"/>
          <w:vertAlign w:val="subscript"/>
        </w:rPr>
        <w:t>it</w:t>
      </w:r>
      <w:proofErr w:type="spellEnd"/>
      <w:r w:rsidRPr="00217059">
        <w:rPr>
          <w:rFonts w:ascii="Times New Roman" w:hAnsi="Times New Roman" w:cs="Times New Roman"/>
          <w:i/>
          <w:sz w:val="24"/>
          <w:szCs w:val="24"/>
        </w:rPr>
        <w:t xml:space="preserve"> = β</w:t>
      </w:r>
      <w:r w:rsidRPr="00137A4D">
        <w:rPr>
          <w:rFonts w:ascii="Times New Roman" w:hAnsi="Times New Roman" w:cs="Times New Roman"/>
          <w:i/>
          <w:sz w:val="24"/>
          <w:szCs w:val="24"/>
          <w:vertAlign w:val="subscript"/>
        </w:rPr>
        <w:t>0</w:t>
      </w:r>
      <w:r w:rsidRPr="00217059">
        <w:rPr>
          <w:rFonts w:ascii="Times New Roman" w:hAnsi="Times New Roman" w:cs="Times New Roman"/>
          <w:i/>
          <w:sz w:val="24"/>
          <w:szCs w:val="24"/>
        </w:rPr>
        <w:t xml:space="preserve"> + β</w:t>
      </w:r>
      <w:r w:rsidRPr="00137A4D">
        <w:rPr>
          <w:rFonts w:ascii="Times New Roman" w:hAnsi="Times New Roman" w:cs="Times New Roman"/>
          <w:i/>
          <w:sz w:val="24"/>
          <w:szCs w:val="24"/>
          <w:vertAlign w:val="superscript"/>
        </w:rPr>
        <w:t>1</w:t>
      </w:r>
      <w:r w:rsidRPr="00217059">
        <w:rPr>
          <w:rFonts w:ascii="Times New Roman" w:hAnsi="Times New Roman" w:cs="Times New Roman"/>
          <w:i/>
          <w:sz w:val="24"/>
          <w:szCs w:val="24"/>
        </w:rPr>
        <w:t>QAM</w:t>
      </w:r>
      <w:r w:rsidRPr="00137A4D">
        <w:rPr>
          <w:rFonts w:ascii="Times New Roman" w:hAnsi="Times New Roman" w:cs="Times New Roman"/>
          <w:i/>
          <w:sz w:val="24"/>
          <w:szCs w:val="24"/>
          <w:vertAlign w:val="subscript"/>
        </w:rPr>
        <w:t>it</w:t>
      </w:r>
      <w:r w:rsidRPr="00217059">
        <w:rPr>
          <w:rFonts w:ascii="Times New Roman" w:hAnsi="Times New Roman" w:cs="Times New Roman"/>
          <w:i/>
          <w:sz w:val="24"/>
          <w:szCs w:val="24"/>
        </w:rPr>
        <w:t xml:space="preserve"> + β</w:t>
      </w:r>
      <w:r w:rsidRPr="00137A4D">
        <w:rPr>
          <w:rFonts w:ascii="Times New Roman" w:hAnsi="Times New Roman" w:cs="Times New Roman"/>
          <w:i/>
          <w:sz w:val="24"/>
          <w:szCs w:val="24"/>
          <w:vertAlign w:val="subscript"/>
        </w:rPr>
        <w:t>2</w:t>
      </w:r>
      <w:r w:rsidRPr="00217059">
        <w:rPr>
          <w:rFonts w:ascii="Times New Roman" w:hAnsi="Times New Roman" w:cs="Times New Roman"/>
          <w:i/>
          <w:sz w:val="24"/>
          <w:szCs w:val="24"/>
        </w:rPr>
        <w:t>MPM</w:t>
      </w:r>
      <w:r w:rsidRPr="00137A4D">
        <w:rPr>
          <w:rFonts w:ascii="Times New Roman" w:hAnsi="Times New Roman" w:cs="Times New Roman"/>
          <w:i/>
          <w:sz w:val="24"/>
          <w:szCs w:val="24"/>
          <w:vertAlign w:val="subscript"/>
        </w:rPr>
        <w:t xml:space="preserve">it </w:t>
      </w:r>
      <w:r w:rsidRPr="00217059">
        <w:rPr>
          <w:rFonts w:ascii="Times New Roman" w:hAnsi="Times New Roman" w:cs="Times New Roman"/>
          <w:i/>
          <w:sz w:val="24"/>
          <w:szCs w:val="24"/>
        </w:rPr>
        <w:t>+ β</w:t>
      </w:r>
      <w:r w:rsidRPr="00137A4D">
        <w:rPr>
          <w:rFonts w:ascii="Times New Roman" w:hAnsi="Times New Roman" w:cs="Times New Roman"/>
          <w:i/>
          <w:sz w:val="24"/>
          <w:szCs w:val="24"/>
          <w:vertAlign w:val="subscript"/>
        </w:rPr>
        <w:t>3</w:t>
      </w:r>
      <w:r w:rsidRPr="00217059">
        <w:rPr>
          <w:rFonts w:ascii="Times New Roman" w:hAnsi="Times New Roman" w:cs="Times New Roman"/>
          <w:i/>
          <w:sz w:val="24"/>
          <w:szCs w:val="24"/>
        </w:rPr>
        <w:t>PME</w:t>
      </w:r>
      <w:r w:rsidRPr="00137A4D">
        <w:rPr>
          <w:rFonts w:ascii="Times New Roman" w:hAnsi="Times New Roman" w:cs="Times New Roman"/>
          <w:i/>
          <w:sz w:val="24"/>
          <w:szCs w:val="24"/>
          <w:vertAlign w:val="subscript"/>
        </w:rPr>
        <w:t>it</w:t>
      </w:r>
      <w:r w:rsidRPr="00217059">
        <w:rPr>
          <w:rFonts w:ascii="Times New Roman" w:hAnsi="Times New Roman" w:cs="Times New Roman"/>
          <w:i/>
          <w:sz w:val="24"/>
          <w:szCs w:val="24"/>
        </w:rPr>
        <w:t xml:space="preserve"> + β</w:t>
      </w:r>
      <w:r w:rsidRPr="00137A4D">
        <w:rPr>
          <w:rFonts w:ascii="Times New Roman" w:hAnsi="Times New Roman" w:cs="Times New Roman"/>
          <w:i/>
          <w:sz w:val="24"/>
          <w:szCs w:val="24"/>
          <w:vertAlign w:val="subscript"/>
        </w:rPr>
        <w:t>4</w:t>
      </w:r>
      <w:r w:rsidRPr="00217059">
        <w:rPr>
          <w:rFonts w:ascii="Times New Roman" w:hAnsi="Times New Roman" w:cs="Times New Roman"/>
          <w:i/>
          <w:sz w:val="24"/>
          <w:szCs w:val="24"/>
        </w:rPr>
        <w:t>POP</w:t>
      </w:r>
      <w:r w:rsidRPr="00137A4D">
        <w:rPr>
          <w:rFonts w:ascii="Times New Roman" w:hAnsi="Times New Roman" w:cs="Times New Roman"/>
          <w:i/>
          <w:sz w:val="24"/>
          <w:szCs w:val="24"/>
          <w:vertAlign w:val="subscript"/>
        </w:rPr>
        <w:t xml:space="preserve">it </w:t>
      </w:r>
      <w:r w:rsidRPr="00217059">
        <w:rPr>
          <w:rFonts w:ascii="Times New Roman" w:hAnsi="Times New Roman" w:cs="Times New Roman"/>
          <w:i/>
          <w:sz w:val="24"/>
          <w:szCs w:val="24"/>
        </w:rPr>
        <w:t xml:space="preserve">+ </w:t>
      </w:r>
      <w:proofErr w:type="spellStart"/>
      <w:r w:rsidRPr="00217059">
        <w:rPr>
          <w:rFonts w:ascii="Times New Roman" w:hAnsi="Times New Roman" w:cs="Times New Roman"/>
          <w:i/>
          <w:sz w:val="24"/>
          <w:szCs w:val="24"/>
        </w:rPr>
        <w:t>ε</w:t>
      </w:r>
      <w:r w:rsidRPr="00137A4D">
        <w:rPr>
          <w:rFonts w:ascii="Times New Roman" w:hAnsi="Times New Roman" w:cs="Times New Roman"/>
          <w:i/>
          <w:sz w:val="24"/>
          <w:szCs w:val="24"/>
          <w:vertAlign w:val="subscript"/>
        </w:rPr>
        <w:t>it</w:t>
      </w:r>
      <w:proofErr w:type="spellEnd"/>
      <w:r w:rsidRPr="00137A4D">
        <w:rPr>
          <w:rFonts w:ascii="Times New Roman" w:hAnsi="Times New Roman" w:cs="Times New Roman"/>
          <w:sz w:val="24"/>
          <w:szCs w:val="24"/>
          <w:vertAlign w:val="subscript"/>
        </w:rPr>
        <w:t xml:space="preserve">   </w:t>
      </w:r>
      <w:r w:rsidRPr="00217059">
        <w:rPr>
          <w:rFonts w:ascii="Times New Roman" w:hAnsi="Times New Roman" w:cs="Times New Roman"/>
          <w:sz w:val="24"/>
          <w:szCs w:val="24"/>
        </w:rPr>
        <w:t xml:space="preserve">                            </w:t>
      </w:r>
      <w:r w:rsidR="006C72F5" w:rsidRPr="00217059">
        <w:rPr>
          <w:rFonts w:ascii="Times New Roman" w:hAnsi="Times New Roman" w:cs="Times New Roman"/>
          <w:sz w:val="24"/>
          <w:szCs w:val="24"/>
        </w:rPr>
        <w:t xml:space="preserve">         </w:t>
      </w:r>
      <w:proofErr w:type="gramStart"/>
      <w:r w:rsidR="006C72F5" w:rsidRPr="00217059">
        <w:rPr>
          <w:rFonts w:ascii="Times New Roman" w:hAnsi="Times New Roman" w:cs="Times New Roman"/>
          <w:sz w:val="24"/>
          <w:szCs w:val="24"/>
        </w:rPr>
        <w:t xml:space="preserve">   </w:t>
      </w:r>
      <w:r w:rsidRPr="00217059">
        <w:rPr>
          <w:rFonts w:ascii="Times New Roman" w:hAnsi="Times New Roman" w:cs="Times New Roman"/>
          <w:sz w:val="24"/>
          <w:szCs w:val="24"/>
        </w:rPr>
        <w:t>(</w:t>
      </w:r>
      <w:proofErr w:type="gramEnd"/>
      <w:r w:rsidRPr="00217059">
        <w:rPr>
          <w:rFonts w:ascii="Times New Roman" w:hAnsi="Times New Roman" w:cs="Times New Roman"/>
          <w:sz w:val="24"/>
          <w:szCs w:val="24"/>
        </w:rPr>
        <w:t xml:space="preserve">1) </w:t>
      </w:r>
    </w:p>
    <w:p w14:paraId="6A65CD11"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                                                             </w:t>
      </w:r>
    </w:p>
    <w:p w14:paraId="5E78E23C"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O IGP representa o índice de gasto com pessoal e encargos sócias do município i no ano t, e consiste na variável de</w:t>
      </w:r>
      <w:r w:rsidR="00024F24">
        <w:rPr>
          <w:rFonts w:ascii="Times New Roman" w:hAnsi="Times New Roman" w:cs="Times New Roman"/>
          <w:sz w:val="24"/>
          <w:szCs w:val="24"/>
        </w:rPr>
        <w:t xml:space="preserve">pendente </w:t>
      </w:r>
      <w:r w:rsidRPr="00217059">
        <w:rPr>
          <w:rFonts w:ascii="Times New Roman" w:hAnsi="Times New Roman" w:cs="Times New Roman"/>
          <w:sz w:val="24"/>
          <w:szCs w:val="24"/>
        </w:rPr>
        <w:t>da pesquisa. As variáveis QAM, MPM e PME representam as variáveis independentes de interesse da pesquisa, conforme descrito n</w:t>
      </w:r>
      <w:r w:rsidR="006C72F5" w:rsidRPr="00217059">
        <w:rPr>
          <w:rFonts w:ascii="Times New Roman" w:hAnsi="Times New Roman" w:cs="Times New Roman"/>
          <w:sz w:val="24"/>
          <w:szCs w:val="24"/>
        </w:rPr>
        <w:t xml:space="preserve">o </w:t>
      </w:r>
      <w:r w:rsidR="006C72F5" w:rsidRPr="00C95D36">
        <w:rPr>
          <w:rFonts w:ascii="Times New Roman" w:hAnsi="Times New Roman" w:cs="Times New Roman"/>
          <w:sz w:val="24"/>
          <w:szCs w:val="24"/>
        </w:rPr>
        <w:t>Quadro</w:t>
      </w:r>
      <w:r w:rsidRPr="00C95D36">
        <w:rPr>
          <w:rFonts w:ascii="Times New Roman" w:hAnsi="Times New Roman" w:cs="Times New Roman"/>
          <w:sz w:val="24"/>
          <w:szCs w:val="24"/>
        </w:rPr>
        <w:t xml:space="preserve"> 1</w:t>
      </w:r>
      <w:r w:rsidRPr="00217059">
        <w:rPr>
          <w:rFonts w:ascii="Times New Roman" w:hAnsi="Times New Roman" w:cs="Times New Roman"/>
          <w:sz w:val="24"/>
          <w:szCs w:val="24"/>
        </w:rPr>
        <w:t>. Para verificar a influência da demografia sobre o índice do gasto com pessoal, utilizou-se também a variável de controle POP consiste no logaritmo natural da popula</w:t>
      </w:r>
      <w:r w:rsidR="00A5363B">
        <w:rPr>
          <w:rFonts w:ascii="Times New Roman" w:hAnsi="Times New Roman" w:cs="Times New Roman"/>
          <w:sz w:val="24"/>
          <w:szCs w:val="24"/>
        </w:rPr>
        <w:t>ção de cada município</w:t>
      </w:r>
      <w:r w:rsidRPr="00217059">
        <w:rPr>
          <w:rFonts w:ascii="Times New Roman" w:hAnsi="Times New Roman" w:cs="Times New Roman"/>
          <w:sz w:val="24"/>
          <w:szCs w:val="24"/>
        </w:rPr>
        <w:t xml:space="preserve">. O símbolo </w:t>
      </w:r>
      <w:proofErr w:type="spellStart"/>
      <w:r w:rsidRPr="00217059">
        <w:rPr>
          <w:rFonts w:ascii="Times New Roman" w:hAnsi="Times New Roman" w:cs="Times New Roman"/>
          <w:i/>
          <w:sz w:val="24"/>
          <w:szCs w:val="24"/>
        </w:rPr>
        <w:t>ε</w:t>
      </w:r>
      <w:r w:rsidRPr="00217059">
        <w:rPr>
          <w:rFonts w:ascii="Times New Roman" w:hAnsi="Times New Roman" w:cs="Times New Roman"/>
          <w:i/>
          <w:sz w:val="24"/>
          <w:szCs w:val="24"/>
          <w:vertAlign w:val="subscript"/>
        </w:rPr>
        <w:t>it</w:t>
      </w:r>
      <w:proofErr w:type="spellEnd"/>
      <w:r w:rsidRPr="00217059">
        <w:rPr>
          <w:rFonts w:ascii="Times New Roman" w:hAnsi="Times New Roman" w:cs="Times New Roman"/>
          <w:i/>
          <w:sz w:val="24"/>
          <w:szCs w:val="24"/>
          <w:vertAlign w:val="subscript"/>
        </w:rPr>
        <w:t xml:space="preserve"> </w:t>
      </w:r>
      <w:r w:rsidRPr="00217059">
        <w:rPr>
          <w:rFonts w:ascii="Times New Roman" w:hAnsi="Times New Roman" w:cs="Times New Roman"/>
          <w:sz w:val="24"/>
          <w:szCs w:val="24"/>
        </w:rPr>
        <w:t>representa o termo do erro.</w:t>
      </w:r>
    </w:p>
    <w:p w14:paraId="5E8C0890"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Após a estimação do modelo, a significância dos parâmetros e do modelo foi verificada pelas estatísticas t e F, respectivamente. Os pressupostos do modelo de regressão foram examinados pelos testes </w:t>
      </w:r>
      <w:proofErr w:type="spellStart"/>
      <w:r w:rsidRPr="00217059">
        <w:rPr>
          <w:rFonts w:ascii="Times New Roman" w:hAnsi="Times New Roman" w:cs="Times New Roman"/>
          <w:i/>
          <w:sz w:val="24"/>
          <w:szCs w:val="24"/>
        </w:rPr>
        <w:t>Jarque</w:t>
      </w:r>
      <w:proofErr w:type="spellEnd"/>
      <w:r w:rsidRPr="00217059">
        <w:rPr>
          <w:rFonts w:ascii="Times New Roman" w:hAnsi="Times New Roman" w:cs="Times New Roman"/>
          <w:i/>
          <w:sz w:val="24"/>
          <w:szCs w:val="24"/>
        </w:rPr>
        <w:t xml:space="preserve"> - </w:t>
      </w:r>
      <w:proofErr w:type="spellStart"/>
      <w:r w:rsidRPr="00217059">
        <w:rPr>
          <w:rFonts w:ascii="Times New Roman" w:hAnsi="Times New Roman" w:cs="Times New Roman"/>
          <w:i/>
          <w:sz w:val="24"/>
          <w:szCs w:val="24"/>
        </w:rPr>
        <w:t>Bera</w:t>
      </w:r>
      <w:proofErr w:type="spellEnd"/>
      <w:r w:rsidRPr="00217059">
        <w:rPr>
          <w:rFonts w:ascii="Times New Roman" w:hAnsi="Times New Roman" w:cs="Times New Roman"/>
          <w:sz w:val="24"/>
          <w:szCs w:val="24"/>
        </w:rPr>
        <w:t xml:space="preserve">, </w:t>
      </w:r>
      <w:r w:rsidRPr="00217059">
        <w:rPr>
          <w:rFonts w:ascii="Times New Roman" w:hAnsi="Times New Roman" w:cs="Times New Roman"/>
          <w:i/>
          <w:sz w:val="24"/>
          <w:szCs w:val="24"/>
        </w:rPr>
        <w:t>Wald</w:t>
      </w:r>
      <w:r w:rsidRPr="00217059">
        <w:rPr>
          <w:rFonts w:ascii="Times New Roman" w:hAnsi="Times New Roman" w:cs="Times New Roman"/>
          <w:sz w:val="24"/>
          <w:szCs w:val="24"/>
        </w:rPr>
        <w:t xml:space="preserve"> e </w:t>
      </w:r>
      <w:proofErr w:type="spellStart"/>
      <w:r w:rsidRPr="00217059">
        <w:rPr>
          <w:rFonts w:ascii="Times New Roman" w:hAnsi="Times New Roman" w:cs="Times New Roman"/>
          <w:i/>
          <w:sz w:val="24"/>
          <w:szCs w:val="24"/>
        </w:rPr>
        <w:t>Wooldridge</w:t>
      </w:r>
      <w:proofErr w:type="spellEnd"/>
      <w:r w:rsidRPr="00217059">
        <w:rPr>
          <w:rFonts w:ascii="Times New Roman" w:hAnsi="Times New Roman" w:cs="Times New Roman"/>
          <w:sz w:val="24"/>
          <w:szCs w:val="24"/>
        </w:rPr>
        <w:t xml:space="preserve">. O modelo apresentou </w:t>
      </w:r>
      <w:proofErr w:type="spellStart"/>
      <w:r w:rsidRPr="00217059">
        <w:rPr>
          <w:rFonts w:ascii="Times New Roman" w:hAnsi="Times New Roman" w:cs="Times New Roman"/>
          <w:sz w:val="24"/>
          <w:szCs w:val="24"/>
        </w:rPr>
        <w:t>heterocedasticidade</w:t>
      </w:r>
      <w:proofErr w:type="spellEnd"/>
      <w:r w:rsidRPr="00217059">
        <w:rPr>
          <w:rFonts w:ascii="Times New Roman" w:hAnsi="Times New Roman" w:cs="Times New Roman"/>
          <w:sz w:val="24"/>
          <w:szCs w:val="24"/>
        </w:rPr>
        <w:t xml:space="preserve"> e </w:t>
      </w:r>
      <w:proofErr w:type="spellStart"/>
      <w:r w:rsidRPr="00217059">
        <w:rPr>
          <w:rFonts w:ascii="Times New Roman" w:hAnsi="Times New Roman" w:cs="Times New Roman"/>
          <w:sz w:val="24"/>
          <w:szCs w:val="24"/>
        </w:rPr>
        <w:t>autocorrelação</w:t>
      </w:r>
      <w:proofErr w:type="spellEnd"/>
      <w:r w:rsidRPr="00217059">
        <w:rPr>
          <w:rFonts w:ascii="Times New Roman" w:hAnsi="Times New Roman" w:cs="Times New Roman"/>
          <w:sz w:val="24"/>
          <w:szCs w:val="24"/>
        </w:rPr>
        <w:t xml:space="preserve"> nos resíduos. Para corrigir esses problemas, adotou-se a técnica de correção de </w:t>
      </w:r>
      <w:r w:rsidRPr="00217059">
        <w:rPr>
          <w:rFonts w:ascii="Times New Roman" w:hAnsi="Times New Roman" w:cs="Times New Roman"/>
          <w:i/>
          <w:sz w:val="24"/>
          <w:szCs w:val="24"/>
        </w:rPr>
        <w:t>Newey-West</w:t>
      </w:r>
      <w:r w:rsidRPr="00217059">
        <w:rPr>
          <w:rFonts w:ascii="Times New Roman" w:hAnsi="Times New Roman" w:cs="Times New Roman"/>
          <w:sz w:val="24"/>
          <w:szCs w:val="24"/>
        </w:rPr>
        <w:t>.</w:t>
      </w:r>
    </w:p>
    <w:p w14:paraId="3D316450" w14:textId="77777777" w:rsidR="005A021A" w:rsidRPr="00217059" w:rsidRDefault="005A021A" w:rsidP="00B64057">
      <w:pPr>
        <w:spacing w:after="120" w:line="240" w:lineRule="auto"/>
        <w:ind w:firstLine="709"/>
        <w:jc w:val="both"/>
        <w:rPr>
          <w:rFonts w:ascii="Times New Roman" w:hAnsi="Times New Roman" w:cs="Times New Roman"/>
          <w:b/>
          <w:sz w:val="24"/>
          <w:szCs w:val="24"/>
        </w:rPr>
      </w:pPr>
    </w:p>
    <w:p w14:paraId="2AE22F66" w14:textId="77777777" w:rsidR="005A021A" w:rsidRPr="00217059" w:rsidRDefault="00B64057" w:rsidP="00B64057">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3A1FA2" w:rsidRPr="00217059">
        <w:rPr>
          <w:rFonts w:ascii="Times New Roman" w:hAnsi="Times New Roman" w:cs="Times New Roman"/>
          <w:b/>
          <w:sz w:val="24"/>
          <w:szCs w:val="24"/>
        </w:rPr>
        <w:t>Resultados</w:t>
      </w:r>
    </w:p>
    <w:p w14:paraId="424129D5" w14:textId="77777777" w:rsidR="005A021A" w:rsidRPr="00217059" w:rsidRDefault="003A1FA2" w:rsidP="00B64057">
      <w:pPr>
        <w:spacing w:after="120" w:line="240" w:lineRule="auto"/>
        <w:jc w:val="both"/>
        <w:rPr>
          <w:rFonts w:ascii="Times New Roman" w:hAnsi="Times New Roman" w:cs="Times New Roman"/>
          <w:b/>
          <w:sz w:val="24"/>
          <w:szCs w:val="24"/>
        </w:rPr>
      </w:pPr>
      <w:r w:rsidRPr="00217059">
        <w:rPr>
          <w:rFonts w:ascii="Times New Roman" w:hAnsi="Times New Roman" w:cs="Times New Roman"/>
          <w:b/>
          <w:sz w:val="24"/>
          <w:szCs w:val="24"/>
        </w:rPr>
        <w:t>4.1</w:t>
      </w:r>
      <w:r w:rsidR="00B64057">
        <w:rPr>
          <w:rFonts w:ascii="Times New Roman" w:hAnsi="Times New Roman" w:cs="Times New Roman"/>
          <w:b/>
          <w:sz w:val="24"/>
          <w:szCs w:val="24"/>
        </w:rPr>
        <w:t xml:space="preserve"> </w:t>
      </w:r>
      <w:r w:rsidRPr="00217059">
        <w:rPr>
          <w:rFonts w:ascii="Times New Roman" w:hAnsi="Times New Roman" w:cs="Times New Roman"/>
          <w:b/>
          <w:sz w:val="24"/>
          <w:szCs w:val="24"/>
        </w:rPr>
        <w:t xml:space="preserve">Análise </w:t>
      </w:r>
      <w:r w:rsidR="005A021A" w:rsidRPr="00217059">
        <w:rPr>
          <w:rFonts w:ascii="Times New Roman" w:hAnsi="Times New Roman" w:cs="Times New Roman"/>
          <w:b/>
          <w:sz w:val="24"/>
          <w:szCs w:val="24"/>
        </w:rPr>
        <w:t>Descritiva</w:t>
      </w:r>
    </w:p>
    <w:p w14:paraId="58EE98AF"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As variáveis de interesse referem-se a </w:t>
      </w:r>
      <w:proofErr w:type="spellStart"/>
      <w:r w:rsidRPr="00217059">
        <w:rPr>
          <w:rFonts w:ascii="Times New Roman" w:hAnsi="Times New Roman" w:cs="Times New Roman"/>
          <w:i/>
          <w:sz w:val="24"/>
          <w:szCs w:val="24"/>
        </w:rPr>
        <w:t>dummies</w:t>
      </w:r>
      <w:proofErr w:type="spellEnd"/>
      <w:r w:rsidRPr="00217059">
        <w:rPr>
          <w:rFonts w:ascii="Times New Roman" w:hAnsi="Times New Roman" w:cs="Times New Roman"/>
          <w:sz w:val="24"/>
          <w:szCs w:val="24"/>
        </w:rPr>
        <w:t xml:space="preserve"> que representam os fatores condicionantes a existência dos ciclos políticos. A Tabela </w:t>
      </w:r>
      <w:r w:rsidR="000B2C89">
        <w:rPr>
          <w:rFonts w:ascii="Times New Roman" w:hAnsi="Times New Roman" w:cs="Times New Roman"/>
          <w:sz w:val="24"/>
          <w:szCs w:val="24"/>
        </w:rPr>
        <w:t>2</w:t>
      </w:r>
      <w:r w:rsidRPr="00217059">
        <w:rPr>
          <w:rFonts w:ascii="Times New Roman" w:hAnsi="Times New Roman" w:cs="Times New Roman"/>
          <w:sz w:val="24"/>
          <w:szCs w:val="24"/>
        </w:rPr>
        <w:t xml:space="preserve"> apresenta as estatísticas descritivas </w:t>
      </w:r>
      <w:r w:rsidRPr="00217059">
        <w:rPr>
          <w:rFonts w:ascii="Times New Roman" w:hAnsi="Times New Roman" w:cs="Times New Roman"/>
          <w:sz w:val="24"/>
          <w:szCs w:val="24"/>
        </w:rPr>
        <w:lastRenderedPageBreak/>
        <w:t>da amostra, demonstrando as médias e desvios-padrão dos IGP dos grupos das três variáveis independentes de interesse, bem como as diferenças de média</w:t>
      </w:r>
      <w:r w:rsidR="00A5363B">
        <w:rPr>
          <w:rFonts w:ascii="Times New Roman" w:hAnsi="Times New Roman" w:cs="Times New Roman"/>
          <w:sz w:val="24"/>
          <w:szCs w:val="24"/>
        </w:rPr>
        <w:t xml:space="preserve"> verificadas pelo teste de </w:t>
      </w:r>
      <w:r w:rsidR="00A5363B" w:rsidRPr="00A5363B">
        <w:rPr>
          <w:rFonts w:ascii="Times New Roman" w:hAnsi="Times New Roman" w:cs="Times New Roman"/>
          <w:i/>
          <w:sz w:val="24"/>
          <w:szCs w:val="24"/>
        </w:rPr>
        <w:t>Mann-Whitney</w:t>
      </w:r>
      <w:r w:rsidRPr="00217059">
        <w:rPr>
          <w:rFonts w:ascii="Times New Roman" w:hAnsi="Times New Roman" w:cs="Times New Roman"/>
          <w:sz w:val="24"/>
          <w:szCs w:val="24"/>
        </w:rPr>
        <w:t>.</w:t>
      </w:r>
    </w:p>
    <w:p w14:paraId="54645647"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p>
    <w:p w14:paraId="284EC06E" w14:textId="77777777" w:rsidR="006C72F5" w:rsidRPr="00B64057" w:rsidRDefault="006C72F5" w:rsidP="00B64057">
      <w:pPr>
        <w:spacing w:after="0" w:line="240" w:lineRule="auto"/>
        <w:contextualSpacing/>
        <w:jc w:val="center"/>
        <w:rPr>
          <w:rFonts w:ascii="Times New Roman" w:hAnsi="Times New Roman" w:cs="Times New Roman"/>
          <w:b/>
          <w:sz w:val="20"/>
          <w:szCs w:val="20"/>
        </w:rPr>
      </w:pPr>
      <w:r w:rsidRPr="00B64057">
        <w:rPr>
          <w:rFonts w:ascii="Times New Roman" w:hAnsi="Times New Roman" w:cs="Times New Roman"/>
          <w:b/>
          <w:sz w:val="20"/>
          <w:szCs w:val="20"/>
        </w:rPr>
        <w:t xml:space="preserve">Tabela </w:t>
      </w:r>
      <w:r w:rsidR="000B2C89">
        <w:rPr>
          <w:rFonts w:ascii="Times New Roman" w:hAnsi="Times New Roman" w:cs="Times New Roman"/>
          <w:b/>
          <w:sz w:val="20"/>
          <w:szCs w:val="20"/>
        </w:rPr>
        <w:t>2</w:t>
      </w:r>
      <w:r w:rsidRPr="00B64057">
        <w:rPr>
          <w:rFonts w:ascii="Times New Roman" w:hAnsi="Times New Roman" w:cs="Times New Roman"/>
          <w:b/>
          <w:sz w:val="20"/>
          <w:szCs w:val="20"/>
        </w:rPr>
        <w:t xml:space="preserve"> – Estatística Descritiva</w:t>
      </w:r>
    </w:p>
    <w:tbl>
      <w:tblPr>
        <w:tblW w:w="5000" w:type="pct"/>
        <w:jc w:val="center"/>
        <w:tblBorders>
          <w:top w:val="single" w:sz="4" w:space="0" w:color="auto"/>
          <w:bottom w:val="single" w:sz="4" w:space="0" w:color="auto"/>
        </w:tblBorders>
        <w:tblLook w:val="04A0" w:firstRow="1" w:lastRow="0" w:firstColumn="1" w:lastColumn="0" w:noHBand="0" w:noVBand="1"/>
      </w:tblPr>
      <w:tblGrid>
        <w:gridCol w:w="1707"/>
        <w:gridCol w:w="2467"/>
        <w:gridCol w:w="2863"/>
        <w:gridCol w:w="2034"/>
      </w:tblGrid>
      <w:tr w:rsidR="006C72F5" w:rsidRPr="00217059" w14:paraId="55A4F212" w14:textId="77777777" w:rsidTr="003145A7">
        <w:trPr>
          <w:jc w:val="center"/>
        </w:trPr>
        <w:tc>
          <w:tcPr>
            <w:tcW w:w="5000" w:type="pct"/>
            <w:gridSpan w:val="4"/>
            <w:tcBorders>
              <w:top w:val="single" w:sz="4" w:space="0" w:color="auto"/>
              <w:bottom w:val="single" w:sz="4" w:space="0" w:color="auto"/>
            </w:tcBorders>
            <w:shd w:val="clear" w:color="auto" w:fill="auto"/>
          </w:tcPr>
          <w:p w14:paraId="7038FF3E" w14:textId="77777777" w:rsidR="006C72F5" w:rsidRPr="00217059" w:rsidRDefault="006C72F5"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Painel A: Ano Eleitoral</w:t>
            </w:r>
            <w:r w:rsidRPr="00217059">
              <w:rPr>
                <w:rFonts w:ascii="Times New Roman" w:hAnsi="Times New Roman" w:cs="Times New Roman"/>
                <w:sz w:val="20"/>
                <w:szCs w:val="20"/>
              </w:rPr>
              <w:t>×</w:t>
            </w:r>
          </w:p>
        </w:tc>
      </w:tr>
      <w:tr w:rsidR="006C72F5" w:rsidRPr="00217059" w14:paraId="01D8A226" w14:textId="77777777" w:rsidTr="003145A7">
        <w:trPr>
          <w:jc w:val="center"/>
        </w:trPr>
        <w:tc>
          <w:tcPr>
            <w:tcW w:w="941" w:type="pct"/>
            <w:tcBorders>
              <w:top w:val="single" w:sz="4" w:space="0" w:color="auto"/>
              <w:bottom w:val="single" w:sz="4" w:space="0" w:color="auto"/>
            </w:tcBorders>
            <w:shd w:val="clear" w:color="auto" w:fill="auto"/>
          </w:tcPr>
          <w:p w14:paraId="33E782D1" w14:textId="77777777" w:rsidR="006C72F5" w:rsidRPr="00217059" w:rsidRDefault="006C72F5"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Item</w:t>
            </w:r>
          </w:p>
        </w:tc>
        <w:tc>
          <w:tcPr>
            <w:tcW w:w="1360" w:type="pct"/>
            <w:tcBorders>
              <w:top w:val="single" w:sz="4" w:space="0" w:color="auto"/>
              <w:bottom w:val="single" w:sz="4" w:space="0" w:color="auto"/>
            </w:tcBorders>
            <w:shd w:val="clear" w:color="auto" w:fill="auto"/>
          </w:tcPr>
          <w:p w14:paraId="53926371" w14:textId="77777777" w:rsidR="006C72F5" w:rsidRPr="00217059" w:rsidRDefault="006C72F5"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Ano Eleitoral</w:t>
            </w:r>
          </w:p>
        </w:tc>
        <w:tc>
          <w:tcPr>
            <w:tcW w:w="1578" w:type="pct"/>
            <w:tcBorders>
              <w:top w:val="single" w:sz="4" w:space="0" w:color="auto"/>
              <w:bottom w:val="single" w:sz="4" w:space="0" w:color="auto"/>
            </w:tcBorders>
            <w:shd w:val="clear" w:color="auto" w:fill="auto"/>
          </w:tcPr>
          <w:p w14:paraId="31FDC5E3" w14:textId="77777777" w:rsidR="006C72F5" w:rsidRPr="00217059" w:rsidRDefault="006C72F5"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Anos não Eleitorais</w:t>
            </w:r>
          </w:p>
        </w:tc>
        <w:tc>
          <w:tcPr>
            <w:tcW w:w="1120" w:type="pct"/>
            <w:tcBorders>
              <w:top w:val="single" w:sz="4" w:space="0" w:color="auto"/>
              <w:bottom w:val="single" w:sz="4" w:space="0" w:color="auto"/>
            </w:tcBorders>
          </w:tcPr>
          <w:p w14:paraId="6F9D5527" w14:textId="77777777" w:rsidR="006C72F5" w:rsidRPr="00217059" w:rsidRDefault="003145A7" w:rsidP="003145A7">
            <w:pPr>
              <w:spacing w:after="0" w:line="240" w:lineRule="auto"/>
              <w:contextualSpacing/>
              <w:jc w:val="center"/>
              <w:rPr>
                <w:rFonts w:ascii="Times New Roman" w:hAnsi="Times New Roman" w:cs="Times New Roman"/>
                <w:b/>
                <w:sz w:val="20"/>
                <w:szCs w:val="20"/>
                <w:vertAlign w:val="superscript"/>
              </w:rPr>
            </w:pPr>
            <w:r w:rsidRPr="003145A7">
              <w:rPr>
                <w:rFonts w:ascii="Times New Roman" w:hAnsi="Times New Roman" w:cs="Times New Roman"/>
                <w:b/>
                <w:i/>
                <w:sz w:val="20"/>
                <w:szCs w:val="20"/>
              </w:rPr>
              <w:t>Mann-Whitney</w:t>
            </w:r>
            <w:r w:rsidR="006C72F5" w:rsidRPr="00217059">
              <w:rPr>
                <w:rFonts w:ascii="Times New Roman" w:hAnsi="Times New Roman" w:cs="Times New Roman"/>
                <w:b/>
                <w:sz w:val="20"/>
                <w:szCs w:val="20"/>
                <w:vertAlign w:val="superscript"/>
              </w:rPr>
              <w:t>+</w:t>
            </w:r>
          </w:p>
        </w:tc>
      </w:tr>
      <w:tr w:rsidR="006C72F5" w:rsidRPr="00217059" w14:paraId="60368EA6" w14:textId="77777777" w:rsidTr="003145A7">
        <w:trPr>
          <w:jc w:val="center"/>
        </w:trPr>
        <w:tc>
          <w:tcPr>
            <w:tcW w:w="941" w:type="pct"/>
            <w:tcBorders>
              <w:top w:val="single" w:sz="4" w:space="0" w:color="auto"/>
              <w:bottom w:val="nil"/>
            </w:tcBorders>
            <w:shd w:val="clear" w:color="auto" w:fill="auto"/>
          </w:tcPr>
          <w:p w14:paraId="6ED12B59" w14:textId="77777777" w:rsidR="006C72F5" w:rsidRPr="00217059" w:rsidRDefault="006C72F5"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Média</w:t>
            </w:r>
          </w:p>
        </w:tc>
        <w:tc>
          <w:tcPr>
            <w:tcW w:w="1360" w:type="pct"/>
            <w:tcBorders>
              <w:top w:val="single" w:sz="4" w:space="0" w:color="auto"/>
              <w:bottom w:val="nil"/>
            </w:tcBorders>
            <w:shd w:val="clear" w:color="auto" w:fill="auto"/>
          </w:tcPr>
          <w:p w14:paraId="6978E13B" w14:textId="77777777" w:rsidR="006C72F5" w:rsidRPr="00217059" w:rsidRDefault="003145A7" w:rsidP="003145A7">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47</w:t>
            </w:r>
            <w:r>
              <w:rPr>
                <w:rFonts w:ascii="Times New Roman" w:hAnsi="Times New Roman" w:cs="Times New Roman"/>
                <w:sz w:val="20"/>
                <w:szCs w:val="20"/>
              </w:rPr>
              <w:t>,</w:t>
            </w:r>
            <w:r w:rsidRPr="003145A7">
              <w:rPr>
                <w:rFonts w:ascii="Times New Roman" w:hAnsi="Times New Roman" w:cs="Times New Roman"/>
                <w:sz w:val="20"/>
                <w:szCs w:val="20"/>
              </w:rPr>
              <w:t>74</w:t>
            </w:r>
          </w:p>
        </w:tc>
        <w:tc>
          <w:tcPr>
            <w:tcW w:w="1578" w:type="pct"/>
            <w:tcBorders>
              <w:top w:val="single" w:sz="4" w:space="0" w:color="auto"/>
              <w:bottom w:val="nil"/>
            </w:tcBorders>
            <w:shd w:val="clear" w:color="auto" w:fill="auto"/>
          </w:tcPr>
          <w:p w14:paraId="5D657491" w14:textId="77777777" w:rsidR="006C72F5" w:rsidRPr="00217059" w:rsidRDefault="003145A7" w:rsidP="00A5363B">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46</w:t>
            </w:r>
            <w:r>
              <w:rPr>
                <w:rFonts w:ascii="Times New Roman" w:hAnsi="Times New Roman" w:cs="Times New Roman"/>
                <w:sz w:val="20"/>
                <w:szCs w:val="20"/>
              </w:rPr>
              <w:t>,</w:t>
            </w:r>
            <w:r w:rsidRPr="003145A7">
              <w:rPr>
                <w:rFonts w:ascii="Times New Roman" w:hAnsi="Times New Roman" w:cs="Times New Roman"/>
                <w:sz w:val="20"/>
                <w:szCs w:val="20"/>
              </w:rPr>
              <w:t>5</w:t>
            </w:r>
            <w:r w:rsidR="00A5363B">
              <w:rPr>
                <w:rFonts w:ascii="Times New Roman" w:hAnsi="Times New Roman" w:cs="Times New Roman"/>
                <w:sz w:val="20"/>
                <w:szCs w:val="20"/>
              </w:rPr>
              <w:t>7</w:t>
            </w:r>
          </w:p>
        </w:tc>
        <w:tc>
          <w:tcPr>
            <w:tcW w:w="1120" w:type="pct"/>
            <w:vMerge w:val="restart"/>
            <w:tcBorders>
              <w:top w:val="single" w:sz="4" w:space="0" w:color="auto"/>
            </w:tcBorders>
            <w:vAlign w:val="center"/>
          </w:tcPr>
          <w:p w14:paraId="1835BA3E" w14:textId="77777777" w:rsidR="006C72F5" w:rsidRPr="00217059" w:rsidRDefault="003145A7" w:rsidP="003145A7">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0</w:t>
            </w:r>
            <w:r>
              <w:rPr>
                <w:rFonts w:ascii="Times New Roman" w:hAnsi="Times New Roman" w:cs="Times New Roman"/>
                <w:sz w:val="20"/>
                <w:szCs w:val="20"/>
              </w:rPr>
              <w:t>,</w:t>
            </w:r>
            <w:r w:rsidRPr="003145A7">
              <w:rPr>
                <w:rFonts w:ascii="Times New Roman" w:hAnsi="Times New Roman" w:cs="Times New Roman"/>
                <w:sz w:val="20"/>
                <w:szCs w:val="20"/>
              </w:rPr>
              <w:t>0000</w:t>
            </w:r>
          </w:p>
        </w:tc>
      </w:tr>
      <w:tr w:rsidR="006C72F5" w:rsidRPr="00217059" w14:paraId="4A6E90B0" w14:textId="77777777" w:rsidTr="003145A7">
        <w:trPr>
          <w:jc w:val="center"/>
        </w:trPr>
        <w:tc>
          <w:tcPr>
            <w:tcW w:w="941" w:type="pct"/>
            <w:tcBorders>
              <w:top w:val="nil"/>
              <w:bottom w:val="single" w:sz="4" w:space="0" w:color="auto"/>
            </w:tcBorders>
            <w:shd w:val="clear" w:color="auto" w:fill="auto"/>
          </w:tcPr>
          <w:p w14:paraId="280B6400" w14:textId="77777777" w:rsidR="006C72F5" w:rsidRPr="00217059" w:rsidRDefault="006C72F5"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Desvio Padrão</w:t>
            </w:r>
          </w:p>
        </w:tc>
        <w:tc>
          <w:tcPr>
            <w:tcW w:w="1360" w:type="pct"/>
            <w:tcBorders>
              <w:top w:val="nil"/>
              <w:bottom w:val="single" w:sz="4" w:space="0" w:color="auto"/>
            </w:tcBorders>
            <w:shd w:val="clear" w:color="auto" w:fill="auto"/>
          </w:tcPr>
          <w:p w14:paraId="58082AD7" w14:textId="77777777" w:rsidR="006C72F5" w:rsidRPr="00217059" w:rsidRDefault="003145A7" w:rsidP="003145A7">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0,</w:t>
            </w:r>
            <w:r w:rsidRPr="003145A7">
              <w:rPr>
                <w:rFonts w:ascii="Times New Roman" w:hAnsi="Times New Roman" w:cs="Times New Roman"/>
                <w:sz w:val="20"/>
                <w:szCs w:val="20"/>
              </w:rPr>
              <w:t>1</w:t>
            </w:r>
            <w:r>
              <w:rPr>
                <w:rFonts w:ascii="Times New Roman" w:hAnsi="Times New Roman" w:cs="Times New Roman"/>
                <w:sz w:val="20"/>
                <w:szCs w:val="20"/>
              </w:rPr>
              <w:t>6</w:t>
            </w:r>
          </w:p>
        </w:tc>
        <w:tc>
          <w:tcPr>
            <w:tcW w:w="1578" w:type="pct"/>
            <w:tcBorders>
              <w:top w:val="nil"/>
              <w:bottom w:val="single" w:sz="4" w:space="0" w:color="auto"/>
            </w:tcBorders>
            <w:shd w:val="clear" w:color="auto" w:fill="auto"/>
          </w:tcPr>
          <w:p w14:paraId="4C6067F3" w14:textId="77777777" w:rsidR="006C72F5" w:rsidRPr="00217059" w:rsidRDefault="003145A7" w:rsidP="003145A7">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0,</w:t>
            </w:r>
            <w:r w:rsidRPr="003145A7">
              <w:rPr>
                <w:rFonts w:ascii="Times New Roman" w:hAnsi="Times New Roman" w:cs="Times New Roman"/>
                <w:sz w:val="20"/>
                <w:szCs w:val="20"/>
              </w:rPr>
              <w:t>09</w:t>
            </w:r>
          </w:p>
        </w:tc>
        <w:tc>
          <w:tcPr>
            <w:tcW w:w="1120" w:type="pct"/>
            <w:vMerge/>
            <w:tcBorders>
              <w:bottom w:val="single" w:sz="4" w:space="0" w:color="auto"/>
            </w:tcBorders>
          </w:tcPr>
          <w:p w14:paraId="2980BA0F" w14:textId="77777777" w:rsidR="006C72F5" w:rsidRPr="00217059" w:rsidRDefault="006C72F5" w:rsidP="003A1FA2">
            <w:pPr>
              <w:spacing w:after="0" w:line="240" w:lineRule="auto"/>
              <w:contextualSpacing/>
              <w:jc w:val="center"/>
              <w:rPr>
                <w:rFonts w:ascii="Times New Roman" w:hAnsi="Times New Roman" w:cs="Times New Roman"/>
                <w:b/>
                <w:sz w:val="20"/>
                <w:szCs w:val="20"/>
              </w:rPr>
            </w:pPr>
          </w:p>
        </w:tc>
      </w:tr>
      <w:tr w:rsidR="006C72F5" w:rsidRPr="00217059" w14:paraId="4DBFD4CA" w14:textId="77777777" w:rsidTr="003145A7">
        <w:trPr>
          <w:jc w:val="center"/>
        </w:trPr>
        <w:tc>
          <w:tcPr>
            <w:tcW w:w="5000" w:type="pct"/>
            <w:gridSpan w:val="4"/>
            <w:tcBorders>
              <w:top w:val="single" w:sz="4" w:space="0" w:color="auto"/>
              <w:bottom w:val="single" w:sz="4" w:space="0" w:color="auto"/>
            </w:tcBorders>
            <w:shd w:val="clear" w:color="auto" w:fill="auto"/>
          </w:tcPr>
          <w:p w14:paraId="0EB19578" w14:textId="77777777" w:rsidR="006C72F5" w:rsidRPr="00217059" w:rsidRDefault="006C72F5"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b/>
                <w:sz w:val="20"/>
                <w:szCs w:val="20"/>
              </w:rPr>
              <w:t>Painel B: Mudança de Prefeito</w:t>
            </w:r>
            <w:r w:rsidRPr="00217059">
              <w:rPr>
                <w:rFonts w:ascii="Times New Roman" w:hAnsi="Times New Roman" w:cs="Times New Roman"/>
                <w:sz w:val="20"/>
                <w:szCs w:val="20"/>
              </w:rPr>
              <w:t>×</w:t>
            </w:r>
          </w:p>
        </w:tc>
      </w:tr>
      <w:tr w:rsidR="006C72F5" w:rsidRPr="00217059" w14:paraId="042344C7" w14:textId="77777777" w:rsidTr="003145A7">
        <w:trPr>
          <w:jc w:val="center"/>
        </w:trPr>
        <w:tc>
          <w:tcPr>
            <w:tcW w:w="941" w:type="pct"/>
            <w:tcBorders>
              <w:top w:val="single" w:sz="4" w:space="0" w:color="auto"/>
              <w:bottom w:val="single" w:sz="4" w:space="0" w:color="auto"/>
            </w:tcBorders>
            <w:shd w:val="clear" w:color="auto" w:fill="auto"/>
          </w:tcPr>
          <w:p w14:paraId="53532C10" w14:textId="77777777" w:rsidR="006C72F5" w:rsidRPr="00217059" w:rsidRDefault="006C72F5"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Item</w:t>
            </w:r>
          </w:p>
        </w:tc>
        <w:tc>
          <w:tcPr>
            <w:tcW w:w="1360" w:type="pct"/>
            <w:tcBorders>
              <w:top w:val="single" w:sz="4" w:space="0" w:color="auto"/>
              <w:bottom w:val="single" w:sz="4" w:space="0" w:color="auto"/>
            </w:tcBorders>
            <w:shd w:val="clear" w:color="auto" w:fill="auto"/>
          </w:tcPr>
          <w:p w14:paraId="38CE441F" w14:textId="77777777" w:rsidR="006C72F5" w:rsidRPr="00217059" w:rsidRDefault="006C72F5" w:rsidP="003A1FA2">
            <w:pPr>
              <w:pStyle w:val="Default"/>
              <w:spacing w:after="0"/>
              <w:contextualSpacing/>
              <w:jc w:val="center"/>
              <w:rPr>
                <w:sz w:val="20"/>
                <w:szCs w:val="20"/>
              </w:rPr>
            </w:pPr>
            <w:r w:rsidRPr="00217059">
              <w:rPr>
                <w:b/>
                <w:bCs/>
                <w:sz w:val="20"/>
                <w:szCs w:val="20"/>
              </w:rPr>
              <w:t>Mudança de Prefeito</w:t>
            </w:r>
          </w:p>
        </w:tc>
        <w:tc>
          <w:tcPr>
            <w:tcW w:w="1578" w:type="pct"/>
            <w:tcBorders>
              <w:top w:val="single" w:sz="4" w:space="0" w:color="auto"/>
              <w:bottom w:val="single" w:sz="4" w:space="0" w:color="auto"/>
            </w:tcBorders>
            <w:shd w:val="clear" w:color="auto" w:fill="auto"/>
          </w:tcPr>
          <w:p w14:paraId="5C1818B9" w14:textId="77777777" w:rsidR="006C72F5" w:rsidRPr="00217059" w:rsidRDefault="006C72F5" w:rsidP="003A1FA2">
            <w:pPr>
              <w:pStyle w:val="Default"/>
              <w:spacing w:after="0"/>
              <w:contextualSpacing/>
              <w:jc w:val="center"/>
              <w:rPr>
                <w:sz w:val="20"/>
                <w:szCs w:val="20"/>
              </w:rPr>
            </w:pPr>
            <w:r w:rsidRPr="00217059">
              <w:rPr>
                <w:b/>
                <w:bCs/>
                <w:sz w:val="20"/>
                <w:szCs w:val="20"/>
              </w:rPr>
              <w:t xml:space="preserve">Permanência do Prefeito </w:t>
            </w:r>
          </w:p>
        </w:tc>
        <w:tc>
          <w:tcPr>
            <w:tcW w:w="1120" w:type="pct"/>
            <w:tcBorders>
              <w:top w:val="single" w:sz="4" w:space="0" w:color="auto"/>
              <w:bottom w:val="single" w:sz="4" w:space="0" w:color="auto"/>
            </w:tcBorders>
          </w:tcPr>
          <w:p w14:paraId="23796BA4" w14:textId="77777777" w:rsidR="006C72F5" w:rsidRPr="00217059" w:rsidRDefault="003145A7" w:rsidP="003145A7">
            <w:pPr>
              <w:spacing w:after="0" w:line="240" w:lineRule="auto"/>
              <w:contextualSpacing/>
              <w:jc w:val="center"/>
              <w:rPr>
                <w:rFonts w:ascii="Times New Roman" w:hAnsi="Times New Roman" w:cs="Times New Roman"/>
                <w:b/>
                <w:sz w:val="20"/>
                <w:szCs w:val="20"/>
                <w:vertAlign w:val="superscript"/>
              </w:rPr>
            </w:pPr>
            <w:r w:rsidRPr="003145A7">
              <w:rPr>
                <w:rFonts w:ascii="Times New Roman" w:hAnsi="Times New Roman" w:cs="Times New Roman"/>
                <w:b/>
                <w:i/>
                <w:sz w:val="20"/>
                <w:szCs w:val="20"/>
              </w:rPr>
              <w:t>Mann-Whitney</w:t>
            </w:r>
            <w:r w:rsidR="006C72F5" w:rsidRPr="00217059">
              <w:rPr>
                <w:rFonts w:ascii="Times New Roman" w:hAnsi="Times New Roman" w:cs="Times New Roman"/>
                <w:b/>
                <w:sz w:val="20"/>
                <w:szCs w:val="20"/>
                <w:vertAlign w:val="superscript"/>
              </w:rPr>
              <w:t>+</w:t>
            </w:r>
          </w:p>
        </w:tc>
      </w:tr>
      <w:tr w:rsidR="006C72F5" w:rsidRPr="00217059" w14:paraId="61239F9B" w14:textId="77777777" w:rsidTr="003145A7">
        <w:trPr>
          <w:jc w:val="center"/>
        </w:trPr>
        <w:tc>
          <w:tcPr>
            <w:tcW w:w="941" w:type="pct"/>
            <w:tcBorders>
              <w:top w:val="single" w:sz="4" w:space="0" w:color="auto"/>
              <w:bottom w:val="nil"/>
            </w:tcBorders>
            <w:shd w:val="clear" w:color="auto" w:fill="auto"/>
          </w:tcPr>
          <w:p w14:paraId="581243BC" w14:textId="77777777" w:rsidR="006C72F5" w:rsidRPr="00217059" w:rsidRDefault="006C72F5"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Média</w:t>
            </w:r>
          </w:p>
        </w:tc>
        <w:tc>
          <w:tcPr>
            <w:tcW w:w="1360" w:type="pct"/>
            <w:tcBorders>
              <w:top w:val="single" w:sz="4" w:space="0" w:color="auto"/>
              <w:bottom w:val="nil"/>
            </w:tcBorders>
            <w:shd w:val="clear" w:color="auto" w:fill="auto"/>
          </w:tcPr>
          <w:p w14:paraId="4FBD5B0A" w14:textId="77777777" w:rsidR="006C72F5" w:rsidRPr="00217059" w:rsidRDefault="003145A7" w:rsidP="00A5363B">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46</w:t>
            </w:r>
            <w:r>
              <w:rPr>
                <w:rFonts w:ascii="Times New Roman" w:hAnsi="Times New Roman" w:cs="Times New Roman"/>
                <w:sz w:val="20"/>
                <w:szCs w:val="20"/>
              </w:rPr>
              <w:t>,</w:t>
            </w:r>
            <w:r w:rsidRPr="003145A7">
              <w:rPr>
                <w:rFonts w:ascii="Times New Roman" w:hAnsi="Times New Roman" w:cs="Times New Roman"/>
                <w:sz w:val="20"/>
                <w:szCs w:val="20"/>
              </w:rPr>
              <w:t>8</w:t>
            </w:r>
            <w:r w:rsidR="00A5363B">
              <w:rPr>
                <w:rFonts w:ascii="Times New Roman" w:hAnsi="Times New Roman" w:cs="Times New Roman"/>
                <w:sz w:val="20"/>
                <w:szCs w:val="20"/>
              </w:rPr>
              <w:t>4</w:t>
            </w:r>
          </w:p>
        </w:tc>
        <w:tc>
          <w:tcPr>
            <w:tcW w:w="1578" w:type="pct"/>
            <w:tcBorders>
              <w:top w:val="single" w:sz="4" w:space="0" w:color="auto"/>
              <w:bottom w:val="nil"/>
            </w:tcBorders>
            <w:shd w:val="clear" w:color="auto" w:fill="auto"/>
          </w:tcPr>
          <w:p w14:paraId="2E5A5D02" w14:textId="77777777" w:rsidR="006C72F5" w:rsidRPr="00217059" w:rsidRDefault="003145A7" w:rsidP="003145A7">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47</w:t>
            </w:r>
            <w:r>
              <w:rPr>
                <w:rFonts w:ascii="Times New Roman" w:hAnsi="Times New Roman" w:cs="Times New Roman"/>
                <w:sz w:val="20"/>
                <w:szCs w:val="20"/>
              </w:rPr>
              <w:t>,</w:t>
            </w:r>
            <w:r w:rsidRPr="003145A7">
              <w:rPr>
                <w:rFonts w:ascii="Times New Roman" w:hAnsi="Times New Roman" w:cs="Times New Roman"/>
                <w:sz w:val="20"/>
                <w:szCs w:val="20"/>
              </w:rPr>
              <w:t>45</w:t>
            </w:r>
          </w:p>
        </w:tc>
        <w:tc>
          <w:tcPr>
            <w:tcW w:w="1120" w:type="pct"/>
            <w:vMerge w:val="restart"/>
            <w:tcBorders>
              <w:top w:val="single" w:sz="4" w:space="0" w:color="auto"/>
              <w:bottom w:val="nil"/>
            </w:tcBorders>
            <w:vAlign w:val="center"/>
          </w:tcPr>
          <w:p w14:paraId="5BAEEF6A" w14:textId="77777777" w:rsidR="006C72F5" w:rsidRPr="00217059" w:rsidRDefault="003145A7" w:rsidP="003145A7">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0</w:t>
            </w:r>
            <w:r>
              <w:rPr>
                <w:rFonts w:ascii="Times New Roman" w:hAnsi="Times New Roman" w:cs="Times New Roman"/>
                <w:sz w:val="20"/>
                <w:szCs w:val="20"/>
              </w:rPr>
              <w:t>,</w:t>
            </w:r>
            <w:r w:rsidRPr="003145A7">
              <w:rPr>
                <w:rFonts w:ascii="Times New Roman" w:hAnsi="Times New Roman" w:cs="Times New Roman"/>
                <w:sz w:val="20"/>
                <w:szCs w:val="20"/>
              </w:rPr>
              <w:t>0074</w:t>
            </w:r>
          </w:p>
        </w:tc>
      </w:tr>
      <w:tr w:rsidR="006C72F5" w:rsidRPr="00217059" w14:paraId="4EB9BD19" w14:textId="77777777" w:rsidTr="003145A7">
        <w:trPr>
          <w:jc w:val="center"/>
        </w:trPr>
        <w:tc>
          <w:tcPr>
            <w:tcW w:w="941" w:type="pct"/>
            <w:tcBorders>
              <w:top w:val="nil"/>
              <w:bottom w:val="single" w:sz="4" w:space="0" w:color="auto"/>
            </w:tcBorders>
            <w:shd w:val="clear" w:color="auto" w:fill="auto"/>
          </w:tcPr>
          <w:p w14:paraId="2EAEDEF1" w14:textId="77777777" w:rsidR="006C72F5" w:rsidRPr="00217059" w:rsidRDefault="006C72F5"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Desvio Padrão</w:t>
            </w:r>
          </w:p>
        </w:tc>
        <w:tc>
          <w:tcPr>
            <w:tcW w:w="1360" w:type="pct"/>
            <w:tcBorders>
              <w:top w:val="nil"/>
              <w:bottom w:val="single" w:sz="4" w:space="0" w:color="auto"/>
            </w:tcBorders>
            <w:shd w:val="clear" w:color="auto" w:fill="auto"/>
          </w:tcPr>
          <w:p w14:paraId="05AB9108" w14:textId="77777777" w:rsidR="006C72F5" w:rsidRPr="00217059" w:rsidRDefault="003145A7" w:rsidP="003145A7">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0,</w:t>
            </w:r>
            <w:r w:rsidRPr="003145A7">
              <w:rPr>
                <w:rFonts w:ascii="Times New Roman" w:hAnsi="Times New Roman" w:cs="Times New Roman"/>
                <w:sz w:val="20"/>
                <w:szCs w:val="20"/>
              </w:rPr>
              <w:t>20</w:t>
            </w:r>
          </w:p>
        </w:tc>
        <w:tc>
          <w:tcPr>
            <w:tcW w:w="1578" w:type="pct"/>
            <w:tcBorders>
              <w:top w:val="nil"/>
              <w:bottom w:val="single" w:sz="4" w:space="0" w:color="auto"/>
            </w:tcBorders>
            <w:shd w:val="clear" w:color="auto" w:fill="auto"/>
          </w:tcPr>
          <w:p w14:paraId="21E78C57" w14:textId="77777777" w:rsidR="006C72F5" w:rsidRPr="00217059" w:rsidRDefault="003145A7" w:rsidP="003145A7">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0,</w:t>
            </w:r>
            <w:r w:rsidRPr="003145A7">
              <w:rPr>
                <w:rFonts w:ascii="Times New Roman" w:hAnsi="Times New Roman" w:cs="Times New Roman"/>
                <w:sz w:val="20"/>
                <w:szCs w:val="20"/>
              </w:rPr>
              <w:t>09</w:t>
            </w:r>
          </w:p>
        </w:tc>
        <w:tc>
          <w:tcPr>
            <w:tcW w:w="1120" w:type="pct"/>
            <w:vMerge/>
            <w:tcBorders>
              <w:top w:val="nil"/>
              <w:bottom w:val="single" w:sz="4" w:space="0" w:color="auto"/>
            </w:tcBorders>
          </w:tcPr>
          <w:p w14:paraId="4AFFB46E" w14:textId="77777777" w:rsidR="006C72F5" w:rsidRPr="00217059" w:rsidRDefault="006C72F5" w:rsidP="003A1FA2">
            <w:pPr>
              <w:spacing w:after="0" w:line="240" w:lineRule="auto"/>
              <w:contextualSpacing/>
              <w:jc w:val="center"/>
              <w:rPr>
                <w:rFonts w:ascii="Times New Roman" w:hAnsi="Times New Roman" w:cs="Times New Roman"/>
                <w:b/>
                <w:sz w:val="20"/>
                <w:szCs w:val="20"/>
              </w:rPr>
            </w:pPr>
          </w:p>
        </w:tc>
      </w:tr>
      <w:tr w:rsidR="006C72F5" w:rsidRPr="00217059" w14:paraId="58E0FB05" w14:textId="77777777" w:rsidTr="003145A7">
        <w:trPr>
          <w:jc w:val="center"/>
        </w:trPr>
        <w:tc>
          <w:tcPr>
            <w:tcW w:w="5000" w:type="pct"/>
            <w:gridSpan w:val="4"/>
            <w:tcBorders>
              <w:top w:val="single" w:sz="4" w:space="0" w:color="auto"/>
              <w:bottom w:val="single" w:sz="4" w:space="0" w:color="auto"/>
            </w:tcBorders>
            <w:shd w:val="clear" w:color="auto" w:fill="auto"/>
          </w:tcPr>
          <w:p w14:paraId="46983974" w14:textId="77777777" w:rsidR="006C72F5" w:rsidRPr="00217059" w:rsidRDefault="006C72F5"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Painel C: Mandato Eleitoral</w:t>
            </w:r>
            <w:r w:rsidRPr="00217059">
              <w:rPr>
                <w:rFonts w:ascii="Times New Roman" w:hAnsi="Times New Roman" w:cs="Times New Roman"/>
                <w:sz w:val="20"/>
                <w:szCs w:val="20"/>
              </w:rPr>
              <w:t>×</w:t>
            </w:r>
          </w:p>
        </w:tc>
      </w:tr>
      <w:tr w:rsidR="006C72F5" w:rsidRPr="00217059" w14:paraId="41B466EA" w14:textId="77777777" w:rsidTr="00A5363B">
        <w:trPr>
          <w:jc w:val="center"/>
        </w:trPr>
        <w:tc>
          <w:tcPr>
            <w:tcW w:w="941" w:type="pct"/>
            <w:tcBorders>
              <w:top w:val="single" w:sz="4" w:space="0" w:color="auto"/>
              <w:bottom w:val="single" w:sz="4" w:space="0" w:color="auto"/>
            </w:tcBorders>
            <w:shd w:val="clear" w:color="auto" w:fill="auto"/>
          </w:tcPr>
          <w:p w14:paraId="4A0ACD87" w14:textId="77777777" w:rsidR="006C72F5" w:rsidRPr="00217059" w:rsidRDefault="006C72F5"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Item</w:t>
            </w:r>
          </w:p>
        </w:tc>
        <w:tc>
          <w:tcPr>
            <w:tcW w:w="1360" w:type="pct"/>
            <w:tcBorders>
              <w:top w:val="single" w:sz="4" w:space="0" w:color="auto"/>
              <w:bottom w:val="single" w:sz="4" w:space="0" w:color="auto"/>
            </w:tcBorders>
            <w:shd w:val="clear" w:color="auto" w:fill="auto"/>
          </w:tcPr>
          <w:p w14:paraId="1B7B7E4D" w14:textId="77777777" w:rsidR="006C72F5" w:rsidRPr="00217059" w:rsidRDefault="006C72F5" w:rsidP="003A1FA2">
            <w:pPr>
              <w:pStyle w:val="Default"/>
              <w:spacing w:after="0"/>
              <w:contextualSpacing/>
              <w:jc w:val="center"/>
              <w:rPr>
                <w:b/>
                <w:sz w:val="20"/>
                <w:szCs w:val="20"/>
              </w:rPr>
            </w:pPr>
            <w:r w:rsidRPr="00217059">
              <w:rPr>
                <w:b/>
                <w:sz w:val="20"/>
                <w:szCs w:val="20"/>
              </w:rPr>
              <w:t>Primeiro Mandato</w:t>
            </w:r>
          </w:p>
        </w:tc>
        <w:tc>
          <w:tcPr>
            <w:tcW w:w="1578" w:type="pct"/>
            <w:tcBorders>
              <w:top w:val="single" w:sz="4" w:space="0" w:color="auto"/>
              <w:bottom w:val="single" w:sz="4" w:space="0" w:color="auto"/>
            </w:tcBorders>
            <w:shd w:val="clear" w:color="auto" w:fill="auto"/>
          </w:tcPr>
          <w:p w14:paraId="6BA903AC" w14:textId="77777777" w:rsidR="006C72F5" w:rsidRPr="00217059" w:rsidRDefault="006C72F5" w:rsidP="003A1FA2">
            <w:pPr>
              <w:pStyle w:val="Default"/>
              <w:spacing w:after="0"/>
              <w:contextualSpacing/>
              <w:jc w:val="center"/>
              <w:rPr>
                <w:b/>
                <w:sz w:val="20"/>
                <w:szCs w:val="20"/>
              </w:rPr>
            </w:pPr>
            <w:r w:rsidRPr="00217059">
              <w:rPr>
                <w:b/>
                <w:sz w:val="20"/>
                <w:szCs w:val="20"/>
              </w:rPr>
              <w:t>Segundo Mandato</w:t>
            </w:r>
          </w:p>
        </w:tc>
        <w:tc>
          <w:tcPr>
            <w:tcW w:w="1120" w:type="pct"/>
            <w:tcBorders>
              <w:top w:val="single" w:sz="4" w:space="0" w:color="auto"/>
              <w:bottom w:val="single" w:sz="4" w:space="0" w:color="auto"/>
            </w:tcBorders>
          </w:tcPr>
          <w:p w14:paraId="4DFEC410" w14:textId="77777777" w:rsidR="006C72F5" w:rsidRPr="00217059" w:rsidRDefault="003145A7" w:rsidP="003145A7">
            <w:pPr>
              <w:spacing w:after="0" w:line="240" w:lineRule="auto"/>
              <w:contextualSpacing/>
              <w:jc w:val="center"/>
              <w:rPr>
                <w:rFonts w:ascii="Times New Roman" w:hAnsi="Times New Roman" w:cs="Times New Roman"/>
                <w:b/>
                <w:sz w:val="20"/>
                <w:szCs w:val="20"/>
                <w:vertAlign w:val="superscript"/>
              </w:rPr>
            </w:pPr>
            <w:r w:rsidRPr="003145A7">
              <w:rPr>
                <w:rFonts w:ascii="Times New Roman" w:hAnsi="Times New Roman" w:cs="Times New Roman"/>
                <w:b/>
                <w:i/>
                <w:sz w:val="20"/>
                <w:szCs w:val="20"/>
              </w:rPr>
              <w:t>Mann-Whitney</w:t>
            </w:r>
            <w:r w:rsidR="006C72F5" w:rsidRPr="00217059">
              <w:rPr>
                <w:rFonts w:ascii="Times New Roman" w:hAnsi="Times New Roman" w:cs="Times New Roman"/>
                <w:b/>
                <w:sz w:val="20"/>
                <w:szCs w:val="20"/>
                <w:vertAlign w:val="superscript"/>
              </w:rPr>
              <w:t>+</w:t>
            </w:r>
          </w:p>
        </w:tc>
      </w:tr>
      <w:tr w:rsidR="006C72F5" w:rsidRPr="00217059" w14:paraId="24F8FC42" w14:textId="77777777" w:rsidTr="00A5363B">
        <w:trPr>
          <w:jc w:val="center"/>
        </w:trPr>
        <w:tc>
          <w:tcPr>
            <w:tcW w:w="941" w:type="pct"/>
            <w:tcBorders>
              <w:top w:val="single" w:sz="4" w:space="0" w:color="auto"/>
            </w:tcBorders>
            <w:shd w:val="clear" w:color="auto" w:fill="auto"/>
          </w:tcPr>
          <w:p w14:paraId="40DCF553" w14:textId="77777777" w:rsidR="006C72F5" w:rsidRPr="00217059" w:rsidRDefault="006C72F5"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Média</w:t>
            </w:r>
          </w:p>
        </w:tc>
        <w:tc>
          <w:tcPr>
            <w:tcW w:w="1360" w:type="pct"/>
            <w:tcBorders>
              <w:top w:val="single" w:sz="4" w:space="0" w:color="auto"/>
            </w:tcBorders>
            <w:shd w:val="clear" w:color="auto" w:fill="auto"/>
          </w:tcPr>
          <w:p w14:paraId="77BC5494" w14:textId="77777777" w:rsidR="006C72F5" w:rsidRPr="00217059" w:rsidRDefault="003145A7" w:rsidP="002633D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47</w:t>
            </w:r>
            <w:r w:rsidR="002633D3">
              <w:rPr>
                <w:rFonts w:ascii="Times New Roman" w:hAnsi="Times New Roman" w:cs="Times New Roman"/>
                <w:sz w:val="20"/>
                <w:szCs w:val="20"/>
              </w:rPr>
              <w:t>,</w:t>
            </w:r>
            <w:r>
              <w:rPr>
                <w:rFonts w:ascii="Times New Roman" w:hAnsi="Times New Roman" w:cs="Times New Roman"/>
                <w:sz w:val="20"/>
                <w:szCs w:val="20"/>
              </w:rPr>
              <w:t>23</w:t>
            </w:r>
          </w:p>
        </w:tc>
        <w:tc>
          <w:tcPr>
            <w:tcW w:w="1578" w:type="pct"/>
            <w:tcBorders>
              <w:top w:val="single" w:sz="4" w:space="0" w:color="auto"/>
              <w:bottom w:val="nil"/>
            </w:tcBorders>
            <w:shd w:val="clear" w:color="auto" w:fill="auto"/>
          </w:tcPr>
          <w:p w14:paraId="0F05B365" w14:textId="77777777" w:rsidR="006C72F5" w:rsidRPr="00217059" w:rsidRDefault="003145A7" w:rsidP="003145A7">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46</w:t>
            </w:r>
            <w:r>
              <w:rPr>
                <w:rFonts w:ascii="Times New Roman" w:hAnsi="Times New Roman" w:cs="Times New Roman"/>
                <w:sz w:val="20"/>
                <w:szCs w:val="20"/>
              </w:rPr>
              <w:t>,</w:t>
            </w:r>
            <w:r w:rsidRPr="003145A7">
              <w:rPr>
                <w:rFonts w:ascii="Times New Roman" w:hAnsi="Times New Roman" w:cs="Times New Roman"/>
                <w:sz w:val="20"/>
                <w:szCs w:val="20"/>
              </w:rPr>
              <w:t>09</w:t>
            </w:r>
          </w:p>
        </w:tc>
        <w:tc>
          <w:tcPr>
            <w:tcW w:w="1120" w:type="pct"/>
            <w:vMerge w:val="restart"/>
            <w:tcBorders>
              <w:top w:val="single" w:sz="4" w:space="0" w:color="auto"/>
              <w:bottom w:val="nil"/>
            </w:tcBorders>
            <w:vAlign w:val="center"/>
          </w:tcPr>
          <w:p w14:paraId="68BFE675" w14:textId="77777777" w:rsidR="006C72F5" w:rsidRPr="00217059" w:rsidRDefault="003145A7" w:rsidP="003145A7">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0</w:t>
            </w:r>
            <w:r>
              <w:rPr>
                <w:rFonts w:ascii="Times New Roman" w:hAnsi="Times New Roman" w:cs="Times New Roman"/>
                <w:sz w:val="20"/>
                <w:szCs w:val="20"/>
              </w:rPr>
              <w:t>,</w:t>
            </w:r>
            <w:r w:rsidRPr="003145A7">
              <w:rPr>
                <w:rFonts w:ascii="Times New Roman" w:hAnsi="Times New Roman" w:cs="Times New Roman"/>
                <w:sz w:val="20"/>
                <w:szCs w:val="20"/>
              </w:rPr>
              <w:t>0000</w:t>
            </w:r>
          </w:p>
        </w:tc>
      </w:tr>
      <w:tr w:rsidR="006C72F5" w:rsidRPr="00217059" w14:paraId="13A6A49A" w14:textId="77777777" w:rsidTr="00A5363B">
        <w:trPr>
          <w:jc w:val="center"/>
        </w:trPr>
        <w:tc>
          <w:tcPr>
            <w:tcW w:w="941" w:type="pct"/>
            <w:shd w:val="clear" w:color="auto" w:fill="auto"/>
          </w:tcPr>
          <w:p w14:paraId="7EF23D13" w14:textId="77777777" w:rsidR="006C72F5" w:rsidRPr="00217059" w:rsidRDefault="006C72F5"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Desvio Padrão</w:t>
            </w:r>
          </w:p>
        </w:tc>
        <w:tc>
          <w:tcPr>
            <w:tcW w:w="1360" w:type="pct"/>
            <w:shd w:val="clear" w:color="auto" w:fill="auto"/>
          </w:tcPr>
          <w:p w14:paraId="2E1DFE96" w14:textId="77777777" w:rsidR="006C72F5" w:rsidRPr="00217059" w:rsidRDefault="003145A7" w:rsidP="003145A7">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0,10</w:t>
            </w:r>
          </w:p>
        </w:tc>
        <w:tc>
          <w:tcPr>
            <w:tcW w:w="1578" w:type="pct"/>
            <w:tcBorders>
              <w:top w:val="nil"/>
              <w:bottom w:val="single" w:sz="4" w:space="0" w:color="auto"/>
            </w:tcBorders>
            <w:shd w:val="clear" w:color="auto" w:fill="auto"/>
          </w:tcPr>
          <w:p w14:paraId="4FBC7D8F" w14:textId="77777777" w:rsidR="006C72F5" w:rsidRPr="00217059" w:rsidRDefault="003145A7" w:rsidP="003145A7">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0,</w:t>
            </w:r>
            <w:r w:rsidRPr="003145A7">
              <w:rPr>
                <w:rFonts w:ascii="Times New Roman" w:hAnsi="Times New Roman" w:cs="Times New Roman"/>
                <w:sz w:val="20"/>
                <w:szCs w:val="20"/>
              </w:rPr>
              <w:t>14</w:t>
            </w:r>
          </w:p>
        </w:tc>
        <w:tc>
          <w:tcPr>
            <w:tcW w:w="1120" w:type="pct"/>
            <w:vMerge/>
            <w:tcBorders>
              <w:top w:val="nil"/>
              <w:bottom w:val="single" w:sz="4" w:space="0" w:color="auto"/>
            </w:tcBorders>
          </w:tcPr>
          <w:p w14:paraId="0D29B237" w14:textId="77777777" w:rsidR="006C72F5" w:rsidRPr="00217059" w:rsidRDefault="006C72F5" w:rsidP="003A1FA2">
            <w:pPr>
              <w:spacing w:after="0" w:line="240" w:lineRule="auto"/>
              <w:contextualSpacing/>
              <w:jc w:val="center"/>
              <w:rPr>
                <w:rFonts w:ascii="Times New Roman" w:hAnsi="Times New Roman" w:cs="Times New Roman"/>
                <w:b/>
                <w:sz w:val="20"/>
                <w:szCs w:val="20"/>
              </w:rPr>
            </w:pPr>
          </w:p>
        </w:tc>
      </w:tr>
    </w:tbl>
    <w:p w14:paraId="7B055965" w14:textId="77777777" w:rsidR="006C72F5" w:rsidRPr="00217059" w:rsidRDefault="006C72F5" w:rsidP="003A1FA2">
      <w:pPr>
        <w:spacing w:after="0" w:line="240" w:lineRule="auto"/>
        <w:contextualSpacing/>
        <w:jc w:val="both"/>
        <w:rPr>
          <w:rFonts w:ascii="Times New Roman" w:hAnsi="Times New Roman" w:cs="Times New Roman"/>
          <w:sz w:val="20"/>
          <w:szCs w:val="20"/>
        </w:rPr>
      </w:pPr>
      <w:r w:rsidRPr="00217059">
        <w:rPr>
          <w:rFonts w:ascii="Times New Roman" w:hAnsi="Times New Roman" w:cs="Times New Roman"/>
          <w:b/>
          <w:sz w:val="20"/>
          <w:szCs w:val="20"/>
        </w:rPr>
        <w:t xml:space="preserve">Nota: </w:t>
      </w:r>
      <w:r w:rsidRPr="00217059">
        <w:rPr>
          <w:rFonts w:ascii="Times New Roman" w:hAnsi="Times New Roman" w:cs="Times New Roman"/>
          <w:sz w:val="20"/>
          <w:szCs w:val="20"/>
        </w:rPr>
        <w:t xml:space="preserve">O símbolo × significa que todos os valores estão expressos em percentual. O símbolo + significa que os valores apresentados indicam o </w:t>
      </w:r>
      <w:r w:rsidRPr="00217059">
        <w:rPr>
          <w:rFonts w:ascii="Times New Roman" w:hAnsi="Times New Roman" w:cs="Times New Roman"/>
          <w:i/>
          <w:sz w:val="20"/>
          <w:szCs w:val="20"/>
        </w:rPr>
        <w:t>p-</w:t>
      </w:r>
      <w:proofErr w:type="spellStart"/>
      <w:r w:rsidRPr="00217059">
        <w:rPr>
          <w:rFonts w:ascii="Times New Roman" w:hAnsi="Times New Roman" w:cs="Times New Roman"/>
          <w:i/>
          <w:sz w:val="20"/>
          <w:szCs w:val="20"/>
        </w:rPr>
        <w:t>value</w:t>
      </w:r>
      <w:proofErr w:type="spellEnd"/>
      <w:r w:rsidRPr="00217059">
        <w:rPr>
          <w:rFonts w:ascii="Times New Roman" w:hAnsi="Times New Roman" w:cs="Times New Roman"/>
          <w:sz w:val="20"/>
          <w:szCs w:val="20"/>
        </w:rPr>
        <w:t xml:space="preserve"> do respectivo teste.</w:t>
      </w:r>
    </w:p>
    <w:p w14:paraId="17437367" w14:textId="77777777" w:rsidR="006C72F5" w:rsidRPr="00217059" w:rsidRDefault="006C72F5" w:rsidP="003A1FA2">
      <w:pPr>
        <w:spacing w:after="0" w:line="240" w:lineRule="auto"/>
        <w:contextualSpacing/>
        <w:jc w:val="both"/>
        <w:rPr>
          <w:rFonts w:ascii="Times New Roman" w:hAnsi="Times New Roman" w:cs="Times New Roman"/>
          <w:sz w:val="20"/>
          <w:szCs w:val="20"/>
        </w:rPr>
      </w:pPr>
      <w:r w:rsidRPr="00217059">
        <w:rPr>
          <w:rFonts w:ascii="Times New Roman" w:hAnsi="Times New Roman" w:cs="Times New Roman"/>
          <w:b/>
          <w:sz w:val="20"/>
          <w:szCs w:val="20"/>
        </w:rPr>
        <w:t>Fonte</w:t>
      </w:r>
      <w:r w:rsidRPr="00217059">
        <w:rPr>
          <w:rFonts w:ascii="Times New Roman" w:hAnsi="Times New Roman" w:cs="Times New Roman"/>
          <w:sz w:val="20"/>
          <w:szCs w:val="20"/>
        </w:rPr>
        <w:t>: Dados da Pesquisa.</w:t>
      </w:r>
    </w:p>
    <w:p w14:paraId="11AEE5B3"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p>
    <w:p w14:paraId="7DAECF1A" w14:textId="77777777" w:rsidR="005A021A" w:rsidRPr="002633D3" w:rsidRDefault="005A021A" w:rsidP="009426BA">
      <w:pPr>
        <w:spacing w:line="240" w:lineRule="auto"/>
        <w:ind w:firstLine="709"/>
        <w:contextualSpacing/>
        <w:jc w:val="both"/>
        <w:rPr>
          <w:rFonts w:ascii="Times New Roman" w:hAnsi="Times New Roman" w:cs="Times New Roman"/>
          <w:sz w:val="24"/>
          <w:szCs w:val="24"/>
        </w:rPr>
      </w:pPr>
      <w:r w:rsidRPr="002633D3">
        <w:rPr>
          <w:rFonts w:ascii="Times New Roman" w:hAnsi="Times New Roman" w:cs="Times New Roman"/>
          <w:sz w:val="24"/>
          <w:szCs w:val="24"/>
        </w:rPr>
        <w:t xml:space="preserve">O painel A avalia o fator ano eleitoral (QAM). A amostra é composta por 2 anos eleitorais, sendo os anos de 2012 e 2016. Assim, a variável QAM apresenta </w:t>
      </w:r>
      <w:r w:rsidR="00A5363B" w:rsidRPr="002633D3">
        <w:rPr>
          <w:rFonts w:ascii="Times New Roman" w:hAnsi="Times New Roman" w:cs="Times New Roman"/>
          <w:sz w:val="24"/>
          <w:szCs w:val="24"/>
        </w:rPr>
        <w:t>2032</w:t>
      </w:r>
      <w:r w:rsidRPr="002633D3">
        <w:rPr>
          <w:rFonts w:ascii="Times New Roman" w:hAnsi="Times New Roman" w:cs="Times New Roman"/>
          <w:sz w:val="24"/>
          <w:szCs w:val="24"/>
        </w:rPr>
        <w:t xml:space="preserve"> observações para anos eleitorais, e </w:t>
      </w:r>
      <w:r w:rsidR="00A5363B" w:rsidRPr="002633D3">
        <w:rPr>
          <w:rFonts w:ascii="Times New Roman" w:hAnsi="Times New Roman" w:cs="Times New Roman"/>
          <w:sz w:val="24"/>
          <w:szCs w:val="24"/>
        </w:rPr>
        <w:t>6096</w:t>
      </w:r>
      <w:r w:rsidRPr="002633D3">
        <w:rPr>
          <w:rFonts w:ascii="Times New Roman" w:hAnsi="Times New Roman" w:cs="Times New Roman"/>
          <w:sz w:val="24"/>
          <w:szCs w:val="24"/>
        </w:rPr>
        <w:t xml:space="preserve"> observações de anos não eleitorais, compreendendo os 6 anos</w:t>
      </w:r>
      <w:r w:rsidR="00A5363B" w:rsidRPr="002633D3">
        <w:rPr>
          <w:rFonts w:ascii="Times New Roman" w:hAnsi="Times New Roman" w:cs="Times New Roman"/>
          <w:sz w:val="24"/>
          <w:szCs w:val="24"/>
        </w:rPr>
        <w:t xml:space="preserve"> não eleitorais</w:t>
      </w:r>
      <w:r w:rsidRPr="002633D3">
        <w:rPr>
          <w:rFonts w:ascii="Times New Roman" w:hAnsi="Times New Roman" w:cs="Times New Roman"/>
          <w:sz w:val="24"/>
          <w:szCs w:val="24"/>
        </w:rPr>
        <w:t xml:space="preserve"> da amostra multiplicad</w:t>
      </w:r>
      <w:r w:rsidR="00A5363B" w:rsidRPr="002633D3">
        <w:rPr>
          <w:rFonts w:ascii="Times New Roman" w:hAnsi="Times New Roman" w:cs="Times New Roman"/>
          <w:sz w:val="24"/>
          <w:szCs w:val="24"/>
        </w:rPr>
        <w:t>o</w:t>
      </w:r>
      <w:r w:rsidRPr="002633D3">
        <w:rPr>
          <w:rFonts w:ascii="Times New Roman" w:hAnsi="Times New Roman" w:cs="Times New Roman"/>
          <w:sz w:val="24"/>
          <w:szCs w:val="24"/>
        </w:rPr>
        <w:t>s por 1</w:t>
      </w:r>
      <w:r w:rsidR="00A5363B" w:rsidRPr="002633D3">
        <w:rPr>
          <w:rFonts w:ascii="Times New Roman" w:hAnsi="Times New Roman" w:cs="Times New Roman"/>
          <w:sz w:val="24"/>
          <w:szCs w:val="24"/>
        </w:rPr>
        <w:t>016</w:t>
      </w:r>
      <w:r w:rsidRPr="002633D3">
        <w:rPr>
          <w:rFonts w:ascii="Times New Roman" w:hAnsi="Times New Roman" w:cs="Times New Roman"/>
          <w:sz w:val="24"/>
          <w:szCs w:val="24"/>
        </w:rPr>
        <w:t xml:space="preserve"> municípios. Observa-se que os anos eleitorais apresentam maior média de IGP</w:t>
      </w:r>
      <w:r w:rsidR="00A5363B" w:rsidRPr="002633D3">
        <w:rPr>
          <w:rFonts w:ascii="Times New Roman" w:hAnsi="Times New Roman" w:cs="Times New Roman"/>
          <w:sz w:val="24"/>
          <w:szCs w:val="24"/>
        </w:rPr>
        <w:t>, sendo essa diferença estatisticamente significativa ao nível de 1%</w:t>
      </w:r>
      <w:r w:rsidRPr="002633D3">
        <w:rPr>
          <w:rFonts w:ascii="Times New Roman" w:hAnsi="Times New Roman" w:cs="Times New Roman"/>
          <w:sz w:val="24"/>
          <w:szCs w:val="24"/>
        </w:rPr>
        <w:t>.</w:t>
      </w:r>
    </w:p>
    <w:p w14:paraId="364C18CC" w14:textId="77777777" w:rsidR="005A021A" w:rsidRPr="002633D3" w:rsidRDefault="005A021A" w:rsidP="009426BA">
      <w:pPr>
        <w:spacing w:line="240" w:lineRule="auto"/>
        <w:ind w:firstLine="709"/>
        <w:contextualSpacing/>
        <w:jc w:val="both"/>
        <w:rPr>
          <w:rFonts w:ascii="Times New Roman" w:hAnsi="Times New Roman" w:cs="Times New Roman"/>
          <w:sz w:val="24"/>
          <w:szCs w:val="24"/>
        </w:rPr>
      </w:pPr>
      <w:r w:rsidRPr="002633D3">
        <w:rPr>
          <w:rFonts w:ascii="Times New Roman" w:hAnsi="Times New Roman" w:cs="Times New Roman"/>
          <w:sz w:val="24"/>
          <w:szCs w:val="24"/>
        </w:rPr>
        <w:t xml:space="preserve">Avaliando o fator mudança de gestor, o Painel B demonstra as médias do IGP dos municípios nos quais houve mudança de prefeito no período estudado. Das </w:t>
      </w:r>
      <w:r w:rsidR="00A5363B" w:rsidRPr="002633D3">
        <w:rPr>
          <w:rFonts w:ascii="Times New Roman" w:hAnsi="Times New Roman" w:cs="Times New Roman"/>
          <w:sz w:val="24"/>
          <w:szCs w:val="24"/>
        </w:rPr>
        <w:t>8.128</w:t>
      </w:r>
      <w:r w:rsidRPr="002633D3">
        <w:rPr>
          <w:rFonts w:ascii="Times New Roman" w:hAnsi="Times New Roman" w:cs="Times New Roman"/>
          <w:sz w:val="24"/>
          <w:szCs w:val="24"/>
        </w:rPr>
        <w:t xml:space="preserve"> observações, houveram </w:t>
      </w:r>
      <w:r w:rsidR="00A5363B" w:rsidRPr="002633D3">
        <w:rPr>
          <w:rFonts w:ascii="Times New Roman" w:hAnsi="Times New Roman" w:cs="Times New Roman"/>
          <w:sz w:val="24"/>
          <w:szCs w:val="24"/>
        </w:rPr>
        <w:t>1349</w:t>
      </w:r>
      <w:r w:rsidRPr="002633D3">
        <w:rPr>
          <w:rFonts w:ascii="Times New Roman" w:hAnsi="Times New Roman" w:cs="Times New Roman"/>
          <w:sz w:val="24"/>
          <w:szCs w:val="24"/>
        </w:rPr>
        <w:t xml:space="preserve"> mudanças de prefeitos. Observa-se que nos municípios em que houve a mudança de prefeitos a média do IGP é m</w:t>
      </w:r>
      <w:r w:rsidR="00A5363B" w:rsidRPr="002633D3">
        <w:rPr>
          <w:rFonts w:ascii="Times New Roman" w:hAnsi="Times New Roman" w:cs="Times New Roman"/>
          <w:sz w:val="24"/>
          <w:szCs w:val="24"/>
        </w:rPr>
        <w:t>enor</w:t>
      </w:r>
      <w:r w:rsidRPr="002633D3">
        <w:rPr>
          <w:rFonts w:ascii="Times New Roman" w:hAnsi="Times New Roman" w:cs="Times New Roman"/>
          <w:sz w:val="24"/>
          <w:szCs w:val="24"/>
        </w:rPr>
        <w:t xml:space="preserve">. O teste de média evidencia que as médias diferem estatisticamente ao nível de </w:t>
      </w:r>
      <w:r w:rsidR="00A5363B" w:rsidRPr="002633D3">
        <w:rPr>
          <w:rFonts w:ascii="Times New Roman" w:hAnsi="Times New Roman" w:cs="Times New Roman"/>
          <w:sz w:val="24"/>
          <w:szCs w:val="24"/>
        </w:rPr>
        <w:t>1</w:t>
      </w:r>
      <w:r w:rsidRPr="002633D3">
        <w:rPr>
          <w:rFonts w:ascii="Times New Roman" w:hAnsi="Times New Roman" w:cs="Times New Roman"/>
          <w:sz w:val="24"/>
          <w:szCs w:val="24"/>
        </w:rPr>
        <w:t>%.</w:t>
      </w:r>
    </w:p>
    <w:p w14:paraId="206029CC" w14:textId="32CBFD73" w:rsidR="005A021A" w:rsidRPr="002633D3" w:rsidRDefault="005A021A" w:rsidP="009426BA">
      <w:pPr>
        <w:spacing w:line="240" w:lineRule="auto"/>
        <w:ind w:firstLine="709"/>
        <w:contextualSpacing/>
        <w:jc w:val="both"/>
        <w:rPr>
          <w:rFonts w:ascii="Times New Roman" w:hAnsi="Times New Roman" w:cs="Times New Roman"/>
          <w:sz w:val="24"/>
          <w:szCs w:val="24"/>
        </w:rPr>
      </w:pPr>
      <w:r w:rsidRPr="002633D3">
        <w:rPr>
          <w:rFonts w:ascii="Times New Roman" w:hAnsi="Times New Roman" w:cs="Times New Roman"/>
          <w:sz w:val="24"/>
          <w:szCs w:val="24"/>
        </w:rPr>
        <w:t>No Painel C são apresentadas as medias e desvio</w:t>
      </w:r>
      <w:r w:rsidR="008D2820">
        <w:rPr>
          <w:rFonts w:ascii="Times New Roman" w:hAnsi="Times New Roman" w:cs="Times New Roman"/>
          <w:sz w:val="24"/>
          <w:szCs w:val="24"/>
        </w:rPr>
        <w:t>s</w:t>
      </w:r>
      <w:r w:rsidRPr="002633D3">
        <w:rPr>
          <w:rFonts w:ascii="Times New Roman" w:hAnsi="Times New Roman" w:cs="Times New Roman"/>
          <w:sz w:val="24"/>
          <w:szCs w:val="24"/>
        </w:rPr>
        <w:t xml:space="preserve">-padrão do IGP </w:t>
      </w:r>
      <w:r w:rsidR="00A745AE">
        <w:rPr>
          <w:rFonts w:ascii="Times New Roman" w:hAnsi="Times New Roman" w:cs="Times New Roman"/>
          <w:sz w:val="24"/>
          <w:szCs w:val="24"/>
        </w:rPr>
        <w:t>dos municípios nos quais os</w:t>
      </w:r>
      <w:r w:rsidRPr="002633D3">
        <w:rPr>
          <w:rFonts w:ascii="Times New Roman" w:hAnsi="Times New Roman" w:cs="Times New Roman"/>
          <w:sz w:val="24"/>
          <w:szCs w:val="24"/>
        </w:rPr>
        <w:t xml:space="preserve"> prefeitos exerceram o primeiro e segundo mandatos eleitorais, tendo em vista uma diferenciação do comportamento dos gestores legalmente reelegíveis. Destaca-se que </w:t>
      </w:r>
      <w:r w:rsidR="002633D3" w:rsidRPr="002633D3">
        <w:rPr>
          <w:rFonts w:ascii="Times New Roman" w:hAnsi="Times New Roman" w:cs="Times New Roman"/>
          <w:sz w:val="24"/>
          <w:szCs w:val="24"/>
        </w:rPr>
        <w:t xml:space="preserve">os prefeitos que </w:t>
      </w:r>
      <w:r w:rsidRPr="002633D3">
        <w:rPr>
          <w:rFonts w:ascii="Times New Roman" w:hAnsi="Times New Roman" w:cs="Times New Roman"/>
          <w:sz w:val="24"/>
          <w:szCs w:val="24"/>
        </w:rPr>
        <w:t xml:space="preserve">estavam em primeiro mandato são representados por </w:t>
      </w:r>
      <w:r w:rsidR="002633D3" w:rsidRPr="002633D3">
        <w:rPr>
          <w:rFonts w:ascii="Times New Roman" w:hAnsi="Times New Roman" w:cs="Times New Roman"/>
          <w:sz w:val="24"/>
          <w:szCs w:val="24"/>
        </w:rPr>
        <w:t>5</w:t>
      </w:r>
      <w:r w:rsidR="00A745AE">
        <w:rPr>
          <w:rFonts w:ascii="Times New Roman" w:hAnsi="Times New Roman" w:cs="Times New Roman"/>
          <w:sz w:val="24"/>
          <w:szCs w:val="24"/>
        </w:rPr>
        <w:t>.</w:t>
      </w:r>
      <w:r w:rsidR="002633D3" w:rsidRPr="002633D3">
        <w:rPr>
          <w:rFonts w:ascii="Times New Roman" w:hAnsi="Times New Roman" w:cs="Times New Roman"/>
          <w:sz w:val="24"/>
          <w:szCs w:val="24"/>
        </w:rPr>
        <w:t>512</w:t>
      </w:r>
      <w:r w:rsidRPr="002633D3">
        <w:rPr>
          <w:rFonts w:ascii="Times New Roman" w:hAnsi="Times New Roman" w:cs="Times New Roman"/>
          <w:sz w:val="24"/>
          <w:szCs w:val="24"/>
        </w:rPr>
        <w:t xml:space="preserve"> observações, e os gestores em segundo mandato</w:t>
      </w:r>
      <w:r w:rsidR="00A745AE">
        <w:rPr>
          <w:rFonts w:ascii="Times New Roman" w:hAnsi="Times New Roman" w:cs="Times New Roman"/>
          <w:sz w:val="24"/>
          <w:szCs w:val="24"/>
        </w:rPr>
        <w:t>,</w:t>
      </w:r>
      <w:r w:rsidRPr="002633D3">
        <w:rPr>
          <w:rFonts w:ascii="Times New Roman" w:hAnsi="Times New Roman" w:cs="Times New Roman"/>
          <w:sz w:val="24"/>
          <w:szCs w:val="24"/>
        </w:rPr>
        <w:t xml:space="preserve"> </w:t>
      </w:r>
      <w:r w:rsidR="002633D3" w:rsidRPr="002633D3">
        <w:rPr>
          <w:rFonts w:ascii="Times New Roman" w:hAnsi="Times New Roman" w:cs="Times New Roman"/>
          <w:sz w:val="24"/>
          <w:szCs w:val="24"/>
        </w:rPr>
        <w:t>2</w:t>
      </w:r>
      <w:r w:rsidR="00A745AE">
        <w:rPr>
          <w:rFonts w:ascii="Times New Roman" w:hAnsi="Times New Roman" w:cs="Times New Roman"/>
          <w:sz w:val="24"/>
          <w:szCs w:val="24"/>
        </w:rPr>
        <w:t>.</w:t>
      </w:r>
      <w:r w:rsidR="002633D3" w:rsidRPr="002633D3">
        <w:rPr>
          <w:rFonts w:ascii="Times New Roman" w:hAnsi="Times New Roman" w:cs="Times New Roman"/>
          <w:sz w:val="24"/>
          <w:szCs w:val="24"/>
        </w:rPr>
        <w:t>616</w:t>
      </w:r>
      <w:r w:rsidRPr="002633D3">
        <w:rPr>
          <w:rFonts w:ascii="Times New Roman" w:hAnsi="Times New Roman" w:cs="Times New Roman"/>
          <w:sz w:val="24"/>
          <w:szCs w:val="24"/>
        </w:rPr>
        <w:t xml:space="preserve"> observações. </w:t>
      </w:r>
      <w:r w:rsidR="00A745AE">
        <w:rPr>
          <w:rFonts w:ascii="Times New Roman" w:hAnsi="Times New Roman" w:cs="Times New Roman"/>
          <w:sz w:val="24"/>
          <w:szCs w:val="24"/>
        </w:rPr>
        <w:t>Observa-se que os municípios nos quais</w:t>
      </w:r>
      <w:r w:rsidRPr="002633D3">
        <w:rPr>
          <w:rFonts w:ascii="Times New Roman" w:hAnsi="Times New Roman" w:cs="Times New Roman"/>
          <w:sz w:val="24"/>
          <w:szCs w:val="24"/>
        </w:rPr>
        <w:t xml:space="preserve"> os prefeitos </w:t>
      </w:r>
      <w:r w:rsidR="00A745AE">
        <w:rPr>
          <w:rFonts w:ascii="Times New Roman" w:hAnsi="Times New Roman" w:cs="Times New Roman"/>
          <w:sz w:val="24"/>
          <w:szCs w:val="24"/>
        </w:rPr>
        <w:t xml:space="preserve">estão </w:t>
      </w:r>
      <w:r w:rsidRPr="002633D3">
        <w:rPr>
          <w:rFonts w:ascii="Times New Roman" w:hAnsi="Times New Roman" w:cs="Times New Roman"/>
          <w:sz w:val="24"/>
          <w:szCs w:val="24"/>
        </w:rPr>
        <w:t>em primeiro mandato apresentaram médias de IGP maiores, sendo essa diferença estatisticamente significativa ao nível de 1%.</w:t>
      </w:r>
    </w:p>
    <w:p w14:paraId="243028DD" w14:textId="260C621A"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633D3">
        <w:rPr>
          <w:rFonts w:ascii="Times New Roman" w:hAnsi="Times New Roman" w:cs="Times New Roman"/>
          <w:sz w:val="24"/>
          <w:szCs w:val="24"/>
        </w:rPr>
        <w:t>No geral, as estatísticas descritivas demonstram que o IGP apresenta diferenças estatisticamente significativas entre os</w:t>
      </w:r>
      <w:r w:rsidR="002633D3" w:rsidRPr="002633D3">
        <w:rPr>
          <w:rFonts w:ascii="Times New Roman" w:hAnsi="Times New Roman" w:cs="Times New Roman"/>
          <w:sz w:val="24"/>
          <w:szCs w:val="24"/>
        </w:rPr>
        <w:t xml:space="preserve"> anos eleitorais e não eleitorais, entre os</w:t>
      </w:r>
      <w:r w:rsidRPr="002633D3">
        <w:rPr>
          <w:rFonts w:ascii="Times New Roman" w:hAnsi="Times New Roman" w:cs="Times New Roman"/>
          <w:sz w:val="24"/>
          <w:szCs w:val="24"/>
        </w:rPr>
        <w:t xml:space="preserve"> gestores em primeiro e segundo mandato, bem como entre os municípios </w:t>
      </w:r>
      <w:r w:rsidR="00C95D36">
        <w:rPr>
          <w:rFonts w:ascii="Times New Roman" w:hAnsi="Times New Roman" w:cs="Times New Roman"/>
          <w:sz w:val="24"/>
          <w:szCs w:val="24"/>
        </w:rPr>
        <w:t>onde ocorreram m</w:t>
      </w:r>
      <w:r w:rsidRPr="002633D3">
        <w:rPr>
          <w:rFonts w:ascii="Times New Roman" w:hAnsi="Times New Roman" w:cs="Times New Roman"/>
          <w:sz w:val="24"/>
          <w:szCs w:val="24"/>
        </w:rPr>
        <w:t xml:space="preserve">udanças de prefeitos e os municípios onde não </w:t>
      </w:r>
      <w:r w:rsidR="00C95D36">
        <w:rPr>
          <w:rFonts w:ascii="Times New Roman" w:hAnsi="Times New Roman" w:cs="Times New Roman"/>
          <w:sz w:val="24"/>
          <w:szCs w:val="24"/>
        </w:rPr>
        <w:t>ocorreram</w:t>
      </w:r>
      <w:r w:rsidRPr="002633D3">
        <w:rPr>
          <w:rFonts w:ascii="Times New Roman" w:hAnsi="Times New Roman" w:cs="Times New Roman"/>
          <w:sz w:val="24"/>
          <w:szCs w:val="24"/>
        </w:rPr>
        <w:t xml:space="preserve"> mudança de governantes</w:t>
      </w:r>
      <w:r w:rsidRPr="00217059">
        <w:rPr>
          <w:rFonts w:ascii="Times New Roman" w:hAnsi="Times New Roman" w:cs="Times New Roman"/>
          <w:sz w:val="24"/>
          <w:szCs w:val="24"/>
        </w:rPr>
        <w:t xml:space="preserve">. </w:t>
      </w:r>
    </w:p>
    <w:p w14:paraId="669C7123" w14:textId="77777777" w:rsidR="005A021A" w:rsidRPr="00217059" w:rsidRDefault="005A021A" w:rsidP="00B64057">
      <w:pPr>
        <w:spacing w:after="120" w:line="240" w:lineRule="auto"/>
        <w:ind w:firstLine="709"/>
        <w:jc w:val="both"/>
        <w:rPr>
          <w:rFonts w:ascii="Times New Roman" w:hAnsi="Times New Roman" w:cs="Times New Roman"/>
          <w:sz w:val="24"/>
          <w:szCs w:val="24"/>
        </w:rPr>
      </w:pPr>
    </w:p>
    <w:p w14:paraId="1AAD372A" w14:textId="77777777" w:rsidR="005A021A" w:rsidRPr="00217059" w:rsidRDefault="00B64057" w:rsidP="00B64057">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sidR="005A021A" w:rsidRPr="00217059">
        <w:rPr>
          <w:rFonts w:ascii="Times New Roman" w:hAnsi="Times New Roman" w:cs="Times New Roman"/>
          <w:b/>
          <w:sz w:val="24"/>
          <w:szCs w:val="24"/>
        </w:rPr>
        <w:t>Influência do Ano Eleitoral, da Mudança de Prefeito e do Mandato Eleitoral sobre o IGP</w:t>
      </w:r>
    </w:p>
    <w:p w14:paraId="022A0BDF"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A influência do ano eleitoral, da mudança de prefeito e do mandato eleitoral sobre o IGP é descrita pela </w:t>
      </w:r>
      <w:r w:rsidR="006C72F5" w:rsidRPr="00217059">
        <w:rPr>
          <w:rFonts w:ascii="Times New Roman" w:hAnsi="Times New Roman" w:cs="Times New Roman"/>
          <w:sz w:val="24"/>
          <w:szCs w:val="24"/>
        </w:rPr>
        <w:t>T</w:t>
      </w:r>
      <w:r w:rsidRPr="00217059">
        <w:rPr>
          <w:rFonts w:ascii="Times New Roman" w:hAnsi="Times New Roman" w:cs="Times New Roman"/>
          <w:sz w:val="24"/>
          <w:szCs w:val="24"/>
        </w:rPr>
        <w:t xml:space="preserve">abela </w:t>
      </w:r>
      <w:r w:rsidR="000B2C89">
        <w:rPr>
          <w:rFonts w:ascii="Times New Roman" w:hAnsi="Times New Roman" w:cs="Times New Roman"/>
          <w:sz w:val="24"/>
          <w:szCs w:val="24"/>
        </w:rPr>
        <w:t>3</w:t>
      </w:r>
      <w:r w:rsidRPr="00217059">
        <w:rPr>
          <w:rFonts w:ascii="Times New Roman" w:hAnsi="Times New Roman" w:cs="Times New Roman"/>
          <w:sz w:val="24"/>
          <w:szCs w:val="24"/>
        </w:rPr>
        <w:t xml:space="preserve">. Os parâmetros foram estimados por meio da Equação 1. </w:t>
      </w:r>
    </w:p>
    <w:p w14:paraId="221613AD" w14:textId="77777777" w:rsidR="005A021A" w:rsidRDefault="005A021A" w:rsidP="009426BA">
      <w:pPr>
        <w:spacing w:line="240" w:lineRule="auto"/>
        <w:ind w:firstLine="709"/>
        <w:contextualSpacing/>
        <w:jc w:val="both"/>
        <w:rPr>
          <w:rFonts w:ascii="Times New Roman" w:hAnsi="Times New Roman" w:cs="Times New Roman"/>
          <w:sz w:val="24"/>
          <w:szCs w:val="24"/>
        </w:rPr>
      </w:pPr>
    </w:p>
    <w:p w14:paraId="47CE8E6D" w14:textId="77777777" w:rsidR="004E41A6" w:rsidRDefault="004E41A6" w:rsidP="009426BA">
      <w:pPr>
        <w:spacing w:line="240" w:lineRule="auto"/>
        <w:ind w:firstLine="709"/>
        <w:contextualSpacing/>
        <w:jc w:val="both"/>
        <w:rPr>
          <w:rFonts w:ascii="Times New Roman" w:hAnsi="Times New Roman" w:cs="Times New Roman"/>
          <w:sz w:val="24"/>
          <w:szCs w:val="24"/>
        </w:rPr>
      </w:pPr>
    </w:p>
    <w:p w14:paraId="5A3ABCF8" w14:textId="77777777" w:rsidR="004E41A6" w:rsidRDefault="004E41A6" w:rsidP="009426BA">
      <w:pPr>
        <w:spacing w:line="240" w:lineRule="auto"/>
        <w:ind w:firstLine="709"/>
        <w:contextualSpacing/>
        <w:jc w:val="both"/>
        <w:rPr>
          <w:rFonts w:ascii="Times New Roman" w:hAnsi="Times New Roman" w:cs="Times New Roman"/>
          <w:sz w:val="24"/>
          <w:szCs w:val="24"/>
        </w:rPr>
      </w:pPr>
    </w:p>
    <w:p w14:paraId="1A7059FA" w14:textId="77777777" w:rsidR="004E41A6" w:rsidRPr="00217059" w:rsidRDefault="004E41A6" w:rsidP="009426BA">
      <w:pPr>
        <w:spacing w:line="240" w:lineRule="auto"/>
        <w:ind w:firstLine="709"/>
        <w:contextualSpacing/>
        <w:jc w:val="both"/>
        <w:rPr>
          <w:rFonts w:ascii="Times New Roman" w:hAnsi="Times New Roman" w:cs="Times New Roman"/>
          <w:sz w:val="24"/>
          <w:szCs w:val="24"/>
        </w:rPr>
      </w:pPr>
    </w:p>
    <w:p w14:paraId="43FD8707" w14:textId="77777777" w:rsidR="003B5097" w:rsidRPr="00B64057" w:rsidRDefault="003B5097" w:rsidP="00B64057">
      <w:pPr>
        <w:spacing w:after="0" w:line="240" w:lineRule="auto"/>
        <w:contextualSpacing/>
        <w:jc w:val="center"/>
        <w:rPr>
          <w:rFonts w:ascii="Times New Roman" w:hAnsi="Times New Roman" w:cs="Times New Roman"/>
          <w:b/>
          <w:sz w:val="20"/>
          <w:szCs w:val="24"/>
        </w:rPr>
      </w:pPr>
      <w:r w:rsidRPr="00B64057">
        <w:rPr>
          <w:rFonts w:ascii="Times New Roman" w:hAnsi="Times New Roman" w:cs="Times New Roman"/>
          <w:b/>
          <w:sz w:val="20"/>
          <w:szCs w:val="24"/>
        </w:rPr>
        <w:t xml:space="preserve">Tabela </w:t>
      </w:r>
      <w:r w:rsidR="000B2C89">
        <w:rPr>
          <w:rFonts w:ascii="Times New Roman" w:hAnsi="Times New Roman" w:cs="Times New Roman"/>
          <w:b/>
          <w:sz w:val="20"/>
          <w:szCs w:val="24"/>
        </w:rPr>
        <w:t>3</w:t>
      </w:r>
      <w:r w:rsidRPr="00B64057">
        <w:rPr>
          <w:rFonts w:ascii="Times New Roman" w:hAnsi="Times New Roman" w:cs="Times New Roman"/>
          <w:b/>
          <w:sz w:val="20"/>
          <w:szCs w:val="24"/>
        </w:rPr>
        <w:t xml:space="preserve"> – Influência do ano eleitoral, da mudança de prefeito e do mandato eleitoral sobre o IGP</w:t>
      </w:r>
    </w:p>
    <w:tbl>
      <w:tblPr>
        <w:tblW w:w="5000" w:type="pct"/>
        <w:jc w:val="center"/>
        <w:tblBorders>
          <w:top w:val="single" w:sz="4" w:space="0" w:color="auto"/>
          <w:bottom w:val="single" w:sz="4" w:space="0" w:color="auto"/>
        </w:tblBorders>
        <w:tblLook w:val="04A0" w:firstRow="1" w:lastRow="0" w:firstColumn="1" w:lastColumn="0" w:noHBand="0" w:noVBand="1"/>
      </w:tblPr>
      <w:tblGrid>
        <w:gridCol w:w="2183"/>
        <w:gridCol w:w="87"/>
        <w:gridCol w:w="1226"/>
        <w:gridCol w:w="1041"/>
        <w:gridCol w:w="552"/>
        <w:gridCol w:w="1716"/>
        <w:gridCol w:w="274"/>
        <w:gridCol w:w="1992"/>
      </w:tblGrid>
      <w:tr w:rsidR="003B5097" w:rsidRPr="00217059" w14:paraId="25F6EB03" w14:textId="77777777" w:rsidTr="00FE6CE9">
        <w:trPr>
          <w:jc w:val="center"/>
        </w:trPr>
        <w:tc>
          <w:tcPr>
            <w:tcW w:w="1203" w:type="pct"/>
            <w:tcBorders>
              <w:top w:val="single" w:sz="4" w:space="0" w:color="auto"/>
              <w:bottom w:val="single" w:sz="4" w:space="0" w:color="auto"/>
            </w:tcBorders>
            <w:shd w:val="clear" w:color="auto" w:fill="auto"/>
          </w:tcPr>
          <w:p w14:paraId="7031E458" w14:textId="77777777" w:rsidR="003B5097" w:rsidRPr="00217059" w:rsidRDefault="003B5097"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Variável Explicativa</w:t>
            </w:r>
          </w:p>
        </w:tc>
        <w:tc>
          <w:tcPr>
            <w:tcW w:w="724" w:type="pct"/>
            <w:gridSpan w:val="2"/>
            <w:tcBorders>
              <w:top w:val="single" w:sz="4" w:space="0" w:color="auto"/>
              <w:bottom w:val="single" w:sz="4" w:space="0" w:color="auto"/>
            </w:tcBorders>
            <w:shd w:val="clear" w:color="auto" w:fill="auto"/>
          </w:tcPr>
          <w:p w14:paraId="4511E4C7" w14:textId="77777777" w:rsidR="003B5097" w:rsidRPr="00217059" w:rsidRDefault="003B5097"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Coeficientes</w:t>
            </w:r>
          </w:p>
        </w:tc>
        <w:tc>
          <w:tcPr>
            <w:tcW w:w="878" w:type="pct"/>
            <w:gridSpan w:val="2"/>
            <w:tcBorders>
              <w:top w:val="single" w:sz="4" w:space="0" w:color="auto"/>
              <w:bottom w:val="single" w:sz="4" w:space="0" w:color="auto"/>
            </w:tcBorders>
            <w:shd w:val="clear" w:color="auto" w:fill="auto"/>
          </w:tcPr>
          <w:p w14:paraId="5A8273D8" w14:textId="77777777" w:rsidR="003B5097" w:rsidRPr="00217059" w:rsidRDefault="003B5097" w:rsidP="003A1FA2">
            <w:pPr>
              <w:spacing w:after="0" w:line="240" w:lineRule="auto"/>
              <w:contextualSpacing/>
              <w:jc w:val="center"/>
              <w:rPr>
                <w:rFonts w:ascii="Times New Roman" w:hAnsi="Times New Roman" w:cs="Times New Roman"/>
                <w:b/>
                <w:sz w:val="20"/>
                <w:szCs w:val="20"/>
                <w:vertAlign w:val="superscript"/>
              </w:rPr>
            </w:pPr>
            <w:r w:rsidRPr="00217059">
              <w:rPr>
                <w:rFonts w:ascii="Times New Roman" w:hAnsi="Times New Roman" w:cs="Times New Roman"/>
                <w:b/>
                <w:sz w:val="20"/>
                <w:szCs w:val="20"/>
              </w:rPr>
              <w:t>Erro Padrão</w:t>
            </w:r>
            <w:r w:rsidRPr="00217059">
              <w:rPr>
                <w:rFonts w:ascii="Times New Roman" w:hAnsi="Times New Roman" w:cs="Times New Roman"/>
                <w:sz w:val="20"/>
                <w:szCs w:val="20"/>
              </w:rPr>
              <w:t>×</w:t>
            </w:r>
          </w:p>
        </w:tc>
        <w:tc>
          <w:tcPr>
            <w:tcW w:w="1097" w:type="pct"/>
            <w:gridSpan w:val="2"/>
            <w:tcBorders>
              <w:top w:val="single" w:sz="4" w:space="0" w:color="auto"/>
              <w:bottom w:val="single" w:sz="4" w:space="0" w:color="auto"/>
            </w:tcBorders>
            <w:shd w:val="clear" w:color="auto" w:fill="auto"/>
          </w:tcPr>
          <w:p w14:paraId="59A2FF3B" w14:textId="77777777" w:rsidR="003B5097" w:rsidRPr="00217059" w:rsidRDefault="003B5097"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Estatística t</w:t>
            </w:r>
          </w:p>
        </w:tc>
        <w:tc>
          <w:tcPr>
            <w:tcW w:w="1098" w:type="pct"/>
            <w:tcBorders>
              <w:top w:val="single" w:sz="4" w:space="0" w:color="auto"/>
              <w:bottom w:val="single" w:sz="4" w:space="0" w:color="auto"/>
            </w:tcBorders>
            <w:shd w:val="clear" w:color="auto" w:fill="auto"/>
          </w:tcPr>
          <w:p w14:paraId="5D266B80" w14:textId="77777777" w:rsidR="003B5097" w:rsidRPr="00217059" w:rsidRDefault="003B5097"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P-valor</w:t>
            </w:r>
          </w:p>
        </w:tc>
      </w:tr>
      <w:tr w:rsidR="003B5097" w:rsidRPr="00217059" w14:paraId="10121763" w14:textId="77777777" w:rsidTr="00FE6CE9">
        <w:trPr>
          <w:jc w:val="center"/>
        </w:trPr>
        <w:tc>
          <w:tcPr>
            <w:tcW w:w="1203" w:type="pct"/>
            <w:tcBorders>
              <w:top w:val="single" w:sz="4" w:space="0" w:color="auto"/>
            </w:tcBorders>
            <w:shd w:val="clear" w:color="auto" w:fill="auto"/>
          </w:tcPr>
          <w:p w14:paraId="0CA29FF2" w14:textId="77777777" w:rsidR="003B5097" w:rsidRPr="00217059" w:rsidRDefault="003B5097"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Constante</w:t>
            </w:r>
          </w:p>
        </w:tc>
        <w:tc>
          <w:tcPr>
            <w:tcW w:w="724" w:type="pct"/>
            <w:gridSpan w:val="2"/>
            <w:tcBorders>
              <w:top w:val="single" w:sz="4" w:space="0" w:color="auto"/>
            </w:tcBorders>
            <w:shd w:val="clear" w:color="auto" w:fill="auto"/>
          </w:tcPr>
          <w:p w14:paraId="55DEAFD3"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-5,89209</w:t>
            </w:r>
          </w:p>
        </w:tc>
        <w:tc>
          <w:tcPr>
            <w:tcW w:w="878" w:type="pct"/>
            <w:gridSpan w:val="2"/>
            <w:tcBorders>
              <w:top w:val="single" w:sz="4" w:space="0" w:color="auto"/>
            </w:tcBorders>
            <w:shd w:val="clear" w:color="auto" w:fill="auto"/>
          </w:tcPr>
          <w:p w14:paraId="5B0C123C"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28,8283</w:t>
            </w:r>
          </w:p>
        </w:tc>
        <w:tc>
          <w:tcPr>
            <w:tcW w:w="1097" w:type="pct"/>
            <w:gridSpan w:val="2"/>
            <w:tcBorders>
              <w:top w:val="single" w:sz="4" w:space="0" w:color="auto"/>
            </w:tcBorders>
            <w:shd w:val="clear" w:color="auto" w:fill="auto"/>
          </w:tcPr>
          <w:p w14:paraId="792466CE"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-0,2044</w:t>
            </w:r>
          </w:p>
        </w:tc>
        <w:tc>
          <w:tcPr>
            <w:tcW w:w="1098" w:type="pct"/>
            <w:tcBorders>
              <w:top w:val="single" w:sz="4" w:space="0" w:color="auto"/>
            </w:tcBorders>
            <w:shd w:val="clear" w:color="auto" w:fill="auto"/>
          </w:tcPr>
          <w:p w14:paraId="0488D2F8"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0,8381</w:t>
            </w:r>
          </w:p>
        </w:tc>
      </w:tr>
      <w:tr w:rsidR="003B5097" w:rsidRPr="00217059" w14:paraId="0B177B26" w14:textId="77777777" w:rsidTr="00FE6CE9">
        <w:trPr>
          <w:jc w:val="center"/>
        </w:trPr>
        <w:tc>
          <w:tcPr>
            <w:tcW w:w="1203" w:type="pct"/>
            <w:shd w:val="clear" w:color="auto" w:fill="auto"/>
          </w:tcPr>
          <w:p w14:paraId="2117F9A6" w14:textId="77777777" w:rsidR="003B5097" w:rsidRPr="00217059" w:rsidRDefault="003B5097"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QAM</w:t>
            </w:r>
          </w:p>
        </w:tc>
        <w:tc>
          <w:tcPr>
            <w:tcW w:w="724" w:type="pct"/>
            <w:gridSpan w:val="2"/>
            <w:shd w:val="clear" w:color="auto" w:fill="auto"/>
          </w:tcPr>
          <w:p w14:paraId="2FD11020"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0,310469</w:t>
            </w:r>
          </w:p>
        </w:tc>
        <w:tc>
          <w:tcPr>
            <w:tcW w:w="878" w:type="pct"/>
            <w:gridSpan w:val="2"/>
            <w:shd w:val="clear" w:color="auto" w:fill="auto"/>
          </w:tcPr>
          <w:p w14:paraId="026465A9"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0,113240</w:t>
            </w:r>
          </w:p>
        </w:tc>
        <w:tc>
          <w:tcPr>
            <w:tcW w:w="1097" w:type="pct"/>
            <w:gridSpan w:val="2"/>
            <w:shd w:val="clear" w:color="auto" w:fill="auto"/>
          </w:tcPr>
          <w:p w14:paraId="609CA330"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2,742</w:t>
            </w:r>
          </w:p>
        </w:tc>
        <w:tc>
          <w:tcPr>
            <w:tcW w:w="1098" w:type="pct"/>
            <w:shd w:val="clear" w:color="auto" w:fill="auto"/>
          </w:tcPr>
          <w:p w14:paraId="742D5B61"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0,0062</w:t>
            </w:r>
          </w:p>
        </w:tc>
      </w:tr>
      <w:tr w:rsidR="003B5097" w:rsidRPr="00217059" w14:paraId="1D46A8C8" w14:textId="77777777" w:rsidTr="00FE6CE9">
        <w:trPr>
          <w:jc w:val="center"/>
        </w:trPr>
        <w:tc>
          <w:tcPr>
            <w:tcW w:w="1203" w:type="pct"/>
            <w:shd w:val="clear" w:color="auto" w:fill="auto"/>
          </w:tcPr>
          <w:p w14:paraId="1EDC0B4B" w14:textId="77777777" w:rsidR="003B5097" w:rsidRPr="00217059" w:rsidRDefault="003B5097"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MPM</w:t>
            </w:r>
          </w:p>
        </w:tc>
        <w:tc>
          <w:tcPr>
            <w:tcW w:w="724" w:type="pct"/>
            <w:gridSpan w:val="2"/>
            <w:shd w:val="clear" w:color="auto" w:fill="auto"/>
          </w:tcPr>
          <w:p w14:paraId="7AA9EF58"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-0,983222</w:t>
            </w:r>
          </w:p>
        </w:tc>
        <w:tc>
          <w:tcPr>
            <w:tcW w:w="878" w:type="pct"/>
            <w:gridSpan w:val="2"/>
            <w:shd w:val="clear" w:color="auto" w:fill="auto"/>
          </w:tcPr>
          <w:p w14:paraId="644FFE86"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0,130117</w:t>
            </w:r>
          </w:p>
        </w:tc>
        <w:tc>
          <w:tcPr>
            <w:tcW w:w="1097" w:type="pct"/>
            <w:gridSpan w:val="2"/>
            <w:shd w:val="clear" w:color="auto" w:fill="auto"/>
          </w:tcPr>
          <w:p w14:paraId="6BE448BF"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-7,556</w:t>
            </w:r>
          </w:p>
        </w:tc>
        <w:tc>
          <w:tcPr>
            <w:tcW w:w="1098" w:type="pct"/>
            <w:shd w:val="clear" w:color="auto" w:fill="auto"/>
          </w:tcPr>
          <w:p w14:paraId="2FC7C112"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0,0000</w:t>
            </w:r>
          </w:p>
        </w:tc>
      </w:tr>
      <w:tr w:rsidR="003B5097" w:rsidRPr="00217059" w14:paraId="6417617B" w14:textId="77777777" w:rsidTr="00FE6CE9">
        <w:trPr>
          <w:jc w:val="center"/>
        </w:trPr>
        <w:tc>
          <w:tcPr>
            <w:tcW w:w="1203" w:type="pct"/>
            <w:tcBorders>
              <w:bottom w:val="nil"/>
            </w:tcBorders>
            <w:shd w:val="clear" w:color="auto" w:fill="auto"/>
          </w:tcPr>
          <w:p w14:paraId="3AC5C0F2" w14:textId="77777777" w:rsidR="003B5097" w:rsidRPr="00217059" w:rsidRDefault="003B5097"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PME</w:t>
            </w:r>
          </w:p>
        </w:tc>
        <w:tc>
          <w:tcPr>
            <w:tcW w:w="724" w:type="pct"/>
            <w:gridSpan w:val="2"/>
            <w:tcBorders>
              <w:bottom w:val="nil"/>
            </w:tcBorders>
            <w:shd w:val="clear" w:color="auto" w:fill="auto"/>
          </w:tcPr>
          <w:p w14:paraId="4F87D7E8"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1,34654</w:t>
            </w:r>
          </w:p>
        </w:tc>
        <w:tc>
          <w:tcPr>
            <w:tcW w:w="878" w:type="pct"/>
            <w:gridSpan w:val="2"/>
            <w:tcBorders>
              <w:bottom w:val="nil"/>
            </w:tcBorders>
            <w:shd w:val="clear" w:color="auto" w:fill="auto"/>
          </w:tcPr>
          <w:p w14:paraId="2972D0E0"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0,226442</w:t>
            </w:r>
          </w:p>
        </w:tc>
        <w:tc>
          <w:tcPr>
            <w:tcW w:w="1097" w:type="pct"/>
            <w:gridSpan w:val="2"/>
            <w:tcBorders>
              <w:bottom w:val="nil"/>
            </w:tcBorders>
            <w:shd w:val="clear" w:color="auto" w:fill="auto"/>
          </w:tcPr>
          <w:p w14:paraId="34C3E2F0"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5,947</w:t>
            </w:r>
          </w:p>
        </w:tc>
        <w:tc>
          <w:tcPr>
            <w:tcW w:w="1098" w:type="pct"/>
            <w:tcBorders>
              <w:bottom w:val="nil"/>
            </w:tcBorders>
            <w:shd w:val="clear" w:color="auto" w:fill="auto"/>
          </w:tcPr>
          <w:p w14:paraId="59E5E88D"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0,0000</w:t>
            </w:r>
          </w:p>
        </w:tc>
      </w:tr>
      <w:tr w:rsidR="003B5097" w:rsidRPr="00217059" w14:paraId="261AA3B9" w14:textId="77777777" w:rsidTr="00FE6CE9">
        <w:trPr>
          <w:jc w:val="center"/>
        </w:trPr>
        <w:tc>
          <w:tcPr>
            <w:tcW w:w="1203" w:type="pct"/>
            <w:tcBorders>
              <w:top w:val="nil"/>
              <w:bottom w:val="single" w:sz="4" w:space="0" w:color="auto"/>
            </w:tcBorders>
            <w:shd w:val="clear" w:color="auto" w:fill="auto"/>
          </w:tcPr>
          <w:p w14:paraId="700399FA" w14:textId="77777777" w:rsidR="003B5097" w:rsidRPr="00217059" w:rsidRDefault="003B5097"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POP</w:t>
            </w:r>
          </w:p>
        </w:tc>
        <w:tc>
          <w:tcPr>
            <w:tcW w:w="724" w:type="pct"/>
            <w:gridSpan w:val="2"/>
            <w:tcBorders>
              <w:top w:val="nil"/>
              <w:bottom w:val="single" w:sz="4" w:space="0" w:color="auto"/>
            </w:tcBorders>
            <w:shd w:val="clear" w:color="auto" w:fill="auto"/>
          </w:tcPr>
          <w:p w14:paraId="5536F40B"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5,69517</w:t>
            </w:r>
          </w:p>
        </w:tc>
        <w:tc>
          <w:tcPr>
            <w:tcW w:w="878" w:type="pct"/>
            <w:gridSpan w:val="2"/>
            <w:tcBorders>
              <w:top w:val="nil"/>
              <w:bottom w:val="single" w:sz="4" w:space="0" w:color="auto"/>
            </w:tcBorders>
            <w:shd w:val="clear" w:color="auto" w:fill="auto"/>
          </w:tcPr>
          <w:p w14:paraId="383D3D50"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3,13357</w:t>
            </w:r>
          </w:p>
        </w:tc>
        <w:tc>
          <w:tcPr>
            <w:tcW w:w="1097" w:type="pct"/>
            <w:gridSpan w:val="2"/>
            <w:tcBorders>
              <w:top w:val="nil"/>
              <w:bottom w:val="single" w:sz="4" w:space="0" w:color="auto"/>
            </w:tcBorders>
            <w:shd w:val="clear" w:color="auto" w:fill="auto"/>
          </w:tcPr>
          <w:p w14:paraId="2065EE72"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1,817</w:t>
            </w:r>
          </w:p>
        </w:tc>
        <w:tc>
          <w:tcPr>
            <w:tcW w:w="1098" w:type="pct"/>
            <w:tcBorders>
              <w:top w:val="nil"/>
              <w:bottom w:val="single" w:sz="4" w:space="0" w:color="auto"/>
            </w:tcBorders>
            <w:shd w:val="clear" w:color="auto" w:fill="auto"/>
          </w:tcPr>
          <w:p w14:paraId="017950BA"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0,0694</w:t>
            </w:r>
          </w:p>
        </w:tc>
      </w:tr>
      <w:tr w:rsidR="003B5097" w:rsidRPr="00217059" w14:paraId="20A0F387" w14:textId="77777777" w:rsidTr="00FE6CE9">
        <w:trPr>
          <w:jc w:val="center"/>
        </w:trPr>
        <w:tc>
          <w:tcPr>
            <w:tcW w:w="1251" w:type="pct"/>
            <w:gridSpan w:val="2"/>
            <w:tcBorders>
              <w:top w:val="single" w:sz="4" w:space="0" w:color="auto"/>
              <w:bottom w:val="single" w:sz="4" w:space="0" w:color="auto"/>
            </w:tcBorders>
            <w:shd w:val="clear" w:color="auto" w:fill="auto"/>
          </w:tcPr>
          <w:p w14:paraId="6707B3DE" w14:textId="77777777" w:rsidR="003B5097" w:rsidRPr="00217059" w:rsidRDefault="003B5097"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Descrição</w:t>
            </w:r>
          </w:p>
        </w:tc>
        <w:tc>
          <w:tcPr>
            <w:tcW w:w="1250" w:type="pct"/>
            <w:gridSpan w:val="2"/>
            <w:tcBorders>
              <w:top w:val="single" w:sz="4" w:space="0" w:color="auto"/>
              <w:bottom w:val="single" w:sz="4" w:space="0" w:color="auto"/>
            </w:tcBorders>
            <w:shd w:val="clear" w:color="auto" w:fill="auto"/>
          </w:tcPr>
          <w:p w14:paraId="2D8C31D1" w14:textId="77777777" w:rsidR="003B5097" w:rsidRPr="00217059" w:rsidRDefault="003B5097"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Valor</w:t>
            </w:r>
          </w:p>
        </w:tc>
        <w:tc>
          <w:tcPr>
            <w:tcW w:w="1250" w:type="pct"/>
            <w:gridSpan w:val="2"/>
            <w:tcBorders>
              <w:top w:val="single" w:sz="4" w:space="0" w:color="auto"/>
              <w:bottom w:val="single" w:sz="4" w:space="0" w:color="auto"/>
            </w:tcBorders>
            <w:shd w:val="clear" w:color="auto" w:fill="auto"/>
          </w:tcPr>
          <w:p w14:paraId="765FD8C4" w14:textId="77777777" w:rsidR="003B5097" w:rsidRPr="00217059" w:rsidRDefault="003B5097"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Descrição</w:t>
            </w:r>
          </w:p>
        </w:tc>
        <w:tc>
          <w:tcPr>
            <w:tcW w:w="1249" w:type="pct"/>
            <w:gridSpan w:val="2"/>
            <w:tcBorders>
              <w:top w:val="single" w:sz="4" w:space="0" w:color="auto"/>
              <w:bottom w:val="single" w:sz="4" w:space="0" w:color="auto"/>
            </w:tcBorders>
            <w:shd w:val="clear" w:color="auto" w:fill="auto"/>
          </w:tcPr>
          <w:p w14:paraId="560BE019" w14:textId="77777777" w:rsidR="003B5097" w:rsidRPr="00217059" w:rsidRDefault="003B5097" w:rsidP="003A1FA2">
            <w:pPr>
              <w:spacing w:after="0" w:line="240" w:lineRule="auto"/>
              <w:contextualSpacing/>
              <w:jc w:val="center"/>
              <w:rPr>
                <w:rFonts w:ascii="Times New Roman" w:hAnsi="Times New Roman" w:cs="Times New Roman"/>
                <w:b/>
                <w:sz w:val="20"/>
                <w:szCs w:val="20"/>
              </w:rPr>
            </w:pPr>
            <w:r w:rsidRPr="00217059">
              <w:rPr>
                <w:rFonts w:ascii="Times New Roman" w:hAnsi="Times New Roman" w:cs="Times New Roman"/>
                <w:b/>
                <w:sz w:val="20"/>
                <w:szCs w:val="20"/>
              </w:rPr>
              <w:t>Valor</w:t>
            </w:r>
          </w:p>
        </w:tc>
      </w:tr>
      <w:tr w:rsidR="003B5097" w:rsidRPr="00217059" w14:paraId="08D4E63B" w14:textId="77777777" w:rsidTr="00FE6CE9">
        <w:trPr>
          <w:jc w:val="center"/>
        </w:trPr>
        <w:tc>
          <w:tcPr>
            <w:tcW w:w="1251" w:type="pct"/>
            <w:gridSpan w:val="2"/>
            <w:tcBorders>
              <w:top w:val="single" w:sz="4" w:space="0" w:color="auto"/>
              <w:bottom w:val="nil"/>
            </w:tcBorders>
            <w:shd w:val="clear" w:color="auto" w:fill="auto"/>
          </w:tcPr>
          <w:p w14:paraId="59AB50B7" w14:textId="77777777" w:rsidR="003B5097" w:rsidRPr="00217059" w:rsidRDefault="003B5097"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Teste F</w:t>
            </w:r>
          </w:p>
        </w:tc>
        <w:tc>
          <w:tcPr>
            <w:tcW w:w="1250" w:type="pct"/>
            <w:gridSpan w:val="2"/>
            <w:tcBorders>
              <w:top w:val="single" w:sz="4" w:space="0" w:color="auto"/>
              <w:bottom w:val="nil"/>
            </w:tcBorders>
            <w:shd w:val="clear" w:color="auto" w:fill="auto"/>
          </w:tcPr>
          <w:p w14:paraId="1C44720C"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23,93</w:t>
            </w:r>
          </w:p>
        </w:tc>
        <w:tc>
          <w:tcPr>
            <w:tcW w:w="1250" w:type="pct"/>
            <w:gridSpan w:val="2"/>
            <w:tcBorders>
              <w:top w:val="single" w:sz="4" w:space="0" w:color="auto"/>
              <w:bottom w:val="nil"/>
            </w:tcBorders>
            <w:shd w:val="clear" w:color="auto" w:fill="auto"/>
          </w:tcPr>
          <w:p w14:paraId="08D7E99D" w14:textId="77777777" w:rsidR="003B5097" w:rsidRPr="00217059" w:rsidRDefault="003B5097"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Teste F (p-valor)</w:t>
            </w:r>
          </w:p>
        </w:tc>
        <w:tc>
          <w:tcPr>
            <w:tcW w:w="1249" w:type="pct"/>
            <w:gridSpan w:val="2"/>
            <w:tcBorders>
              <w:top w:val="single" w:sz="4" w:space="0" w:color="auto"/>
              <w:bottom w:val="nil"/>
            </w:tcBorders>
            <w:shd w:val="clear" w:color="auto" w:fill="auto"/>
          </w:tcPr>
          <w:p w14:paraId="5E29E8CD" w14:textId="77777777" w:rsidR="003B5097" w:rsidRPr="00217059" w:rsidRDefault="003B5097"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0,000</w:t>
            </w:r>
          </w:p>
        </w:tc>
      </w:tr>
      <w:tr w:rsidR="003B5097" w:rsidRPr="00217059" w14:paraId="04A05F32" w14:textId="77777777" w:rsidTr="00FE6CE9">
        <w:trPr>
          <w:jc w:val="center"/>
        </w:trPr>
        <w:tc>
          <w:tcPr>
            <w:tcW w:w="1251" w:type="pct"/>
            <w:gridSpan w:val="2"/>
            <w:tcBorders>
              <w:top w:val="nil"/>
              <w:bottom w:val="nil"/>
            </w:tcBorders>
            <w:shd w:val="clear" w:color="auto" w:fill="auto"/>
          </w:tcPr>
          <w:p w14:paraId="6A910C2B" w14:textId="77777777" w:rsidR="003B5097" w:rsidRPr="00217059" w:rsidRDefault="003B5097" w:rsidP="003A1FA2">
            <w:pPr>
              <w:spacing w:after="0" w:line="240" w:lineRule="auto"/>
              <w:contextualSpacing/>
              <w:jc w:val="center"/>
              <w:rPr>
                <w:rFonts w:ascii="Times New Roman" w:hAnsi="Times New Roman" w:cs="Times New Roman"/>
                <w:i/>
                <w:sz w:val="20"/>
                <w:szCs w:val="20"/>
              </w:rPr>
            </w:pPr>
            <w:proofErr w:type="spellStart"/>
            <w:r w:rsidRPr="00217059">
              <w:rPr>
                <w:rFonts w:ascii="Times New Roman" w:hAnsi="Times New Roman" w:cs="Times New Roman"/>
                <w:i/>
                <w:sz w:val="20"/>
                <w:szCs w:val="20"/>
              </w:rPr>
              <w:t>Jarque</w:t>
            </w:r>
            <w:proofErr w:type="spellEnd"/>
            <w:r w:rsidRPr="00217059">
              <w:rPr>
                <w:rFonts w:ascii="Times New Roman" w:hAnsi="Times New Roman" w:cs="Times New Roman"/>
                <w:i/>
                <w:sz w:val="20"/>
                <w:szCs w:val="20"/>
              </w:rPr>
              <w:t xml:space="preserve"> –</w:t>
            </w:r>
            <w:proofErr w:type="spellStart"/>
            <w:r w:rsidRPr="00217059">
              <w:rPr>
                <w:rFonts w:ascii="Times New Roman" w:hAnsi="Times New Roman" w:cs="Times New Roman"/>
                <w:i/>
                <w:sz w:val="20"/>
                <w:szCs w:val="20"/>
              </w:rPr>
              <w:t>Bera</w:t>
            </w:r>
            <w:proofErr w:type="spellEnd"/>
          </w:p>
        </w:tc>
        <w:tc>
          <w:tcPr>
            <w:tcW w:w="1250" w:type="pct"/>
            <w:gridSpan w:val="2"/>
            <w:tcBorders>
              <w:top w:val="nil"/>
              <w:bottom w:val="nil"/>
            </w:tcBorders>
            <w:shd w:val="clear" w:color="auto" w:fill="auto"/>
          </w:tcPr>
          <w:p w14:paraId="598CCA4D" w14:textId="77777777" w:rsidR="003B5097" w:rsidRPr="00217059" w:rsidRDefault="003145A7" w:rsidP="003A1FA2">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1389</w:t>
            </w:r>
          </w:p>
        </w:tc>
        <w:tc>
          <w:tcPr>
            <w:tcW w:w="1250" w:type="pct"/>
            <w:gridSpan w:val="2"/>
            <w:tcBorders>
              <w:top w:val="nil"/>
              <w:bottom w:val="nil"/>
            </w:tcBorders>
            <w:shd w:val="clear" w:color="auto" w:fill="auto"/>
          </w:tcPr>
          <w:p w14:paraId="0939CF68" w14:textId="77777777" w:rsidR="003B5097" w:rsidRPr="00217059" w:rsidRDefault="003B5097" w:rsidP="003A1FA2">
            <w:pPr>
              <w:spacing w:after="0" w:line="240" w:lineRule="auto"/>
              <w:contextualSpacing/>
              <w:jc w:val="center"/>
              <w:rPr>
                <w:rFonts w:ascii="Times New Roman" w:hAnsi="Times New Roman" w:cs="Times New Roman"/>
                <w:i/>
                <w:sz w:val="20"/>
                <w:szCs w:val="20"/>
              </w:rPr>
            </w:pPr>
            <w:proofErr w:type="spellStart"/>
            <w:r w:rsidRPr="00217059">
              <w:rPr>
                <w:rFonts w:ascii="Times New Roman" w:hAnsi="Times New Roman" w:cs="Times New Roman"/>
                <w:i/>
                <w:sz w:val="20"/>
                <w:szCs w:val="20"/>
              </w:rPr>
              <w:t>Jarque</w:t>
            </w:r>
            <w:proofErr w:type="spellEnd"/>
            <w:r w:rsidRPr="00217059">
              <w:rPr>
                <w:rFonts w:ascii="Times New Roman" w:hAnsi="Times New Roman" w:cs="Times New Roman"/>
                <w:i/>
                <w:sz w:val="20"/>
                <w:szCs w:val="20"/>
              </w:rPr>
              <w:t xml:space="preserve"> –</w:t>
            </w:r>
            <w:proofErr w:type="spellStart"/>
            <w:r w:rsidRPr="00217059">
              <w:rPr>
                <w:rFonts w:ascii="Times New Roman" w:hAnsi="Times New Roman" w:cs="Times New Roman"/>
                <w:i/>
                <w:sz w:val="20"/>
                <w:szCs w:val="20"/>
              </w:rPr>
              <w:t>Bera</w:t>
            </w:r>
            <w:proofErr w:type="spellEnd"/>
            <w:r w:rsidRPr="00217059">
              <w:rPr>
                <w:rFonts w:ascii="Times New Roman" w:hAnsi="Times New Roman" w:cs="Times New Roman"/>
                <w:i/>
                <w:sz w:val="20"/>
                <w:szCs w:val="20"/>
              </w:rPr>
              <w:t xml:space="preserve"> </w:t>
            </w:r>
            <w:r w:rsidRPr="00217059">
              <w:rPr>
                <w:rFonts w:ascii="Times New Roman" w:hAnsi="Times New Roman" w:cs="Times New Roman"/>
                <w:sz w:val="20"/>
                <w:szCs w:val="20"/>
              </w:rPr>
              <w:t>(p-valor)</w:t>
            </w:r>
          </w:p>
        </w:tc>
        <w:tc>
          <w:tcPr>
            <w:tcW w:w="1249" w:type="pct"/>
            <w:gridSpan w:val="2"/>
            <w:tcBorders>
              <w:top w:val="nil"/>
              <w:bottom w:val="nil"/>
              <w:right w:val="nil"/>
            </w:tcBorders>
            <w:shd w:val="clear" w:color="auto" w:fill="auto"/>
          </w:tcPr>
          <w:p w14:paraId="09D67DAF" w14:textId="77777777" w:rsidR="003B5097" w:rsidRPr="00217059" w:rsidRDefault="003B5097"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0,000</w:t>
            </w:r>
          </w:p>
        </w:tc>
      </w:tr>
      <w:tr w:rsidR="003B5097" w:rsidRPr="00217059" w14:paraId="2F8F0DA0" w14:textId="77777777" w:rsidTr="00FE6CE9">
        <w:trPr>
          <w:jc w:val="center"/>
        </w:trPr>
        <w:tc>
          <w:tcPr>
            <w:tcW w:w="1251" w:type="pct"/>
            <w:gridSpan w:val="2"/>
            <w:tcBorders>
              <w:top w:val="nil"/>
              <w:bottom w:val="nil"/>
            </w:tcBorders>
            <w:shd w:val="clear" w:color="auto" w:fill="auto"/>
          </w:tcPr>
          <w:p w14:paraId="1770B29F" w14:textId="77777777" w:rsidR="003B5097" w:rsidRPr="00217059" w:rsidRDefault="003B5097" w:rsidP="003A1FA2">
            <w:pPr>
              <w:spacing w:after="0" w:line="240" w:lineRule="auto"/>
              <w:contextualSpacing/>
              <w:jc w:val="center"/>
              <w:rPr>
                <w:rFonts w:ascii="Times New Roman" w:hAnsi="Times New Roman" w:cs="Times New Roman"/>
                <w:i/>
                <w:sz w:val="20"/>
                <w:szCs w:val="20"/>
              </w:rPr>
            </w:pPr>
            <w:r w:rsidRPr="00217059">
              <w:rPr>
                <w:rFonts w:ascii="Times New Roman" w:hAnsi="Times New Roman" w:cs="Times New Roman"/>
                <w:i/>
                <w:sz w:val="20"/>
                <w:szCs w:val="20"/>
              </w:rPr>
              <w:t>Wald</w:t>
            </w:r>
          </w:p>
        </w:tc>
        <w:tc>
          <w:tcPr>
            <w:tcW w:w="1250" w:type="pct"/>
            <w:gridSpan w:val="2"/>
            <w:tcBorders>
              <w:top w:val="nil"/>
              <w:bottom w:val="nil"/>
            </w:tcBorders>
            <w:shd w:val="clear" w:color="auto" w:fill="auto"/>
          </w:tcPr>
          <w:p w14:paraId="59812CBE" w14:textId="77777777" w:rsidR="003B5097" w:rsidRPr="00217059" w:rsidRDefault="003145A7" w:rsidP="003145A7">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2</w:t>
            </w:r>
            <w:r>
              <w:rPr>
                <w:rFonts w:ascii="Times New Roman" w:hAnsi="Times New Roman" w:cs="Times New Roman"/>
                <w:sz w:val="20"/>
                <w:szCs w:val="20"/>
              </w:rPr>
              <w:t>,</w:t>
            </w:r>
            <w:r w:rsidRPr="003145A7">
              <w:rPr>
                <w:rFonts w:ascii="Times New Roman" w:hAnsi="Times New Roman" w:cs="Times New Roman"/>
                <w:sz w:val="20"/>
                <w:szCs w:val="20"/>
              </w:rPr>
              <w:t>2e+05</w:t>
            </w:r>
          </w:p>
        </w:tc>
        <w:tc>
          <w:tcPr>
            <w:tcW w:w="1250" w:type="pct"/>
            <w:gridSpan w:val="2"/>
            <w:tcBorders>
              <w:top w:val="nil"/>
              <w:bottom w:val="nil"/>
            </w:tcBorders>
            <w:shd w:val="clear" w:color="auto" w:fill="auto"/>
          </w:tcPr>
          <w:p w14:paraId="4B9E4A97" w14:textId="77777777" w:rsidR="003B5097" w:rsidRPr="00217059" w:rsidRDefault="003B5097" w:rsidP="003A1FA2">
            <w:pPr>
              <w:spacing w:after="0" w:line="240" w:lineRule="auto"/>
              <w:contextualSpacing/>
              <w:jc w:val="center"/>
              <w:rPr>
                <w:rFonts w:ascii="Times New Roman" w:hAnsi="Times New Roman" w:cs="Times New Roman"/>
                <w:i/>
                <w:sz w:val="20"/>
                <w:szCs w:val="20"/>
              </w:rPr>
            </w:pPr>
            <w:r w:rsidRPr="00217059">
              <w:rPr>
                <w:rFonts w:ascii="Times New Roman" w:hAnsi="Times New Roman" w:cs="Times New Roman"/>
                <w:i/>
                <w:sz w:val="20"/>
                <w:szCs w:val="20"/>
              </w:rPr>
              <w:t xml:space="preserve">Wald </w:t>
            </w:r>
            <w:r w:rsidRPr="00217059">
              <w:rPr>
                <w:rFonts w:ascii="Times New Roman" w:hAnsi="Times New Roman" w:cs="Times New Roman"/>
                <w:sz w:val="20"/>
                <w:szCs w:val="20"/>
              </w:rPr>
              <w:t>(p-valor)</w:t>
            </w:r>
          </w:p>
        </w:tc>
        <w:tc>
          <w:tcPr>
            <w:tcW w:w="1249" w:type="pct"/>
            <w:gridSpan w:val="2"/>
            <w:tcBorders>
              <w:top w:val="nil"/>
              <w:bottom w:val="nil"/>
              <w:right w:val="nil"/>
            </w:tcBorders>
            <w:shd w:val="clear" w:color="auto" w:fill="auto"/>
          </w:tcPr>
          <w:p w14:paraId="12A06D55" w14:textId="77777777" w:rsidR="003B5097" w:rsidRPr="00217059" w:rsidRDefault="003B5097"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0,000</w:t>
            </w:r>
          </w:p>
        </w:tc>
      </w:tr>
      <w:tr w:rsidR="003B5097" w:rsidRPr="00217059" w14:paraId="054557EC" w14:textId="77777777" w:rsidTr="00FE6CE9">
        <w:trPr>
          <w:jc w:val="center"/>
        </w:trPr>
        <w:tc>
          <w:tcPr>
            <w:tcW w:w="1251" w:type="pct"/>
            <w:gridSpan w:val="2"/>
            <w:tcBorders>
              <w:top w:val="nil"/>
              <w:bottom w:val="single" w:sz="4" w:space="0" w:color="auto"/>
            </w:tcBorders>
            <w:shd w:val="clear" w:color="auto" w:fill="auto"/>
          </w:tcPr>
          <w:p w14:paraId="1E0A925C" w14:textId="77777777" w:rsidR="003B5097" w:rsidRPr="00217059" w:rsidRDefault="003B5097" w:rsidP="003A1FA2">
            <w:pPr>
              <w:spacing w:after="0" w:line="240" w:lineRule="auto"/>
              <w:contextualSpacing/>
              <w:jc w:val="center"/>
              <w:rPr>
                <w:rFonts w:ascii="Times New Roman" w:hAnsi="Times New Roman" w:cs="Times New Roman"/>
                <w:i/>
                <w:sz w:val="20"/>
                <w:szCs w:val="20"/>
              </w:rPr>
            </w:pPr>
            <w:proofErr w:type="spellStart"/>
            <w:r w:rsidRPr="00217059">
              <w:rPr>
                <w:rFonts w:ascii="Times New Roman" w:hAnsi="Times New Roman" w:cs="Times New Roman"/>
                <w:i/>
                <w:sz w:val="20"/>
                <w:szCs w:val="20"/>
              </w:rPr>
              <w:t>Wooldridge</w:t>
            </w:r>
            <w:proofErr w:type="spellEnd"/>
          </w:p>
        </w:tc>
        <w:tc>
          <w:tcPr>
            <w:tcW w:w="1250" w:type="pct"/>
            <w:gridSpan w:val="2"/>
            <w:tcBorders>
              <w:top w:val="nil"/>
              <w:bottom w:val="single" w:sz="4" w:space="0" w:color="auto"/>
            </w:tcBorders>
            <w:shd w:val="clear" w:color="auto" w:fill="auto"/>
          </w:tcPr>
          <w:p w14:paraId="169DA818" w14:textId="77777777" w:rsidR="003B5097" w:rsidRPr="00217059" w:rsidRDefault="003145A7" w:rsidP="003145A7">
            <w:pPr>
              <w:spacing w:after="0" w:line="240" w:lineRule="auto"/>
              <w:contextualSpacing/>
              <w:jc w:val="center"/>
              <w:rPr>
                <w:rFonts w:ascii="Times New Roman" w:hAnsi="Times New Roman" w:cs="Times New Roman"/>
                <w:sz w:val="20"/>
                <w:szCs w:val="20"/>
              </w:rPr>
            </w:pPr>
            <w:r w:rsidRPr="003145A7">
              <w:rPr>
                <w:rFonts w:ascii="Times New Roman" w:hAnsi="Times New Roman" w:cs="Times New Roman"/>
                <w:sz w:val="20"/>
                <w:szCs w:val="20"/>
              </w:rPr>
              <w:t>138</w:t>
            </w:r>
            <w:r>
              <w:rPr>
                <w:rFonts w:ascii="Times New Roman" w:hAnsi="Times New Roman" w:cs="Times New Roman"/>
                <w:sz w:val="20"/>
                <w:szCs w:val="20"/>
              </w:rPr>
              <w:t>,64</w:t>
            </w:r>
          </w:p>
        </w:tc>
        <w:tc>
          <w:tcPr>
            <w:tcW w:w="1250" w:type="pct"/>
            <w:gridSpan w:val="2"/>
            <w:tcBorders>
              <w:top w:val="nil"/>
              <w:bottom w:val="single" w:sz="4" w:space="0" w:color="auto"/>
            </w:tcBorders>
            <w:shd w:val="clear" w:color="auto" w:fill="auto"/>
          </w:tcPr>
          <w:p w14:paraId="39465DF0" w14:textId="77777777" w:rsidR="003B5097" w:rsidRPr="00217059" w:rsidRDefault="003B5097" w:rsidP="003A1FA2">
            <w:pPr>
              <w:spacing w:after="0" w:line="240" w:lineRule="auto"/>
              <w:contextualSpacing/>
              <w:jc w:val="center"/>
              <w:rPr>
                <w:rFonts w:ascii="Times New Roman" w:hAnsi="Times New Roman" w:cs="Times New Roman"/>
                <w:i/>
                <w:sz w:val="20"/>
                <w:szCs w:val="20"/>
              </w:rPr>
            </w:pPr>
            <w:proofErr w:type="spellStart"/>
            <w:r w:rsidRPr="00217059">
              <w:rPr>
                <w:rFonts w:ascii="Times New Roman" w:hAnsi="Times New Roman" w:cs="Times New Roman"/>
                <w:i/>
                <w:sz w:val="20"/>
                <w:szCs w:val="20"/>
              </w:rPr>
              <w:t>Wooldridge</w:t>
            </w:r>
            <w:proofErr w:type="spellEnd"/>
            <w:r w:rsidRPr="00217059">
              <w:rPr>
                <w:rFonts w:ascii="Times New Roman" w:hAnsi="Times New Roman" w:cs="Times New Roman"/>
                <w:i/>
                <w:sz w:val="20"/>
                <w:szCs w:val="20"/>
              </w:rPr>
              <w:t xml:space="preserve"> </w:t>
            </w:r>
            <w:r w:rsidRPr="00217059">
              <w:rPr>
                <w:rFonts w:ascii="Times New Roman" w:hAnsi="Times New Roman" w:cs="Times New Roman"/>
                <w:sz w:val="20"/>
                <w:szCs w:val="20"/>
              </w:rPr>
              <w:t>(p-valor)</w:t>
            </w:r>
          </w:p>
        </w:tc>
        <w:tc>
          <w:tcPr>
            <w:tcW w:w="1249" w:type="pct"/>
            <w:gridSpan w:val="2"/>
            <w:tcBorders>
              <w:top w:val="nil"/>
              <w:bottom w:val="single" w:sz="4" w:space="0" w:color="auto"/>
              <w:right w:val="nil"/>
            </w:tcBorders>
            <w:shd w:val="clear" w:color="auto" w:fill="auto"/>
          </w:tcPr>
          <w:p w14:paraId="5B8E8306" w14:textId="77777777" w:rsidR="003B5097" w:rsidRPr="00217059" w:rsidRDefault="003B5097" w:rsidP="003A1FA2">
            <w:pPr>
              <w:spacing w:after="0" w:line="240" w:lineRule="auto"/>
              <w:contextualSpacing/>
              <w:jc w:val="center"/>
              <w:rPr>
                <w:rFonts w:ascii="Times New Roman" w:hAnsi="Times New Roman" w:cs="Times New Roman"/>
                <w:sz w:val="20"/>
                <w:szCs w:val="20"/>
              </w:rPr>
            </w:pPr>
            <w:r w:rsidRPr="00217059">
              <w:rPr>
                <w:rFonts w:ascii="Times New Roman" w:hAnsi="Times New Roman" w:cs="Times New Roman"/>
                <w:sz w:val="20"/>
                <w:szCs w:val="20"/>
              </w:rPr>
              <w:t>0,000</w:t>
            </w:r>
          </w:p>
        </w:tc>
      </w:tr>
    </w:tbl>
    <w:p w14:paraId="504AAAF0" w14:textId="77777777" w:rsidR="003B5097" w:rsidRPr="00217059" w:rsidRDefault="003B5097" w:rsidP="003A1FA2">
      <w:pPr>
        <w:spacing w:after="0" w:line="240" w:lineRule="auto"/>
        <w:contextualSpacing/>
        <w:jc w:val="both"/>
        <w:rPr>
          <w:rFonts w:ascii="Times New Roman" w:hAnsi="Times New Roman" w:cs="Times New Roman"/>
          <w:sz w:val="20"/>
          <w:szCs w:val="20"/>
        </w:rPr>
      </w:pPr>
      <w:r w:rsidRPr="00217059">
        <w:rPr>
          <w:rFonts w:ascii="Times New Roman" w:hAnsi="Times New Roman" w:cs="Times New Roman"/>
          <w:b/>
          <w:sz w:val="20"/>
          <w:szCs w:val="20"/>
        </w:rPr>
        <w:t xml:space="preserve">Nota: </w:t>
      </w:r>
      <w:r w:rsidRPr="00217059">
        <w:rPr>
          <w:rFonts w:ascii="Times New Roman" w:hAnsi="Times New Roman" w:cs="Times New Roman"/>
          <w:sz w:val="20"/>
          <w:szCs w:val="20"/>
        </w:rPr>
        <w:t xml:space="preserve">O símbolo × significa que os erros-padrão foram estimados por </w:t>
      </w:r>
      <w:r w:rsidRPr="00217059">
        <w:rPr>
          <w:rFonts w:ascii="Times New Roman" w:hAnsi="Times New Roman" w:cs="Times New Roman"/>
          <w:i/>
          <w:sz w:val="20"/>
          <w:szCs w:val="20"/>
        </w:rPr>
        <w:t>Newey-West</w:t>
      </w:r>
      <w:r w:rsidRPr="00217059">
        <w:rPr>
          <w:rFonts w:ascii="Times New Roman" w:hAnsi="Times New Roman" w:cs="Times New Roman"/>
          <w:sz w:val="20"/>
          <w:szCs w:val="20"/>
        </w:rPr>
        <w:t>. QAM = Quarto Ano de Mandato; MPM = Mudança de Prefeito do Município; PME = Primeiro Mandato Eleitoral.</w:t>
      </w:r>
    </w:p>
    <w:p w14:paraId="5B8C877C" w14:textId="77777777" w:rsidR="003B5097" w:rsidRPr="00217059" w:rsidRDefault="003B5097" w:rsidP="003A1FA2">
      <w:pPr>
        <w:spacing w:after="0" w:line="240" w:lineRule="auto"/>
        <w:contextualSpacing/>
        <w:jc w:val="both"/>
        <w:rPr>
          <w:rFonts w:ascii="Times New Roman" w:hAnsi="Times New Roman" w:cs="Times New Roman"/>
          <w:sz w:val="20"/>
          <w:szCs w:val="20"/>
        </w:rPr>
      </w:pPr>
      <w:r w:rsidRPr="00217059">
        <w:rPr>
          <w:rFonts w:ascii="Times New Roman" w:hAnsi="Times New Roman" w:cs="Times New Roman"/>
          <w:b/>
          <w:sz w:val="20"/>
          <w:szCs w:val="20"/>
        </w:rPr>
        <w:t>Fonte:</w:t>
      </w:r>
      <w:r w:rsidRPr="00217059">
        <w:rPr>
          <w:rFonts w:ascii="Times New Roman" w:hAnsi="Times New Roman" w:cs="Times New Roman"/>
          <w:sz w:val="20"/>
          <w:szCs w:val="20"/>
        </w:rPr>
        <w:t xml:space="preserve"> Dados da Pesquisa.</w:t>
      </w:r>
    </w:p>
    <w:p w14:paraId="39369922" w14:textId="77777777" w:rsidR="003B5097" w:rsidRPr="00217059" w:rsidRDefault="003B5097" w:rsidP="009426BA">
      <w:pPr>
        <w:spacing w:line="240" w:lineRule="auto"/>
        <w:ind w:firstLine="709"/>
        <w:contextualSpacing/>
        <w:jc w:val="both"/>
        <w:rPr>
          <w:rFonts w:ascii="Times New Roman" w:hAnsi="Times New Roman" w:cs="Times New Roman"/>
          <w:sz w:val="24"/>
          <w:szCs w:val="24"/>
        </w:rPr>
      </w:pPr>
    </w:p>
    <w:p w14:paraId="7E9D7534" w14:textId="1A91C2F4" w:rsidR="00FE6CE9" w:rsidRPr="00FE6CE9" w:rsidRDefault="005A021A" w:rsidP="00FE6CE9">
      <w:pPr>
        <w:spacing w:line="240" w:lineRule="auto"/>
        <w:ind w:firstLine="709"/>
        <w:contextualSpacing/>
        <w:jc w:val="both"/>
        <w:rPr>
          <w:rFonts w:ascii="Times New Roman" w:hAnsi="Times New Roman" w:cs="Times New Roman"/>
          <w:sz w:val="24"/>
          <w:szCs w:val="24"/>
        </w:rPr>
      </w:pPr>
      <w:r w:rsidRPr="00FE6CE9">
        <w:rPr>
          <w:rFonts w:ascii="Times New Roman" w:hAnsi="Times New Roman" w:cs="Times New Roman"/>
          <w:sz w:val="24"/>
          <w:szCs w:val="24"/>
        </w:rPr>
        <w:t xml:space="preserve">Verifica-se que a variável QAM apresentou significância estatística ao nível de </w:t>
      </w:r>
      <w:r w:rsidR="00A745AE">
        <w:rPr>
          <w:rFonts w:ascii="Times New Roman" w:hAnsi="Times New Roman" w:cs="Times New Roman"/>
          <w:sz w:val="24"/>
          <w:szCs w:val="24"/>
        </w:rPr>
        <w:t>1</w:t>
      </w:r>
      <w:r w:rsidRPr="00FE6CE9">
        <w:rPr>
          <w:rFonts w:ascii="Times New Roman" w:hAnsi="Times New Roman" w:cs="Times New Roman"/>
          <w:sz w:val="24"/>
          <w:szCs w:val="24"/>
        </w:rPr>
        <w:t>%</w:t>
      </w:r>
      <w:r w:rsidR="000B2C89" w:rsidRPr="00FE6CE9">
        <w:rPr>
          <w:rFonts w:ascii="Times New Roman" w:hAnsi="Times New Roman" w:cs="Times New Roman"/>
          <w:sz w:val="24"/>
          <w:szCs w:val="24"/>
        </w:rPr>
        <w:t xml:space="preserve"> com sinal positivo. Essa evidencia indica que </w:t>
      </w:r>
      <w:r w:rsidR="00024F24">
        <w:rPr>
          <w:rFonts w:ascii="Times New Roman" w:hAnsi="Times New Roman" w:cs="Times New Roman"/>
          <w:sz w:val="24"/>
          <w:szCs w:val="24"/>
        </w:rPr>
        <w:t xml:space="preserve">o </w:t>
      </w:r>
      <w:r w:rsidR="00024F24" w:rsidRPr="00024F24">
        <w:rPr>
          <w:rFonts w:ascii="Times New Roman" w:hAnsi="Times New Roman" w:cs="Times New Roman"/>
          <w:sz w:val="24"/>
          <w:szCs w:val="24"/>
        </w:rPr>
        <w:t>IGP é maior nos anos eleitorais quando comparado aos anos sem efeito eleitoral</w:t>
      </w:r>
      <w:r w:rsidRPr="00FE6CE9">
        <w:rPr>
          <w:rFonts w:ascii="Times New Roman" w:hAnsi="Times New Roman" w:cs="Times New Roman"/>
          <w:sz w:val="24"/>
          <w:szCs w:val="24"/>
        </w:rPr>
        <w:t xml:space="preserve">. </w:t>
      </w:r>
      <w:r w:rsidR="00FE6CE9" w:rsidRPr="00FE6CE9">
        <w:rPr>
          <w:rFonts w:ascii="Times New Roman" w:hAnsi="Times New Roman" w:cs="Times New Roman"/>
          <w:sz w:val="24"/>
          <w:szCs w:val="24"/>
        </w:rPr>
        <w:t xml:space="preserve">A análise do fator ano eleitoral corrobora com os achados de </w:t>
      </w:r>
      <w:proofErr w:type="spellStart"/>
      <w:r w:rsidR="00FE6CE9" w:rsidRPr="00FE6CE9">
        <w:rPr>
          <w:rFonts w:ascii="Times New Roman" w:hAnsi="Times New Roman" w:cs="Times New Roman"/>
          <w:sz w:val="24"/>
          <w:szCs w:val="24"/>
        </w:rPr>
        <w:t>Vergne</w:t>
      </w:r>
      <w:proofErr w:type="spellEnd"/>
      <w:r w:rsidR="00FE6CE9" w:rsidRPr="00FE6CE9">
        <w:rPr>
          <w:rFonts w:ascii="Times New Roman" w:hAnsi="Times New Roman" w:cs="Times New Roman"/>
          <w:sz w:val="24"/>
          <w:szCs w:val="24"/>
        </w:rPr>
        <w:t xml:space="preserve"> (2009) e </w:t>
      </w:r>
      <w:proofErr w:type="spellStart"/>
      <w:r w:rsidR="00FE6CE9" w:rsidRPr="00FE6CE9">
        <w:rPr>
          <w:rFonts w:ascii="Times New Roman" w:hAnsi="Times New Roman" w:cs="Times New Roman"/>
          <w:sz w:val="24"/>
          <w:szCs w:val="24"/>
        </w:rPr>
        <w:t>Katsimi</w:t>
      </w:r>
      <w:proofErr w:type="spellEnd"/>
      <w:r w:rsidR="00FE6CE9" w:rsidRPr="00FE6CE9">
        <w:rPr>
          <w:rFonts w:ascii="Times New Roman" w:hAnsi="Times New Roman" w:cs="Times New Roman"/>
          <w:sz w:val="24"/>
          <w:szCs w:val="24"/>
        </w:rPr>
        <w:t xml:space="preserve"> e </w:t>
      </w:r>
      <w:proofErr w:type="spellStart"/>
      <w:r w:rsidR="00FE6CE9" w:rsidRPr="00FE6CE9">
        <w:rPr>
          <w:rFonts w:ascii="Times New Roman" w:hAnsi="Times New Roman" w:cs="Times New Roman"/>
          <w:sz w:val="24"/>
          <w:szCs w:val="24"/>
        </w:rPr>
        <w:t>Sarantides</w:t>
      </w:r>
      <w:proofErr w:type="spellEnd"/>
      <w:r w:rsidR="00FE6CE9" w:rsidRPr="00FE6CE9">
        <w:rPr>
          <w:rFonts w:ascii="Times New Roman" w:hAnsi="Times New Roman" w:cs="Times New Roman"/>
          <w:sz w:val="24"/>
          <w:szCs w:val="24"/>
        </w:rPr>
        <w:t xml:space="preserve"> (2012), que evidenciaram a existência de manipulação dos gastos públicos por meio do aumento de despesas correntes no ano eleitoral. Nesse sentido, reafirma-se a visão teórica de que os políticos tendem a m</w:t>
      </w:r>
      <w:r w:rsidR="00FE6CE9">
        <w:rPr>
          <w:rFonts w:ascii="Times New Roman" w:hAnsi="Times New Roman" w:cs="Times New Roman"/>
          <w:sz w:val="24"/>
          <w:szCs w:val="24"/>
        </w:rPr>
        <w:t>odificar a</w:t>
      </w:r>
      <w:r w:rsidR="00FE6CE9" w:rsidRPr="00FE6CE9">
        <w:rPr>
          <w:rFonts w:ascii="Times New Roman" w:hAnsi="Times New Roman" w:cs="Times New Roman"/>
          <w:sz w:val="24"/>
          <w:szCs w:val="24"/>
        </w:rPr>
        <w:t xml:space="preserve">s variáveis fiscais no período eleitoral, </w:t>
      </w:r>
      <w:r w:rsidR="00A745AE">
        <w:rPr>
          <w:rFonts w:ascii="Times New Roman" w:hAnsi="Times New Roman" w:cs="Times New Roman"/>
          <w:sz w:val="24"/>
          <w:szCs w:val="24"/>
        </w:rPr>
        <w:t>validando</w:t>
      </w:r>
      <w:r w:rsidR="00FE6CE9" w:rsidRPr="00FE6CE9">
        <w:rPr>
          <w:rFonts w:ascii="Times New Roman" w:hAnsi="Times New Roman" w:cs="Times New Roman"/>
          <w:sz w:val="24"/>
          <w:szCs w:val="24"/>
        </w:rPr>
        <w:t>-se H</w:t>
      </w:r>
      <w:r w:rsidR="00FE6CE9" w:rsidRPr="00FE6CE9">
        <w:rPr>
          <w:rFonts w:ascii="Times New Roman" w:hAnsi="Times New Roman" w:cs="Times New Roman"/>
          <w:sz w:val="24"/>
          <w:szCs w:val="24"/>
          <w:vertAlign w:val="subscript"/>
        </w:rPr>
        <w:t>1</w:t>
      </w:r>
      <w:r w:rsidR="00FE6CE9" w:rsidRPr="00FE6CE9">
        <w:rPr>
          <w:rFonts w:ascii="Times New Roman" w:hAnsi="Times New Roman" w:cs="Times New Roman"/>
          <w:sz w:val="24"/>
          <w:szCs w:val="24"/>
        </w:rPr>
        <w:t xml:space="preserve">. </w:t>
      </w:r>
    </w:p>
    <w:p w14:paraId="79A65382" w14:textId="0A5E67F3" w:rsidR="0026670E" w:rsidRDefault="005A021A" w:rsidP="009426BA">
      <w:pPr>
        <w:spacing w:line="240" w:lineRule="auto"/>
        <w:ind w:firstLine="709"/>
        <w:contextualSpacing/>
        <w:jc w:val="both"/>
        <w:rPr>
          <w:rFonts w:ascii="Times New Roman" w:hAnsi="Times New Roman" w:cs="Times New Roman"/>
          <w:sz w:val="24"/>
          <w:szCs w:val="24"/>
        </w:rPr>
      </w:pPr>
      <w:r w:rsidRPr="0026670E">
        <w:rPr>
          <w:rFonts w:ascii="Times New Roman" w:hAnsi="Times New Roman" w:cs="Times New Roman"/>
          <w:sz w:val="24"/>
          <w:szCs w:val="24"/>
        </w:rPr>
        <w:t xml:space="preserve">Com relação ao fator mudança de gestor, a variável de interesse MPM </w:t>
      </w:r>
      <w:r w:rsidR="00FE6CE9" w:rsidRPr="0026670E">
        <w:rPr>
          <w:rFonts w:ascii="Times New Roman" w:hAnsi="Times New Roman" w:cs="Times New Roman"/>
          <w:sz w:val="24"/>
          <w:szCs w:val="24"/>
        </w:rPr>
        <w:t xml:space="preserve">apresentou </w:t>
      </w:r>
      <w:r w:rsidR="0026670E" w:rsidRPr="0026670E">
        <w:rPr>
          <w:rFonts w:ascii="Times New Roman" w:hAnsi="Times New Roman" w:cs="Times New Roman"/>
          <w:sz w:val="24"/>
          <w:szCs w:val="24"/>
        </w:rPr>
        <w:t xml:space="preserve">sinal negativo e </w:t>
      </w:r>
      <w:r w:rsidR="00FE6CE9" w:rsidRPr="0026670E">
        <w:rPr>
          <w:rFonts w:ascii="Times New Roman" w:hAnsi="Times New Roman" w:cs="Times New Roman"/>
          <w:sz w:val="24"/>
          <w:szCs w:val="24"/>
        </w:rPr>
        <w:t xml:space="preserve">influência </w:t>
      </w:r>
      <w:r w:rsidRPr="0026670E">
        <w:rPr>
          <w:rFonts w:ascii="Times New Roman" w:hAnsi="Times New Roman" w:cs="Times New Roman"/>
          <w:sz w:val="24"/>
          <w:szCs w:val="24"/>
        </w:rPr>
        <w:t>estat</w:t>
      </w:r>
      <w:r w:rsidR="00FE6CE9" w:rsidRPr="0026670E">
        <w:rPr>
          <w:rFonts w:ascii="Times New Roman" w:hAnsi="Times New Roman" w:cs="Times New Roman"/>
          <w:sz w:val="24"/>
          <w:szCs w:val="24"/>
        </w:rPr>
        <w:t>i</w:t>
      </w:r>
      <w:r w:rsidRPr="0026670E">
        <w:rPr>
          <w:rFonts w:ascii="Times New Roman" w:hAnsi="Times New Roman" w:cs="Times New Roman"/>
          <w:sz w:val="24"/>
          <w:szCs w:val="24"/>
        </w:rPr>
        <w:t>stica</w:t>
      </w:r>
      <w:r w:rsidR="00FE6CE9" w:rsidRPr="0026670E">
        <w:rPr>
          <w:rFonts w:ascii="Times New Roman" w:hAnsi="Times New Roman" w:cs="Times New Roman"/>
          <w:sz w:val="24"/>
          <w:szCs w:val="24"/>
        </w:rPr>
        <w:t xml:space="preserve">mente significativa </w:t>
      </w:r>
      <w:r w:rsidR="00024F24">
        <w:rPr>
          <w:rFonts w:ascii="Times New Roman" w:hAnsi="Times New Roman" w:cs="Times New Roman"/>
          <w:sz w:val="24"/>
          <w:szCs w:val="24"/>
        </w:rPr>
        <w:t>ao nível de 1%</w:t>
      </w:r>
      <w:r w:rsidR="0026670E" w:rsidRPr="0026670E">
        <w:rPr>
          <w:rFonts w:ascii="Times New Roman" w:hAnsi="Times New Roman" w:cs="Times New Roman"/>
          <w:sz w:val="24"/>
          <w:szCs w:val="24"/>
        </w:rPr>
        <w:t xml:space="preserve">. Esse resultado indica que quando ocorre mudança de prefeito, o IGP sofre uma redução </w:t>
      </w:r>
      <w:r w:rsidR="00A745AE">
        <w:rPr>
          <w:rFonts w:ascii="Times New Roman" w:hAnsi="Times New Roman" w:cs="Times New Roman"/>
          <w:sz w:val="24"/>
          <w:szCs w:val="24"/>
        </w:rPr>
        <w:t>d</w:t>
      </w:r>
      <w:r w:rsidR="0026670E" w:rsidRPr="0026670E">
        <w:rPr>
          <w:rFonts w:ascii="Times New Roman" w:hAnsi="Times New Roman" w:cs="Times New Roman"/>
          <w:sz w:val="24"/>
          <w:szCs w:val="24"/>
        </w:rPr>
        <w:t>a ordem de 0,98, mantida as demais variáveis constantes.</w:t>
      </w:r>
      <w:r w:rsidR="0026670E">
        <w:rPr>
          <w:rFonts w:ascii="Times New Roman" w:hAnsi="Times New Roman" w:cs="Times New Roman"/>
          <w:sz w:val="24"/>
          <w:szCs w:val="24"/>
        </w:rPr>
        <w:t xml:space="preserve"> Dessa forma,</w:t>
      </w:r>
      <w:r w:rsidR="0026670E" w:rsidRPr="0026670E">
        <w:rPr>
          <w:rFonts w:ascii="Times New Roman" w:hAnsi="Times New Roman" w:cs="Times New Roman"/>
          <w:sz w:val="24"/>
          <w:szCs w:val="24"/>
        </w:rPr>
        <w:t xml:space="preserve"> confirma</w:t>
      </w:r>
      <w:r w:rsidR="0026670E">
        <w:rPr>
          <w:rFonts w:ascii="Times New Roman" w:hAnsi="Times New Roman" w:cs="Times New Roman"/>
          <w:sz w:val="24"/>
          <w:szCs w:val="24"/>
        </w:rPr>
        <w:t>-se</w:t>
      </w:r>
      <w:r w:rsidR="0026670E" w:rsidRPr="0026670E">
        <w:rPr>
          <w:rFonts w:ascii="Times New Roman" w:hAnsi="Times New Roman" w:cs="Times New Roman"/>
          <w:sz w:val="24"/>
          <w:szCs w:val="24"/>
        </w:rPr>
        <w:t xml:space="preserve"> a expectativa teórica </w:t>
      </w:r>
      <w:r w:rsidR="0026670E">
        <w:rPr>
          <w:rFonts w:ascii="Times New Roman" w:hAnsi="Times New Roman" w:cs="Times New Roman"/>
          <w:sz w:val="24"/>
          <w:szCs w:val="24"/>
        </w:rPr>
        <w:t>firmada por H</w:t>
      </w:r>
      <w:r w:rsidR="0026670E" w:rsidRPr="00734539">
        <w:rPr>
          <w:rFonts w:ascii="Times New Roman" w:hAnsi="Times New Roman" w:cs="Times New Roman"/>
          <w:sz w:val="24"/>
          <w:szCs w:val="24"/>
          <w:vertAlign w:val="subscript"/>
        </w:rPr>
        <w:t>2</w:t>
      </w:r>
      <w:r w:rsidR="0026670E">
        <w:rPr>
          <w:rFonts w:ascii="Times New Roman" w:hAnsi="Times New Roman" w:cs="Times New Roman"/>
          <w:sz w:val="24"/>
          <w:szCs w:val="24"/>
        </w:rPr>
        <w:t xml:space="preserve"> </w:t>
      </w:r>
      <w:r w:rsidR="0026670E" w:rsidRPr="0026670E">
        <w:rPr>
          <w:rFonts w:ascii="Times New Roman" w:hAnsi="Times New Roman" w:cs="Times New Roman"/>
          <w:sz w:val="24"/>
          <w:szCs w:val="24"/>
        </w:rPr>
        <w:t xml:space="preserve">na medida em que fica </w:t>
      </w:r>
      <w:r w:rsidR="0026670E">
        <w:rPr>
          <w:rFonts w:ascii="Times New Roman" w:hAnsi="Times New Roman" w:cs="Times New Roman"/>
          <w:sz w:val="24"/>
          <w:szCs w:val="24"/>
        </w:rPr>
        <w:t>evidenciado que</w:t>
      </w:r>
      <w:r w:rsidR="0026670E" w:rsidRPr="0026670E">
        <w:rPr>
          <w:rFonts w:ascii="Times New Roman" w:hAnsi="Times New Roman" w:cs="Times New Roman"/>
          <w:sz w:val="24"/>
          <w:szCs w:val="24"/>
        </w:rPr>
        <w:t xml:space="preserve"> </w:t>
      </w:r>
      <w:r w:rsidR="0026670E">
        <w:rPr>
          <w:rFonts w:ascii="Times New Roman" w:hAnsi="Times New Roman" w:cs="Times New Roman"/>
          <w:sz w:val="24"/>
          <w:szCs w:val="24"/>
        </w:rPr>
        <w:t xml:space="preserve">a alternância </w:t>
      </w:r>
      <w:r w:rsidR="0026670E" w:rsidRPr="0026670E">
        <w:rPr>
          <w:rFonts w:ascii="Times New Roman" w:hAnsi="Times New Roman" w:cs="Times New Roman"/>
          <w:sz w:val="24"/>
          <w:szCs w:val="24"/>
        </w:rPr>
        <w:t>d</w:t>
      </w:r>
      <w:r w:rsidR="0026670E">
        <w:rPr>
          <w:rFonts w:ascii="Times New Roman" w:hAnsi="Times New Roman" w:cs="Times New Roman"/>
          <w:sz w:val="24"/>
          <w:szCs w:val="24"/>
        </w:rPr>
        <w:t>os gestores públicos exerce influência sobre o Índice de Gasto com Pessoal</w:t>
      </w:r>
      <w:r w:rsidR="00734539">
        <w:rPr>
          <w:rFonts w:ascii="Times New Roman" w:hAnsi="Times New Roman" w:cs="Times New Roman"/>
          <w:sz w:val="24"/>
          <w:szCs w:val="24"/>
        </w:rPr>
        <w:t xml:space="preserve">, sendo esse </w:t>
      </w:r>
      <w:r w:rsidR="0026670E">
        <w:rPr>
          <w:rFonts w:ascii="Times New Roman" w:hAnsi="Times New Roman" w:cs="Times New Roman"/>
          <w:sz w:val="24"/>
          <w:szCs w:val="24"/>
        </w:rPr>
        <w:t>efeito resultante</w:t>
      </w:r>
      <w:r w:rsidR="00734539">
        <w:rPr>
          <w:rFonts w:ascii="Times New Roman" w:hAnsi="Times New Roman" w:cs="Times New Roman"/>
          <w:sz w:val="24"/>
          <w:szCs w:val="24"/>
        </w:rPr>
        <w:t xml:space="preserve"> de diferenças n</w:t>
      </w:r>
      <w:r w:rsidR="00734539" w:rsidRPr="00734539">
        <w:rPr>
          <w:rFonts w:ascii="Times New Roman" w:hAnsi="Times New Roman" w:cs="Times New Roman"/>
          <w:sz w:val="24"/>
          <w:szCs w:val="24"/>
        </w:rPr>
        <w:t>as preferências programáticas dos atores governamentais</w:t>
      </w:r>
      <w:r w:rsidR="00734539">
        <w:rPr>
          <w:rFonts w:ascii="Times New Roman" w:hAnsi="Times New Roman" w:cs="Times New Roman"/>
          <w:sz w:val="24"/>
          <w:szCs w:val="24"/>
        </w:rPr>
        <w:t xml:space="preserve"> (</w:t>
      </w:r>
      <w:r w:rsidR="00917257" w:rsidRPr="00734539">
        <w:rPr>
          <w:rFonts w:ascii="Times New Roman" w:hAnsi="Times New Roman" w:cs="Times New Roman"/>
          <w:sz w:val="24"/>
          <w:szCs w:val="24"/>
        </w:rPr>
        <w:t>BRAUNINGER</w:t>
      </w:r>
      <w:r w:rsidR="00734539">
        <w:rPr>
          <w:rFonts w:ascii="Times New Roman" w:hAnsi="Times New Roman" w:cs="Times New Roman"/>
          <w:sz w:val="24"/>
          <w:szCs w:val="24"/>
        </w:rPr>
        <w:t xml:space="preserve">, </w:t>
      </w:r>
      <w:r w:rsidR="00734539" w:rsidRPr="00734539">
        <w:rPr>
          <w:rFonts w:ascii="Times New Roman" w:hAnsi="Times New Roman" w:cs="Times New Roman"/>
          <w:sz w:val="24"/>
          <w:szCs w:val="24"/>
        </w:rPr>
        <w:t xml:space="preserve">2005). </w:t>
      </w:r>
      <w:r w:rsidR="0026670E">
        <w:rPr>
          <w:rFonts w:ascii="Times New Roman" w:hAnsi="Times New Roman" w:cs="Times New Roman"/>
          <w:sz w:val="24"/>
          <w:szCs w:val="24"/>
        </w:rPr>
        <w:t xml:space="preserve"> </w:t>
      </w:r>
    </w:p>
    <w:p w14:paraId="7CDE99BC" w14:textId="57C8332A" w:rsidR="00734539" w:rsidRPr="00734539" w:rsidRDefault="00734539" w:rsidP="00734539">
      <w:pPr>
        <w:spacing w:line="240" w:lineRule="auto"/>
        <w:ind w:firstLine="709"/>
        <w:contextualSpacing/>
        <w:jc w:val="both"/>
        <w:rPr>
          <w:rFonts w:ascii="Times New Roman" w:hAnsi="Times New Roman" w:cs="Times New Roman"/>
          <w:sz w:val="24"/>
          <w:szCs w:val="24"/>
        </w:rPr>
      </w:pPr>
      <w:r w:rsidRPr="00734539">
        <w:rPr>
          <w:rFonts w:ascii="Times New Roman" w:hAnsi="Times New Roman" w:cs="Times New Roman"/>
          <w:sz w:val="24"/>
          <w:szCs w:val="24"/>
        </w:rPr>
        <w:t xml:space="preserve">Por fim, a variável de interesse PME apresentou influência </w:t>
      </w:r>
      <w:r w:rsidR="00A745AE">
        <w:rPr>
          <w:rFonts w:ascii="Times New Roman" w:hAnsi="Times New Roman" w:cs="Times New Roman"/>
          <w:sz w:val="24"/>
          <w:szCs w:val="24"/>
        </w:rPr>
        <w:t xml:space="preserve">significativa e positiva </w:t>
      </w:r>
      <w:r w:rsidRPr="00734539">
        <w:rPr>
          <w:rFonts w:ascii="Times New Roman" w:hAnsi="Times New Roman" w:cs="Times New Roman"/>
          <w:sz w:val="24"/>
          <w:szCs w:val="24"/>
        </w:rPr>
        <w:t>sobre o IGP</w:t>
      </w:r>
      <w:r w:rsidR="00F4670B">
        <w:rPr>
          <w:rFonts w:ascii="Times New Roman" w:hAnsi="Times New Roman" w:cs="Times New Roman"/>
          <w:sz w:val="24"/>
          <w:szCs w:val="24"/>
        </w:rPr>
        <w:t xml:space="preserve"> </w:t>
      </w:r>
      <w:r w:rsidR="00F4670B" w:rsidRPr="00734539">
        <w:rPr>
          <w:rFonts w:ascii="Times New Roman" w:hAnsi="Times New Roman" w:cs="Times New Roman"/>
          <w:sz w:val="24"/>
          <w:szCs w:val="24"/>
        </w:rPr>
        <w:t>ao nível de 1%</w:t>
      </w:r>
      <w:r w:rsidR="00F4670B">
        <w:rPr>
          <w:rFonts w:ascii="Times New Roman" w:hAnsi="Times New Roman" w:cs="Times New Roman"/>
          <w:sz w:val="24"/>
          <w:szCs w:val="24"/>
        </w:rPr>
        <w:t xml:space="preserve"> </w:t>
      </w:r>
      <w:r w:rsidR="00A745AE">
        <w:rPr>
          <w:rFonts w:ascii="Times New Roman" w:hAnsi="Times New Roman" w:cs="Times New Roman"/>
          <w:sz w:val="24"/>
          <w:szCs w:val="24"/>
        </w:rPr>
        <w:t>de significância</w:t>
      </w:r>
      <w:r w:rsidRPr="00734539">
        <w:rPr>
          <w:rFonts w:ascii="Times New Roman" w:hAnsi="Times New Roman" w:cs="Times New Roman"/>
          <w:sz w:val="24"/>
          <w:szCs w:val="24"/>
        </w:rPr>
        <w:t>. Isso significa que os prefeitos que estão em primeiro mandato apresentam maior IGP se comparados com prefeitos que estão em segundo mandato. Essa evidência corrobora com a expectativa teórica estabelecida por H</w:t>
      </w:r>
      <w:r w:rsidRPr="00734539">
        <w:rPr>
          <w:rFonts w:ascii="Times New Roman" w:hAnsi="Times New Roman" w:cs="Times New Roman"/>
          <w:sz w:val="24"/>
          <w:szCs w:val="24"/>
          <w:vertAlign w:val="subscript"/>
        </w:rPr>
        <w:t>3</w:t>
      </w:r>
      <w:r w:rsidRPr="00734539">
        <w:rPr>
          <w:rFonts w:ascii="Times New Roman" w:hAnsi="Times New Roman" w:cs="Times New Roman"/>
          <w:sz w:val="24"/>
          <w:szCs w:val="24"/>
        </w:rPr>
        <w:t xml:space="preserve">. Nesse sentido, a análise de PME corrobora com os achados de Klein e </w:t>
      </w:r>
      <w:proofErr w:type="spellStart"/>
      <w:r w:rsidRPr="00734539">
        <w:rPr>
          <w:rFonts w:ascii="Times New Roman" w:hAnsi="Times New Roman" w:cs="Times New Roman"/>
          <w:sz w:val="24"/>
          <w:szCs w:val="24"/>
        </w:rPr>
        <w:t>Sakurai</w:t>
      </w:r>
      <w:proofErr w:type="spellEnd"/>
      <w:r w:rsidRPr="00734539">
        <w:rPr>
          <w:rFonts w:ascii="Times New Roman" w:hAnsi="Times New Roman" w:cs="Times New Roman"/>
          <w:sz w:val="24"/>
          <w:szCs w:val="24"/>
        </w:rPr>
        <w:t xml:space="preserve"> (2015) e Queiroz et al. (2016), que indicaram o fator mandato eleitoral como condicionante aos ciclos políticos, verificando que na possibilidade de reeleição, os gestores públicos possuem maior tendência </w:t>
      </w:r>
      <w:r w:rsidR="00A745AE">
        <w:rPr>
          <w:rFonts w:ascii="Times New Roman" w:hAnsi="Times New Roman" w:cs="Times New Roman"/>
          <w:sz w:val="24"/>
          <w:szCs w:val="24"/>
        </w:rPr>
        <w:t>à</w:t>
      </w:r>
      <w:r w:rsidRPr="00734539">
        <w:rPr>
          <w:rFonts w:ascii="Times New Roman" w:hAnsi="Times New Roman" w:cs="Times New Roman"/>
          <w:sz w:val="24"/>
          <w:szCs w:val="24"/>
        </w:rPr>
        <w:t xml:space="preserve"> manipulação fiscal.</w:t>
      </w:r>
    </w:p>
    <w:p w14:paraId="2B44088E" w14:textId="77777777" w:rsidR="00073DEE" w:rsidRDefault="005A021A" w:rsidP="00073DEE">
      <w:pPr>
        <w:spacing w:line="240" w:lineRule="auto"/>
        <w:ind w:firstLine="709"/>
        <w:contextualSpacing/>
        <w:jc w:val="both"/>
        <w:rPr>
          <w:rFonts w:ascii="Times New Roman" w:hAnsi="Times New Roman" w:cs="Times New Roman"/>
          <w:sz w:val="24"/>
          <w:szCs w:val="24"/>
        </w:rPr>
      </w:pPr>
      <w:r w:rsidRPr="00917257">
        <w:rPr>
          <w:rFonts w:ascii="Times New Roman" w:hAnsi="Times New Roman" w:cs="Times New Roman"/>
          <w:sz w:val="24"/>
          <w:szCs w:val="24"/>
        </w:rPr>
        <w:t xml:space="preserve">A evidencias obtidas </w:t>
      </w:r>
      <w:r w:rsidR="00734539" w:rsidRPr="00917257">
        <w:rPr>
          <w:rFonts w:ascii="Times New Roman" w:hAnsi="Times New Roman" w:cs="Times New Roman"/>
          <w:sz w:val="24"/>
          <w:szCs w:val="24"/>
        </w:rPr>
        <w:t xml:space="preserve">com a análise das variáveis QAM, </w:t>
      </w:r>
      <w:r w:rsidRPr="00917257">
        <w:rPr>
          <w:rFonts w:ascii="Times New Roman" w:hAnsi="Times New Roman" w:cs="Times New Roman"/>
          <w:sz w:val="24"/>
          <w:szCs w:val="24"/>
        </w:rPr>
        <w:t xml:space="preserve">MPM </w:t>
      </w:r>
      <w:r w:rsidR="00734539" w:rsidRPr="00917257">
        <w:rPr>
          <w:rFonts w:ascii="Times New Roman" w:hAnsi="Times New Roman" w:cs="Times New Roman"/>
          <w:sz w:val="24"/>
          <w:szCs w:val="24"/>
        </w:rPr>
        <w:t xml:space="preserve">e PME evidenciam a existência </w:t>
      </w:r>
      <w:r w:rsidR="00917257" w:rsidRPr="00917257">
        <w:rPr>
          <w:rFonts w:ascii="Times New Roman" w:hAnsi="Times New Roman" w:cs="Times New Roman"/>
          <w:sz w:val="24"/>
          <w:szCs w:val="24"/>
        </w:rPr>
        <w:t>d</w:t>
      </w:r>
      <w:r w:rsidR="00734539" w:rsidRPr="00917257">
        <w:rPr>
          <w:rFonts w:ascii="Times New Roman" w:hAnsi="Times New Roman" w:cs="Times New Roman"/>
          <w:sz w:val="24"/>
          <w:szCs w:val="24"/>
        </w:rPr>
        <w:t>e indícios de manipulação política no IGP.</w:t>
      </w:r>
      <w:r w:rsidRPr="00917257">
        <w:rPr>
          <w:rFonts w:ascii="Times New Roman" w:hAnsi="Times New Roman" w:cs="Times New Roman"/>
          <w:sz w:val="24"/>
          <w:szCs w:val="24"/>
        </w:rPr>
        <w:t xml:space="preserve"> </w:t>
      </w:r>
      <w:r w:rsidR="00917257" w:rsidRPr="00917257">
        <w:rPr>
          <w:rFonts w:ascii="Times New Roman" w:hAnsi="Times New Roman" w:cs="Times New Roman"/>
          <w:sz w:val="24"/>
          <w:szCs w:val="24"/>
        </w:rPr>
        <w:t>R</w:t>
      </w:r>
      <w:r w:rsidR="00734539" w:rsidRPr="00917257">
        <w:rPr>
          <w:rFonts w:ascii="Times New Roman" w:hAnsi="Times New Roman" w:cs="Times New Roman"/>
          <w:sz w:val="24"/>
          <w:szCs w:val="24"/>
        </w:rPr>
        <w:t>essalta-se que</w:t>
      </w:r>
      <w:r w:rsidRPr="00917257">
        <w:rPr>
          <w:rFonts w:ascii="Times New Roman" w:hAnsi="Times New Roman" w:cs="Times New Roman"/>
          <w:sz w:val="24"/>
          <w:szCs w:val="24"/>
        </w:rPr>
        <w:t xml:space="preserve"> essa pesquisa leva em consideração o fator da normatização fiscal vigente como um fator determinante aos ciclos político-orçamentários. </w:t>
      </w:r>
      <w:r w:rsidR="00917257" w:rsidRPr="00917257">
        <w:rPr>
          <w:rFonts w:ascii="Times New Roman" w:hAnsi="Times New Roman" w:cs="Times New Roman"/>
          <w:sz w:val="24"/>
          <w:szCs w:val="24"/>
        </w:rPr>
        <w:t xml:space="preserve">Dessa forma, apesar da literatura que </w:t>
      </w:r>
      <w:r w:rsidRPr="00917257">
        <w:rPr>
          <w:rFonts w:ascii="Times New Roman" w:hAnsi="Times New Roman" w:cs="Times New Roman"/>
          <w:sz w:val="24"/>
          <w:szCs w:val="24"/>
        </w:rPr>
        <w:t xml:space="preserve">indica que </w:t>
      </w:r>
      <w:r w:rsidR="00734539" w:rsidRPr="00917257">
        <w:rPr>
          <w:rFonts w:ascii="Times New Roman" w:hAnsi="Times New Roman" w:cs="Times New Roman"/>
          <w:sz w:val="24"/>
          <w:szCs w:val="24"/>
        </w:rPr>
        <w:t xml:space="preserve">a </w:t>
      </w:r>
      <w:r w:rsidR="00917257" w:rsidRPr="00917257">
        <w:rPr>
          <w:rFonts w:ascii="Times New Roman" w:hAnsi="Times New Roman" w:cs="Times New Roman"/>
          <w:sz w:val="24"/>
          <w:szCs w:val="24"/>
        </w:rPr>
        <w:t>existência</w:t>
      </w:r>
      <w:r w:rsidR="00734539" w:rsidRPr="00917257">
        <w:rPr>
          <w:rFonts w:ascii="Times New Roman" w:hAnsi="Times New Roman" w:cs="Times New Roman"/>
          <w:sz w:val="24"/>
          <w:szCs w:val="24"/>
        </w:rPr>
        <w:t xml:space="preserve"> de limitações fiscais pode amenizar o comportamento oportunista dos políticos</w:t>
      </w:r>
      <w:r w:rsidR="008B32CF">
        <w:rPr>
          <w:rFonts w:ascii="Times New Roman" w:hAnsi="Times New Roman" w:cs="Times New Roman"/>
          <w:sz w:val="24"/>
          <w:szCs w:val="24"/>
        </w:rPr>
        <w:t xml:space="preserve"> (ROSE, 2006)</w:t>
      </w:r>
      <w:r w:rsidR="00734539" w:rsidRPr="00917257">
        <w:rPr>
          <w:rFonts w:ascii="Times New Roman" w:hAnsi="Times New Roman" w:cs="Times New Roman"/>
          <w:sz w:val="24"/>
          <w:szCs w:val="24"/>
        </w:rPr>
        <w:t xml:space="preserve">, </w:t>
      </w:r>
      <w:r w:rsidR="00917257" w:rsidRPr="00917257">
        <w:rPr>
          <w:rFonts w:ascii="Times New Roman" w:hAnsi="Times New Roman" w:cs="Times New Roman"/>
          <w:sz w:val="24"/>
          <w:szCs w:val="24"/>
        </w:rPr>
        <w:t>essa pesquisa evidencia que no contexto brasileiro a presença de regras fiscais não é suficiente para conter os ciclos político-orçament</w:t>
      </w:r>
      <w:r w:rsidR="008C0265">
        <w:rPr>
          <w:rFonts w:ascii="Times New Roman" w:hAnsi="Times New Roman" w:cs="Times New Roman"/>
          <w:sz w:val="24"/>
          <w:szCs w:val="24"/>
        </w:rPr>
        <w:t>ários</w:t>
      </w:r>
      <w:r w:rsidR="00024F24">
        <w:rPr>
          <w:rFonts w:ascii="Times New Roman" w:hAnsi="Times New Roman" w:cs="Times New Roman"/>
          <w:sz w:val="24"/>
          <w:szCs w:val="24"/>
        </w:rPr>
        <w:t xml:space="preserve"> na despesa com pessoal</w:t>
      </w:r>
      <w:r w:rsidR="008C0265">
        <w:rPr>
          <w:rFonts w:ascii="Times New Roman" w:hAnsi="Times New Roman" w:cs="Times New Roman"/>
          <w:sz w:val="24"/>
          <w:szCs w:val="24"/>
        </w:rPr>
        <w:t xml:space="preserve">. </w:t>
      </w:r>
    </w:p>
    <w:p w14:paraId="2DCB49FE" w14:textId="30CC191C" w:rsidR="005A021A" w:rsidRPr="00217059" w:rsidRDefault="005A021A" w:rsidP="00073DEE">
      <w:pPr>
        <w:spacing w:line="240" w:lineRule="auto"/>
        <w:ind w:firstLine="709"/>
        <w:contextualSpacing/>
        <w:jc w:val="both"/>
        <w:rPr>
          <w:rFonts w:ascii="Times New Roman" w:hAnsi="Times New Roman" w:cs="Times New Roman"/>
          <w:sz w:val="24"/>
          <w:szCs w:val="24"/>
        </w:rPr>
      </w:pPr>
      <w:r w:rsidRPr="00917257">
        <w:rPr>
          <w:rFonts w:ascii="Times New Roman" w:hAnsi="Times New Roman" w:cs="Times New Roman"/>
          <w:sz w:val="24"/>
          <w:szCs w:val="24"/>
        </w:rPr>
        <w:t>A variável de controle POP também apresentou significância estatística positiva ao nível de 1</w:t>
      </w:r>
      <w:r w:rsidR="00917257">
        <w:rPr>
          <w:rFonts w:ascii="Times New Roman" w:hAnsi="Times New Roman" w:cs="Times New Roman"/>
          <w:sz w:val="24"/>
          <w:szCs w:val="24"/>
        </w:rPr>
        <w:t>0</w:t>
      </w:r>
      <w:r w:rsidRPr="00917257">
        <w:rPr>
          <w:rFonts w:ascii="Times New Roman" w:hAnsi="Times New Roman" w:cs="Times New Roman"/>
          <w:sz w:val="24"/>
          <w:szCs w:val="24"/>
        </w:rPr>
        <w:t xml:space="preserve">%. Nesse sentido, quanto maior a população dos municípios </w:t>
      </w:r>
      <w:r w:rsidR="006C451A">
        <w:rPr>
          <w:rFonts w:ascii="Times New Roman" w:hAnsi="Times New Roman" w:cs="Times New Roman"/>
          <w:sz w:val="24"/>
          <w:szCs w:val="24"/>
        </w:rPr>
        <w:t>brasileiros</w:t>
      </w:r>
      <w:r w:rsidRPr="00917257">
        <w:rPr>
          <w:rFonts w:ascii="Times New Roman" w:hAnsi="Times New Roman" w:cs="Times New Roman"/>
          <w:sz w:val="24"/>
          <w:szCs w:val="24"/>
        </w:rPr>
        <w:t xml:space="preserve"> maior o IGP.</w:t>
      </w:r>
      <w:r w:rsidR="00073DEE">
        <w:rPr>
          <w:rFonts w:ascii="Times New Roman" w:hAnsi="Times New Roman" w:cs="Times New Roman"/>
          <w:sz w:val="24"/>
          <w:szCs w:val="24"/>
        </w:rPr>
        <w:t xml:space="preserve"> </w:t>
      </w:r>
      <w:r w:rsidRPr="00917257">
        <w:rPr>
          <w:rFonts w:ascii="Times New Roman" w:hAnsi="Times New Roman" w:cs="Times New Roman"/>
          <w:sz w:val="24"/>
          <w:szCs w:val="24"/>
        </w:rPr>
        <w:t>O teste F revela que o modelo apresenta significância estatística ao nível de 1%, rejeitando-se a hipótese nula de que todos os coeficientes estimados são iguais a zero. O R</w:t>
      </w:r>
      <w:r w:rsidRPr="00917257">
        <w:rPr>
          <w:rFonts w:ascii="Times New Roman" w:hAnsi="Times New Roman" w:cs="Times New Roman"/>
          <w:sz w:val="24"/>
          <w:szCs w:val="24"/>
          <w:vertAlign w:val="subscript"/>
        </w:rPr>
        <w:t>2</w:t>
      </w:r>
      <w:r w:rsidRPr="00917257">
        <w:rPr>
          <w:rFonts w:ascii="Times New Roman" w:hAnsi="Times New Roman" w:cs="Times New Roman"/>
          <w:sz w:val="24"/>
          <w:szCs w:val="24"/>
        </w:rPr>
        <w:t xml:space="preserve"> </w:t>
      </w:r>
      <w:proofErr w:type="spellStart"/>
      <w:r w:rsidRPr="00917257">
        <w:rPr>
          <w:rFonts w:ascii="Times New Roman" w:hAnsi="Times New Roman" w:cs="Times New Roman"/>
          <w:i/>
          <w:sz w:val="24"/>
          <w:szCs w:val="24"/>
        </w:rPr>
        <w:t>within</w:t>
      </w:r>
      <w:proofErr w:type="spellEnd"/>
      <w:r w:rsidRPr="00917257">
        <w:rPr>
          <w:rFonts w:ascii="Times New Roman" w:hAnsi="Times New Roman" w:cs="Times New Roman"/>
          <w:i/>
          <w:sz w:val="24"/>
          <w:szCs w:val="24"/>
        </w:rPr>
        <w:t xml:space="preserve"> </w:t>
      </w:r>
      <w:r w:rsidRPr="00917257">
        <w:rPr>
          <w:rFonts w:ascii="Times New Roman" w:hAnsi="Times New Roman" w:cs="Times New Roman"/>
          <w:sz w:val="24"/>
          <w:szCs w:val="24"/>
        </w:rPr>
        <w:t xml:space="preserve">verificou que as variáveis analisadas explicam apenas </w:t>
      </w:r>
      <w:r w:rsidR="00917257" w:rsidRPr="00917257">
        <w:rPr>
          <w:rFonts w:ascii="Times New Roman" w:hAnsi="Times New Roman" w:cs="Times New Roman"/>
          <w:sz w:val="24"/>
          <w:szCs w:val="24"/>
        </w:rPr>
        <w:t>2</w:t>
      </w:r>
      <w:r w:rsidRPr="00917257">
        <w:rPr>
          <w:rFonts w:ascii="Times New Roman" w:hAnsi="Times New Roman" w:cs="Times New Roman"/>
          <w:sz w:val="24"/>
          <w:szCs w:val="24"/>
        </w:rPr>
        <w:t>,</w:t>
      </w:r>
      <w:r w:rsidR="00917257" w:rsidRPr="00917257">
        <w:rPr>
          <w:rFonts w:ascii="Times New Roman" w:hAnsi="Times New Roman" w:cs="Times New Roman"/>
          <w:sz w:val="24"/>
          <w:szCs w:val="24"/>
        </w:rPr>
        <w:t>96</w:t>
      </w:r>
      <w:r w:rsidRPr="00917257">
        <w:rPr>
          <w:rFonts w:ascii="Times New Roman" w:hAnsi="Times New Roman" w:cs="Times New Roman"/>
          <w:sz w:val="24"/>
          <w:szCs w:val="24"/>
        </w:rPr>
        <w:t xml:space="preserve">% da variação do IGP. A análise do pressuposto da ausência de </w:t>
      </w:r>
      <w:proofErr w:type="spellStart"/>
      <w:r w:rsidRPr="00917257">
        <w:rPr>
          <w:rFonts w:ascii="Times New Roman" w:hAnsi="Times New Roman" w:cs="Times New Roman"/>
          <w:sz w:val="24"/>
          <w:szCs w:val="24"/>
        </w:rPr>
        <w:t>multicolinearidade</w:t>
      </w:r>
      <w:proofErr w:type="spellEnd"/>
      <w:r w:rsidRPr="00917257">
        <w:rPr>
          <w:rFonts w:ascii="Times New Roman" w:hAnsi="Times New Roman" w:cs="Times New Roman"/>
          <w:sz w:val="24"/>
          <w:szCs w:val="24"/>
        </w:rPr>
        <w:t xml:space="preserve"> foi determinado pele teste </w:t>
      </w:r>
      <w:proofErr w:type="spellStart"/>
      <w:r w:rsidR="003B5097" w:rsidRPr="00917257">
        <w:rPr>
          <w:rFonts w:ascii="Times New Roman" w:hAnsi="Times New Roman" w:cs="Times New Roman"/>
          <w:i/>
          <w:sz w:val="24"/>
          <w:szCs w:val="24"/>
        </w:rPr>
        <w:t>Variance</w:t>
      </w:r>
      <w:proofErr w:type="spellEnd"/>
      <w:r w:rsidR="003B5097" w:rsidRPr="00917257">
        <w:rPr>
          <w:rFonts w:ascii="Times New Roman" w:hAnsi="Times New Roman" w:cs="Times New Roman"/>
          <w:i/>
          <w:sz w:val="24"/>
          <w:szCs w:val="24"/>
        </w:rPr>
        <w:t xml:space="preserve"> </w:t>
      </w:r>
      <w:proofErr w:type="spellStart"/>
      <w:r w:rsidR="003B5097" w:rsidRPr="00917257">
        <w:rPr>
          <w:rFonts w:ascii="Times New Roman" w:hAnsi="Times New Roman" w:cs="Times New Roman"/>
          <w:i/>
          <w:sz w:val="24"/>
          <w:szCs w:val="24"/>
        </w:rPr>
        <w:t>Inflation</w:t>
      </w:r>
      <w:proofErr w:type="spellEnd"/>
      <w:r w:rsidR="003B5097" w:rsidRPr="00917257">
        <w:rPr>
          <w:rFonts w:ascii="Times New Roman" w:hAnsi="Times New Roman" w:cs="Times New Roman"/>
          <w:i/>
          <w:sz w:val="24"/>
          <w:szCs w:val="24"/>
        </w:rPr>
        <w:t xml:space="preserve"> </w:t>
      </w:r>
      <w:proofErr w:type="spellStart"/>
      <w:r w:rsidR="003B5097" w:rsidRPr="00917257">
        <w:rPr>
          <w:rFonts w:ascii="Times New Roman" w:hAnsi="Times New Roman" w:cs="Times New Roman"/>
          <w:i/>
          <w:sz w:val="24"/>
          <w:szCs w:val="24"/>
        </w:rPr>
        <w:lastRenderedPageBreak/>
        <w:t>Factor</w:t>
      </w:r>
      <w:proofErr w:type="spellEnd"/>
      <w:r w:rsidRPr="00917257">
        <w:rPr>
          <w:rFonts w:ascii="Times New Roman" w:hAnsi="Times New Roman" w:cs="Times New Roman"/>
          <w:sz w:val="24"/>
          <w:szCs w:val="24"/>
        </w:rPr>
        <w:t xml:space="preserve"> (</w:t>
      </w:r>
      <w:r w:rsidR="003B5097" w:rsidRPr="00917257">
        <w:rPr>
          <w:rFonts w:ascii="Times New Roman" w:hAnsi="Times New Roman" w:cs="Times New Roman"/>
          <w:sz w:val="24"/>
          <w:szCs w:val="24"/>
        </w:rPr>
        <w:t>VIF)</w:t>
      </w:r>
      <w:r w:rsidRPr="00917257">
        <w:rPr>
          <w:rFonts w:ascii="Times New Roman" w:hAnsi="Times New Roman" w:cs="Times New Roman"/>
          <w:sz w:val="24"/>
          <w:szCs w:val="24"/>
        </w:rPr>
        <w:t xml:space="preserve">. Os testes de </w:t>
      </w:r>
      <w:r w:rsidRPr="00917257">
        <w:rPr>
          <w:rFonts w:ascii="Times New Roman" w:hAnsi="Times New Roman" w:cs="Times New Roman"/>
          <w:i/>
          <w:sz w:val="24"/>
          <w:szCs w:val="24"/>
        </w:rPr>
        <w:t>Wald</w:t>
      </w:r>
      <w:r w:rsidRPr="00917257">
        <w:rPr>
          <w:rFonts w:ascii="Times New Roman" w:hAnsi="Times New Roman" w:cs="Times New Roman"/>
          <w:sz w:val="24"/>
          <w:szCs w:val="24"/>
        </w:rPr>
        <w:t xml:space="preserve"> e </w:t>
      </w:r>
      <w:proofErr w:type="spellStart"/>
      <w:r w:rsidRPr="00917257">
        <w:rPr>
          <w:rFonts w:ascii="Times New Roman" w:hAnsi="Times New Roman" w:cs="Times New Roman"/>
          <w:i/>
          <w:sz w:val="24"/>
          <w:szCs w:val="24"/>
        </w:rPr>
        <w:t>Wooldridge</w:t>
      </w:r>
      <w:proofErr w:type="spellEnd"/>
      <w:r w:rsidRPr="00917257">
        <w:rPr>
          <w:rFonts w:ascii="Times New Roman" w:hAnsi="Times New Roman" w:cs="Times New Roman"/>
          <w:sz w:val="24"/>
          <w:szCs w:val="24"/>
        </w:rPr>
        <w:t xml:space="preserve"> rejeitaram as hipóteses nulas de ausência </w:t>
      </w:r>
      <w:proofErr w:type="spellStart"/>
      <w:r w:rsidRPr="00917257">
        <w:rPr>
          <w:rFonts w:ascii="Times New Roman" w:hAnsi="Times New Roman" w:cs="Times New Roman"/>
          <w:sz w:val="24"/>
          <w:szCs w:val="24"/>
        </w:rPr>
        <w:t>heterocedasticidade</w:t>
      </w:r>
      <w:proofErr w:type="spellEnd"/>
      <w:r w:rsidRPr="00917257">
        <w:rPr>
          <w:rFonts w:ascii="Times New Roman" w:hAnsi="Times New Roman" w:cs="Times New Roman"/>
          <w:sz w:val="24"/>
          <w:szCs w:val="24"/>
        </w:rPr>
        <w:t xml:space="preserve"> e ausência de </w:t>
      </w:r>
      <w:proofErr w:type="spellStart"/>
      <w:r w:rsidRPr="00917257">
        <w:rPr>
          <w:rFonts w:ascii="Times New Roman" w:hAnsi="Times New Roman" w:cs="Times New Roman"/>
          <w:sz w:val="24"/>
          <w:szCs w:val="24"/>
        </w:rPr>
        <w:t>autocorrelação</w:t>
      </w:r>
      <w:proofErr w:type="spellEnd"/>
      <w:r w:rsidRPr="00917257">
        <w:rPr>
          <w:rFonts w:ascii="Times New Roman" w:hAnsi="Times New Roman" w:cs="Times New Roman"/>
          <w:sz w:val="24"/>
          <w:szCs w:val="24"/>
        </w:rPr>
        <w:t xml:space="preserve">, respectivamente, no modelo elaborado. Para corrigir esse problema, utilizou-se os erros-padrão robustos de </w:t>
      </w:r>
      <w:r w:rsidRPr="00917257">
        <w:rPr>
          <w:rFonts w:ascii="Times New Roman" w:hAnsi="Times New Roman" w:cs="Times New Roman"/>
          <w:i/>
          <w:sz w:val="24"/>
          <w:szCs w:val="24"/>
        </w:rPr>
        <w:t>Newey-West</w:t>
      </w:r>
      <w:r w:rsidRPr="00917257">
        <w:rPr>
          <w:rFonts w:ascii="Times New Roman" w:hAnsi="Times New Roman" w:cs="Times New Roman"/>
          <w:sz w:val="24"/>
          <w:szCs w:val="24"/>
        </w:rPr>
        <w:t xml:space="preserve">. Por fim, o teste </w:t>
      </w:r>
      <w:proofErr w:type="spellStart"/>
      <w:r w:rsidRPr="00917257">
        <w:rPr>
          <w:rFonts w:ascii="Times New Roman" w:hAnsi="Times New Roman" w:cs="Times New Roman"/>
          <w:i/>
          <w:sz w:val="24"/>
          <w:szCs w:val="24"/>
        </w:rPr>
        <w:t>Jarque</w:t>
      </w:r>
      <w:proofErr w:type="spellEnd"/>
      <w:r w:rsidRPr="00917257">
        <w:rPr>
          <w:rFonts w:ascii="Times New Roman" w:hAnsi="Times New Roman" w:cs="Times New Roman"/>
          <w:i/>
          <w:sz w:val="24"/>
          <w:szCs w:val="24"/>
        </w:rPr>
        <w:t>–</w:t>
      </w:r>
      <w:proofErr w:type="spellStart"/>
      <w:r w:rsidRPr="00917257">
        <w:rPr>
          <w:rFonts w:ascii="Times New Roman" w:hAnsi="Times New Roman" w:cs="Times New Roman"/>
          <w:i/>
          <w:sz w:val="24"/>
          <w:szCs w:val="24"/>
        </w:rPr>
        <w:t>Bera</w:t>
      </w:r>
      <w:proofErr w:type="spellEnd"/>
      <w:r w:rsidRPr="00917257">
        <w:rPr>
          <w:rFonts w:ascii="Times New Roman" w:hAnsi="Times New Roman" w:cs="Times New Roman"/>
          <w:sz w:val="24"/>
          <w:szCs w:val="24"/>
        </w:rPr>
        <w:t xml:space="preserve"> revela que os resíduos do modelo não apresentaram distribuição normal. No entanto, com base no Teorema do Limite Central, pode-se relaxar esse pressuposto, tendo em vista que em grandes amostras pressupõe-se a normalidade dos resíduos (</w:t>
      </w:r>
      <w:r w:rsidR="003B5097" w:rsidRPr="00917257">
        <w:rPr>
          <w:rFonts w:ascii="Times New Roman" w:hAnsi="Times New Roman" w:cs="Times New Roman"/>
          <w:sz w:val="24"/>
          <w:szCs w:val="24"/>
        </w:rPr>
        <w:t>BROOKS, 2014).</w:t>
      </w:r>
    </w:p>
    <w:p w14:paraId="6AE266CB" w14:textId="77777777" w:rsidR="005A021A" w:rsidRPr="00217059" w:rsidRDefault="005A021A" w:rsidP="00A53D0C">
      <w:pPr>
        <w:spacing w:after="120" w:line="240" w:lineRule="auto"/>
        <w:ind w:firstLine="709"/>
        <w:jc w:val="both"/>
        <w:rPr>
          <w:rFonts w:ascii="Times New Roman" w:hAnsi="Times New Roman" w:cs="Times New Roman"/>
          <w:b/>
          <w:sz w:val="24"/>
          <w:szCs w:val="24"/>
        </w:rPr>
      </w:pPr>
    </w:p>
    <w:p w14:paraId="0A8E6B91" w14:textId="3EB33FC1" w:rsidR="005A021A" w:rsidRPr="00217059" w:rsidRDefault="00A53D0C" w:rsidP="00A53D0C">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3A1FA2" w:rsidRPr="00217059">
        <w:rPr>
          <w:rFonts w:ascii="Times New Roman" w:hAnsi="Times New Roman" w:cs="Times New Roman"/>
          <w:b/>
          <w:sz w:val="24"/>
          <w:szCs w:val="24"/>
        </w:rPr>
        <w:t>Con</w:t>
      </w:r>
      <w:r w:rsidR="003128FE">
        <w:rPr>
          <w:rFonts w:ascii="Times New Roman" w:hAnsi="Times New Roman" w:cs="Times New Roman"/>
          <w:b/>
          <w:sz w:val="24"/>
          <w:szCs w:val="24"/>
        </w:rPr>
        <w:t>clusões</w:t>
      </w:r>
    </w:p>
    <w:p w14:paraId="14C149DC"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O objetivo da pesquisa consistiu em verificar a influênc</w:t>
      </w:r>
      <w:r w:rsidR="000659D4">
        <w:rPr>
          <w:rFonts w:ascii="Times New Roman" w:hAnsi="Times New Roman" w:cs="Times New Roman"/>
          <w:sz w:val="24"/>
          <w:szCs w:val="24"/>
        </w:rPr>
        <w:t xml:space="preserve">ia do ano eleitoral, da mudança </w:t>
      </w:r>
      <w:r w:rsidRPr="00217059">
        <w:rPr>
          <w:rFonts w:ascii="Times New Roman" w:hAnsi="Times New Roman" w:cs="Times New Roman"/>
          <w:sz w:val="24"/>
          <w:szCs w:val="24"/>
        </w:rPr>
        <w:t>de gestor público e do mandato eleitoral sobre o índice de gastos com pessoal definido pela Lei de Responsabilidade Fiscal. A amostra consistiu em 1</w:t>
      </w:r>
      <w:r w:rsidR="008B32CF">
        <w:rPr>
          <w:rFonts w:ascii="Times New Roman" w:hAnsi="Times New Roman" w:cs="Times New Roman"/>
          <w:sz w:val="24"/>
          <w:szCs w:val="24"/>
        </w:rPr>
        <w:t>016</w:t>
      </w:r>
      <w:r w:rsidRPr="00217059">
        <w:rPr>
          <w:rFonts w:ascii="Times New Roman" w:hAnsi="Times New Roman" w:cs="Times New Roman"/>
          <w:sz w:val="24"/>
          <w:szCs w:val="24"/>
        </w:rPr>
        <w:t xml:space="preserve"> municípios </w:t>
      </w:r>
      <w:r w:rsidR="008B32CF">
        <w:rPr>
          <w:rFonts w:ascii="Times New Roman" w:hAnsi="Times New Roman" w:cs="Times New Roman"/>
          <w:sz w:val="24"/>
          <w:szCs w:val="24"/>
        </w:rPr>
        <w:t>brasileiros</w:t>
      </w:r>
      <w:r w:rsidRPr="00217059">
        <w:rPr>
          <w:rFonts w:ascii="Times New Roman" w:hAnsi="Times New Roman" w:cs="Times New Roman"/>
          <w:sz w:val="24"/>
          <w:szCs w:val="24"/>
        </w:rPr>
        <w:t>, nos anos de 2009 a 2016, compreendendo dois ciclos eleitorais. Para atingir o objetivo da pesquisa utilizou-se a regressão com dados em painel.</w:t>
      </w:r>
    </w:p>
    <w:p w14:paraId="368EB84F" w14:textId="77777777" w:rsidR="005A021A" w:rsidRPr="00217059" w:rsidRDefault="005A021A" w:rsidP="009426BA">
      <w:pPr>
        <w:spacing w:line="240" w:lineRule="auto"/>
        <w:ind w:firstLine="709"/>
        <w:contextualSpacing/>
        <w:jc w:val="both"/>
        <w:rPr>
          <w:rFonts w:ascii="Times New Roman" w:hAnsi="Times New Roman" w:cs="Times New Roman"/>
          <w:sz w:val="24"/>
          <w:szCs w:val="24"/>
        </w:rPr>
      </w:pPr>
      <w:r w:rsidRPr="00217059">
        <w:rPr>
          <w:rFonts w:ascii="Times New Roman" w:hAnsi="Times New Roman" w:cs="Times New Roman"/>
          <w:sz w:val="24"/>
          <w:szCs w:val="24"/>
        </w:rPr>
        <w:t>A análise econométrica demonstrou que as variáveis que</w:t>
      </w:r>
      <w:r w:rsidR="008B32CF">
        <w:rPr>
          <w:rFonts w:ascii="Times New Roman" w:hAnsi="Times New Roman" w:cs="Times New Roman"/>
          <w:sz w:val="24"/>
          <w:szCs w:val="24"/>
        </w:rPr>
        <w:t xml:space="preserve"> indicam o ano eleitoral (QAM),</w:t>
      </w:r>
      <w:r w:rsidRPr="00217059">
        <w:rPr>
          <w:rFonts w:ascii="Times New Roman" w:hAnsi="Times New Roman" w:cs="Times New Roman"/>
          <w:sz w:val="24"/>
          <w:szCs w:val="24"/>
        </w:rPr>
        <w:t xml:space="preserve"> a mudança de prefeito (MPM) </w:t>
      </w:r>
      <w:r w:rsidR="008B32CF">
        <w:rPr>
          <w:rFonts w:ascii="Times New Roman" w:hAnsi="Times New Roman" w:cs="Times New Roman"/>
          <w:sz w:val="24"/>
          <w:szCs w:val="24"/>
        </w:rPr>
        <w:t xml:space="preserve">e o </w:t>
      </w:r>
      <w:r w:rsidR="008B32CF" w:rsidRPr="00217059">
        <w:rPr>
          <w:rFonts w:ascii="Times New Roman" w:hAnsi="Times New Roman" w:cs="Times New Roman"/>
          <w:sz w:val="24"/>
          <w:szCs w:val="24"/>
        </w:rPr>
        <w:t>primeiro mandato (PME)</w:t>
      </w:r>
      <w:r w:rsidR="008B32CF">
        <w:rPr>
          <w:rFonts w:ascii="Times New Roman" w:hAnsi="Times New Roman" w:cs="Times New Roman"/>
          <w:sz w:val="24"/>
          <w:szCs w:val="24"/>
        </w:rPr>
        <w:t xml:space="preserve"> </w:t>
      </w:r>
      <w:r w:rsidRPr="00217059">
        <w:rPr>
          <w:rFonts w:ascii="Times New Roman" w:hAnsi="Times New Roman" w:cs="Times New Roman"/>
          <w:sz w:val="24"/>
          <w:szCs w:val="24"/>
        </w:rPr>
        <w:t xml:space="preserve">apresentaram influência significativa sobre o índice com pessoal dos municípios </w:t>
      </w:r>
      <w:r w:rsidR="00F21D4A">
        <w:rPr>
          <w:rFonts w:ascii="Times New Roman" w:hAnsi="Times New Roman" w:cs="Times New Roman"/>
          <w:sz w:val="24"/>
          <w:szCs w:val="24"/>
        </w:rPr>
        <w:t>brasileiros</w:t>
      </w:r>
      <w:r w:rsidR="008B32CF">
        <w:rPr>
          <w:rFonts w:ascii="Times New Roman" w:hAnsi="Times New Roman" w:cs="Times New Roman"/>
          <w:sz w:val="24"/>
          <w:szCs w:val="24"/>
        </w:rPr>
        <w:t xml:space="preserve"> ao nível de 1%, indicando a exist</w:t>
      </w:r>
      <w:r w:rsidR="00F21D4A">
        <w:rPr>
          <w:rFonts w:ascii="Times New Roman" w:hAnsi="Times New Roman" w:cs="Times New Roman"/>
          <w:sz w:val="24"/>
          <w:szCs w:val="24"/>
        </w:rPr>
        <w:t xml:space="preserve">ência </w:t>
      </w:r>
      <w:r w:rsidR="008B32CF">
        <w:rPr>
          <w:rFonts w:ascii="Times New Roman" w:hAnsi="Times New Roman" w:cs="Times New Roman"/>
          <w:sz w:val="24"/>
          <w:szCs w:val="24"/>
        </w:rPr>
        <w:t xml:space="preserve">de </w:t>
      </w:r>
      <w:r w:rsidR="000659D4">
        <w:rPr>
          <w:rFonts w:ascii="Times New Roman" w:hAnsi="Times New Roman" w:cs="Times New Roman"/>
          <w:sz w:val="24"/>
          <w:szCs w:val="24"/>
        </w:rPr>
        <w:t xml:space="preserve">influências </w:t>
      </w:r>
      <w:r w:rsidR="00F21D4A">
        <w:rPr>
          <w:rFonts w:ascii="Times New Roman" w:hAnsi="Times New Roman" w:cs="Times New Roman"/>
          <w:sz w:val="24"/>
          <w:szCs w:val="24"/>
        </w:rPr>
        <w:t>políticas</w:t>
      </w:r>
      <w:r w:rsidR="000659D4">
        <w:rPr>
          <w:rFonts w:ascii="Times New Roman" w:hAnsi="Times New Roman" w:cs="Times New Roman"/>
          <w:sz w:val="24"/>
          <w:szCs w:val="24"/>
        </w:rPr>
        <w:t xml:space="preserve"> sobre o IGP.</w:t>
      </w:r>
    </w:p>
    <w:p w14:paraId="1C416C71" w14:textId="7B1B750B" w:rsidR="00F21D4A" w:rsidRPr="00F21D4A" w:rsidRDefault="00F21D4A" w:rsidP="00F21D4A">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 pesquisa considerou a presença de regras fiscais como um fator condicionante a existência e intensidade dos ciclos político-orçamentários, b</w:t>
      </w:r>
      <w:r w:rsidR="000659D4">
        <w:rPr>
          <w:rFonts w:ascii="Times New Roman" w:hAnsi="Times New Roman" w:cs="Times New Roman"/>
          <w:sz w:val="24"/>
          <w:szCs w:val="24"/>
        </w:rPr>
        <w:t xml:space="preserve">aseando-se fundamentalmente nos </w:t>
      </w:r>
      <w:r>
        <w:rPr>
          <w:rFonts w:ascii="Times New Roman" w:hAnsi="Times New Roman" w:cs="Times New Roman"/>
          <w:sz w:val="24"/>
          <w:szCs w:val="24"/>
        </w:rPr>
        <w:t>achados de Rose (2006). A autora afirma que</w:t>
      </w:r>
      <w:r w:rsidRPr="00F21D4A">
        <w:rPr>
          <w:rFonts w:ascii="Times New Roman" w:hAnsi="Times New Roman" w:cs="Times New Roman"/>
          <w:sz w:val="24"/>
          <w:szCs w:val="24"/>
        </w:rPr>
        <w:t xml:space="preserve"> o contexto institucional da elaboração</w:t>
      </w:r>
      <w:r w:rsidR="000F5902">
        <w:rPr>
          <w:rFonts w:ascii="Times New Roman" w:hAnsi="Times New Roman" w:cs="Times New Roman"/>
          <w:sz w:val="24"/>
          <w:szCs w:val="24"/>
        </w:rPr>
        <w:t xml:space="preserve"> </w:t>
      </w:r>
      <w:r w:rsidRPr="00F21D4A">
        <w:rPr>
          <w:rFonts w:ascii="Times New Roman" w:hAnsi="Times New Roman" w:cs="Times New Roman"/>
          <w:sz w:val="24"/>
          <w:szCs w:val="24"/>
        </w:rPr>
        <w:t>orçamentária</w:t>
      </w:r>
      <w:r>
        <w:rPr>
          <w:rFonts w:ascii="Times New Roman" w:hAnsi="Times New Roman" w:cs="Times New Roman"/>
          <w:sz w:val="24"/>
          <w:szCs w:val="24"/>
        </w:rPr>
        <w:t xml:space="preserve"> </w:t>
      </w:r>
      <w:r w:rsidRPr="00F21D4A">
        <w:rPr>
          <w:rFonts w:ascii="Times New Roman" w:hAnsi="Times New Roman" w:cs="Times New Roman"/>
          <w:sz w:val="24"/>
          <w:szCs w:val="24"/>
        </w:rPr>
        <w:t xml:space="preserve">influencia diretamente na intensidade da manipulação das </w:t>
      </w:r>
      <w:r>
        <w:rPr>
          <w:rFonts w:ascii="Times New Roman" w:hAnsi="Times New Roman" w:cs="Times New Roman"/>
          <w:sz w:val="24"/>
          <w:szCs w:val="24"/>
        </w:rPr>
        <w:t>variáveis fiscais</w:t>
      </w:r>
      <w:r w:rsidRPr="00F21D4A">
        <w:rPr>
          <w:rFonts w:ascii="Times New Roman" w:hAnsi="Times New Roman" w:cs="Times New Roman"/>
          <w:sz w:val="24"/>
          <w:szCs w:val="24"/>
        </w:rPr>
        <w:t xml:space="preserve"> em períodos</w:t>
      </w:r>
      <w:r>
        <w:rPr>
          <w:rFonts w:ascii="Times New Roman" w:hAnsi="Times New Roman" w:cs="Times New Roman"/>
          <w:sz w:val="24"/>
          <w:szCs w:val="24"/>
        </w:rPr>
        <w:t xml:space="preserve"> </w:t>
      </w:r>
      <w:r w:rsidRPr="00F21D4A">
        <w:rPr>
          <w:rFonts w:ascii="Times New Roman" w:hAnsi="Times New Roman" w:cs="Times New Roman"/>
          <w:sz w:val="24"/>
          <w:szCs w:val="24"/>
        </w:rPr>
        <w:t>eleitorais</w:t>
      </w:r>
      <w:r>
        <w:rPr>
          <w:rFonts w:ascii="Times New Roman" w:hAnsi="Times New Roman" w:cs="Times New Roman"/>
          <w:sz w:val="24"/>
          <w:szCs w:val="24"/>
        </w:rPr>
        <w:t xml:space="preserve">, entendendo que as limitações fiscais </w:t>
      </w:r>
      <w:r w:rsidRPr="00F21D4A">
        <w:rPr>
          <w:rFonts w:ascii="Times New Roman" w:hAnsi="Times New Roman" w:cs="Times New Roman"/>
          <w:sz w:val="24"/>
          <w:szCs w:val="24"/>
        </w:rPr>
        <w:t>dificulta</w:t>
      </w:r>
      <w:r>
        <w:rPr>
          <w:rFonts w:ascii="Times New Roman" w:hAnsi="Times New Roman" w:cs="Times New Roman"/>
          <w:sz w:val="24"/>
          <w:szCs w:val="24"/>
        </w:rPr>
        <w:t>m</w:t>
      </w:r>
      <w:r w:rsidRPr="00F21D4A">
        <w:rPr>
          <w:rFonts w:ascii="Times New Roman" w:hAnsi="Times New Roman" w:cs="Times New Roman"/>
          <w:sz w:val="24"/>
          <w:szCs w:val="24"/>
        </w:rPr>
        <w:t xml:space="preserve"> o ciclo político.</w:t>
      </w:r>
    </w:p>
    <w:p w14:paraId="14E9F84E" w14:textId="27215EBB" w:rsidR="00190AB7" w:rsidRDefault="00163AC6" w:rsidP="00FC6A06">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No entanto, o</w:t>
      </w:r>
      <w:r w:rsidR="00F21D4A" w:rsidRPr="00F21D4A">
        <w:rPr>
          <w:rFonts w:ascii="Times New Roman" w:hAnsi="Times New Roman" w:cs="Times New Roman"/>
          <w:sz w:val="24"/>
          <w:szCs w:val="24"/>
        </w:rPr>
        <w:t xml:space="preserve">s resultados dessa pesquisa </w:t>
      </w:r>
      <w:r>
        <w:rPr>
          <w:rFonts w:ascii="Times New Roman" w:hAnsi="Times New Roman" w:cs="Times New Roman"/>
          <w:sz w:val="24"/>
          <w:szCs w:val="24"/>
        </w:rPr>
        <w:t>divergem de Rose (2006), pois apesar das imposições da LRF, que limita o IGP, e da</w:t>
      </w:r>
      <w:r w:rsidRPr="00217059">
        <w:rPr>
          <w:rFonts w:ascii="Times New Roman" w:hAnsi="Times New Roman" w:cs="Times New Roman"/>
          <w:sz w:val="24"/>
          <w:szCs w:val="24"/>
        </w:rPr>
        <w:t xml:space="preserve"> Lei 9.504/97 que estabelece normas para </w:t>
      </w:r>
      <w:r>
        <w:rPr>
          <w:rFonts w:ascii="Times New Roman" w:hAnsi="Times New Roman" w:cs="Times New Roman"/>
          <w:sz w:val="24"/>
          <w:szCs w:val="24"/>
        </w:rPr>
        <w:t>as alterações da despesa com pessoal no período eleitoral</w:t>
      </w:r>
      <w:r w:rsidRPr="00217059">
        <w:rPr>
          <w:rFonts w:ascii="Times New Roman" w:hAnsi="Times New Roman" w:cs="Times New Roman"/>
          <w:sz w:val="24"/>
          <w:szCs w:val="24"/>
        </w:rPr>
        <w:t>,</w:t>
      </w:r>
      <w:r>
        <w:rPr>
          <w:rFonts w:ascii="Times New Roman" w:hAnsi="Times New Roman" w:cs="Times New Roman"/>
          <w:sz w:val="24"/>
          <w:szCs w:val="24"/>
        </w:rPr>
        <w:t xml:space="preserve"> as anál</w:t>
      </w:r>
      <w:r w:rsidR="000659D4">
        <w:rPr>
          <w:rFonts w:ascii="Times New Roman" w:hAnsi="Times New Roman" w:cs="Times New Roman"/>
          <w:sz w:val="24"/>
          <w:szCs w:val="24"/>
        </w:rPr>
        <w:t>ises realizadas evidenciaram a influência de fatores políticos sobre o IGP n</w:t>
      </w:r>
      <w:r>
        <w:rPr>
          <w:rFonts w:ascii="Times New Roman" w:hAnsi="Times New Roman" w:cs="Times New Roman"/>
          <w:sz w:val="24"/>
          <w:szCs w:val="24"/>
        </w:rPr>
        <w:t>os municípios brasileiros. Assim, a pesquisa conclui que a presença de regras fiscais n</w:t>
      </w:r>
      <w:r w:rsidR="008C0265">
        <w:rPr>
          <w:rFonts w:ascii="Times New Roman" w:hAnsi="Times New Roman" w:cs="Times New Roman"/>
          <w:sz w:val="24"/>
          <w:szCs w:val="24"/>
        </w:rPr>
        <w:t xml:space="preserve">ão é </w:t>
      </w:r>
      <w:r>
        <w:rPr>
          <w:rFonts w:ascii="Times New Roman" w:hAnsi="Times New Roman" w:cs="Times New Roman"/>
          <w:sz w:val="24"/>
          <w:szCs w:val="24"/>
        </w:rPr>
        <w:t>suficiente para amenizar os ciclos políticos orçamentários no contexto brasileiro.</w:t>
      </w:r>
      <w:r w:rsidR="00E87CBC">
        <w:rPr>
          <w:rFonts w:ascii="Times New Roman" w:hAnsi="Times New Roman" w:cs="Times New Roman"/>
          <w:sz w:val="24"/>
          <w:szCs w:val="24"/>
        </w:rPr>
        <w:t xml:space="preserve"> Ressalta-se</w:t>
      </w:r>
      <w:r w:rsidR="007C2EC2">
        <w:rPr>
          <w:rFonts w:ascii="Times New Roman" w:hAnsi="Times New Roman" w:cs="Times New Roman"/>
          <w:sz w:val="24"/>
          <w:szCs w:val="24"/>
        </w:rPr>
        <w:t xml:space="preserve"> aqui</w:t>
      </w:r>
      <w:r w:rsidR="00E87CBC">
        <w:rPr>
          <w:rFonts w:ascii="Times New Roman" w:hAnsi="Times New Roman" w:cs="Times New Roman"/>
          <w:sz w:val="24"/>
          <w:szCs w:val="24"/>
        </w:rPr>
        <w:t xml:space="preserve">, que </w:t>
      </w:r>
      <w:r w:rsidR="00B54593" w:rsidRPr="00B54593">
        <w:rPr>
          <w:rFonts w:ascii="Times New Roman" w:hAnsi="Times New Roman" w:cs="Times New Roman"/>
          <w:sz w:val="24"/>
          <w:szCs w:val="24"/>
        </w:rPr>
        <w:t xml:space="preserve">a presença de regras fiscais, especificamente a Lei Eleitoral e a LRF, </w:t>
      </w:r>
      <w:r w:rsidR="002D251A" w:rsidRPr="002D251A">
        <w:rPr>
          <w:rFonts w:ascii="Times New Roman" w:hAnsi="Times New Roman" w:cs="Times New Roman"/>
          <w:sz w:val="24"/>
          <w:szCs w:val="24"/>
        </w:rPr>
        <w:t>não impede a ocorrência de alterações da despesa com pessoal e encargos sociais em função de condições eleitorais</w:t>
      </w:r>
      <w:r w:rsidR="00B54593" w:rsidRPr="00B54593">
        <w:rPr>
          <w:rFonts w:ascii="Times New Roman" w:hAnsi="Times New Roman" w:cs="Times New Roman"/>
          <w:sz w:val="24"/>
          <w:szCs w:val="24"/>
        </w:rPr>
        <w:t xml:space="preserve">, conforme identificado por </w:t>
      </w:r>
      <w:proofErr w:type="spellStart"/>
      <w:r w:rsidR="00B54593" w:rsidRPr="00B54593">
        <w:rPr>
          <w:rFonts w:ascii="Times New Roman" w:hAnsi="Times New Roman" w:cs="Times New Roman"/>
          <w:sz w:val="24"/>
          <w:szCs w:val="24"/>
        </w:rPr>
        <w:t>Streb</w:t>
      </w:r>
      <w:proofErr w:type="spellEnd"/>
      <w:r w:rsidR="00B54593" w:rsidRPr="00B54593">
        <w:rPr>
          <w:rFonts w:ascii="Times New Roman" w:hAnsi="Times New Roman" w:cs="Times New Roman"/>
          <w:sz w:val="24"/>
          <w:szCs w:val="24"/>
        </w:rPr>
        <w:t xml:space="preserve"> e </w:t>
      </w:r>
      <w:proofErr w:type="spellStart"/>
      <w:r w:rsidR="00B54593" w:rsidRPr="00B54593">
        <w:rPr>
          <w:rFonts w:ascii="Times New Roman" w:hAnsi="Times New Roman" w:cs="Times New Roman"/>
          <w:sz w:val="24"/>
          <w:szCs w:val="24"/>
        </w:rPr>
        <w:t>Torrens</w:t>
      </w:r>
      <w:proofErr w:type="spellEnd"/>
      <w:r w:rsidR="00B54593" w:rsidRPr="00B54593">
        <w:rPr>
          <w:rFonts w:ascii="Times New Roman" w:hAnsi="Times New Roman" w:cs="Times New Roman"/>
          <w:sz w:val="24"/>
          <w:szCs w:val="24"/>
        </w:rPr>
        <w:t xml:space="preserve"> (2013) nos Estados American</w:t>
      </w:r>
      <w:r w:rsidR="00B54593">
        <w:rPr>
          <w:rFonts w:ascii="Times New Roman" w:hAnsi="Times New Roman" w:cs="Times New Roman"/>
          <w:sz w:val="24"/>
          <w:szCs w:val="24"/>
        </w:rPr>
        <w:t>os</w:t>
      </w:r>
      <w:r w:rsidR="00B54593" w:rsidRPr="00B54593">
        <w:rPr>
          <w:rFonts w:ascii="Times New Roman" w:hAnsi="Times New Roman" w:cs="Times New Roman"/>
          <w:sz w:val="24"/>
          <w:szCs w:val="24"/>
        </w:rPr>
        <w:t xml:space="preserve">. Nesse sentido, </w:t>
      </w:r>
      <w:r w:rsidR="00FC6A06">
        <w:rPr>
          <w:rFonts w:ascii="Times New Roman" w:hAnsi="Times New Roman" w:cs="Times New Roman"/>
          <w:sz w:val="24"/>
          <w:szCs w:val="24"/>
        </w:rPr>
        <w:t xml:space="preserve">é importante refletir </w:t>
      </w:r>
      <w:r w:rsidR="00B54593" w:rsidRPr="00B54593">
        <w:rPr>
          <w:rFonts w:ascii="Times New Roman" w:hAnsi="Times New Roman" w:cs="Times New Roman"/>
          <w:sz w:val="24"/>
          <w:szCs w:val="24"/>
        </w:rPr>
        <w:t>se o limites estabelecidos pelas regras fiscais são realmente adequados para o atual contexto brasileiro ou se existe uma falha na fiscalização e punição aos gestores públicos que descumprem as regras fiscais impostas aos gastos com pessoal.</w:t>
      </w:r>
    </w:p>
    <w:p w14:paraId="6EE78639" w14:textId="06A6AAAC" w:rsidR="00190AB7" w:rsidRPr="00190AB7" w:rsidRDefault="007C2EC2" w:rsidP="00190AB7">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É importante mencionar ainda,</w:t>
      </w:r>
      <w:r w:rsidR="00190AB7">
        <w:rPr>
          <w:rFonts w:ascii="Times New Roman" w:hAnsi="Times New Roman"/>
          <w:sz w:val="24"/>
          <w:szCs w:val="24"/>
        </w:rPr>
        <w:t xml:space="preserve"> que as evidencias apresentadas consideram apenas os fatores políticos que influenciam o IGP, de forma que deve-se considerar a existência de outros aspectos que podem causar alterações na variável de interesse, o que constitui numa limitação da pesquisa.</w:t>
      </w:r>
      <w:r w:rsidR="00190AB7" w:rsidRPr="00190AB7">
        <w:rPr>
          <w:rFonts w:ascii="Times New Roman" w:hAnsi="Times New Roman"/>
          <w:sz w:val="24"/>
          <w:szCs w:val="24"/>
        </w:rPr>
        <w:t xml:space="preserve"> </w:t>
      </w:r>
      <w:r w:rsidR="00190AB7">
        <w:rPr>
          <w:rFonts w:ascii="Times New Roman" w:hAnsi="Times New Roman"/>
          <w:sz w:val="24"/>
          <w:szCs w:val="24"/>
        </w:rPr>
        <w:t>Além disso, destaca-se que os achados referem-se a uma aplicação a nível municipal, de forma que não se pode generalizar as conclusões estabelecidas na pesquisa para os demais entes federativos. Ne</w:t>
      </w:r>
      <w:r w:rsidR="00190AB7" w:rsidRPr="00AB384C">
        <w:rPr>
          <w:rFonts w:ascii="Times New Roman" w:hAnsi="Times New Roman"/>
          <w:sz w:val="24"/>
          <w:szCs w:val="24"/>
        </w:rPr>
        <w:t xml:space="preserve">sse sentido, sugere-se, para pesquisas futuras, </w:t>
      </w:r>
      <w:r w:rsidR="00190AB7">
        <w:rPr>
          <w:rFonts w:ascii="Times New Roman" w:hAnsi="Times New Roman"/>
          <w:sz w:val="24"/>
          <w:szCs w:val="24"/>
        </w:rPr>
        <w:t>a aplicação do estudo a nível e</w:t>
      </w:r>
      <w:r w:rsidR="000659D4">
        <w:rPr>
          <w:rFonts w:ascii="Times New Roman" w:hAnsi="Times New Roman"/>
          <w:sz w:val="24"/>
          <w:szCs w:val="24"/>
        </w:rPr>
        <w:t>stadual</w:t>
      </w:r>
      <w:r w:rsidR="00190AB7">
        <w:rPr>
          <w:rFonts w:ascii="Times New Roman" w:hAnsi="Times New Roman"/>
          <w:sz w:val="24"/>
          <w:szCs w:val="24"/>
        </w:rPr>
        <w:t>.</w:t>
      </w:r>
    </w:p>
    <w:p w14:paraId="43153A42" w14:textId="77777777" w:rsidR="005A021A" w:rsidRPr="00217059" w:rsidRDefault="00190AB7" w:rsidP="00190AB7">
      <w:pPr>
        <w:pStyle w:val="PargrafodaLista"/>
        <w:spacing w:after="0" w:line="240" w:lineRule="auto"/>
        <w:ind w:left="0" w:firstLine="567"/>
        <w:jc w:val="both"/>
        <w:rPr>
          <w:rFonts w:ascii="Times New Roman" w:hAnsi="Times New Roman" w:cs="Times New Roman"/>
          <w:b/>
          <w:sz w:val="24"/>
          <w:szCs w:val="24"/>
        </w:rPr>
      </w:pPr>
      <w:r>
        <w:rPr>
          <w:rFonts w:ascii="Times New Roman" w:hAnsi="Times New Roman"/>
          <w:sz w:val="24"/>
          <w:szCs w:val="24"/>
        </w:rPr>
        <w:t xml:space="preserve"> </w:t>
      </w:r>
    </w:p>
    <w:p w14:paraId="2068D211" w14:textId="77777777" w:rsidR="005A021A" w:rsidRDefault="005A021A" w:rsidP="00A53D0C">
      <w:pPr>
        <w:spacing w:after="120" w:line="240" w:lineRule="auto"/>
        <w:jc w:val="both"/>
        <w:rPr>
          <w:rFonts w:ascii="Times New Roman" w:hAnsi="Times New Roman" w:cs="Times New Roman"/>
          <w:b/>
          <w:sz w:val="24"/>
          <w:szCs w:val="24"/>
          <w:lang w:val="en-US"/>
        </w:rPr>
      </w:pPr>
      <w:r w:rsidRPr="00217059">
        <w:rPr>
          <w:rFonts w:ascii="Times New Roman" w:hAnsi="Times New Roman" w:cs="Times New Roman"/>
          <w:b/>
          <w:sz w:val="24"/>
          <w:szCs w:val="24"/>
          <w:lang w:val="en-US"/>
        </w:rPr>
        <w:t>6</w:t>
      </w:r>
      <w:r w:rsidR="00A53D0C">
        <w:rPr>
          <w:rFonts w:ascii="Times New Roman" w:hAnsi="Times New Roman" w:cs="Times New Roman"/>
          <w:b/>
          <w:sz w:val="24"/>
          <w:szCs w:val="24"/>
          <w:lang w:val="en-US"/>
        </w:rPr>
        <w:t xml:space="preserve"> </w:t>
      </w:r>
      <w:proofErr w:type="spellStart"/>
      <w:r w:rsidR="003A1FA2" w:rsidRPr="00217059">
        <w:rPr>
          <w:rFonts w:ascii="Times New Roman" w:hAnsi="Times New Roman" w:cs="Times New Roman"/>
          <w:b/>
          <w:sz w:val="24"/>
          <w:szCs w:val="24"/>
          <w:lang w:val="en-US"/>
        </w:rPr>
        <w:t>Referências</w:t>
      </w:r>
      <w:proofErr w:type="spellEnd"/>
    </w:p>
    <w:p w14:paraId="704F92B7" w14:textId="77777777" w:rsidR="005A021A" w:rsidRPr="00217059" w:rsidRDefault="003B5097" w:rsidP="005A021A">
      <w:pPr>
        <w:spacing w:line="240" w:lineRule="auto"/>
        <w:contextualSpacing/>
        <w:jc w:val="both"/>
        <w:rPr>
          <w:rFonts w:ascii="Times New Roman" w:hAnsi="Times New Roman" w:cs="Times New Roman"/>
          <w:sz w:val="24"/>
          <w:szCs w:val="24"/>
        </w:rPr>
      </w:pPr>
      <w:r w:rsidRPr="00217059">
        <w:rPr>
          <w:rFonts w:ascii="Times New Roman" w:hAnsi="Times New Roman" w:cs="Times New Roman"/>
          <w:sz w:val="24"/>
          <w:szCs w:val="24"/>
          <w:lang w:val="en-US"/>
        </w:rPr>
        <w:t xml:space="preserve">ALT, J. E.; LASSEN, D. D. Transparency, political polarization, and political budget cycles in OECD countries. </w:t>
      </w:r>
      <w:r w:rsidRPr="00217059">
        <w:rPr>
          <w:rFonts w:ascii="Times New Roman" w:hAnsi="Times New Roman" w:cs="Times New Roman"/>
          <w:b/>
          <w:sz w:val="24"/>
          <w:szCs w:val="24"/>
        </w:rPr>
        <w:t xml:space="preserve">American </w:t>
      </w:r>
      <w:proofErr w:type="spellStart"/>
      <w:r w:rsidRPr="00217059">
        <w:rPr>
          <w:rFonts w:ascii="Times New Roman" w:hAnsi="Times New Roman" w:cs="Times New Roman"/>
          <w:b/>
          <w:sz w:val="24"/>
          <w:szCs w:val="24"/>
        </w:rPr>
        <w:t>Journal</w:t>
      </w:r>
      <w:proofErr w:type="spellEnd"/>
      <w:r w:rsidRPr="00217059">
        <w:rPr>
          <w:rFonts w:ascii="Times New Roman" w:hAnsi="Times New Roman" w:cs="Times New Roman"/>
          <w:b/>
          <w:sz w:val="24"/>
          <w:szCs w:val="24"/>
        </w:rPr>
        <w:t xml:space="preserve"> </w:t>
      </w:r>
      <w:proofErr w:type="spellStart"/>
      <w:r w:rsidRPr="00217059">
        <w:rPr>
          <w:rFonts w:ascii="Times New Roman" w:hAnsi="Times New Roman" w:cs="Times New Roman"/>
          <w:b/>
          <w:sz w:val="24"/>
          <w:szCs w:val="24"/>
        </w:rPr>
        <w:t>of</w:t>
      </w:r>
      <w:proofErr w:type="spellEnd"/>
      <w:r w:rsidRPr="00217059">
        <w:rPr>
          <w:rFonts w:ascii="Times New Roman" w:hAnsi="Times New Roman" w:cs="Times New Roman"/>
          <w:b/>
          <w:sz w:val="24"/>
          <w:szCs w:val="24"/>
        </w:rPr>
        <w:t xml:space="preserve"> </w:t>
      </w:r>
      <w:proofErr w:type="spellStart"/>
      <w:r w:rsidRPr="00217059">
        <w:rPr>
          <w:rFonts w:ascii="Times New Roman" w:hAnsi="Times New Roman" w:cs="Times New Roman"/>
          <w:b/>
          <w:sz w:val="24"/>
          <w:szCs w:val="24"/>
        </w:rPr>
        <w:t>Political</w:t>
      </w:r>
      <w:proofErr w:type="spellEnd"/>
      <w:r w:rsidRPr="00217059">
        <w:rPr>
          <w:rFonts w:ascii="Times New Roman" w:hAnsi="Times New Roman" w:cs="Times New Roman"/>
          <w:b/>
          <w:sz w:val="24"/>
          <w:szCs w:val="24"/>
        </w:rPr>
        <w:t xml:space="preserve"> Science</w:t>
      </w:r>
      <w:r w:rsidRPr="00217059">
        <w:rPr>
          <w:rFonts w:ascii="Times New Roman" w:hAnsi="Times New Roman" w:cs="Times New Roman"/>
          <w:sz w:val="24"/>
          <w:szCs w:val="24"/>
        </w:rPr>
        <w:t>, v. 50, n. 3, p. 530-550, 2006.</w:t>
      </w:r>
    </w:p>
    <w:p w14:paraId="37BC6DB1" w14:textId="77777777" w:rsidR="00CA75BF" w:rsidRPr="00217059" w:rsidRDefault="00CA75BF" w:rsidP="005A021A">
      <w:pPr>
        <w:spacing w:line="240" w:lineRule="auto"/>
        <w:contextualSpacing/>
        <w:jc w:val="both"/>
        <w:rPr>
          <w:rFonts w:ascii="Times New Roman" w:hAnsi="Times New Roman" w:cs="Times New Roman"/>
          <w:sz w:val="24"/>
          <w:szCs w:val="24"/>
        </w:rPr>
      </w:pPr>
    </w:p>
    <w:p w14:paraId="52C8F8D7" w14:textId="77777777" w:rsidR="00CA75BF" w:rsidRPr="00217059" w:rsidRDefault="00CA75BF" w:rsidP="005A021A">
      <w:pPr>
        <w:spacing w:line="240" w:lineRule="auto"/>
        <w:contextualSpacing/>
        <w:jc w:val="both"/>
        <w:rPr>
          <w:rFonts w:ascii="Times New Roman" w:hAnsi="Times New Roman" w:cs="Times New Roman"/>
          <w:sz w:val="24"/>
          <w:szCs w:val="24"/>
        </w:rPr>
      </w:pPr>
      <w:r w:rsidRPr="00217059">
        <w:rPr>
          <w:rFonts w:ascii="Times New Roman" w:hAnsi="Times New Roman" w:cs="Times New Roman"/>
          <w:sz w:val="24"/>
          <w:szCs w:val="24"/>
        </w:rPr>
        <w:lastRenderedPageBreak/>
        <w:t xml:space="preserve">BRASIL. Lei Complementar nº 101, de 4 de maio de 2000. Estabelece normas de finanças públicas voltadas para a responsabilidade na gestão fiscal e dá outras providências. </w:t>
      </w:r>
      <w:r w:rsidRPr="00217059">
        <w:rPr>
          <w:rFonts w:ascii="Times New Roman" w:hAnsi="Times New Roman" w:cs="Times New Roman"/>
          <w:b/>
          <w:sz w:val="24"/>
          <w:szCs w:val="24"/>
        </w:rPr>
        <w:t>Diário Oficial [da] República Federativa do Brasil</w:t>
      </w:r>
      <w:r w:rsidRPr="00217059">
        <w:rPr>
          <w:rFonts w:ascii="Times New Roman" w:hAnsi="Times New Roman" w:cs="Times New Roman"/>
          <w:sz w:val="24"/>
          <w:szCs w:val="24"/>
        </w:rPr>
        <w:t>, Brasília, DF, 5 maio 2000.</w:t>
      </w:r>
    </w:p>
    <w:p w14:paraId="02FF2C45" w14:textId="77777777" w:rsidR="003B5097" w:rsidRPr="00217059" w:rsidRDefault="003B5097" w:rsidP="005A021A">
      <w:pPr>
        <w:spacing w:line="240" w:lineRule="auto"/>
        <w:contextualSpacing/>
        <w:jc w:val="both"/>
        <w:rPr>
          <w:rFonts w:ascii="Times New Roman" w:hAnsi="Times New Roman" w:cs="Times New Roman"/>
          <w:sz w:val="24"/>
          <w:szCs w:val="24"/>
        </w:rPr>
      </w:pPr>
    </w:p>
    <w:p w14:paraId="12521694" w14:textId="77777777" w:rsidR="00CA75BF" w:rsidRPr="00217059" w:rsidRDefault="00CA75BF" w:rsidP="00CA75BF">
      <w:pPr>
        <w:spacing w:line="240" w:lineRule="auto"/>
        <w:contextualSpacing/>
        <w:jc w:val="both"/>
        <w:rPr>
          <w:rFonts w:ascii="Times New Roman" w:hAnsi="Times New Roman" w:cs="Times New Roman"/>
          <w:sz w:val="24"/>
          <w:szCs w:val="24"/>
        </w:rPr>
      </w:pPr>
      <w:r w:rsidRPr="00217059">
        <w:rPr>
          <w:rFonts w:ascii="Times New Roman" w:hAnsi="Times New Roman" w:cs="Times New Roman"/>
          <w:sz w:val="24"/>
          <w:szCs w:val="24"/>
        </w:rPr>
        <w:t>______. Lei nº 9.504, de 30 de Setembro de 1997. Estabelece normas para as eleições.</w:t>
      </w:r>
      <w:r w:rsidR="00962CEA" w:rsidRPr="00217059">
        <w:rPr>
          <w:rFonts w:ascii="Times New Roman" w:hAnsi="Times New Roman" w:cs="Times New Roman"/>
          <w:sz w:val="24"/>
          <w:szCs w:val="24"/>
        </w:rPr>
        <w:t xml:space="preserve"> </w:t>
      </w:r>
      <w:r w:rsidR="00962CEA" w:rsidRPr="00217059">
        <w:rPr>
          <w:rFonts w:ascii="Times New Roman" w:hAnsi="Times New Roman" w:cs="Times New Roman"/>
          <w:b/>
          <w:sz w:val="24"/>
          <w:szCs w:val="24"/>
        </w:rPr>
        <w:t>Diário Oficial [da] União</w:t>
      </w:r>
      <w:r w:rsidR="00962CEA" w:rsidRPr="00217059">
        <w:rPr>
          <w:rFonts w:ascii="Times New Roman" w:hAnsi="Times New Roman" w:cs="Times New Roman"/>
          <w:sz w:val="24"/>
          <w:szCs w:val="24"/>
        </w:rPr>
        <w:t xml:space="preserve">, Brasília, DF, 1 outubro </w:t>
      </w:r>
      <w:r w:rsidRPr="00217059">
        <w:rPr>
          <w:rFonts w:ascii="Times New Roman" w:hAnsi="Times New Roman" w:cs="Times New Roman"/>
          <w:sz w:val="24"/>
          <w:szCs w:val="24"/>
        </w:rPr>
        <w:t>1997</w:t>
      </w:r>
      <w:r w:rsidR="00962CEA" w:rsidRPr="00217059">
        <w:rPr>
          <w:rFonts w:ascii="Times New Roman" w:hAnsi="Times New Roman" w:cs="Times New Roman"/>
          <w:sz w:val="24"/>
          <w:szCs w:val="24"/>
        </w:rPr>
        <w:t>.</w:t>
      </w:r>
    </w:p>
    <w:p w14:paraId="7238F87E" w14:textId="77777777" w:rsidR="00CA75BF" w:rsidRPr="00217059" w:rsidRDefault="00CA75BF" w:rsidP="005A021A">
      <w:pPr>
        <w:spacing w:line="240" w:lineRule="auto"/>
        <w:contextualSpacing/>
        <w:jc w:val="both"/>
        <w:rPr>
          <w:rFonts w:ascii="Times New Roman" w:hAnsi="Times New Roman" w:cs="Times New Roman"/>
          <w:sz w:val="24"/>
          <w:szCs w:val="24"/>
        </w:rPr>
      </w:pPr>
    </w:p>
    <w:p w14:paraId="0EA1EA9E" w14:textId="77777777" w:rsidR="005A021A" w:rsidRPr="00217059" w:rsidRDefault="003B5097"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rPr>
        <w:t>BRAUNINGER</w:t>
      </w:r>
      <w:r w:rsidR="005A021A" w:rsidRPr="00217059">
        <w:rPr>
          <w:rFonts w:ascii="Times New Roman" w:hAnsi="Times New Roman" w:cs="Times New Roman"/>
          <w:sz w:val="24"/>
          <w:szCs w:val="24"/>
        </w:rPr>
        <w:t xml:space="preserve">, T. A </w:t>
      </w:r>
      <w:proofErr w:type="spellStart"/>
      <w:r w:rsidR="005A021A" w:rsidRPr="00217059">
        <w:rPr>
          <w:rFonts w:ascii="Times New Roman" w:hAnsi="Times New Roman" w:cs="Times New Roman"/>
          <w:sz w:val="24"/>
          <w:szCs w:val="24"/>
        </w:rPr>
        <w:t>partisan</w:t>
      </w:r>
      <w:proofErr w:type="spellEnd"/>
      <w:r w:rsidR="005A021A" w:rsidRPr="00217059">
        <w:rPr>
          <w:rFonts w:ascii="Times New Roman" w:hAnsi="Times New Roman" w:cs="Times New Roman"/>
          <w:sz w:val="24"/>
          <w:szCs w:val="24"/>
        </w:rPr>
        <w:t xml:space="preserve"> </w:t>
      </w:r>
      <w:proofErr w:type="spellStart"/>
      <w:r w:rsidR="005A021A" w:rsidRPr="00217059">
        <w:rPr>
          <w:rFonts w:ascii="Times New Roman" w:hAnsi="Times New Roman" w:cs="Times New Roman"/>
          <w:sz w:val="24"/>
          <w:szCs w:val="24"/>
        </w:rPr>
        <w:t>model</w:t>
      </w:r>
      <w:proofErr w:type="spellEnd"/>
      <w:r w:rsidR="005A021A" w:rsidRPr="00217059">
        <w:rPr>
          <w:rFonts w:ascii="Times New Roman" w:hAnsi="Times New Roman" w:cs="Times New Roman"/>
          <w:sz w:val="24"/>
          <w:szCs w:val="24"/>
        </w:rPr>
        <w:t xml:space="preserve"> </w:t>
      </w:r>
      <w:proofErr w:type="spellStart"/>
      <w:r w:rsidR="005A021A" w:rsidRPr="00217059">
        <w:rPr>
          <w:rFonts w:ascii="Times New Roman" w:hAnsi="Times New Roman" w:cs="Times New Roman"/>
          <w:sz w:val="24"/>
          <w:szCs w:val="24"/>
        </w:rPr>
        <w:t>of</w:t>
      </w:r>
      <w:proofErr w:type="spellEnd"/>
      <w:r w:rsidR="005A021A" w:rsidRPr="00217059">
        <w:rPr>
          <w:rFonts w:ascii="Times New Roman" w:hAnsi="Times New Roman" w:cs="Times New Roman"/>
          <w:sz w:val="24"/>
          <w:szCs w:val="24"/>
        </w:rPr>
        <w:t xml:space="preserve"> </w:t>
      </w:r>
      <w:proofErr w:type="spellStart"/>
      <w:r w:rsidR="005A021A" w:rsidRPr="00217059">
        <w:rPr>
          <w:rFonts w:ascii="Times New Roman" w:hAnsi="Times New Roman" w:cs="Times New Roman"/>
          <w:sz w:val="24"/>
          <w:szCs w:val="24"/>
        </w:rPr>
        <w:t>government</w:t>
      </w:r>
      <w:proofErr w:type="spellEnd"/>
      <w:r w:rsidR="005A021A" w:rsidRPr="00217059">
        <w:rPr>
          <w:rFonts w:ascii="Times New Roman" w:hAnsi="Times New Roman" w:cs="Times New Roman"/>
          <w:sz w:val="24"/>
          <w:szCs w:val="24"/>
        </w:rPr>
        <w:t xml:space="preserve"> </w:t>
      </w:r>
      <w:proofErr w:type="spellStart"/>
      <w:r w:rsidR="005A021A" w:rsidRPr="00217059">
        <w:rPr>
          <w:rFonts w:ascii="Times New Roman" w:hAnsi="Times New Roman" w:cs="Times New Roman"/>
          <w:sz w:val="24"/>
          <w:szCs w:val="24"/>
        </w:rPr>
        <w:t>expenditure</w:t>
      </w:r>
      <w:proofErr w:type="spellEnd"/>
      <w:r w:rsidR="005A021A" w:rsidRPr="00217059">
        <w:rPr>
          <w:rFonts w:ascii="Times New Roman" w:hAnsi="Times New Roman" w:cs="Times New Roman"/>
          <w:sz w:val="24"/>
          <w:szCs w:val="24"/>
        </w:rPr>
        <w:t xml:space="preserve">. </w:t>
      </w:r>
      <w:r w:rsidR="005A021A" w:rsidRPr="00217059">
        <w:rPr>
          <w:rFonts w:ascii="Times New Roman" w:hAnsi="Times New Roman" w:cs="Times New Roman"/>
          <w:b/>
          <w:sz w:val="24"/>
          <w:szCs w:val="24"/>
          <w:lang w:val="en-US"/>
        </w:rPr>
        <w:t>Public Choice</w:t>
      </w:r>
      <w:r w:rsidR="005A021A" w:rsidRPr="00217059">
        <w:rPr>
          <w:rFonts w:ascii="Times New Roman" w:hAnsi="Times New Roman" w:cs="Times New Roman"/>
          <w:sz w:val="24"/>
          <w:szCs w:val="24"/>
          <w:lang w:val="en-US"/>
        </w:rPr>
        <w:t xml:space="preserve">, </w:t>
      </w:r>
      <w:r w:rsidRPr="00217059">
        <w:rPr>
          <w:rFonts w:ascii="Times New Roman" w:hAnsi="Times New Roman" w:cs="Times New Roman"/>
          <w:sz w:val="24"/>
          <w:szCs w:val="24"/>
          <w:lang w:val="en-US"/>
        </w:rPr>
        <w:t xml:space="preserve">v. </w:t>
      </w:r>
      <w:r w:rsidR="005A021A" w:rsidRPr="00217059">
        <w:rPr>
          <w:rFonts w:ascii="Times New Roman" w:hAnsi="Times New Roman" w:cs="Times New Roman"/>
          <w:sz w:val="24"/>
          <w:szCs w:val="24"/>
          <w:lang w:val="en-US"/>
        </w:rPr>
        <w:t xml:space="preserve">125, </w:t>
      </w:r>
      <w:r w:rsidRPr="00217059">
        <w:rPr>
          <w:rFonts w:ascii="Times New Roman" w:hAnsi="Times New Roman" w:cs="Times New Roman"/>
          <w:sz w:val="24"/>
          <w:szCs w:val="24"/>
          <w:lang w:val="en-US"/>
        </w:rPr>
        <w:t>p. 409-429, 2005.</w:t>
      </w:r>
    </w:p>
    <w:p w14:paraId="74B27827" w14:textId="77777777" w:rsidR="005A021A" w:rsidRPr="00217059" w:rsidRDefault="005A021A" w:rsidP="005A021A">
      <w:pPr>
        <w:spacing w:line="240" w:lineRule="auto"/>
        <w:contextualSpacing/>
        <w:jc w:val="both"/>
        <w:rPr>
          <w:rFonts w:ascii="Times New Roman" w:hAnsi="Times New Roman" w:cs="Times New Roman"/>
          <w:sz w:val="24"/>
          <w:szCs w:val="24"/>
          <w:lang w:val="en-US"/>
        </w:rPr>
      </w:pPr>
    </w:p>
    <w:p w14:paraId="7DB85851" w14:textId="77777777" w:rsidR="005A021A" w:rsidRPr="00217059" w:rsidRDefault="003B5097"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BRENDER, A. The effect of fiscal performance on local government election results in Israel: 1989-1998. </w:t>
      </w:r>
      <w:r w:rsidRPr="00217059">
        <w:rPr>
          <w:rFonts w:ascii="Times New Roman" w:hAnsi="Times New Roman" w:cs="Times New Roman"/>
          <w:b/>
          <w:sz w:val="24"/>
          <w:szCs w:val="24"/>
          <w:lang w:val="en-US"/>
        </w:rPr>
        <w:t>Journal of Public Economics</w:t>
      </w:r>
      <w:r w:rsidRPr="00217059">
        <w:rPr>
          <w:rFonts w:ascii="Times New Roman" w:hAnsi="Times New Roman" w:cs="Times New Roman"/>
          <w:sz w:val="24"/>
          <w:szCs w:val="24"/>
          <w:lang w:val="en-US"/>
        </w:rPr>
        <w:t>, v. 87, p. 2187-2205, 2003.</w:t>
      </w:r>
    </w:p>
    <w:p w14:paraId="242107D9" w14:textId="77777777" w:rsidR="003B5097" w:rsidRPr="00217059" w:rsidRDefault="003B5097" w:rsidP="005A021A">
      <w:pPr>
        <w:spacing w:line="240" w:lineRule="auto"/>
        <w:contextualSpacing/>
        <w:jc w:val="both"/>
        <w:rPr>
          <w:rFonts w:ascii="Times New Roman" w:hAnsi="Times New Roman" w:cs="Times New Roman"/>
          <w:sz w:val="24"/>
          <w:szCs w:val="24"/>
          <w:lang w:val="en-US"/>
        </w:rPr>
      </w:pPr>
    </w:p>
    <w:p w14:paraId="2236E361" w14:textId="77777777" w:rsidR="003B5097" w:rsidRPr="00217059" w:rsidRDefault="003B5097" w:rsidP="003B5097">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BRENDER, A.; DRAZEN, A. Political budget cycles in new versus established democracies. </w:t>
      </w:r>
      <w:r w:rsidRPr="00217059">
        <w:rPr>
          <w:rFonts w:ascii="Times New Roman" w:hAnsi="Times New Roman" w:cs="Times New Roman"/>
          <w:b/>
          <w:sz w:val="24"/>
          <w:szCs w:val="24"/>
          <w:lang w:val="en-US"/>
        </w:rPr>
        <w:t>Journal of Monetary Economics</w:t>
      </w:r>
      <w:r w:rsidRPr="00217059">
        <w:rPr>
          <w:rFonts w:ascii="Times New Roman" w:hAnsi="Times New Roman" w:cs="Times New Roman"/>
          <w:sz w:val="24"/>
          <w:szCs w:val="24"/>
          <w:lang w:val="en-US"/>
        </w:rPr>
        <w:t>, v. 52, p. 1271-1295, 2005.</w:t>
      </w:r>
    </w:p>
    <w:p w14:paraId="2EBDC805" w14:textId="77777777" w:rsidR="003B5097" w:rsidRPr="00217059" w:rsidRDefault="003B5097" w:rsidP="003B5097">
      <w:pPr>
        <w:spacing w:line="240" w:lineRule="auto"/>
        <w:contextualSpacing/>
        <w:jc w:val="both"/>
        <w:rPr>
          <w:rFonts w:ascii="Times New Roman" w:hAnsi="Times New Roman" w:cs="Times New Roman"/>
          <w:sz w:val="24"/>
          <w:szCs w:val="24"/>
          <w:lang w:val="en-US"/>
        </w:rPr>
      </w:pPr>
    </w:p>
    <w:p w14:paraId="41AF421B" w14:textId="77777777" w:rsidR="003B5097" w:rsidRPr="00217059" w:rsidRDefault="003B5097"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______. Elections, leaders, and the composition of government spending. </w:t>
      </w:r>
      <w:r w:rsidRPr="00217059">
        <w:rPr>
          <w:rFonts w:ascii="Times New Roman" w:hAnsi="Times New Roman" w:cs="Times New Roman"/>
          <w:b/>
          <w:sz w:val="24"/>
          <w:szCs w:val="24"/>
          <w:lang w:val="en-US"/>
        </w:rPr>
        <w:t>Journal of Public Economics</w:t>
      </w:r>
      <w:r w:rsidRPr="00217059">
        <w:rPr>
          <w:rFonts w:ascii="Times New Roman" w:hAnsi="Times New Roman" w:cs="Times New Roman"/>
          <w:sz w:val="24"/>
          <w:szCs w:val="24"/>
          <w:lang w:val="en-US"/>
        </w:rPr>
        <w:t>, v. 97, p. 18-31, 2013.</w:t>
      </w:r>
    </w:p>
    <w:p w14:paraId="7B87DAEC" w14:textId="77777777" w:rsidR="003B5097" w:rsidRPr="00217059" w:rsidRDefault="003B5097" w:rsidP="005A021A">
      <w:pPr>
        <w:spacing w:line="240" w:lineRule="auto"/>
        <w:contextualSpacing/>
        <w:jc w:val="both"/>
        <w:rPr>
          <w:rFonts w:ascii="Times New Roman" w:hAnsi="Times New Roman" w:cs="Times New Roman"/>
          <w:sz w:val="24"/>
          <w:szCs w:val="24"/>
          <w:lang w:val="en-US"/>
        </w:rPr>
      </w:pPr>
    </w:p>
    <w:p w14:paraId="25E69D20" w14:textId="77777777" w:rsidR="005A021A" w:rsidRPr="00217059" w:rsidRDefault="00CA75BF"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BROOKS, C</w:t>
      </w:r>
      <w:r w:rsidR="005A021A" w:rsidRPr="00217059">
        <w:rPr>
          <w:rFonts w:ascii="Times New Roman" w:hAnsi="Times New Roman" w:cs="Times New Roman"/>
          <w:sz w:val="24"/>
          <w:szCs w:val="24"/>
          <w:lang w:val="en-US"/>
        </w:rPr>
        <w:t xml:space="preserve">. </w:t>
      </w:r>
      <w:r w:rsidR="005A021A" w:rsidRPr="00217059">
        <w:rPr>
          <w:rFonts w:ascii="Times New Roman" w:hAnsi="Times New Roman" w:cs="Times New Roman"/>
          <w:b/>
          <w:sz w:val="24"/>
          <w:szCs w:val="24"/>
          <w:lang w:val="en-US"/>
        </w:rPr>
        <w:t>Introductory Econometrics for Finance</w:t>
      </w:r>
      <w:r w:rsidRPr="00217059">
        <w:rPr>
          <w:rFonts w:ascii="Times New Roman" w:hAnsi="Times New Roman" w:cs="Times New Roman"/>
          <w:sz w:val="24"/>
          <w:szCs w:val="24"/>
          <w:lang w:val="en-US"/>
        </w:rPr>
        <w:t>.</w:t>
      </w:r>
      <w:r w:rsidR="005A021A" w:rsidRPr="00217059">
        <w:rPr>
          <w:rFonts w:ascii="Times New Roman" w:hAnsi="Times New Roman" w:cs="Times New Roman"/>
          <w:sz w:val="24"/>
          <w:szCs w:val="24"/>
          <w:lang w:val="en-US"/>
        </w:rPr>
        <w:t xml:space="preserve"> 3</w:t>
      </w:r>
      <w:r w:rsidRPr="00217059">
        <w:rPr>
          <w:rFonts w:ascii="Times New Roman" w:hAnsi="Times New Roman" w:cs="Times New Roman"/>
          <w:sz w:val="24"/>
          <w:szCs w:val="24"/>
          <w:lang w:val="en-US"/>
        </w:rPr>
        <w:t>ª</w:t>
      </w:r>
      <w:r w:rsidR="005A021A" w:rsidRPr="00217059">
        <w:rPr>
          <w:rFonts w:ascii="Times New Roman" w:hAnsi="Times New Roman" w:cs="Times New Roman"/>
          <w:sz w:val="24"/>
          <w:szCs w:val="24"/>
          <w:lang w:val="en-US"/>
        </w:rPr>
        <w:t xml:space="preserve"> ed. Cambridge</w:t>
      </w:r>
      <w:r w:rsidRPr="00217059">
        <w:rPr>
          <w:rFonts w:ascii="Times New Roman" w:hAnsi="Times New Roman" w:cs="Times New Roman"/>
          <w:sz w:val="24"/>
          <w:szCs w:val="24"/>
          <w:lang w:val="en-US"/>
        </w:rPr>
        <w:t>,</w:t>
      </w:r>
      <w:r w:rsidR="005A021A" w:rsidRPr="00217059">
        <w:rPr>
          <w:rFonts w:ascii="Times New Roman" w:hAnsi="Times New Roman" w:cs="Times New Roman"/>
          <w:sz w:val="24"/>
          <w:szCs w:val="24"/>
          <w:lang w:val="en-US"/>
        </w:rPr>
        <w:t xml:space="preserve"> Cambridge Uni</w:t>
      </w:r>
      <w:r w:rsidRPr="00217059">
        <w:rPr>
          <w:rFonts w:ascii="Times New Roman" w:hAnsi="Times New Roman" w:cs="Times New Roman"/>
          <w:sz w:val="24"/>
          <w:szCs w:val="24"/>
          <w:lang w:val="en-US"/>
        </w:rPr>
        <w:t>versity Press, 2014.</w:t>
      </w:r>
    </w:p>
    <w:p w14:paraId="1B26A52D" w14:textId="77777777" w:rsidR="005A021A" w:rsidRPr="00217059" w:rsidRDefault="005A021A" w:rsidP="005A021A">
      <w:pPr>
        <w:spacing w:line="240" w:lineRule="auto"/>
        <w:contextualSpacing/>
        <w:jc w:val="both"/>
        <w:rPr>
          <w:rFonts w:ascii="Times New Roman" w:hAnsi="Times New Roman" w:cs="Times New Roman"/>
          <w:sz w:val="24"/>
          <w:szCs w:val="24"/>
          <w:lang w:val="en-US"/>
        </w:rPr>
      </w:pPr>
    </w:p>
    <w:p w14:paraId="349B6CF1" w14:textId="77777777" w:rsidR="005A021A" w:rsidRPr="00217059" w:rsidRDefault="00CA75BF"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BUDGE, I.; HOFFERBERT,</w:t>
      </w:r>
      <w:r w:rsidR="005A021A" w:rsidRPr="00217059">
        <w:rPr>
          <w:rFonts w:ascii="Times New Roman" w:hAnsi="Times New Roman" w:cs="Times New Roman"/>
          <w:sz w:val="24"/>
          <w:szCs w:val="24"/>
          <w:lang w:val="en-US"/>
        </w:rPr>
        <w:t xml:space="preserve"> R. Mandates and policy outputs: U.S. party platforms and federal expenditures. </w:t>
      </w:r>
      <w:r w:rsidR="005A021A" w:rsidRPr="00217059">
        <w:rPr>
          <w:rFonts w:ascii="Times New Roman" w:hAnsi="Times New Roman" w:cs="Times New Roman"/>
          <w:b/>
          <w:sz w:val="24"/>
          <w:szCs w:val="24"/>
          <w:lang w:val="en-US"/>
        </w:rPr>
        <w:t>The American Political Science Review</w:t>
      </w:r>
      <w:r w:rsidR="005A021A" w:rsidRPr="00217059">
        <w:rPr>
          <w:rFonts w:ascii="Times New Roman" w:hAnsi="Times New Roman" w:cs="Times New Roman"/>
          <w:sz w:val="24"/>
          <w:szCs w:val="24"/>
          <w:lang w:val="en-US"/>
        </w:rPr>
        <w:t xml:space="preserve">, </w:t>
      </w:r>
      <w:r w:rsidRPr="00217059">
        <w:rPr>
          <w:rFonts w:ascii="Times New Roman" w:hAnsi="Times New Roman" w:cs="Times New Roman"/>
          <w:sz w:val="24"/>
          <w:szCs w:val="24"/>
          <w:lang w:val="en-US"/>
        </w:rPr>
        <w:t xml:space="preserve">v. </w:t>
      </w:r>
      <w:r w:rsidR="005A021A" w:rsidRPr="00217059">
        <w:rPr>
          <w:rFonts w:ascii="Times New Roman" w:hAnsi="Times New Roman" w:cs="Times New Roman"/>
          <w:sz w:val="24"/>
          <w:szCs w:val="24"/>
          <w:lang w:val="en-US"/>
        </w:rPr>
        <w:t xml:space="preserve">84, </w:t>
      </w:r>
      <w:r w:rsidRPr="00217059">
        <w:rPr>
          <w:rFonts w:ascii="Times New Roman" w:hAnsi="Times New Roman" w:cs="Times New Roman"/>
          <w:sz w:val="24"/>
          <w:szCs w:val="24"/>
          <w:lang w:val="en-US"/>
        </w:rPr>
        <w:t xml:space="preserve">p. </w:t>
      </w:r>
      <w:r w:rsidR="005A021A" w:rsidRPr="00217059">
        <w:rPr>
          <w:rFonts w:ascii="Times New Roman" w:hAnsi="Times New Roman" w:cs="Times New Roman"/>
          <w:sz w:val="24"/>
          <w:szCs w:val="24"/>
          <w:lang w:val="en-US"/>
        </w:rPr>
        <w:t>111-132</w:t>
      </w:r>
      <w:r w:rsidRPr="00217059">
        <w:rPr>
          <w:rFonts w:ascii="Times New Roman" w:hAnsi="Times New Roman" w:cs="Times New Roman"/>
          <w:sz w:val="24"/>
          <w:szCs w:val="24"/>
          <w:lang w:val="en-US"/>
        </w:rPr>
        <w:t>, 1990</w:t>
      </w:r>
      <w:r w:rsidR="005A021A" w:rsidRPr="00217059">
        <w:rPr>
          <w:rFonts w:ascii="Times New Roman" w:hAnsi="Times New Roman" w:cs="Times New Roman"/>
          <w:sz w:val="24"/>
          <w:szCs w:val="24"/>
          <w:lang w:val="en-US"/>
        </w:rPr>
        <w:t>.</w:t>
      </w:r>
    </w:p>
    <w:p w14:paraId="49AF18DD" w14:textId="77777777" w:rsidR="005A021A" w:rsidRPr="00217059" w:rsidRDefault="005A021A" w:rsidP="005A021A">
      <w:pPr>
        <w:spacing w:line="240" w:lineRule="auto"/>
        <w:contextualSpacing/>
        <w:jc w:val="both"/>
        <w:rPr>
          <w:rFonts w:ascii="Times New Roman" w:hAnsi="Times New Roman" w:cs="Times New Roman"/>
          <w:sz w:val="24"/>
          <w:szCs w:val="24"/>
          <w:lang w:val="en-US"/>
        </w:rPr>
      </w:pPr>
    </w:p>
    <w:p w14:paraId="5D59C2C8" w14:textId="77777777" w:rsidR="005A021A" w:rsidRPr="00217059" w:rsidRDefault="00CA75BF"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DOWNS, A. An economic theory of political action in a democracy. </w:t>
      </w:r>
      <w:r w:rsidRPr="00217059">
        <w:rPr>
          <w:rFonts w:ascii="Times New Roman" w:hAnsi="Times New Roman" w:cs="Times New Roman"/>
          <w:b/>
          <w:sz w:val="24"/>
          <w:szCs w:val="24"/>
          <w:lang w:val="en-US"/>
        </w:rPr>
        <w:t>Journal of Political Economy</w:t>
      </w:r>
      <w:r w:rsidRPr="00217059">
        <w:rPr>
          <w:rFonts w:ascii="Times New Roman" w:hAnsi="Times New Roman" w:cs="Times New Roman"/>
          <w:sz w:val="24"/>
          <w:szCs w:val="24"/>
          <w:lang w:val="en-US"/>
        </w:rPr>
        <w:t>, v. 65, n. 2, p. 135-150, 1957.</w:t>
      </w:r>
    </w:p>
    <w:p w14:paraId="57924D18" w14:textId="77777777" w:rsidR="00CA75BF" w:rsidRPr="00217059" w:rsidRDefault="00CA75BF" w:rsidP="005A021A">
      <w:pPr>
        <w:spacing w:line="240" w:lineRule="auto"/>
        <w:contextualSpacing/>
        <w:jc w:val="both"/>
        <w:rPr>
          <w:rFonts w:ascii="Times New Roman" w:hAnsi="Times New Roman" w:cs="Times New Roman"/>
          <w:sz w:val="24"/>
          <w:szCs w:val="24"/>
          <w:lang w:val="en-US"/>
        </w:rPr>
      </w:pPr>
    </w:p>
    <w:p w14:paraId="22A474C7" w14:textId="77777777" w:rsidR="005A021A" w:rsidRPr="00217059" w:rsidRDefault="00CA75BF"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DRAZEN, A.; ESLAVA, M. Electoral manipulation via expenditure composition: theory and evidence. </w:t>
      </w:r>
      <w:r w:rsidRPr="00217059">
        <w:rPr>
          <w:rFonts w:ascii="Times New Roman" w:hAnsi="Times New Roman" w:cs="Times New Roman"/>
          <w:b/>
          <w:sz w:val="24"/>
          <w:szCs w:val="24"/>
          <w:lang w:val="en-US"/>
        </w:rPr>
        <w:t>NBER Working Paper</w:t>
      </w:r>
      <w:r w:rsidRPr="00217059">
        <w:rPr>
          <w:rFonts w:ascii="Times New Roman" w:hAnsi="Times New Roman" w:cs="Times New Roman"/>
          <w:sz w:val="24"/>
          <w:szCs w:val="24"/>
          <w:lang w:val="en-US"/>
        </w:rPr>
        <w:t>, n, 11085, 2005.</w:t>
      </w:r>
    </w:p>
    <w:p w14:paraId="1A20AEB7" w14:textId="77777777" w:rsidR="00CA75BF" w:rsidRPr="00217059" w:rsidRDefault="00CA75BF" w:rsidP="005A021A">
      <w:pPr>
        <w:spacing w:line="240" w:lineRule="auto"/>
        <w:contextualSpacing/>
        <w:jc w:val="both"/>
        <w:rPr>
          <w:rFonts w:ascii="Times New Roman" w:hAnsi="Times New Roman" w:cs="Times New Roman"/>
          <w:sz w:val="24"/>
          <w:szCs w:val="24"/>
          <w:lang w:val="en-US"/>
        </w:rPr>
      </w:pPr>
    </w:p>
    <w:p w14:paraId="72DB73B3" w14:textId="77777777" w:rsidR="005A021A" w:rsidRPr="00217059" w:rsidRDefault="00CA75BF"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______. Electoral manipulation via voter-friendly spending: theory and evidence. </w:t>
      </w:r>
      <w:r w:rsidRPr="00217059">
        <w:rPr>
          <w:rFonts w:ascii="Times New Roman" w:hAnsi="Times New Roman" w:cs="Times New Roman"/>
          <w:b/>
          <w:sz w:val="24"/>
          <w:szCs w:val="24"/>
          <w:lang w:val="en-US"/>
        </w:rPr>
        <w:t>Journal of Development Economics</w:t>
      </w:r>
      <w:r w:rsidRPr="00217059">
        <w:rPr>
          <w:rFonts w:ascii="Times New Roman" w:hAnsi="Times New Roman" w:cs="Times New Roman"/>
          <w:sz w:val="24"/>
          <w:szCs w:val="24"/>
          <w:lang w:val="en-US"/>
        </w:rPr>
        <w:t>, v. 92, p. 39-52, 2010.</w:t>
      </w:r>
    </w:p>
    <w:p w14:paraId="67F29655" w14:textId="77777777" w:rsidR="00CA75BF" w:rsidRPr="00217059" w:rsidRDefault="00CA75BF" w:rsidP="005A021A">
      <w:pPr>
        <w:spacing w:line="240" w:lineRule="auto"/>
        <w:contextualSpacing/>
        <w:jc w:val="both"/>
        <w:rPr>
          <w:rFonts w:ascii="Times New Roman" w:hAnsi="Times New Roman" w:cs="Times New Roman"/>
          <w:sz w:val="24"/>
          <w:szCs w:val="24"/>
          <w:lang w:val="en-US"/>
        </w:rPr>
      </w:pPr>
    </w:p>
    <w:p w14:paraId="607E21E7" w14:textId="77777777" w:rsidR="005A021A" w:rsidRPr="00217059" w:rsidRDefault="00CA75BF"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GONZALEZ, P.; HINDRIKS, J.; PORTEIRO, N. Fiscal decentralization and political budget cycles. </w:t>
      </w:r>
      <w:r w:rsidRPr="00217059">
        <w:rPr>
          <w:rFonts w:ascii="Times New Roman" w:hAnsi="Times New Roman" w:cs="Times New Roman"/>
          <w:b/>
          <w:sz w:val="24"/>
          <w:szCs w:val="24"/>
          <w:lang w:val="en-US"/>
        </w:rPr>
        <w:t>Journal of Public Economic Theory</w:t>
      </w:r>
      <w:r w:rsidRPr="00217059">
        <w:rPr>
          <w:rFonts w:ascii="Times New Roman" w:hAnsi="Times New Roman" w:cs="Times New Roman"/>
          <w:sz w:val="24"/>
          <w:szCs w:val="24"/>
          <w:lang w:val="en-US"/>
        </w:rPr>
        <w:t>, v. 15, n. 6, p. 884-911, 2013.</w:t>
      </w:r>
    </w:p>
    <w:p w14:paraId="61E791C1" w14:textId="77777777" w:rsidR="00CA75BF" w:rsidRPr="00217059" w:rsidRDefault="00CA75BF" w:rsidP="005A021A">
      <w:pPr>
        <w:spacing w:line="240" w:lineRule="auto"/>
        <w:contextualSpacing/>
        <w:jc w:val="both"/>
        <w:rPr>
          <w:rFonts w:ascii="Times New Roman" w:hAnsi="Times New Roman" w:cs="Times New Roman"/>
          <w:sz w:val="24"/>
          <w:szCs w:val="24"/>
          <w:lang w:val="en-US"/>
        </w:rPr>
      </w:pPr>
    </w:p>
    <w:p w14:paraId="0BCF761A" w14:textId="77777777" w:rsidR="005A021A" w:rsidRPr="00217059" w:rsidRDefault="00CA75BF"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HAAN, J. Democracy, elections and government budget deficits. </w:t>
      </w:r>
      <w:r w:rsidRPr="00217059">
        <w:rPr>
          <w:rFonts w:ascii="Times New Roman" w:hAnsi="Times New Roman" w:cs="Times New Roman"/>
          <w:b/>
          <w:sz w:val="24"/>
          <w:szCs w:val="24"/>
          <w:lang w:val="en-US"/>
        </w:rPr>
        <w:t>German Economic Review</w:t>
      </w:r>
      <w:r w:rsidRPr="00217059">
        <w:rPr>
          <w:rFonts w:ascii="Times New Roman" w:hAnsi="Times New Roman" w:cs="Times New Roman"/>
          <w:sz w:val="24"/>
          <w:szCs w:val="24"/>
          <w:lang w:val="en-US"/>
        </w:rPr>
        <w:t>, v. 15, n. 1, p. 131-142, 2013.</w:t>
      </w:r>
    </w:p>
    <w:p w14:paraId="30F286E2" w14:textId="77777777" w:rsidR="00CA75BF" w:rsidRPr="00217059" w:rsidRDefault="00CA75BF" w:rsidP="005A021A">
      <w:pPr>
        <w:spacing w:line="240" w:lineRule="auto"/>
        <w:contextualSpacing/>
        <w:jc w:val="both"/>
        <w:rPr>
          <w:rFonts w:ascii="Times New Roman" w:hAnsi="Times New Roman" w:cs="Times New Roman"/>
          <w:sz w:val="24"/>
          <w:szCs w:val="24"/>
          <w:lang w:val="en-US"/>
        </w:rPr>
      </w:pPr>
    </w:p>
    <w:p w14:paraId="632D51DC" w14:textId="77777777" w:rsidR="005A021A" w:rsidRPr="00217059" w:rsidRDefault="00CA75BF"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HIBBS JUNIOR., D. A. Political parties and macroeconomic policy. </w:t>
      </w:r>
      <w:r w:rsidRPr="00217059">
        <w:rPr>
          <w:rFonts w:ascii="Times New Roman" w:hAnsi="Times New Roman" w:cs="Times New Roman"/>
          <w:b/>
          <w:sz w:val="24"/>
          <w:szCs w:val="24"/>
          <w:lang w:val="en-US"/>
        </w:rPr>
        <w:t>American Political Science Review</w:t>
      </w:r>
      <w:r w:rsidRPr="00217059">
        <w:rPr>
          <w:rFonts w:ascii="Times New Roman" w:hAnsi="Times New Roman" w:cs="Times New Roman"/>
          <w:sz w:val="24"/>
          <w:szCs w:val="24"/>
          <w:lang w:val="en-US"/>
        </w:rPr>
        <w:t>, v. 71, n. 4, p. 1467-1487, 1977.</w:t>
      </w:r>
    </w:p>
    <w:p w14:paraId="5CAA42E1" w14:textId="77777777" w:rsidR="00CA75BF" w:rsidRPr="00217059" w:rsidRDefault="00CA75BF" w:rsidP="005A021A">
      <w:pPr>
        <w:spacing w:line="240" w:lineRule="auto"/>
        <w:contextualSpacing/>
        <w:jc w:val="both"/>
        <w:rPr>
          <w:rFonts w:ascii="Times New Roman" w:hAnsi="Times New Roman" w:cs="Times New Roman"/>
          <w:sz w:val="24"/>
          <w:szCs w:val="24"/>
          <w:lang w:val="en-US"/>
        </w:rPr>
      </w:pPr>
    </w:p>
    <w:p w14:paraId="0AD4A967" w14:textId="77777777" w:rsidR="005A021A" w:rsidRPr="00217059" w:rsidRDefault="00CA75BF"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JONES, B. F.; OLKEN, B. A</w:t>
      </w:r>
      <w:r w:rsidR="005A021A" w:rsidRPr="00217059">
        <w:rPr>
          <w:rFonts w:ascii="Times New Roman" w:hAnsi="Times New Roman" w:cs="Times New Roman"/>
          <w:sz w:val="24"/>
          <w:szCs w:val="24"/>
          <w:lang w:val="en-US"/>
        </w:rPr>
        <w:t xml:space="preserve">. Do leaders matter? National leadership and growth since World War II. </w:t>
      </w:r>
      <w:r w:rsidR="005A021A" w:rsidRPr="00217059">
        <w:rPr>
          <w:rFonts w:ascii="Times New Roman" w:hAnsi="Times New Roman" w:cs="Times New Roman"/>
          <w:b/>
          <w:sz w:val="24"/>
          <w:szCs w:val="24"/>
          <w:lang w:val="en-US"/>
        </w:rPr>
        <w:t>Quarterly Journal of Economics</w:t>
      </w:r>
      <w:r w:rsidR="005A021A" w:rsidRPr="00217059">
        <w:rPr>
          <w:rFonts w:ascii="Times New Roman" w:hAnsi="Times New Roman" w:cs="Times New Roman"/>
          <w:sz w:val="24"/>
          <w:szCs w:val="24"/>
          <w:lang w:val="en-US"/>
        </w:rPr>
        <w:t xml:space="preserve">, </w:t>
      </w:r>
      <w:r w:rsidRPr="00217059">
        <w:rPr>
          <w:rFonts w:ascii="Times New Roman" w:hAnsi="Times New Roman" w:cs="Times New Roman"/>
          <w:sz w:val="24"/>
          <w:szCs w:val="24"/>
          <w:lang w:val="en-US"/>
        </w:rPr>
        <w:t xml:space="preserve">v. </w:t>
      </w:r>
      <w:r w:rsidR="005A021A" w:rsidRPr="00217059">
        <w:rPr>
          <w:rFonts w:ascii="Times New Roman" w:hAnsi="Times New Roman" w:cs="Times New Roman"/>
          <w:sz w:val="24"/>
          <w:szCs w:val="24"/>
          <w:lang w:val="en-US"/>
        </w:rPr>
        <w:t xml:space="preserve">120, </w:t>
      </w:r>
      <w:r w:rsidRPr="00217059">
        <w:rPr>
          <w:rFonts w:ascii="Times New Roman" w:hAnsi="Times New Roman" w:cs="Times New Roman"/>
          <w:sz w:val="24"/>
          <w:szCs w:val="24"/>
          <w:lang w:val="en-US"/>
        </w:rPr>
        <w:t xml:space="preserve">p. </w:t>
      </w:r>
      <w:r w:rsidR="005A021A" w:rsidRPr="00217059">
        <w:rPr>
          <w:rFonts w:ascii="Times New Roman" w:hAnsi="Times New Roman" w:cs="Times New Roman"/>
          <w:sz w:val="24"/>
          <w:szCs w:val="24"/>
          <w:lang w:val="en-US"/>
        </w:rPr>
        <w:t>835-864</w:t>
      </w:r>
      <w:r w:rsidRPr="00217059">
        <w:rPr>
          <w:rFonts w:ascii="Times New Roman" w:hAnsi="Times New Roman" w:cs="Times New Roman"/>
          <w:sz w:val="24"/>
          <w:szCs w:val="24"/>
          <w:lang w:val="en-US"/>
        </w:rPr>
        <w:t>, 2005</w:t>
      </w:r>
      <w:r w:rsidR="005A021A" w:rsidRPr="00217059">
        <w:rPr>
          <w:rFonts w:ascii="Times New Roman" w:hAnsi="Times New Roman" w:cs="Times New Roman"/>
          <w:sz w:val="24"/>
          <w:szCs w:val="24"/>
          <w:lang w:val="en-US"/>
        </w:rPr>
        <w:t>.</w:t>
      </w:r>
    </w:p>
    <w:p w14:paraId="1B738AF8" w14:textId="77777777" w:rsidR="005A021A" w:rsidRPr="00217059" w:rsidRDefault="005A021A" w:rsidP="005A021A">
      <w:pPr>
        <w:spacing w:line="240" w:lineRule="auto"/>
        <w:contextualSpacing/>
        <w:jc w:val="both"/>
        <w:rPr>
          <w:rFonts w:ascii="Times New Roman" w:hAnsi="Times New Roman" w:cs="Times New Roman"/>
          <w:sz w:val="24"/>
          <w:szCs w:val="24"/>
          <w:lang w:val="en-US"/>
        </w:rPr>
      </w:pPr>
    </w:p>
    <w:p w14:paraId="3AA70890" w14:textId="77777777" w:rsidR="005A021A" w:rsidRPr="00217059" w:rsidRDefault="00CA75BF"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KATSIMI, M.; SARANTIDES, V. Do elections affect the composition of fiscal policy in developed, established democracies? </w:t>
      </w:r>
      <w:r w:rsidRPr="00217059">
        <w:rPr>
          <w:rFonts w:ascii="Times New Roman" w:hAnsi="Times New Roman" w:cs="Times New Roman"/>
          <w:b/>
          <w:sz w:val="24"/>
          <w:szCs w:val="24"/>
          <w:lang w:val="en-US"/>
        </w:rPr>
        <w:t>Public Choice</w:t>
      </w:r>
      <w:r w:rsidRPr="00217059">
        <w:rPr>
          <w:rFonts w:ascii="Times New Roman" w:hAnsi="Times New Roman" w:cs="Times New Roman"/>
          <w:sz w:val="24"/>
          <w:szCs w:val="24"/>
          <w:lang w:val="en-US"/>
        </w:rPr>
        <w:t>, v. 151, p. 325-362, 2012.</w:t>
      </w:r>
    </w:p>
    <w:p w14:paraId="35004631" w14:textId="77777777" w:rsidR="00CA75BF" w:rsidRPr="00217059" w:rsidRDefault="00CA75BF" w:rsidP="005A021A">
      <w:pPr>
        <w:spacing w:line="240" w:lineRule="auto"/>
        <w:contextualSpacing/>
        <w:jc w:val="both"/>
        <w:rPr>
          <w:rFonts w:ascii="Times New Roman" w:hAnsi="Times New Roman" w:cs="Times New Roman"/>
          <w:sz w:val="24"/>
          <w:szCs w:val="24"/>
          <w:lang w:val="en-US"/>
        </w:rPr>
      </w:pPr>
    </w:p>
    <w:p w14:paraId="6691A362" w14:textId="77777777" w:rsidR="005A021A" w:rsidRPr="00217059" w:rsidRDefault="00CA75BF"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lastRenderedPageBreak/>
        <w:t xml:space="preserve">KLEIN, F. A. Reelection incentives and political budget cycle: evidence from Brazil. </w:t>
      </w:r>
      <w:proofErr w:type="spellStart"/>
      <w:r w:rsidRPr="00217059">
        <w:rPr>
          <w:rFonts w:ascii="Times New Roman" w:hAnsi="Times New Roman" w:cs="Times New Roman"/>
          <w:b/>
          <w:sz w:val="24"/>
          <w:szCs w:val="24"/>
          <w:lang w:val="en-US"/>
        </w:rPr>
        <w:t>Revista</w:t>
      </w:r>
      <w:proofErr w:type="spellEnd"/>
      <w:r w:rsidRPr="00217059">
        <w:rPr>
          <w:rFonts w:ascii="Times New Roman" w:hAnsi="Times New Roman" w:cs="Times New Roman"/>
          <w:b/>
          <w:sz w:val="24"/>
          <w:szCs w:val="24"/>
          <w:lang w:val="en-US"/>
        </w:rPr>
        <w:t xml:space="preserve"> de </w:t>
      </w:r>
      <w:proofErr w:type="spellStart"/>
      <w:r w:rsidRPr="00217059">
        <w:rPr>
          <w:rFonts w:ascii="Times New Roman" w:hAnsi="Times New Roman" w:cs="Times New Roman"/>
          <w:b/>
          <w:sz w:val="24"/>
          <w:szCs w:val="24"/>
          <w:lang w:val="en-US"/>
        </w:rPr>
        <w:t>Administração</w:t>
      </w:r>
      <w:proofErr w:type="spellEnd"/>
      <w:r w:rsidRPr="00217059">
        <w:rPr>
          <w:rFonts w:ascii="Times New Roman" w:hAnsi="Times New Roman" w:cs="Times New Roman"/>
          <w:b/>
          <w:sz w:val="24"/>
          <w:szCs w:val="24"/>
          <w:lang w:val="en-US"/>
        </w:rPr>
        <w:t xml:space="preserve"> </w:t>
      </w:r>
      <w:proofErr w:type="spellStart"/>
      <w:r w:rsidRPr="00217059">
        <w:rPr>
          <w:rFonts w:ascii="Times New Roman" w:hAnsi="Times New Roman" w:cs="Times New Roman"/>
          <w:b/>
          <w:sz w:val="24"/>
          <w:szCs w:val="24"/>
          <w:lang w:val="en-US"/>
        </w:rPr>
        <w:t>Pública</w:t>
      </w:r>
      <w:proofErr w:type="spellEnd"/>
      <w:r w:rsidRPr="00217059">
        <w:rPr>
          <w:rFonts w:ascii="Times New Roman" w:hAnsi="Times New Roman" w:cs="Times New Roman"/>
          <w:sz w:val="24"/>
          <w:szCs w:val="24"/>
          <w:lang w:val="en-US"/>
        </w:rPr>
        <w:t>, v. 44, n. 2, p. 283-337, 2010.</w:t>
      </w:r>
    </w:p>
    <w:p w14:paraId="7C35E1C8" w14:textId="77777777" w:rsidR="00CA75BF" w:rsidRPr="00217059" w:rsidRDefault="00CA75BF" w:rsidP="005A021A">
      <w:pPr>
        <w:spacing w:line="240" w:lineRule="auto"/>
        <w:contextualSpacing/>
        <w:jc w:val="both"/>
        <w:rPr>
          <w:rFonts w:ascii="Times New Roman" w:hAnsi="Times New Roman" w:cs="Times New Roman"/>
          <w:sz w:val="24"/>
          <w:szCs w:val="24"/>
          <w:lang w:val="en-US"/>
        </w:rPr>
      </w:pPr>
    </w:p>
    <w:p w14:paraId="3A23A72C" w14:textId="77777777" w:rsidR="005A021A" w:rsidRPr="00217059" w:rsidRDefault="00CA75BF"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KLEIN, F. A.; SAKURAI, S. N. Term limits and political budget cycles at the local level: evidence from a young democracy. </w:t>
      </w:r>
      <w:r w:rsidRPr="00217059">
        <w:rPr>
          <w:rFonts w:ascii="Times New Roman" w:hAnsi="Times New Roman" w:cs="Times New Roman"/>
          <w:b/>
          <w:sz w:val="24"/>
          <w:szCs w:val="24"/>
          <w:lang w:val="en-US"/>
        </w:rPr>
        <w:t>European Journal of Political Economy</w:t>
      </w:r>
      <w:r w:rsidRPr="00217059">
        <w:rPr>
          <w:rFonts w:ascii="Times New Roman" w:hAnsi="Times New Roman" w:cs="Times New Roman"/>
          <w:sz w:val="24"/>
          <w:szCs w:val="24"/>
          <w:lang w:val="en-US"/>
        </w:rPr>
        <w:t>, v. 37, p. 21-36, 2015.</w:t>
      </w:r>
    </w:p>
    <w:p w14:paraId="04D12405" w14:textId="77777777" w:rsidR="00CA75BF" w:rsidRPr="005C53F0" w:rsidRDefault="00CA75BF" w:rsidP="005A021A">
      <w:pPr>
        <w:spacing w:line="240" w:lineRule="auto"/>
        <w:contextualSpacing/>
        <w:jc w:val="both"/>
        <w:rPr>
          <w:rFonts w:ascii="Times New Roman" w:hAnsi="Times New Roman" w:cs="Times New Roman"/>
          <w:sz w:val="24"/>
          <w:szCs w:val="24"/>
          <w:lang w:val="en-US"/>
        </w:rPr>
      </w:pPr>
    </w:p>
    <w:p w14:paraId="665F8FE8" w14:textId="77777777" w:rsidR="00962CEA" w:rsidRPr="00217059" w:rsidRDefault="00962CEA"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NORDHAUS, W. D. The political business cycle. </w:t>
      </w:r>
      <w:r w:rsidRPr="00217059">
        <w:rPr>
          <w:rFonts w:ascii="Times New Roman" w:hAnsi="Times New Roman" w:cs="Times New Roman"/>
          <w:b/>
          <w:sz w:val="24"/>
          <w:szCs w:val="24"/>
          <w:lang w:val="en-US"/>
        </w:rPr>
        <w:t>Review of Economic Studies</w:t>
      </w:r>
      <w:r w:rsidRPr="00217059">
        <w:rPr>
          <w:rFonts w:ascii="Times New Roman" w:hAnsi="Times New Roman" w:cs="Times New Roman"/>
          <w:sz w:val="24"/>
          <w:szCs w:val="24"/>
          <w:lang w:val="en-US"/>
        </w:rPr>
        <w:t>, v. 42, n. 2, p. 169-190, 1975.</w:t>
      </w:r>
    </w:p>
    <w:p w14:paraId="7B20AB0B" w14:textId="77777777" w:rsidR="005A021A" w:rsidRPr="00217059" w:rsidRDefault="00962CEA" w:rsidP="005A021A">
      <w:pPr>
        <w:spacing w:line="240" w:lineRule="auto"/>
        <w:contextualSpacing/>
        <w:jc w:val="both"/>
        <w:rPr>
          <w:rFonts w:ascii="Times New Roman" w:hAnsi="Times New Roman" w:cs="Times New Roman"/>
          <w:sz w:val="24"/>
          <w:szCs w:val="24"/>
        </w:rPr>
      </w:pPr>
      <w:r w:rsidRPr="00217059">
        <w:rPr>
          <w:rFonts w:ascii="Times New Roman" w:hAnsi="Times New Roman" w:cs="Times New Roman"/>
          <w:sz w:val="24"/>
          <w:szCs w:val="24"/>
        </w:rPr>
        <w:t>QUEIROZ</w:t>
      </w:r>
      <w:r w:rsidR="005A021A" w:rsidRPr="00217059">
        <w:rPr>
          <w:rFonts w:ascii="Times New Roman" w:hAnsi="Times New Roman" w:cs="Times New Roman"/>
          <w:sz w:val="24"/>
          <w:szCs w:val="24"/>
        </w:rPr>
        <w:t xml:space="preserve">, D. B. </w:t>
      </w:r>
      <w:r w:rsidR="005A021A" w:rsidRPr="00217059">
        <w:rPr>
          <w:rFonts w:ascii="Times New Roman" w:hAnsi="Times New Roman" w:cs="Times New Roman"/>
          <w:b/>
          <w:sz w:val="24"/>
          <w:szCs w:val="24"/>
        </w:rPr>
        <w:t>Composição dos Gastos Públicos e Resultados Eleitorais: Um estudo nos municípios brasileiros</w:t>
      </w:r>
      <w:r w:rsidR="005A021A" w:rsidRPr="00217059">
        <w:rPr>
          <w:rFonts w:ascii="Times New Roman" w:hAnsi="Times New Roman" w:cs="Times New Roman"/>
          <w:sz w:val="24"/>
          <w:szCs w:val="24"/>
        </w:rPr>
        <w:t xml:space="preserve">. Tese de Doutorado. </w:t>
      </w:r>
      <w:r w:rsidRPr="00217059">
        <w:rPr>
          <w:rFonts w:ascii="Times New Roman" w:hAnsi="Times New Roman" w:cs="Times New Roman"/>
          <w:sz w:val="24"/>
          <w:szCs w:val="24"/>
        </w:rPr>
        <w:t xml:space="preserve">Programa </w:t>
      </w:r>
      <w:proofErr w:type="spellStart"/>
      <w:r w:rsidRPr="00217059">
        <w:rPr>
          <w:rFonts w:ascii="Times New Roman" w:hAnsi="Times New Roman" w:cs="Times New Roman"/>
          <w:sz w:val="24"/>
          <w:szCs w:val="24"/>
        </w:rPr>
        <w:t>Multiinstitucional</w:t>
      </w:r>
      <w:proofErr w:type="spellEnd"/>
      <w:r w:rsidRPr="00217059">
        <w:rPr>
          <w:rFonts w:ascii="Times New Roman" w:hAnsi="Times New Roman" w:cs="Times New Roman"/>
          <w:sz w:val="24"/>
          <w:szCs w:val="24"/>
        </w:rPr>
        <w:t xml:space="preserve"> e Inter-Regional de Pós-Graduação em Ciências Contábeis da Universidade de Brasília. </w:t>
      </w:r>
      <w:r w:rsidR="005A021A" w:rsidRPr="00217059">
        <w:rPr>
          <w:rFonts w:ascii="Times New Roman" w:hAnsi="Times New Roman" w:cs="Times New Roman"/>
          <w:sz w:val="24"/>
          <w:szCs w:val="24"/>
        </w:rPr>
        <w:t>Universidade de Brasília, Universidade Federal da Paraíba e Universidade</w:t>
      </w:r>
      <w:r w:rsidRPr="00217059">
        <w:rPr>
          <w:rFonts w:ascii="Times New Roman" w:hAnsi="Times New Roman" w:cs="Times New Roman"/>
          <w:sz w:val="24"/>
          <w:szCs w:val="24"/>
        </w:rPr>
        <w:t xml:space="preserve"> Federal do Rio Grande do Norte.</w:t>
      </w:r>
      <w:r w:rsidR="005A021A" w:rsidRPr="00217059">
        <w:rPr>
          <w:rFonts w:ascii="Times New Roman" w:hAnsi="Times New Roman" w:cs="Times New Roman"/>
          <w:sz w:val="24"/>
          <w:szCs w:val="24"/>
        </w:rPr>
        <w:t xml:space="preserve"> Brasília</w:t>
      </w:r>
      <w:r w:rsidRPr="00217059">
        <w:rPr>
          <w:rFonts w:ascii="Times New Roman" w:hAnsi="Times New Roman" w:cs="Times New Roman"/>
          <w:sz w:val="24"/>
          <w:szCs w:val="24"/>
        </w:rPr>
        <w:t>–</w:t>
      </w:r>
      <w:r w:rsidR="005A021A" w:rsidRPr="00217059">
        <w:rPr>
          <w:rFonts w:ascii="Times New Roman" w:hAnsi="Times New Roman" w:cs="Times New Roman"/>
          <w:sz w:val="24"/>
          <w:szCs w:val="24"/>
        </w:rPr>
        <w:t>DF,</w:t>
      </w:r>
      <w:r w:rsidRPr="00217059">
        <w:rPr>
          <w:rFonts w:ascii="Times New Roman" w:hAnsi="Times New Roman" w:cs="Times New Roman"/>
          <w:sz w:val="24"/>
          <w:szCs w:val="24"/>
        </w:rPr>
        <w:t xml:space="preserve"> 2015, p. 134.</w:t>
      </w:r>
    </w:p>
    <w:p w14:paraId="2F4EB730" w14:textId="77777777" w:rsidR="005A021A" w:rsidRPr="00217059" w:rsidRDefault="005A021A" w:rsidP="005A021A">
      <w:pPr>
        <w:spacing w:line="240" w:lineRule="auto"/>
        <w:contextualSpacing/>
        <w:jc w:val="both"/>
        <w:rPr>
          <w:rFonts w:ascii="Times New Roman" w:hAnsi="Times New Roman" w:cs="Times New Roman"/>
          <w:sz w:val="24"/>
          <w:szCs w:val="24"/>
        </w:rPr>
      </w:pPr>
    </w:p>
    <w:p w14:paraId="79D67F61" w14:textId="77777777" w:rsidR="005A021A" w:rsidRPr="00217059" w:rsidRDefault="00962CEA" w:rsidP="005A021A">
      <w:pPr>
        <w:spacing w:line="240" w:lineRule="auto"/>
        <w:contextualSpacing/>
        <w:jc w:val="both"/>
        <w:rPr>
          <w:rFonts w:ascii="Times New Roman" w:hAnsi="Times New Roman" w:cs="Times New Roman"/>
          <w:sz w:val="24"/>
          <w:szCs w:val="24"/>
        </w:rPr>
      </w:pPr>
      <w:r w:rsidRPr="00217059">
        <w:rPr>
          <w:rFonts w:ascii="Times New Roman" w:hAnsi="Times New Roman" w:cs="Times New Roman"/>
          <w:sz w:val="24"/>
          <w:szCs w:val="24"/>
        </w:rPr>
        <w:t>QUEIROZ, D. B.; SOUZA, A. G. S. F.; MORAIS, L. M. F.; SILVA, V. K. R</w:t>
      </w:r>
      <w:r w:rsidR="005A021A" w:rsidRPr="00217059">
        <w:rPr>
          <w:rFonts w:ascii="Times New Roman" w:hAnsi="Times New Roman" w:cs="Times New Roman"/>
          <w:sz w:val="24"/>
          <w:szCs w:val="24"/>
        </w:rPr>
        <w:t>.  Mandatos eleitorais e ciclos político orçamentários: evidências dos estados brasileiros.</w:t>
      </w:r>
      <w:r w:rsidRPr="00217059">
        <w:rPr>
          <w:rFonts w:ascii="Times New Roman" w:hAnsi="Times New Roman" w:cs="Times New Roman"/>
          <w:sz w:val="24"/>
          <w:szCs w:val="24"/>
        </w:rPr>
        <w:t xml:space="preserve"> In: X CONGRESSO ANPCONT</w:t>
      </w:r>
      <w:r w:rsidR="005A021A" w:rsidRPr="00217059">
        <w:rPr>
          <w:rFonts w:ascii="Times New Roman" w:hAnsi="Times New Roman" w:cs="Times New Roman"/>
          <w:sz w:val="24"/>
          <w:szCs w:val="24"/>
        </w:rPr>
        <w:t>, Ribeirão Preto, SP, Brasil.</w:t>
      </w:r>
      <w:r w:rsidRPr="00217059">
        <w:rPr>
          <w:rFonts w:ascii="Times New Roman" w:hAnsi="Times New Roman" w:cs="Times New Roman"/>
          <w:sz w:val="24"/>
          <w:szCs w:val="24"/>
        </w:rPr>
        <w:t xml:space="preserve"> </w:t>
      </w:r>
      <w:r w:rsidRPr="00217059">
        <w:rPr>
          <w:rFonts w:ascii="Times New Roman" w:hAnsi="Times New Roman" w:cs="Times New Roman"/>
          <w:b/>
          <w:sz w:val="24"/>
          <w:szCs w:val="24"/>
        </w:rPr>
        <w:t>Anais</w:t>
      </w:r>
      <w:r w:rsidRPr="00217059">
        <w:rPr>
          <w:rFonts w:ascii="Times New Roman" w:hAnsi="Times New Roman" w:cs="Times New Roman"/>
          <w:sz w:val="24"/>
          <w:szCs w:val="24"/>
        </w:rPr>
        <w:t>... Ribeirão Preto/SP: 4 a 7 de junho de 2016, p. 16.</w:t>
      </w:r>
    </w:p>
    <w:p w14:paraId="34E1AF5D" w14:textId="77777777" w:rsidR="005A021A" w:rsidRPr="00217059" w:rsidRDefault="005A021A" w:rsidP="005A021A">
      <w:pPr>
        <w:spacing w:line="240" w:lineRule="auto"/>
        <w:contextualSpacing/>
        <w:jc w:val="both"/>
        <w:rPr>
          <w:rFonts w:ascii="Times New Roman" w:hAnsi="Times New Roman" w:cs="Times New Roman"/>
          <w:sz w:val="24"/>
          <w:szCs w:val="24"/>
        </w:rPr>
      </w:pPr>
    </w:p>
    <w:p w14:paraId="511157D4" w14:textId="77777777" w:rsidR="005A021A" w:rsidRPr="00217059" w:rsidRDefault="000960FD" w:rsidP="005A021A">
      <w:pPr>
        <w:spacing w:line="240" w:lineRule="auto"/>
        <w:contextualSpacing/>
        <w:jc w:val="both"/>
        <w:rPr>
          <w:rFonts w:ascii="Times New Roman" w:hAnsi="Times New Roman" w:cs="Times New Roman"/>
          <w:sz w:val="24"/>
          <w:szCs w:val="24"/>
        </w:rPr>
      </w:pPr>
      <w:r w:rsidRPr="00217059">
        <w:rPr>
          <w:rFonts w:ascii="Times New Roman" w:hAnsi="Times New Roman" w:cs="Times New Roman"/>
          <w:sz w:val="24"/>
          <w:szCs w:val="24"/>
        </w:rPr>
        <w:t>QUEIROZ,</w:t>
      </w:r>
      <w:r w:rsidR="005A021A" w:rsidRPr="00217059">
        <w:rPr>
          <w:rFonts w:ascii="Times New Roman" w:hAnsi="Times New Roman" w:cs="Times New Roman"/>
          <w:sz w:val="24"/>
          <w:szCs w:val="24"/>
        </w:rPr>
        <w:t xml:space="preserve"> D. B. Influência do ano eleitoral, da mudança de gestor público e do mandato eleitoral sobre mudanças na composição dos gastos públicos nos estados brasileiros. </w:t>
      </w:r>
      <w:r w:rsidR="00BA1E1A" w:rsidRPr="00217059">
        <w:rPr>
          <w:rFonts w:ascii="Times New Roman" w:hAnsi="Times New Roman" w:cs="Times New Roman"/>
          <w:sz w:val="24"/>
          <w:szCs w:val="24"/>
        </w:rPr>
        <w:t>In: XI CONGRESSO ANPCONT</w:t>
      </w:r>
      <w:r w:rsidR="005A021A" w:rsidRPr="00217059">
        <w:rPr>
          <w:rFonts w:ascii="Times New Roman" w:hAnsi="Times New Roman" w:cs="Times New Roman"/>
          <w:sz w:val="24"/>
          <w:szCs w:val="24"/>
        </w:rPr>
        <w:t>, Belo Horizonte, MG, Brasil.</w:t>
      </w:r>
      <w:r w:rsidR="00BA1E1A" w:rsidRPr="00217059">
        <w:rPr>
          <w:rFonts w:ascii="Times New Roman" w:hAnsi="Times New Roman" w:cs="Times New Roman"/>
          <w:sz w:val="24"/>
          <w:szCs w:val="24"/>
        </w:rPr>
        <w:t xml:space="preserve"> </w:t>
      </w:r>
      <w:r w:rsidR="00BA1E1A" w:rsidRPr="00217059">
        <w:rPr>
          <w:rFonts w:ascii="Times New Roman" w:hAnsi="Times New Roman" w:cs="Times New Roman"/>
          <w:b/>
          <w:sz w:val="24"/>
          <w:szCs w:val="24"/>
        </w:rPr>
        <w:t>Anais</w:t>
      </w:r>
      <w:r w:rsidR="00BA1E1A" w:rsidRPr="00217059">
        <w:rPr>
          <w:rFonts w:ascii="Times New Roman" w:hAnsi="Times New Roman" w:cs="Times New Roman"/>
          <w:sz w:val="24"/>
          <w:szCs w:val="24"/>
        </w:rPr>
        <w:t xml:space="preserve">... Belo Horizonte/MG: </w:t>
      </w:r>
      <w:r w:rsidRPr="00217059">
        <w:rPr>
          <w:rFonts w:ascii="Times New Roman" w:hAnsi="Times New Roman" w:cs="Times New Roman"/>
          <w:sz w:val="24"/>
          <w:szCs w:val="24"/>
        </w:rPr>
        <w:t>3 a 6 de junho de 2017, p. 15.</w:t>
      </w:r>
    </w:p>
    <w:p w14:paraId="21634013" w14:textId="77777777" w:rsidR="005A021A" w:rsidRPr="00217059" w:rsidRDefault="005A021A" w:rsidP="005A021A">
      <w:pPr>
        <w:spacing w:line="240" w:lineRule="auto"/>
        <w:contextualSpacing/>
        <w:jc w:val="both"/>
        <w:rPr>
          <w:rFonts w:ascii="Times New Roman" w:hAnsi="Times New Roman" w:cs="Times New Roman"/>
          <w:sz w:val="24"/>
          <w:szCs w:val="24"/>
        </w:rPr>
      </w:pPr>
    </w:p>
    <w:p w14:paraId="779DED7E" w14:textId="77777777" w:rsidR="000960FD" w:rsidRPr="00217059" w:rsidRDefault="000960FD" w:rsidP="000960FD">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ROGOFF, K. Equilibrium political budget cycles. </w:t>
      </w:r>
      <w:r w:rsidRPr="00217059">
        <w:rPr>
          <w:rFonts w:ascii="Times New Roman" w:hAnsi="Times New Roman" w:cs="Times New Roman"/>
          <w:b/>
          <w:sz w:val="24"/>
          <w:szCs w:val="24"/>
          <w:lang w:val="en-US"/>
        </w:rPr>
        <w:t>The American Economic Review</w:t>
      </w:r>
      <w:r w:rsidRPr="00217059">
        <w:rPr>
          <w:rFonts w:ascii="Times New Roman" w:hAnsi="Times New Roman" w:cs="Times New Roman"/>
          <w:sz w:val="24"/>
          <w:szCs w:val="24"/>
          <w:lang w:val="en-US"/>
        </w:rPr>
        <w:t>, v. 80, n. 1, p. 21-26, 1990.</w:t>
      </w:r>
    </w:p>
    <w:p w14:paraId="00ACFDC1" w14:textId="77777777" w:rsidR="000960FD" w:rsidRPr="00217059" w:rsidRDefault="000960FD" w:rsidP="000960FD">
      <w:pPr>
        <w:spacing w:line="240" w:lineRule="auto"/>
        <w:contextualSpacing/>
        <w:jc w:val="both"/>
        <w:rPr>
          <w:rFonts w:ascii="Times New Roman" w:hAnsi="Times New Roman" w:cs="Times New Roman"/>
          <w:sz w:val="24"/>
          <w:szCs w:val="24"/>
          <w:lang w:val="en-US"/>
        </w:rPr>
      </w:pPr>
    </w:p>
    <w:p w14:paraId="078F75B6" w14:textId="77777777" w:rsidR="000960FD" w:rsidRPr="00217059" w:rsidRDefault="000960FD" w:rsidP="000960FD">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ROGOFF, K.; SIBERT, A. </w:t>
      </w:r>
      <w:r w:rsidRPr="00217059">
        <w:rPr>
          <w:rFonts w:ascii="Times New Roman" w:hAnsi="Times New Roman" w:cs="Times New Roman"/>
          <w:b/>
          <w:sz w:val="24"/>
          <w:szCs w:val="24"/>
          <w:lang w:val="en-US"/>
        </w:rPr>
        <w:t>Elections and macroeconomic policy cycles</w:t>
      </w:r>
      <w:r w:rsidRPr="00217059">
        <w:rPr>
          <w:rFonts w:ascii="Times New Roman" w:hAnsi="Times New Roman" w:cs="Times New Roman"/>
          <w:sz w:val="24"/>
          <w:szCs w:val="24"/>
          <w:lang w:val="en-US"/>
        </w:rPr>
        <w:t>. Review of Economic Studies, v. 55, n. 1, p. 1-16, 1988.</w:t>
      </w:r>
    </w:p>
    <w:p w14:paraId="25A37B1F" w14:textId="77777777" w:rsidR="000960FD" w:rsidRPr="00217059" w:rsidRDefault="000960FD" w:rsidP="000960FD">
      <w:pPr>
        <w:spacing w:line="240" w:lineRule="auto"/>
        <w:contextualSpacing/>
        <w:jc w:val="both"/>
        <w:rPr>
          <w:rFonts w:ascii="Times New Roman" w:hAnsi="Times New Roman" w:cs="Times New Roman"/>
          <w:sz w:val="24"/>
          <w:szCs w:val="24"/>
          <w:lang w:val="en-US"/>
        </w:rPr>
      </w:pPr>
    </w:p>
    <w:p w14:paraId="0BB7157E" w14:textId="77777777" w:rsidR="005A021A" w:rsidRPr="00217059" w:rsidRDefault="000960FD" w:rsidP="000960FD">
      <w:pPr>
        <w:spacing w:line="240" w:lineRule="auto"/>
        <w:contextualSpacing/>
        <w:jc w:val="both"/>
        <w:rPr>
          <w:rFonts w:ascii="Times New Roman" w:hAnsi="Times New Roman" w:cs="Times New Roman"/>
          <w:sz w:val="24"/>
          <w:szCs w:val="24"/>
        </w:rPr>
      </w:pPr>
      <w:r w:rsidRPr="00217059">
        <w:rPr>
          <w:rFonts w:ascii="Times New Roman" w:hAnsi="Times New Roman" w:cs="Times New Roman"/>
          <w:sz w:val="24"/>
          <w:szCs w:val="24"/>
          <w:lang w:val="en-US"/>
        </w:rPr>
        <w:t xml:space="preserve">ROSE, S. Do fiscal rules dampen the political business cycle? </w:t>
      </w:r>
      <w:proofErr w:type="spellStart"/>
      <w:r w:rsidRPr="00217059">
        <w:rPr>
          <w:rFonts w:ascii="Times New Roman" w:hAnsi="Times New Roman" w:cs="Times New Roman"/>
          <w:b/>
          <w:sz w:val="24"/>
          <w:szCs w:val="24"/>
        </w:rPr>
        <w:t>Public</w:t>
      </w:r>
      <w:proofErr w:type="spellEnd"/>
      <w:r w:rsidRPr="00217059">
        <w:rPr>
          <w:rFonts w:ascii="Times New Roman" w:hAnsi="Times New Roman" w:cs="Times New Roman"/>
          <w:b/>
          <w:sz w:val="24"/>
          <w:szCs w:val="24"/>
        </w:rPr>
        <w:t xml:space="preserve"> </w:t>
      </w:r>
      <w:proofErr w:type="spellStart"/>
      <w:r w:rsidRPr="00217059">
        <w:rPr>
          <w:rFonts w:ascii="Times New Roman" w:hAnsi="Times New Roman" w:cs="Times New Roman"/>
          <w:b/>
          <w:sz w:val="24"/>
          <w:szCs w:val="24"/>
        </w:rPr>
        <w:t>Choice</w:t>
      </w:r>
      <w:proofErr w:type="spellEnd"/>
      <w:r w:rsidRPr="00217059">
        <w:rPr>
          <w:rFonts w:ascii="Times New Roman" w:hAnsi="Times New Roman" w:cs="Times New Roman"/>
          <w:sz w:val="24"/>
          <w:szCs w:val="24"/>
        </w:rPr>
        <w:t>, v. 128, p. 407-431, 2006.</w:t>
      </w:r>
    </w:p>
    <w:p w14:paraId="09C0279B" w14:textId="77777777" w:rsidR="000960FD" w:rsidRPr="00217059" w:rsidRDefault="000960FD" w:rsidP="005A021A">
      <w:pPr>
        <w:spacing w:line="240" w:lineRule="auto"/>
        <w:contextualSpacing/>
        <w:jc w:val="both"/>
        <w:rPr>
          <w:rFonts w:ascii="Times New Roman" w:hAnsi="Times New Roman" w:cs="Times New Roman"/>
          <w:sz w:val="24"/>
          <w:szCs w:val="24"/>
        </w:rPr>
      </w:pPr>
    </w:p>
    <w:p w14:paraId="2BBC1035" w14:textId="77777777" w:rsidR="000960FD" w:rsidRPr="00217059" w:rsidRDefault="000960FD" w:rsidP="000960FD">
      <w:pPr>
        <w:spacing w:line="240" w:lineRule="auto"/>
        <w:contextualSpacing/>
        <w:jc w:val="both"/>
        <w:rPr>
          <w:rFonts w:ascii="Times New Roman" w:hAnsi="Times New Roman" w:cs="Times New Roman"/>
          <w:sz w:val="24"/>
          <w:szCs w:val="24"/>
        </w:rPr>
      </w:pPr>
      <w:r w:rsidRPr="00217059">
        <w:rPr>
          <w:rFonts w:ascii="Times New Roman" w:hAnsi="Times New Roman" w:cs="Times New Roman"/>
          <w:sz w:val="24"/>
          <w:szCs w:val="24"/>
        </w:rPr>
        <w:t xml:space="preserve">SAKURAI, S. N. Testando a hipótese de ciclos eleitorais racionais nas eleições dos municípios paulistas. </w:t>
      </w:r>
      <w:r w:rsidRPr="00217059">
        <w:rPr>
          <w:rFonts w:ascii="Times New Roman" w:hAnsi="Times New Roman" w:cs="Times New Roman"/>
          <w:b/>
          <w:sz w:val="24"/>
          <w:szCs w:val="24"/>
        </w:rPr>
        <w:t>Estudos Econômicos</w:t>
      </w:r>
      <w:r w:rsidRPr="00217059">
        <w:rPr>
          <w:rFonts w:ascii="Times New Roman" w:hAnsi="Times New Roman" w:cs="Times New Roman"/>
          <w:sz w:val="24"/>
          <w:szCs w:val="24"/>
        </w:rPr>
        <w:t>, v. 35, n. 2, p. 297-315, 2005.</w:t>
      </w:r>
    </w:p>
    <w:p w14:paraId="68C6877F" w14:textId="77777777" w:rsidR="000960FD" w:rsidRPr="00217059" w:rsidRDefault="000960FD" w:rsidP="000960FD">
      <w:pPr>
        <w:spacing w:line="240" w:lineRule="auto"/>
        <w:contextualSpacing/>
        <w:jc w:val="both"/>
        <w:rPr>
          <w:rFonts w:ascii="Times New Roman" w:hAnsi="Times New Roman" w:cs="Times New Roman"/>
          <w:sz w:val="24"/>
          <w:szCs w:val="24"/>
        </w:rPr>
      </w:pPr>
    </w:p>
    <w:p w14:paraId="23490B36" w14:textId="77777777" w:rsidR="000960FD" w:rsidRPr="00217059" w:rsidRDefault="000960FD" w:rsidP="000960FD">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rPr>
        <w:t xml:space="preserve">______. Ciclos políticos nas funções orçamentárias dos municípios brasileiros: uma análise para o período 1990 – 2005 via dados em painel. </w:t>
      </w:r>
      <w:proofErr w:type="spellStart"/>
      <w:r w:rsidRPr="00217059">
        <w:rPr>
          <w:rFonts w:ascii="Times New Roman" w:hAnsi="Times New Roman" w:cs="Times New Roman"/>
          <w:b/>
          <w:sz w:val="24"/>
          <w:szCs w:val="24"/>
          <w:lang w:val="en-US"/>
        </w:rPr>
        <w:t>Estudos</w:t>
      </w:r>
      <w:proofErr w:type="spellEnd"/>
      <w:r w:rsidRPr="00217059">
        <w:rPr>
          <w:rFonts w:ascii="Times New Roman" w:hAnsi="Times New Roman" w:cs="Times New Roman"/>
          <w:b/>
          <w:sz w:val="24"/>
          <w:szCs w:val="24"/>
          <w:lang w:val="en-US"/>
        </w:rPr>
        <w:t xml:space="preserve"> </w:t>
      </w:r>
      <w:proofErr w:type="spellStart"/>
      <w:r w:rsidRPr="00217059">
        <w:rPr>
          <w:rFonts w:ascii="Times New Roman" w:hAnsi="Times New Roman" w:cs="Times New Roman"/>
          <w:b/>
          <w:sz w:val="24"/>
          <w:szCs w:val="24"/>
          <w:lang w:val="en-US"/>
        </w:rPr>
        <w:t>Econômicos</w:t>
      </w:r>
      <w:proofErr w:type="spellEnd"/>
      <w:r w:rsidRPr="00217059">
        <w:rPr>
          <w:rFonts w:ascii="Times New Roman" w:hAnsi="Times New Roman" w:cs="Times New Roman"/>
          <w:sz w:val="24"/>
          <w:szCs w:val="24"/>
          <w:lang w:val="en-US"/>
        </w:rPr>
        <w:t>, v. 39, n. 1, p. 39-58, 2009.</w:t>
      </w:r>
    </w:p>
    <w:p w14:paraId="443FE059" w14:textId="77777777" w:rsidR="000960FD" w:rsidRPr="00217059" w:rsidRDefault="000960FD" w:rsidP="000960FD">
      <w:pPr>
        <w:spacing w:line="240" w:lineRule="auto"/>
        <w:contextualSpacing/>
        <w:jc w:val="both"/>
        <w:rPr>
          <w:rFonts w:ascii="Times New Roman" w:hAnsi="Times New Roman" w:cs="Times New Roman"/>
          <w:sz w:val="24"/>
          <w:szCs w:val="24"/>
          <w:lang w:val="en-US"/>
        </w:rPr>
      </w:pPr>
    </w:p>
    <w:p w14:paraId="618E85FB" w14:textId="77777777" w:rsidR="005A021A" w:rsidRPr="00217059" w:rsidRDefault="000960FD" w:rsidP="000960FD">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SAKURAI, S. N.; MENEZES-FILHO, N. A. Fiscal policy and reelection in Brazilian municipalities. </w:t>
      </w:r>
      <w:r w:rsidRPr="00217059">
        <w:rPr>
          <w:rFonts w:ascii="Times New Roman" w:hAnsi="Times New Roman" w:cs="Times New Roman"/>
          <w:b/>
          <w:sz w:val="24"/>
          <w:szCs w:val="24"/>
          <w:lang w:val="en-US"/>
        </w:rPr>
        <w:t>Public Choice</w:t>
      </w:r>
      <w:r w:rsidRPr="00217059">
        <w:rPr>
          <w:rFonts w:ascii="Times New Roman" w:hAnsi="Times New Roman" w:cs="Times New Roman"/>
          <w:sz w:val="24"/>
          <w:szCs w:val="24"/>
          <w:lang w:val="en-US"/>
        </w:rPr>
        <w:t>, v. 137, p. 301-314, 2008.</w:t>
      </w:r>
    </w:p>
    <w:p w14:paraId="33B6CB3F" w14:textId="77777777" w:rsidR="005A021A" w:rsidRPr="00217059" w:rsidRDefault="005A021A" w:rsidP="005A021A">
      <w:pPr>
        <w:spacing w:line="240" w:lineRule="auto"/>
        <w:contextualSpacing/>
        <w:jc w:val="both"/>
        <w:rPr>
          <w:rFonts w:ascii="Times New Roman" w:hAnsi="Times New Roman" w:cs="Times New Roman"/>
          <w:sz w:val="24"/>
          <w:szCs w:val="24"/>
          <w:lang w:val="en-US"/>
        </w:rPr>
      </w:pPr>
    </w:p>
    <w:p w14:paraId="069FFA4B" w14:textId="77777777" w:rsidR="005A021A" w:rsidRPr="00217059" w:rsidRDefault="000960FD"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______. Opportunistic and partisan election cycles in Brazil: new evidence at the municipal level. </w:t>
      </w:r>
      <w:r w:rsidRPr="00217059">
        <w:rPr>
          <w:rFonts w:ascii="Times New Roman" w:hAnsi="Times New Roman" w:cs="Times New Roman"/>
          <w:b/>
          <w:sz w:val="24"/>
          <w:szCs w:val="24"/>
          <w:lang w:val="en-US"/>
        </w:rPr>
        <w:t>Public Choice</w:t>
      </w:r>
      <w:r w:rsidRPr="00217059">
        <w:rPr>
          <w:rFonts w:ascii="Times New Roman" w:hAnsi="Times New Roman" w:cs="Times New Roman"/>
          <w:sz w:val="24"/>
          <w:szCs w:val="24"/>
          <w:lang w:val="en-US"/>
        </w:rPr>
        <w:t>, v. 148, p. 233-247, 2011.</w:t>
      </w:r>
    </w:p>
    <w:p w14:paraId="4251D0E2" w14:textId="77777777" w:rsidR="000960FD" w:rsidRPr="00217059" w:rsidRDefault="000960FD" w:rsidP="005A021A">
      <w:pPr>
        <w:spacing w:line="240" w:lineRule="auto"/>
        <w:contextualSpacing/>
        <w:jc w:val="both"/>
        <w:rPr>
          <w:rFonts w:ascii="Times New Roman" w:hAnsi="Times New Roman" w:cs="Times New Roman"/>
          <w:sz w:val="24"/>
          <w:szCs w:val="24"/>
          <w:lang w:val="en-US"/>
        </w:rPr>
      </w:pPr>
    </w:p>
    <w:p w14:paraId="57C74C6F" w14:textId="77777777" w:rsidR="005A021A" w:rsidRPr="00217059" w:rsidRDefault="000960FD"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SAPORITI, A.; STREB, J. M. Separation of powers and political budget cycles. </w:t>
      </w:r>
      <w:r w:rsidRPr="00217059">
        <w:rPr>
          <w:rFonts w:ascii="Times New Roman" w:hAnsi="Times New Roman" w:cs="Times New Roman"/>
          <w:b/>
          <w:sz w:val="24"/>
          <w:szCs w:val="24"/>
          <w:lang w:val="en-US"/>
        </w:rPr>
        <w:t>Public Choice</w:t>
      </w:r>
      <w:r w:rsidRPr="00217059">
        <w:rPr>
          <w:rFonts w:ascii="Times New Roman" w:hAnsi="Times New Roman" w:cs="Times New Roman"/>
          <w:sz w:val="24"/>
          <w:szCs w:val="24"/>
          <w:lang w:val="en-US"/>
        </w:rPr>
        <w:t>, v. 137, p. 329-345, 2008.</w:t>
      </w:r>
    </w:p>
    <w:p w14:paraId="13CC3277" w14:textId="77777777" w:rsidR="000960FD" w:rsidRPr="00217059" w:rsidRDefault="000960FD" w:rsidP="005A021A">
      <w:pPr>
        <w:spacing w:line="240" w:lineRule="auto"/>
        <w:contextualSpacing/>
        <w:jc w:val="both"/>
        <w:rPr>
          <w:rFonts w:ascii="Times New Roman" w:hAnsi="Times New Roman" w:cs="Times New Roman"/>
          <w:sz w:val="24"/>
          <w:szCs w:val="24"/>
          <w:lang w:val="en-US"/>
        </w:rPr>
      </w:pPr>
    </w:p>
    <w:p w14:paraId="1BB8C78A" w14:textId="77777777" w:rsidR="005A021A" w:rsidRPr="00217059" w:rsidRDefault="000960FD"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lastRenderedPageBreak/>
        <w:t xml:space="preserve">SHI, M.; SVENSSON, J. Political budget cycles: do they differ across countries and why? </w:t>
      </w:r>
      <w:r w:rsidRPr="00217059">
        <w:rPr>
          <w:rFonts w:ascii="Times New Roman" w:hAnsi="Times New Roman" w:cs="Times New Roman"/>
          <w:b/>
          <w:sz w:val="24"/>
          <w:szCs w:val="24"/>
          <w:lang w:val="en-US"/>
        </w:rPr>
        <w:t>Journal of Public Economics</w:t>
      </w:r>
      <w:r w:rsidRPr="00217059">
        <w:rPr>
          <w:rFonts w:ascii="Times New Roman" w:hAnsi="Times New Roman" w:cs="Times New Roman"/>
          <w:sz w:val="24"/>
          <w:szCs w:val="24"/>
          <w:lang w:val="en-US"/>
        </w:rPr>
        <w:t>, v. 90, p. 1367-1389, 2006.</w:t>
      </w:r>
    </w:p>
    <w:p w14:paraId="1ACBB77A" w14:textId="77777777" w:rsidR="005A021A" w:rsidRPr="00217059" w:rsidRDefault="000960FD"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STREB, J. M.; TORRENS, G. Making rules credible: divided government and political budget cycles. </w:t>
      </w:r>
      <w:r w:rsidRPr="00217059">
        <w:rPr>
          <w:rFonts w:ascii="Times New Roman" w:hAnsi="Times New Roman" w:cs="Times New Roman"/>
          <w:b/>
          <w:sz w:val="24"/>
          <w:szCs w:val="24"/>
          <w:lang w:val="en-US"/>
        </w:rPr>
        <w:t>Public Choice</w:t>
      </w:r>
      <w:r w:rsidRPr="00217059">
        <w:rPr>
          <w:rFonts w:ascii="Times New Roman" w:hAnsi="Times New Roman" w:cs="Times New Roman"/>
          <w:sz w:val="24"/>
          <w:szCs w:val="24"/>
          <w:lang w:val="en-US"/>
        </w:rPr>
        <w:t>, v. 156, p. 703-722, 2013.</w:t>
      </w:r>
    </w:p>
    <w:p w14:paraId="144A7B98" w14:textId="77777777" w:rsidR="000960FD" w:rsidRPr="00217059" w:rsidRDefault="000960FD" w:rsidP="005A021A">
      <w:pPr>
        <w:spacing w:line="240" w:lineRule="auto"/>
        <w:contextualSpacing/>
        <w:jc w:val="both"/>
        <w:rPr>
          <w:rFonts w:ascii="Times New Roman" w:hAnsi="Times New Roman" w:cs="Times New Roman"/>
          <w:sz w:val="24"/>
          <w:szCs w:val="24"/>
          <w:lang w:val="en-US"/>
        </w:rPr>
      </w:pPr>
    </w:p>
    <w:p w14:paraId="08743982" w14:textId="77777777" w:rsidR="005A021A" w:rsidRPr="00217059" w:rsidRDefault="000960FD"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TSEBELIS, G.; CHANG, E.</w:t>
      </w:r>
      <w:r w:rsidR="005A021A" w:rsidRPr="00217059">
        <w:rPr>
          <w:rFonts w:ascii="Times New Roman" w:hAnsi="Times New Roman" w:cs="Times New Roman"/>
          <w:sz w:val="24"/>
          <w:szCs w:val="24"/>
          <w:lang w:val="en-US"/>
        </w:rPr>
        <w:t xml:space="preserve"> Veto players and the structure of budgets in advanced industrialized countries. </w:t>
      </w:r>
      <w:r w:rsidR="005A021A" w:rsidRPr="00217059">
        <w:rPr>
          <w:rFonts w:ascii="Times New Roman" w:hAnsi="Times New Roman" w:cs="Times New Roman"/>
          <w:b/>
          <w:sz w:val="24"/>
          <w:szCs w:val="24"/>
          <w:lang w:val="en-US"/>
        </w:rPr>
        <w:t>European Journal of Poli</w:t>
      </w:r>
      <w:r w:rsidRPr="00217059">
        <w:rPr>
          <w:rFonts w:ascii="Times New Roman" w:hAnsi="Times New Roman" w:cs="Times New Roman"/>
          <w:b/>
          <w:sz w:val="24"/>
          <w:szCs w:val="24"/>
          <w:lang w:val="en-US"/>
        </w:rPr>
        <w:t>tical Research</w:t>
      </w:r>
      <w:r w:rsidRPr="00217059">
        <w:rPr>
          <w:rFonts w:ascii="Times New Roman" w:hAnsi="Times New Roman" w:cs="Times New Roman"/>
          <w:sz w:val="24"/>
          <w:szCs w:val="24"/>
          <w:lang w:val="en-US"/>
        </w:rPr>
        <w:t>, v. 43, n. 3, p. 449–476, 2004.</w:t>
      </w:r>
    </w:p>
    <w:p w14:paraId="6DCEE80C" w14:textId="77777777" w:rsidR="005A021A" w:rsidRPr="00217059" w:rsidRDefault="005A021A" w:rsidP="005A021A">
      <w:pPr>
        <w:spacing w:line="240" w:lineRule="auto"/>
        <w:contextualSpacing/>
        <w:jc w:val="both"/>
        <w:rPr>
          <w:rFonts w:ascii="Times New Roman" w:hAnsi="Times New Roman" w:cs="Times New Roman"/>
          <w:sz w:val="24"/>
          <w:szCs w:val="24"/>
          <w:lang w:val="en-US"/>
        </w:rPr>
      </w:pPr>
    </w:p>
    <w:p w14:paraId="35A8FA90" w14:textId="77777777" w:rsidR="005A021A" w:rsidRPr="00217059" w:rsidRDefault="000960FD" w:rsidP="005A021A">
      <w:pPr>
        <w:spacing w:line="240" w:lineRule="auto"/>
        <w:contextualSpacing/>
        <w:jc w:val="both"/>
        <w:rPr>
          <w:rFonts w:ascii="Times New Roman" w:hAnsi="Times New Roman" w:cs="Times New Roman"/>
          <w:sz w:val="24"/>
          <w:szCs w:val="24"/>
          <w:lang w:val="en-US"/>
        </w:rPr>
      </w:pPr>
      <w:r w:rsidRPr="00217059">
        <w:rPr>
          <w:rFonts w:ascii="Times New Roman" w:hAnsi="Times New Roman" w:cs="Times New Roman"/>
          <w:sz w:val="24"/>
          <w:szCs w:val="24"/>
          <w:lang w:val="en-US"/>
        </w:rPr>
        <w:t xml:space="preserve">VEIGA, L. G.; VEIGA, F. J. Political business cycles at the municipal level. </w:t>
      </w:r>
      <w:r w:rsidRPr="00217059">
        <w:rPr>
          <w:rFonts w:ascii="Times New Roman" w:hAnsi="Times New Roman" w:cs="Times New Roman"/>
          <w:b/>
          <w:sz w:val="24"/>
          <w:szCs w:val="24"/>
          <w:lang w:val="en-US"/>
        </w:rPr>
        <w:t>Public Choice</w:t>
      </w:r>
      <w:r w:rsidRPr="00217059">
        <w:rPr>
          <w:rFonts w:ascii="Times New Roman" w:hAnsi="Times New Roman" w:cs="Times New Roman"/>
          <w:sz w:val="24"/>
          <w:szCs w:val="24"/>
          <w:lang w:val="en-US"/>
        </w:rPr>
        <w:t>, v. 131, p. 45-64, 2007.</w:t>
      </w:r>
    </w:p>
    <w:p w14:paraId="2EA136DD" w14:textId="77777777" w:rsidR="000960FD" w:rsidRPr="00217059" w:rsidRDefault="000960FD" w:rsidP="005A021A">
      <w:pPr>
        <w:spacing w:line="240" w:lineRule="auto"/>
        <w:contextualSpacing/>
        <w:jc w:val="both"/>
        <w:rPr>
          <w:rFonts w:ascii="Times New Roman" w:hAnsi="Times New Roman" w:cs="Times New Roman"/>
          <w:sz w:val="24"/>
          <w:szCs w:val="24"/>
          <w:lang w:val="en-US"/>
        </w:rPr>
      </w:pPr>
    </w:p>
    <w:p w14:paraId="79C279DF" w14:textId="77777777" w:rsidR="005A021A" w:rsidRPr="00217059" w:rsidRDefault="000960FD" w:rsidP="005A021A">
      <w:pPr>
        <w:spacing w:line="240" w:lineRule="auto"/>
        <w:contextualSpacing/>
        <w:rPr>
          <w:rFonts w:ascii="Times New Roman" w:hAnsi="Times New Roman" w:cs="Times New Roman"/>
        </w:rPr>
      </w:pPr>
      <w:r w:rsidRPr="00217059">
        <w:rPr>
          <w:rFonts w:ascii="Times New Roman" w:hAnsi="Times New Roman" w:cs="Times New Roman"/>
          <w:sz w:val="24"/>
          <w:szCs w:val="24"/>
          <w:lang w:val="en-US"/>
        </w:rPr>
        <w:t xml:space="preserve">VERGNE, C. Democracy, elections and allocation of public expenditures in developing countries. </w:t>
      </w:r>
      <w:r w:rsidRPr="00217059">
        <w:rPr>
          <w:rFonts w:ascii="Times New Roman" w:hAnsi="Times New Roman" w:cs="Times New Roman"/>
          <w:b/>
          <w:sz w:val="24"/>
          <w:szCs w:val="24"/>
          <w:lang w:val="en-US"/>
        </w:rPr>
        <w:t>European Journal of Political Economy</w:t>
      </w:r>
      <w:r w:rsidRPr="00217059">
        <w:rPr>
          <w:rFonts w:ascii="Times New Roman" w:hAnsi="Times New Roman" w:cs="Times New Roman"/>
          <w:sz w:val="24"/>
          <w:szCs w:val="24"/>
          <w:lang w:val="en-US"/>
        </w:rPr>
        <w:t>, v. 25, p. 63-77, 2009.</w:t>
      </w:r>
    </w:p>
    <w:p w14:paraId="34CA6C0E" w14:textId="77777777" w:rsidR="005A021A" w:rsidRPr="00217059" w:rsidRDefault="005A021A" w:rsidP="005A021A">
      <w:pPr>
        <w:spacing w:line="240" w:lineRule="auto"/>
        <w:contextualSpacing/>
        <w:rPr>
          <w:rFonts w:ascii="Times New Roman" w:hAnsi="Times New Roman" w:cs="Times New Roman"/>
        </w:rPr>
      </w:pPr>
    </w:p>
    <w:p w14:paraId="54A01B4B" w14:textId="77777777" w:rsidR="00A9699A" w:rsidRDefault="00A9699A" w:rsidP="005A021A">
      <w:pPr>
        <w:spacing w:line="240" w:lineRule="auto"/>
        <w:contextualSpacing/>
      </w:pPr>
      <w:bookmarkStart w:id="0" w:name="_GoBack"/>
      <w:bookmarkEnd w:id="0"/>
    </w:p>
    <w:sectPr w:rsidR="00A9699A" w:rsidSect="006272DE">
      <w:headerReference w:type="default" r:id="rId10"/>
      <w:footerReference w:type="default" r:id="rId11"/>
      <w:pgSz w:w="11906" w:h="16838"/>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00FE9A" w16cid:durableId="1E7864C2"/>
  <w16cid:commentId w16cid:paraId="4BBD9891" w16cid:durableId="1E7867F7"/>
  <w16cid:commentId w16cid:paraId="013AD73B" w16cid:durableId="1E786E8A"/>
  <w16cid:commentId w16cid:paraId="2EB79F93" w16cid:durableId="1E786EE9"/>
  <w16cid:commentId w16cid:paraId="377E54D3" w16cid:durableId="1E786FDE"/>
  <w16cid:commentId w16cid:paraId="2216451A" w16cid:durableId="1E787002"/>
  <w16cid:commentId w16cid:paraId="33FB40CB" w16cid:durableId="1E7872B1"/>
  <w16cid:commentId w16cid:paraId="27C316A8" w16cid:durableId="1E787497"/>
  <w16cid:commentId w16cid:paraId="4904CA9D" w16cid:durableId="1E7874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E3E69" w14:textId="77777777" w:rsidR="000269C3" w:rsidRDefault="000269C3" w:rsidP="005A021A">
      <w:pPr>
        <w:spacing w:after="0" w:line="240" w:lineRule="auto"/>
      </w:pPr>
      <w:r>
        <w:separator/>
      </w:r>
    </w:p>
  </w:endnote>
  <w:endnote w:type="continuationSeparator" w:id="0">
    <w:p w14:paraId="42A74F6A" w14:textId="77777777" w:rsidR="000269C3" w:rsidRDefault="000269C3" w:rsidP="005A0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01822"/>
      <w:docPartObj>
        <w:docPartGallery w:val="Page Numbers (Bottom of Page)"/>
        <w:docPartUnique/>
      </w:docPartObj>
    </w:sdtPr>
    <w:sdtEndPr>
      <w:rPr>
        <w:rFonts w:ascii="Times New Roman" w:hAnsi="Times New Roman" w:cs="Times New Roman"/>
        <w:sz w:val="20"/>
        <w:szCs w:val="20"/>
      </w:rPr>
    </w:sdtEndPr>
    <w:sdtContent>
      <w:p w14:paraId="38F229F2" w14:textId="77777777" w:rsidR="00FE6CE9" w:rsidRPr="0001178B" w:rsidRDefault="00FE6CE9">
        <w:pPr>
          <w:pStyle w:val="Rodap"/>
          <w:jc w:val="right"/>
          <w:rPr>
            <w:rFonts w:ascii="Times New Roman" w:hAnsi="Times New Roman" w:cs="Times New Roman"/>
            <w:sz w:val="20"/>
            <w:szCs w:val="20"/>
          </w:rPr>
        </w:pPr>
        <w:r w:rsidRPr="0001178B">
          <w:rPr>
            <w:rFonts w:ascii="Times New Roman" w:hAnsi="Times New Roman" w:cs="Times New Roman"/>
            <w:sz w:val="20"/>
            <w:szCs w:val="20"/>
          </w:rPr>
          <w:fldChar w:fldCharType="begin"/>
        </w:r>
        <w:r w:rsidRPr="0001178B">
          <w:rPr>
            <w:rFonts w:ascii="Times New Roman" w:hAnsi="Times New Roman" w:cs="Times New Roman"/>
            <w:sz w:val="20"/>
            <w:szCs w:val="20"/>
          </w:rPr>
          <w:instrText>PAGE   \* MERGEFORMAT</w:instrText>
        </w:r>
        <w:r w:rsidRPr="0001178B">
          <w:rPr>
            <w:rFonts w:ascii="Times New Roman" w:hAnsi="Times New Roman" w:cs="Times New Roman"/>
            <w:sz w:val="20"/>
            <w:szCs w:val="20"/>
          </w:rPr>
          <w:fldChar w:fldCharType="separate"/>
        </w:r>
        <w:r w:rsidR="004E41A6">
          <w:rPr>
            <w:rFonts w:ascii="Times New Roman" w:hAnsi="Times New Roman" w:cs="Times New Roman"/>
            <w:noProof/>
            <w:sz w:val="20"/>
            <w:szCs w:val="20"/>
          </w:rPr>
          <w:t>15</w:t>
        </w:r>
        <w:r w:rsidRPr="0001178B">
          <w:rPr>
            <w:rFonts w:ascii="Times New Roman" w:hAnsi="Times New Roman" w:cs="Times New Roman"/>
            <w:sz w:val="20"/>
            <w:szCs w:val="20"/>
          </w:rPr>
          <w:fldChar w:fldCharType="end"/>
        </w:r>
      </w:p>
    </w:sdtContent>
  </w:sdt>
  <w:p w14:paraId="3D400381" w14:textId="77777777" w:rsidR="00FE6CE9" w:rsidRDefault="00FE6CE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600B5" w14:textId="77777777" w:rsidR="000269C3" w:rsidRDefault="000269C3" w:rsidP="005A021A">
      <w:pPr>
        <w:spacing w:after="0" w:line="240" w:lineRule="auto"/>
      </w:pPr>
      <w:r>
        <w:separator/>
      </w:r>
    </w:p>
  </w:footnote>
  <w:footnote w:type="continuationSeparator" w:id="0">
    <w:p w14:paraId="24FD4C15" w14:textId="77777777" w:rsidR="000269C3" w:rsidRDefault="000269C3" w:rsidP="005A0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3AB93" w14:textId="77777777" w:rsidR="00FE6CE9" w:rsidRDefault="00FE6CE9">
    <w:pPr>
      <w:pStyle w:val="Cabealho"/>
      <w:jc w:val="right"/>
    </w:pPr>
  </w:p>
  <w:p w14:paraId="4FCA02B7" w14:textId="77777777" w:rsidR="00FE6CE9" w:rsidRDefault="00FE6CE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B0370"/>
    <w:multiLevelType w:val="hybridMultilevel"/>
    <w:tmpl w:val="50A07B6E"/>
    <w:lvl w:ilvl="0" w:tplc="9318840E">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764331F1"/>
    <w:multiLevelType w:val="hybridMultilevel"/>
    <w:tmpl w:val="DB98E80E"/>
    <w:lvl w:ilvl="0" w:tplc="8AF2D8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BC"/>
    <w:rsid w:val="0001178B"/>
    <w:rsid w:val="00024F24"/>
    <w:rsid w:val="000269C3"/>
    <w:rsid w:val="000659D4"/>
    <w:rsid w:val="00073DEE"/>
    <w:rsid w:val="000750E7"/>
    <w:rsid w:val="00084721"/>
    <w:rsid w:val="000960FD"/>
    <w:rsid w:val="000B2C89"/>
    <w:rsid w:val="000C28BC"/>
    <w:rsid w:val="000F5902"/>
    <w:rsid w:val="001324C4"/>
    <w:rsid w:val="00137A4D"/>
    <w:rsid w:val="00163AC6"/>
    <w:rsid w:val="00190AB7"/>
    <w:rsid w:val="001F1BE3"/>
    <w:rsid w:val="00217059"/>
    <w:rsid w:val="00261A58"/>
    <w:rsid w:val="002633D3"/>
    <w:rsid w:val="0026670E"/>
    <w:rsid w:val="002D251A"/>
    <w:rsid w:val="002F7868"/>
    <w:rsid w:val="003128FE"/>
    <w:rsid w:val="003145A7"/>
    <w:rsid w:val="00371030"/>
    <w:rsid w:val="00384DD1"/>
    <w:rsid w:val="003A1FA2"/>
    <w:rsid w:val="003B5097"/>
    <w:rsid w:val="0048563E"/>
    <w:rsid w:val="004E41A6"/>
    <w:rsid w:val="00557DCD"/>
    <w:rsid w:val="00586402"/>
    <w:rsid w:val="005A021A"/>
    <w:rsid w:val="005C53F0"/>
    <w:rsid w:val="005E6438"/>
    <w:rsid w:val="005F2534"/>
    <w:rsid w:val="00615A70"/>
    <w:rsid w:val="006272DE"/>
    <w:rsid w:val="00636B5A"/>
    <w:rsid w:val="006C451A"/>
    <w:rsid w:val="006C72F5"/>
    <w:rsid w:val="006D5813"/>
    <w:rsid w:val="006F511D"/>
    <w:rsid w:val="00734539"/>
    <w:rsid w:val="007B30DA"/>
    <w:rsid w:val="007C2EC2"/>
    <w:rsid w:val="008013E8"/>
    <w:rsid w:val="00887198"/>
    <w:rsid w:val="008B32CF"/>
    <w:rsid w:val="008C0265"/>
    <w:rsid w:val="008D2820"/>
    <w:rsid w:val="008E7FA4"/>
    <w:rsid w:val="00917257"/>
    <w:rsid w:val="00935CDF"/>
    <w:rsid w:val="009426BA"/>
    <w:rsid w:val="00962CEA"/>
    <w:rsid w:val="009E1D74"/>
    <w:rsid w:val="00A5363B"/>
    <w:rsid w:val="00A53D0C"/>
    <w:rsid w:val="00A745AE"/>
    <w:rsid w:val="00A9699A"/>
    <w:rsid w:val="00B1044B"/>
    <w:rsid w:val="00B54593"/>
    <w:rsid w:val="00B576A0"/>
    <w:rsid w:val="00B64057"/>
    <w:rsid w:val="00BA1E1A"/>
    <w:rsid w:val="00BA4679"/>
    <w:rsid w:val="00BC0E66"/>
    <w:rsid w:val="00BC485F"/>
    <w:rsid w:val="00BE5E0F"/>
    <w:rsid w:val="00C3108B"/>
    <w:rsid w:val="00C95D36"/>
    <w:rsid w:val="00C964DD"/>
    <w:rsid w:val="00CA75BF"/>
    <w:rsid w:val="00CC11C0"/>
    <w:rsid w:val="00CD57BD"/>
    <w:rsid w:val="00D23153"/>
    <w:rsid w:val="00D852C6"/>
    <w:rsid w:val="00DC31B3"/>
    <w:rsid w:val="00DD34C1"/>
    <w:rsid w:val="00E222D4"/>
    <w:rsid w:val="00E452EC"/>
    <w:rsid w:val="00E67617"/>
    <w:rsid w:val="00E87CBC"/>
    <w:rsid w:val="00EA75CC"/>
    <w:rsid w:val="00ED3300"/>
    <w:rsid w:val="00F21D4A"/>
    <w:rsid w:val="00F343D3"/>
    <w:rsid w:val="00F4670B"/>
    <w:rsid w:val="00F5448F"/>
    <w:rsid w:val="00FC6A06"/>
    <w:rsid w:val="00FE6C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A9EF4"/>
  <w15:chartTrackingRefBased/>
  <w15:docId w15:val="{0CF1ECDD-872E-4E1A-9980-FA1B08CE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02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021A"/>
  </w:style>
  <w:style w:type="paragraph" w:styleId="Rodap">
    <w:name w:val="footer"/>
    <w:basedOn w:val="Normal"/>
    <w:link w:val="RodapChar"/>
    <w:uiPriority w:val="99"/>
    <w:unhideWhenUsed/>
    <w:rsid w:val="005A021A"/>
    <w:pPr>
      <w:tabs>
        <w:tab w:val="center" w:pos="4252"/>
        <w:tab w:val="right" w:pos="8504"/>
      </w:tabs>
      <w:spacing w:after="0" w:line="240" w:lineRule="auto"/>
    </w:pPr>
  </w:style>
  <w:style w:type="character" w:customStyle="1" w:styleId="RodapChar">
    <w:name w:val="Rodapé Char"/>
    <w:basedOn w:val="Fontepargpadro"/>
    <w:link w:val="Rodap"/>
    <w:uiPriority w:val="99"/>
    <w:rsid w:val="005A021A"/>
  </w:style>
  <w:style w:type="paragraph" w:styleId="PargrafodaLista">
    <w:name w:val="List Paragraph"/>
    <w:basedOn w:val="Normal"/>
    <w:uiPriority w:val="34"/>
    <w:qFormat/>
    <w:rsid w:val="00F5448F"/>
    <w:pPr>
      <w:ind w:left="720"/>
      <w:contextualSpacing/>
    </w:pPr>
  </w:style>
  <w:style w:type="paragraph" w:customStyle="1" w:styleId="Default">
    <w:name w:val="Default"/>
    <w:rsid w:val="006C72F5"/>
    <w:pPr>
      <w:autoSpaceDE w:val="0"/>
      <w:autoSpaceDN w:val="0"/>
      <w:adjustRightInd w:val="0"/>
      <w:spacing w:after="200" w:line="240" w:lineRule="auto"/>
    </w:pPr>
    <w:rPr>
      <w:rFonts w:ascii="Times New Roman" w:eastAsia="Calibri" w:hAnsi="Times New Roman" w:cs="Times New Roman"/>
      <w:color w:val="000000"/>
      <w:sz w:val="24"/>
      <w:szCs w:val="24"/>
      <w:lang w:eastAsia="pt-BR"/>
    </w:rPr>
  </w:style>
  <w:style w:type="character" w:styleId="Hyperlink">
    <w:name w:val="Hyperlink"/>
    <w:basedOn w:val="Fontepargpadro"/>
    <w:uiPriority w:val="99"/>
    <w:unhideWhenUsed/>
    <w:rsid w:val="001324C4"/>
    <w:rPr>
      <w:color w:val="0563C1" w:themeColor="hyperlink"/>
      <w:u w:val="single"/>
    </w:rPr>
  </w:style>
  <w:style w:type="character" w:styleId="Refdecomentrio">
    <w:name w:val="annotation reference"/>
    <w:basedOn w:val="Fontepargpadro"/>
    <w:uiPriority w:val="99"/>
    <w:semiHidden/>
    <w:unhideWhenUsed/>
    <w:rsid w:val="00E222D4"/>
    <w:rPr>
      <w:sz w:val="16"/>
      <w:szCs w:val="16"/>
    </w:rPr>
  </w:style>
  <w:style w:type="paragraph" w:styleId="Textodecomentrio">
    <w:name w:val="annotation text"/>
    <w:basedOn w:val="Normal"/>
    <w:link w:val="TextodecomentrioChar"/>
    <w:uiPriority w:val="99"/>
    <w:semiHidden/>
    <w:unhideWhenUsed/>
    <w:rsid w:val="00E222D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222D4"/>
    <w:rPr>
      <w:sz w:val="20"/>
      <w:szCs w:val="20"/>
    </w:rPr>
  </w:style>
  <w:style w:type="paragraph" w:styleId="Assuntodocomentrio">
    <w:name w:val="annotation subject"/>
    <w:basedOn w:val="Textodecomentrio"/>
    <w:next w:val="Textodecomentrio"/>
    <w:link w:val="AssuntodocomentrioChar"/>
    <w:uiPriority w:val="99"/>
    <w:semiHidden/>
    <w:unhideWhenUsed/>
    <w:rsid w:val="00E222D4"/>
    <w:rPr>
      <w:b/>
      <w:bCs/>
    </w:rPr>
  </w:style>
  <w:style w:type="character" w:customStyle="1" w:styleId="AssuntodocomentrioChar">
    <w:name w:val="Assunto do comentário Char"/>
    <w:basedOn w:val="TextodecomentrioChar"/>
    <w:link w:val="Assuntodocomentrio"/>
    <w:uiPriority w:val="99"/>
    <w:semiHidden/>
    <w:rsid w:val="00E222D4"/>
    <w:rPr>
      <w:b/>
      <w:bCs/>
      <w:sz w:val="20"/>
      <w:szCs w:val="20"/>
    </w:rPr>
  </w:style>
  <w:style w:type="paragraph" w:styleId="Textodebalo">
    <w:name w:val="Balloon Text"/>
    <w:basedOn w:val="Normal"/>
    <w:link w:val="TextodebaloChar"/>
    <w:uiPriority w:val="99"/>
    <w:semiHidden/>
    <w:unhideWhenUsed/>
    <w:rsid w:val="00E222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22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iamf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masqueiroz@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84079-F399-4F1E-ADC8-E13ACFA3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7510</Words>
  <Characters>40559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Morais</dc:creator>
  <cp:keywords/>
  <dc:description/>
  <cp:lastModifiedBy>Livia Morais</cp:lastModifiedBy>
  <cp:revision>6</cp:revision>
  <dcterms:created xsi:type="dcterms:W3CDTF">2018-04-12T21:08:00Z</dcterms:created>
  <dcterms:modified xsi:type="dcterms:W3CDTF">2018-04-12T21:45:00Z</dcterms:modified>
</cp:coreProperties>
</file>