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24" w:rsidRPr="00C35568" w:rsidRDefault="008F1B24" w:rsidP="00351C7E">
      <w:pPr>
        <w:spacing w:line="240" w:lineRule="auto"/>
        <w:jc w:val="center"/>
        <w:rPr>
          <w:rFonts w:ascii="Times New Roman" w:hAnsi="Times New Roman" w:cs="Times New Roman"/>
          <w:b/>
          <w:sz w:val="24"/>
          <w:szCs w:val="24"/>
          <w:lang w:val="pt-BR"/>
        </w:rPr>
      </w:pPr>
      <w:r w:rsidRPr="00C35568">
        <w:rPr>
          <w:rFonts w:ascii="Times New Roman" w:hAnsi="Times New Roman" w:cs="Times New Roman"/>
          <w:b/>
          <w:sz w:val="24"/>
          <w:szCs w:val="24"/>
          <w:lang w:val="pt-BR"/>
        </w:rPr>
        <w:t>O que dizem os Formulários de Referência sobre as Caracter</w:t>
      </w:r>
      <w:r w:rsidR="005865AA" w:rsidRPr="00C35568">
        <w:rPr>
          <w:rFonts w:ascii="Times New Roman" w:hAnsi="Times New Roman" w:cs="Times New Roman"/>
          <w:b/>
          <w:sz w:val="24"/>
          <w:szCs w:val="24"/>
          <w:lang w:val="pt-BR"/>
        </w:rPr>
        <w:t>í</w:t>
      </w:r>
      <w:r w:rsidRPr="00C35568">
        <w:rPr>
          <w:rFonts w:ascii="Times New Roman" w:hAnsi="Times New Roman" w:cs="Times New Roman"/>
          <w:b/>
          <w:sz w:val="24"/>
          <w:szCs w:val="24"/>
          <w:lang w:val="pt-BR"/>
        </w:rPr>
        <w:t>sticas e Remuneração de Executivos?</w:t>
      </w:r>
    </w:p>
    <w:p w:rsidR="002047F0" w:rsidRDefault="002047F0" w:rsidP="00351C7E">
      <w:pPr>
        <w:spacing w:line="240" w:lineRule="auto"/>
        <w:jc w:val="center"/>
        <w:rPr>
          <w:rFonts w:ascii="Times New Roman" w:hAnsi="Times New Roman" w:cs="Times New Roman"/>
          <w:b/>
          <w:sz w:val="24"/>
          <w:szCs w:val="24"/>
        </w:rPr>
      </w:pPr>
      <w:r w:rsidRPr="002047F0">
        <w:rPr>
          <w:rFonts w:ascii="Times New Roman" w:hAnsi="Times New Roman" w:cs="Times New Roman"/>
          <w:b/>
          <w:sz w:val="24"/>
          <w:szCs w:val="24"/>
        </w:rPr>
        <w:t>What the Reference Form says about Characteristics and Executive Compensation?</w:t>
      </w:r>
    </w:p>
    <w:p w:rsidR="007D121F" w:rsidRPr="00C3078E" w:rsidRDefault="007D121F" w:rsidP="007D121F">
      <w:pPr>
        <w:spacing w:after="0" w:line="240" w:lineRule="auto"/>
        <w:jc w:val="center"/>
        <w:rPr>
          <w:rFonts w:ascii="Times New Roman" w:hAnsi="Times New Roman" w:cs="Times New Roman"/>
          <w:b/>
          <w:sz w:val="24"/>
          <w:szCs w:val="24"/>
        </w:rPr>
      </w:pPr>
    </w:p>
    <w:p w:rsidR="007D121F" w:rsidRPr="008A4F5E" w:rsidRDefault="007D121F" w:rsidP="00351C7E">
      <w:pPr>
        <w:spacing w:after="0" w:line="240" w:lineRule="auto"/>
        <w:jc w:val="center"/>
        <w:rPr>
          <w:rFonts w:ascii="Times New Roman" w:hAnsi="Times New Roman" w:cs="Times New Roman"/>
          <w:b/>
          <w:sz w:val="24"/>
          <w:szCs w:val="24"/>
          <w:lang w:val="pt-BR"/>
        </w:rPr>
      </w:pPr>
      <w:r w:rsidRPr="008A4F5E">
        <w:rPr>
          <w:rFonts w:ascii="Times New Roman" w:hAnsi="Times New Roman" w:cs="Times New Roman"/>
          <w:b/>
          <w:sz w:val="24"/>
          <w:szCs w:val="24"/>
          <w:lang w:val="pt-BR"/>
        </w:rPr>
        <w:t>Jean Carlo Rissatti</w:t>
      </w:r>
    </w:p>
    <w:p w:rsidR="007D121F" w:rsidRPr="008A4F5E" w:rsidRDefault="007D121F" w:rsidP="00351C7E">
      <w:pPr>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Mestrando em Contabilidade – PPGC/UFSC</w:t>
      </w:r>
    </w:p>
    <w:p w:rsidR="007D121F" w:rsidRPr="008A4F5E"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Universidade Federal de Santa Catarina</w:t>
      </w:r>
    </w:p>
    <w:p w:rsidR="007D121F" w:rsidRPr="008A4F5E"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Campus Universitário Reitor David Ferreira Lima, Trindade – Florianópolis, SC, 88040-380</w:t>
      </w:r>
    </w:p>
    <w:p w:rsidR="007D121F" w:rsidRPr="006F2C4B"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 xml:space="preserve">E-mail: </w:t>
      </w:r>
      <w:hyperlink r:id="rId8" w:history="1">
        <w:r w:rsidRPr="006F2C4B">
          <w:rPr>
            <w:rStyle w:val="Hyperlink"/>
            <w:rFonts w:ascii="Times New Roman" w:hAnsi="Times New Roman" w:cs="Times New Roman"/>
            <w:color w:val="auto"/>
            <w:sz w:val="23"/>
            <w:szCs w:val="23"/>
            <w:u w:val="none"/>
            <w:lang w:val="pt-BR"/>
          </w:rPr>
          <w:t>rissatti.jean@gmail.com</w:t>
        </w:r>
      </w:hyperlink>
    </w:p>
    <w:p w:rsidR="007D121F"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 xml:space="preserve">Telefone: (48) </w:t>
      </w:r>
      <w:r w:rsidR="00C3078E" w:rsidRPr="00486E22">
        <w:rPr>
          <w:rFonts w:ascii="Times New Roman" w:hAnsi="Times New Roman" w:cs="Times New Roman"/>
          <w:sz w:val="24"/>
          <w:szCs w:val="24"/>
          <w:lang w:val="pt-BR"/>
        </w:rPr>
        <w:t>3721-9897</w:t>
      </w:r>
    </w:p>
    <w:p w:rsidR="007D121F" w:rsidRPr="008A4F5E" w:rsidRDefault="007D121F" w:rsidP="00351C7E">
      <w:pPr>
        <w:spacing w:after="0" w:line="240" w:lineRule="auto"/>
        <w:jc w:val="center"/>
        <w:rPr>
          <w:rFonts w:ascii="Times New Roman" w:hAnsi="Times New Roman" w:cs="Times New Roman"/>
          <w:sz w:val="23"/>
          <w:szCs w:val="23"/>
          <w:lang w:val="pt-BR"/>
        </w:rPr>
      </w:pPr>
    </w:p>
    <w:p w:rsidR="007D121F" w:rsidRPr="008A4F5E" w:rsidRDefault="007D121F" w:rsidP="00351C7E">
      <w:pPr>
        <w:spacing w:after="0" w:line="240" w:lineRule="auto"/>
        <w:jc w:val="center"/>
        <w:rPr>
          <w:rFonts w:ascii="Times New Roman" w:hAnsi="Times New Roman" w:cs="Times New Roman"/>
          <w:b/>
          <w:sz w:val="23"/>
          <w:szCs w:val="23"/>
          <w:lang w:val="pt-BR"/>
        </w:rPr>
      </w:pPr>
      <w:r w:rsidRPr="008A4F5E">
        <w:rPr>
          <w:rFonts w:ascii="Times New Roman" w:hAnsi="Times New Roman" w:cs="Times New Roman"/>
          <w:b/>
          <w:sz w:val="23"/>
          <w:szCs w:val="23"/>
          <w:lang w:val="pt-BR"/>
        </w:rPr>
        <w:t>João Antônio Salvador de Souza</w:t>
      </w:r>
    </w:p>
    <w:p w:rsidR="007D121F" w:rsidRPr="008A4F5E"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Doutorando em Contabilidade – PPGC/UFSC</w:t>
      </w:r>
    </w:p>
    <w:p w:rsidR="007D121F" w:rsidRPr="008A4F5E"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Universidade Federal de Santa Catarina</w:t>
      </w:r>
    </w:p>
    <w:p w:rsidR="007D121F" w:rsidRPr="008A4F5E" w:rsidRDefault="007D121F" w:rsidP="00351C7E">
      <w:pPr>
        <w:spacing w:after="0" w:line="240" w:lineRule="auto"/>
        <w:jc w:val="center"/>
        <w:rPr>
          <w:rFonts w:ascii="Times New Roman" w:hAnsi="Times New Roman" w:cs="Times New Roman"/>
          <w:sz w:val="23"/>
          <w:szCs w:val="23"/>
          <w:lang w:val="pt-BR"/>
        </w:rPr>
      </w:pPr>
      <w:r w:rsidRPr="008A4F5E">
        <w:rPr>
          <w:rFonts w:ascii="Times New Roman" w:hAnsi="Times New Roman" w:cs="Times New Roman"/>
          <w:sz w:val="23"/>
          <w:szCs w:val="23"/>
          <w:lang w:val="pt-BR"/>
        </w:rPr>
        <w:t>Campus Universitário Reitor David Ferreira Lima, Trindade – Florianópolis, SC, 88040-380</w:t>
      </w:r>
    </w:p>
    <w:p w:rsidR="007D121F" w:rsidRPr="006F2C4B" w:rsidRDefault="007D121F" w:rsidP="00351C7E">
      <w:pPr>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 xml:space="preserve">E-mail: </w:t>
      </w:r>
      <w:r w:rsidRPr="006F2C4B">
        <w:rPr>
          <w:rFonts w:ascii="Times New Roman" w:hAnsi="Times New Roman" w:cs="Times New Roman"/>
          <w:sz w:val="24"/>
          <w:szCs w:val="24"/>
          <w:lang w:val="pt-BR"/>
        </w:rPr>
        <w:t>jass26salvador@gmail.com</w:t>
      </w:r>
    </w:p>
    <w:p w:rsidR="007D121F" w:rsidRDefault="007D121F" w:rsidP="00351C7E">
      <w:pPr>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Telefone:</w:t>
      </w:r>
      <w:r>
        <w:rPr>
          <w:rFonts w:ascii="Times New Roman" w:hAnsi="Times New Roman" w:cs="Times New Roman"/>
          <w:sz w:val="24"/>
          <w:szCs w:val="24"/>
          <w:lang w:val="pt-BR"/>
        </w:rPr>
        <w:t xml:space="preserve"> (</w:t>
      </w:r>
      <w:r w:rsidR="00C3078E">
        <w:rPr>
          <w:rFonts w:ascii="Times New Roman" w:hAnsi="Times New Roman" w:cs="Times New Roman"/>
          <w:sz w:val="24"/>
          <w:szCs w:val="24"/>
          <w:lang w:val="pt-BR"/>
        </w:rPr>
        <w:t>48</w:t>
      </w:r>
      <w:r>
        <w:rPr>
          <w:rFonts w:ascii="Times New Roman" w:hAnsi="Times New Roman" w:cs="Times New Roman"/>
          <w:sz w:val="24"/>
          <w:szCs w:val="24"/>
          <w:lang w:val="pt-BR"/>
        </w:rPr>
        <w:t xml:space="preserve">) </w:t>
      </w:r>
      <w:r w:rsidR="00C3078E" w:rsidRPr="00486E22">
        <w:rPr>
          <w:rFonts w:ascii="Times New Roman" w:hAnsi="Times New Roman" w:cs="Times New Roman"/>
          <w:sz w:val="24"/>
          <w:szCs w:val="24"/>
          <w:lang w:val="pt-BR"/>
        </w:rPr>
        <w:t>3721-9897</w:t>
      </w:r>
    </w:p>
    <w:p w:rsidR="007D121F" w:rsidRPr="008A4F5E" w:rsidRDefault="007D121F" w:rsidP="00351C7E">
      <w:pPr>
        <w:spacing w:after="0" w:line="240" w:lineRule="auto"/>
        <w:jc w:val="center"/>
        <w:rPr>
          <w:rFonts w:ascii="Times New Roman" w:hAnsi="Times New Roman" w:cs="Times New Roman"/>
          <w:sz w:val="24"/>
          <w:szCs w:val="24"/>
          <w:lang w:val="pt-BR"/>
        </w:rPr>
      </w:pPr>
    </w:p>
    <w:p w:rsidR="007D121F" w:rsidRPr="008A4F5E" w:rsidRDefault="007D121F" w:rsidP="00351C7E">
      <w:pPr>
        <w:spacing w:after="0" w:line="240" w:lineRule="auto"/>
        <w:jc w:val="center"/>
        <w:rPr>
          <w:rFonts w:ascii="Times New Roman" w:hAnsi="Times New Roman" w:cs="Times New Roman"/>
          <w:b/>
          <w:sz w:val="24"/>
          <w:szCs w:val="24"/>
          <w:lang w:val="pt-BR"/>
        </w:rPr>
      </w:pPr>
      <w:r w:rsidRPr="008A4F5E">
        <w:rPr>
          <w:rFonts w:ascii="Times New Roman" w:hAnsi="Times New Roman" w:cs="Times New Roman"/>
          <w:b/>
          <w:sz w:val="24"/>
          <w:szCs w:val="24"/>
          <w:lang w:val="pt-BR"/>
        </w:rPr>
        <w:t>José Alonso Borba</w:t>
      </w:r>
    </w:p>
    <w:p w:rsidR="007D121F" w:rsidRPr="008A4F5E" w:rsidRDefault="007D121F" w:rsidP="00351C7E">
      <w:pPr>
        <w:pStyle w:val="Default"/>
        <w:spacing w:after="0" w:line="240" w:lineRule="auto"/>
        <w:jc w:val="center"/>
        <w:rPr>
          <w:color w:val="auto"/>
        </w:rPr>
      </w:pPr>
      <w:r w:rsidRPr="008A4F5E">
        <w:t xml:space="preserve">Doutor em </w:t>
      </w:r>
      <w:r w:rsidRPr="008A4F5E">
        <w:rPr>
          <w:sz w:val="23"/>
          <w:szCs w:val="23"/>
        </w:rPr>
        <w:t>Controladoria e Contabilidade pela Universidade de São Paulo</w:t>
      </w:r>
      <w:r>
        <w:rPr>
          <w:sz w:val="23"/>
          <w:szCs w:val="23"/>
        </w:rPr>
        <w:t>.</w:t>
      </w:r>
    </w:p>
    <w:p w:rsidR="007D121F" w:rsidRPr="008A4F5E" w:rsidRDefault="007D121F" w:rsidP="00351C7E">
      <w:pPr>
        <w:autoSpaceDE w:val="0"/>
        <w:autoSpaceDN w:val="0"/>
        <w:adjustRightInd w:val="0"/>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Professor do Departamento de Ciências Contábeis da Universidade Federal de Santa Catarina – CCN/PPGC/UFSC</w:t>
      </w:r>
    </w:p>
    <w:p w:rsidR="007D121F" w:rsidRPr="008A4F5E" w:rsidRDefault="007D121F" w:rsidP="00351C7E">
      <w:pPr>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Campus Universitário Reitor David Ferreira Lima, Trindade – Florianópolis, SC, 88040-380</w:t>
      </w:r>
    </w:p>
    <w:p w:rsidR="007D121F" w:rsidRPr="008A4F5E" w:rsidRDefault="007D121F" w:rsidP="00351C7E">
      <w:pPr>
        <w:spacing w:after="0" w:line="240" w:lineRule="auto"/>
        <w:jc w:val="center"/>
        <w:rPr>
          <w:rFonts w:ascii="Times New Roman" w:hAnsi="Times New Roman" w:cs="Times New Roman"/>
          <w:sz w:val="24"/>
          <w:szCs w:val="24"/>
          <w:lang w:val="pt-BR"/>
        </w:rPr>
      </w:pPr>
      <w:r w:rsidRPr="008A4F5E">
        <w:rPr>
          <w:rFonts w:ascii="Times New Roman" w:hAnsi="Times New Roman" w:cs="Times New Roman"/>
          <w:sz w:val="24"/>
          <w:szCs w:val="24"/>
          <w:lang w:val="pt-BR"/>
        </w:rPr>
        <w:t xml:space="preserve">E-mail: </w:t>
      </w:r>
      <w:bookmarkStart w:id="0" w:name="_GoBack"/>
      <w:bookmarkEnd w:id="0"/>
      <w:r w:rsidR="00351C7E">
        <w:fldChar w:fldCharType="begin"/>
      </w:r>
      <w:r w:rsidR="00351C7E" w:rsidRPr="00351C7E">
        <w:rPr>
          <w:lang w:val="pt-BR"/>
        </w:rPr>
        <w:instrText xml:space="preserve"> HYPERLINK "mailto:j.alonso@ufsc.br" </w:instrText>
      </w:r>
      <w:r w:rsidR="00351C7E">
        <w:fldChar w:fldCharType="separate"/>
      </w:r>
      <w:r w:rsidRPr="008A4F5E">
        <w:rPr>
          <w:rStyle w:val="Hyperlink"/>
          <w:rFonts w:ascii="Times New Roman" w:hAnsi="Times New Roman" w:cs="Times New Roman"/>
          <w:color w:val="auto"/>
          <w:sz w:val="24"/>
          <w:szCs w:val="24"/>
          <w:u w:val="none"/>
          <w:lang w:val="pt-BR"/>
        </w:rPr>
        <w:t>j.alonso@ufsc.br</w:t>
      </w:r>
      <w:r w:rsidR="00351C7E">
        <w:rPr>
          <w:rStyle w:val="Hyperlink"/>
          <w:rFonts w:ascii="Times New Roman" w:hAnsi="Times New Roman" w:cs="Times New Roman"/>
          <w:color w:val="auto"/>
          <w:sz w:val="24"/>
          <w:szCs w:val="24"/>
          <w:u w:val="none"/>
          <w:lang w:val="pt-BR"/>
        </w:rPr>
        <w:fldChar w:fldCharType="end"/>
      </w:r>
    </w:p>
    <w:p w:rsidR="007D121F" w:rsidRPr="00154A37" w:rsidRDefault="007D121F" w:rsidP="00351C7E">
      <w:pPr>
        <w:spacing w:after="0" w:line="240" w:lineRule="auto"/>
        <w:jc w:val="center"/>
        <w:rPr>
          <w:rFonts w:ascii="Times New Roman" w:hAnsi="Times New Roman" w:cs="Times New Roman"/>
          <w:b/>
          <w:sz w:val="24"/>
          <w:szCs w:val="24"/>
          <w:lang w:val="pt-BR"/>
        </w:rPr>
      </w:pPr>
      <w:r>
        <w:rPr>
          <w:rFonts w:ascii="Times New Roman" w:hAnsi="Times New Roman" w:cs="Times New Roman"/>
          <w:sz w:val="24"/>
          <w:szCs w:val="24"/>
          <w:lang w:val="pt-BR"/>
        </w:rPr>
        <w:t>Telefone: (</w:t>
      </w:r>
      <w:r w:rsidRPr="00486E22">
        <w:rPr>
          <w:rFonts w:ascii="Times New Roman" w:hAnsi="Times New Roman" w:cs="Times New Roman"/>
          <w:sz w:val="24"/>
          <w:szCs w:val="24"/>
          <w:lang w:val="pt-BR"/>
        </w:rPr>
        <w:t>48</w:t>
      </w:r>
      <w:r>
        <w:rPr>
          <w:rFonts w:ascii="Times New Roman" w:hAnsi="Times New Roman" w:cs="Times New Roman"/>
          <w:sz w:val="24"/>
          <w:szCs w:val="24"/>
          <w:lang w:val="pt-BR"/>
        </w:rPr>
        <w:t>)</w:t>
      </w:r>
      <w:r w:rsidRPr="00486E22">
        <w:rPr>
          <w:rFonts w:ascii="Times New Roman" w:hAnsi="Times New Roman" w:cs="Times New Roman"/>
          <w:sz w:val="24"/>
          <w:szCs w:val="24"/>
          <w:lang w:val="pt-BR"/>
        </w:rPr>
        <w:t xml:space="preserve"> 3721-9897</w:t>
      </w:r>
    </w:p>
    <w:p w:rsidR="007D121F" w:rsidRDefault="007D121F" w:rsidP="00351C7E">
      <w:pPr>
        <w:spacing w:after="0" w:line="240" w:lineRule="auto"/>
        <w:rPr>
          <w:rFonts w:ascii="Times New Roman" w:hAnsi="Times New Roman" w:cs="Times New Roman"/>
          <w:b/>
          <w:sz w:val="24"/>
          <w:szCs w:val="24"/>
          <w:lang w:val="pt-BR"/>
        </w:rPr>
      </w:pPr>
    </w:p>
    <w:p w:rsidR="001A2445" w:rsidRPr="00FB1354" w:rsidRDefault="002423CE" w:rsidP="005108E6">
      <w:pPr>
        <w:spacing w:line="240" w:lineRule="auto"/>
        <w:rPr>
          <w:rFonts w:ascii="Times New Roman" w:hAnsi="Times New Roman" w:cs="Times New Roman"/>
          <w:b/>
          <w:sz w:val="24"/>
          <w:szCs w:val="24"/>
          <w:lang w:val="pt-BR"/>
        </w:rPr>
      </w:pPr>
      <w:r w:rsidRPr="00FB1354">
        <w:rPr>
          <w:rFonts w:ascii="Times New Roman" w:hAnsi="Times New Roman" w:cs="Times New Roman"/>
          <w:b/>
          <w:sz w:val="24"/>
          <w:szCs w:val="24"/>
          <w:lang w:val="pt-BR"/>
        </w:rPr>
        <w:t>Resumo</w:t>
      </w:r>
    </w:p>
    <w:p w:rsidR="001A2445" w:rsidRDefault="002423CE" w:rsidP="005108E6">
      <w:pPr>
        <w:pStyle w:val="BodyText"/>
        <w:spacing w:after="0" w:line="240" w:lineRule="auto"/>
        <w:jc w:val="both"/>
        <w:rPr>
          <w:rFonts w:ascii="Times New Roman" w:hAnsi="Times New Roman" w:cs="Times New Roman"/>
          <w:lang w:val="pt-BR"/>
        </w:rPr>
      </w:pPr>
      <w:r w:rsidRPr="00C35568">
        <w:rPr>
          <w:rFonts w:ascii="Times New Roman" w:hAnsi="Times New Roman" w:cs="Times New Roman"/>
          <w:lang w:val="pt-BR"/>
        </w:rPr>
        <w:t>Utilizados como mecanismos para minimizar o conflito de interesses, os instrumentos de remuneração</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executiva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estão</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associados</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às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metas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das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empresas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bem</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como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características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 xml:space="preserve">dos gestores. Este artigo tem como objetivo </w:t>
      </w:r>
      <w:r w:rsidR="005E0D62" w:rsidRPr="00C35568">
        <w:rPr>
          <w:rFonts w:ascii="Times New Roman" w:hAnsi="Times New Roman" w:cs="Times New Roman"/>
          <w:lang w:val="pt-BR"/>
        </w:rPr>
        <w:t xml:space="preserve">identificar os tipos e os determinantes da remuneração dos executivos que compõem o conselho de administração, a diretoria estatutária e o conselho fiscal das empresas com ações negociadas no mercado acionário brasileiro. Para operacionalizar a pesquisa, foi </w:t>
      </w:r>
      <w:r w:rsidRPr="00C35568">
        <w:rPr>
          <w:rFonts w:ascii="Times New Roman" w:hAnsi="Times New Roman" w:cs="Times New Roman"/>
          <w:lang w:val="pt-BR"/>
        </w:rPr>
        <w:t>composta</w:t>
      </w:r>
      <w:r w:rsidRPr="00C35568">
        <w:rPr>
          <w:rFonts w:ascii="Times New Roman" w:hAnsi="Times New Roman" w:cs="Times New Roman"/>
          <w:spacing w:val="-8"/>
          <w:lang w:val="pt-BR"/>
        </w:rPr>
        <w:t xml:space="preserve"> </w:t>
      </w:r>
      <w:r w:rsidR="005E0D62" w:rsidRPr="00C35568">
        <w:rPr>
          <w:rFonts w:ascii="Times New Roman" w:hAnsi="Times New Roman" w:cs="Times New Roman"/>
          <w:spacing w:val="-8"/>
          <w:lang w:val="pt-BR"/>
        </w:rPr>
        <w:t xml:space="preserve">uma amostra </w:t>
      </w:r>
      <w:r w:rsidR="009E25FD" w:rsidRPr="00C35568">
        <w:rPr>
          <w:rFonts w:ascii="Times New Roman" w:hAnsi="Times New Roman" w:cs="Times New Roman"/>
          <w:spacing w:val="-8"/>
          <w:lang w:val="pt-BR"/>
        </w:rPr>
        <w:t xml:space="preserve">entre 2013 a 2016 </w:t>
      </w:r>
      <w:r w:rsidR="005E0D62" w:rsidRPr="00C35568">
        <w:rPr>
          <w:rFonts w:ascii="Times New Roman" w:hAnsi="Times New Roman" w:cs="Times New Roman"/>
          <w:spacing w:val="-8"/>
          <w:lang w:val="pt-BR"/>
        </w:rPr>
        <w:t xml:space="preserve">com </w:t>
      </w:r>
      <w:r w:rsidR="009E25FD" w:rsidRPr="00C35568">
        <w:rPr>
          <w:rFonts w:ascii="Times New Roman" w:hAnsi="Times New Roman" w:cs="Times New Roman"/>
          <w:spacing w:val="-8"/>
          <w:lang w:val="pt-BR"/>
        </w:rPr>
        <w:t xml:space="preserve">as </w:t>
      </w:r>
      <w:r w:rsidRPr="00C35568">
        <w:rPr>
          <w:rFonts w:ascii="Times New Roman" w:hAnsi="Times New Roman" w:cs="Times New Roman"/>
          <w:lang w:val="pt-BR"/>
        </w:rPr>
        <w:t>companhias</w:t>
      </w:r>
      <w:r w:rsidRPr="00C35568">
        <w:rPr>
          <w:rFonts w:ascii="Times New Roman" w:hAnsi="Times New Roman" w:cs="Times New Roman"/>
          <w:spacing w:val="-4"/>
          <w:lang w:val="pt-BR"/>
        </w:rPr>
        <w:t xml:space="preserve"> </w:t>
      </w:r>
      <w:r w:rsidRPr="00C35568">
        <w:rPr>
          <w:rFonts w:ascii="Times New Roman" w:hAnsi="Times New Roman" w:cs="Times New Roman"/>
          <w:lang w:val="pt-BR"/>
        </w:rPr>
        <w:t>abertas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integravam</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índice</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Ibovespa</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 xml:space="preserve">de 2017. </w:t>
      </w:r>
      <w:r w:rsidR="009E25FD" w:rsidRPr="00C35568">
        <w:rPr>
          <w:rFonts w:ascii="Times New Roman" w:hAnsi="Times New Roman" w:cs="Times New Roman"/>
          <w:lang w:val="pt-BR"/>
        </w:rPr>
        <w:t>A</w:t>
      </w:r>
      <w:r w:rsidRPr="00C35568">
        <w:rPr>
          <w:rFonts w:ascii="Times New Roman" w:hAnsi="Times New Roman" w:cs="Times New Roman"/>
          <w:lang w:val="pt-BR"/>
        </w:rPr>
        <w:t xml:space="preserve">s variáveis de remuneração </w:t>
      </w:r>
      <w:r w:rsidR="005E0D62" w:rsidRPr="00C35568">
        <w:rPr>
          <w:rFonts w:ascii="Times New Roman" w:hAnsi="Times New Roman" w:cs="Times New Roman"/>
          <w:lang w:val="pt-BR"/>
        </w:rPr>
        <w:t xml:space="preserve">executiva </w:t>
      </w:r>
      <w:r w:rsidRPr="00C35568">
        <w:rPr>
          <w:rFonts w:ascii="Times New Roman" w:hAnsi="Times New Roman" w:cs="Times New Roman"/>
          <w:lang w:val="pt-BR"/>
        </w:rPr>
        <w:t xml:space="preserve">e característica dos conselheiros </w:t>
      </w:r>
      <w:r w:rsidR="009E25FD" w:rsidRPr="00C35568">
        <w:rPr>
          <w:rFonts w:ascii="Times New Roman" w:hAnsi="Times New Roman" w:cs="Times New Roman"/>
          <w:lang w:val="pt-BR"/>
        </w:rPr>
        <w:t xml:space="preserve">foram </w:t>
      </w:r>
      <w:r w:rsidRPr="00C35568">
        <w:rPr>
          <w:rFonts w:ascii="Times New Roman" w:hAnsi="Times New Roman" w:cs="Times New Roman"/>
          <w:lang w:val="pt-BR"/>
        </w:rPr>
        <w:t>coletadas manualmente dos formulários de referência</w:t>
      </w:r>
      <w:r w:rsidR="009E25FD" w:rsidRPr="00C35568">
        <w:rPr>
          <w:rFonts w:ascii="Times New Roman" w:hAnsi="Times New Roman" w:cs="Times New Roman"/>
          <w:lang w:val="pt-BR"/>
        </w:rPr>
        <w:t>, sendo analisad</w:t>
      </w:r>
      <w:r w:rsidR="00632281" w:rsidRPr="00C35568">
        <w:rPr>
          <w:rFonts w:ascii="Times New Roman" w:hAnsi="Times New Roman" w:cs="Times New Roman"/>
          <w:lang w:val="pt-BR"/>
        </w:rPr>
        <w:t xml:space="preserve">as as características de 3.923 executivos/anos. </w:t>
      </w:r>
      <w:r w:rsidR="00877307" w:rsidRPr="00C35568">
        <w:rPr>
          <w:rFonts w:ascii="Times New Roman" w:hAnsi="Times New Roman" w:cs="Times New Roman"/>
          <w:spacing w:val="-6"/>
          <w:lang w:val="pt-BR"/>
        </w:rPr>
        <w:t>As evidências indica</w:t>
      </w:r>
      <w:r w:rsidR="00632281" w:rsidRPr="00C35568">
        <w:rPr>
          <w:rFonts w:ascii="Times New Roman" w:hAnsi="Times New Roman" w:cs="Times New Roman"/>
          <w:spacing w:val="-6"/>
          <w:lang w:val="pt-BR"/>
        </w:rPr>
        <w:t>ra</w:t>
      </w:r>
      <w:r w:rsidR="00877307" w:rsidRPr="00C35568">
        <w:rPr>
          <w:rFonts w:ascii="Times New Roman" w:hAnsi="Times New Roman" w:cs="Times New Roman"/>
          <w:spacing w:val="-6"/>
          <w:lang w:val="pt-BR"/>
        </w:rPr>
        <w:t xml:space="preserve">m que a </w:t>
      </w:r>
      <w:r w:rsidR="00877307" w:rsidRPr="00C35568">
        <w:rPr>
          <w:rFonts w:ascii="Times New Roman" w:hAnsi="Times New Roman" w:cs="Times New Roman"/>
          <w:lang w:val="pt-BR"/>
        </w:rPr>
        <w:t>remuneração baseada em ação aumentou nos três primeiros anos analisados, revertendo esta tendência em 2016</w:t>
      </w:r>
      <w:r w:rsidRPr="00C35568">
        <w:rPr>
          <w:rFonts w:ascii="Times New Roman" w:hAnsi="Times New Roman" w:cs="Times New Roman"/>
          <w:lang w:val="pt-BR"/>
        </w:rPr>
        <w:t xml:space="preserve">. </w:t>
      </w:r>
      <w:r w:rsidR="005E0D62" w:rsidRPr="00C35568">
        <w:rPr>
          <w:rFonts w:ascii="Times New Roman" w:hAnsi="Times New Roman" w:cs="Times New Roman"/>
          <w:lang w:val="pt-BR"/>
        </w:rPr>
        <w:t>Pela an</w:t>
      </w:r>
      <w:r w:rsidR="00877307" w:rsidRPr="00C35568">
        <w:rPr>
          <w:rFonts w:ascii="Times New Roman" w:hAnsi="Times New Roman" w:cs="Times New Roman"/>
          <w:lang w:val="pt-BR"/>
        </w:rPr>
        <w:t>á</w:t>
      </w:r>
      <w:r w:rsidR="005E0D62" w:rsidRPr="00C35568">
        <w:rPr>
          <w:rFonts w:ascii="Times New Roman" w:hAnsi="Times New Roman" w:cs="Times New Roman"/>
          <w:lang w:val="pt-BR"/>
        </w:rPr>
        <w:t>lise econom</w:t>
      </w:r>
      <w:r w:rsidR="00877307" w:rsidRPr="00C35568">
        <w:rPr>
          <w:rFonts w:ascii="Times New Roman" w:hAnsi="Times New Roman" w:cs="Times New Roman"/>
          <w:lang w:val="pt-BR"/>
        </w:rPr>
        <w:t>é</w:t>
      </w:r>
      <w:r w:rsidR="005E0D62" w:rsidRPr="00C35568">
        <w:rPr>
          <w:rFonts w:ascii="Times New Roman" w:hAnsi="Times New Roman" w:cs="Times New Roman"/>
          <w:lang w:val="pt-BR"/>
        </w:rPr>
        <w:t xml:space="preserve">trica foi possível identificar que: </w:t>
      </w:r>
      <w:r w:rsidR="005E0D62" w:rsidRPr="00C35568">
        <w:rPr>
          <w:rFonts w:ascii="Times New Roman" w:hAnsi="Times New Roman" w:cs="Times New Roman"/>
          <w:lang w:val="pt-BR" w:eastAsia="pt-BR"/>
        </w:rPr>
        <w:t>(i) conselhos maiores influenciam diretament</w:t>
      </w:r>
      <w:r w:rsidR="002F376B" w:rsidRPr="00C35568">
        <w:rPr>
          <w:rFonts w:ascii="Times New Roman" w:hAnsi="Times New Roman" w:cs="Times New Roman"/>
          <w:lang w:val="pt-BR" w:eastAsia="pt-BR"/>
        </w:rPr>
        <w:t xml:space="preserve">e </w:t>
      </w:r>
      <w:r w:rsidR="005E0D62" w:rsidRPr="00C35568">
        <w:rPr>
          <w:rFonts w:ascii="Times New Roman" w:hAnsi="Times New Roman" w:cs="Times New Roman"/>
          <w:lang w:val="pt-BR" w:eastAsia="pt-BR"/>
        </w:rPr>
        <w:t xml:space="preserve"> os planos remuneratórios; (ii) a presença de mulheres torna a remuneração mais conservadora; (iii) a dualidade de cargos reduz a remuneração executiva; (iv) a falta de independência tem impacto negativo na compensação dos executivos; (v) empresas com maior rentabilidade tendem a remunerar melhor seus executivos e; (vi) empresas onde o controlador é o Estado apresentam maior monitoramento o que reduz os planos de remuneração dos órgãos administrativos. </w:t>
      </w:r>
      <w:r w:rsidRPr="00C35568">
        <w:rPr>
          <w:rFonts w:ascii="Times New Roman" w:hAnsi="Times New Roman" w:cs="Times New Roman"/>
          <w:lang w:val="pt-BR"/>
        </w:rPr>
        <w:t>Os achados são úteis para os participantes do mercado, que podem relacionar seus investimentos</w:t>
      </w:r>
      <w:r w:rsidR="002F376B" w:rsidRPr="00C35568">
        <w:rPr>
          <w:rFonts w:ascii="Times New Roman" w:hAnsi="Times New Roman" w:cs="Times New Roman"/>
          <w:lang w:val="pt-BR"/>
        </w:rPr>
        <w:t xml:space="preserve"> prospectivos com </w:t>
      </w:r>
      <w:r w:rsidRPr="00C35568">
        <w:rPr>
          <w:rFonts w:ascii="Times New Roman" w:hAnsi="Times New Roman" w:cs="Times New Roman"/>
          <w:lang w:val="pt-BR"/>
        </w:rPr>
        <w:t>o perfil e tipos de</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remunerações</w:t>
      </w:r>
      <w:r w:rsidR="002F376B" w:rsidRPr="00C35568">
        <w:rPr>
          <w:rFonts w:ascii="Times New Roman" w:hAnsi="Times New Roman" w:cs="Times New Roman"/>
          <w:lang w:val="pt-BR"/>
        </w:rPr>
        <w:t xml:space="preserve"> dos executivos</w:t>
      </w:r>
      <w:r w:rsidRPr="00C35568">
        <w:rPr>
          <w:rFonts w:ascii="Times New Roman" w:hAnsi="Times New Roman" w:cs="Times New Roman"/>
          <w:lang w:val="pt-BR"/>
        </w:rPr>
        <w:t>.</w:t>
      </w:r>
    </w:p>
    <w:p w:rsidR="00351C7E" w:rsidRDefault="00351C7E" w:rsidP="00351C7E">
      <w:pPr>
        <w:pStyle w:val="BodyText"/>
        <w:spacing w:after="0" w:line="240" w:lineRule="auto"/>
        <w:jc w:val="both"/>
        <w:rPr>
          <w:rFonts w:ascii="Times New Roman" w:hAnsi="Times New Roman" w:cs="Times New Roman"/>
          <w:b/>
          <w:lang w:val="pt-BR"/>
        </w:rPr>
      </w:pPr>
    </w:p>
    <w:p w:rsidR="005108E6" w:rsidRDefault="005865AA" w:rsidP="00C70C2A">
      <w:pPr>
        <w:pStyle w:val="BodyText"/>
        <w:jc w:val="both"/>
        <w:rPr>
          <w:rFonts w:ascii="Times New Roman" w:hAnsi="Times New Roman" w:cs="Times New Roman"/>
          <w:lang w:val="pt-BR"/>
        </w:rPr>
      </w:pPr>
      <w:r w:rsidRPr="005108E6">
        <w:rPr>
          <w:rFonts w:ascii="Times New Roman" w:hAnsi="Times New Roman" w:cs="Times New Roman"/>
          <w:b/>
          <w:lang w:val="pt-BR"/>
        </w:rPr>
        <w:t>Palavras – chave:</w:t>
      </w:r>
      <w:r w:rsidRPr="00C35568">
        <w:rPr>
          <w:rFonts w:ascii="Times New Roman" w:hAnsi="Times New Roman" w:cs="Times New Roman"/>
          <w:lang w:val="pt-BR"/>
        </w:rPr>
        <w:t xml:space="preserve"> Conflito de I</w:t>
      </w:r>
      <w:r w:rsidR="002423CE" w:rsidRPr="00C35568">
        <w:rPr>
          <w:rFonts w:ascii="Times New Roman" w:hAnsi="Times New Roman" w:cs="Times New Roman"/>
          <w:lang w:val="pt-BR"/>
        </w:rPr>
        <w:t>nteresses</w:t>
      </w:r>
      <w:r w:rsidRPr="00C35568">
        <w:rPr>
          <w:rFonts w:ascii="Times New Roman" w:hAnsi="Times New Roman" w:cs="Times New Roman"/>
          <w:lang w:val="pt-BR"/>
        </w:rPr>
        <w:t>;</w:t>
      </w:r>
      <w:r w:rsidR="002423CE" w:rsidRPr="00C35568">
        <w:rPr>
          <w:rFonts w:ascii="Times New Roman" w:hAnsi="Times New Roman" w:cs="Times New Roman"/>
          <w:lang w:val="pt-BR"/>
        </w:rPr>
        <w:t xml:space="preserve"> Remuneração </w:t>
      </w:r>
      <w:r w:rsidRPr="00C35568">
        <w:rPr>
          <w:rFonts w:ascii="Times New Roman" w:hAnsi="Times New Roman" w:cs="Times New Roman"/>
          <w:lang w:val="pt-BR"/>
        </w:rPr>
        <w:t>E</w:t>
      </w:r>
      <w:r w:rsidR="002423CE" w:rsidRPr="00C35568">
        <w:rPr>
          <w:rFonts w:ascii="Times New Roman" w:hAnsi="Times New Roman" w:cs="Times New Roman"/>
          <w:lang w:val="pt-BR"/>
        </w:rPr>
        <w:t>xecutiva</w:t>
      </w:r>
      <w:r w:rsidRPr="00C35568">
        <w:rPr>
          <w:rFonts w:ascii="Times New Roman" w:hAnsi="Times New Roman" w:cs="Times New Roman"/>
          <w:lang w:val="pt-BR"/>
        </w:rPr>
        <w:t>;</w:t>
      </w:r>
      <w:r w:rsidR="002423CE" w:rsidRPr="00C35568">
        <w:rPr>
          <w:rFonts w:ascii="Times New Roman" w:hAnsi="Times New Roman" w:cs="Times New Roman"/>
          <w:lang w:val="pt-BR"/>
        </w:rPr>
        <w:t xml:space="preserve"> Pagamento </w:t>
      </w:r>
      <w:r w:rsidRPr="00C35568">
        <w:rPr>
          <w:rFonts w:ascii="Times New Roman" w:hAnsi="Times New Roman" w:cs="Times New Roman"/>
          <w:lang w:val="pt-BR"/>
        </w:rPr>
        <w:t>B</w:t>
      </w:r>
      <w:r w:rsidR="002423CE" w:rsidRPr="00C35568">
        <w:rPr>
          <w:rFonts w:ascii="Times New Roman" w:hAnsi="Times New Roman" w:cs="Times New Roman"/>
          <w:lang w:val="pt-BR"/>
        </w:rPr>
        <w:t>aseado</w:t>
      </w:r>
      <w:r w:rsidR="00934ECB" w:rsidRPr="00C35568">
        <w:rPr>
          <w:rFonts w:ascii="Times New Roman" w:hAnsi="Times New Roman" w:cs="Times New Roman"/>
          <w:lang w:val="pt-BR"/>
        </w:rPr>
        <w:t xml:space="preserve"> </w:t>
      </w:r>
      <w:r w:rsidR="002423CE" w:rsidRPr="00C35568">
        <w:rPr>
          <w:rFonts w:ascii="Times New Roman" w:hAnsi="Times New Roman" w:cs="Times New Roman"/>
          <w:lang w:val="pt-BR"/>
        </w:rPr>
        <w:t xml:space="preserve">em </w:t>
      </w:r>
      <w:r w:rsidRPr="00C35568">
        <w:rPr>
          <w:rFonts w:ascii="Times New Roman" w:hAnsi="Times New Roman" w:cs="Times New Roman"/>
          <w:lang w:val="pt-BR"/>
        </w:rPr>
        <w:t>A</w:t>
      </w:r>
      <w:r w:rsidR="002423CE" w:rsidRPr="00C35568">
        <w:rPr>
          <w:rFonts w:ascii="Times New Roman" w:hAnsi="Times New Roman" w:cs="Times New Roman"/>
          <w:lang w:val="pt-BR"/>
        </w:rPr>
        <w:t>ções.</w:t>
      </w:r>
    </w:p>
    <w:p w:rsidR="005108E6" w:rsidRPr="00FB1354" w:rsidRDefault="005108E6" w:rsidP="005108E6">
      <w:pPr>
        <w:pStyle w:val="BodyText"/>
        <w:spacing w:line="240" w:lineRule="auto"/>
        <w:jc w:val="both"/>
        <w:rPr>
          <w:rFonts w:ascii="Times New Roman" w:hAnsi="Times New Roman" w:cs="Times New Roman"/>
          <w:b/>
        </w:rPr>
      </w:pPr>
      <w:r w:rsidRPr="00FB1354">
        <w:rPr>
          <w:rFonts w:ascii="Times New Roman" w:hAnsi="Times New Roman" w:cs="Times New Roman"/>
          <w:b/>
        </w:rPr>
        <w:lastRenderedPageBreak/>
        <w:t>Abstract</w:t>
      </w:r>
    </w:p>
    <w:p w:rsidR="002047F0" w:rsidRDefault="006825C0" w:rsidP="002047F0">
      <w:pPr>
        <w:pStyle w:val="BodyText"/>
        <w:spacing w:after="0" w:line="240" w:lineRule="auto"/>
        <w:jc w:val="both"/>
        <w:rPr>
          <w:rFonts w:ascii="Times New Roman" w:eastAsiaTheme="majorEastAsia" w:hAnsi="Times New Roman" w:cstheme="majorBidi"/>
          <w:szCs w:val="36"/>
        </w:rPr>
      </w:pPr>
      <w:r>
        <w:rPr>
          <w:rFonts w:ascii="Times New Roman" w:eastAsiaTheme="majorEastAsia" w:hAnsi="Times New Roman" w:cstheme="majorBidi"/>
          <w:szCs w:val="36"/>
        </w:rPr>
        <w:t>Used</w:t>
      </w:r>
      <w:r w:rsidR="00433774" w:rsidRPr="00433774">
        <w:rPr>
          <w:rFonts w:ascii="Times New Roman" w:eastAsiaTheme="majorEastAsia" w:hAnsi="Times New Roman" w:cstheme="majorBidi"/>
          <w:szCs w:val="36"/>
        </w:rPr>
        <w:t xml:space="preserve"> as mechanism to minimize the conflicts of interests, the executive compensation</w:t>
      </w:r>
      <w:r w:rsidR="00652492">
        <w:rPr>
          <w:rFonts w:ascii="Times New Roman" w:eastAsiaTheme="majorEastAsia" w:hAnsi="Times New Roman" w:cstheme="majorBidi"/>
          <w:szCs w:val="36"/>
        </w:rPr>
        <w:t xml:space="preserve"> </w:t>
      </w:r>
      <w:r w:rsidR="00652492" w:rsidRPr="00433774">
        <w:rPr>
          <w:rFonts w:ascii="Times New Roman" w:eastAsiaTheme="majorEastAsia" w:hAnsi="Times New Roman" w:cstheme="majorBidi"/>
          <w:szCs w:val="36"/>
        </w:rPr>
        <w:t>instruments</w:t>
      </w:r>
      <w:r w:rsidR="00433774" w:rsidRPr="00433774">
        <w:rPr>
          <w:rFonts w:ascii="Times New Roman" w:eastAsiaTheme="majorEastAsia" w:hAnsi="Times New Roman" w:cstheme="majorBidi"/>
          <w:szCs w:val="36"/>
        </w:rPr>
        <w:t xml:space="preserve"> are associated with </w:t>
      </w:r>
      <w:r w:rsidR="00652492" w:rsidRPr="00433774">
        <w:rPr>
          <w:rFonts w:ascii="Times New Roman" w:eastAsiaTheme="majorEastAsia" w:hAnsi="Times New Roman" w:cstheme="majorBidi"/>
          <w:szCs w:val="36"/>
        </w:rPr>
        <w:t>compan</w:t>
      </w:r>
      <w:r w:rsidR="00652492">
        <w:rPr>
          <w:rFonts w:ascii="Times New Roman" w:eastAsiaTheme="majorEastAsia" w:hAnsi="Times New Roman" w:cstheme="majorBidi"/>
          <w:szCs w:val="36"/>
        </w:rPr>
        <w:t xml:space="preserve">ies’ </w:t>
      </w:r>
      <w:r w:rsidR="00433774" w:rsidRPr="00433774">
        <w:rPr>
          <w:rFonts w:ascii="Times New Roman" w:eastAsiaTheme="majorEastAsia" w:hAnsi="Times New Roman" w:cstheme="majorBidi"/>
          <w:szCs w:val="36"/>
        </w:rPr>
        <w:t xml:space="preserve">goals </w:t>
      </w:r>
      <w:r w:rsidR="00652492">
        <w:rPr>
          <w:rFonts w:ascii="Times New Roman" w:eastAsiaTheme="majorEastAsia" w:hAnsi="Times New Roman" w:cstheme="majorBidi"/>
          <w:szCs w:val="36"/>
        </w:rPr>
        <w:t xml:space="preserve">as well as </w:t>
      </w:r>
      <w:r w:rsidR="00433774" w:rsidRPr="00433774">
        <w:rPr>
          <w:rFonts w:ascii="Times New Roman" w:eastAsiaTheme="majorEastAsia" w:hAnsi="Times New Roman" w:cstheme="majorBidi"/>
          <w:szCs w:val="36"/>
        </w:rPr>
        <w:t>the manager</w:t>
      </w:r>
      <w:r w:rsidR="00652492">
        <w:rPr>
          <w:rFonts w:ascii="Times New Roman" w:eastAsiaTheme="majorEastAsia" w:hAnsi="Times New Roman" w:cstheme="majorBidi"/>
          <w:szCs w:val="36"/>
        </w:rPr>
        <w:t>s</w:t>
      </w:r>
      <w:r w:rsidR="00433774" w:rsidRPr="00433774">
        <w:rPr>
          <w:rFonts w:ascii="Times New Roman" w:eastAsiaTheme="majorEastAsia" w:hAnsi="Times New Roman" w:cstheme="majorBidi"/>
          <w:szCs w:val="36"/>
        </w:rPr>
        <w:t>’</w:t>
      </w:r>
      <w:r w:rsidR="00652492">
        <w:rPr>
          <w:rFonts w:ascii="Times New Roman" w:eastAsiaTheme="majorEastAsia" w:hAnsi="Times New Roman" w:cstheme="majorBidi"/>
          <w:szCs w:val="36"/>
        </w:rPr>
        <w:t xml:space="preserve"> </w:t>
      </w:r>
      <w:r w:rsidR="00433774" w:rsidRPr="00433774">
        <w:rPr>
          <w:rFonts w:ascii="Times New Roman" w:eastAsiaTheme="majorEastAsia" w:hAnsi="Times New Roman" w:cstheme="majorBidi"/>
          <w:szCs w:val="36"/>
        </w:rPr>
        <w:t>characteristic</w:t>
      </w:r>
      <w:r w:rsidR="00433774">
        <w:rPr>
          <w:rFonts w:ascii="Times New Roman" w:eastAsiaTheme="majorEastAsia" w:hAnsi="Times New Roman" w:cstheme="majorBidi"/>
          <w:szCs w:val="36"/>
        </w:rPr>
        <w:t>s. This article aims to identif</w:t>
      </w:r>
      <w:r w:rsidR="00433774" w:rsidRPr="00433774">
        <w:rPr>
          <w:rFonts w:ascii="Times New Roman" w:eastAsiaTheme="majorEastAsia" w:hAnsi="Times New Roman" w:cstheme="majorBidi"/>
          <w:szCs w:val="36"/>
        </w:rPr>
        <w:t>y the types and the determinants of the executive remuneration which participated the board of directors, the executives and the fiscal council of the companies listed in Brazilian</w:t>
      </w:r>
      <w:r w:rsidR="00433774">
        <w:rPr>
          <w:rFonts w:ascii="Times New Roman" w:eastAsiaTheme="majorEastAsia" w:hAnsi="Times New Roman" w:cstheme="majorBidi"/>
          <w:szCs w:val="36"/>
        </w:rPr>
        <w:t xml:space="preserve"> Stock</w:t>
      </w:r>
      <w:r w:rsidR="00433774" w:rsidRPr="00433774">
        <w:rPr>
          <w:rFonts w:ascii="Times New Roman" w:eastAsiaTheme="majorEastAsia" w:hAnsi="Times New Roman" w:cstheme="majorBidi"/>
          <w:szCs w:val="36"/>
        </w:rPr>
        <w:t xml:space="preserve"> </w:t>
      </w:r>
      <w:r w:rsidR="00433774">
        <w:rPr>
          <w:rFonts w:ascii="Times New Roman" w:eastAsiaTheme="majorEastAsia" w:hAnsi="Times New Roman" w:cstheme="majorBidi"/>
          <w:szCs w:val="36"/>
        </w:rPr>
        <w:t>M</w:t>
      </w:r>
      <w:r w:rsidR="00433774" w:rsidRPr="00433774">
        <w:rPr>
          <w:rFonts w:ascii="Times New Roman" w:eastAsiaTheme="majorEastAsia" w:hAnsi="Times New Roman" w:cstheme="majorBidi"/>
          <w:szCs w:val="36"/>
        </w:rPr>
        <w:t xml:space="preserve">arket. </w:t>
      </w:r>
      <w:r>
        <w:rPr>
          <w:rFonts w:ascii="Times New Roman" w:eastAsiaTheme="majorEastAsia" w:hAnsi="Times New Roman" w:cstheme="majorBidi"/>
          <w:szCs w:val="36"/>
        </w:rPr>
        <w:t>In order t</w:t>
      </w:r>
      <w:r w:rsidR="00433774" w:rsidRPr="00433774">
        <w:rPr>
          <w:rFonts w:ascii="Times New Roman" w:eastAsiaTheme="majorEastAsia" w:hAnsi="Times New Roman" w:cstheme="majorBidi"/>
          <w:szCs w:val="36"/>
        </w:rPr>
        <w:t>o operationalize this resear</w:t>
      </w:r>
      <w:r w:rsidR="00433774">
        <w:rPr>
          <w:rFonts w:ascii="Times New Roman" w:eastAsiaTheme="majorEastAsia" w:hAnsi="Times New Roman" w:cstheme="majorBidi"/>
          <w:szCs w:val="36"/>
        </w:rPr>
        <w:t xml:space="preserve">ch, </w:t>
      </w:r>
      <w:r>
        <w:rPr>
          <w:rFonts w:ascii="Times New Roman" w:eastAsiaTheme="majorEastAsia" w:hAnsi="Times New Roman" w:cstheme="majorBidi"/>
          <w:szCs w:val="36"/>
        </w:rPr>
        <w:t>the</w:t>
      </w:r>
      <w:r w:rsidR="00433774">
        <w:rPr>
          <w:rFonts w:ascii="Times New Roman" w:eastAsiaTheme="majorEastAsia" w:hAnsi="Times New Roman" w:cstheme="majorBidi"/>
          <w:szCs w:val="36"/>
        </w:rPr>
        <w:t xml:space="preserve"> sample was composed by </w:t>
      </w:r>
      <w:r w:rsidR="00433774" w:rsidRPr="00433774">
        <w:rPr>
          <w:rFonts w:ascii="Times New Roman" w:eastAsiaTheme="majorEastAsia" w:hAnsi="Times New Roman" w:cstheme="majorBidi"/>
          <w:szCs w:val="36"/>
        </w:rPr>
        <w:t xml:space="preserve">2017 Ibovespa Index during the years 2013 to 2017. The compensation and characteristics of executives </w:t>
      </w:r>
      <w:r>
        <w:rPr>
          <w:rFonts w:ascii="Times New Roman" w:eastAsiaTheme="majorEastAsia" w:hAnsi="Times New Roman" w:cstheme="majorBidi"/>
          <w:szCs w:val="36"/>
        </w:rPr>
        <w:t>were</w:t>
      </w:r>
      <w:r w:rsidR="00433774" w:rsidRPr="00433774">
        <w:rPr>
          <w:rFonts w:ascii="Times New Roman" w:eastAsiaTheme="majorEastAsia" w:hAnsi="Times New Roman" w:cstheme="majorBidi"/>
          <w:szCs w:val="36"/>
        </w:rPr>
        <w:t xml:space="preserve"> </w:t>
      </w:r>
      <w:r>
        <w:rPr>
          <w:rFonts w:ascii="Times New Roman" w:eastAsiaTheme="majorEastAsia" w:hAnsi="Times New Roman" w:cstheme="majorBidi"/>
          <w:szCs w:val="36"/>
        </w:rPr>
        <w:t>manually</w:t>
      </w:r>
      <w:r w:rsidR="00433774" w:rsidRPr="00433774">
        <w:rPr>
          <w:rFonts w:ascii="Times New Roman" w:eastAsiaTheme="majorEastAsia" w:hAnsi="Times New Roman" w:cstheme="majorBidi"/>
          <w:szCs w:val="36"/>
        </w:rPr>
        <w:t xml:space="preserve"> collected from the reference form, </w:t>
      </w:r>
      <w:r>
        <w:rPr>
          <w:rFonts w:ascii="Times New Roman" w:eastAsiaTheme="majorEastAsia" w:hAnsi="Times New Roman" w:cstheme="majorBidi"/>
          <w:szCs w:val="36"/>
        </w:rPr>
        <w:t>were</w:t>
      </w:r>
      <w:r w:rsidR="00433774" w:rsidRPr="00433774">
        <w:rPr>
          <w:rFonts w:ascii="Times New Roman" w:eastAsiaTheme="majorEastAsia" w:hAnsi="Times New Roman" w:cstheme="majorBidi"/>
          <w:szCs w:val="36"/>
        </w:rPr>
        <w:t xml:space="preserve"> analyzed the characterist</w:t>
      </w:r>
      <w:r w:rsidR="00433774">
        <w:rPr>
          <w:rFonts w:ascii="Times New Roman" w:eastAsiaTheme="majorEastAsia" w:hAnsi="Times New Roman" w:cstheme="majorBidi"/>
          <w:szCs w:val="36"/>
        </w:rPr>
        <w:t>ic</w:t>
      </w:r>
      <w:r w:rsidR="00433774" w:rsidRPr="00433774">
        <w:rPr>
          <w:rFonts w:ascii="Times New Roman" w:eastAsiaTheme="majorEastAsia" w:hAnsi="Times New Roman" w:cstheme="majorBidi"/>
          <w:szCs w:val="36"/>
        </w:rPr>
        <w:t>s of 3.923 executives/year. The evidences indicated that the stock</w:t>
      </w:r>
      <w:r>
        <w:rPr>
          <w:rFonts w:ascii="Times New Roman" w:eastAsiaTheme="majorEastAsia" w:hAnsi="Times New Roman" w:cstheme="majorBidi"/>
          <w:szCs w:val="36"/>
        </w:rPr>
        <w:t>-based compensation</w:t>
      </w:r>
      <w:r w:rsidR="00433774" w:rsidRPr="00433774">
        <w:rPr>
          <w:rFonts w:ascii="Times New Roman" w:eastAsiaTheme="majorEastAsia" w:hAnsi="Times New Roman" w:cstheme="majorBidi"/>
          <w:szCs w:val="36"/>
        </w:rPr>
        <w:t xml:space="preserve"> increased in the first three years analyzed, reversing this trend in 2016. </w:t>
      </w:r>
      <w:r>
        <w:rPr>
          <w:rFonts w:ascii="Times New Roman" w:eastAsiaTheme="majorEastAsia" w:hAnsi="Times New Roman" w:cstheme="majorBidi"/>
          <w:szCs w:val="36"/>
        </w:rPr>
        <w:t>Through</w:t>
      </w:r>
      <w:r w:rsidR="00433774" w:rsidRPr="00433774">
        <w:rPr>
          <w:rFonts w:ascii="Times New Roman" w:eastAsiaTheme="majorEastAsia" w:hAnsi="Times New Roman" w:cstheme="majorBidi"/>
          <w:szCs w:val="36"/>
        </w:rPr>
        <w:t xml:space="preserve"> econometric analys</w:t>
      </w:r>
      <w:r>
        <w:rPr>
          <w:rFonts w:ascii="Times New Roman" w:eastAsiaTheme="majorEastAsia" w:hAnsi="Times New Roman" w:cstheme="majorBidi"/>
          <w:szCs w:val="36"/>
        </w:rPr>
        <w:t>i</w:t>
      </w:r>
      <w:r w:rsidR="00433774" w:rsidRPr="00433774">
        <w:rPr>
          <w:rFonts w:ascii="Times New Roman" w:eastAsiaTheme="majorEastAsia" w:hAnsi="Times New Roman" w:cstheme="majorBidi"/>
          <w:szCs w:val="36"/>
        </w:rPr>
        <w:t xml:space="preserve">s was possible to identify that: (i) large boards directly influence the compensation plans; (ii) the female participation turns the remuneration more conservative; (iii) the duality of positions reduces the compensation; (iv) the lack of independence has </w:t>
      </w:r>
      <w:r>
        <w:rPr>
          <w:rFonts w:ascii="Times New Roman" w:eastAsiaTheme="majorEastAsia" w:hAnsi="Times New Roman" w:cstheme="majorBidi"/>
          <w:szCs w:val="36"/>
        </w:rPr>
        <w:t xml:space="preserve">a </w:t>
      </w:r>
      <w:r w:rsidR="00433774" w:rsidRPr="00433774">
        <w:rPr>
          <w:rFonts w:ascii="Times New Roman" w:eastAsiaTheme="majorEastAsia" w:hAnsi="Times New Roman" w:cstheme="majorBidi"/>
          <w:szCs w:val="36"/>
        </w:rPr>
        <w:t xml:space="preserve">negative impact in the remuneration; (v) companies with greater profitability tend to pay better the executives; and (vi) companies controlled by the state present higher monitoring which reduces the compensation plans. The findings are useful to market </w:t>
      </w:r>
      <w:r w:rsidR="002047F0">
        <w:rPr>
          <w:rFonts w:ascii="Times New Roman" w:eastAsiaTheme="majorEastAsia" w:hAnsi="Times New Roman" w:cstheme="majorBidi"/>
          <w:szCs w:val="36"/>
        </w:rPr>
        <w:t>participants</w:t>
      </w:r>
      <w:r w:rsidR="00433774" w:rsidRPr="00433774">
        <w:rPr>
          <w:rFonts w:ascii="Times New Roman" w:eastAsiaTheme="majorEastAsia" w:hAnsi="Times New Roman" w:cstheme="majorBidi"/>
          <w:szCs w:val="36"/>
        </w:rPr>
        <w:t xml:space="preserve">, </w:t>
      </w:r>
      <w:r w:rsidR="002047F0">
        <w:rPr>
          <w:rFonts w:ascii="Times New Roman" w:eastAsiaTheme="majorEastAsia" w:hAnsi="Times New Roman" w:cstheme="majorBidi"/>
          <w:szCs w:val="36"/>
        </w:rPr>
        <w:t>who</w:t>
      </w:r>
      <w:r w:rsidR="00433774" w:rsidRPr="00433774">
        <w:rPr>
          <w:rFonts w:ascii="Times New Roman" w:eastAsiaTheme="majorEastAsia" w:hAnsi="Times New Roman" w:cstheme="majorBidi"/>
          <w:szCs w:val="36"/>
        </w:rPr>
        <w:t xml:space="preserve"> can relate their prospective investments with the executive’s profiles and the types of executive compensation. </w:t>
      </w:r>
    </w:p>
    <w:p w:rsidR="002047F0" w:rsidRDefault="002047F0" w:rsidP="00433774">
      <w:pPr>
        <w:pStyle w:val="BodyText"/>
        <w:spacing w:after="0" w:line="240" w:lineRule="auto"/>
        <w:jc w:val="both"/>
        <w:rPr>
          <w:rFonts w:ascii="Times New Roman" w:eastAsiaTheme="majorEastAsia" w:hAnsi="Times New Roman" w:cstheme="majorBidi"/>
          <w:szCs w:val="36"/>
        </w:rPr>
      </w:pPr>
    </w:p>
    <w:p w:rsidR="00C70C2A" w:rsidRDefault="002047F0" w:rsidP="00433774">
      <w:pPr>
        <w:pStyle w:val="BodyText"/>
        <w:spacing w:after="0" w:line="240" w:lineRule="auto"/>
        <w:jc w:val="both"/>
        <w:rPr>
          <w:rFonts w:ascii="Times New Roman" w:hAnsi="Times New Roman" w:cs="Times New Roman"/>
          <w:bCs/>
        </w:rPr>
      </w:pPr>
      <w:r w:rsidRPr="002047F0">
        <w:rPr>
          <w:rFonts w:ascii="Times New Roman" w:hAnsi="Times New Roman" w:cs="Times New Roman"/>
          <w:b/>
          <w:bCs/>
        </w:rPr>
        <w:t xml:space="preserve">Keywords: </w:t>
      </w:r>
      <w:r w:rsidRPr="002047F0">
        <w:rPr>
          <w:rFonts w:ascii="Times New Roman" w:hAnsi="Times New Roman" w:cs="Times New Roman"/>
          <w:bCs/>
        </w:rPr>
        <w:t>Conflict of Interest; Executive Compensation; Stock-Based Compensation.</w:t>
      </w:r>
    </w:p>
    <w:p w:rsidR="007D121F" w:rsidRPr="002047F0" w:rsidRDefault="007D121F" w:rsidP="00433774">
      <w:pPr>
        <w:pStyle w:val="BodyText"/>
        <w:spacing w:after="0" w:line="240" w:lineRule="auto"/>
        <w:jc w:val="both"/>
        <w:rPr>
          <w:rFonts w:ascii="Times New Roman" w:eastAsiaTheme="majorEastAsia" w:hAnsi="Times New Roman" w:cs="Times New Roman"/>
        </w:rPr>
      </w:pPr>
    </w:p>
    <w:p w:rsidR="001A2445" w:rsidRPr="00FB1354" w:rsidRDefault="005108E6" w:rsidP="005108E6">
      <w:pPr>
        <w:spacing w:line="240" w:lineRule="auto"/>
        <w:rPr>
          <w:rFonts w:ascii="Times New Roman" w:hAnsi="Times New Roman" w:cs="Times New Roman"/>
          <w:b/>
          <w:sz w:val="24"/>
          <w:szCs w:val="24"/>
          <w:lang w:val="pt-BR"/>
        </w:rPr>
      </w:pPr>
      <w:r w:rsidRPr="00FB1354">
        <w:rPr>
          <w:rFonts w:ascii="Times New Roman" w:hAnsi="Times New Roman" w:cs="Times New Roman"/>
          <w:b/>
          <w:sz w:val="24"/>
          <w:szCs w:val="24"/>
          <w:lang w:val="pt-BR"/>
        </w:rPr>
        <w:t xml:space="preserve">1 </w:t>
      </w:r>
      <w:r w:rsidR="002423CE" w:rsidRPr="00FB1354">
        <w:rPr>
          <w:rFonts w:ascii="Times New Roman" w:hAnsi="Times New Roman" w:cs="Times New Roman"/>
          <w:b/>
          <w:sz w:val="24"/>
          <w:szCs w:val="24"/>
          <w:lang w:val="pt-BR"/>
        </w:rPr>
        <w:t>Introdução</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remuneração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dos</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executivos</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é</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utilizada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no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alinhamento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entre</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interesses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da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empresa com os da alta gestão. As companhias passaram a remunerar seus executivos além das formas tradicionais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do</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mercado,</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por</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exemplo,</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pagamento</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cursos</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especialização,</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treinamentos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no exterior e planos de benefícios diversos</w:t>
      </w:r>
      <w:r w:rsidR="00EB372A"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"URL" : "http://www2.valor.com.br/carreira/2852770/bonus-para- quem-fica-mais-tempo-na-empresa", "accessed" : { "date-parts" : [ [ "2017", "7", "14" ] ] }, "author" : [ { "dropping-particle" : "", "family" : "Cortez", "given" : "C.", "non-dropping-particle" : "", "parse-names" : false, "suffix" : "" } ], "container-title" : "Valor Econ\u00f4mico", "id" : "ITEM-1", "issued" : { "date-parts" : [ [ "2012" ] ] }, "title" : "B\u00f4nus para quem fica mais tempo na empresa", "type" : "webpage" }, "uris" : [ "http://www.mendeley.com/documents/?uuid=4f0130c4-9f66-4d77-a8fc-577c76fc98d7" ] } ], "mendeley" : { "formattedCitation" : "(CORTEZ, 2012)", "plainTextFormattedCitation" : "(CORTEZ, 2012)", "previouslyFormattedCitation" : "(CORTEZ, 2012)"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(CORTEZ, 2012)</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Os instrumentos de remuneração visam alcançar os objetivos organizacionais na perspectiva de </w:t>
      </w:r>
      <w:r w:rsidR="001F508F" w:rsidRPr="00C35568">
        <w:rPr>
          <w:rFonts w:ascii="Times New Roman" w:hAnsi="Times New Roman" w:cs="Times New Roman"/>
          <w:lang w:val="pt-BR"/>
        </w:rPr>
        <w:t>atingir</w:t>
      </w:r>
      <w:r w:rsidRPr="00C35568">
        <w:rPr>
          <w:rFonts w:ascii="Times New Roman" w:hAnsi="Times New Roman" w:cs="Times New Roman"/>
          <w:lang w:val="pt-BR"/>
        </w:rPr>
        <w:t xml:space="preserve"> benefícios futuros com a longevidade da manutenção dos colaboradores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"Wood Junior", "given" : "T.", "non-dropping-particle" : "", "parse-names" : false, "suffix" : "" }, { "dropping-particle" : "", "family" : "Picarelli Filho", "given" : "V.", "non-dropping-particle" : "", "parse-names" : false, "suffix" : "" } ], "edition" : "2", "id" : "ITEM-1", "issued" : { "date-parts" : [ [ "1999" ] ] }, "publisher" : "Atlas", "publisher-place" : "S\u00e3o Paulo", "title" : "Remunera\u00e7\u00e3o estrat\u00e9gica: a nova vantagem competitiva", "type" : "book" }, "uris" : [ "http://www.mendeley.com/documents/?uuid=4984cfcf-cead-4ccc-b18a-30ee3353a6f5" ] } ], "mendeley" : { "formattedCitation" : "(WOOD JUNIOR; PICARELLI FILHO, 1999)", "plainTextFormattedCitation" : "(WOOD JUNIOR; PICARELLI FILHO, 1999)", "previouslyFormattedCitation" : "(WOOD JUNIOR; PICARELLI FILHO, 1999)"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bCs/>
          <w:noProof/>
          <w:lang w:val="pt-BR"/>
        </w:rPr>
        <w:t>(WOOD JUNIOR; PICARELLI FILHO, 1999)</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Com as recentes oscilações econômicas, as empresas passaram a rever os planos de remuneração dos empregados, dado que as metas estipuladas não estavam sendo realizadas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"URL" : "http://www.valor.com.br/carreira/4278722/crise-afeta-salario-e-remuneracao-variavel-em- todos-os-setores", "accessed" : { "date-parts" : [ [ "2017", "7", "14" ] ] }, "author" : [ { "dropping-particle" : "", "family" : "Sigollo", "given" : "R.", "non-dropping-particle" : "", "parse-names" : false, "suffix" : "" } ], "container-title" : "Valor Econ\u00f4mico", "id" : "ITEM-1", "issued" : { "date-parts" : [ [ "2015" ] ] }, "title" : "Crise afeta sal\u00e1rio e remunera\u00e7\u00e3o vari\u00e1vel em todos os setores", "type" : "webpage" }, "uris" : [ "http://www.mendeley.com/documents/?uuid=9d6657bc-017c-4ea5-89de-e751cbc1f3a3" ] } ], "mendeley" : { "formattedCitation" : "(SIGOLLO, 2015)", "plainTextFormattedCitation" : "(SIGOLLO, 2015)", "previouslyFormattedCitation" : "(SIGOLLO, 2015)"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(SIGOLLO, 2015)</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Ainda segundo o autor, a remuneração variável acabou sendo afetada, acarretando aumento do salário-base e diminuição dos incentivos de curto prazo (bônus).</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Dentre os tipos de remuneração variável, destaca-se o pagamento baseado em ações. Estes</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apresentam</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características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distintas,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como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diluir</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capital</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e</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garantir</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direitos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 xml:space="preserve">acionistas.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"10.1146/annurev-financial-120209-133958", "author" : [ { "dropping-particle" : "", "family" : "Frydman", "given" : "Carola", "non-dropping-particle" : "", "parse-names" : false, "suffix" : "" }, { "dropping-particle" : "", "family" : "Jenter", "given" : "Dirk", "non-dropping-particle" : "", "parse-names" : false, "suffix" : "" } ], "container-title" : "Annual Review of Financial Economics", "id" : "ITEM-1", "issued" : { "date-parts" : [ [ "2010" ] ] }, "page" : "75-102", "title" : "CEO Compensation", "type" : "article-journal", "volume" : "2" }, "uris" : [ "http://www.mendeley.com/documents/?uuid=e91f8f20-b900-4b25-85b1-ba7489ad31dc" ] } ], "mendeley" : { "formattedCitation" : "(FRYDMAN; JENTER, 2010)", "manualFormatting" : "Frydman e Jenter (2010)", "plainTextFormattedCitation" : "(FRYDMAN; JENTER, 2010)", "previouslyFormattedCitation" : "(FRYDMAN; JENTER, 2010)"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Frydman e Jenter (2010)</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observaram que durante os anos 80 e 90 as </w:t>
      </w:r>
      <w:r w:rsidRPr="00C35568">
        <w:rPr>
          <w:rFonts w:ascii="Times New Roman" w:hAnsi="Times New Roman" w:cs="Times New Roman"/>
          <w:i/>
          <w:lang w:val="pt-BR"/>
        </w:rPr>
        <w:t>stocks options</w:t>
      </w:r>
      <w:r w:rsidR="001F508F" w:rsidRPr="00C35568">
        <w:rPr>
          <w:rFonts w:ascii="Times New Roman" w:hAnsi="Times New Roman" w:cs="Times New Roman"/>
          <w:lang w:val="pt-BR"/>
        </w:rPr>
        <w:t xml:space="preserve"> representavam</w:t>
      </w:r>
      <w:r w:rsidRPr="00C35568">
        <w:rPr>
          <w:rFonts w:ascii="Times New Roman" w:hAnsi="Times New Roman" w:cs="Times New Roman"/>
          <w:lang w:val="pt-BR"/>
        </w:rPr>
        <w:t xml:space="preserve"> as maiores parcelas da remuneração dos executivos. Um aspecto relevante levantado por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"manualFormatting" : "Lipman e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e Hall (2008)</w:t>
      </w:r>
      <w:r w:rsidR="00C70C2A" w:rsidRPr="00C35568">
        <w:rPr>
          <w:rStyle w:val="FootnoteReference"/>
          <w:rFonts w:ascii="Times New Roman" w:hAnsi="Times New Roman" w:cs="Times New Roman"/>
          <w:lang w:val="pt-BR"/>
        </w:rPr>
        <w:fldChar w:fldCharType="end"/>
      </w:r>
      <w:r w:rsidR="005D1DF6" w:rsidRPr="00C35568">
        <w:rPr>
          <w:rFonts w:ascii="Times New Roman" w:hAnsi="Times New Roman" w:cs="Times New Roman"/>
          <w:lang w:val="pt-BR"/>
        </w:rPr>
        <w:t xml:space="preserve"> </w:t>
      </w:r>
      <w:r w:rsidRPr="00C35568">
        <w:rPr>
          <w:rFonts w:ascii="Times New Roman" w:hAnsi="Times New Roman" w:cs="Times New Roman"/>
          <w:lang w:val="pt-BR"/>
        </w:rPr>
        <w:t>é</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porcentagem</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remuneração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baseada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em</w:t>
      </w:r>
      <w:r w:rsidRPr="00C35568">
        <w:rPr>
          <w:rFonts w:ascii="Times New Roman" w:hAnsi="Times New Roman" w:cs="Times New Roman"/>
          <w:spacing w:val="-3"/>
          <w:lang w:val="pt-BR"/>
        </w:rPr>
        <w:t xml:space="preserve"> </w:t>
      </w:r>
      <w:r w:rsidRPr="00C35568">
        <w:rPr>
          <w:rFonts w:ascii="Times New Roman" w:hAnsi="Times New Roman" w:cs="Times New Roman"/>
          <w:lang w:val="pt-BR"/>
        </w:rPr>
        <w:t>ações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dentro</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do</w:t>
      </w:r>
      <w:r w:rsidRPr="00C35568">
        <w:rPr>
          <w:rFonts w:ascii="Times New Roman" w:hAnsi="Times New Roman" w:cs="Times New Roman"/>
          <w:spacing w:val="-4"/>
          <w:lang w:val="pt-BR"/>
        </w:rPr>
        <w:t xml:space="preserve"> </w:t>
      </w:r>
      <w:r w:rsidRPr="00C35568">
        <w:rPr>
          <w:rFonts w:ascii="Times New Roman" w:hAnsi="Times New Roman" w:cs="Times New Roman"/>
          <w:lang w:val="pt-BR"/>
        </w:rPr>
        <w:t xml:space="preserve">pacote de compensação, não deve ser consideravelmente elevado. Esta sugestão se explica pelo incentivo dos gestores oportunistas que podem concentrar esforços para valorização discricionária do preço das ações. </w:t>
      </w:r>
      <w:r w:rsidR="001F508F" w:rsidRPr="00C35568">
        <w:rPr>
          <w:rFonts w:ascii="Times New Roman" w:hAnsi="Times New Roman" w:cs="Times New Roman"/>
          <w:lang w:val="pt-BR"/>
        </w:rPr>
        <w:t xml:space="preserve">Todavia, ainda segundo os autores, </w:t>
      </w:r>
      <w:r w:rsidRPr="00C35568">
        <w:rPr>
          <w:rFonts w:ascii="Times New Roman" w:hAnsi="Times New Roman" w:cs="Times New Roman"/>
          <w:lang w:val="pt-BR"/>
        </w:rPr>
        <w:t xml:space="preserve">o pagamento por ações </w:t>
      </w:r>
      <w:r w:rsidR="001F508F" w:rsidRPr="00C35568">
        <w:rPr>
          <w:rFonts w:ascii="Times New Roman" w:hAnsi="Times New Roman" w:cs="Times New Roman"/>
          <w:lang w:val="pt-BR"/>
        </w:rPr>
        <w:t xml:space="preserve">pode </w:t>
      </w:r>
      <w:r w:rsidRPr="00C35568">
        <w:rPr>
          <w:rFonts w:ascii="Times New Roman" w:hAnsi="Times New Roman" w:cs="Times New Roman"/>
          <w:lang w:val="pt-BR"/>
        </w:rPr>
        <w:t>ser util</w:t>
      </w:r>
      <w:r w:rsidR="001F508F" w:rsidRPr="00C35568">
        <w:rPr>
          <w:rFonts w:ascii="Times New Roman" w:hAnsi="Times New Roman" w:cs="Times New Roman"/>
          <w:lang w:val="pt-BR"/>
        </w:rPr>
        <w:t>izado como vantagem competitiva.</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Na tentativa de minimizar o conflito de agência e alinhar os interesses entre as partes relacionadas, as companhias passaram a estruturar pacotes de remuneração aos executivos. O instrumento de remuneração baseado em ações, tal como os planos de </w:t>
      </w:r>
      <w:r w:rsidRPr="00C35568">
        <w:rPr>
          <w:rFonts w:ascii="Times New Roman" w:hAnsi="Times New Roman" w:cs="Times New Roman"/>
          <w:i/>
          <w:lang w:val="pt-BR"/>
        </w:rPr>
        <w:t>stock options</w:t>
      </w:r>
      <w:r w:rsidRPr="00C35568">
        <w:rPr>
          <w:rFonts w:ascii="Times New Roman" w:hAnsi="Times New Roman" w:cs="Times New Roman"/>
          <w:lang w:val="pt-BR"/>
        </w:rPr>
        <w:t xml:space="preserve">, que consistem em oferecer aos empregados a opção de compra de ações a valores abaixo do mercado, podem minimizar os problemas de agência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"10.1016/S0305-0483(99)00021-3", "ISBN" : "0305-0483", "ISSN" : "03050483", "PMID" : "236500632", "abstract" : "Agency theory argues that companies need to structure their top management pay so as to attract, retain, motivate, and reward senior executives. It is implicit in this literature that managers should be rewarded for performance and that company size should not be a significant determinant of compensation. Empirical evidence in many countries has concluded, however, that size is a major determinant of management remuneration and the pay-for-performance link is very weak. This study examines the determinants of senior executives' remuneration and bonus payments in Hong Kong companies using recently available data. We examine both the level of pay and changes in pay. Corporate size is found to be a major explanator of remuneration levels and of changes in the pay of the CEO and executive directors. Accounting profitability is also a significant explanator of compensation. Performance, as measured by stock returns, has little or no statistically significant relationship with pay; in fact, some of the results show negative relationships. Some share ownership characteristics have influences on the levels of remuneration. In particular, share ownership by directors and share ownership by institutional investors moderate the compensation levels. In contrast, corporate governance variables have little association with change in pay. Overall, the results imply agency arguments that advocate pay-for-performance compensation schemes are not major factors in setting top management remuneration in Hong Kong. \u00a9 1999 Elsevier Science Ltd. All rights reserved.", "author" : [ { "dropping-particle" : "", "family" : "Firth", "given" : "M.", "non-dropping-particle" : "", "parse-names" : false, "suffix" : "" }, { "dropping-particle" : "", "family" : "Tam", "given" : "M.", "non-dropping-particle" : "", "parse-names" : false, "suffix" : "" }, { "dropping-particle" : "", "family" : "Tang", "given" : "M.", "non-dropping-particle" : "", "parse-names" : false, "suffix" : "" } ], "container-title" : "Omega", "id" : "ITEM-1", "issue" : "6", "issued" : { "date-parts" : [ [ "1999" ] ] }, "page" : "617-635", "title" : "The determinants of top management pay", "type" : "article-journal", "volume" : "27" }, "uris" : [ "http://www.mendeley.com/documents/?uuid=2e2dc51c-db55-4676-90d6-68d0ce23034b" ] } ], "mendeley" : { "formattedCitation" : "(FIRTH; TAM; TANG, 1999)", "plainTextFormattedCitation" : "(FIRTH; TAM; TANG, 1999)", "previouslyFormattedCitation" : "(FIRTH; TAM; TANG, 1999)"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bCs/>
          <w:noProof/>
          <w:lang w:val="pt-BR"/>
        </w:rPr>
        <w:t>(FIRTH; TAM; TANG, 1999)</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w:t>
      </w:r>
    </w:p>
    <w:p w:rsidR="001A2445" w:rsidRPr="00C35568" w:rsidRDefault="00C70C2A" w:rsidP="002B4E11">
      <w:pPr>
        <w:pStyle w:val="BodyText"/>
        <w:spacing w:after="0" w:line="240" w:lineRule="auto"/>
        <w:ind w:firstLine="709"/>
        <w:jc w:val="both"/>
        <w:rPr>
          <w:rFonts w:ascii="Times New Roman" w:hAnsi="Times New Roman" w:cs="Times New Roman"/>
          <w:lang w:val="pt-BR"/>
        </w:rPr>
      </w:pPr>
      <w:r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"da", "family" : "Silveira", "given" : "Alexandre Di Miceli", "non-dropping-particle" : "", "parse-names" : false, "suffix" : "" }, { "dropping-particle" : "", "family" : "Barros", "given" : "Lucas Ayres B. de C.", "non-dropping-particle" : "", "parse-names" : false, "suffix" : "" } ], "container-title" : "working paper", "id" : "ITEM-1", "issued" : { "date-parts" : [ [ "2013" ] ] }, "number-of-pages" : "1-61", "title" : "Concentration of Power and Corporate Performance Variability", "type" : "report" }, "uris" : [ "http://www.mendeley.com/documents/?uuid=7e7b9fe0-c5c1-4c7a-9ef7-fcae730e2134" ] } ], "mendeley" : { "formattedCitation" : "(SILVEIRA; BARROS, 2013)", "manualFormatting" : "Silveira e Barros (2013)", "plainTextFormattedCitation" : "(SILVEIRA; BARROS, 2013)", "previouslyFormattedCitation" : "(SILVEIRA; BARROS, 2013)" }, "properties" : {  }, "schema" : "https://github.com/citation-style-language/schema/raw/master/csl-citation.json" }</w:instrText>
      </w:r>
      <w:r w:rsidRPr="00C35568">
        <w:rPr>
          <w:rStyle w:val="FootnoteReference"/>
          <w:rFonts w:ascii="Times New Roman" w:hAnsi="Times New Roman" w:cs="Times New Roman"/>
          <w:lang w:val="pt-BR"/>
        </w:rPr>
        <w:fldChar w:fldCharType="separate"/>
      </w:r>
      <w:r w:rsidRPr="00C35568">
        <w:rPr>
          <w:rFonts w:ascii="Times New Roman" w:hAnsi="Times New Roman" w:cs="Times New Roman"/>
          <w:noProof/>
          <w:lang w:val="pt-BR"/>
        </w:rPr>
        <w:t>Silveira e Barros (2013)</w:t>
      </w:r>
      <w:r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 xml:space="preserve"> desenvolveram um indicador que captura as características da homogeneidade do conselho de administração, doravante CA, considerando características de </w:t>
      </w:r>
      <w:r w:rsidR="002423CE" w:rsidRPr="00C35568">
        <w:rPr>
          <w:rFonts w:ascii="Times New Roman" w:hAnsi="Times New Roman" w:cs="Times New Roman"/>
          <w:lang w:val="pt-BR"/>
        </w:rPr>
        <w:lastRenderedPageBreak/>
        <w:t>porcentagem de mulheres, mandatos médios, características educacionais e de permanência</w:t>
      </w:r>
      <w:r w:rsidR="002423CE" w:rsidRPr="00C35568">
        <w:rPr>
          <w:rFonts w:ascii="Times New Roman" w:hAnsi="Times New Roman" w:cs="Times New Roman"/>
          <w:spacing w:val="-19"/>
          <w:lang w:val="pt-BR"/>
        </w:rPr>
        <w:t xml:space="preserve"> </w:t>
      </w:r>
      <w:r w:rsidR="002423CE" w:rsidRPr="00C35568">
        <w:rPr>
          <w:rFonts w:ascii="Times New Roman" w:hAnsi="Times New Roman" w:cs="Times New Roman"/>
          <w:lang w:val="pt-BR"/>
        </w:rPr>
        <w:t xml:space="preserve">no conselho. </w:t>
      </w:r>
      <w:r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"de", "family" : "Souza", "given" : "Jo\u00e3o Ant\u00f4nio Salvador", "non-dropping-particle" : "", "parse-names" : false, "suffix" : "" } ], "id" : "ITEM-1", "issued" : { "date-parts" : [ [ "2014" ] ] }, "number-of-pages" : "131", "publisher" : "Universidade Federal do Esp\u00edrito Santo", "title" : "Transa\u00e7\u00f5es com partes relacionadas: determinantes e impactos no desempenho das empresas", "type" : "thesis" }, "uris" : [ "http://www.mendeley.com/documents/?uuid=0740b0d0-755e-430c-90d9-73ce8409a404" ] } ], "mendeley" : { "formattedCitation" : "(SOUZA, 2014)", "manualFormatting" : "Souza (2014)", "plainTextFormattedCitation" : "(SOUZA, 2014)", "previouslyFormattedCitation" : "(SOUZA, 2014)" }, "properties" : {  }, "schema" : "https://github.com/citation-style-language/schema/raw/master/csl-citation.json" }</w:instrText>
      </w:r>
      <w:r w:rsidRPr="00C35568">
        <w:rPr>
          <w:rStyle w:val="FootnoteReference"/>
          <w:rFonts w:ascii="Times New Roman" w:hAnsi="Times New Roman" w:cs="Times New Roman"/>
          <w:lang w:val="pt-BR"/>
        </w:rPr>
        <w:fldChar w:fldCharType="separate"/>
      </w:r>
      <w:r w:rsidRPr="00C35568">
        <w:rPr>
          <w:rFonts w:ascii="Times New Roman" w:hAnsi="Times New Roman" w:cs="Times New Roman"/>
          <w:noProof/>
          <w:lang w:val="pt-BR"/>
        </w:rPr>
        <w:t>Souza (2014)</w:t>
      </w:r>
      <w:r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 xml:space="preserve"> de forma adicional em sua pesquisa, utilizou estas características para identificar as determinantes do excesso de remuneração dos executivos. O autor verificou relação entre as características sumarizadas e a remuneração total das</w:t>
      </w:r>
      <w:r w:rsidR="002423CE" w:rsidRPr="00C35568">
        <w:rPr>
          <w:rFonts w:ascii="Times New Roman" w:hAnsi="Times New Roman" w:cs="Times New Roman"/>
          <w:spacing w:val="-19"/>
          <w:lang w:val="pt-BR"/>
        </w:rPr>
        <w:t xml:space="preserve"> </w:t>
      </w:r>
      <w:r w:rsidR="002423CE" w:rsidRPr="00C35568">
        <w:rPr>
          <w:rFonts w:ascii="Times New Roman" w:hAnsi="Times New Roman" w:cs="Times New Roman"/>
          <w:lang w:val="pt-BR"/>
        </w:rPr>
        <w:t>empresas.</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literatura que analisa a remuneração executiva </w:t>
      </w:r>
      <w:r w:rsidR="00DC6660" w:rsidRPr="00C35568">
        <w:rPr>
          <w:rFonts w:ascii="Times New Roman" w:hAnsi="Times New Roman" w:cs="Times New Roman"/>
          <w:lang w:val="pt-BR"/>
        </w:rPr>
        <w:t xml:space="preserve">como mecanismo de governança corporativa </w:t>
      </w:r>
      <w:r w:rsidRPr="00C35568">
        <w:rPr>
          <w:rFonts w:ascii="Times New Roman" w:hAnsi="Times New Roman" w:cs="Times New Roman"/>
          <w:lang w:val="pt-BR"/>
        </w:rPr>
        <w:t xml:space="preserve">ainda é incipiente.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"Davis", "given" : "S.M.", "non-dropping-particle" : "", "parse-names" : false, "suffix" : "" } ], "container-title" : "Harvard Business Review", "id" : "ITEM-1", "issue" : "2", "issued" : { "date-parts" : [ [ "1979" ] ] }, "title" : "Developments, trends &amp; useful proposals for the attention of managers: No connection between executive age and corporate performance.", "type" : "article-journal", "volume" : "23" }, "uris" : [ "http://www.mendeley.com/documents/?uuid=0278e458-bbd2-4a6a-b5fe-c751122a4baa" ] } ], "mendeley" : { "formattedCitation" : "(DAVIS, 1979)", "manualFormatting" : "Davis (1979)", "plainTextFormattedCitation" : "(DAVIS, 1979)", "previouslyFormattedCitation" : "(DAVIS, 1979)"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Davis (1979)</w:t>
      </w:r>
      <w:r w:rsidR="00C70C2A" w:rsidRPr="00C35568">
        <w:rPr>
          <w:rStyle w:val="FootnoteReference"/>
          <w:rFonts w:ascii="Times New Roman" w:hAnsi="Times New Roman" w:cs="Times New Roman"/>
          <w:lang w:val="pt-BR"/>
        </w:rPr>
        <w:fldChar w:fldCharType="end"/>
      </w:r>
      <w:r w:rsidR="007D7920" w:rsidRPr="00C35568">
        <w:rPr>
          <w:rFonts w:ascii="Times New Roman" w:hAnsi="Times New Roman" w:cs="Times New Roman"/>
          <w:lang w:val="pt-BR"/>
        </w:rPr>
        <w:t xml:space="preserve"> </w:t>
      </w:r>
      <w:r w:rsidRPr="00C35568">
        <w:rPr>
          <w:rFonts w:ascii="Times New Roman" w:hAnsi="Times New Roman" w:cs="Times New Roman"/>
          <w:lang w:val="pt-BR"/>
        </w:rPr>
        <w:t>não identificou relação entre</w:t>
      </w:r>
      <w:r w:rsidRPr="00C35568">
        <w:rPr>
          <w:rFonts w:ascii="Times New Roman" w:hAnsi="Times New Roman" w:cs="Times New Roman"/>
          <w:spacing w:val="-21"/>
          <w:lang w:val="pt-BR"/>
        </w:rPr>
        <w:t xml:space="preserve"> </w:t>
      </w:r>
      <w:r w:rsidRPr="00C35568">
        <w:rPr>
          <w:rFonts w:ascii="Times New Roman" w:hAnsi="Times New Roman" w:cs="Times New Roman"/>
          <w:lang w:val="pt-BR"/>
        </w:rPr>
        <w:t>idade do executivo e desempenho organizacional.</w:t>
      </w:r>
      <w:r w:rsidR="007D792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"Bertrand", "given" : "M.", "non-dropping-particle" : "", "parse-names" : false, "suffix" : "" }, { "dropping-particle" : "", "family" : "Schoar", "given" : "A.", "non-dropping-particle" : "", "parse-names" : false, "suffix" : "" } ], "container-title" : "The Quarterly Journal of Economics", "id" : "ITEM-1", "issue" : "4", "issued" : { "date-parts" : [ [ "2003" ] ] }, "page" : "1169-1208", "title" : "Managing with style: The effect of managers on firm policies", "type" : "article-journal", "volume" : "118" }, "uris" : [ "http://www.mendeley.com/documents/?uuid=c56bd3a6-0c2c-4524-8e46-811c98a2156b" ] } ], "mendeley" : { "formattedCitation" : "(BERTRAND; SCHOAR, 2003)", "manualFormatting" : "Bertrand e Schoar (2003)", "plainTextFormattedCitation" : "(BERTRAND; SCHOAR, 2003)", "previouslyFormattedCitation" : "(BERTRAND; SCHOAR, 2003)"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Bertrand e Schoar (2003)</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sugerem que executivos mais velhos são mais conservadores.</w:t>
      </w:r>
      <w:r w:rsidR="007D792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"Funchal", "given" : "J\u00e9ferson de Ara\u00fajo", "non-dropping-particle" : "", "parse-names" : false, "suffix" : "" }, { "dropping-particle" : "", "family" : "Terra", "given" : "Paulo Renato Soares", "non-dropping-particle" : "", "parse-names" : false, "suffix" : "" } ], "container-title" : "EnANPAD", "id" : "ITEM-1", "issued" : { "date-parts" : [ [ "2006" ] ] }, "page" : "1-16", "title" : "Remunera\u00e7\u00e3o de Executivos, Desempenho Econ\u00f4mico e Governan\u00e7a Corporativa: um Estudo Emp\u00edrico em Empresas Latino-Americanas", "type" : "paper-conference" }, "uris" : [ "http://www.mendeley.com/documents/?uuid=d4f09e54-da91-46fb-91a1-5735ebb2e43c" ] } ], "mendeley" : { "formattedCitation" : "(FUNCHAL; TERRA, 2006)", "manualFormatting" : "Funchal e Terra (2006)", "plainTextFormattedCitation" : "(FUNCHAL; TERRA, 2006)", "previouslyFormattedCitation" : "(FUNCHAL; TERRA, 2006)"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Funchal e Terra (2006)</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em estudo multipaíses incluindo o Brasil, identificaram um número reduzido de conselheiros independentes e uma menor participação dos executivos no conselho de</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administração.</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Na presente pesquisa pretende-se responder a seguinte questão: quais são os tipos </w:t>
      </w:r>
      <w:r w:rsidR="00C813FC" w:rsidRPr="00C35568">
        <w:rPr>
          <w:rFonts w:ascii="Times New Roman" w:hAnsi="Times New Roman" w:cs="Times New Roman"/>
          <w:lang w:val="pt-BR"/>
        </w:rPr>
        <w:t xml:space="preserve">e os determinantes da remuneração executiva no mercado acionário brasileiro? </w:t>
      </w:r>
      <w:r w:rsidRPr="00C35568">
        <w:rPr>
          <w:rFonts w:ascii="Times New Roman" w:hAnsi="Times New Roman" w:cs="Times New Roman"/>
          <w:lang w:val="pt-BR"/>
        </w:rPr>
        <w:t xml:space="preserve">Deste modo, o objetivo do trabalho é identificar os tipos </w:t>
      </w:r>
      <w:r w:rsidR="00C813FC" w:rsidRPr="00C35568">
        <w:rPr>
          <w:rFonts w:ascii="Times New Roman" w:hAnsi="Times New Roman" w:cs="Times New Roman"/>
          <w:lang w:val="pt-BR"/>
        </w:rPr>
        <w:t>e os determinantes da remuneração dos executivos que compõem o conselho de administração, a diretoria estatutária e o conselho fiscal das empresas com ações negociadas no mercado acionário brasileiro.</w:t>
      </w:r>
    </w:p>
    <w:p w:rsidR="00DC6660"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Para </w:t>
      </w:r>
      <w:r w:rsidR="003F75DC" w:rsidRPr="00C35568">
        <w:rPr>
          <w:rFonts w:ascii="Times New Roman" w:hAnsi="Times New Roman" w:cs="Times New Roman"/>
          <w:lang w:val="pt-BR"/>
        </w:rPr>
        <w:t xml:space="preserve">testar a relação entre a remuneração e a característica dos executivos, </w:t>
      </w:r>
      <w:r w:rsidRPr="00C35568">
        <w:rPr>
          <w:rFonts w:ascii="Times New Roman" w:hAnsi="Times New Roman" w:cs="Times New Roman"/>
          <w:lang w:val="pt-BR"/>
        </w:rPr>
        <w:t>foram selecionadas as 59 empresas que integravam o índice Ibovespa de 2017. As informações foram coletadas manualmente no formulário</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referencia</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(FR),</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perfazendo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anos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2013</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2016.</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Inicialmente,</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remuneração ex</w:t>
      </w:r>
      <w:r w:rsidR="00DC6660" w:rsidRPr="00C35568">
        <w:rPr>
          <w:rFonts w:ascii="Times New Roman" w:hAnsi="Times New Roman" w:cs="Times New Roman"/>
          <w:lang w:val="pt-BR"/>
        </w:rPr>
        <w:t xml:space="preserve">ecutiva foi segregada em fixa, </w:t>
      </w:r>
      <w:r w:rsidRPr="00C35568">
        <w:rPr>
          <w:rFonts w:ascii="Times New Roman" w:hAnsi="Times New Roman" w:cs="Times New Roman"/>
          <w:lang w:val="pt-BR"/>
        </w:rPr>
        <w:t>variável</w:t>
      </w:r>
      <w:r w:rsidR="00DC6660" w:rsidRPr="00C35568">
        <w:rPr>
          <w:rFonts w:ascii="Times New Roman" w:hAnsi="Times New Roman" w:cs="Times New Roman"/>
          <w:lang w:val="pt-BR"/>
        </w:rPr>
        <w:t xml:space="preserve"> e por meio de pagamento baseado em ações. </w:t>
      </w:r>
      <w:r w:rsidR="003F75DC" w:rsidRPr="00C35568">
        <w:rPr>
          <w:rFonts w:ascii="Times New Roman" w:hAnsi="Times New Roman" w:cs="Times New Roman"/>
          <w:lang w:val="pt-BR"/>
        </w:rPr>
        <w:t>As características dos executivos analisadas foram a quantidade de membros dos conselhos, o grau de instrução, a dualidade e a independencia. Para controlar o efeito do desempenho na remuneração foram selecionadas proxies que representam a magnitude da rentabilidade, estas coletadas da demonstrações financeiras das empresas.</w:t>
      </w:r>
    </w:p>
    <w:p w:rsidR="00A65A6A"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 pesquisa apresenta relevância por analisar tipos específicos de remuneração</w:t>
      </w:r>
      <w:r w:rsidRPr="00C35568">
        <w:rPr>
          <w:rFonts w:ascii="Times New Roman" w:hAnsi="Times New Roman" w:cs="Times New Roman"/>
          <w:spacing w:val="-42"/>
          <w:lang w:val="pt-BR"/>
        </w:rPr>
        <w:t xml:space="preserve"> </w:t>
      </w:r>
      <w:r w:rsidRPr="00C35568">
        <w:rPr>
          <w:rFonts w:ascii="Times New Roman" w:hAnsi="Times New Roman" w:cs="Times New Roman"/>
          <w:lang w:val="pt-BR"/>
        </w:rPr>
        <w:t>variável. Existem</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métodos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remuneração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onde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4"/>
          <w:lang w:val="pt-BR"/>
        </w:rPr>
        <w:t xml:space="preserve"> </w:t>
      </w:r>
      <w:r w:rsidRPr="00C35568">
        <w:rPr>
          <w:rFonts w:ascii="Times New Roman" w:hAnsi="Times New Roman" w:cs="Times New Roman"/>
          <w:lang w:val="pt-BR"/>
        </w:rPr>
        <w:t>capital</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dos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acionistas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é</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diluído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outros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não,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podendo agravar o conflito de interesses. Deste modo, o presente estudo estende a literatura ao verificar quais os tipos de remuneração variável são praticados no mercado, bem como sua relação com as características dos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executivos.</w:t>
      </w:r>
      <w:r w:rsidR="00A65A6A" w:rsidRPr="00C35568">
        <w:rPr>
          <w:rFonts w:ascii="Times New Roman" w:hAnsi="Times New Roman" w:cs="Times New Roman"/>
          <w:lang w:val="pt-BR"/>
        </w:rPr>
        <w:t xml:space="preserve"> </w:t>
      </w:r>
    </w:p>
    <w:p w:rsidR="001A2445"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Os resultados podem ser úteis para os participantes do mercado. </w:t>
      </w:r>
      <w:r w:rsidR="002F376B" w:rsidRPr="00C35568">
        <w:rPr>
          <w:rFonts w:ascii="Times New Roman" w:hAnsi="Times New Roman" w:cs="Times New Roman"/>
          <w:lang w:val="pt-BR"/>
        </w:rPr>
        <w:t xml:space="preserve">Outrossim, </w:t>
      </w:r>
      <w:r w:rsidRPr="00C35568">
        <w:rPr>
          <w:rFonts w:ascii="Times New Roman" w:hAnsi="Times New Roman" w:cs="Times New Roman"/>
          <w:lang w:val="pt-BR"/>
        </w:rPr>
        <w:t xml:space="preserve">como as empresas remuneram, podem </w:t>
      </w:r>
      <w:r w:rsidR="002F376B" w:rsidRPr="00C35568">
        <w:rPr>
          <w:rFonts w:ascii="Times New Roman" w:hAnsi="Times New Roman" w:cs="Times New Roman"/>
          <w:lang w:val="pt-BR"/>
        </w:rPr>
        <w:t xml:space="preserve">ser úteis na relação  entre as </w:t>
      </w:r>
      <w:r w:rsidRPr="00C35568">
        <w:rPr>
          <w:rFonts w:ascii="Times New Roman" w:hAnsi="Times New Roman" w:cs="Times New Roman"/>
          <w:lang w:val="pt-BR"/>
        </w:rPr>
        <w:t xml:space="preserve"> </w:t>
      </w:r>
      <w:r w:rsidR="002F376B" w:rsidRPr="00C35568">
        <w:rPr>
          <w:rFonts w:ascii="Times New Roman" w:hAnsi="Times New Roman" w:cs="Times New Roman"/>
          <w:lang w:val="pt-BR"/>
        </w:rPr>
        <w:t xml:space="preserve">perspectivas de </w:t>
      </w:r>
      <w:r w:rsidRPr="00C35568">
        <w:rPr>
          <w:rFonts w:ascii="Times New Roman" w:hAnsi="Times New Roman" w:cs="Times New Roman"/>
          <w:lang w:val="pt-BR"/>
        </w:rPr>
        <w:t xml:space="preserve">investimentos </w:t>
      </w:r>
      <w:r w:rsidR="002F376B" w:rsidRPr="00C35568">
        <w:rPr>
          <w:rFonts w:ascii="Times New Roman" w:hAnsi="Times New Roman" w:cs="Times New Roman"/>
          <w:lang w:val="pt-BR"/>
        </w:rPr>
        <w:t xml:space="preserve"> futuras.  </w:t>
      </w:r>
      <w:r w:rsidRPr="00C35568">
        <w:rPr>
          <w:rFonts w:ascii="Times New Roman" w:hAnsi="Times New Roman" w:cs="Times New Roman"/>
          <w:lang w:val="pt-BR"/>
        </w:rPr>
        <w:t xml:space="preserve">Os achados também </w:t>
      </w:r>
      <w:r w:rsidR="00A65A6A" w:rsidRPr="00C35568">
        <w:rPr>
          <w:rFonts w:ascii="Times New Roman" w:hAnsi="Times New Roman" w:cs="Times New Roman"/>
          <w:lang w:val="pt-BR"/>
        </w:rPr>
        <w:t>podem auxilia</w:t>
      </w:r>
      <w:r w:rsidR="002F376B" w:rsidRPr="00C35568">
        <w:rPr>
          <w:rFonts w:ascii="Times New Roman" w:hAnsi="Times New Roman" w:cs="Times New Roman"/>
          <w:lang w:val="pt-BR"/>
        </w:rPr>
        <w:t>r</w:t>
      </w:r>
      <w:r w:rsidR="00A65A6A" w:rsidRPr="00C35568">
        <w:rPr>
          <w:rFonts w:ascii="Times New Roman" w:hAnsi="Times New Roman" w:cs="Times New Roman"/>
          <w:lang w:val="pt-BR"/>
        </w:rPr>
        <w:t xml:space="preserve"> </w:t>
      </w:r>
      <w:r w:rsidRPr="00C35568">
        <w:rPr>
          <w:rFonts w:ascii="Times New Roman" w:hAnsi="Times New Roman" w:cs="Times New Roman"/>
          <w:lang w:val="pt-BR"/>
        </w:rPr>
        <w:t>os reguladores a monitorar as práti</w:t>
      </w:r>
      <w:r w:rsidR="00A65A6A" w:rsidRPr="00C35568">
        <w:rPr>
          <w:rFonts w:ascii="Times New Roman" w:hAnsi="Times New Roman" w:cs="Times New Roman"/>
          <w:lang w:val="pt-BR"/>
        </w:rPr>
        <w:t xml:space="preserve">cas de remuneração das empresas </w:t>
      </w:r>
      <w:r w:rsidR="002F376B" w:rsidRPr="00C35568">
        <w:rPr>
          <w:rFonts w:ascii="Times New Roman" w:hAnsi="Times New Roman" w:cs="Times New Roman"/>
          <w:lang w:val="pt-BR"/>
        </w:rPr>
        <w:t>objetivando atenuar e</w:t>
      </w:r>
      <w:r w:rsidR="00A65A6A" w:rsidRPr="00C35568">
        <w:rPr>
          <w:rFonts w:ascii="Times New Roman" w:hAnsi="Times New Roman" w:cs="Times New Roman"/>
          <w:lang w:val="pt-BR"/>
        </w:rPr>
        <w:t xml:space="preserve"> externalizar possíve</w:t>
      </w:r>
      <w:r w:rsidR="002F376B" w:rsidRPr="00C35568">
        <w:rPr>
          <w:rFonts w:ascii="Times New Roman" w:hAnsi="Times New Roman" w:cs="Times New Roman"/>
          <w:lang w:val="pt-BR"/>
        </w:rPr>
        <w:t xml:space="preserve">is </w:t>
      </w:r>
      <w:r w:rsidR="00A65A6A" w:rsidRPr="00C35568">
        <w:rPr>
          <w:rFonts w:ascii="Times New Roman" w:hAnsi="Times New Roman" w:cs="Times New Roman"/>
          <w:lang w:val="pt-BR"/>
        </w:rPr>
        <w:t xml:space="preserve"> problema</w:t>
      </w:r>
      <w:r w:rsidR="002F376B" w:rsidRPr="00C35568">
        <w:rPr>
          <w:rFonts w:ascii="Times New Roman" w:hAnsi="Times New Roman" w:cs="Times New Roman"/>
          <w:lang w:val="pt-BR"/>
        </w:rPr>
        <w:t>s</w:t>
      </w:r>
      <w:r w:rsidR="00A65A6A" w:rsidRPr="00C35568">
        <w:rPr>
          <w:rFonts w:ascii="Times New Roman" w:hAnsi="Times New Roman" w:cs="Times New Roman"/>
          <w:lang w:val="pt-BR"/>
        </w:rPr>
        <w:t xml:space="preserve"> de agência.</w:t>
      </w:r>
    </w:p>
    <w:p w:rsidR="005108E6" w:rsidRDefault="005108E6" w:rsidP="002B4E11">
      <w:pPr>
        <w:pStyle w:val="BodyText"/>
        <w:spacing w:after="0" w:line="240" w:lineRule="auto"/>
        <w:ind w:firstLine="709"/>
        <w:jc w:val="both"/>
        <w:rPr>
          <w:rFonts w:ascii="Times New Roman" w:hAnsi="Times New Roman" w:cs="Times New Roman"/>
          <w:lang w:val="pt-BR"/>
        </w:rPr>
      </w:pPr>
    </w:p>
    <w:p w:rsidR="001A2445" w:rsidRPr="002B4E11" w:rsidRDefault="005108E6" w:rsidP="006832C3">
      <w:pPr>
        <w:pStyle w:val="Heading1"/>
        <w:rPr>
          <w:lang w:val="pt-BR"/>
        </w:rPr>
      </w:pPr>
      <w:r>
        <w:rPr>
          <w:lang w:val="pt-BR"/>
        </w:rPr>
        <w:t xml:space="preserve">2 </w:t>
      </w:r>
      <w:r w:rsidR="002423CE" w:rsidRPr="002B4E11">
        <w:rPr>
          <w:lang w:val="pt-BR"/>
        </w:rPr>
        <w:t>Referencial</w:t>
      </w:r>
      <w:r w:rsidR="002423CE" w:rsidRPr="002B4E11">
        <w:rPr>
          <w:spacing w:val="-8"/>
          <w:lang w:val="pt-BR"/>
        </w:rPr>
        <w:t xml:space="preserve"> </w:t>
      </w:r>
      <w:r w:rsidR="002423CE" w:rsidRPr="002B4E11">
        <w:rPr>
          <w:lang w:val="pt-BR"/>
        </w:rPr>
        <w:t>Teórico</w:t>
      </w:r>
    </w:p>
    <w:p w:rsidR="001A2445" w:rsidRPr="002B4E11" w:rsidRDefault="005108E6" w:rsidP="005108E6">
      <w:pPr>
        <w:pStyle w:val="Heading2"/>
        <w:rPr>
          <w:lang w:val="pt-BR"/>
        </w:rPr>
      </w:pPr>
      <w:r>
        <w:rPr>
          <w:lang w:val="pt-BR"/>
        </w:rPr>
        <w:t xml:space="preserve">2.1 </w:t>
      </w:r>
      <w:r w:rsidR="002423CE" w:rsidRPr="002B4E11">
        <w:rPr>
          <w:lang w:val="pt-BR"/>
        </w:rPr>
        <w:t>Conflito de</w:t>
      </w:r>
      <w:r w:rsidR="002423CE" w:rsidRPr="002B4E11">
        <w:rPr>
          <w:spacing w:val="-6"/>
          <w:lang w:val="pt-BR"/>
        </w:rPr>
        <w:t xml:space="preserve"> </w:t>
      </w:r>
      <w:r w:rsidR="002423CE" w:rsidRPr="002B4E11">
        <w:rPr>
          <w:lang w:val="pt-BR"/>
        </w:rPr>
        <w:t>Interesse</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Os acionistas buscam nas políticas adotadas pelos executivos aumento</w:t>
      </w:r>
      <w:r w:rsidR="00D9030A" w:rsidRPr="00C35568">
        <w:rPr>
          <w:rFonts w:ascii="Times New Roman" w:hAnsi="Times New Roman" w:cs="Times New Roman"/>
          <w:lang w:val="pt-BR"/>
        </w:rPr>
        <w:t xml:space="preserve"> de valor de suas participações. Todavia, os gestores</w:t>
      </w:r>
      <w:r w:rsidRPr="00C35568">
        <w:rPr>
          <w:rFonts w:ascii="Times New Roman" w:hAnsi="Times New Roman" w:cs="Times New Roman"/>
          <w:lang w:val="pt-BR"/>
        </w:rPr>
        <w:t xml:space="preserve"> podem se engajar em atividades que ac</w:t>
      </w:r>
      <w:r w:rsidR="003F75DC" w:rsidRPr="00C35568">
        <w:rPr>
          <w:rFonts w:ascii="Times New Roman" w:hAnsi="Times New Roman" w:cs="Times New Roman"/>
          <w:lang w:val="pt-BR"/>
        </w:rPr>
        <w:t>entuam o conflito de interesses</w:t>
      </w:r>
      <w:r w:rsidR="007D792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"10.2139/ssrn.146148", "ISBN" : "00178012", "ISSN" : "1556-5068", "PMID" : "1007", "abstract" : "Paying top executives better would eventually mean paying them more. The arrival of spring means yet another round in the national debate over executive compensation. Soon the business press will trumpet answers to the questions it asks every year: Who were the highest paid CEOs? How many executives made more than a million dollars? Who received the biggest raises? Political figures, union leaders, and consumer activists will issue now-familiar denunciations of executive salaries and urge that directors curb top-level pay in the interests of social equity and statesmanship. The critics have it wrong. There are serious problems with CEO compensation, but excessive pay is not the biggest issue. The relentless focus on how much CEOs are paid diverts public attention from the real problem--how CEOs are paid. In most publicly held companies, the compensation of top executives is virtually independent of performance. On average, corporate America pays its most important leaders like bureaucrats. Is it any wonder then that so many CEOs act like bureaucrats rather than the value-maximizing entrepreneurs companies need to enhance their standing in world markets? We recently completed an in-depth statistical analysis of executive compensation. Our study incorporates data on thousands of CEOs spanning five decades. The base sample consists of information on salaries and bonuses for 2,505 CEOs in 1,400 publicly held companies from 1974 through 1988. We also collected data on stock options and stock ownership for CEOs of the 430 largest publicly held companies in 1988. In addition, we drew on compensation data for executives at more than 700 public companies for the period 1934 through 1938.", "author" : [ { "dropping-particle" : "", "family" : "Jensen", "given" : "Michael C.", "non-dropping-particle" : "", "parse-names" : false, "suffix" : "" }, { "dropping-particle" : "", "family" : "Murphy", "given" : "Kevin J.", "non-dropping-particle" : "", "parse-names" : false, "suffix" : "" } ], "container-title" : "Harvard Business Review", "id" : "ITEM-1", "issue" : "3", "issued" : { "date-parts" : [ [ "1990" ] ] }, "page" : "138-153", "title" : "CEO Incentives \u2014 It \u2019 s Not How Much You Pay, But How", "type" : "article-journal", "volume" : "3" }, "uris" : [ "http://www.mendeley.com/documents/?uuid=add4dc45-bfe4-497d-9836-9a408e016bed" ] } ], "mendeley" : { "formattedCitation" : "(JENSEN; MURPHY, 1990)", "plainTextFormattedCitation" : "(JENSEN; MURPHY, 1990)", "previouslyFormattedCitation" : "(JENSEN; MURPHY, 1990)"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bCs/>
          <w:noProof/>
          <w:lang w:val="pt-BR"/>
        </w:rPr>
        <w:t>(JENSEN; MURPHY, 1990)</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w:t>
      </w:r>
      <w:r w:rsidR="003F75DC" w:rsidRPr="00C35568">
        <w:rPr>
          <w:rFonts w:ascii="Times New Roman" w:hAnsi="Times New Roman" w:cs="Times New Roman"/>
          <w:lang w:val="pt-BR"/>
        </w:rPr>
        <w:t xml:space="preserve"> </w:t>
      </w:r>
      <w:r w:rsidR="00D9030A" w:rsidRPr="00C35568">
        <w:rPr>
          <w:rFonts w:ascii="Times New Roman" w:hAnsi="Times New Roman" w:cs="Times New Roman"/>
          <w:lang w:val="pt-BR"/>
        </w:rPr>
        <w:t>Neste contexto, os planos de rem</w:t>
      </w:r>
      <w:r w:rsidR="002F376B" w:rsidRPr="00C35568">
        <w:rPr>
          <w:rFonts w:ascii="Times New Roman" w:hAnsi="Times New Roman" w:cs="Times New Roman"/>
          <w:lang w:val="pt-BR"/>
        </w:rPr>
        <w:t>un</w:t>
      </w:r>
      <w:r w:rsidR="00D9030A" w:rsidRPr="00C35568">
        <w:rPr>
          <w:rFonts w:ascii="Times New Roman" w:hAnsi="Times New Roman" w:cs="Times New Roman"/>
          <w:lang w:val="pt-BR"/>
        </w:rPr>
        <w:t>eração executiva devem ser alinhados com os interesses entre as partes rela</w:t>
      </w:r>
      <w:r w:rsidR="002F376B" w:rsidRPr="00C35568">
        <w:rPr>
          <w:rFonts w:ascii="Times New Roman" w:hAnsi="Times New Roman" w:cs="Times New Roman"/>
          <w:lang w:val="pt-BR"/>
        </w:rPr>
        <w:t>cionadas</w:t>
      </w:r>
      <w:r w:rsidR="00D9030A" w:rsidRPr="00C35568">
        <w:rPr>
          <w:rFonts w:ascii="Times New Roman" w:hAnsi="Times New Roman" w:cs="Times New Roman"/>
          <w:lang w:val="pt-BR"/>
        </w:rPr>
        <w:t>, para assim, maximizar os recursos da companhia e motivar os executivos</w:t>
      </w:r>
      <w:r w:rsidR="007D792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"0120771268", "author" : [ { "dropping-particle" : "", "family" : "Balsam", "given" : "Steven", "non-dropping-particle" : "", "parse-names" : false, "suffix" : "" } ], "id" : "ITEM-1", "issued" : { "date-parts" : [ [ "2002" ] ] }, "number-of-pages" : "405", "publisher" : "Academic press", "publisher-place" : "Philadelphia, Pennsylvania", "title" : "An Introduction to Executive Compensation", "type" : "book" }, "uris" : [ "http://www.mendeley.com/documents/?uuid=2c003365-ccb8-4a88-868f-854ba0402c12" ] } ], "mendeley" : { "formattedCitation" : "(BALSAM, 2002)", "plainTextFormattedCitation" : "(BALSAM, 2002)", "previouslyFormattedCitation" : "(BALSAM, 2002)"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(BALSAM, 2002)</w:t>
      </w:r>
      <w:r w:rsidR="00C70C2A" w:rsidRPr="00C35568">
        <w:rPr>
          <w:rStyle w:val="FootnoteReference"/>
          <w:rFonts w:ascii="Times New Roman" w:hAnsi="Times New Roman" w:cs="Times New Roman"/>
          <w:lang w:val="pt-BR"/>
        </w:rPr>
        <w:fldChar w:fldCharType="end"/>
      </w:r>
      <w:r w:rsidR="00D9030A" w:rsidRPr="00C35568">
        <w:rPr>
          <w:rFonts w:ascii="Times New Roman" w:hAnsi="Times New Roman" w:cs="Times New Roman"/>
          <w:lang w:val="pt-BR"/>
        </w:rPr>
        <w:t xml:space="preserve">. </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Os planos de remuneração </w:t>
      </w:r>
      <w:r w:rsidR="00D964DC" w:rsidRPr="00C35568">
        <w:rPr>
          <w:rFonts w:ascii="Times New Roman" w:hAnsi="Times New Roman" w:cs="Times New Roman"/>
          <w:lang w:val="pt-BR"/>
        </w:rPr>
        <w:t>estão relacionados com as melhores práticas de governança corporativa</w:t>
      </w:r>
      <w:r w:rsidRPr="00C35568">
        <w:rPr>
          <w:rFonts w:ascii="Times New Roman" w:hAnsi="Times New Roman" w:cs="Times New Roman"/>
          <w:lang w:val="pt-BR"/>
        </w:rPr>
        <w:t>. As empresas buscam implantar melhores incentivos para alinhamento de interesses</w:t>
      </w:r>
      <w:r w:rsidR="00D9030A" w:rsidRPr="00C35568">
        <w:rPr>
          <w:rFonts w:ascii="Times New Roman" w:hAnsi="Times New Roman" w:cs="Times New Roman"/>
          <w:lang w:val="pt-BR"/>
        </w:rPr>
        <w:t>,</w:t>
      </w:r>
      <w:r w:rsidRPr="00C35568">
        <w:rPr>
          <w:rFonts w:ascii="Times New Roman" w:hAnsi="Times New Roman" w:cs="Times New Roman"/>
          <w:lang w:val="pt-BR"/>
        </w:rPr>
        <w:t xml:space="preserve"> </w:t>
      </w:r>
      <w:r w:rsidR="00D964DC" w:rsidRPr="00C35568">
        <w:rPr>
          <w:rFonts w:ascii="Times New Roman" w:hAnsi="Times New Roman" w:cs="Times New Roman"/>
          <w:lang w:val="pt-BR"/>
        </w:rPr>
        <w:t xml:space="preserve">tal </w:t>
      </w:r>
      <w:r w:rsidRPr="00C35568">
        <w:rPr>
          <w:rFonts w:ascii="Times New Roman" w:hAnsi="Times New Roman" w:cs="Times New Roman"/>
          <w:lang w:val="pt-BR"/>
        </w:rPr>
        <w:t>como</w:t>
      </w:r>
      <w:r w:rsidR="00D9030A" w:rsidRPr="00C35568">
        <w:rPr>
          <w:rFonts w:ascii="Times New Roman" w:hAnsi="Times New Roman" w:cs="Times New Roman"/>
          <w:lang w:val="pt-BR"/>
        </w:rPr>
        <w:t>,</w:t>
      </w:r>
      <w:r w:rsidR="00D964DC" w:rsidRPr="00C35568">
        <w:rPr>
          <w:rFonts w:ascii="Times New Roman" w:hAnsi="Times New Roman" w:cs="Times New Roman"/>
          <w:lang w:val="pt-BR"/>
        </w:rPr>
        <w:t xml:space="preserve"> a</w:t>
      </w:r>
      <w:r w:rsidRPr="00C35568">
        <w:rPr>
          <w:rFonts w:ascii="Times New Roman" w:hAnsi="Times New Roman" w:cs="Times New Roman"/>
          <w:lang w:val="pt-BR"/>
        </w:rPr>
        <w:t xml:space="preserve"> retenção de pessoal qualificado. Segundo</w:t>
      </w:r>
      <w:r w:rsidR="007D792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"Bebchuk", "given" : "Lucian", "non-dropping-particle" : "", "parse-names" : false, "suffix" : "" }, { "dropping-particle" : "", "family" : "Fried", "given" : "Jesse", "non-dropping-particle" : "", "parse-names" : false, "suffix" : "" } ], "id" : "ITEM-1", "issued" : { "date-parts" : [ [ "2004" ] ] }, "number-of-pages" : "293", "title" : "Pay without Performance The Unfulfilled Promise of Executive Compensation", "type" : "book" }, "uris" : [ "http://www.mendeley.com/documents/?uuid=4aa8a0a2-4371-4fac-a680-7c7fb5f9f19a" ] } ], "mendeley" : { "formattedCitation" : "(BEBCHUK; FRIED, 2004)", "manualFormatting" : "Bebchuk e Fried (2004)", "plainTextFormattedCitation" : "(BEBCHUK; FRIED, 2004)", "previouslyFormattedCitation" : "(BEBCHUK; FRIED, 2004)"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Bebchuk e Fried (2004)</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distúrbios causados pela remuneração de executivos decorrem de problemas básicos de governança, uma vez que os incentivos para aumentar o valor para os acionistas não são considerados suficientes.</w:t>
      </w:r>
      <w:r w:rsidR="00D9030A" w:rsidRPr="00C35568">
        <w:rPr>
          <w:rFonts w:ascii="Times New Roman" w:hAnsi="Times New Roman" w:cs="Times New Roman"/>
          <w:lang w:val="pt-BR"/>
        </w:rPr>
        <w:t xml:space="preserve"> Já para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"manualFormatting" : "Lipman e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e Hall (2008)</w:t>
      </w:r>
      <w:r w:rsidR="00C70C2A" w:rsidRPr="00C35568">
        <w:rPr>
          <w:rStyle w:val="FootnoteReference"/>
          <w:rFonts w:ascii="Times New Roman" w:hAnsi="Times New Roman" w:cs="Times New Roman"/>
          <w:lang w:val="pt-BR"/>
        </w:rPr>
        <w:fldChar w:fldCharType="end"/>
      </w:r>
      <w:r w:rsidR="00D9030A" w:rsidRPr="00C35568">
        <w:rPr>
          <w:rFonts w:ascii="Times New Roman" w:hAnsi="Times New Roman" w:cs="Times New Roman"/>
          <w:lang w:val="pt-BR"/>
        </w:rPr>
        <w:t>, devem ser incluídas nos planos de remuneração componentes patrimoniais aos de caixa para melhor alinhamento de</w:t>
      </w:r>
      <w:r w:rsidR="00D9030A" w:rsidRPr="00C35568">
        <w:rPr>
          <w:rFonts w:ascii="Times New Roman" w:hAnsi="Times New Roman" w:cs="Times New Roman"/>
          <w:spacing w:val="-12"/>
          <w:lang w:val="pt-BR"/>
        </w:rPr>
        <w:t xml:space="preserve"> </w:t>
      </w:r>
      <w:r w:rsidR="00D9030A" w:rsidRPr="00C35568">
        <w:rPr>
          <w:rFonts w:ascii="Times New Roman" w:hAnsi="Times New Roman" w:cs="Times New Roman"/>
          <w:lang w:val="pt-BR"/>
        </w:rPr>
        <w:t>interesses.</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 xml:space="preserve">Autores como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"10.2139/ssrn.146148", "ISBN" : "00178012", "ISSN" : "1556-5068", "PMID" : "1007", "abstract" : "Paying top executives better would eventually mean paying them more. The arrival of spring means yet another round in the national debate over executive compensation. Soon the business press will trumpet answers to the questions it asks every year: Who were the highest paid CEOs? How many executives made more than a million dollars? Who received the biggest raises? Political figures, union leaders, and consumer activists will issue now-familiar denunciations of executive salaries and urge that directors curb top-level pay in the interests of social equity and statesmanship. The critics have it wrong. There are serious problems with CEO compensation, but excessive pay is not the biggest issue. The relentless focus on how much CEOs are paid diverts public attention from the real problem--how CEOs are paid. In most publicly held companies, the compensation of top executives is virtually independent of performance. On average, corporate America pays its most important leaders like bureaucrats. Is it any wonder then that so many CEOs act like bureaucrats rather than the value-maximizing entrepreneurs companies need to enhance their standing in world markets? We recently completed an in-depth statistical analysis of executive compensation. Our study incorporates data on thousands of CEOs spanning five decades. The base sample consists of information on salaries and bonuses for 2,505 CEOs in 1,400 publicly held companies from 1974 through 1988. We also collected data on stock options and stock ownership for CEOs of the 430 largest publicly held companies in 1988. In addition, we drew on compensation data for executives at more than 700 public companies for the period 1934 through 1938.", "author" : [ { "dropping-particle" : "", "family" : "Jensen", "given" : "Michael C.", "non-dropping-particle" : "", "parse-names" : false, "suffix" : "" }, { "dropping-particle" : "", "family" : "Murphy", "given" : "Kevin J.", "non-dropping-particle" : "", "parse-names" : false, "suffix" : "" } ], "container-title" : "Harvard Business Review", "id" : "ITEM-1", "issue" : "3", "issued" : { "date-parts" : [ [ "1990" ] ] }, "page" : "138-153", "title" : "CEO Incentives \u2014 It \u2019 s Not How Much You Pay, But How", "type" : "article-journal", "volume" : "3" }, "uris" : [ "http://www.mendeley.com/documents/?uuid=add4dc45-bfe4-497d-9836-9a408e016bed" ] } ], "mendeley" : { "formattedCitation" : "(JENSEN; MURPHY, 1990)", "manualFormatting" : "Jensen e Murphy (1990)", "plainTextFormattedCitation" : "(JENSEN; MURPHY, 1990)", "previouslyFormattedCitation" : "(JENSEN; MURPHY, 1990)"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Jensen e Murphy (1990)</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mostram que algumas empresas aumentam a participação dos funcionários nas companhias com concepção de que quanto maior for a </w:t>
      </w:r>
      <w:r w:rsidR="005865AA" w:rsidRPr="00C35568">
        <w:rPr>
          <w:rFonts w:ascii="Times New Roman" w:hAnsi="Times New Roman" w:cs="Times New Roman"/>
          <w:lang w:val="pt-BR"/>
        </w:rPr>
        <w:t>parcela</w:t>
      </w:r>
      <w:r w:rsidRPr="00C35568">
        <w:rPr>
          <w:rFonts w:ascii="Times New Roman" w:hAnsi="Times New Roman" w:cs="Times New Roman"/>
          <w:lang w:val="pt-BR"/>
        </w:rPr>
        <w:t xml:space="preserve"> dos executivos e da alta administração nas ações da empresa, maior será a</w:t>
      </w:r>
      <w:r w:rsidRPr="00C35568">
        <w:rPr>
          <w:rFonts w:ascii="Times New Roman" w:hAnsi="Times New Roman" w:cs="Times New Roman"/>
          <w:spacing w:val="-22"/>
          <w:lang w:val="pt-BR"/>
        </w:rPr>
        <w:t xml:space="preserve"> </w:t>
      </w:r>
      <w:r w:rsidRPr="00C35568">
        <w:rPr>
          <w:rFonts w:ascii="Times New Roman" w:hAnsi="Times New Roman" w:cs="Times New Roman"/>
          <w:lang w:val="pt-BR"/>
        </w:rPr>
        <w:t>ligação entre as riquezas dos acionistas e</w:t>
      </w:r>
      <w:r w:rsidRPr="00C35568">
        <w:rPr>
          <w:rFonts w:ascii="Times New Roman" w:hAnsi="Times New Roman" w:cs="Times New Roman"/>
          <w:spacing w:val="-7"/>
          <w:lang w:val="pt-BR"/>
        </w:rPr>
        <w:t xml:space="preserve"> </w:t>
      </w:r>
      <w:r w:rsidR="00D9030A" w:rsidRPr="00C35568">
        <w:rPr>
          <w:rFonts w:ascii="Times New Roman" w:hAnsi="Times New Roman" w:cs="Times New Roman"/>
          <w:spacing w:val="-7"/>
          <w:lang w:val="pt-BR"/>
        </w:rPr>
        <w:t xml:space="preserve">dos </w:t>
      </w:r>
      <w:r w:rsidRPr="00C35568">
        <w:rPr>
          <w:rFonts w:ascii="Times New Roman" w:hAnsi="Times New Roman" w:cs="Times New Roman"/>
          <w:lang w:val="pt-BR"/>
        </w:rPr>
        <w:t>executivos.</w:t>
      </w:r>
    </w:p>
    <w:p w:rsidR="00C175DA"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As compensações baseadas em ações e opções de ações deixam os executivos</w:t>
      </w:r>
      <w:r w:rsidRPr="00C35568">
        <w:rPr>
          <w:rFonts w:ascii="Times New Roman" w:hAnsi="Times New Roman" w:cs="Times New Roman"/>
          <w:spacing w:val="-17"/>
          <w:lang w:val="pt-BR"/>
        </w:rPr>
        <w:t xml:space="preserve"> </w:t>
      </w:r>
      <w:r w:rsidRPr="00C35568">
        <w:rPr>
          <w:rFonts w:ascii="Times New Roman" w:hAnsi="Times New Roman" w:cs="Times New Roman"/>
          <w:lang w:val="pt-BR"/>
        </w:rPr>
        <w:t>expostos às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influências</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do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mercado,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ao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contrário</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da</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compensação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em</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dinheiro.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oscilações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do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mercado podem</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incentivar</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executivos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oportunistas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gerenciar</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ganhos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para</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compensar</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suas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 xml:space="preserve">eventuais perdas. Assim, por mais tênue que possa ser à ligação entre compensação em dinheiro com o desempenho, </w:t>
      </w:r>
      <w:r w:rsidR="001C05CA" w:rsidRPr="00C35568">
        <w:rPr>
          <w:rFonts w:ascii="Times New Roman" w:hAnsi="Times New Roman" w:cs="Times New Roman"/>
          <w:lang w:val="pt-BR"/>
        </w:rPr>
        <w:t xml:space="preserve">menor seria a preocupação se o </w:t>
      </w:r>
      <w:r w:rsidR="001C05CA" w:rsidRPr="00C35568">
        <w:rPr>
          <w:rFonts w:ascii="Times New Roman" w:hAnsi="Times New Roman" w:cs="Times New Roman"/>
          <w:i/>
          <w:lang w:val="pt-BR"/>
        </w:rPr>
        <w:t>Chief Executive Officer</w:t>
      </w:r>
      <w:r w:rsidR="001C05CA" w:rsidRPr="00C35568">
        <w:rPr>
          <w:rStyle w:val="Emphasis"/>
          <w:rFonts w:ascii="Times New Roman" w:hAnsi="Times New Roman" w:cs="Times New Roman"/>
          <w:b/>
          <w:bCs/>
          <w:i w:val="0"/>
          <w:iCs w:val="0"/>
          <w:color w:val="6A6A6A"/>
          <w:shd w:val="clear" w:color="auto" w:fill="FFFFFF"/>
          <w:lang w:val="pt-BR"/>
        </w:rPr>
        <w:t xml:space="preserve"> </w:t>
      </w:r>
      <w:r w:rsidR="001C05CA" w:rsidRPr="00C35568">
        <w:rPr>
          <w:rFonts w:ascii="Times New Roman" w:hAnsi="Times New Roman" w:cs="Times New Roman"/>
          <w:lang w:val="pt-BR"/>
        </w:rPr>
        <w:t>(</w:t>
      </w:r>
      <w:r w:rsidRPr="00C35568">
        <w:rPr>
          <w:rFonts w:ascii="Times New Roman" w:hAnsi="Times New Roman" w:cs="Times New Roman"/>
          <w:lang w:val="pt-BR"/>
        </w:rPr>
        <w:t>CEO</w:t>
      </w:r>
      <w:r w:rsidR="001C05CA" w:rsidRPr="00C35568">
        <w:rPr>
          <w:rFonts w:ascii="Times New Roman" w:hAnsi="Times New Roman" w:cs="Times New Roman"/>
          <w:lang w:val="pt-BR"/>
        </w:rPr>
        <w:t xml:space="preserve">) </w:t>
      </w:r>
      <w:r w:rsidRPr="00C35568">
        <w:rPr>
          <w:rFonts w:ascii="Times New Roman" w:hAnsi="Times New Roman" w:cs="Times New Roman"/>
          <w:lang w:val="pt-BR"/>
        </w:rPr>
        <w:t xml:space="preserve">possuísse elevada parcela de capital próprio das empresas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"10.2139/ssrn.146148", "ISBN" : "00178012", "ISSN" : "1556-5068", "PMID" : "1007", "abstract" : "Paying top executives better would eventually mean paying them more. The arrival of spring means yet another round in the national debate over executive compensation. Soon the business press will trumpet answers to the questions it asks every year: Who were the highest paid CEOs? How many executives made more than a million dollars? Who received the biggest raises? Political figures, union leaders, and consumer activists will issue now-familiar denunciations of executive salaries and urge that directors curb top-level pay in the interests of social equity and statesmanship. The critics have it wrong. There are serious problems with CEO compensation, but excessive pay is not the biggest issue. The relentless focus on how much CEOs are paid diverts public attention from the real problem--how CEOs are paid. In most publicly held companies, the compensation of top executives is virtually independent of performance. On average, corporate America pays its most important leaders like bureaucrats. Is it any wonder then that so many CEOs act like bureaucrats rather than the value-maximizing entrepreneurs companies need to enhance their standing in world markets? We recently completed an in-depth statistical analysis of executive compensation. Our study incorporates data on thousands of CEOs spanning five decades. The base sample consists of information on salaries and bonuses for 2,505 CEOs in 1,400 publicly held companies from 1974 through 1988. We also collected data on stock options and stock ownership for CEOs of the 430 largest publicly held companies in 1988. In addition, we drew on compensation data for executives at more than 700 public companies for the period 1934 through 1938.", "author" : [ { "dropping-particle" : "", "family" : "Jensen", "given" : "Michael C.", "non-dropping-particle" : "", "parse-names" : false, "suffix" : "" }, { "dropping-particle" : "", "family" : "Murphy", "given" : "Kevin J.", "non-dropping-particle" : "", "parse-names" : false, "suffix" : "" } ], "container-title" : "Harvard Business Review", "id" : "ITEM-1", "issue" : "3", "issued" : { "date-parts" : [ [ "1990" ] ] }, "page" : "138-153", "title" : "CEO Incentives \u2014 It \u2019 s Not How Much You Pay, But How", "type" : "article-journal", "volume" : "3" }, "uris" : [ "http://www.mendeley.com/documents/?uuid=add4dc45-bfe4-497d-9836-9a408e016bed" ] } ], "mendeley" : { "formattedCitation" : "(JENSEN; MURPHY, 1990)", "plainTextFormattedCitation" : "(JENSEN; MURPHY, 1990)", "previouslyFormattedCitation" : "(JENSEN; MURPHY, 1990)"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(JENSEN; MURPHY, 1990)</w:t>
      </w:r>
      <w:r w:rsidR="00C70C2A" w:rsidRPr="00C35568">
        <w:rPr>
          <w:rStyle w:val="FootnoteReference"/>
          <w:rFonts w:ascii="Times New Roman" w:hAnsi="Times New Roman" w:cs="Times New Roman"/>
          <w:lang w:val="pt-BR"/>
        </w:rPr>
        <w:fldChar w:fldCharType="end"/>
      </w:r>
      <w:r w:rsidR="000B7A36" w:rsidRPr="00C35568">
        <w:rPr>
          <w:rFonts w:ascii="Times New Roman" w:hAnsi="Times New Roman" w:cs="Times New Roman"/>
          <w:lang w:val="pt-BR"/>
        </w:rPr>
        <w:t>.</w:t>
      </w:r>
    </w:p>
    <w:p w:rsidR="001A2445" w:rsidRPr="00C35568" w:rsidRDefault="00383479"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w:t>
      </w:r>
      <w:r w:rsidR="002423CE" w:rsidRPr="00C35568">
        <w:rPr>
          <w:rFonts w:ascii="Times New Roman" w:hAnsi="Times New Roman" w:cs="Times New Roman"/>
          <w:lang w:val="pt-BR"/>
        </w:rPr>
        <w:t xml:space="preserve"> remuneração pode ser instrumento utilizado </w:t>
      </w:r>
      <w:r w:rsidRPr="00C35568">
        <w:rPr>
          <w:rFonts w:ascii="Times New Roman" w:hAnsi="Times New Roman" w:cs="Times New Roman"/>
          <w:lang w:val="pt-BR"/>
        </w:rPr>
        <w:t xml:space="preserve">para </w:t>
      </w:r>
      <w:r w:rsidR="002423CE" w:rsidRPr="00C35568">
        <w:rPr>
          <w:rFonts w:ascii="Times New Roman" w:hAnsi="Times New Roman" w:cs="Times New Roman"/>
          <w:lang w:val="pt-BR"/>
        </w:rPr>
        <w:t xml:space="preserve"> alinhamento de interesses do gestor com os da empresa, porém como</w:t>
      </w:r>
      <w:r w:rsidR="000B7A36"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"10.2139/ssrn.146148", "ISBN" : "00178012", "ISSN" : "1556-5068", "PMID" : "1007", "abstract" : "Paying top executives better would eventually mean paying them more. The arrival of spring means yet another round in the national debate over executive compensation. Soon the business press will trumpet answers to the questions it asks every year: Who were the highest paid CEOs? How many executives made more than a million dollars? Who received the biggest raises? Political figures, union leaders, and consumer activists will issue now-familiar denunciations of executive salaries and urge that directors curb top-level pay in the interests of social equity and statesmanship. The critics have it wrong. There are serious problems with CEO compensation, but excessive pay is not the biggest issue. The relentless focus on how much CEOs are paid diverts public attention from the real problem--how CEOs are paid. In most publicly held companies, the compensation of top executives is virtually independent of performance. On average, corporate America pays its most important leaders like bureaucrats. Is it any wonder then that so many CEOs act like bureaucrats rather than the value-maximizing entrepreneurs companies need to enhance their standing in world markets? We recently completed an in-depth statistical analysis of executive compensation. Our study incorporates data on thousands of CEOs spanning five decades. The base sample consists of information on salaries and bonuses for 2,505 CEOs in 1,400 publicly held companies from 1974 through 1988. We also collected data on stock options and stock ownership for CEOs of the 430 largest publicly held companies in 1988. In addition, we drew on compensation data for executives at more than 700 public companies for the period 1934 through 1938.", "author" : [ { "dropping-particle" : "", "family" : "Jensen", "given" : "Michael C.", "non-dropping-particle" : "", "parse-names" : false, "suffix" : "" }, { "dropping-particle" : "", "family" : "Murphy", "given" : "Kevin J.", "non-dropping-particle" : "", "parse-names" : false, "suffix" : "" } ], "container-title" : "Harvard Business Review", "id" : "ITEM-1", "issue" : "3", "issued" : { "date-parts" : [ [ "1990" ] ] }, "page" : "138-153", "title" : "CEO Incentives \u2014 It \u2019 s Not How Much You Pay, But How", "type" : "article-journal", "volume" : "3" }, "uris" : [ "http://www.mendeley.com/documents/?uuid=add4dc45-bfe4-497d-9836-9a408e016bed" ] } ], "mendeley" : { "formattedCitation" : "(JENSEN; MURPHY, 1990)", "manualFormatting" : "Jensen e Murphy (1990, p.2)", "plainTextFormattedCitation" : "(JENSEN; MURPHY, 1990)", "previouslyFormattedCitation" : "(JENSEN; MURPHY, 1990)"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Jensen e Murphy (1990, p.2)</w:t>
      </w:r>
      <w:r w:rsidR="00C70C2A"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 xml:space="preserve"> informam “</w:t>
      </w:r>
      <w:r w:rsidR="002423CE" w:rsidRPr="00C35568">
        <w:rPr>
          <w:rFonts w:ascii="Times New Roman" w:hAnsi="Times New Roman" w:cs="Times New Roman"/>
          <w:i/>
          <w:lang w:val="pt-BR"/>
        </w:rPr>
        <w:t>existem sérios problemas com a compensação d</w:t>
      </w:r>
      <w:r w:rsidR="00C175DA" w:rsidRPr="00C35568">
        <w:rPr>
          <w:rFonts w:ascii="Times New Roman" w:hAnsi="Times New Roman" w:cs="Times New Roman"/>
          <w:i/>
          <w:lang w:val="pt-BR"/>
        </w:rPr>
        <w:t>os executivos, mas o pagamento ‘</w:t>
      </w:r>
      <w:r w:rsidR="002423CE" w:rsidRPr="00C35568">
        <w:rPr>
          <w:rFonts w:ascii="Times New Roman" w:hAnsi="Times New Roman" w:cs="Times New Roman"/>
          <w:i/>
          <w:lang w:val="pt-BR"/>
        </w:rPr>
        <w:t>excessivo</w:t>
      </w:r>
      <w:r w:rsidR="00C175DA" w:rsidRPr="00C35568">
        <w:rPr>
          <w:rFonts w:ascii="Times New Roman" w:hAnsi="Times New Roman" w:cs="Times New Roman"/>
          <w:i/>
          <w:lang w:val="pt-BR"/>
        </w:rPr>
        <w:t>’</w:t>
      </w:r>
      <w:r w:rsidR="002423CE" w:rsidRPr="00C35568">
        <w:rPr>
          <w:rFonts w:ascii="Times New Roman" w:hAnsi="Times New Roman" w:cs="Times New Roman"/>
          <w:i/>
          <w:lang w:val="pt-BR"/>
        </w:rPr>
        <w:t xml:space="preserve"> não é o maior problema - e sim como são pagos</w:t>
      </w:r>
      <w:r w:rsidR="002423CE" w:rsidRPr="00C35568">
        <w:rPr>
          <w:rFonts w:ascii="Times New Roman" w:hAnsi="Times New Roman" w:cs="Times New Roman"/>
          <w:lang w:val="pt-BR"/>
        </w:rPr>
        <w:t>”, além disso, “a</w:t>
      </w:r>
      <w:r w:rsidR="002423CE" w:rsidRPr="00C35568">
        <w:rPr>
          <w:rFonts w:ascii="Times New Roman" w:hAnsi="Times New Roman" w:cs="Times New Roman"/>
          <w:spacing w:val="-7"/>
          <w:lang w:val="pt-BR"/>
        </w:rPr>
        <w:t xml:space="preserve"> </w:t>
      </w:r>
      <w:r w:rsidR="002423CE" w:rsidRPr="00C35568">
        <w:rPr>
          <w:rFonts w:ascii="Times New Roman" w:hAnsi="Times New Roman" w:cs="Times New Roman"/>
          <w:lang w:val="pt-BR"/>
        </w:rPr>
        <w:t>política</w:t>
      </w:r>
      <w:r w:rsidR="002423CE" w:rsidRPr="00C35568">
        <w:rPr>
          <w:rFonts w:ascii="Times New Roman" w:hAnsi="Times New Roman" w:cs="Times New Roman"/>
          <w:spacing w:val="-7"/>
          <w:lang w:val="pt-BR"/>
        </w:rPr>
        <w:t xml:space="preserve"> </w:t>
      </w:r>
      <w:r w:rsidR="002423CE" w:rsidRPr="00C35568">
        <w:rPr>
          <w:rFonts w:ascii="Times New Roman" w:hAnsi="Times New Roman" w:cs="Times New Roman"/>
          <w:lang w:val="pt-BR"/>
        </w:rPr>
        <w:t>de</w:t>
      </w:r>
      <w:r w:rsidR="002423CE" w:rsidRPr="00C35568">
        <w:rPr>
          <w:rFonts w:ascii="Times New Roman" w:hAnsi="Times New Roman" w:cs="Times New Roman"/>
          <w:spacing w:val="-6"/>
          <w:lang w:val="pt-BR"/>
        </w:rPr>
        <w:t xml:space="preserve"> </w:t>
      </w:r>
      <w:r w:rsidR="002423CE" w:rsidRPr="00C35568">
        <w:rPr>
          <w:rFonts w:ascii="Times New Roman" w:hAnsi="Times New Roman" w:cs="Times New Roman"/>
          <w:lang w:val="pt-BR"/>
        </w:rPr>
        <w:t>compensação</w:t>
      </w:r>
      <w:r w:rsidR="002423CE" w:rsidRPr="00C35568">
        <w:rPr>
          <w:rFonts w:ascii="Times New Roman" w:hAnsi="Times New Roman" w:cs="Times New Roman"/>
          <w:spacing w:val="-6"/>
          <w:lang w:val="pt-BR"/>
        </w:rPr>
        <w:t xml:space="preserve"> </w:t>
      </w:r>
      <w:r w:rsidR="002423CE" w:rsidRPr="00C35568">
        <w:rPr>
          <w:rFonts w:ascii="Times New Roman" w:hAnsi="Times New Roman" w:cs="Times New Roman"/>
          <w:lang w:val="pt-BR"/>
        </w:rPr>
        <w:t>não</w:t>
      </w:r>
      <w:r w:rsidR="002423CE" w:rsidRPr="00C35568">
        <w:rPr>
          <w:rFonts w:ascii="Times New Roman" w:hAnsi="Times New Roman" w:cs="Times New Roman"/>
          <w:spacing w:val="-4"/>
          <w:lang w:val="pt-BR"/>
        </w:rPr>
        <w:t xml:space="preserve"> </w:t>
      </w:r>
      <w:r w:rsidR="002423CE" w:rsidRPr="00C35568">
        <w:rPr>
          <w:rFonts w:ascii="Times New Roman" w:hAnsi="Times New Roman" w:cs="Times New Roman"/>
          <w:lang w:val="pt-BR"/>
        </w:rPr>
        <w:t>apenas</w:t>
      </w:r>
      <w:r w:rsidR="002423CE" w:rsidRPr="00C35568">
        <w:rPr>
          <w:rFonts w:ascii="Times New Roman" w:hAnsi="Times New Roman" w:cs="Times New Roman"/>
          <w:spacing w:val="-6"/>
          <w:lang w:val="pt-BR"/>
        </w:rPr>
        <w:t xml:space="preserve"> </w:t>
      </w:r>
      <w:r w:rsidR="002423CE" w:rsidRPr="00C35568">
        <w:rPr>
          <w:rFonts w:ascii="Times New Roman" w:hAnsi="Times New Roman" w:cs="Times New Roman"/>
          <w:lang w:val="pt-BR"/>
        </w:rPr>
        <w:t>molda</w:t>
      </w:r>
      <w:r w:rsidR="002423CE" w:rsidRPr="00C35568">
        <w:rPr>
          <w:rFonts w:ascii="Times New Roman" w:hAnsi="Times New Roman" w:cs="Times New Roman"/>
          <w:spacing w:val="-7"/>
          <w:lang w:val="pt-BR"/>
        </w:rPr>
        <w:t xml:space="preserve"> </w:t>
      </w:r>
      <w:r w:rsidR="002423CE" w:rsidRPr="00C35568">
        <w:rPr>
          <w:rFonts w:ascii="Times New Roman" w:hAnsi="Times New Roman" w:cs="Times New Roman"/>
          <w:lang w:val="pt-BR"/>
        </w:rPr>
        <w:t>como</w:t>
      </w:r>
      <w:r w:rsidR="002423CE" w:rsidRPr="00C35568">
        <w:rPr>
          <w:rFonts w:ascii="Times New Roman" w:hAnsi="Times New Roman" w:cs="Times New Roman"/>
          <w:spacing w:val="-6"/>
          <w:lang w:val="pt-BR"/>
        </w:rPr>
        <w:t xml:space="preserve"> </w:t>
      </w:r>
      <w:r w:rsidR="00DB3397" w:rsidRPr="00C35568">
        <w:rPr>
          <w:rFonts w:ascii="Times New Roman" w:hAnsi="Times New Roman" w:cs="Times New Roman"/>
          <w:lang w:val="pt-BR"/>
        </w:rPr>
        <w:t>os executivos se comportam, mas também ajuda a determinar que tipo de</w:t>
      </w:r>
      <w:r w:rsidR="002423CE" w:rsidRPr="00C35568">
        <w:rPr>
          <w:rFonts w:ascii="Times New Roman" w:hAnsi="Times New Roman" w:cs="Times New Roman"/>
          <w:lang w:val="pt-BR"/>
        </w:rPr>
        <w:t xml:space="preserve"> executivos uma</w:t>
      </w:r>
      <w:r w:rsidR="00DE229F" w:rsidRPr="00C35568">
        <w:rPr>
          <w:rFonts w:ascii="Times New Roman" w:hAnsi="Times New Roman" w:cs="Times New Roman"/>
          <w:lang w:val="pt-BR"/>
        </w:rPr>
        <w:t xml:space="preserve"> </w:t>
      </w:r>
      <w:r w:rsidR="0099229A" w:rsidRPr="00C35568">
        <w:rPr>
          <w:rFonts w:ascii="Times New Roman" w:hAnsi="Times New Roman" w:cs="Times New Roman"/>
          <w:lang w:val="pt-BR"/>
        </w:rPr>
        <w:t>organização atrai</w:t>
      </w:r>
      <w:r w:rsidR="002423CE" w:rsidRPr="00C35568">
        <w:rPr>
          <w:rFonts w:ascii="Times New Roman" w:hAnsi="Times New Roman" w:cs="Times New Roman"/>
          <w:lang w:val="pt-BR"/>
        </w:rPr>
        <w:t>”</w:t>
      </w:r>
      <w:r w:rsidR="0099229A"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"10.2139/ssrn.146148", "ISBN" : "00178012", "ISSN" : "1556-5068", "PMID" : "1007", "abstract" : "Paying top executives better would eventually mean paying them more. The arrival of spring means yet another round in the national debate over executive compensation. Soon the business press will trumpet answers to the questions it asks every year: Who were the highest paid CEOs? How many executives made more than a million dollars? Who received the biggest raises? Political figures, union leaders, and consumer activists will issue now-familiar denunciations of executive salaries and urge that directors curb top-level pay in the interests of social equity and statesmanship. The critics have it wrong. There are serious problems with CEO compensation, but excessive pay is not the biggest issue. The relentless focus on how much CEOs are paid diverts public attention from the real problem--how CEOs are paid. In most publicly held companies, the compensation of top executives is virtually independent of performance. On average, corporate America pays its most important leaders like bureaucrats. Is it any wonder then that so many CEOs act like bureaucrats rather than the value-maximizing entrepreneurs companies need to enhance their standing in world markets? We recently completed an in-depth statistical analysis of executive compensation. Our study incorporates data on thousands of CEOs spanning five decades. The base sample consists of information on salaries and bonuses for 2,505 CEOs in 1,400 publicly held companies from 1974 through 1988. We also collected data on stock options and stock ownership for CEOs of the 430 largest publicly held companies in 1988. In addition, we drew on compensation data for executives at more than 700 public companies for the period 1934 through 1938.", "author" : [ { "dropping-particle" : "", "family" : "Jensen", "given" : "Michael C.", "non-dropping-particle" : "", "parse-names" : false, "suffix" : "" }, { "dropping-particle" : "", "family" : "Murphy", "given" : "Kevin J.", "non-dropping-particle" : "", "parse-names" : false, "suffix" : "" } ], "container-title" : "Harvard Business Review", "id" : "ITEM-1", "issue" : "3", "issued" : { "date-parts" : [ [ "1990" ] ] }, "page" : "138-153", "title" : "CEO Incentives \u2014 It \u2019 s Not How Much You Pay, But How", "type" : "article-journal", "volume" : "3" }, "uris" : [ "http://www.mendeley.com/documents/?uuid=add4dc45-bfe4-497d-9836-9a408e016bed" ] } ], "mendeley" : { "formattedCitation" : "(JENSEN; MURPHY, 1990)", "manualFormatting" : "(Jensen &amp; Murphy, 1990, p.4)", "plainTextFormattedCitation" : "(JENSEN; MURPHY, 1990)", "previouslyFormattedCitation" : "(JENSEN; MURPHY, 1990)"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(Jensen &amp; Murphy, 1990, p.4)</w:t>
      </w:r>
      <w:r w:rsidR="00C70C2A" w:rsidRPr="00C35568">
        <w:rPr>
          <w:rStyle w:val="FootnoteReference"/>
          <w:rFonts w:ascii="Times New Roman" w:hAnsi="Times New Roman" w:cs="Times New Roman"/>
          <w:lang w:val="pt-BR"/>
        </w:rPr>
        <w:fldChar w:fldCharType="end"/>
      </w:r>
      <w:r w:rsidR="000B7A36" w:rsidRPr="00C35568">
        <w:rPr>
          <w:rFonts w:ascii="Times New Roman" w:hAnsi="Times New Roman" w:cs="Times New Roman"/>
          <w:lang w:val="pt-BR"/>
        </w:rPr>
        <w:t>.</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 remuneração em primazia é composta por uma parcela fixa e outra variável. Esta é obtida através de metas pré-estabelecidas pela administração, podendo ser atrelada a indicadores econômico-financeiros, ambientais e sociais. Aquela visa redução do risco do executivo, contudo minimiza o interesse em obter valor para o acionista.</w:t>
      </w:r>
    </w:p>
    <w:p w:rsidR="001A2445" w:rsidRPr="00C35568" w:rsidRDefault="00C70C2A" w:rsidP="002B4E11">
      <w:pPr>
        <w:pStyle w:val="BodyText"/>
        <w:spacing w:after="0" w:line="240" w:lineRule="auto"/>
        <w:ind w:firstLine="709"/>
        <w:jc w:val="both"/>
        <w:rPr>
          <w:rFonts w:ascii="Times New Roman" w:hAnsi="Times New Roman" w:cs="Times New Roman"/>
          <w:lang w:val="pt-BR"/>
        </w:rPr>
      </w:pPr>
      <w:r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"0120771268", "author" : [ { "dropping-particle" : "", "family" : "Balsam", "given" : "Steven", "non-dropping-particle" : "", "parse-names" : false, "suffix" : "" } ], "id" : "ITEM-1", "issued" : { "date-parts" : [ [ "2002" ] ] }, "number-of-pages" : "405", "publisher" : "Academic press", "publisher-place" : "Philadelphia, Pennsylvania", "title" : "An Introduction to Executive Compensation", "type" : "book" }, "uris" : [ "http://www.mendeley.com/documents/?uuid=2c003365-ccb8-4a88-868f-854ba0402c12" ] } ], "mendeley" : { "formattedCitation" : "(BALSAM, 2002)", "manualFormatting" : "Balsam (2002)", "plainTextFormattedCitation" : "(BALSAM, 2002)", "previouslyFormattedCitation" : "(BALSAM, 2002)" }, "properties" : {  }, "schema" : "https://github.com/citation-style-language/schema/raw/master/csl-citation.json" }</w:instrText>
      </w:r>
      <w:r w:rsidRPr="00C35568">
        <w:rPr>
          <w:rStyle w:val="FootnoteReference"/>
          <w:rFonts w:ascii="Times New Roman" w:hAnsi="Times New Roman" w:cs="Times New Roman"/>
          <w:lang w:val="pt-BR"/>
        </w:rPr>
        <w:fldChar w:fldCharType="separate"/>
      </w:r>
      <w:r w:rsidRPr="00C35568">
        <w:rPr>
          <w:rFonts w:ascii="Times New Roman" w:hAnsi="Times New Roman" w:cs="Times New Roman"/>
          <w:noProof/>
          <w:lang w:val="pt-BR"/>
        </w:rPr>
        <w:t>Balsam (2002)</w:t>
      </w:r>
      <w:r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 xml:space="preserve"> classifica os tipos mais comuns de remuneração como sendo: salário, bônus, opção de ações (</w:t>
      </w:r>
      <w:r w:rsidR="002423CE" w:rsidRPr="00C35568">
        <w:rPr>
          <w:rFonts w:ascii="Times New Roman" w:hAnsi="Times New Roman" w:cs="Times New Roman"/>
          <w:i/>
          <w:lang w:val="pt-BR"/>
        </w:rPr>
        <w:t xml:space="preserve">stock options), </w:t>
      </w:r>
      <w:r w:rsidR="002423CE" w:rsidRPr="00C35568">
        <w:rPr>
          <w:rFonts w:ascii="Times New Roman" w:hAnsi="Times New Roman" w:cs="Times New Roman"/>
          <w:lang w:val="pt-BR"/>
        </w:rPr>
        <w:t xml:space="preserve">concessão de ações </w:t>
      </w:r>
      <w:r w:rsidR="002423CE" w:rsidRPr="00C35568">
        <w:rPr>
          <w:rFonts w:ascii="Times New Roman" w:hAnsi="Times New Roman" w:cs="Times New Roman"/>
          <w:i/>
          <w:lang w:val="pt-BR"/>
        </w:rPr>
        <w:t xml:space="preserve">(stock grants), </w:t>
      </w:r>
      <w:r w:rsidR="002423CE" w:rsidRPr="00C35568">
        <w:rPr>
          <w:rFonts w:ascii="Times New Roman" w:hAnsi="Times New Roman" w:cs="Times New Roman"/>
          <w:lang w:val="pt-BR"/>
        </w:rPr>
        <w:t xml:space="preserve">pensões, benefícios e gratificações. Já </w:t>
      </w:r>
      <w:r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"Murphy", "given" : "Kevin J", "non-dropping-particle" : "", "parse-names" : false, "suffix" : "" } ], "container-title" : "Handbook of Labor Economics", "id" : "ITEM-1", "issued" : { "date-parts" : [ [ "1999" ] ] }, "page" : "2485-2563", "title" : "Executive Compensation", "type" : "chapter", "volume" : "3" }, "uris" : [ "http://www.mendeley.com/documents/?uuid=25725f4d-965b-47ce-bf4e-b6520906de2f" ] } ], "mendeley" : { "formattedCitation" : "(MURPHY, 1999)", "manualFormatting" : "Murphy (1999)", "plainTextFormattedCitation" : "(MURPHY, 1999)", "previouslyFormattedCitation" : "(MURPHY, 1999)" }, "properties" : {  }, "schema" : "https://github.com/citation-style-language/schema/raw/master/csl-citation.json" }</w:instrText>
      </w:r>
      <w:r w:rsidRPr="00C35568">
        <w:rPr>
          <w:rStyle w:val="FootnoteReference"/>
          <w:rFonts w:ascii="Times New Roman" w:hAnsi="Times New Roman" w:cs="Times New Roman"/>
          <w:lang w:val="pt-BR"/>
        </w:rPr>
        <w:fldChar w:fldCharType="separate"/>
      </w:r>
      <w:r w:rsidRPr="00C35568">
        <w:rPr>
          <w:rFonts w:ascii="Times New Roman" w:hAnsi="Times New Roman" w:cs="Times New Roman"/>
          <w:noProof/>
          <w:lang w:val="pt-BR"/>
        </w:rPr>
        <w:t>Murphy (1999)</w:t>
      </w:r>
      <w:r w:rsidRPr="00C35568">
        <w:rPr>
          <w:rStyle w:val="FootnoteReference"/>
          <w:rFonts w:ascii="Times New Roman" w:hAnsi="Times New Roman" w:cs="Times New Roman"/>
          <w:lang w:val="pt-BR"/>
        </w:rPr>
        <w:fldChar w:fldCharType="end"/>
      </w:r>
      <w:r w:rsidR="000B7A36" w:rsidRPr="00C35568">
        <w:rPr>
          <w:rFonts w:ascii="Times New Roman" w:hAnsi="Times New Roman" w:cs="Times New Roman"/>
          <w:lang w:val="pt-BR"/>
        </w:rPr>
        <w:t xml:space="preserve"> </w:t>
      </w:r>
      <w:r w:rsidR="002423CE" w:rsidRPr="00C35568">
        <w:rPr>
          <w:rFonts w:ascii="Times New Roman" w:hAnsi="Times New Roman" w:cs="Times New Roman"/>
          <w:lang w:val="pt-BR"/>
        </w:rPr>
        <w:t xml:space="preserve">divide os componentes da remuneração em: salários base, planos de bônus anual, </w:t>
      </w:r>
      <w:r w:rsidR="002423CE" w:rsidRPr="00C35568">
        <w:rPr>
          <w:rFonts w:ascii="Times New Roman" w:hAnsi="Times New Roman" w:cs="Times New Roman"/>
          <w:i/>
          <w:lang w:val="pt-BR"/>
        </w:rPr>
        <w:t>stock options</w:t>
      </w:r>
      <w:r w:rsidR="002423CE" w:rsidRPr="00C35568">
        <w:rPr>
          <w:rFonts w:ascii="Times New Roman" w:hAnsi="Times New Roman" w:cs="Times New Roman"/>
          <w:lang w:val="pt-BR"/>
        </w:rPr>
        <w:t xml:space="preserve">, </w:t>
      </w:r>
      <w:r w:rsidR="002423CE" w:rsidRPr="00C35568">
        <w:rPr>
          <w:rFonts w:ascii="Times New Roman" w:hAnsi="Times New Roman" w:cs="Times New Roman"/>
          <w:i/>
          <w:lang w:val="pt-BR"/>
        </w:rPr>
        <w:t>restricted stock</w:t>
      </w:r>
      <w:r w:rsidR="002423CE" w:rsidRPr="00C35568">
        <w:rPr>
          <w:rFonts w:ascii="Times New Roman" w:hAnsi="Times New Roman" w:cs="Times New Roman"/>
          <w:lang w:val="pt-BR"/>
        </w:rPr>
        <w:t>, planos de incentivos de longo prazo e planos de</w:t>
      </w:r>
      <w:r w:rsidR="002423CE" w:rsidRPr="00C35568">
        <w:rPr>
          <w:rFonts w:ascii="Times New Roman" w:hAnsi="Times New Roman" w:cs="Times New Roman"/>
          <w:spacing w:val="-5"/>
          <w:lang w:val="pt-BR"/>
        </w:rPr>
        <w:t xml:space="preserve"> </w:t>
      </w:r>
      <w:r w:rsidR="002423CE" w:rsidRPr="00C35568">
        <w:rPr>
          <w:rFonts w:ascii="Times New Roman" w:hAnsi="Times New Roman" w:cs="Times New Roman"/>
          <w:lang w:val="pt-BR"/>
        </w:rPr>
        <w:t>aposentadoria.</w:t>
      </w:r>
    </w:p>
    <w:p w:rsidR="003B2524" w:rsidRDefault="00C175DA"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Recomendações </w:t>
      </w:r>
      <w:r w:rsidR="00194F7F" w:rsidRPr="00C35568">
        <w:rPr>
          <w:rFonts w:ascii="Times New Roman" w:hAnsi="Times New Roman" w:cs="Times New Roman"/>
          <w:lang w:val="pt-BR"/>
        </w:rPr>
        <w:t>existem quand</w:t>
      </w:r>
      <w:r w:rsidRPr="00C35568">
        <w:rPr>
          <w:rFonts w:ascii="Times New Roman" w:hAnsi="Times New Roman" w:cs="Times New Roman"/>
          <w:lang w:val="pt-BR"/>
        </w:rPr>
        <w:t xml:space="preserve">o da </w:t>
      </w:r>
      <w:r w:rsidR="002423CE" w:rsidRPr="00C35568">
        <w:rPr>
          <w:rFonts w:ascii="Times New Roman" w:hAnsi="Times New Roman" w:cs="Times New Roman"/>
          <w:lang w:val="pt-BR"/>
        </w:rPr>
        <w:t xml:space="preserve">elaboração dos pacotes de remuneração, contudo </w:t>
      </w:r>
      <w:r w:rsidRPr="00C35568">
        <w:rPr>
          <w:rFonts w:ascii="Times New Roman" w:hAnsi="Times New Roman" w:cs="Times New Roman"/>
          <w:lang w:val="pt-BR"/>
        </w:rPr>
        <w:t>inexiste</w:t>
      </w:r>
      <w:r w:rsidR="002423CE" w:rsidRPr="00C35568">
        <w:rPr>
          <w:rFonts w:ascii="Times New Roman" w:hAnsi="Times New Roman" w:cs="Times New Roman"/>
          <w:lang w:val="pt-BR"/>
        </w:rPr>
        <w:t xml:space="preserve"> escolha </w:t>
      </w:r>
      <w:r w:rsidRPr="00C35568">
        <w:rPr>
          <w:rFonts w:ascii="Times New Roman" w:hAnsi="Times New Roman" w:cs="Times New Roman"/>
          <w:lang w:val="pt-BR"/>
        </w:rPr>
        <w:t>unanime</w:t>
      </w:r>
      <w:r w:rsidR="002423CE" w:rsidRPr="00C35568">
        <w:rPr>
          <w:rFonts w:ascii="Times New Roman" w:hAnsi="Times New Roman" w:cs="Times New Roman"/>
          <w:lang w:val="pt-BR"/>
        </w:rPr>
        <w:t xml:space="preserve"> para um incentivo </w:t>
      </w:r>
      <w:r w:rsidR="00194F7F" w:rsidRPr="00C35568">
        <w:rPr>
          <w:rFonts w:ascii="Times New Roman" w:hAnsi="Times New Roman" w:cs="Times New Roman"/>
          <w:lang w:val="pt-BR"/>
        </w:rPr>
        <w:t xml:space="preserve">específico, pois estes </w:t>
      </w:r>
      <w:r w:rsidR="002423CE" w:rsidRPr="00C35568">
        <w:rPr>
          <w:rFonts w:ascii="Times New Roman" w:hAnsi="Times New Roman" w:cs="Times New Roman"/>
          <w:lang w:val="pt-BR"/>
        </w:rPr>
        <w:t>depende</w:t>
      </w:r>
      <w:r w:rsidR="00194F7F" w:rsidRPr="00C35568">
        <w:rPr>
          <w:rFonts w:ascii="Times New Roman" w:hAnsi="Times New Roman" w:cs="Times New Roman"/>
          <w:lang w:val="pt-BR"/>
        </w:rPr>
        <w:t>m</w:t>
      </w:r>
      <w:r w:rsidR="002423CE" w:rsidRPr="00C35568">
        <w:rPr>
          <w:rFonts w:ascii="Times New Roman" w:hAnsi="Times New Roman" w:cs="Times New Roman"/>
          <w:lang w:val="pt-BR"/>
        </w:rPr>
        <w:t xml:space="preserve"> da filosofia e cultura da empresa e seu plano estratégico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HALL, 2008)</w:t>
      </w:r>
      <w:r w:rsidR="00C70C2A"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w:t>
      </w:r>
    </w:p>
    <w:p w:rsidR="005108E6" w:rsidRPr="00C35568" w:rsidRDefault="005108E6" w:rsidP="002B4E11">
      <w:pPr>
        <w:pStyle w:val="BodyText"/>
        <w:spacing w:after="0" w:line="240" w:lineRule="auto"/>
        <w:ind w:firstLine="709"/>
        <w:jc w:val="both"/>
        <w:rPr>
          <w:rFonts w:ascii="Times New Roman" w:hAnsi="Times New Roman" w:cs="Times New Roman"/>
          <w:lang w:val="pt-BR"/>
        </w:rPr>
      </w:pPr>
    </w:p>
    <w:p w:rsidR="001A2445" w:rsidRPr="002B4E11" w:rsidRDefault="005108E6" w:rsidP="005108E6">
      <w:pPr>
        <w:tabs>
          <w:tab w:val="left" w:pos="662"/>
        </w:tabs>
        <w:spacing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2.2 </w:t>
      </w:r>
      <w:r w:rsidR="002423CE" w:rsidRPr="002B4E11">
        <w:rPr>
          <w:rFonts w:ascii="Times New Roman" w:hAnsi="Times New Roman" w:cs="Times New Roman"/>
          <w:b/>
          <w:sz w:val="24"/>
          <w:szCs w:val="24"/>
          <w:lang w:val="pt-BR"/>
        </w:rPr>
        <w:t>Pagamento baseado em</w:t>
      </w:r>
      <w:r w:rsidR="002423CE" w:rsidRPr="002B4E11">
        <w:rPr>
          <w:rFonts w:ascii="Times New Roman" w:hAnsi="Times New Roman" w:cs="Times New Roman"/>
          <w:b/>
          <w:spacing w:val="-6"/>
          <w:sz w:val="24"/>
          <w:szCs w:val="24"/>
          <w:lang w:val="pt-BR"/>
        </w:rPr>
        <w:t xml:space="preserve"> </w:t>
      </w:r>
      <w:r w:rsidR="002423CE" w:rsidRPr="002B4E11">
        <w:rPr>
          <w:rFonts w:ascii="Times New Roman" w:hAnsi="Times New Roman" w:cs="Times New Roman"/>
          <w:b/>
          <w:sz w:val="24"/>
          <w:szCs w:val="24"/>
          <w:lang w:val="pt-BR"/>
        </w:rPr>
        <w:t>ações</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O pagamento baseado em ações passou a ter relevância como atenuante do conflito de interesses.</w:t>
      </w:r>
      <w:r w:rsidRPr="00C35568">
        <w:rPr>
          <w:rFonts w:ascii="Times New Roman" w:hAnsi="Times New Roman" w:cs="Times New Roman"/>
          <w:spacing w:val="-6"/>
          <w:lang w:val="pt-BR"/>
        </w:rPr>
        <w:t xml:space="preserve"> </w:t>
      </w:r>
      <w:r w:rsidR="00B66352" w:rsidRPr="00C35568">
        <w:rPr>
          <w:rFonts w:ascii="Times New Roman" w:hAnsi="Times New Roman" w:cs="Times New Roman"/>
          <w:lang w:val="pt-BR"/>
        </w:rPr>
        <w:t>Por exemplo</w:t>
      </w:r>
      <w:r w:rsidRPr="00C35568">
        <w:rPr>
          <w:rFonts w:ascii="Times New Roman" w:hAnsi="Times New Roman" w:cs="Times New Roman"/>
          <w:lang w:val="pt-BR"/>
        </w:rPr>
        <w:t>,</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5"/>
          <w:lang w:val="pt-BR"/>
        </w:rPr>
        <w:t xml:space="preserve"> </w:t>
      </w:r>
      <w:r w:rsidRPr="00C35568">
        <w:rPr>
          <w:rFonts w:ascii="Times New Roman" w:hAnsi="Times New Roman" w:cs="Times New Roman"/>
          <w:i/>
          <w:lang w:val="pt-BR"/>
        </w:rPr>
        <w:t>stock</w:t>
      </w:r>
      <w:r w:rsidRPr="00C35568">
        <w:rPr>
          <w:rFonts w:ascii="Times New Roman" w:hAnsi="Times New Roman" w:cs="Times New Roman"/>
          <w:i/>
          <w:spacing w:val="-7"/>
          <w:lang w:val="pt-BR"/>
        </w:rPr>
        <w:t xml:space="preserve"> </w:t>
      </w:r>
      <w:r w:rsidRPr="00C35568">
        <w:rPr>
          <w:rFonts w:ascii="Times New Roman" w:hAnsi="Times New Roman" w:cs="Times New Roman"/>
          <w:i/>
          <w:lang w:val="pt-BR"/>
        </w:rPr>
        <w:t>options</w:t>
      </w:r>
      <w:r w:rsidRPr="00C35568">
        <w:rPr>
          <w:rFonts w:ascii="Times New Roman" w:hAnsi="Times New Roman" w:cs="Times New Roman"/>
          <w:i/>
          <w:spacing w:val="-5"/>
          <w:lang w:val="pt-BR"/>
        </w:rPr>
        <w:t xml:space="preserve"> </w:t>
      </w:r>
      <w:r w:rsidRPr="00C35568">
        <w:rPr>
          <w:rFonts w:ascii="Times New Roman" w:hAnsi="Times New Roman" w:cs="Times New Roman"/>
          <w:lang w:val="pt-BR"/>
        </w:rPr>
        <w:t>surgiram</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na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década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80,</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com</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objetivo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 atrelar a compensação com o preço das ações</w:t>
      </w:r>
      <w:r w:rsidR="003B2524" w:rsidRPr="00C35568">
        <w:rPr>
          <w:rFonts w:ascii="Times New Roman" w:hAnsi="Times New Roman" w:cs="Times New Roman"/>
          <w:lang w:val="pt-BR"/>
        </w:rPr>
        <w:t xml:space="preserve">, fornecendo </w:t>
      </w:r>
      <w:r w:rsidRPr="00C35568">
        <w:rPr>
          <w:rFonts w:ascii="Times New Roman" w:hAnsi="Times New Roman" w:cs="Times New Roman"/>
          <w:lang w:val="pt-BR"/>
        </w:rPr>
        <w:t>incentivo</w:t>
      </w:r>
      <w:r w:rsidR="003B2524" w:rsidRPr="00C35568">
        <w:rPr>
          <w:rFonts w:ascii="Times New Roman" w:hAnsi="Times New Roman" w:cs="Times New Roman"/>
          <w:lang w:val="pt-BR"/>
        </w:rPr>
        <w:t xml:space="preserve">s aos executivos para maximização do </w:t>
      </w:r>
      <w:r w:rsidRPr="00C35568">
        <w:rPr>
          <w:rFonts w:ascii="Times New Roman" w:hAnsi="Times New Roman" w:cs="Times New Roman"/>
          <w:lang w:val="pt-BR"/>
        </w:rPr>
        <w:t xml:space="preserve">valor para os acionistas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"10.1146/annurev-financial-120209-133958", "author" : [ { "dropping-particle" : "", "family" : "Frydman", "given" : "Carola", "non-dropping-particle" : "", "parse-names" : false, "suffix" : "" }, { "dropping-particle" : "", "family" : "Jenter", "given" : "Dirk", "non-dropping-particle" : "", "parse-names" : false, "suffix" : "" } ], "container-title" : "Annual Review of Financial Economics", "id" : "ITEM-1", "issued" : { "date-parts" : [ [ "2010" ] ] }, "page" : "75-102", "title" : "CEO Compensation", "type" : "article-journal", "volume" : "2" }, "uris" : [ "http://www.mendeley.com/documents/?uuid=e91f8f20-b900-4b25-85b1-ba7489ad31dc" ] } ], "mendeley" : { "formattedCitation" : "(FRYDMAN; JENTER, 2010)", "plainTextFormattedCitation" : "(FRYDMAN; JENTER, 2010)", "previouslyFormattedCitation" : "(FRYDMAN; JENTER, 2010)"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(FRYDMAN; JENTER, 2010)</w:t>
      </w:r>
      <w:r w:rsidR="00C70C2A" w:rsidRPr="00C35568">
        <w:rPr>
          <w:rStyle w:val="FootnoteReference"/>
          <w:rFonts w:ascii="Times New Roman" w:hAnsi="Times New Roman" w:cs="Times New Roman"/>
          <w:lang w:val="pt-BR"/>
        </w:rPr>
        <w:fldChar w:fldCharType="end"/>
      </w:r>
      <w:r w:rsidR="000B7A36" w:rsidRPr="00C35568">
        <w:rPr>
          <w:rFonts w:ascii="Times New Roman" w:hAnsi="Times New Roman" w:cs="Times New Roman"/>
          <w:lang w:val="pt-BR"/>
        </w:rPr>
        <w:t>.</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No</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estudo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2"/>
          <w:lang w:val="pt-BR"/>
        </w:rPr>
        <w:t xml:space="preserve"> </w:t>
      </w:r>
      <w:r w:rsidR="00C70C2A" w:rsidRPr="00C35568">
        <w:rPr>
          <w:rStyle w:val="FootnoteReference"/>
          <w:rFonts w:ascii="Times New Roman" w:hAnsi="Times New Roman" w:cs="Times New Roman"/>
          <w:spacing w:val="-12"/>
          <w:lang w:val="pt-BR"/>
        </w:rPr>
        <w:fldChar w:fldCharType="begin" w:fldLock="1"/>
      </w:r>
      <w:r w:rsidR="00051229" w:rsidRPr="00C35568">
        <w:rPr>
          <w:rFonts w:ascii="Times New Roman" w:hAnsi="Times New Roman" w:cs="Times New Roman"/>
          <w:spacing w:val="-12"/>
          <w:lang w:val="pt-BR"/>
        </w:rPr>
        <w:instrText>ADDIN CSL_CITATION { "citationItems" : [ { "id" : "ITEM-1", "itemData" : { "DOI" : "10.1146/annurev-financial-120209-133958", "author" : [ { "dropping-particle" : "", "family" : "Frydman", "given" : "Carola", "non-dropping-particle" : "", "parse-names" : false, "suffix" : "" }, { "dropping-particle" : "", "family" : "Jenter", "given" : "Dirk", "non-dropping-particle" : "", "parse-names" : false, "suffix" : "" } ], "container-title" : "Annual Review of Financial Economics", "id" : "ITEM-1", "issued" : { "date-parts" : [ [ "2010" ] ] }, "page" : "75-102", "title" : "CEO Compensation", "type" : "article-journal", "volume" : "2" }, "uris" : [ "http://www.mendeley.com/documents/?uuid=e91f8f20-b900-4b25-85b1-ba7489ad31dc" ] } ], "mendeley" : { "formattedCitation" : "(FRYDMAN; JENTER, 2010)", "manualFormatting" : "Frydman e Jenter (2010)", "plainTextFormattedCitation" : "(FRYDMAN; JENTER, 2010)", "previouslyFormattedCitation" : "(FRYDMAN; JENTER, 2010)" }, "properties" : {  }, "schema" : "https://github.com/citation-style-language/schema/raw/master/csl-citation.json" }</w:instrText>
      </w:r>
      <w:r w:rsidR="00C70C2A" w:rsidRPr="00C35568">
        <w:rPr>
          <w:rStyle w:val="FootnoteReference"/>
          <w:rFonts w:ascii="Times New Roman" w:hAnsi="Times New Roman" w:cs="Times New Roman"/>
          <w:spacing w:val="-12"/>
          <w:lang w:val="pt-BR"/>
        </w:rPr>
        <w:fldChar w:fldCharType="separate"/>
      </w:r>
      <w:r w:rsidR="00C70C2A" w:rsidRPr="00C35568">
        <w:rPr>
          <w:rFonts w:ascii="Times New Roman" w:hAnsi="Times New Roman" w:cs="Times New Roman"/>
          <w:noProof/>
          <w:spacing w:val="-12"/>
          <w:lang w:val="pt-BR"/>
        </w:rPr>
        <w:t>Frydman e Jenter (2010)</w:t>
      </w:r>
      <w:r w:rsidR="00C70C2A" w:rsidRPr="00C35568">
        <w:rPr>
          <w:rStyle w:val="FootnoteReference"/>
          <w:rFonts w:ascii="Times New Roman" w:hAnsi="Times New Roman" w:cs="Times New Roman"/>
          <w:spacing w:val="-12"/>
          <w:lang w:val="pt-BR"/>
        </w:rPr>
        <w:fldChar w:fldCharType="end"/>
      </w:r>
      <w:r w:rsidR="000B7A36" w:rsidRPr="00C35568">
        <w:rPr>
          <w:rFonts w:ascii="Times New Roman" w:hAnsi="Times New Roman" w:cs="Times New Roman"/>
          <w:spacing w:val="-12"/>
          <w:lang w:val="pt-BR"/>
        </w:rPr>
        <w:t xml:space="preserve"> </w:t>
      </w:r>
      <w:r w:rsidRPr="00C35568">
        <w:rPr>
          <w:rFonts w:ascii="Times New Roman" w:hAnsi="Times New Roman" w:cs="Times New Roman"/>
          <w:lang w:val="pt-BR"/>
        </w:rPr>
        <w:t>observou-se</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durante</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anos</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80</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e</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90</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9"/>
          <w:lang w:val="pt-BR"/>
        </w:rPr>
        <w:t xml:space="preserve"> </w:t>
      </w:r>
      <w:r w:rsidRPr="00C35568">
        <w:rPr>
          <w:rFonts w:ascii="Times New Roman" w:hAnsi="Times New Roman" w:cs="Times New Roman"/>
          <w:i/>
          <w:lang w:val="pt-BR"/>
        </w:rPr>
        <w:t xml:space="preserve">stocks options </w:t>
      </w:r>
      <w:r w:rsidR="003B2524" w:rsidRPr="00C35568">
        <w:rPr>
          <w:rFonts w:ascii="Times New Roman" w:hAnsi="Times New Roman" w:cs="Times New Roman"/>
          <w:lang w:val="pt-BR"/>
        </w:rPr>
        <w:t>representavam</w:t>
      </w:r>
      <w:r w:rsidRPr="00C35568">
        <w:rPr>
          <w:rFonts w:ascii="Times New Roman" w:hAnsi="Times New Roman" w:cs="Times New Roman"/>
          <w:lang w:val="pt-BR"/>
        </w:rPr>
        <w:t xml:space="preserve"> as maiores parcelas da remuneração dos executivos, porém após a </w:t>
      </w:r>
      <w:r w:rsidR="003B2524" w:rsidRPr="00C35568">
        <w:rPr>
          <w:rFonts w:ascii="Times New Roman" w:hAnsi="Times New Roman" w:cs="Times New Roman"/>
          <w:lang w:val="pt-BR"/>
        </w:rPr>
        <w:t>cham</w:t>
      </w:r>
      <w:r w:rsidR="00B66352" w:rsidRPr="00C35568">
        <w:rPr>
          <w:rFonts w:ascii="Times New Roman" w:hAnsi="Times New Roman" w:cs="Times New Roman"/>
          <w:lang w:val="pt-BR"/>
        </w:rPr>
        <w:t>a</w:t>
      </w:r>
      <w:r w:rsidR="003B2524" w:rsidRPr="00C35568">
        <w:rPr>
          <w:rFonts w:ascii="Times New Roman" w:hAnsi="Times New Roman" w:cs="Times New Roman"/>
          <w:lang w:val="pt-BR"/>
        </w:rPr>
        <w:t xml:space="preserve">da </w:t>
      </w:r>
      <w:r w:rsidRPr="00C35568">
        <w:rPr>
          <w:rFonts w:ascii="Times New Roman" w:hAnsi="Times New Roman" w:cs="Times New Roman"/>
          <w:lang w:val="pt-BR"/>
        </w:rPr>
        <w:t>bolha tecnológica</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2000</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e</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2001,</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concessões</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ações</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restritas</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passaram</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ser</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forma</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mais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popular de</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compensação.</w:t>
      </w:r>
    </w:p>
    <w:p w:rsidR="001A2445" w:rsidRPr="00C35568" w:rsidRDefault="002423CE"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Aspecto</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importante</w:t>
      </w:r>
      <w:r w:rsidRPr="00C35568">
        <w:rPr>
          <w:rFonts w:ascii="Times New Roman" w:hAnsi="Times New Roman" w:cs="Times New Roman"/>
          <w:spacing w:val="-16"/>
          <w:lang w:val="pt-BR"/>
        </w:rPr>
        <w:t xml:space="preserve"> </w:t>
      </w:r>
      <w:r w:rsidRPr="00C35568">
        <w:rPr>
          <w:rFonts w:ascii="Times New Roman" w:hAnsi="Times New Roman" w:cs="Times New Roman"/>
          <w:lang w:val="pt-BR"/>
        </w:rPr>
        <w:t>levantado</w:t>
      </w:r>
      <w:r w:rsidRPr="00C35568">
        <w:rPr>
          <w:rFonts w:ascii="Times New Roman" w:hAnsi="Times New Roman" w:cs="Times New Roman"/>
          <w:spacing w:val="-16"/>
          <w:lang w:val="pt-BR"/>
        </w:rPr>
        <w:t xml:space="preserve"> </w:t>
      </w:r>
      <w:r w:rsidRPr="00C35568">
        <w:rPr>
          <w:rFonts w:ascii="Times New Roman" w:hAnsi="Times New Roman" w:cs="Times New Roman"/>
          <w:lang w:val="pt-BR"/>
        </w:rPr>
        <w:t>por</w:t>
      </w:r>
      <w:r w:rsidR="000B7A36"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"manualFormatting" : "Lipman e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e Hall (2008)</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w:t>
      </w:r>
      <w:r w:rsidRPr="00C35568">
        <w:rPr>
          <w:rFonts w:ascii="Times New Roman" w:hAnsi="Times New Roman" w:cs="Times New Roman"/>
          <w:spacing w:val="-16"/>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17"/>
          <w:lang w:val="pt-BR"/>
        </w:rPr>
        <w:t xml:space="preserve"> </w:t>
      </w:r>
      <w:r w:rsidRPr="00C35568">
        <w:rPr>
          <w:rFonts w:ascii="Times New Roman" w:hAnsi="Times New Roman" w:cs="Times New Roman"/>
          <w:lang w:val="pt-BR"/>
        </w:rPr>
        <w:t>porcentagem</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remuneração baseada em ações não deve ser substancialmente elevada, para evitar</w:t>
      </w:r>
      <w:r w:rsidR="003B2524" w:rsidRPr="00C35568">
        <w:rPr>
          <w:rFonts w:ascii="Times New Roman" w:hAnsi="Times New Roman" w:cs="Times New Roman"/>
          <w:lang w:val="pt-BR"/>
        </w:rPr>
        <w:t xml:space="preserve"> que</w:t>
      </w:r>
      <w:r w:rsidRPr="00C35568">
        <w:rPr>
          <w:rFonts w:ascii="Times New Roman" w:hAnsi="Times New Roman" w:cs="Times New Roman"/>
          <w:lang w:val="pt-BR"/>
        </w:rPr>
        <w:t xml:space="preserve"> o foco dos executivos </w:t>
      </w:r>
      <w:r w:rsidR="003B2524" w:rsidRPr="00C35568">
        <w:rPr>
          <w:rFonts w:ascii="Times New Roman" w:hAnsi="Times New Roman" w:cs="Times New Roman"/>
          <w:lang w:val="pt-BR"/>
        </w:rPr>
        <w:t xml:space="preserve">seja unicamente </w:t>
      </w:r>
      <w:r w:rsidRPr="00C35568">
        <w:rPr>
          <w:rFonts w:ascii="Times New Roman" w:hAnsi="Times New Roman" w:cs="Times New Roman"/>
          <w:lang w:val="pt-BR"/>
        </w:rPr>
        <w:t xml:space="preserve">o aumento do preço das ações da empresa. Todavia os autores alertam que o pagamento baseado em ações deve ser representativo dentro do plano de remuneração, para competir, em uma base ajustada ao risco, com pacotes de remuneração oferecidos por fundos de </w:t>
      </w:r>
      <w:r w:rsidRPr="00C35568">
        <w:rPr>
          <w:rFonts w:ascii="Times New Roman" w:hAnsi="Times New Roman" w:cs="Times New Roman"/>
          <w:i/>
          <w:lang w:val="pt-BR"/>
        </w:rPr>
        <w:t>private</w:t>
      </w:r>
      <w:r w:rsidRPr="00C35568">
        <w:rPr>
          <w:rFonts w:ascii="Times New Roman" w:hAnsi="Times New Roman" w:cs="Times New Roman"/>
          <w:i/>
          <w:spacing w:val="-4"/>
          <w:lang w:val="pt-BR"/>
        </w:rPr>
        <w:t xml:space="preserve"> </w:t>
      </w:r>
      <w:r w:rsidRPr="00C35568">
        <w:rPr>
          <w:rFonts w:ascii="Times New Roman" w:hAnsi="Times New Roman" w:cs="Times New Roman"/>
          <w:i/>
          <w:lang w:val="pt-BR"/>
        </w:rPr>
        <w:t>equity</w:t>
      </w:r>
      <w:r w:rsidR="00B66352" w:rsidRPr="00C35568">
        <w:rPr>
          <w:rFonts w:ascii="Times New Roman" w:hAnsi="Times New Roman" w:cs="Times New Roman"/>
          <w:lang w:val="pt-BR"/>
        </w:rPr>
        <w:t>, por exemplo.</w:t>
      </w:r>
    </w:p>
    <w:p w:rsidR="006E2A1A" w:rsidRPr="00C35568" w:rsidRDefault="006E2A1A" w:rsidP="002B4E11">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Na Tabela</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1</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são</w:t>
      </w:r>
      <w:r w:rsidR="002423CE" w:rsidRPr="00C35568">
        <w:rPr>
          <w:rFonts w:ascii="Times New Roman" w:hAnsi="Times New Roman" w:cs="Times New Roman"/>
          <w:spacing w:val="-10"/>
          <w:lang w:val="pt-BR"/>
        </w:rPr>
        <w:t xml:space="preserve"> </w:t>
      </w:r>
      <w:r w:rsidR="002423CE" w:rsidRPr="00C35568">
        <w:rPr>
          <w:rFonts w:ascii="Times New Roman" w:hAnsi="Times New Roman" w:cs="Times New Roman"/>
          <w:lang w:val="pt-BR"/>
        </w:rPr>
        <w:t>apresentadas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as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descrições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dos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tipos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de</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pagamentos</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baseado</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em</w:t>
      </w:r>
      <w:r w:rsidR="002423CE" w:rsidRPr="00C35568">
        <w:rPr>
          <w:rFonts w:ascii="Times New Roman" w:hAnsi="Times New Roman" w:cs="Times New Roman"/>
          <w:spacing w:val="-12"/>
          <w:lang w:val="pt-BR"/>
        </w:rPr>
        <w:t xml:space="preserve"> </w:t>
      </w:r>
      <w:r w:rsidR="002423CE" w:rsidRPr="00C35568">
        <w:rPr>
          <w:rFonts w:ascii="Times New Roman" w:hAnsi="Times New Roman" w:cs="Times New Roman"/>
          <w:lang w:val="pt-BR"/>
        </w:rPr>
        <w:t>ações, suas vantagens e desvantagens, conforme</w:t>
      </w:r>
      <w:r w:rsidR="000B7A36"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"manualFormatting" : "Lipman e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e Hall (2008)</w:t>
      </w:r>
      <w:r w:rsidR="00C70C2A" w:rsidRPr="00C35568">
        <w:rPr>
          <w:rStyle w:val="FootnoteReference"/>
          <w:rFonts w:ascii="Times New Roman" w:hAnsi="Times New Roman" w:cs="Times New Roman"/>
          <w:lang w:val="pt-BR"/>
        </w:rPr>
        <w:fldChar w:fldCharType="end"/>
      </w:r>
      <w:r w:rsidR="002423CE" w:rsidRPr="00C35568">
        <w:rPr>
          <w:rFonts w:ascii="Times New Roman" w:hAnsi="Times New Roman" w:cs="Times New Roman"/>
          <w:lang w:val="pt-BR"/>
        </w:rPr>
        <w:t xml:space="preserve"> 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"0120771268", "author" : [ { "dropping-particle" : "", "family" : "Balsam", "given" : "Steven", "non-dropping-particle" : "", "parse-names" : false, "suffix" : "" } ], "id" : "ITEM-1", "issued" : { "date-parts" : [ [ "2002" ] ] }, "number-of-pages" : "405", "publisher" : "Academic press", "publisher-place" : "Philadelphia, Pennsylvania", "title" : "An Introduction to Executive Compensation", "type" : "book" }, "uris" : [ "http://www.mendeley.com/documents/?uuid=2c003365-ccb8-4a88-868f-854ba0402c12" ] } ], "mendeley" : { "formattedCitation" : "(BALSAM, 2002)", "manualFormatting" : "Balsam (2002)", "plainTextFormattedCitation" : "(BALSAM, 2002)", "previouslyFormattedCitation" : "(BALSAM, 2002)"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Balsam (2002)</w:t>
      </w:r>
      <w:r w:rsidR="00C70C2A" w:rsidRPr="00C35568">
        <w:rPr>
          <w:rStyle w:val="FootnoteReference"/>
          <w:rFonts w:ascii="Times New Roman" w:hAnsi="Times New Roman" w:cs="Times New Roman"/>
          <w:lang w:val="pt-BR"/>
        </w:rPr>
        <w:fldChar w:fldCharType="end"/>
      </w:r>
      <w:r w:rsidR="000B7A36" w:rsidRPr="00C35568">
        <w:rPr>
          <w:rFonts w:ascii="Times New Roman" w:hAnsi="Times New Roman" w:cs="Times New Roman"/>
          <w:lang w:val="pt-BR"/>
        </w:rPr>
        <w:t>.</w:t>
      </w:r>
    </w:p>
    <w:p w:rsidR="006E2A1A" w:rsidRPr="00C35568" w:rsidRDefault="006E2A1A" w:rsidP="002B4E11">
      <w:pPr>
        <w:pStyle w:val="BodyText"/>
        <w:spacing w:after="0" w:line="240" w:lineRule="auto"/>
        <w:ind w:firstLine="709"/>
        <w:jc w:val="both"/>
        <w:rPr>
          <w:rFonts w:ascii="Times New Roman" w:hAnsi="Times New Roman" w:cs="Times New Roman"/>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5"/>
      </w:tblGrid>
      <w:tr w:rsidR="007320CE" w:rsidRPr="00351C7E" w:rsidTr="00AB7C88">
        <w:trPr>
          <w:trHeight w:val="227"/>
        </w:trPr>
        <w:tc>
          <w:tcPr>
            <w:tcW w:w="9215" w:type="dxa"/>
            <w:tcBorders>
              <w:bottom w:val="single" w:sz="4" w:space="0" w:color="auto"/>
            </w:tcBorders>
          </w:tcPr>
          <w:p w:rsidR="007320CE" w:rsidRPr="002B4E11" w:rsidRDefault="006E2A1A" w:rsidP="002B4E11">
            <w:pPr>
              <w:pStyle w:val="BodyText"/>
              <w:jc w:val="center"/>
              <w:rPr>
                <w:rFonts w:ascii="Times New Roman" w:hAnsi="Times New Roman" w:cs="Times New Roman"/>
                <w:b/>
                <w:sz w:val="20"/>
                <w:lang w:val="pt-BR"/>
              </w:rPr>
            </w:pPr>
            <w:r w:rsidRPr="002B4E11">
              <w:rPr>
                <w:rFonts w:ascii="Times New Roman" w:hAnsi="Times New Roman" w:cs="Times New Roman"/>
                <w:b/>
                <w:sz w:val="20"/>
                <w:lang w:val="pt-BR"/>
              </w:rPr>
              <w:t xml:space="preserve">Tabela </w:t>
            </w:r>
            <w:r w:rsidR="007320CE" w:rsidRPr="002B4E11">
              <w:rPr>
                <w:rFonts w:ascii="Times New Roman" w:hAnsi="Times New Roman" w:cs="Times New Roman"/>
                <w:b/>
                <w:sz w:val="20"/>
                <w:lang w:val="pt-BR"/>
              </w:rPr>
              <w:t>1 - Tipos de pagamento baseado em ações</w:t>
            </w:r>
          </w:p>
        </w:tc>
      </w:tr>
      <w:tr w:rsidR="007320CE" w:rsidRPr="00351C7E" w:rsidTr="00AB7C88">
        <w:trPr>
          <w:trHeight w:hRule="exact" w:val="227"/>
        </w:trPr>
        <w:tc>
          <w:tcPr>
            <w:tcW w:w="9215" w:type="dxa"/>
            <w:tcBorders>
              <w:top w:val="single" w:sz="4" w:space="0" w:color="auto"/>
              <w:bottom w:val="single" w:sz="4" w:space="0" w:color="auto"/>
            </w:tcBorders>
            <w:vAlign w:val="bottom"/>
          </w:tcPr>
          <w:p w:rsidR="007320CE" w:rsidRPr="002B4E11" w:rsidRDefault="007320CE" w:rsidP="00AB7C88">
            <w:pPr>
              <w:pStyle w:val="BodyText"/>
              <w:rPr>
                <w:rFonts w:ascii="Times New Roman" w:hAnsi="Times New Roman" w:cs="Times New Roman"/>
                <w:sz w:val="20"/>
                <w:lang w:val="pt-BR"/>
              </w:rPr>
            </w:pPr>
            <w:r w:rsidRPr="002B4E11">
              <w:rPr>
                <w:rFonts w:ascii="Times New Roman" w:hAnsi="Times New Roman" w:cs="Times New Roman"/>
                <w:i/>
                <w:sz w:val="20"/>
                <w:lang w:val="pt-BR"/>
              </w:rPr>
              <w:t xml:space="preserve">Stock Options </w:t>
            </w:r>
            <w:r w:rsidRPr="002B4E11">
              <w:rPr>
                <w:rFonts w:ascii="Times New Roman" w:hAnsi="Times New Roman" w:cs="Times New Roman"/>
                <w:sz w:val="20"/>
                <w:lang w:val="pt-BR"/>
              </w:rPr>
              <w:t>(Opções de ações)</w:t>
            </w:r>
          </w:p>
        </w:tc>
      </w:tr>
      <w:tr w:rsidR="007320CE" w:rsidRPr="00351C7E" w:rsidTr="00AB7C88">
        <w:trPr>
          <w:trHeight w:val="227"/>
        </w:trPr>
        <w:tc>
          <w:tcPr>
            <w:tcW w:w="9215" w:type="dxa"/>
            <w:tcBorders>
              <w:top w:val="single" w:sz="4" w:space="0" w:color="auto"/>
              <w:bottom w:val="single" w:sz="4" w:space="0" w:color="auto"/>
            </w:tcBorders>
          </w:tcPr>
          <w:p w:rsidR="007320CE" w:rsidRPr="002B4E11" w:rsidRDefault="007320CE" w:rsidP="006E2A1A">
            <w:pPr>
              <w:pStyle w:val="TableParagraph"/>
              <w:numPr>
                <w:ilvl w:val="0"/>
                <w:numId w:val="14"/>
              </w:numPr>
              <w:tabs>
                <w:tab w:val="left" w:pos="210"/>
              </w:tabs>
              <w:ind w:right="110"/>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Um</w:t>
            </w:r>
            <w:r w:rsidRPr="002B4E11">
              <w:rPr>
                <w:rFonts w:ascii="Times New Roman" w:hAnsi="Times New Roman" w:cs="Times New Roman"/>
                <w:spacing w:val="-14"/>
                <w:sz w:val="20"/>
                <w:szCs w:val="24"/>
                <w:lang w:val="pt-BR"/>
              </w:rPr>
              <w:t xml:space="preserve"> </w:t>
            </w:r>
            <w:r w:rsidRPr="002B4E11">
              <w:rPr>
                <w:rFonts w:ascii="Times New Roman" w:hAnsi="Times New Roman" w:cs="Times New Roman"/>
                <w:sz w:val="20"/>
                <w:szCs w:val="24"/>
                <w:lang w:val="pt-BR"/>
              </w:rPr>
              <w:t>direito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concedido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pelo</w:t>
            </w:r>
            <w:r w:rsidRPr="002B4E11">
              <w:rPr>
                <w:rFonts w:ascii="Times New Roman" w:hAnsi="Times New Roman" w:cs="Times New Roman"/>
                <w:spacing w:val="-11"/>
                <w:sz w:val="20"/>
                <w:szCs w:val="24"/>
                <w:lang w:val="pt-BR"/>
              </w:rPr>
              <w:t xml:space="preserve"> </w:t>
            </w:r>
            <w:r w:rsidRPr="002B4E11">
              <w:rPr>
                <w:rFonts w:ascii="Times New Roman" w:hAnsi="Times New Roman" w:cs="Times New Roman"/>
                <w:sz w:val="20"/>
                <w:szCs w:val="24"/>
                <w:lang w:val="pt-BR"/>
              </w:rPr>
              <w:t>empregador</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a</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um</w:t>
            </w:r>
            <w:r w:rsidRPr="002B4E11">
              <w:rPr>
                <w:rFonts w:ascii="Times New Roman" w:hAnsi="Times New Roman" w:cs="Times New Roman"/>
                <w:spacing w:val="-14"/>
                <w:sz w:val="20"/>
                <w:szCs w:val="24"/>
                <w:lang w:val="pt-BR"/>
              </w:rPr>
              <w:t xml:space="preserve"> </w:t>
            </w:r>
            <w:r w:rsidRPr="002B4E11">
              <w:rPr>
                <w:rFonts w:ascii="Times New Roman" w:hAnsi="Times New Roman" w:cs="Times New Roman"/>
                <w:sz w:val="20"/>
                <w:szCs w:val="24"/>
                <w:lang w:val="pt-BR"/>
              </w:rPr>
              <w:t>empregado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para</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comprar</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ações</w:t>
            </w:r>
            <w:r w:rsidRPr="002B4E11">
              <w:rPr>
                <w:rFonts w:ascii="Times New Roman" w:hAnsi="Times New Roman" w:cs="Times New Roman"/>
                <w:spacing w:val="-13"/>
                <w:sz w:val="20"/>
                <w:szCs w:val="24"/>
                <w:lang w:val="pt-BR"/>
              </w:rPr>
              <w:t xml:space="preserve"> </w:t>
            </w:r>
            <w:r w:rsidRPr="002B4E11">
              <w:rPr>
                <w:rFonts w:ascii="Times New Roman" w:hAnsi="Times New Roman" w:cs="Times New Roman"/>
                <w:sz w:val="20"/>
                <w:szCs w:val="24"/>
                <w:lang w:val="pt-BR"/>
              </w:rPr>
              <w:t>a</w:t>
            </w:r>
            <w:r w:rsidRPr="002B4E11">
              <w:rPr>
                <w:rFonts w:ascii="Times New Roman" w:hAnsi="Times New Roman" w:cs="Times New Roman"/>
                <w:spacing w:val="-10"/>
                <w:sz w:val="20"/>
                <w:szCs w:val="24"/>
                <w:lang w:val="pt-BR"/>
              </w:rPr>
              <w:t xml:space="preserve"> </w:t>
            </w:r>
            <w:r w:rsidRPr="002B4E11">
              <w:rPr>
                <w:rFonts w:ascii="Times New Roman" w:hAnsi="Times New Roman" w:cs="Times New Roman"/>
                <w:sz w:val="20"/>
                <w:szCs w:val="24"/>
                <w:lang w:val="pt-BR"/>
              </w:rPr>
              <w:t>um</w:t>
            </w:r>
            <w:r w:rsidRPr="002B4E11">
              <w:rPr>
                <w:rFonts w:ascii="Times New Roman" w:hAnsi="Times New Roman" w:cs="Times New Roman"/>
                <w:spacing w:val="-14"/>
                <w:sz w:val="20"/>
                <w:szCs w:val="24"/>
                <w:lang w:val="pt-BR"/>
              </w:rPr>
              <w:t xml:space="preserve"> </w:t>
            </w:r>
            <w:r w:rsidRPr="002B4E11">
              <w:rPr>
                <w:rFonts w:ascii="Times New Roman" w:hAnsi="Times New Roman" w:cs="Times New Roman"/>
                <w:sz w:val="20"/>
                <w:szCs w:val="24"/>
                <w:lang w:val="pt-BR"/>
              </w:rPr>
              <w:t xml:space="preserve">preço estipulado </w:t>
            </w:r>
            <w:r w:rsidRPr="002B4E11">
              <w:rPr>
                <w:rFonts w:ascii="Times New Roman" w:hAnsi="Times New Roman" w:cs="Times New Roman"/>
                <w:sz w:val="20"/>
                <w:szCs w:val="24"/>
                <w:lang w:val="pt-BR"/>
              </w:rPr>
              <w:lastRenderedPageBreak/>
              <w:t>(data da concessão) durante um período de tempo</w:t>
            </w:r>
            <w:r w:rsidRPr="002B4E11">
              <w:rPr>
                <w:rFonts w:ascii="Times New Roman" w:hAnsi="Times New Roman" w:cs="Times New Roman"/>
                <w:spacing w:val="-30"/>
                <w:sz w:val="20"/>
                <w:szCs w:val="24"/>
                <w:lang w:val="pt-BR"/>
              </w:rPr>
              <w:t xml:space="preserve"> </w:t>
            </w:r>
            <w:r w:rsidRPr="002B4E11">
              <w:rPr>
                <w:rFonts w:ascii="Times New Roman" w:hAnsi="Times New Roman" w:cs="Times New Roman"/>
                <w:sz w:val="20"/>
                <w:szCs w:val="24"/>
                <w:lang w:val="pt-BR"/>
              </w:rPr>
              <w:t>especificado;</w:t>
            </w:r>
          </w:p>
          <w:p w:rsidR="007320CE" w:rsidRPr="002B4E11" w:rsidRDefault="007320CE" w:rsidP="006E2A1A">
            <w:pPr>
              <w:pStyle w:val="TableParagraph"/>
              <w:numPr>
                <w:ilvl w:val="0"/>
                <w:numId w:val="14"/>
              </w:numPr>
              <w:tabs>
                <w:tab w:val="left" w:pos="217"/>
              </w:tabs>
              <w:ind w:right="105"/>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Contanto</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que</w:t>
            </w:r>
            <w:r w:rsidRPr="002B4E11">
              <w:rPr>
                <w:rFonts w:ascii="Times New Roman" w:hAnsi="Times New Roman" w:cs="Times New Roman"/>
                <w:spacing w:val="-3"/>
                <w:sz w:val="20"/>
                <w:szCs w:val="24"/>
                <w:lang w:val="pt-BR"/>
              </w:rPr>
              <w:t xml:space="preserve"> </w:t>
            </w:r>
            <w:r w:rsidRPr="002B4E11">
              <w:rPr>
                <w:rFonts w:ascii="Times New Roman" w:hAnsi="Times New Roman" w:cs="Times New Roman"/>
                <w:sz w:val="20"/>
                <w:szCs w:val="24"/>
                <w:lang w:val="pt-BR"/>
              </w:rPr>
              <w:t>o</w:t>
            </w:r>
            <w:r w:rsidRPr="002B4E11">
              <w:rPr>
                <w:rFonts w:ascii="Times New Roman" w:hAnsi="Times New Roman" w:cs="Times New Roman"/>
                <w:spacing w:val="-1"/>
                <w:sz w:val="20"/>
                <w:szCs w:val="24"/>
                <w:lang w:val="pt-BR"/>
              </w:rPr>
              <w:t xml:space="preserve"> </w:t>
            </w:r>
            <w:r w:rsidRPr="002B4E11">
              <w:rPr>
                <w:rFonts w:ascii="Times New Roman" w:hAnsi="Times New Roman" w:cs="Times New Roman"/>
                <w:sz w:val="20"/>
                <w:szCs w:val="24"/>
                <w:lang w:val="pt-BR"/>
              </w:rPr>
              <w:t>valor</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da</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ação</w:t>
            </w:r>
            <w:r w:rsidRPr="002B4E11">
              <w:rPr>
                <w:rFonts w:ascii="Times New Roman" w:hAnsi="Times New Roman" w:cs="Times New Roman"/>
                <w:spacing w:val="-3"/>
                <w:sz w:val="20"/>
                <w:szCs w:val="24"/>
                <w:lang w:val="pt-BR"/>
              </w:rPr>
              <w:t xml:space="preserve"> </w:t>
            </w:r>
            <w:r w:rsidRPr="002B4E11">
              <w:rPr>
                <w:rFonts w:ascii="Times New Roman" w:hAnsi="Times New Roman" w:cs="Times New Roman"/>
                <w:sz w:val="20"/>
                <w:szCs w:val="24"/>
                <w:lang w:val="pt-BR"/>
              </w:rPr>
              <w:t>esteja</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acima</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do</w:t>
            </w:r>
            <w:r w:rsidRPr="002B4E11">
              <w:rPr>
                <w:rFonts w:ascii="Times New Roman" w:hAnsi="Times New Roman" w:cs="Times New Roman"/>
                <w:spacing w:val="-3"/>
                <w:sz w:val="20"/>
                <w:szCs w:val="24"/>
                <w:lang w:val="pt-BR"/>
              </w:rPr>
              <w:t xml:space="preserve"> </w:t>
            </w:r>
            <w:r w:rsidRPr="002B4E11">
              <w:rPr>
                <w:rFonts w:ascii="Times New Roman" w:hAnsi="Times New Roman" w:cs="Times New Roman"/>
                <w:sz w:val="20"/>
                <w:szCs w:val="24"/>
                <w:lang w:val="pt-BR"/>
              </w:rPr>
              <w:t>valor</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de</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exercício</w:t>
            </w:r>
            <w:r w:rsidRPr="002B4E11">
              <w:rPr>
                <w:rFonts w:ascii="Times New Roman" w:hAnsi="Times New Roman" w:cs="Times New Roman"/>
                <w:spacing w:val="-3"/>
                <w:sz w:val="20"/>
                <w:szCs w:val="24"/>
                <w:lang w:val="pt-BR"/>
              </w:rPr>
              <w:t xml:space="preserve"> </w:t>
            </w:r>
            <w:r w:rsidRPr="002B4E11">
              <w:rPr>
                <w:rFonts w:ascii="Times New Roman" w:hAnsi="Times New Roman" w:cs="Times New Roman"/>
                <w:sz w:val="20"/>
                <w:szCs w:val="24"/>
                <w:lang w:val="pt-BR"/>
              </w:rPr>
              <w:t>a</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opção</w:t>
            </w:r>
            <w:r w:rsidRPr="002B4E11">
              <w:rPr>
                <w:rFonts w:ascii="Times New Roman" w:hAnsi="Times New Roman" w:cs="Times New Roman"/>
                <w:spacing w:val="-3"/>
                <w:sz w:val="20"/>
                <w:szCs w:val="24"/>
                <w:lang w:val="pt-BR"/>
              </w:rPr>
              <w:t xml:space="preserve"> </w:t>
            </w:r>
            <w:r w:rsidRPr="002B4E11">
              <w:rPr>
                <w:rFonts w:ascii="Times New Roman" w:hAnsi="Times New Roman" w:cs="Times New Roman"/>
                <w:sz w:val="20"/>
                <w:szCs w:val="24"/>
                <w:lang w:val="pt-BR"/>
              </w:rPr>
              <w:t>terá</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valor</w:t>
            </w:r>
            <w:r w:rsidRPr="002B4E11">
              <w:rPr>
                <w:rFonts w:ascii="Times New Roman" w:hAnsi="Times New Roman" w:cs="Times New Roman"/>
                <w:spacing w:val="-4"/>
                <w:sz w:val="20"/>
                <w:szCs w:val="24"/>
                <w:lang w:val="pt-BR"/>
              </w:rPr>
              <w:t xml:space="preserve"> </w:t>
            </w:r>
            <w:r w:rsidRPr="002B4E11">
              <w:rPr>
                <w:rFonts w:ascii="Times New Roman" w:hAnsi="Times New Roman" w:cs="Times New Roman"/>
                <w:sz w:val="20"/>
                <w:szCs w:val="24"/>
                <w:lang w:val="pt-BR"/>
              </w:rPr>
              <w:t>para o</w:t>
            </w:r>
            <w:r w:rsidRPr="002B4E11">
              <w:rPr>
                <w:rFonts w:ascii="Times New Roman" w:hAnsi="Times New Roman" w:cs="Times New Roman"/>
                <w:spacing w:val="-7"/>
                <w:sz w:val="20"/>
                <w:szCs w:val="24"/>
                <w:lang w:val="pt-BR"/>
              </w:rPr>
              <w:t xml:space="preserve"> </w:t>
            </w:r>
            <w:r w:rsidRPr="002B4E11">
              <w:rPr>
                <w:rFonts w:ascii="Times New Roman" w:hAnsi="Times New Roman" w:cs="Times New Roman"/>
                <w:sz w:val="20"/>
                <w:szCs w:val="24"/>
                <w:lang w:val="pt-BR"/>
              </w:rPr>
              <w:t>executivo;</w:t>
            </w:r>
          </w:p>
          <w:p w:rsidR="007320CE" w:rsidRPr="002B4E11" w:rsidRDefault="007320CE" w:rsidP="006E2A1A">
            <w:pPr>
              <w:pStyle w:val="BodyText"/>
              <w:numPr>
                <w:ilvl w:val="0"/>
                <w:numId w:val="14"/>
              </w:numPr>
              <w:jc w:val="both"/>
              <w:rPr>
                <w:rFonts w:ascii="Times New Roman" w:hAnsi="Times New Roman" w:cs="Times New Roman"/>
                <w:sz w:val="20"/>
                <w:lang w:val="pt-BR"/>
              </w:rPr>
            </w:pPr>
            <w:r w:rsidRPr="002B4E11">
              <w:rPr>
                <w:rFonts w:ascii="Times New Roman" w:hAnsi="Times New Roman" w:cs="Times New Roman"/>
                <w:sz w:val="20"/>
                <w:lang w:val="pt-BR"/>
              </w:rPr>
              <w:t>Para se obter o lucro faz-se necessário comprar as ações e depois</w:t>
            </w:r>
            <w:r w:rsidRPr="002B4E11">
              <w:rPr>
                <w:rFonts w:ascii="Times New Roman" w:hAnsi="Times New Roman" w:cs="Times New Roman"/>
                <w:spacing w:val="-22"/>
                <w:sz w:val="20"/>
                <w:lang w:val="pt-BR"/>
              </w:rPr>
              <w:t xml:space="preserve"> </w:t>
            </w:r>
            <w:r w:rsidRPr="002B4E11">
              <w:rPr>
                <w:rFonts w:ascii="Times New Roman" w:hAnsi="Times New Roman" w:cs="Times New Roman"/>
                <w:sz w:val="20"/>
                <w:lang w:val="pt-BR"/>
              </w:rPr>
              <w:t>vendê-las.</w:t>
            </w:r>
          </w:p>
        </w:tc>
      </w:tr>
      <w:tr w:rsidR="007320CE" w:rsidRPr="00351C7E" w:rsidTr="00AB7C88">
        <w:trPr>
          <w:trHeight w:hRule="exact" w:val="227"/>
        </w:trPr>
        <w:tc>
          <w:tcPr>
            <w:tcW w:w="9215" w:type="dxa"/>
            <w:tcBorders>
              <w:top w:val="single" w:sz="4" w:space="0" w:color="auto"/>
              <w:bottom w:val="single" w:sz="4" w:space="0" w:color="auto"/>
            </w:tcBorders>
          </w:tcPr>
          <w:p w:rsidR="007320CE" w:rsidRPr="002B4E11" w:rsidRDefault="007320CE" w:rsidP="00567F3A">
            <w:pPr>
              <w:pStyle w:val="BodyText"/>
              <w:jc w:val="both"/>
              <w:rPr>
                <w:rFonts w:ascii="Times New Roman" w:hAnsi="Times New Roman" w:cs="Times New Roman"/>
                <w:sz w:val="20"/>
                <w:lang w:val="pt-BR"/>
              </w:rPr>
            </w:pPr>
            <w:r w:rsidRPr="002B4E11">
              <w:rPr>
                <w:rFonts w:ascii="Times New Roman" w:hAnsi="Times New Roman" w:cs="Times New Roman"/>
                <w:i/>
                <w:sz w:val="20"/>
                <w:lang w:val="pt-BR"/>
              </w:rPr>
              <w:lastRenderedPageBreak/>
              <w:t xml:space="preserve">Stock Appreciation Rights – SARs </w:t>
            </w:r>
            <w:r w:rsidRPr="002B4E11">
              <w:rPr>
                <w:rFonts w:ascii="Times New Roman" w:hAnsi="Times New Roman" w:cs="Times New Roman"/>
                <w:sz w:val="20"/>
                <w:lang w:val="pt-BR"/>
              </w:rPr>
              <w:t>(Direitos de valorização de ações)</w:t>
            </w:r>
          </w:p>
        </w:tc>
      </w:tr>
      <w:tr w:rsidR="007320CE" w:rsidRPr="00351C7E" w:rsidTr="00AB7C88">
        <w:trPr>
          <w:trHeight w:val="227"/>
        </w:trPr>
        <w:tc>
          <w:tcPr>
            <w:tcW w:w="9215" w:type="dxa"/>
            <w:tcBorders>
              <w:top w:val="single" w:sz="4" w:space="0" w:color="auto"/>
              <w:bottom w:val="single" w:sz="4" w:space="0" w:color="auto"/>
            </w:tcBorders>
          </w:tcPr>
          <w:p w:rsidR="007320CE" w:rsidRPr="002B4E11" w:rsidRDefault="007320CE" w:rsidP="006E2A1A">
            <w:pPr>
              <w:pStyle w:val="TableParagraph"/>
              <w:numPr>
                <w:ilvl w:val="0"/>
                <w:numId w:val="13"/>
              </w:numPr>
              <w:tabs>
                <w:tab w:val="left" w:pos="306"/>
              </w:tabs>
              <w:ind w:right="104"/>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Pagáveis em ações ou em dinheiro (ou, em alternativa, para sociedades de responsabilidade limitada, um "interesse em</w:t>
            </w:r>
            <w:r w:rsidRPr="002B4E11">
              <w:rPr>
                <w:rFonts w:ascii="Times New Roman" w:hAnsi="Times New Roman" w:cs="Times New Roman"/>
                <w:spacing w:val="-19"/>
                <w:sz w:val="20"/>
                <w:szCs w:val="24"/>
                <w:lang w:val="pt-BR"/>
              </w:rPr>
              <w:t xml:space="preserve"> </w:t>
            </w:r>
            <w:r w:rsidRPr="002B4E11">
              <w:rPr>
                <w:rFonts w:ascii="Times New Roman" w:hAnsi="Times New Roman" w:cs="Times New Roman"/>
                <w:sz w:val="20"/>
                <w:szCs w:val="24"/>
                <w:lang w:val="pt-BR"/>
              </w:rPr>
              <w:t>lucros");</w:t>
            </w:r>
          </w:p>
          <w:p w:rsidR="007320CE" w:rsidRPr="002B4E11" w:rsidRDefault="007320CE" w:rsidP="006E2A1A">
            <w:pPr>
              <w:pStyle w:val="TableParagraph"/>
              <w:numPr>
                <w:ilvl w:val="0"/>
                <w:numId w:val="13"/>
              </w:numPr>
              <w:tabs>
                <w:tab w:val="left" w:pos="219"/>
              </w:tabs>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Não dá ao executivo os direitos de acionistas, por exemplo, receber</w:t>
            </w:r>
            <w:r w:rsidRPr="002B4E11">
              <w:rPr>
                <w:rFonts w:ascii="Times New Roman" w:hAnsi="Times New Roman" w:cs="Times New Roman"/>
                <w:spacing w:val="-32"/>
                <w:sz w:val="20"/>
                <w:szCs w:val="24"/>
                <w:lang w:val="pt-BR"/>
              </w:rPr>
              <w:t xml:space="preserve"> </w:t>
            </w:r>
            <w:r w:rsidRPr="002B4E11">
              <w:rPr>
                <w:rFonts w:ascii="Times New Roman" w:hAnsi="Times New Roman" w:cs="Times New Roman"/>
                <w:sz w:val="20"/>
                <w:szCs w:val="24"/>
                <w:lang w:val="pt-BR"/>
              </w:rPr>
              <w:t>dividendos;</w:t>
            </w:r>
          </w:p>
          <w:p w:rsidR="007320CE" w:rsidRPr="002B4E11" w:rsidRDefault="007320CE" w:rsidP="006E2A1A">
            <w:pPr>
              <w:pStyle w:val="TableParagraph"/>
              <w:numPr>
                <w:ilvl w:val="0"/>
                <w:numId w:val="13"/>
              </w:numPr>
              <w:tabs>
                <w:tab w:val="left" w:pos="250"/>
              </w:tabs>
              <w:ind w:right="99"/>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Permite que o executivo receba a apreciação no patrimônio sobre o valor justo de mercado da data da</w:t>
            </w:r>
            <w:r w:rsidRPr="002B4E11">
              <w:rPr>
                <w:rFonts w:ascii="Times New Roman" w:hAnsi="Times New Roman" w:cs="Times New Roman"/>
                <w:spacing w:val="-14"/>
                <w:sz w:val="20"/>
                <w:szCs w:val="24"/>
                <w:lang w:val="pt-BR"/>
              </w:rPr>
              <w:t xml:space="preserve"> </w:t>
            </w:r>
            <w:r w:rsidRPr="002B4E11">
              <w:rPr>
                <w:rFonts w:ascii="Times New Roman" w:hAnsi="Times New Roman" w:cs="Times New Roman"/>
                <w:sz w:val="20"/>
                <w:szCs w:val="24"/>
                <w:lang w:val="pt-BR"/>
              </w:rPr>
              <w:t>concessão;</w:t>
            </w:r>
          </w:p>
          <w:p w:rsidR="007320CE" w:rsidRPr="002B4E11" w:rsidRDefault="007320CE" w:rsidP="006E2A1A">
            <w:pPr>
              <w:pStyle w:val="TableParagraph"/>
              <w:numPr>
                <w:ilvl w:val="0"/>
                <w:numId w:val="13"/>
              </w:numPr>
              <w:tabs>
                <w:tab w:val="left" w:pos="210"/>
              </w:tabs>
              <w:ind w:right="105"/>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As</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empresas</w:t>
            </w:r>
            <w:r w:rsidRPr="002B4E11">
              <w:rPr>
                <w:rFonts w:ascii="Times New Roman" w:hAnsi="Times New Roman" w:cs="Times New Roman"/>
                <w:spacing w:val="-15"/>
                <w:sz w:val="20"/>
                <w:szCs w:val="24"/>
                <w:lang w:val="pt-BR"/>
              </w:rPr>
              <w:t xml:space="preserve"> </w:t>
            </w:r>
            <w:r w:rsidRPr="002B4E11">
              <w:rPr>
                <w:rFonts w:ascii="Times New Roman" w:hAnsi="Times New Roman" w:cs="Times New Roman"/>
                <w:sz w:val="20"/>
                <w:szCs w:val="24"/>
                <w:lang w:val="pt-BR"/>
              </w:rPr>
              <w:t>passam</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a</w:t>
            </w:r>
            <w:r w:rsidRPr="002B4E11">
              <w:rPr>
                <w:rFonts w:ascii="Times New Roman" w:hAnsi="Times New Roman" w:cs="Times New Roman"/>
                <w:spacing w:val="-15"/>
                <w:sz w:val="20"/>
                <w:szCs w:val="24"/>
                <w:lang w:val="pt-BR"/>
              </w:rPr>
              <w:t xml:space="preserve"> </w:t>
            </w:r>
            <w:r w:rsidRPr="002B4E11">
              <w:rPr>
                <w:rFonts w:ascii="Times New Roman" w:hAnsi="Times New Roman" w:cs="Times New Roman"/>
                <w:sz w:val="20"/>
                <w:szCs w:val="24"/>
                <w:lang w:val="pt-BR"/>
              </w:rPr>
              <w:t>recompensar</w:t>
            </w:r>
            <w:r w:rsidRPr="002B4E11">
              <w:rPr>
                <w:rFonts w:ascii="Times New Roman" w:hAnsi="Times New Roman" w:cs="Times New Roman"/>
                <w:spacing w:val="-14"/>
                <w:sz w:val="20"/>
                <w:szCs w:val="24"/>
                <w:lang w:val="pt-BR"/>
              </w:rPr>
              <w:t xml:space="preserve"> </w:t>
            </w:r>
            <w:r w:rsidRPr="002B4E11">
              <w:rPr>
                <w:rFonts w:ascii="Times New Roman" w:hAnsi="Times New Roman" w:cs="Times New Roman"/>
                <w:sz w:val="20"/>
                <w:szCs w:val="24"/>
                <w:lang w:val="pt-BR"/>
              </w:rPr>
              <w:t>seus</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executivos</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apenas</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depois</w:t>
            </w:r>
            <w:r w:rsidRPr="002B4E11">
              <w:rPr>
                <w:rFonts w:ascii="Times New Roman" w:hAnsi="Times New Roman" w:cs="Times New Roman"/>
                <w:spacing w:val="-16"/>
                <w:sz w:val="20"/>
                <w:szCs w:val="24"/>
                <w:lang w:val="pt-BR"/>
              </w:rPr>
              <w:t xml:space="preserve"> </w:t>
            </w:r>
            <w:r w:rsidRPr="002B4E11">
              <w:rPr>
                <w:rFonts w:ascii="Times New Roman" w:hAnsi="Times New Roman" w:cs="Times New Roman"/>
                <w:sz w:val="20"/>
                <w:szCs w:val="24"/>
                <w:lang w:val="pt-BR"/>
              </w:rPr>
              <w:t>da</w:t>
            </w:r>
            <w:r w:rsidRPr="002B4E11">
              <w:rPr>
                <w:rFonts w:ascii="Times New Roman" w:hAnsi="Times New Roman" w:cs="Times New Roman"/>
                <w:spacing w:val="-15"/>
                <w:sz w:val="20"/>
                <w:szCs w:val="24"/>
                <w:lang w:val="pt-BR"/>
              </w:rPr>
              <w:t xml:space="preserve"> </w:t>
            </w:r>
            <w:r w:rsidRPr="002B4E11">
              <w:rPr>
                <w:rFonts w:ascii="Times New Roman" w:hAnsi="Times New Roman" w:cs="Times New Roman"/>
                <w:sz w:val="20"/>
                <w:szCs w:val="24"/>
                <w:lang w:val="pt-BR"/>
              </w:rPr>
              <w:t>data</w:t>
            </w:r>
            <w:r w:rsidRPr="002B4E11">
              <w:rPr>
                <w:rFonts w:ascii="Times New Roman" w:hAnsi="Times New Roman" w:cs="Times New Roman"/>
                <w:spacing w:val="-17"/>
                <w:sz w:val="20"/>
                <w:szCs w:val="24"/>
                <w:lang w:val="pt-BR"/>
              </w:rPr>
              <w:t xml:space="preserve"> </w:t>
            </w:r>
            <w:r w:rsidRPr="002B4E11">
              <w:rPr>
                <w:rFonts w:ascii="Times New Roman" w:hAnsi="Times New Roman" w:cs="Times New Roman"/>
                <w:sz w:val="20"/>
                <w:szCs w:val="24"/>
                <w:lang w:val="pt-BR"/>
              </w:rPr>
              <w:t>de</w:t>
            </w:r>
            <w:r w:rsidRPr="002B4E11">
              <w:rPr>
                <w:rFonts w:ascii="Times New Roman" w:hAnsi="Times New Roman" w:cs="Times New Roman"/>
                <w:spacing w:val="-15"/>
                <w:sz w:val="20"/>
                <w:szCs w:val="24"/>
                <w:lang w:val="pt-BR"/>
              </w:rPr>
              <w:t xml:space="preserve"> </w:t>
            </w:r>
            <w:r w:rsidRPr="002B4E11">
              <w:rPr>
                <w:rFonts w:ascii="Times New Roman" w:hAnsi="Times New Roman" w:cs="Times New Roman"/>
                <w:sz w:val="20"/>
                <w:szCs w:val="24"/>
                <w:lang w:val="pt-BR"/>
              </w:rPr>
              <w:t>concessão, assim</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não</w:t>
            </w:r>
            <w:r w:rsidRPr="002B4E11">
              <w:rPr>
                <w:rFonts w:ascii="Times New Roman" w:hAnsi="Times New Roman" w:cs="Times New Roman"/>
                <w:spacing w:val="-11"/>
                <w:sz w:val="20"/>
                <w:szCs w:val="24"/>
                <w:lang w:val="pt-BR"/>
              </w:rPr>
              <w:t xml:space="preserve"> </w:t>
            </w:r>
            <w:r w:rsidRPr="002B4E11">
              <w:rPr>
                <w:rFonts w:ascii="Times New Roman" w:hAnsi="Times New Roman" w:cs="Times New Roman"/>
                <w:sz w:val="20"/>
                <w:szCs w:val="24"/>
                <w:lang w:val="pt-BR"/>
              </w:rPr>
              <w:t>se</w:t>
            </w:r>
            <w:r w:rsidRPr="002B4E11">
              <w:rPr>
                <w:rFonts w:ascii="Times New Roman" w:hAnsi="Times New Roman" w:cs="Times New Roman"/>
                <w:spacing w:val="-10"/>
                <w:sz w:val="20"/>
                <w:szCs w:val="24"/>
                <w:lang w:val="pt-BR"/>
              </w:rPr>
              <w:t xml:space="preserve"> </w:t>
            </w:r>
            <w:r w:rsidRPr="002B4E11">
              <w:rPr>
                <w:rFonts w:ascii="Times New Roman" w:hAnsi="Times New Roman" w:cs="Times New Roman"/>
                <w:sz w:val="20"/>
                <w:szCs w:val="24"/>
                <w:lang w:val="pt-BR"/>
              </w:rPr>
              <w:t>usufrui</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dos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benefícios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de</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eventos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passados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como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no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caso</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das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ações</w:t>
            </w:r>
            <w:r w:rsidRPr="002B4E11">
              <w:rPr>
                <w:rFonts w:ascii="Times New Roman" w:hAnsi="Times New Roman" w:cs="Times New Roman"/>
                <w:spacing w:val="-12"/>
                <w:sz w:val="20"/>
                <w:szCs w:val="24"/>
                <w:lang w:val="pt-BR"/>
              </w:rPr>
              <w:t xml:space="preserve"> </w:t>
            </w:r>
            <w:r w:rsidRPr="002B4E11">
              <w:rPr>
                <w:rFonts w:ascii="Times New Roman" w:hAnsi="Times New Roman" w:cs="Times New Roman"/>
                <w:sz w:val="20"/>
                <w:szCs w:val="24"/>
                <w:lang w:val="pt-BR"/>
              </w:rPr>
              <w:t>restritas;</w:t>
            </w:r>
          </w:p>
          <w:p w:rsidR="007320CE" w:rsidRPr="002B4E11" w:rsidRDefault="007320CE" w:rsidP="006E2A1A">
            <w:pPr>
              <w:pStyle w:val="TableParagraph"/>
              <w:numPr>
                <w:ilvl w:val="0"/>
                <w:numId w:val="13"/>
              </w:numPr>
              <w:tabs>
                <w:tab w:val="left" w:pos="219"/>
              </w:tabs>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Os executivos são recompensados apenas se o valor da companhia</w:t>
            </w:r>
            <w:r w:rsidRPr="002B4E11">
              <w:rPr>
                <w:rFonts w:ascii="Times New Roman" w:hAnsi="Times New Roman" w:cs="Times New Roman"/>
                <w:spacing w:val="-31"/>
                <w:sz w:val="20"/>
                <w:szCs w:val="24"/>
                <w:lang w:val="pt-BR"/>
              </w:rPr>
              <w:t xml:space="preserve"> </w:t>
            </w:r>
            <w:r w:rsidRPr="002B4E11">
              <w:rPr>
                <w:rFonts w:ascii="Times New Roman" w:hAnsi="Times New Roman" w:cs="Times New Roman"/>
                <w:sz w:val="20"/>
                <w:szCs w:val="24"/>
                <w:lang w:val="pt-BR"/>
              </w:rPr>
              <w:t>aumentar;</w:t>
            </w:r>
          </w:p>
          <w:p w:rsidR="007320CE" w:rsidRPr="002B4E11" w:rsidRDefault="007320CE" w:rsidP="006E2A1A">
            <w:pPr>
              <w:pStyle w:val="TableParagraph"/>
              <w:numPr>
                <w:ilvl w:val="0"/>
                <w:numId w:val="13"/>
              </w:numPr>
              <w:tabs>
                <w:tab w:val="left" w:pos="234"/>
              </w:tabs>
              <w:ind w:right="106"/>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 xml:space="preserve">São preferíveis em comparação com as </w:t>
            </w:r>
            <w:r w:rsidRPr="002B4E11">
              <w:rPr>
                <w:rFonts w:ascii="Times New Roman" w:hAnsi="Times New Roman" w:cs="Times New Roman"/>
                <w:i/>
                <w:sz w:val="20"/>
                <w:szCs w:val="24"/>
                <w:lang w:val="pt-BR"/>
              </w:rPr>
              <w:t>stock options</w:t>
            </w:r>
            <w:r w:rsidRPr="002B4E11">
              <w:rPr>
                <w:rFonts w:ascii="Times New Roman" w:hAnsi="Times New Roman" w:cs="Times New Roman"/>
                <w:sz w:val="20"/>
                <w:szCs w:val="24"/>
                <w:lang w:val="pt-BR"/>
              </w:rPr>
              <w:t>, pois envolvem menos diluição para os</w:t>
            </w:r>
            <w:r w:rsidRPr="002B4E11">
              <w:rPr>
                <w:rFonts w:ascii="Times New Roman" w:hAnsi="Times New Roman" w:cs="Times New Roman"/>
                <w:spacing w:val="-9"/>
                <w:sz w:val="20"/>
                <w:szCs w:val="24"/>
                <w:lang w:val="pt-BR"/>
              </w:rPr>
              <w:t xml:space="preserve"> </w:t>
            </w:r>
            <w:r w:rsidR="00DB3397" w:rsidRPr="002B4E11">
              <w:rPr>
                <w:rFonts w:ascii="Times New Roman" w:hAnsi="Times New Roman" w:cs="Times New Roman"/>
                <w:sz w:val="20"/>
                <w:szCs w:val="24"/>
                <w:lang w:val="pt-BR"/>
              </w:rPr>
              <w:t>acionistas e evitam</w:t>
            </w:r>
            <w:r w:rsidR="00DB3397" w:rsidRPr="002B4E11">
              <w:rPr>
                <w:rFonts w:ascii="Times New Roman" w:hAnsi="Times New Roman" w:cs="Times New Roman"/>
                <w:spacing w:val="-8"/>
                <w:sz w:val="20"/>
                <w:szCs w:val="24"/>
                <w:lang w:val="pt-BR"/>
              </w:rPr>
              <w:t xml:space="preserve"> </w:t>
            </w:r>
            <w:r w:rsidR="00DB3397" w:rsidRPr="002B4E11">
              <w:rPr>
                <w:rFonts w:ascii="Times New Roman" w:hAnsi="Times New Roman" w:cs="Times New Roman"/>
                <w:sz w:val="20"/>
                <w:szCs w:val="24"/>
                <w:lang w:val="pt-BR"/>
              </w:rPr>
              <w:t>os</w:t>
            </w:r>
            <w:r w:rsidR="00DB3397" w:rsidRPr="002B4E11">
              <w:rPr>
                <w:rFonts w:ascii="Times New Roman" w:hAnsi="Times New Roman" w:cs="Times New Roman"/>
                <w:spacing w:val="-7"/>
                <w:sz w:val="20"/>
                <w:szCs w:val="24"/>
                <w:lang w:val="pt-BR"/>
              </w:rPr>
              <w:t xml:space="preserve"> </w:t>
            </w:r>
            <w:r w:rsidR="00DB3397" w:rsidRPr="002B4E11">
              <w:rPr>
                <w:rFonts w:ascii="Times New Roman" w:hAnsi="Times New Roman" w:cs="Times New Roman"/>
                <w:sz w:val="20"/>
                <w:szCs w:val="24"/>
                <w:lang w:val="pt-BR"/>
              </w:rPr>
              <w:t>custos</w:t>
            </w:r>
            <w:r w:rsidR="00DB3397" w:rsidRPr="002B4E11">
              <w:rPr>
                <w:rFonts w:ascii="Times New Roman" w:hAnsi="Times New Roman" w:cs="Times New Roman"/>
                <w:spacing w:val="-7"/>
                <w:sz w:val="20"/>
                <w:szCs w:val="24"/>
                <w:lang w:val="pt-BR"/>
              </w:rPr>
              <w:t xml:space="preserve"> </w:t>
            </w:r>
            <w:r w:rsidR="00DB3397" w:rsidRPr="002B4E11">
              <w:rPr>
                <w:rFonts w:ascii="Times New Roman" w:hAnsi="Times New Roman" w:cs="Times New Roman"/>
                <w:sz w:val="20"/>
                <w:szCs w:val="24"/>
                <w:lang w:val="pt-BR"/>
              </w:rPr>
              <w:t>de</w:t>
            </w:r>
            <w:r w:rsidR="00DB3397" w:rsidRPr="002B4E11">
              <w:rPr>
                <w:rFonts w:ascii="Times New Roman" w:hAnsi="Times New Roman" w:cs="Times New Roman"/>
                <w:spacing w:val="-6"/>
                <w:sz w:val="20"/>
                <w:szCs w:val="24"/>
                <w:lang w:val="pt-BR"/>
              </w:rPr>
              <w:t xml:space="preserve"> </w:t>
            </w:r>
            <w:r w:rsidR="00DB3397" w:rsidRPr="002B4E11">
              <w:rPr>
                <w:rFonts w:ascii="Times New Roman" w:hAnsi="Times New Roman" w:cs="Times New Roman"/>
                <w:sz w:val="20"/>
                <w:szCs w:val="24"/>
                <w:lang w:val="pt-BR"/>
              </w:rPr>
              <w:t>transação</w:t>
            </w:r>
            <w:r w:rsidR="00DB3397" w:rsidRPr="002B4E11">
              <w:rPr>
                <w:rFonts w:ascii="Times New Roman" w:hAnsi="Times New Roman" w:cs="Times New Roman"/>
                <w:spacing w:val="-5"/>
                <w:sz w:val="20"/>
                <w:szCs w:val="24"/>
                <w:lang w:val="pt-BR"/>
              </w:rPr>
              <w:t xml:space="preserve"> </w:t>
            </w:r>
            <w:r w:rsidR="00DB3397" w:rsidRPr="002B4E11">
              <w:rPr>
                <w:rFonts w:ascii="Times New Roman" w:hAnsi="Times New Roman" w:cs="Times New Roman"/>
                <w:sz w:val="20"/>
                <w:szCs w:val="24"/>
                <w:lang w:val="pt-BR"/>
              </w:rPr>
              <w:t>associados</w:t>
            </w:r>
            <w:r w:rsidR="00DB3397" w:rsidRPr="002B4E11">
              <w:rPr>
                <w:rFonts w:ascii="Times New Roman" w:hAnsi="Times New Roman" w:cs="Times New Roman"/>
                <w:spacing w:val="-7"/>
                <w:sz w:val="20"/>
                <w:szCs w:val="24"/>
                <w:lang w:val="pt-BR"/>
              </w:rPr>
              <w:t xml:space="preserve"> </w:t>
            </w:r>
            <w:r w:rsidR="00DB3397" w:rsidRPr="002B4E11">
              <w:rPr>
                <w:rFonts w:ascii="Times New Roman" w:hAnsi="Times New Roman" w:cs="Times New Roman"/>
                <w:sz w:val="20"/>
                <w:szCs w:val="24"/>
                <w:lang w:val="pt-BR"/>
              </w:rPr>
              <w:t xml:space="preserve">ao exercício das opções seguido da venda, porém a empresa prefere as </w:t>
            </w:r>
            <w:r w:rsidR="00DB3397" w:rsidRPr="002B4E11">
              <w:rPr>
                <w:rFonts w:ascii="Times New Roman" w:hAnsi="Times New Roman" w:cs="Times New Roman"/>
                <w:i/>
                <w:sz w:val="20"/>
                <w:szCs w:val="24"/>
                <w:lang w:val="pt-BR"/>
              </w:rPr>
              <w:t>stock</w:t>
            </w:r>
            <w:r w:rsidR="00DB3397" w:rsidRPr="002B4E11">
              <w:rPr>
                <w:rFonts w:ascii="Times New Roman" w:hAnsi="Times New Roman" w:cs="Times New Roman"/>
                <w:i/>
                <w:spacing w:val="-28"/>
                <w:sz w:val="20"/>
                <w:szCs w:val="24"/>
                <w:lang w:val="pt-BR"/>
              </w:rPr>
              <w:t xml:space="preserve"> </w:t>
            </w:r>
            <w:r w:rsidR="00DB3397" w:rsidRPr="002B4E11">
              <w:rPr>
                <w:rFonts w:ascii="Times New Roman" w:hAnsi="Times New Roman" w:cs="Times New Roman"/>
                <w:i/>
                <w:sz w:val="20"/>
                <w:szCs w:val="24"/>
                <w:lang w:val="pt-BR"/>
              </w:rPr>
              <w:t>options</w:t>
            </w:r>
            <w:r w:rsidR="00DB3397" w:rsidRPr="002B4E11">
              <w:rPr>
                <w:rFonts w:ascii="Times New Roman" w:hAnsi="Times New Roman" w:cs="Times New Roman"/>
                <w:sz w:val="20"/>
                <w:szCs w:val="24"/>
                <w:lang w:val="pt-BR"/>
              </w:rPr>
              <w:t>;</w:t>
            </w:r>
          </w:p>
          <w:p w:rsidR="007320CE" w:rsidRPr="002B4E11" w:rsidRDefault="007320CE" w:rsidP="00DB3397">
            <w:pPr>
              <w:pStyle w:val="TableParagraph"/>
              <w:numPr>
                <w:ilvl w:val="0"/>
                <w:numId w:val="13"/>
              </w:numPr>
              <w:tabs>
                <w:tab w:val="left" w:pos="214"/>
              </w:tabs>
              <w:ind w:right="102"/>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O</w:t>
            </w:r>
            <w:r w:rsidRPr="002B4E11">
              <w:rPr>
                <w:rFonts w:ascii="Times New Roman" w:hAnsi="Times New Roman" w:cs="Times New Roman"/>
                <w:spacing w:val="-7"/>
                <w:sz w:val="20"/>
                <w:szCs w:val="24"/>
                <w:lang w:val="pt-BR"/>
              </w:rPr>
              <w:t xml:space="preserve"> </w:t>
            </w:r>
            <w:r w:rsidRPr="002B4E11">
              <w:rPr>
                <w:rFonts w:ascii="Times New Roman" w:hAnsi="Times New Roman" w:cs="Times New Roman"/>
                <w:sz w:val="20"/>
                <w:szCs w:val="24"/>
                <w:lang w:val="pt-BR"/>
              </w:rPr>
              <w:t>detentor</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tem</w:t>
            </w:r>
            <w:r w:rsidRPr="002B4E11">
              <w:rPr>
                <w:rFonts w:ascii="Times New Roman" w:hAnsi="Times New Roman" w:cs="Times New Roman"/>
                <w:spacing w:val="-11"/>
                <w:sz w:val="20"/>
                <w:szCs w:val="24"/>
                <w:lang w:val="pt-BR"/>
              </w:rPr>
              <w:t xml:space="preserve"> </w:t>
            </w:r>
            <w:r w:rsidRPr="002B4E11">
              <w:rPr>
                <w:rFonts w:ascii="Times New Roman" w:hAnsi="Times New Roman" w:cs="Times New Roman"/>
                <w:sz w:val="20"/>
                <w:szCs w:val="24"/>
                <w:lang w:val="pt-BR"/>
              </w:rPr>
              <w:t>o</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direito</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de</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obter</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os</w:t>
            </w:r>
            <w:r w:rsidRPr="002B4E11">
              <w:rPr>
                <w:rFonts w:ascii="Times New Roman" w:hAnsi="Times New Roman" w:cs="Times New Roman"/>
                <w:spacing w:val="-7"/>
                <w:sz w:val="20"/>
                <w:szCs w:val="24"/>
                <w:lang w:val="pt-BR"/>
              </w:rPr>
              <w:t xml:space="preserve"> </w:t>
            </w:r>
            <w:r w:rsidRPr="002B4E11">
              <w:rPr>
                <w:rFonts w:ascii="Times New Roman" w:hAnsi="Times New Roman" w:cs="Times New Roman"/>
                <w:sz w:val="20"/>
                <w:szCs w:val="24"/>
                <w:lang w:val="pt-BR"/>
              </w:rPr>
              <w:t>benefícios</w:t>
            </w:r>
            <w:r w:rsidRPr="002B4E11">
              <w:rPr>
                <w:rFonts w:ascii="Times New Roman" w:hAnsi="Times New Roman" w:cs="Times New Roman"/>
                <w:spacing w:val="-7"/>
                <w:sz w:val="20"/>
                <w:szCs w:val="24"/>
                <w:lang w:val="pt-BR"/>
              </w:rPr>
              <w:t xml:space="preserve"> </w:t>
            </w:r>
            <w:r w:rsidRPr="002B4E11">
              <w:rPr>
                <w:rFonts w:ascii="Times New Roman" w:hAnsi="Times New Roman" w:cs="Times New Roman"/>
                <w:sz w:val="20"/>
                <w:szCs w:val="24"/>
                <w:lang w:val="pt-BR"/>
              </w:rPr>
              <w:t>de</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uma</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i/>
                <w:sz w:val="20"/>
                <w:szCs w:val="24"/>
                <w:lang w:val="pt-BR"/>
              </w:rPr>
              <w:t>stock</w:t>
            </w:r>
            <w:r w:rsidRPr="002B4E11">
              <w:rPr>
                <w:rFonts w:ascii="Times New Roman" w:hAnsi="Times New Roman" w:cs="Times New Roman"/>
                <w:i/>
                <w:spacing w:val="-6"/>
                <w:sz w:val="20"/>
                <w:szCs w:val="24"/>
                <w:lang w:val="pt-BR"/>
              </w:rPr>
              <w:t xml:space="preserve"> </w:t>
            </w:r>
            <w:r w:rsidRPr="002B4E11">
              <w:rPr>
                <w:rFonts w:ascii="Times New Roman" w:hAnsi="Times New Roman" w:cs="Times New Roman"/>
                <w:i/>
                <w:sz w:val="20"/>
                <w:szCs w:val="24"/>
                <w:lang w:val="pt-BR"/>
              </w:rPr>
              <w:t>option</w:t>
            </w:r>
            <w:r w:rsidRPr="002B4E11">
              <w:rPr>
                <w:rFonts w:ascii="Times New Roman" w:hAnsi="Times New Roman" w:cs="Times New Roman"/>
                <w:i/>
                <w:spacing w:val="-8"/>
                <w:sz w:val="20"/>
                <w:szCs w:val="24"/>
                <w:lang w:val="pt-BR"/>
              </w:rPr>
              <w:t xml:space="preserve"> </w:t>
            </w:r>
            <w:r w:rsidRPr="002B4E11">
              <w:rPr>
                <w:rFonts w:ascii="Times New Roman" w:hAnsi="Times New Roman" w:cs="Times New Roman"/>
                <w:sz w:val="20"/>
                <w:szCs w:val="24"/>
                <w:lang w:val="pt-BR"/>
              </w:rPr>
              <w:t>sem</w:t>
            </w:r>
            <w:r w:rsidRPr="002B4E11">
              <w:rPr>
                <w:rFonts w:ascii="Times New Roman" w:hAnsi="Times New Roman" w:cs="Times New Roman"/>
                <w:spacing w:val="-11"/>
                <w:sz w:val="20"/>
                <w:szCs w:val="24"/>
                <w:lang w:val="pt-BR"/>
              </w:rPr>
              <w:t xml:space="preserve"> </w:t>
            </w:r>
            <w:r w:rsidRPr="002B4E11">
              <w:rPr>
                <w:rFonts w:ascii="Times New Roman" w:hAnsi="Times New Roman" w:cs="Times New Roman"/>
                <w:sz w:val="20"/>
                <w:szCs w:val="24"/>
                <w:lang w:val="pt-BR"/>
              </w:rPr>
              <w:t>ter</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que</w:t>
            </w:r>
            <w:r w:rsidRPr="002B4E11">
              <w:rPr>
                <w:rFonts w:ascii="Times New Roman" w:hAnsi="Times New Roman" w:cs="Times New Roman"/>
                <w:spacing w:val="-6"/>
                <w:sz w:val="20"/>
                <w:szCs w:val="24"/>
                <w:lang w:val="pt-BR"/>
              </w:rPr>
              <w:t xml:space="preserve"> </w:t>
            </w:r>
            <w:r w:rsidRPr="002B4E11">
              <w:rPr>
                <w:rFonts w:ascii="Times New Roman" w:hAnsi="Times New Roman" w:cs="Times New Roman"/>
                <w:sz w:val="20"/>
                <w:szCs w:val="24"/>
                <w:lang w:val="pt-BR"/>
              </w:rPr>
              <w:t>adquirir a</w:t>
            </w:r>
            <w:r w:rsidRPr="002B4E11">
              <w:rPr>
                <w:rFonts w:ascii="Times New Roman" w:hAnsi="Times New Roman" w:cs="Times New Roman"/>
                <w:spacing w:val="-2"/>
                <w:sz w:val="20"/>
                <w:szCs w:val="24"/>
                <w:lang w:val="pt-BR"/>
              </w:rPr>
              <w:t xml:space="preserve"> </w:t>
            </w:r>
            <w:r w:rsidRPr="002B4E11">
              <w:rPr>
                <w:rFonts w:ascii="Times New Roman" w:hAnsi="Times New Roman" w:cs="Times New Roman"/>
                <w:sz w:val="20"/>
                <w:szCs w:val="24"/>
                <w:lang w:val="pt-BR"/>
              </w:rPr>
              <w:t>ação;</w:t>
            </w:r>
          </w:p>
        </w:tc>
      </w:tr>
      <w:tr w:rsidR="007320CE" w:rsidRPr="00351C7E" w:rsidTr="00AB7C88">
        <w:trPr>
          <w:trHeight w:hRule="exact" w:val="227"/>
        </w:trPr>
        <w:tc>
          <w:tcPr>
            <w:tcW w:w="9215" w:type="dxa"/>
            <w:tcBorders>
              <w:top w:val="single" w:sz="4" w:space="0" w:color="auto"/>
              <w:bottom w:val="single" w:sz="4" w:space="0" w:color="auto"/>
            </w:tcBorders>
          </w:tcPr>
          <w:p w:rsidR="007320CE" w:rsidRPr="002B4E11" w:rsidRDefault="007320CE" w:rsidP="00567F3A">
            <w:pPr>
              <w:pStyle w:val="BodyText"/>
              <w:jc w:val="both"/>
              <w:rPr>
                <w:rFonts w:ascii="Times New Roman" w:hAnsi="Times New Roman" w:cs="Times New Roman"/>
                <w:sz w:val="20"/>
                <w:lang w:val="pt-BR"/>
              </w:rPr>
            </w:pPr>
            <w:r w:rsidRPr="002B4E11">
              <w:rPr>
                <w:rFonts w:ascii="Times New Roman" w:hAnsi="Times New Roman" w:cs="Times New Roman"/>
                <w:sz w:val="20"/>
                <w:lang w:val="pt-BR"/>
              </w:rPr>
              <w:t>P</w:t>
            </w:r>
            <w:r w:rsidRPr="002B4E11">
              <w:rPr>
                <w:rFonts w:ascii="Times New Roman" w:hAnsi="Times New Roman" w:cs="Times New Roman"/>
                <w:i/>
                <w:sz w:val="20"/>
                <w:lang w:val="pt-BR"/>
              </w:rPr>
              <w:t xml:space="preserve">erformance Share Plans </w:t>
            </w:r>
            <w:r w:rsidRPr="002B4E11">
              <w:rPr>
                <w:rFonts w:ascii="Times New Roman" w:hAnsi="Times New Roman" w:cs="Times New Roman"/>
                <w:sz w:val="20"/>
                <w:lang w:val="pt-BR"/>
              </w:rPr>
              <w:t>(Planos de desempenho em ações)</w:t>
            </w:r>
          </w:p>
        </w:tc>
      </w:tr>
      <w:tr w:rsidR="007320CE" w:rsidRPr="00351C7E" w:rsidTr="00AB7C88">
        <w:trPr>
          <w:trHeight w:val="227"/>
        </w:trPr>
        <w:tc>
          <w:tcPr>
            <w:tcW w:w="9215" w:type="dxa"/>
            <w:tcBorders>
              <w:top w:val="single" w:sz="4" w:space="0" w:color="auto"/>
              <w:bottom w:val="single" w:sz="4" w:space="0" w:color="auto"/>
            </w:tcBorders>
          </w:tcPr>
          <w:p w:rsidR="007320CE" w:rsidRPr="002B4E11" w:rsidRDefault="007320CE" w:rsidP="006E2A1A">
            <w:pPr>
              <w:pStyle w:val="TableParagraph"/>
              <w:numPr>
                <w:ilvl w:val="0"/>
                <w:numId w:val="12"/>
              </w:numPr>
              <w:tabs>
                <w:tab w:val="left" w:pos="219"/>
              </w:tabs>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Pagáveis em ações ou</w:t>
            </w:r>
            <w:r w:rsidRPr="002B4E11">
              <w:rPr>
                <w:rFonts w:ascii="Times New Roman" w:hAnsi="Times New Roman" w:cs="Times New Roman"/>
                <w:spacing w:val="-10"/>
                <w:sz w:val="20"/>
                <w:szCs w:val="24"/>
                <w:lang w:val="pt-BR"/>
              </w:rPr>
              <w:t xml:space="preserve"> </w:t>
            </w:r>
            <w:r w:rsidRPr="002B4E11">
              <w:rPr>
                <w:rFonts w:ascii="Times New Roman" w:hAnsi="Times New Roman" w:cs="Times New Roman"/>
                <w:sz w:val="20"/>
                <w:szCs w:val="24"/>
                <w:lang w:val="pt-BR"/>
              </w:rPr>
              <w:t>dinheiro;</w:t>
            </w:r>
          </w:p>
          <w:p w:rsidR="007320CE" w:rsidRPr="002B4E11" w:rsidRDefault="007320CE" w:rsidP="006E2A1A">
            <w:pPr>
              <w:pStyle w:val="BodyText"/>
              <w:numPr>
                <w:ilvl w:val="0"/>
                <w:numId w:val="12"/>
              </w:numPr>
              <w:jc w:val="both"/>
              <w:rPr>
                <w:rFonts w:ascii="Times New Roman" w:hAnsi="Times New Roman" w:cs="Times New Roman"/>
                <w:sz w:val="20"/>
                <w:lang w:val="pt-BR"/>
              </w:rPr>
            </w:pPr>
            <w:r w:rsidRPr="002B4E11">
              <w:rPr>
                <w:rFonts w:ascii="Times New Roman" w:hAnsi="Times New Roman" w:cs="Times New Roman"/>
                <w:sz w:val="20"/>
                <w:lang w:val="pt-BR"/>
              </w:rPr>
              <w:t>São concedidos no início do período especificado, e o prêmio são obtidos assim que determinados objetivos de desempenho são</w:t>
            </w:r>
            <w:r w:rsidRPr="002B4E11">
              <w:rPr>
                <w:rFonts w:ascii="Times New Roman" w:hAnsi="Times New Roman" w:cs="Times New Roman"/>
                <w:spacing w:val="-25"/>
                <w:sz w:val="20"/>
                <w:lang w:val="pt-BR"/>
              </w:rPr>
              <w:t xml:space="preserve"> </w:t>
            </w:r>
            <w:r w:rsidRPr="002B4E11">
              <w:rPr>
                <w:rFonts w:ascii="Times New Roman" w:hAnsi="Times New Roman" w:cs="Times New Roman"/>
                <w:sz w:val="20"/>
                <w:lang w:val="pt-BR"/>
              </w:rPr>
              <w:t>atingidos.</w:t>
            </w:r>
          </w:p>
        </w:tc>
      </w:tr>
      <w:tr w:rsidR="007320CE" w:rsidRPr="002B4E11" w:rsidTr="00AB7C88">
        <w:trPr>
          <w:trHeight w:hRule="exact" w:val="227"/>
        </w:trPr>
        <w:tc>
          <w:tcPr>
            <w:tcW w:w="9215" w:type="dxa"/>
            <w:tcBorders>
              <w:top w:val="single" w:sz="4" w:space="0" w:color="auto"/>
              <w:bottom w:val="single" w:sz="4" w:space="0" w:color="auto"/>
            </w:tcBorders>
          </w:tcPr>
          <w:p w:rsidR="007320CE" w:rsidRPr="002B4E11" w:rsidRDefault="007320CE" w:rsidP="00567F3A">
            <w:pPr>
              <w:pStyle w:val="BodyText"/>
              <w:jc w:val="both"/>
              <w:rPr>
                <w:rFonts w:ascii="Times New Roman" w:hAnsi="Times New Roman" w:cs="Times New Roman"/>
                <w:sz w:val="20"/>
                <w:lang w:val="pt-BR"/>
              </w:rPr>
            </w:pPr>
            <w:r w:rsidRPr="002B4E11">
              <w:rPr>
                <w:rFonts w:ascii="Times New Roman" w:hAnsi="Times New Roman" w:cs="Times New Roman"/>
                <w:i/>
                <w:sz w:val="20"/>
              </w:rPr>
              <w:t xml:space="preserve">Restricted Stock </w:t>
            </w:r>
            <w:r w:rsidRPr="002B4E11">
              <w:rPr>
                <w:rFonts w:ascii="Times New Roman" w:hAnsi="Times New Roman" w:cs="Times New Roman"/>
                <w:sz w:val="20"/>
              </w:rPr>
              <w:t>(Ações Restritas)</w:t>
            </w:r>
          </w:p>
        </w:tc>
      </w:tr>
      <w:tr w:rsidR="007320CE" w:rsidRPr="00351C7E" w:rsidTr="00AB7C88">
        <w:trPr>
          <w:trHeight w:val="227"/>
        </w:trPr>
        <w:tc>
          <w:tcPr>
            <w:tcW w:w="9215" w:type="dxa"/>
            <w:tcBorders>
              <w:top w:val="single" w:sz="4" w:space="0" w:color="auto"/>
              <w:bottom w:val="single" w:sz="4" w:space="0" w:color="auto"/>
            </w:tcBorders>
          </w:tcPr>
          <w:p w:rsidR="007320CE" w:rsidRPr="002B4E11" w:rsidRDefault="007320CE" w:rsidP="006E2A1A">
            <w:pPr>
              <w:pStyle w:val="TableParagraph"/>
              <w:numPr>
                <w:ilvl w:val="0"/>
                <w:numId w:val="11"/>
              </w:numPr>
              <w:tabs>
                <w:tab w:val="left" w:pos="219"/>
              </w:tabs>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Planos de Bônus de ações restritas e</w:t>
            </w:r>
            <w:r w:rsidRPr="002B4E11">
              <w:rPr>
                <w:rFonts w:ascii="Times New Roman" w:hAnsi="Times New Roman" w:cs="Times New Roman"/>
                <w:spacing w:val="-23"/>
                <w:sz w:val="20"/>
                <w:szCs w:val="24"/>
                <w:lang w:val="pt-BR"/>
              </w:rPr>
              <w:t xml:space="preserve"> </w:t>
            </w:r>
            <w:r w:rsidRPr="002B4E11">
              <w:rPr>
                <w:rFonts w:ascii="Times New Roman" w:hAnsi="Times New Roman" w:cs="Times New Roman"/>
                <w:sz w:val="20"/>
                <w:szCs w:val="24"/>
                <w:lang w:val="pt-BR"/>
              </w:rPr>
              <w:t>Prêmios;</w:t>
            </w:r>
          </w:p>
          <w:p w:rsidR="007320CE" w:rsidRPr="002B4E11" w:rsidRDefault="007320CE" w:rsidP="006E2A1A">
            <w:pPr>
              <w:pStyle w:val="TableParagraph"/>
              <w:numPr>
                <w:ilvl w:val="0"/>
                <w:numId w:val="11"/>
              </w:numPr>
              <w:tabs>
                <w:tab w:val="left" w:pos="236"/>
              </w:tabs>
              <w:ind w:right="100"/>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 xml:space="preserve">Se houver perdas no valor da ação os executivos as compartilharam, isso não ocorre com as </w:t>
            </w:r>
            <w:r w:rsidRPr="002B4E11">
              <w:rPr>
                <w:rFonts w:ascii="Times New Roman" w:hAnsi="Times New Roman" w:cs="Times New Roman"/>
                <w:i/>
                <w:sz w:val="20"/>
                <w:szCs w:val="24"/>
                <w:lang w:val="pt-BR"/>
              </w:rPr>
              <w:t xml:space="preserve">stock options </w:t>
            </w:r>
            <w:r w:rsidRPr="002B4E11">
              <w:rPr>
                <w:rFonts w:ascii="Times New Roman" w:hAnsi="Times New Roman" w:cs="Times New Roman"/>
                <w:sz w:val="20"/>
                <w:szCs w:val="24"/>
                <w:lang w:val="pt-BR"/>
              </w:rPr>
              <w:t>e as</w:t>
            </w:r>
            <w:r w:rsidRPr="002B4E11">
              <w:rPr>
                <w:rFonts w:ascii="Times New Roman" w:hAnsi="Times New Roman" w:cs="Times New Roman"/>
                <w:spacing w:val="-15"/>
                <w:sz w:val="20"/>
                <w:szCs w:val="24"/>
                <w:lang w:val="pt-BR"/>
              </w:rPr>
              <w:t xml:space="preserve"> </w:t>
            </w:r>
            <w:r w:rsidRPr="002B4E11">
              <w:rPr>
                <w:rFonts w:ascii="Times New Roman" w:hAnsi="Times New Roman" w:cs="Times New Roman"/>
                <w:i/>
                <w:sz w:val="20"/>
                <w:szCs w:val="24"/>
                <w:lang w:val="pt-BR"/>
              </w:rPr>
              <w:t>SAR</w:t>
            </w:r>
            <w:r w:rsidRPr="002B4E11">
              <w:rPr>
                <w:rFonts w:ascii="Times New Roman" w:hAnsi="Times New Roman" w:cs="Times New Roman"/>
                <w:sz w:val="20"/>
                <w:szCs w:val="24"/>
                <w:lang w:val="pt-BR"/>
              </w:rPr>
              <w:t>s.</w:t>
            </w:r>
          </w:p>
          <w:p w:rsidR="007320CE" w:rsidRPr="002B4E11" w:rsidRDefault="007320CE" w:rsidP="006E2A1A">
            <w:pPr>
              <w:pStyle w:val="TableParagraph"/>
              <w:numPr>
                <w:ilvl w:val="0"/>
                <w:numId w:val="11"/>
              </w:numPr>
              <w:tabs>
                <w:tab w:val="left" w:pos="270"/>
              </w:tabs>
              <w:ind w:right="99"/>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Recompensa os executivos que não contribuíram para o crescimento passado da empresa;</w:t>
            </w:r>
          </w:p>
          <w:p w:rsidR="007320CE" w:rsidRPr="002B4E11" w:rsidRDefault="007320CE" w:rsidP="006E2A1A">
            <w:pPr>
              <w:pStyle w:val="TableParagraph"/>
              <w:numPr>
                <w:ilvl w:val="0"/>
                <w:numId w:val="11"/>
              </w:numPr>
              <w:tabs>
                <w:tab w:val="left" w:pos="274"/>
              </w:tabs>
              <w:ind w:right="109"/>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Os executivos se tornam acionistas imediatamente e passam a ter os direitos e privilégios dos mesmos, por exemplo, os direitos sobre</w:t>
            </w:r>
            <w:r w:rsidRPr="002B4E11">
              <w:rPr>
                <w:rFonts w:ascii="Times New Roman" w:hAnsi="Times New Roman" w:cs="Times New Roman"/>
                <w:spacing w:val="-34"/>
                <w:sz w:val="20"/>
                <w:szCs w:val="24"/>
                <w:lang w:val="pt-BR"/>
              </w:rPr>
              <w:t xml:space="preserve"> </w:t>
            </w:r>
            <w:r w:rsidRPr="002B4E11">
              <w:rPr>
                <w:rFonts w:ascii="Times New Roman" w:hAnsi="Times New Roman" w:cs="Times New Roman"/>
                <w:sz w:val="20"/>
                <w:szCs w:val="24"/>
                <w:lang w:val="pt-BR"/>
              </w:rPr>
              <w:t>dividendos;</w:t>
            </w:r>
          </w:p>
          <w:p w:rsidR="007320CE" w:rsidRPr="002B4E11" w:rsidRDefault="007320CE" w:rsidP="006E2A1A">
            <w:pPr>
              <w:pStyle w:val="TableParagraph"/>
              <w:numPr>
                <w:ilvl w:val="0"/>
                <w:numId w:val="11"/>
              </w:numPr>
              <w:tabs>
                <w:tab w:val="left" w:pos="248"/>
              </w:tabs>
              <w:ind w:right="107"/>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Quando pagas em ações acarretam no aumento do número de ações emitidas e em circulação de forma que reflete na diminuição do lucro por</w:t>
            </w:r>
            <w:r w:rsidRPr="002B4E11">
              <w:rPr>
                <w:rFonts w:ascii="Times New Roman" w:hAnsi="Times New Roman" w:cs="Times New Roman"/>
                <w:spacing w:val="-27"/>
                <w:sz w:val="20"/>
                <w:szCs w:val="24"/>
                <w:lang w:val="pt-BR"/>
              </w:rPr>
              <w:t xml:space="preserve"> </w:t>
            </w:r>
            <w:r w:rsidRPr="002B4E11">
              <w:rPr>
                <w:rFonts w:ascii="Times New Roman" w:hAnsi="Times New Roman" w:cs="Times New Roman"/>
                <w:sz w:val="20"/>
                <w:szCs w:val="24"/>
                <w:lang w:val="pt-BR"/>
              </w:rPr>
              <w:t>ação;</w:t>
            </w:r>
          </w:p>
          <w:p w:rsidR="007320CE" w:rsidRPr="002B4E11" w:rsidRDefault="007320CE" w:rsidP="006E2A1A">
            <w:pPr>
              <w:pStyle w:val="TableParagraph"/>
              <w:numPr>
                <w:ilvl w:val="0"/>
                <w:numId w:val="11"/>
              </w:numPr>
              <w:tabs>
                <w:tab w:val="left" w:pos="270"/>
              </w:tabs>
              <w:ind w:right="110"/>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Após o tempo de contrato para adquirir as ações restritas mesmo se o valor da companhia não tiver aumentado os executivos são</w:t>
            </w:r>
            <w:r w:rsidRPr="002B4E11">
              <w:rPr>
                <w:rFonts w:ascii="Times New Roman" w:hAnsi="Times New Roman" w:cs="Times New Roman"/>
                <w:spacing w:val="-28"/>
                <w:sz w:val="20"/>
                <w:szCs w:val="24"/>
                <w:lang w:val="pt-BR"/>
              </w:rPr>
              <w:t xml:space="preserve"> </w:t>
            </w:r>
            <w:r w:rsidRPr="002B4E11">
              <w:rPr>
                <w:rFonts w:ascii="Times New Roman" w:hAnsi="Times New Roman" w:cs="Times New Roman"/>
                <w:sz w:val="20"/>
                <w:szCs w:val="24"/>
                <w:lang w:val="pt-BR"/>
              </w:rPr>
              <w:t>recompensados;</w:t>
            </w:r>
          </w:p>
          <w:p w:rsidR="007320CE" w:rsidRPr="002B4E11" w:rsidRDefault="007320CE" w:rsidP="006E2A1A">
            <w:pPr>
              <w:pStyle w:val="BodyText"/>
              <w:numPr>
                <w:ilvl w:val="0"/>
                <w:numId w:val="11"/>
              </w:numPr>
              <w:jc w:val="both"/>
              <w:rPr>
                <w:rFonts w:ascii="Times New Roman" w:hAnsi="Times New Roman" w:cs="Times New Roman"/>
                <w:sz w:val="20"/>
                <w:lang w:val="pt-BR"/>
              </w:rPr>
            </w:pPr>
            <w:r w:rsidRPr="002B4E11">
              <w:rPr>
                <w:rFonts w:ascii="Times New Roman" w:hAnsi="Times New Roman" w:cs="Times New Roman"/>
                <w:sz w:val="20"/>
                <w:lang w:val="pt-BR"/>
              </w:rPr>
              <w:t>São concedidas sem custo (ou a preço reduzido) para o</w:t>
            </w:r>
            <w:r w:rsidRPr="002B4E11">
              <w:rPr>
                <w:rFonts w:ascii="Times New Roman" w:hAnsi="Times New Roman" w:cs="Times New Roman"/>
                <w:spacing w:val="-24"/>
                <w:sz w:val="20"/>
                <w:lang w:val="pt-BR"/>
              </w:rPr>
              <w:t xml:space="preserve"> </w:t>
            </w:r>
            <w:r w:rsidRPr="002B4E11">
              <w:rPr>
                <w:rFonts w:ascii="Times New Roman" w:hAnsi="Times New Roman" w:cs="Times New Roman"/>
                <w:sz w:val="20"/>
                <w:lang w:val="pt-BR"/>
              </w:rPr>
              <w:t>beneficiário.</w:t>
            </w:r>
          </w:p>
        </w:tc>
      </w:tr>
      <w:tr w:rsidR="007320CE" w:rsidRPr="002B4E11" w:rsidTr="00AB7C88">
        <w:trPr>
          <w:trHeight w:hRule="exact" w:val="227"/>
        </w:trPr>
        <w:tc>
          <w:tcPr>
            <w:tcW w:w="9215" w:type="dxa"/>
            <w:tcBorders>
              <w:top w:val="single" w:sz="4" w:space="0" w:color="auto"/>
              <w:bottom w:val="single" w:sz="4" w:space="0" w:color="auto"/>
            </w:tcBorders>
          </w:tcPr>
          <w:p w:rsidR="007320CE" w:rsidRPr="002B4E11" w:rsidRDefault="007320CE" w:rsidP="007320CE">
            <w:pPr>
              <w:pStyle w:val="TableParagraph"/>
              <w:tabs>
                <w:tab w:val="left" w:pos="1246"/>
              </w:tabs>
              <w:jc w:val="left"/>
              <w:rPr>
                <w:rFonts w:ascii="Times New Roman" w:hAnsi="Times New Roman" w:cs="Times New Roman"/>
                <w:sz w:val="20"/>
                <w:szCs w:val="24"/>
                <w:lang w:val="pt-BR"/>
              </w:rPr>
            </w:pPr>
            <w:r w:rsidRPr="002B4E11">
              <w:rPr>
                <w:rFonts w:ascii="Times New Roman" w:hAnsi="Times New Roman" w:cs="Times New Roman"/>
                <w:i/>
                <w:sz w:val="20"/>
                <w:szCs w:val="24"/>
              </w:rPr>
              <w:t xml:space="preserve">Phantom Stock </w:t>
            </w:r>
            <w:r w:rsidRPr="002B4E11">
              <w:rPr>
                <w:rFonts w:ascii="Times New Roman" w:hAnsi="Times New Roman" w:cs="Times New Roman"/>
                <w:sz w:val="20"/>
                <w:szCs w:val="24"/>
              </w:rPr>
              <w:t>(Ações Fantasmas)</w:t>
            </w:r>
          </w:p>
        </w:tc>
      </w:tr>
      <w:tr w:rsidR="007320CE" w:rsidRPr="00351C7E" w:rsidTr="00AB7C88">
        <w:trPr>
          <w:trHeight w:hRule="exact" w:val="1417"/>
        </w:trPr>
        <w:tc>
          <w:tcPr>
            <w:tcW w:w="9215" w:type="dxa"/>
            <w:tcBorders>
              <w:top w:val="single" w:sz="4" w:space="0" w:color="auto"/>
              <w:bottom w:val="single" w:sz="4" w:space="0" w:color="auto"/>
            </w:tcBorders>
          </w:tcPr>
          <w:p w:rsidR="007320CE" w:rsidRPr="002B4E11" w:rsidRDefault="007320CE" w:rsidP="006E2A1A">
            <w:pPr>
              <w:pStyle w:val="TableParagraph"/>
              <w:numPr>
                <w:ilvl w:val="0"/>
                <w:numId w:val="10"/>
              </w:numPr>
              <w:tabs>
                <w:tab w:val="left" w:pos="219"/>
              </w:tabs>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Planos de ações fantasma pagáveis em ações ou</w:t>
            </w:r>
            <w:r w:rsidRPr="002B4E11">
              <w:rPr>
                <w:rFonts w:ascii="Times New Roman" w:hAnsi="Times New Roman" w:cs="Times New Roman"/>
                <w:spacing w:val="-24"/>
                <w:sz w:val="20"/>
                <w:szCs w:val="24"/>
                <w:lang w:val="pt-BR"/>
              </w:rPr>
              <w:t xml:space="preserve"> </w:t>
            </w:r>
            <w:r w:rsidRPr="002B4E11">
              <w:rPr>
                <w:rFonts w:ascii="Times New Roman" w:hAnsi="Times New Roman" w:cs="Times New Roman"/>
                <w:sz w:val="20"/>
                <w:szCs w:val="24"/>
                <w:lang w:val="pt-BR"/>
              </w:rPr>
              <w:t>dinheiro;</w:t>
            </w:r>
          </w:p>
          <w:p w:rsidR="007320CE" w:rsidRPr="002B4E11" w:rsidRDefault="007320CE" w:rsidP="006E2A1A">
            <w:pPr>
              <w:pStyle w:val="TableParagraph"/>
              <w:numPr>
                <w:ilvl w:val="0"/>
                <w:numId w:val="10"/>
              </w:numPr>
              <w:tabs>
                <w:tab w:val="left" w:pos="234"/>
              </w:tabs>
              <w:ind w:right="105"/>
              <w:jc w:val="both"/>
              <w:rPr>
                <w:rFonts w:ascii="Times New Roman" w:hAnsi="Times New Roman" w:cs="Times New Roman"/>
                <w:sz w:val="20"/>
                <w:szCs w:val="24"/>
                <w:lang w:val="pt-BR"/>
              </w:rPr>
            </w:pPr>
            <w:r w:rsidRPr="002B4E11">
              <w:rPr>
                <w:rFonts w:ascii="Times New Roman" w:hAnsi="Times New Roman" w:cs="Times New Roman"/>
                <w:sz w:val="20"/>
                <w:szCs w:val="24"/>
                <w:lang w:val="pt-BR"/>
              </w:rPr>
              <w:t>Não dão direito de propriedade da companhia, mas dão direito de receber o aumento nos preços das ações e ao dividendo</w:t>
            </w:r>
            <w:r w:rsidRPr="002B4E11">
              <w:rPr>
                <w:rFonts w:ascii="Times New Roman" w:hAnsi="Times New Roman" w:cs="Times New Roman"/>
                <w:spacing w:val="-19"/>
                <w:sz w:val="20"/>
                <w:szCs w:val="24"/>
                <w:lang w:val="pt-BR"/>
              </w:rPr>
              <w:t xml:space="preserve"> </w:t>
            </w:r>
            <w:r w:rsidRPr="002B4E11">
              <w:rPr>
                <w:rFonts w:ascii="Times New Roman" w:hAnsi="Times New Roman" w:cs="Times New Roman"/>
                <w:sz w:val="20"/>
                <w:szCs w:val="24"/>
                <w:lang w:val="pt-BR"/>
              </w:rPr>
              <w:t>declarado;</w:t>
            </w:r>
          </w:p>
          <w:p w:rsidR="007320CE" w:rsidRPr="002B4E11" w:rsidRDefault="007320CE" w:rsidP="006E2A1A">
            <w:pPr>
              <w:pStyle w:val="BodyText"/>
              <w:numPr>
                <w:ilvl w:val="0"/>
                <w:numId w:val="10"/>
              </w:numPr>
              <w:jc w:val="both"/>
              <w:rPr>
                <w:rFonts w:ascii="Times New Roman" w:hAnsi="Times New Roman" w:cs="Times New Roman"/>
                <w:sz w:val="20"/>
                <w:lang w:val="pt-BR"/>
              </w:rPr>
            </w:pPr>
            <w:r w:rsidRPr="002B4E11">
              <w:rPr>
                <w:rFonts w:ascii="Times New Roman" w:hAnsi="Times New Roman" w:cs="Times New Roman"/>
                <w:sz w:val="20"/>
                <w:lang w:val="pt-BR"/>
              </w:rPr>
              <w:t>Não diluem o capital</w:t>
            </w:r>
            <w:r w:rsidRPr="002B4E11">
              <w:rPr>
                <w:rFonts w:ascii="Times New Roman" w:hAnsi="Times New Roman" w:cs="Times New Roman"/>
                <w:spacing w:val="-12"/>
                <w:sz w:val="20"/>
                <w:lang w:val="pt-BR"/>
              </w:rPr>
              <w:t xml:space="preserve"> </w:t>
            </w:r>
            <w:r w:rsidRPr="002B4E11">
              <w:rPr>
                <w:rFonts w:ascii="Times New Roman" w:hAnsi="Times New Roman" w:cs="Times New Roman"/>
                <w:sz w:val="20"/>
                <w:lang w:val="pt-BR"/>
              </w:rPr>
              <w:t>existente.</w:t>
            </w:r>
          </w:p>
        </w:tc>
      </w:tr>
      <w:tr w:rsidR="007320CE" w:rsidRPr="002B4E11" w:rsidTr="00AB7C88">
        <w:trPr>
          <w:trHeight w:val="227"/>
        </w:trPr>
        <w:tc>
          <w:tcPr>
            <w:tcW w:w="9215" w:type="dxa"/>
            <w:tcBorders>
              <w:top w:val="single" w:sz="4" w:space="0" w:color="auto"/>
            </w:tcBorders>
          </w:tcPr>
          <w:p w:rsidR="007320CE" w:rsidRPr="002B4E11" w:rsidRDefault="007320CE" w:rsidP="006E2A1A">
            <w:pPr>
              <w:pStyle w:val="BodyText"/>
              <w:jc w:val="both"/>
              <w:rPr>
                <w:rFonts w:ascii="Times New Roman" w:hAnsi="Times New Roman" w:cs="Times New Roman"/>
                <w:sz w:val="20"/>
                <w:lang w:val="pt-BR"/>
              </w:rPr>
            </w:pPr>
            <w:r w:rsidRPr="002B4E11">
              <w:rPr>
                <w:rFonts w:ascii="Times New Roman" w:hAnsi="Times New Roman" w:cs="Times New Roman"/>
                <w:sz w:val="20"/>
                <w:lang w:val="pt-BR"/>
              </w:rPr>
              <w:t>Fonte: elaborad</w:t>
            </w:r>
            <w:r w:rsidR="006E2A1A" w:rsidRPr="002B4E11">
              <w:rPr>
                <w:rFonts w:ascii="Times New Roman" w:hAnsi="Times New Roman" w:cs="Times New Roman"/>
                <w:sz w:val="20"/>
                <w:lang w:val="pt-BR"/>
              </w:rPr>
              <w:t>a</w:t>
            </w:r>
            <w:r w:rsidRPr="002B4E11">
              <w:rPr>
                <w:rFonts w:ascii="Times New Roman" w:hAnsi="Times New Roman" w:cs="Times New Roman"/>
                <w:sz w:val="20"/>
                <w:lang w:val="pt-BR"/>
              </w:rPr>
              <w:t xml:space="preserve"> pelos autores.</w:t>
            </w:r>
          </w:p>
        </w:tc>
      </w:tr>
    </w:tbl>
    <w:p w:rsidR="001A2445" w:rsidRPr="00C35568" w:rsidRDefault="002423CE"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De acordo com</w:t>
      </w:r>
      <w:r w:rsidR="000B7A36"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"ISBN" : "9780470223796", "author" : [ { "dropping-particle" : "", "family" : "Lipman", "given" : "Frederick D.", "non-dropping-particle" : "", "parse-names" : false, "suffix" : "" }, { "dropping-particle" : "", "family" : "Hall", "given" : "Steven E.", "non-dropping-particle" : "", "parse-names" : false, "suffix" : "" } ], "id" : "ITEM-1", "issued" : { "date-parts" : [ [ "2008" ] ] }, "publisher" : "John Wiley &amp; Sons, Inc.", "publisher-place" : "New Jersey", "title" : "Executive compensation best practices", "type" : "book" }, "uris" : [ "http://www.mendeley.com/documents/?uuid=ea79ae29-bff4-4670-895d-2cb526c960c3" ] } ], "mendeley" : { "formattedCitation" : "(LIPMAN; HALL, 2008)", "manualFormatting" : "Lipman e Hall (2008)", "plainTextFormattedCitation" : "(LIPMAN; HALL, 2008)", "previouslyFormattedCitation" : "(LIPMAN; HALL, 2008)"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Lipman e Hall (2008)</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uma das medidas para se evitar algumas das desvantagens</w:t>
      </w:r>
      <w:r w:rsidRPr="00C35568">
        <w:rPr>
          <w:rFonts w:ascii="Times New Roman" w:hAnsi="Times New Roman" w:cs="Times New Roman"/>
          <w:spacing w:val="-3"/>
          <w:lang w:val="pt-BR"/>
        </w:rPr>
        <w:t xml:space="preserve"> </w:t>
      </w:r>
      <w:r w:rsidRPr="00C35568">
        <w:rPr>
          <w:rFonts w:ascii="Times New Roman" w:hAnsi="Times New Roman" w:cs="Times New Roman"/>
          <w:lang w:val="pt-BR"/>
        </w:rPr>
        <w:t>trazidas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pelas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ações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restritas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é</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aderir</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metas</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desempenho</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para</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4"/>
          <w:lang w:val="pt-BR"/>
        </w:rPr>
        <w:t xml:space="preserve"> </w:t>
      </w:r>
      <w:r w:rsidRPr="00C35568">
        <w:rPr>
          <w:rFonts w:ascii="Times New Roman" w:hAnsi="Times New Roman" w:cs="Times New Roman"/>
          <w:lang w:val="pt-BR"/>
        </w:rPr>
        <w:t xml:space="preserve">restrições </w:t>
      </w:r>
      <w:r w:rsidR="00341968" w:rsidRPr="00C35568">
        <w:rPr>
          <w:rFonts w:ascii="Times New Roman" w:hAnsi="Times New Roman" w:cs="Times New Roman"/>
          <w:lang w:val="pt-BR"/>
        </w:rPr>
        <w:t>expirem</w:t>
      </w:r>
      <w:r w:rsidRPr="00C35568">
        <w:rPr>
          <w:rFonts w:ascii="Times New Roman" w:hAnsi="Times New Roman" w:cs="Times New Roman"/>
          <w:lang w:val="pt-BR"/>
        </w:rPr>
        <w:t>, por exemplo, as empresas podem utilizar tempo de contrato de 5 a 10</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anos.</w:t>
      </w:r>
    </w:p>
    <w:p w:rsidR="001A2445" w:rsidRPr="00C35568" w:rsidRDefault="002423CE"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Existe diversidade de estudos relacionando as características dos conselho</w:t>
      </w:r>
      <w:r w:rsidR="00341968" w:rsidRPr="00C35568">
        <w:rPr>
          <w:rFonts w:ascii="Times New Roman" w:hAnsi="Times New Roman" w:cs="Times New Roman"/>
          <w:lang w:val="pt-BR"/>
        </w:rPr>
        <w:t xml:space="preserve">s ao desempenho das companhias e </w:t>
      </w:r>
      <w:r w:rsidRPr="00C35568">
        <w:rPr>
          <w:rFonts w:ascii="Times New Roman" w:hAnsi="Times New Roman" w:cs="Times New Roman"/>
          <w:lang w:val="pt-BR"/>
        </w:rPr>
        <w:t>remuneração</w:t>
      </w:r>
      <w:r w:rsidR="00341968" w:rsidRPr="00C35568">
        <w:rPr>
          <w:rFonts w:ascii="Times New Roman" w:hAnsi="Times New Roman" w:cs="Times New Roman"/>
          <w:lang w:val="pt-BR"/>
        </w:rPr>
        <w:t xml:space="preserve"> executiva. </w:t>
      </w:r>
      <w:r w:rsidR="00813ABE" w:rsidRPr="00C35568">
        <w:rPr>
          <w:rFonts w:ascii="Times New Roman" w:hAnsi="Times New Roman" w:cs="Times New Roman"/>
          <w:lang w:val="pt-BR"/>
        </w:rPr>
        <w:t>No Quadro 1</w:t>
      </w:r>
      <w:r w:rsidR="00381E6B" w:rsidRPr="00C35568">
        <w:rPr>
          <w:rFonts w:ascii="Times New Roman" w:hAnsi="Times New Roman" w:cs="Times New Roman"/>
          <w:lang w:val="pt-BR"/>
        </w:rPr>
        <w:t xml:space="preserve"> é apresentada uma síntese dos estudos anteriores.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94"/>
        <w:gridCol w:w="2997"/>
        <w:gridCol w:w="4784"/>
      </w:tblGrid>
      <w:tr w:rsidR="008E0B30" w:rsidRPr="002B4E11" w:rsidTr="00284D58">
        <w:trPr>
          <w:trHeight w:val="220"/>
          <w:jc w:val="center"/>
        </w:trPr>
        <w:tc>
          <w:tcPr>
            <w:tcW w:w="5000" w:type="pct"/>
            <w:gridSpan w:val="3"/>
            <w:tcBorders>
              <w:top w:val="nil"/>
              <w:left w:val="nil"/>
              <w:bottom w:val="single" w:sz="4" w:space="0" w:color="auto"/>
              <w:right w:val="nil"/>
            </w:tcBorders>
            <w:vAlign w:val="center"/>
          </w:tcPr>
          <w:p w:rsidR="008E0B30" w:rsidRPr="00DC2517" w:rsidRDefault="008E0B30" w:rsidP="00284D58">
            <w:pPr>
              <w:pStyle w:val="TableParagraph"/>
              <w:jc w:val="left"/>
              <w:rPr>
                <w:rFonts w:ascii="Times New Roman" w:hAnsi="Times New Roman" w:cs="Times New Roman"/>
                <w:b/>
                <w:sz w:val="20"/>
                <w:szCs w:val="24"/>
              </w:rPr>
            </w:pPr>
            <w:r w:rsidRPr="00DC2517">
              <w:rPr>
                <w:rFonts w:ascii="Times New Roman" w:hAnsi="Times New Roman" w:cs="Times New Roman"/>
                <w:b/>
                <w:sz w:val="20"/>
                <w:szCs w:val="24"/>
                <w:lang w:val="pt-BR"/>
              </w:rPr>
              <w:t xml:space="preserve">Quadro </w:t>
            </w:r>
            <w:r w:rsidR="00813ABE" w:rsidRPr="00DC2517">
              <w:rPr>
                <w:rFonts w:ascii="Times New Roman" w:hAnsi="Times New Roman" w:cs="Times New Roman"/>
                <w:b/>
                <w:sz w:val="20"/>
                <w:szCs w:val="24"/>
                <w:lang w:val="pt-BR"/>
              </w:rPr>
              <w:t>1</w:t>
            </w:r>
            <w:r w:rsidRPr="00DC2517">
              <w:rPr>
                <w:rFonts w:ascii="Times New Roman" w:hAnsi="Times New Roman" w:cs="Times New Roman"/>
                <w:b/>
                <w:sz w:val="20"/>
                <w:szCs w:val="24"/>
                <w:lang w:val="pt-BR"/>
              </w:rPr>
              <w:t xml:space="preserve"> – Estudos relacionados</w:t>
            </w:r>
          </w:p>
        </w:tc>
      </w:tr>
      <w:tr w:rsidR="002423CE" w:rsidRPr="002B4E11" w:rsidTr="00284D58">
        <w:trPr>
          <w:trHeight w:hRule="exact" w:val="510"/>
          <w:jc w:val="center"/>
        </w:trPr>
        <w:tc>
          <w:tcPr>
            <w:tcW w:w="713" w:type="pct"/>
            <w:tcBorders>
              <w:top w:val="single" w:sz="4" w:space="0" w:color="auto"/>
            </w:tcBorders>
            <w:vAlign w:val="center"/>
          </w:tcPr>
          <w:p w:rsidR="001A2445" w:rsidRPr="007C3FAB" w:rsidRDefault="002423CE" w:rsidP="00284D58">
            <w:pPr>
              <w:pStyle w:val="TableParagraph"/>
              <w:rPr>
                <w:rFonts w:ascii="Times New Roman" w:hAnsi="Times New Roman" w:cs="Times New Roman"/>
                <w:b/>
                <w:sz w:val="20"/>
                <w:szCs w:val="24"/>
              </w:rPr>
            </w:pPr>
            <w:r w:rsidRPr="007C3FAB">
              <w:rPr>
                <w:rFonts w:ascii="Times New Roman" w:hAnsi="Times New Roman" w:cs="Times New Roman"/>
                <w:b/>
                <w:sz w:val="20"/>
                <w:szCs w:val="24"/>
              </w:rPr>
              <w:t>Autor</w:t>
            </w:r>
          </w:p>
        </w:tc>
        <w:tc>
          <w:tcPr>
            <w:tcW w:w="1651" w:type="pct"/>
            <w:tcBorders>
              <w:top w:val="single" w:sz="4" w:space="0" w:color="auto"/>
            </w:tcBorders>
            <w:vAlign w:val="center"/>
          </w:tcPr>
          <w:p w:rsidR="001A2445" w:rsidRPr="007C3FAB" w:rsidRDefault="002423CE" w:rsidP="00284D58">
            <w:pPr>
              <w:pStyle w:val="TableParagraph"/>
              <w:jc w:val="left"/>
              <w:rPr>
                <w:rFonts w:ascii="Times New Roman" w:hAnsi="Times New Roman" w:cs="Times New Roman"/>
                <w:b/>
                <w:sz w:val="20"/>
                <w:szCs w:val="24"/>
                <w:lang w:val="pt-BR"/>
              </w:rPr>
            </w:pPr>
            <w:r w:rsidRPr="007C3FAB">
              <w:rPr>
                <w:rFonts w:ascii="Times New Roman" w:hAnsi="Times New Roman" w:cs="Times New Roman"/>
                <w:b/>
                <w:sz w:val="20"/>
                <w:szCs w:val="24"/>
                <w:lang w:val="pt-BR"/>
              </w:rPr>
              <w:t>Amostra</w:t>
            </w:r>
            <w:r w:rsidR="00DC6249" w:rsidRPr="007C3FAB">
              <w:rPr>
                <w:rFonts w:ascii="Times New Roman" w:hAnsi="Times New Roman" w:cs="Times New Roman"/>
                <w:b/>
                <w:sz w:val="20"/>
                <w:szCs w:val="24"/>
                <w:lang w:val="pt-BR"/>
              </w:rPr>
              <w:t xml:space="preserve"> e/ou Procedimento metodológico</w:t>
            </w:r>
          </w:p>
        </w:tc>
        <w:tc>
          <w:tcPr>
            <w:tcW w:w="2636" w:type="pct"/>
            <w:tcBorders>
              <w:top w:val="single" w:sz="4" w:space="0" w:color="auto"/>
            </w:tcBorders>
            <w:vAlign w:val="center"/>
          </w:tcPr>
          <w:p w:rsidR="001A2445" w:rsidRPr="007C3FAB" w:rsidRDefault="00383479" w:rsidP="00284D58">
            <w:pPr>
              <w:pStyle w:val="TableParagraph"/>
              <w:jc w:val="left"/>
              <w:rPr>
                <w:rFonts w:ascii="Times New Roman" w:hAnsi="Times New Roman" w:cs="Times New Roman"/>
                <w:b/>
                <w:sz w:val="20"/>
                <w:szCs w:val="24"/>
              </w:rPr>
            </w:pPr>
            <w:r w:rsidRPr="007C3FAB">
              <w:rPr>
                <w:rFonts w:ascii="Times New Roman" w:hAnsi="Times New Roman" w:cs="Times New Roman"/>
                <w:b/>
                <w:sz w:val="20"/>
                <w:szCs w:val="24"/>
              </w:rPr>
              <w:t>Resultados gerais</w:t>
            </w:r>
          </w:p>
        </w:tc>
      </w:tr>
      <w:tr w:rsidR="00F36413" w:rsidRPr="00351C7E" w:rsidTr="00284D58">
        <w:trPr>
          <w:trHeight w:hRule="exact" w:val="794"/>
          <w:jc w:val="center"/>
        </w:trPr>
        <w:tc>
          <w:tcPr>
            <w:tcW w:w="713" w:type="pct"/>
            <w:vAlign w:val="center"/>
          </w:tcPr>
          <w:p w:rsidR="00F36413" w:rsidRPr="002B4E11" w:rsidRDefault="00C70C2A" w:rsidP="00284D58">
            <w:pPr>
              <w:pStyle w:val="TableParagraph"/>
              <w:tabs>
                <w:tab w:val="left" w:pos="1225"/>
              </w:tabs>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"10.2139/ssrn.2238", "ISSN" : "1556-5068", "abstract" : "Several recent studies have found that women invest their pensions more conservatively than men (Bajtelsmit and VanDerhei, 1996; Hinz, McCarthy, and Turner, 1996) and that women are more risk averse (Jianakoplos and Bernasek, 1996). Although these findings have serious implications for the well-being of women in retirement, the reasons for observed gender differences are less well-defined. This paper surveys the existing literature regarding gender differences in investment and considers the policy implications of these differences. The authors provide a summary and organization of the explanations for gender differences that have been offered in a variety of fields, including economics, sociology, education and gender studies.", "author" : [ { "dropping-particle" : "", "family" : "Bajtelsmit", "given" : "Vickie L.", "non-dropping-particle" : "", "parse-names" : false, "suffix" : "" }, { "dropping-particle" : "", "family" : "Bernasek", "given" : "Alexandra", "non-dropping-particle" : "", "parse-names" : false, "suffix" : "" } ], "container-title" : "SSRN Electronic Journal", "id" : "ITEM-1", "issue" : "970", "issued" : { "date-parts" : [ [ "1996" ] ] }, "title" : "Why Do Women Invest Differently than Men?", "type" : "article-journal" }, "uris" : [ "http://www.mendeley.com/documents/?uuid=14e511d5-f1c7-4ea6-9f0e-a30d98eb5e1c" ] } ], "mendeley" : { "formattedCitation" : "(BAJTELSMIT; BERNASEK, 1996)", "manualFormatting" : "Bajtelsmit e Bernasek (1996)", "plainTextFormattedCitation" : "(BAJTELSMIT; BERNASEK, 1996)", "previouslyFormattedCitation" : "(BAJTELSMIT; BERNASEK, 1996)"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Bajtelsmit e Bernasek (1996)</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Pesquisa de revisão de literatura.</w:t>
            </w:r>
          </w:p>
        </w:tc>
        <w:tc>
          <w:tcPr>
            <w:tcW w:w="2636" w:type="pct"/>
            <w:vAlign w:val="center"/>
          </w:tcPr>
          <w:p w:rsidR="00F36413" w:rsidRPr="002B4E11" w:rsidRDefault="00F36413" w:rsidP="00284D58">
            <w:pPr>
              <w:pStyle w:val="TableParagraph"/>
              <w:ind w:left="100"/>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Sugeriram que a presença de mulheres torna as decisões mais conservadoras quando da análise  de investir  suas pensões.</w:t>
            </w:r>
          </w:p>
        </w:tc>
      </w:tr>
      <w:tr w:rsidR="00F36413" w:rsidRPr="00351C7E" w:rsidTr="00284D58">
        <w:trPr>
          <w:trHeight w:val="907"/>
          <w:jc w:val="center"/>
        </w:trPr>
        <w:tc>
          <w:tcPr>
            <w:tcW w:w="713" w:type="pct"/>
            <w:vAlign w:val="center"/>
          </w:tcPr>
          <w:p w:rsidR="00F36413" w:rsidRPr="002B4E11" w:rsidRDefault="00C70C2A" w:rsidP="00284D58">
            <w:pPr>
              <w:pStyle w:val="TableParagraph"/>
              <w:rPr>
                <w:rFonts w:ascii="Times New Roman" w:hAnsi="Times New Roman" w:cs="Times New Roman"/>
                <w:sz w:val="20"/>
                <w:szCs w:val="24"/>
                <w:lang w:val="pt-BR"/>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"10.1111/j.1465-7295.1998.tb01740.x", "ISBN" : "0095-2583", "ISSN" : "00952583", "PMID" : "9798767", "abstract" : "We find that single women exhibit relatively more risk aversion in financial decision making than single men. Using US. sample data, we examine household holdings of risky assets to determine whether there are gender differences in financial risk taking. As wealth increases, the proportion of wealth held as risky assets is estimated to increase by a smaller amount for single women than for single men. Gender differences in financial risk taking are also influenced by age, race, and number of children. Greater financial risk aversion may provide an explanation for women's lower levels of wealth compared with men's. (JEL J16, D81, G11).", "author" : [ { "dropping-particle" : "", "family" : "Jianakoplos", "given" : "Nancy Ammon", "non-dropping-particle" : "", "parse-names" : false, "suffix" : "" }, { "dropping-particle" : "", "family" : "Bernasek", "given" : "Alexandra", "non-dropping-particle" : "", "parse-names" : false, "suffix" : "" } ], "container-title" : "Economic inquiry", "id" : "ITEM-1", "issue" : "4", "issued" : { "date-parts" : [ [ "1998" ] ] }, "page" : "620-630", "title" : "Are women more risk averse?", "type" : "article-journal", "volume" : "36" }, "uris" : [ "http://www.mendeley.com/documents/?uuid=6f143af5-4e03-4b62-83f4-b3bd3e289be0" ] } ], "mendeley" : { "formattedCitation" : "(JIANAKOPLOS; BERNASEK, 1998)", "manualFormatting" : "Jianakoplos e Bernasek (1998)", "plainTextFormattedCitation" : "(JIANAKOPLOS; BERNASEK, 1998)", "previouslyFormattedCitation" : "(JIANAKOPLOS; BERNASEK, 1998)"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Jianakoplos e Bernasek (1998)</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 xml:space="preserve">Analisaram 3.143 respondentes constantes na base de dados </w:t>
            </w:r>
            <w:r w:rsidRPr="002B4E11">
              <w:rPr>
                <w:rFonts w:ascii="Times New Roman" w:hAnsi="Times New Roman" w:cs="Times New Roman"/>
                <w:i/>
                <w:sz w:val="20"/>
                <w:szCs w:val="24"/>
                <w:lang w:val="pt-BR"/>
              </w:rPr>
              <w:t>Federal</w:t>
            </w:r>
            <w:r w:rsidRPr="002B4E11">
              <w:rPr>
                <w:rFonts w:ascii="Times New Roman" w:hAnsi="Times New Roman" w:cs="Times New Roman"/>
                <w:sz w:val="20"/>
                <w:szCs w:val="24"/>
                <w:lang w:val="pt-BR"/>
              </w:rPr>
              <w:t xml:space="preserve"> </w:t>
            </w:r>
            <w:r w:rsidRPr="002B4E11">
              <w:rPr>
                <w:rFonts w:ascii="Times New Roman" w:hAnsi="Times New Roman" w:cs="Times New Roman"/>
                <w:i/>
                <w:sz w:val="20"/>
                <w:szCs w:val="24"/>
                <w:lang w:val="pt-BR"/>
              </w:rPr>
              <w:t>Reserve System</w:t>
            </w:r>
            <w:r w:rsidRPr="002B4E11">
              <w:rPr>
                <w:rFonts w:ascii="Times New Roman" w:hAnsi="Times New Roman" w:cs="Times New Roman"/>
                <w:sz w:val="20"/>
                <w:szCs w:val="24"/>
                <w:lang w:val="pt-BR"/>
              </w:rPr>
              <w:t>.</w:t>
            </w:r>
          </w:p>
        </w:tc>
        <w:tc>
          <w:tcPr>
            <w:tcW w:w="2636" w:type="pct"/>
            <w:vAlign w:val="center"/>
          </w:tcPr>
          <w:p w:rsidR="00F36413" w:rsidRPr="002B4E11" w:rsidRDefault="00383479" w:rsidP="00284D58">
            <w:pPr>
              <w:pStyle w:val="TableParagraph"/>
              <w:ind w:left="100"/>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A</w:t>
            </w:r>
            <w:r w:rsidR="00F36413" w:rsidRPr="002B4E11">
              <w:rPr>
                <w:rFonts w:ascii="Times New Roman" w:hAnsi="Times New Roman" w:cs="Times New Roman"/>
                <w:sz w:val="20"/>
                <w:szCs w:val="24"/>
                <w:lang w:val="pt-BR"/>
              </w:rPr>
              <w:t>s  mulheres  são  relativamente mais avessas ao risco do que os homens ao tomar decisões financeiras.</w:t>
            </w:r>
          </w:p>
        </w:tc>
      </w:tr>
      <w:tr w:rsidR="00F36413" w:rsidRPr="00351C7E" w:rsidTr="00284D58">
        <w:trPr>
          <w:trHeight w:val="907"/>
          <w:jc w:val="center"/>
        </w:trPr>
        <w:tc>
          <w:tcPr>
            <w:tcW w:w="713" w:type="pct"/>
            <w:vAlign w:val="center"/>
          </w:tcPr>
          <w:p w:rsidR="00F36413" w:rsidRPr="002B4E11" w:rsidRDefault="00C70C2A" w:rsidP="00284D58">
            <w:pPr>
              <w:pStyle w:val="TableParagraph"/>
              <w:tabs>
                <w:tab w:val="left" w:pos="1228"/>
              </w:tabs>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"10.1111/1467-8683.00318", "ISBN" : "0964-8410", "ISSN" : "0964-8410", "abstract" : "In many respects, Australian boards more closely approach normative \" best practice \" guidelines for corporate governance than boards in other Western countries. Do Australian firms then demonstrate a board demographic-organisational performance link that has not been found in other economies? We examine the relationships between board demographics and corporate performance in 348 of Australia's largest publicly listed companies and describe the attributes of these firms and their boards. We find that, after controlling for firm size, board size is positively correlated with firm value. We also find a positive relationship between the proportion of inside directors and the market-based measure of firm performance. We discuss the implications of these finding and compare our findings to prevailing research in the US and the UK.", "author" : [ { "dropping-particle" : "", "family" : "Kiel", "given" : "Geoffrey C", "non-dropping-particle" : "", "parse-names" : false, "suffix" : "" }, { "dropping-particle" : "", "family" : "Nicholson", "given" : "Gavin J", "non-dropping-particle" : "", "parse-names" : false, "suffix" : "" } ], "container-title" : "Corporate Governance", "id" : "ITEM-1", "issue" : "3", "issued" : { "date-parts" : [ [ "2003" ] ] }, "page" : "189-205", "title" : "Board Composition and Corporate Performance: how the Australian experience informs contrasting theories of corporate governance", "type" : "article-journal", "volume" : "11" }, "uris" : [ "http://www.mendeley.com/documents/?uuid=84dcecb0-de67-4a5e-a5ff-eaa80eb30f70" ] } ], "mendeley" : { "formattedCitation" : "(KIEL; NICHOLSON, 2003)", "manualFormatting" : "Kiel e Nicholson (2003)", "plainTextFormattedCitation" : "(KIEL; NICHOLSON, 2003)", "previouslyFormattedCitation" : "(KIEL; NICHOLSON, 2003)"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Kiel e Nicholson (2003)</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right="87"/>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Utilizaram como base de dados as 348 maiores empresas listadas da Austrália, para o ano de 1996.</w:t>
            </w:r>
          </w:p>
        </w:tc>
        <w:tc>
          <w:tcPr>
            <w:tcW w:w="2636" w:type="pct"/>
            <w:vAlign w:val="center"/>
          </w:tcPr>
          <w:p w:rsidR="00F36413" w:rsidRPr="002B4E11" w:rsidRDefault="00F36413" w:rsidP="00284D58">
            <w:pPr>
              <w:pStyle w:val="TableParagraph"/>
              <w:tabs>
                <w:tab w:val="left" w:pos="1382"/>
                <w:tab w:val="left" w:pos="1950"/>
                <w:tab w:val="left" w:pos="2252"/>
                <w:tab w:val="left" w:pos="3108"/>
                <w:tab w:val="left" w:pos="3508"/>
                <w:tab w:val="left" w:pos="4393"/>
              </w:tabs>
              <w:ind w:left="100" w:right="107"/>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Encontraram</w:t>
            </w:r>
            <w:r w:rsidR="00383479" w:rsidRPr="002B4E11">
              <w:rPr>
                <w:rFonts w:ascii="Times New Roman" w:hAnsi="Times New Roman" w:cs="Times New Roman"/>
                <w:sz w:val="20"/>
                <w:szCs w:val="24"/>
                <w:lang w:val="pt-BR"/>
              </w:rPr>
              <w:t xml:space="preserve"> </w:t>
            </w:r>
            <w:r w:rsidRPr="002B4E11">
              <w:rPr>
                <w:rFonts w:ascii="Times New Roman" w:hAnsi="Times New Roman" w:cs="Times New Roman"/>
                <w:sz w:val="20"/>
                <w:szCs w:val="24"/>
                <w:lang w:val="pt-BR"/>
              </w:rPr>
              <w:t>correlação positiva entre o tamanho do conselho e o valor da empresa.</w:t>
            </w:r>
          </w:p>
        </w:tc>
      </w:tr>
      <w:tr w:rsidR="00F36413" w:rsidRPr="00351C7E" w:rsidTr="00284D58">
        <w:trPr>
          <w:trHeight w:val="907"/>
          <w:jc w:val="center"/>
        </w:trPr>
        <w:tc>
          <w:tcPr>
            <w:tcW w:w="713" w:type="pct"/>
            <w:vAlign w:val="center"/>
          </w:tcPr>
          <w:p w:rsidR="00F36413" w:rsidRPr="002B4E11" w:rsidRDefault="00C70C2A" w:rsidP="00284D58">
            <w:pPr>
              <w:pStyle w:val="TableParagraph"/>
              <w:tabs>
                <w:tab w:val="left" w:pos="1225"/>
              </w:tabs>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"10.1016/S0749-5978(02)00526-5", "ISBN" : "1509335773", "ISSN" : "07495978", "abstract" : "This paper presents an experimental investigation of risk preferences in the context of compensation. In five studies, participants indicated their preference between a job offering a fixed salary and one having a lower certain component but the potential to earn a higher amount contingent on performance. Results demonstrate that people are not generally risk averse in this context, as found in earlier research, but rather that risk preferences depend on the nature of the variable pay plan. In particular, in both between- and within-subjects designs, variable pay was preferred more often when incentives were based on individual rather than collective (team or organizational) performance, and participants were more optimistic about the likelihood of receiving incentives as individuals. The effects of individual differences such as self-efficacy and preference for group work were contingent on the format of the variable pay plan. Implications for designing compensation plans and employee recruitment and retention are discussed. \u00a9 2002 Elsevier Science (USA). All rights reserved.", "author" : [ { "dropping-particle" : "", "family" : "Kuhn", "given" : "Kristine M.", "non-dropping-particle" : "", "parse-names" : false, "suffix" : "" }, { "dropping-particle" : "", "family" : "Yockey", "given" : "Mark D.", "non-dropping-particle" : "", "parse-names" : false, "suffix" : "" } ], "container-title" : "Organizational Behavior and Human Decision Processes", "id" : "ITEM-1", "issue" : "2", "issued" : { "date-parts" : [ [ "2003" ] ] }, "page" : "323-341", "title" : "Variable pay as a risky choice: Determinants of the relative attractiveness of incentive plans", "type" : "article-journal", "volume" : "90" }, "uris" : [ "http://www.mendeley.com/documents/?uuid=add0f896-6082-4f4d-be37-28bd5d7376ee" ] } ], "mendeley" : { "formattedCitation" : "(KUHN; YOCKEY, 2003)", "manualFormatting" : "Kuhn e Yockey (2003)", "plainTextFormattedCitation" : "(KUHN; YOCKEY, 2003)", "previouslyFormattedCitation" : "(KUHN; YOCKEY, 2003)"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Kuhn e Yockey (2003)</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jc w:val="left"/>
              <w:rPr>
                <w:rFonts w:ascii="Times New Roman" w:hAnsi="Times New Roman" w:cs="Times New Roman"/>
                <w:sz w:val="20"/>
                <w:szCs w:val="24"/>
              </w:rPr>
            </w:pPr>
            <w:r w:rsidRPr="002B4E11">
              <w:rPr>
                <w:rFonts w:ascii="Times New Roman" w:hAnsi="Times New Roman" w:cs="Times New Roman"/>
                <w:sz w:val="20"/>
                <w:szCs w:val="24"/>
              </w:rPr>
              <w:t>Pesquisa experimental.</w:t>
            </w:r>
          </w:p>
        </w:tc>
        <w:tc>
          <w:tcPr>
            <w:tcW w:w="2636" w:type="pct"/>
            <w:vAlign w:val="center"/>
          </w:tcPr>
          <w:p w:rsidR="00F36413" w:rsidRPr="002B4E11" w:rsidRDefault="00F36413" w:rsidP="00284D58">
            <w:pPr>
              <w:pStyle w:val="TableParagraph"/>
              <w:ind w:left="100" w:right="105"/>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Identificaram que as preferências de risco dependem da natureza do plano de remuneração, e a preferência pela opção mais arriscada se dá em relação ao desempenho individual e não quando associada a desempenho coletivo.</w:t>
            </w:r>
          </w:p>
        </w:tc>
      </w:tr>
      <w:tr w:rsidR="00F36413" w:rsidRPr="00351C7E" w:rsidTr="00284D58">
        <w:trPr>
          <w:trHeight w:val="283"/>
          <w:jc w:val="center"/>
        </w:trPr>
        <w:tc>
          <w:tcPr>
            <w:tcW w:w="713" w:type="pct"/>
            <w:vAlign w:val="center"/>
          </w:tcPr>
          <w:p w:rsidR="00F36413" w:rsidRPr="002B4E11" w:rsidRDefault="00C70C2A" w:rsidP="00284D58">
            <w:pPr>
              <w:pStyle w:val="TableParagraph"/>
              <w:tabs>
                <w:tab w:val="left" w:pos="1225"/>
              </w:tabs>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"mendeley" : { "formattedCitation" : "(GHOSH; SIRMANS, 2005)", "manualFormatting" : "Ghosh e Sirmans (2005)", "plainTextFormattedCitation" : "(GHOSH; SIRMANS, 2005)", "previouslyFormattedCitation" : "(GHOSH; SIRMANS, 2005)"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Ghosh e Sirmans (2005)</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right="103"/>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Investigaram 330 fundos de investimentos mobiliários nos anos de 1998, 1999 e 2000.</w:t>
            </w:r>
          </w:p>
        </w:tc>
        <w:tc>
          <w:tcPr>
            <w:tcW w:w="2636" w:type="pct"/>
            <w:vAlign w:val="center"/>
          </w:tcPr>
          <w:p w:rsidR="00F36413" w:rsidRPr="002B4E11" w:rsidRDefault="00383479" w:rsidP="00284D58">
            <w:pPr>
              <w:pStyle w:val="TableParagraph"/>
              <w:ind w:left="100" w:right="108"/>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A</w:t>
            </w:r>
            <w:r w:rsidR="00F36413" w:rsidRPr="002B4E11">
              <w:rPr>
                <w:rFonts w:ascii="Times New Roman" w:hAnsi="Times New Roman" w:cs="Times New Roman"/>
                <w:sz w:val="20"/>
                <w:szCs w:val="24"/>
                <w:lang w:val="pt-BR"/>
              </w:rPr>
              <w:t>lém dos determinantes econômicos as empresas devem incluir variáveis de estrutura de administração e de propriedade nos pacotes de compensação.</w:t>
            </w:r>
          </w:p>
        </w:tc>
      </w:tr>
      <w:tr w:rsidR="00F36413" w:rsidRPr="00351C7E" w:rsidTr="00284D58">
        <w:trPr>
          <w:trHeight w:val="907"/>
          <w:jc w:val="center"/>
        </w:trPr>
        <w:tc>
          <w:tcPr>
            <w:tcW w:w="713" w:type="pct"/>
            <w:vAlign w:val="center"/>
          </w:tcPr>
          <w:p w:rsidR="00F36413" w:rsidRPr="002B4E11" w:rsidRDefault="00C70C2A" w:rsidP="00284D58">
            <w:pPr>
              <w:pStyle w:val="TableParagraph"/>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"10.1007/s10551-007-9630-y", "ISBN" : "0167-4544", "ISSN" : "01674544", "PMID" : "34983903", "abstract" : "The monitoring role performed by the board of directors is an important corporate governance control mechanism, especially in countries where external mechanisms are less well developed. The gender composition of the board can affect the quality of this monitoring role and thus the financial performance of the firm. This is part of the \u201cbusiness case\u201d for female participation on boards, though arguments may also be framed in terms of ethical considerations. While the issue of board gender diversity has attracted growing research interest in recent years, most empirical results are based on U.S. data. This article adds to a growing number of non-U.S. studies by investigating the link between the gender diversity of the board and firm financial performance in Spain, a country which historically has had minimal female participation in the workforce, but which has now introduced legislation to improve equality of opportunities. We investigate the topic using panel data analysis and find that gender diversity \u2013 as measured by the percentage of women on the board and by the Blau and Shannon indices \u2013 has a positive effect on firm value and that the opposite causal relationship is not significant. Our study suggests that investors in Spain do not penalise firms which increase their female board membership and that greater gender diversity may generate economic gains.", "author" : [ { "dropping-particle" : "", "family" : "Campbell", "given" : "Kevin", "non-dropping-particle" : "", "parse-names" : false, "suffix" : "" }, { "dropping-particle" : "", "family" : "M\u00ednguez-Vera", "given" : "Antonio", "non-dropping-particle" : "", "parse-names" : false, "suffix" : "" } ], "container-title" : "Journal of Business Ethics", "id" : "ITEM-1", "issue" : "3", "issued" : { "date-parts" : [ [ "2008" ] ] }, "page" : "435-451", "title" : "Gender diversity in the boardroom and firm financial performance", "type" : "article-journal", "volume" : "83" }, "uris" : [ "http://www.mendeley.com/documents/?uuid=b7dc7e6c-e09a-442c-956f-3f5b57a55154" ] } ], "mendeley" : { "formattedCitation" : "(CAMPBELL; M\u00cdNGUEZ-VERA, 2008)", "manualFormatting" : "Campbell e M\u00ednguez-Vera (2008)", "plainTextFormattedCitation" : "(CAMPBELL; M\u00cdNGUEZ-VERA, 2008)", "previouslyFormattedCitation" : "(CAMPBELL; M\u00cdNGUEZ-VERA, 2008)"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Campbell e Mínguez-Vera (2008)</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right="102"/>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Investigaram 68 empresas não financeiras listadas na Espanha, durante o período de janeiro de 1995 a dezembro de 2000.</w:t>
            </w:r>
          </w:p>
        </w:tc>
        <w:tc>
          <w:tcPr>
            <w:tcW w:w="2636" w:type="pct"/>
            <w:vAlign w:val="center"/>
          </w:tcPr>
          <w:p w:rsidR="00F36413" w:rsidRPr="002B4E11" w:rsidRDefault="00383479" w:rsidP="00284D58">
            <w:pPr>
              <w:pStyle w:val="TableParagraph"/>
              <w:ind w:left="100" w:right="106"/>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O</w:t>
            </w:r>
            <w:r w:rsidR="00F36413" w:rsidRPr="002B4E11">
              <w:rPr>
                <w:rFonts w:ascii="Times New Roman" w:hAnsi="Times New Roman" w:cs="Times New Roman"/>
                <w:sz w:val="20"/>
                <w:szCs w:val="24"/>
                <w:lang w:val="pt-BR"/>
              </w:rPr>
              <w:t xml:space="preserve"> valor da empresa não é afetado apenas pela presença de mulheres no CA, no entanto, a div</w:t>
            </w:r>
            <w:r w:rsidR="007C3FAB">
              <w:rPr>
                <w:rFonts w:ascii="Times New Roman" w:hAnsi="Times New Roman" w:cs="Times New Roman"/>
                <w:sz w:val="20"/>
                <w:szCs w:val="24"/>
                <w:lang w:val="pt-BR"/>
              </w:rPr>
              <w:t>ersidade teve um impacto positivo no</w:t>
            </w:r>
            <w:r w:rsidR="00F36413" w:rsidRPr="002B4E11">
              <w:rPr>
                <w:rFonts w:ascii="Times New Roman" w:hAnsi="Times New Roman" w:cs="Times New Roman"/>
                <w:sz w:val="20"/>
                <w:szCs w:val="24"/>
                <w:lang w:val="pt-BR"/>
              </w:rPr>
              <w:t xml:space="preserve"> valor da empresa.</w:t>
            </w:r>
          </w:p>
        </w:tc>
      </w:tr>
      <w:tr w:rsidR="00F36413" w:rsidRPr="00351C7E" w:rsidTr="00284D58">
        <w:trPr>
          <w:trHeight w:val="794"/>
          <w:jc w:val="center"/>
        </w:trPr>
        <w:tc>
          <w:tcPr>
            <w:tcW w:w="713" w:type="pct"/>
            <w:vAlign w:val="center"/>
          </w:tcPr>
          <w:p w:rsidR="00F36413" w:rsidRPr="002B4E11" w:rsidRDefault="00C70C2A" w:rsidP="00284D58">
            <w:pPr>
              <w:pStyle w:val="TableParagraph"/>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"10.1016/j.mulfin.2007.02.003", "ISSN" : "1042444X", "abstract" : "We use data from the Portuguese Stock Market to examine the link between firm performance, board structure, and top executive pay. We examine whether the governance structure of companies influences top executive pay. Specifically, we consider the role of nonexecutive board members as mediators of the management-shareholder relationship. Our results cast doubt on the effectiveness of independent board members. Firms with more nonexecutive board members pay higher wages to their executives. Furthermore, we find that firms with zero nonexecutive board members actually have fewer agency problems and achieve a better alignment of shareholders' and managers' interests. \u00a9 2007 Elsevier B.V. All rights reserved.", "author" : [ { "dropping-particle" : "", "family" : "Fernandes", "given" : "Nuno", "non-dropping-particle" : "", "parse-names" : false, "suffix" : "" } ], "container-title" : "Journal of Multinational Financial Management", "id" : "ITEM-1", "issue" : "1", "issued" : { "date-parts" : [ [ "2008" ] ] }, "page" : "30-44", "title" : "EC: Board compensation and firm performance: The role of \"independent\" board members", "type" : "article-journal", "volume" : "18" }, "uris" : [ "http://www.mendeley.com/documents/?uuid=1e19251e-3c01-40b5-a2fa-5cf7f1265cbb" ] } ], "mendeley" : { "formattedCitation" : "(FERNANDES, 2008)", "manualFormatting" : "Fernandes (2008)", "plainTextFormattedCitation" : "(FERNANDES, 2008)", "previouslyFormattedCitation" : "(FERNANDES, 2008)"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Fernandes (2008)</w:t>
            </w:r>
            <w:r w:rsidRPr="002B4E11">
              <w:rPr>
                <w:rStyle w:val="FootnoteReference"/>
                <w:rFonts w:ascii="Times New Roman" w:hAnsi="Times New Roman" w:cs="Times New Roman"/>
                <w:sz w:val="20"/>
                <w:szCs w:val="24"/>
              </w:rPr>
              <w:fldChar w:fldCharType="end"/>
            </w:r>
          </w:p>
        </w:tc>
        <w:tc>
          <w:tcPr>
            <w:tcW w:w="1651" w:type="pct"/>
            <w:vAlign w:val="center"/>
          </w:tcPr>
          <w:p w:rsidR="00F36413" w:rsidRPr="002B4E11" w:rsidRDefault="00F36413" w:rsidP="00284D58">
            <w:pPr>
              <w:pStyle w:val="TableParagraph"/>
              <w:ind w:left="103" w:right="101"/>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Estudaram 51 empresas listadas no mercado acionário de Portugal entre os anos de 2002 a 2004.</w:t>
            </w:r>
          </w:p>
        </w:tc>
        <w:tc>
          <w:tcPr>
            <w:tcW w:w="2636" w:type="pct"/>
            <w:vAlign w:val="center"/>
          </w:tcPr>
          <w:p w:rsidR="00F36413" w:rsidRPr="002B4E11" w:rsidRDefault="00383479" w:rsidP="00284D58">
            <w:pPr>
              <w:pStyle w:val="TableParagraph"/>
              <w:ind w:left="100" w:right="107"/>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O</w:t>
            </w:r>
            <w:r w:rsidR="00F36413" w:rsidRPr="002B4E11">
              <w:rPr>
                <w:rFonts w:ascii="Times New Roman" w:hAnsi="Times New Roman" w:cs="Times New Roman"/>
                <w:sz w:val="20"/>
                <w:szCs w:val="24"/>
                <w:lang w:val="pt-BR"/>
              </w:rPr>
              <w:t>s conselhos que possuem mais membros não executivos pagam salários mais altos e</w:t>
            </w:r>
            <w:r w:rsidR="00F36413" w:rsidRPr="002B4E11">
              <w:rPr>
                <w:rFonts w:ascii="Times New Roman" w:hAnsi="Times New Roman" w:cs="Times New Roman"/>
                <w:spacing w:val="-29"/>
                <w:sz w:val="20"/>
                <w:szCs w:val="24"/>
                <w:lang w:val="pt-BR"/>
              </w:rPr>
              <w:t xml:space="preserve"> </w:t>
            </w:r>
            <w:r w:rsidR="00F36413" w:rsidRPr="002B4E11">
              <w:rPr>
                <w:rFonts w:ascii="Times New Roman" w:hAnsi="Times New Roman" w:cs="Times New Roman"/>
                <w:sz w:val="20"/>
                <w:szCs w:val="24"/>
                <w:lang w:val="pt-BR"/>
              </w:rPr>
              <w:t>que empresas sem a participação de membros não</w:t>
            </w:r>
            <w:r w:rsidR="00F36413" w:rsidRPr="002B4E11">
              <w:rPr>
                <w:rFonts w:ascii="Times New Roman" w:hAnsi="Times New Roman" w:cs="Times New Roman"/>
                <w:spacing w:val="-22"/>
                <w:sz w:val="20"/>
                <w:szCs w:val="24"/>
                <w:lang w:val="pt-BR"/>
              </w:rPr>
              <w:t xml:space="preserve"> </w:t>
            </w:r>
            <w:r w:rsidR="00F36413" w:rsidRPr="002B4E11">
              <w:rPr>
                <w:rFonts w:ascii="Times New Roman" w:hAnsi="Times New Roman" w:cs="Times New Roman"/>
                <w:sz w:val="20"/>
                <w:szCs w:val="24"/>
                <w:lang w:val="pt-BR"/>
              </w:rPr>
              <w:t>executivos nos conselhos têm um melhor alinhamento entre os interesses dos administradores e dos acionistas.</w:t>
            </w:r>
          </w:p>
        </w:tc>
      </w:tr>
      <w:tr w:rsidR="00F36413" w:rsidRPr="00351C7E" w:rsidTr="00284D58">
        <w:trPr>
          <w:trHeight w:val="510"/>
          <w:jc w:val="center"/>
        </w:trPr>
        <w:tc>
          <w:tcPr>
            <w:tcW w:w="713" w:type="pct"/>
            <w:tcBorders>
              <w:bottom w:val="single" w:sz="4" w:space="0" w:color="auto"/>
            </w:tcBorders>
            <w:vAlign w:val="center"/>
          </w:tcPr>
          <w:p w:rsidR="00F36413" w:rsidRPr="002B4E11" w:rsidRDefault="00C70C2A" w:rsidP="00284D58">
            <w:pPr>
              <w:pStyle w:val="TableParagraph"/>
              <w:tabs>
                <w:tab w:val="left" w:pos="1225"/>
              </w:tabs>
              <w:ind w:left="102" w:right="104"/>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"mendeley" : { "formattedCitation" : "(ELKINAWY; STATER, 2011)", "manualFormatting" : "Elkinawy e Stater (2011)", "plainTextFormattedCitation" : "(ELKINAWY; STATER, 2011)", "previouslyFormattedCitation" : "(ELKINAWY; STATER, 2011)"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Elkinawy e Stater (2011)</w:t>
            </w:r>
            <w:r w:rsidRPr="002B4E11">
              <w:rPr>
                <w:rStyle w:val="FootnoteReference"/>
                <w:rFonts w:ascii="Times New Roman" w:hAnsi="Times New Roman" w:cs="Times New Roman"/>
                <w:sz w:val="20"/>
                <w:szCs w:val="24"/>
              </w:rPr>
              <w:fldChar w:fldCharType="end"/>
            </w:r>
          </w:p>
        </w:tc>
        <w:tc>
          <w:tcPr>
            <w:tcW w:w="1651" w:type="pct"/>
            <w:tcBorders>
              <w:bottom w:val="single" w:sz="4" w:space="0" w:color="auto"/>
            </w:tcBorders>
            <w:vAlign w:val="center"/>
          </w:tcPr>
          <w:p w:rsidR="00F36413" w:rsidRPr="002B4E11" w:rsidRDefault="00F36413" w:rsidP="00284D58">
            <w:pPr>
              <w:pStyle w:val="TableParagraph"/>
              <w:ind w:left="103"/>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Investigaram 18.742 executivos para o período de 1992 a 2004.</w:t>
            </w:r>
          </w:p>
        </w:tc>
        <w:tc>
          <w:tcPr>
            <w:tcW w:w="2636" w:type="pct"/>
            <w:tcBorders>
              <w:bottom w:val="single" w:sz="4" w:space="0" w:color="auto"/>
            </w:tcBorders>
            <w:vAlign w:val="center"/>
          </w:tcPr>
          <w:p w:rsidR="00F36413" w:rsidRPr="002B4E11" w:rsidRDefault="00383479" w:rsidP="00284D58">
            <w:pPr>
              <w:pStyle w:val="TableParagraph"/>
              <w:ind w:left="100"/>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D</w:t>
            </w:r>
            <w:r w:rsidR="00F36413" w:rsidRPr="002B4E11">
              <w:rPr>
                <w:rFonts w:ascii="Times New Roman" w:hAnsi="Times New Roman" w:cs="Times New Roman"/>
                <w:sz w:val="20"/>
                <w:szCs w:val="24"/>
                <w:lang w:val="pt-BR"/>
              </w:rPr>
              <w:t>emo</w:t>
            </w:r>
            <w:r w:rsidR="006105DA" w:rsidRPr="002B4E11">
              <w:rPr>
                <w:rFonts w:ascii="Times New Roman" w:hAnsi="Times New Roman" w:cs="Times New Roman"/>
                <w:sz w:val="20"/>
                <w:szCs w:val="24"/>
                <w:lang w:val="pt-BR"/>
              </w:rPr>
              <w:t>nstraram efeitos positivos</w:t>
            </w:r>
            <w:r w:rsidR="00F36413" w:rsidRPr="002B4E11">
              <w:rPr>
                <w:rFonts w:ascii="Times New Roman" w:hAnsi="Times New Roman" w:cs="Times New Roman"/>
                <w:sz w:val="20"/>
                <w:szCs w:val="24"/>
                <w:lang w:val="pt-BR"/>
              </w:rPr>
              <w:t xml:space="preserve"> sobre o desempenho, porém dependendo fortemente das qualificações das</w:t>
            </w:r>
            <w:r w:rsidR="00F36413" w:rsidRPr="002B4E11">
              <w:rPr>
                <w:rFonts w:ascii="Times New Roman" w:hAnsi="Times New Roman" w:cs="Times New Roman"/>
                <w:spacing w:val="-13"/>
                <w:sz w:val="20"/>
                <w:szCs w:val="24"/>
                <w:lang w:val="pt-BR"/>
              </w:rPr>
              <w:t xml:space="preserve"> </w:t>
            </w:r>
            <w:r w:rsidR="00F36413" w:rsidRPr="002B4E11">
              <w:rPr>
                <w:rFonts w:ascii="Times New Roman" w:hAnsi="Times New Roman" w:cs="Times New Roman"/>
                <w:sz w:val="20"/>
                <w:szCs w:val="24"/>
                <w:lang w:val="pt-BR"/>
              </w:rPr>
              <w:t>mesmas.</w:t>
            </w:r>
          </w:p>
        </w:tc>
      </w:tr>
      <w:tr w:rsidR="00F36413" w:rsidRPr="00351C7E" w:rsidTr="00284D58">
        <w:trPr>
          <w:trHeight w:val="624"/>
          <w:jc w:val="center"/>
        </w:trPr>
        <w:tc>
          <w:tcPr>
            <w:tcW w:w="713" w:type="pct"/>
            <w:tcBorders>
              <w:top w:val="single" w:sz="4" w:space="0" w:color="auto"/>
              <w:left w:val="single" w:sz="4" w:space="0" w:color="auto"/>
              <w:bottom w:val="single" w:sz="4" w:space="0" w:color="auto"/>
              <w:right w:val="single" w:sz="4" w:space="0" w:color="auto"/>
            </w:tcBorders>
            <w:vAlign w:val="center"/>
          </w:tcPr>
          <w:p w:rsidR="00F36413" w:rsidRPr="002B4E11" w:rsidRDefault="00C70C2A" w:rsidP="00284D58">
            <w:pPr>
              <w:pStyle w:val="TableParagraph"/>
              <w:ind w:left="102"/>
              <w:rPr>
                <w:rFonts w:ascii="Times New Roman" w:hAnsi="Times New Roman" w:cs="Times New Roman"/>
                <w:sz w:val="20"/>
                <w:szCs w:val="24"/>
              </w:rPr>
            </w:pPr>
            <w:r w:rsidRPr="002B4E11">
              <w:rPr>
                <w:rStyle w:val="FootnoteReference"/>
                <w:rFonts w:ascii="Times New Roman" w:hAnsi="Times New Roman" w:cs="Times New Roman"/>
                <w:sz w:val="20"/>
                <w:szCs w:val="24"/>
              </w:rPr>
              <w:fldChar w:fldCharType="begin" w:fldLock="1"/>
            </w:r>
            <w:r w:rsidR="00051229" w:rsidRPr="002B4E11">
              <w:rPr>
                <w:rFonts w:ascii="Times New Roman" w:hAnsi="Times New Roman" w:cs="Times New Roman"/>
                <w:sz w:val="20"/>
                <w:szCs w:val="24"/>
              </w:rPr>
              <w:instrText>ADDIN CSL_CITATION { "citationItems" : [ { "id" : "ITEM-1", "itemData" : { "DOI" : "10.1007/s10997-012-9224-7", "ISBN" : "1385-3457", "ISSN" : "13853457", "PMID" : "93449405", "abstract" : "This paper focuses on the relationship between Chief Executive Officer (CEO) and Chairperson characteristics and firm performance. Specifically, the study examines the association between the characteristics of the CEO and the Chair- person of the board and firm performance. Using a sample of S&amp;P 500 firms, the evidence found suggests that demographic and experience-related characteristics may be associated with the market valuation and financial performance of the firm. In particular, the reported results indicate a positive relationship between the presence of female CEOs or Chairs and firm performance, thus suggesting that gender-based differences may affect the CEO\u2019s/Chairperson\u2019s success. Moreover, the findings concerning the age of the CEO or Chair are mixed, while their expe- rience and quality appear positively related to firm performance. Interestingly, a CEO or Chairperson holding multiple board seats is negatively associated with firm performance, whereas CEO duality has a positive relationship with Tobin\u2019s Q and the return on assets (ROA) of the firm. Keywords", "author" : [ { "dropping-particle" : "", "family" : "Peni", "given" : "Emilia", "non-dropping-particle" : "", "parse-names" : false, "suffix" : "" } ], "container-title" : "Journal of Management and Governance", "id" : "ITEM-1", "issue" : "1", "issued" : { "date-parts" : [ [ "2014" ] ] }, "page" : "185-205", "title" : "CEO and Chairperson characteristics and firm performance", "type" : "article-journal", "volume" : "18" }, "uris" : [ "http://www.mendeley.com/documents/?uuid=dcb369fb-c7b7-4745-80e0-2b39b4d182af" ] } ], "mendeley" : { "formattedCitation" : "(PENI, 2014)", "manualFormatting" : "Peni (2014)", "plainTextFormattedCitation" : "(PENI, 2014)", "previouslyFormattedCitation" : "(PENI, 2014)" }, "properties" : {  }, "schema" : "https://github.com/citation-style-language/schema/raw/master/csl-citation.json" }</w:instrText>
            </w:r>
            <w:r w:rsidRPr="002B4E11">
              <w:rPr>
                <w:rStyle w:val="FootnoteReference"/>
                <w:rFonts w:ascii="Times New Roman" w:hAnsi="Times New Roman" w:cs="Times New Roman"/>
                <w:sz w:val="20"/>
                <w:szCs w:val="24"/>
              </w:rPr>
              <w:fldChar w:fldCharType="separate"/>
            </w:r>
            <w:r w:rsidRPr="002B4E11">
              <w:rPr>
                <w:rFonts w:ascii="Times New Roman" w:hAnsi="Times New Roman" w:cs="Times New Roman"/>
                <w:noProof/>
                <w:sz w:val="20"/>
                <w:szCs w:val="24"/>
              </w:rPr>
              <w:t>Peni (2014)</w:t>
            </w:r>
            <w:r w:rsidRPr="002B4E11">
              <w:rPr>
                <w:rStyle w:val="FootnoteReference"/>
                <w:rFonts w:ascii="Times New Roman" w:hAnsi="Times New Roman" w:cs="Times New Roman"/>
                <w:sz w:val="20"/>
                <w:szCs w:val="24"/>
              </w:rPr>
              <w:fldChar w:fldCharType="end"/>
            </w:r>
          </w:p>
        </w:tc>
        <w:tc>
          <w:tcPr>
            <w:tcW w:w="1651" w:type="pct"/>
            <w:tcBorders>
              <w:top w:val="single" w:sz="4" w:space="0" w:color="auto"/>
              <w:left w:val="single" w:sz="4" w:space="0" w:color="auto"/>
              <w:bottom w:val="single" w:sz="4" w:space="0" w:color="auto"/>
              <w:right w:val="single" w:sz="4" w:space="0" w:color="auto"/>
            </w:tcBorders>
            <w:vAlign w:val="center"/>
          </w:tcPr>
          <w:p w:rsidR="00F36413" w:rsidRPr="002B4E11" w:rsidRDefault="00F36413" w:rsidP="00284D58">
            <w:pPr>
              <w:pStyle w:val="TableParagraph"/>
              <w:ind w:left="103" w:right="99"/>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 xml:space="preserve">Estudou 305 empresas do mercado acionário </w:t>
            </w:r>
            <w:r w:rsidR="007C3FAB">
              <w:rPr>
                <w:rFonts w:ascii="Times New Roman" w:hAnsi="Times New Roman" w:cs="Times New Roman"/>
                <w:sz w:val="20"/>
                <w:szCs w:val="24"/>
                <w:lang w:val="pt-BR"/>
              </w:rPr>
              <w:t>norte americano, compreendendo</w:t>
            </w:r>
            <w:r w:rsidRPr="002B4E11">
              <w:rPr>
                <w:rFonts w:ascii="Times New Roman" w:hAnsi="Times New Roman" w:cs="Times New Roman"/>
                <w:sz w:val="20"/>
                <w:szCs w:val="24"/>
                <w:lang w:val="pt-BR"/>
              </w:rPr>
              <w:t xml:space="preserve"> um período entre 2006 e 2010</w:t>
            </w:r>
          </w:p>
        </w:tc>
        <w:tc>
          <w:tcPr>
            <w:tcW w:w="2636" w:type="pct"/>
            <w:tcBorders>
              <w:top w:val="single" w:sz="4" w:space="0" w:color="auto"/>
              <w:left w:val="single" w:sz="4" w:space="0" w:color="auto"/>
              <w:bottom w:val="single" w:sz="4" w:space="0" w:color="auto"/>
              <w:right w:val="single" w:sz="4" w:space="0" w:color="auto"/>
            </w:tcBorders>
            <w:vAlign w:val="center"/>
          </w:tcPr>
          <w:p w:rsidR="00F36413" w:rsidRPr="002B4E11" w:rsidRDefault="00383479" w:rsidP="00284D58">
            <w:pPr>
              <w:pStyle w:val="TableParagraph"/>
              <w:ind w:left="100" w:right="106"/>
              <w:jc w:val="left"/>
              <w:rPr>
                <w:rFonts w:ascii="Times New Roman" w:hAnsi="Times New Roman" w:cs="Times New Roman"/>
                <w:sz w:val="20"/>
                <w:szCs w:val="24"/>
                <w:lang w:val="pt-BR"/>
              </w:rPr>
            </w:pPr>
            <w:r w:rsidRPr="002B4E11">
              <w:rPr>
                <w:rFonts w:ascii="Times New Roman" w:hAnsi="Times New Roman" w:cs="Times New Roman"/>
                <w:sz w:val="20"/>
                <w:szCs w:val="24"/>
                <w:lang w:val="pt-BR"/>
              </w:rPr>
              <w:t>R</w:t>
            </w:r>
            <w:r w:rsidR="00F36413" w:rsidRPr="002B4E11">
              <w:rPr>
                <w:rFonts w:ascii="Times New Roman" w:hAnsi="Times New Roman" w:cs="Times New Roman"/>
                <w:sz w:val="20"/>
                <w:szCs w:val="24"/>
                <w:lang w:val="pt-BR"/>
              </w:rPr>
              <w:t>elação positiva entre a presença de mulheres nos cargos de executivo e presidente do conselho, tal como no desempenho da</w:t>
            </w:r>
            <w:r w:rsidR="00F36413" w:rsidRPr="002B4E11">
              <w:rPr>
                <w:rFonts w:ascii="Times New Roman" w:hAnsi="Times New Roman" w:cs="Times New Roman"/>
                <w:spacing w:val="-16"/>
                <w:sz w:val="20"/>
                <w:szCs w:val="24"/>
                <w:lang w:val="pt-BR"/>
              </w:rPr>
              <w:t xml:space="preserve"> </w:t>
            </w:r>
            <w:r w:rsidR="00F36413" w:rsidRPr="002B4E11">
              <w:rPr>
                <w:rFonts w:ascii="Times New Roman" w:hAnsi="Times New Roman" w:cs="Times New Roman"/>
                <w:sz w:val="20"/>
                <w:szCs w:val="24"/>
                <w:lang w:val="pt-BR"/>
              </w:rPr>
              <w:t>empresa.</w:t>
            </w:r>
          </w:p>
        </w:tc>
      </w:tr>
      <w:tr w:rsidR="00813ABE" w:rsidRPr="002B4E11" w:rsidTr="00284D58">
        <w:trPr>
          <w:trHeight w:val="113"/>
          <w:jc w:val="center"/>
        </w:trPr>
        <w:tc>
          <w:tcPr>
            <w:tcW w:w="5000" w:type="pct"/>
            <w:gridSpan w:val="3"/>
            <w:tcBorders>
              <w:top w:val="single" w:sz="4" w:space="0" w:color="auto"/>
              <w:left w:val="nil"/>
              <w:bottom w:val="nil"/>
              <w:right w:val="nil"/>
            </w:tcBorders>
            <w:vAlign w:val="center"/>
          </w:tcPr>
          <w:p w:rsidR="00813ABE" w:rsidRPr="002B4E11" w:rsidRDefault="00813ABE" w:rsidP="00284D58">
            <w:pPr>
              <w:pStyle w:val="BodyText"/>
              <w:rPr>
                <w:rFonts w:ascii="Times New Roman" w:hAnsi="Times New Roman" w:cs="Times New Roman"/>
                <w:sz w:val="20"/>
                <w:highlight w:val="green"/>
                <w:lang w:val="pt-BR"/>
              </w:rPr>
            </w:pPr>
            <w:r w:rsidRPr="002B4E11">
              <w:rPr>
                <w:rFonts w:ascii="Times New Roman" w:hAnsi="Times New Roman" w:cs="Times New Roman"/>
                <w:sz w:val="20"/>
              </w:rPr>
              <w:t>Fonte: elaborado pelos autores.</w:t>
            </w:r>
          </w:p>
        </w:tc>
      </w:tr>
    </w:tbl>
    <w:p w:rsidR="00786274" w:rsidRPr="007C3FAB" w:rsidRDefault="007C3FAB" w:rsidP="007C3FAB">
      <w:pPr>
        <w:spacing w:line="240" w:lineRule="auto"/>
        <w:rPr>
          <w:rFonts w:ascii="Times New Roman" w:hAnsi="Times New Roman" w:cs="Times New Roman"/>
          <w:b/>
          <w:sz w:val="24"/>
        </w:rPr>
      </w:pPr>
      <w:r>
        <w:rPr>
          <w:rFonts w:ascii="Times New Roman" w:hAnsi="Times New Roman" w:cs="Times New Roman"/>
          <w:b/>
          <w:sz w:val="24"/>
        </w:rPr>
        <w:t xml:space="preserve">3 </w:t>
      </w:r>
      <w:r w:rsidR="002423CE" w:rsidRPr="007C3FAB">
        <w:rPr>
          <w:rFonts w:ascii="Times New Roman" w:hAnsi="Times New Roman" w:cs="Times New Roman"/>
          <w:b/>
          <w:sz w:val="24"/>
        </w:rPr>
        <w:t>Procedimentos metodológicos</w:t>
      </w:r>
    </w:p>
    <w:p w:rsidR="00786274" w:rsidRPr="007C3FAB" w:rsidRDefault="007C3FAB" w:rsidP="007C3FAB">
      <w:pPr>
        <w:spacing w:line="240" w:lineRule="auto"/>
        <w:rPr>
          <w:rFonts w:ascii="Times New Roman" w:hAnsi="Times New Roman" w:cs="Times New Roman"/>
          <w:b/>
          <w:sz w:val="24"/>
          <w:lang w:val="pt-BR"/>
        </w:rPr>
      </w:pPr>
      <w:r w:rsidRPr="007C3FAB">
        <w:rPr>
          <w:rFonts w:ascii="Times New Roman" w:hAnsi="Times New Roman" w:cs="Times New Roman"/>
          <w:b/>
          <w:sz w:val="24"/>
          <w:lang w:val="pt-BR"/>
        </w:rPr>
        <w:t xml:space="preserve">3.1 </w:t>
      </w:r>
      <w:r w:rsidR="00786274" w:rsidRPr="007C3FAB">
        <w:rPr>
          <w:rFonts w:ascii="Times New Roman" w:hAnsi="Times New Roman" w:cs="Times New Roman"/>
          <w:b/>
          <w:sz w:val="24"/>
          <w:lang w:val="pt-BR"/>
        </w:rPr>
        <w:t xml:space="preserve">Seleção de dados e tratamento da amostra </w:t>
      </w:r>
    </w:p>
    <w:p w:rsidR="001A2445" w:rsidRPr="00C35568" w:rsidRDefault="002423CE"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Inicialmente a amostra foi composta pelas 59 empresas que compunham o índice Ibovespa (IBOV) referente ao período de janeiro a abril de 2017. Este índice tem como objetivo medir o desempenho médio das cotações dos ativos de maior negociabilidade e representatividade do mercado de ações brasileiro.</w:t>
      </w:r>
    </w:p>
    <w:p w:rsidR="00CD6E08" w:rsidRPr="00C35568" w:rsidRDefault="002423CE"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Após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definição</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da</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amostra</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foram</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coletados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dados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para</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remuneração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dos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executivos nos formulários de referência (FR) emitidos em 2013, 2014, 2015 e 2016. O item 13 do FR</w:t>
      </w:r>
      <w:r w:rsidRPr="00C35568">
        <w:rPr>
          <w:rFonts w:ascii="Times New Roman" w:hAnsi="Times New Roman" w:cs="Times New Roman"/>
          <w:spacing w:val="-15"/>
          <w:lang w:val="pt-BR"/>
        </w:rPr>
        <w:t xml:space="preserve"> </w:t>
      </w:r>
      <w:r w:rsidRPr="00C35568">
        <w:rPr>
          <w:rFonts w:ascii="Times New Roman" w:hAnsi="Times New Roman" w:cs="Times New Roman"/>
          <w:lang w:val="pt-BR"/>
        </w:rPr>
        <w:t>foi utilizado para composição dos valores remuneratórios. Para identificação das características dos executivos utilizou-se o item 12 do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FR.</w:t>
      </w:r>
      <w:r w:rsidR="00486B45" w:rsidRPr="00C35568">
        <w:rPr>
          <w:rFonts w:ascii="Times New Roman" w:hAnsi="Times New Roman" w:cs="Times New Roman"/>
          <w:lang w:val="pt-BR"/>
        </w:rPr>
        <w:t xml:space="preserve"> Após </w:t>
      </w:r>
      <w:r w:rsidR="00B12BC7" w:rsidRPr="00C35568">
        <w:rPr>
          <w:rFonts w:ascii="Times New Roman" w:hAnsi="Times New Roman" w:cs="Times New Roman"/>
          <w:lang w:val="pt-BR"/>
        </w:rPr>
        <w:t>esta coleta</w:t>
      </w:r>
      <w:r w:rsidR="00486B45" w:rsidRPr="00C35568">
        <w:rPr>
          <w:rFonts w:ascii="Times New Roman" w:hAnsi="Times New Roman" w:cs="Times New Roman"/>
          <w:lang w:val="pt-BR"/>
        </w:rPr>
        <w:t xml:space="preserve">, foram </w:t>
      </w:r>
      <w:r w:rsidR="00B12BC7" w:rsidRPr="00C35568">
        <w:rPr>
          <w:rFonts w:ascii="Times New Roman" w:hAnsi="Times New Roman" w:cs="Times New Roman"/>
          <w:lang w:val="pt-BR"/>
        </w:rPr>
        <w:t>selecionadas as informações financeiras, e</w:t>
      </w:r>
      <w:r w:rsidR="00486B45" w:rsidRPr="00C35568">
        <w:rPr>
          <w:rFonts w:ascii="Times New Roman" w:hAnsi="Times New Roman" w:cs="Times New Roman"/>
          <w:lang w:val="pt-BR"/>
        </w:rPr>
        <w:t>stas, obtidas do banco de dados Economatica®.</w:t>
      </w:r>
      <w:r w:rsidR="00CD6E08" w:rsidRPr="00C35568">
        <w:rPr>
          <w:rFonts w:ascii="Times New Roman" w:hAnsi="Times New Roman" w:cs="Times New Roman"/>
          <w:lang w:val="pt-BR"/>
        </w:rPr>
        <w:t xml:space="preserve"> </w:t>
      </w:r>
    </w:p>
    <w:p w:rsidR="001A2445" w:rsidRDefault="00486B45"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No procedimento de construção da amostra, inicialmente foram excluídas as empresas do setor financeiro e áreas afins devido às diferenças estruturais, operacionais e financeiras</w:t>
      </w:r>
      <w:r w:rsidR="00FD7ADD"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"10.2308/acch.1999.13.4.365", "ISBN" : "08887993", "ISSN" : "08887993", "PMID" : "2811297", "author" : [ { "dropping-particle" : "", "family" : "Healy", "given" : "Paul M", "non-dropping-particle" : "", "parse-names" : false, "suffix" : "" }, { "dropping-particle" : "", "family" : "Wahlen", "given" : "James M", "non-dropping-particle" : "", "parse-names" : false, "suffix" : "" } ], "container-title" : "Accounting Horizons", "id" : "ITEM-1", "issue" : "4", "issued" : { "date-parts" : [ [ "1999" ] ] }, "page" : "365-383", "title" : "A Review of the Earnings Management Literature and Its Implications for Standard Setting", "type" : "article-journal", "volume" : "13" }, "uris" : [ "http://www.mendeley.com/documents/?uuid=7b0f17a8-a281-4573-b12e-ead9b3761cf2" ] } ], "mendeley" : { "formattedCitation" : "(HEALY; WAHLEN, 1999)", "plainTextFormattedCitation" : "(HEALY; WAHLEN, 1999)", "previouslyFormattedCitation" : "(HEALY; WAHLEN, 1999)"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bCs/>
          <w:noProof/>
          <w:lang w:val="pt-BR"/>
        </w:rPr>
        <w:t>(HEALY; WAHLEN, 1999)</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Posteriormente foram excluídas as empresas com ações em duplicidade no IBOV. Por fim, foram excluídas as empresas com dados faltantes para o cálculo das variáveis. Após os ajustes a amostra findou</w:t>
      </w:r>
      <w:r w:rsidR="002423CE" w:rsidRPr="00C35568">
        <w:rPr>
          <w:rFonts w:ascii="Times New Roman" w:hAnsi="Times New Roman" w:cs="Times New Roman"/>
          <w:lang w:val="pt-BR"/>
        </w:rPr>
        <w:t xml:space="preserve"> em 43 empresas, </w:t>
      </w:r>
      <w:r w:rsidR="00560BD9" w:rsidRPr="00C35568">
        <w:rPr>
          <w:rFonts w:ascii="Times New Roman" w:hAnsi="Times New Roman" w:cs="Times New Roman"/>
          <w:lang w:val="pt-BR"/>
        </w:rPr>
        <w:t xml:space="preserve">sendo </w:t>
      </w:r>
      <w:r w:rsidR="002423CE" w:rsidRPr="00C35568">
        <w:rPr>
          <w:rFonts w:ascii="Times New Roman" w:hAnsi="Times New Roman" w:cs="Times New Roman"/>
          <w:lang w:val="pt-BR"/>
        </w:rPr>
        <w:t>17</w:t>
      </w:r>
      <w:r w:rsidRPr="00C35568">
        <w:rPr>
          <w:rFonts w:ascii="Times New Roman" w:hAnsi="Times New Roman" w:cs="Times New Roman"/>
          <w:lang w:val="pt-BR"/>
        </w:rPr>
        <w:t>0</w:t>
      </w:r>
      <w:r w:rsidR="002423CE" w:rsidRPr="00C35568">
        <w:rPr>
          <w:rFonts w:ascii="Times New Roman" w:hAnsi="Times New Roman" w:cs="Times New Roman"/>
          <w:lang w:val="pt-BR"/>
        </w:rPr>
        <w:t xml:space="preserve"> </w:t>
      </w:r>
      <w:r w:rsidR="00560BD9" w:rsidRPr="00C35568">
        <w:rPr>
          <w:rFonts w:ascii="Times New Roman" w:hAnsi="Times New Roman" w:cs="Times New Roman"/>
          <w:lang w:val="pt-BR"/>
        </w:rPr>
        <w:t>empresas/anos.</w:t>
      </w:r>
    </w:p>
    <w:p w:rsidR="00DC2517" w:rsidRPr="00C35568" w:rsidRDefault="00DC2517" w:rsidP="00DC2517">
      <w:pPr>
        <w:pStyle w:val="BodyText"/>
        <w:spacing w:after="0" w:line="240" w:lineRule="auto"/>
        <w:ind w:firstLine="709"/>
        <w:jc w:val="both"/>
        <w:rPr>
          <w:rFonts w:ascii="Times New Roman" w:hAnsi="Times New Roman" w:cs="Times New Roman"/>
          <w:lang w:val="pt-BR"/>
        </w:rPr>
      </w:pPr>
    </w:p>
    <w:p w:rsidR="001A2445" w:rsidRPr="00C35568" w:rsidRDefault="007C3FAB" w:rsidP="00DC2517">
      <w:pPr>
        <w:pStyle w:val="BodyText"/>
        <w:spacing w:line="240" w:lineRule="auto"/>
        <w:rPr>
          <w:rFonts w:ascii="Times New Roman" w:hAnsi="Times New Roman" w:cs="Times New Roman"/>
          <w:b/>
          <w:lang w:val="pt-BR"/>
        </w:rPr>
      </w:pPr>
      <w:r>
        <w:rPr>
          <w:rFonts w:ascii="Times New Roman" w:hAnsi="Times New Roman" w:cs="Times New Roman"/>
          <w:b/>
          <w:lang w:val="pt-BR"/>
        </w:rPr>
        <w:t xml:space="preserve">3.2 </w:t>
      </w:r>
      <w:r w:rsidR="002423CE" w:rsidRPr="00C35568">
        <w:rPr>
          <w:rFonts w:ascii="Times New Roman" w:hAnsi="Times New Roman" w:cs="Times New Roman"/>
          <w:b/>
          <w:lang w:val="pt-BR"/>
        </w:rPr>
        <w:t>Definição teórica e operacional das</w:t>
      </w:r>
      <w:r w:rsidR="002423CE" w:rsidRPr="00C35568">
        <w:rPr>
          <w:rFonts w:ascii="Times New Roman" w:hAnsi="Times New Roman" w:cs="Times New Roman"/>
          <w:b/>
          <w:spacing w:val="-10"/>
          <w:lang w:val="pt-BR"/>
        </w:rPr>
        <w:t xml:space="preserve"> </w:t>
      </w:r>
      <w:r w:rsidR="002423CE" w:rsidRPr="00C35568">
        <w:rPr>
          <w:rFonts w:ascii="Times New Roman" w:hAnsi="Times New Roman" w:cs="Times New Roman"/>
          <w:b/>
          <w:lang w:val="pt-BR"/>
        </w:rPr>
        <w:t>variáveis</w:t>
      </w:r>
    </w:p>
    <w:p w:rsidR="001A2445" w:rsidRPr="00DC2517" w:rsidRDefault="00486B45" w:rsidP="00567F3A">
      <w:pPr>
        <w:pStyle w:val="BodyText"/>
        <w:jc w:val="both"/>
        <w:rPr>
          <w:rFonts w:ascii="Times New Roman" w:hAnsi="Times New Roman" w:cs="Times New Roman"/>
          <w:i/>
          <w:lang w:val="pt-BR"/>
        </w:rPr>
      </w:pPr>
      <w:r w:rsidRPr="00DC2517">
        <w:rPr>
          <w:rFonts w:ascii="Times New Roman" w:hAnsi="Times New Roman" w:cs="Times New Roman"/>
          <w:i/>
          <w:lang w:val="pt-BR"/>
        </w:rPr>
        <w:t xml:space="preserve">Variáveis dependentes: </w:t>
      </w:r>
      <w:r w:rsidR="00446871" w:rsidRPr="00DC2517">
        <w:rPr>
          <w:rFonts w:ascii="Times New Roman" w:hAnsi="Times New Roman" w:cs="Times New Roman"/>
          <w:i/>
          <w:lang w:val="pt-BR"/>
        </w:rPr>
        <w:t>r</w:t>
      </w:r>
      <w:r w:rsidRPr="00DC2517">
        <w:rPr>
          <w:rFonts w:ascii="Times New Roman" w:hAnsi="Times New Roman" w:cs="Times New Roman"/>
          <w:i/>
          <w:lang w:val="pt-BR"/>
        </w:rPr>
        <w:t>emuneração executiva</w:t>
      </w:r>
    </w:p>
    <w:p w:rsidR="0044696D" w:rsidRDefault="002423CE"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 remuneração executiva pode se</w:t>
      </w:r>
      <w:r w:rsidR="00B45527" w:rsidRPr="00C35568">
        <w:rPr>
          <w:rFonts w:ascii="Times New Roman" w:hAnsi="Times New Roman" w:cs="Times New Roman"/>
          <w:lang w:val="pt-BR"/>
        </w:rPr>
        <w:t xml:space="preserve">r ramificada em sua parte fixa e </w:t>
      </w:r>
      <w:r w:rsidR="00B205BD" w:rsidRPr="00C35568">
        <w:rPr>
          <w:rFonts w:ascii="Times New Roman" w:hAnsi="Times New Roman" w:cs="Times New Roman"/>
          <w:lang w:val="pt-BR"/>
        </w:rPr>
        <w:t>variável</w:t>
      </w:r>
      <w:r w:rsidR="00B45527" w:rsidRPr="00C35568">
        <w:rPr>
          <w:rFonts w:ascii="Times New Roman" w:hAnsi="Times New Roman" w:cs="Times New Roman"/>
          <w:lang w:val="pt-BR"/>
        </w:rPr>
        <w:t>. A literatura também apoia que a remuneração</w:t>
      </w:r>
      <w:r w:rsidR="0017043A" w:rsidRPr="00C35568">
        <w:rPr>
          <w:rFonts w:ascii="Times New Roman" w:hAnsi="Times New Roman" w:cs="Times New Roman"/>
          <w:lang w:val="pt-BR"/>
        </w:rPr>
        <w:t xml:space="preserve"> executiva</w:t>
      </w:r>
      <w:r w:rsidR="00B45527" w:rsidRPr="00C35568">
        <w:rPr>
          <w:rFonts w:ascii="Times New Roman" w:hAnsi="Times New Roman" w:cs="Times New Roman"/>
          <w:lang w:val="pt-BR"/>
        </w:rPr>
        <w:t xml:space="preserve"> seja medida pelo desempenho baseado em ações</w:t>
      </w:r>
      <w:r w:rsidR="00FD7ADD"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"Murphy", "given" : "Kevin J", "non-dropping-particle" : "", "parse-names" : false, "suffix" : "" } ], "container-title" : "Handbook of Labor Economics", "id" : "ITEM-1", "issued" : { "date-parts" : [ [ "1999" ] ] }, "page" : "2485-2563", "title" : "Executive Compensation", "type" : "chapter", "volume" : "3" }, "uris" : [ "http://www.mendeley.com/documents/?uuid=25725f4d-965b-47ce-bf4e-b6520906de2f" ] } ], "mendeley" : { "formattedCitation" : "(MURPHY, 1999)", "plainTextFormattedCitation" : "(MURPHY, 1999)", "previouslyFormattedCitation" : "(MURPHY, 1999)"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(MURPHY, 1999)</w:t>
      </w:r>
      <w:r w:rsidR="00C70C2A" w:rsidRPr="00C35568">
        <w:rPr>
          <w:rStyle w:val="FootnoteReference"/>
          <w:rFonts w:ascii="Times New Roman" w:hAnsi="Times New Roman" w:cs="Times New Roman"/>
          <w:lang w:val="pt-BR"/>
        </w:rPr>
        <w:fldChar w:fldCharType="end"/>
      </w:r>
      <w:r w:rsidR="00B45527" w:rsidRPr="00C35568">
        <w:rPr>
          <w:rFonts w:ascii="Times New Roman" w:hAnsi="Times New Roman" w:cs="Times New Roman"/>
          <w:lang w:val="pt-BR"/>
        </w:rPr>
        <w:t>. Com isso</w:t>
      </w:r>
      <w:r w:rsidR="00B12BC7" w:rsidRPr="00C35568">
        <w:rPr>
          <w:rFonts w:ascii="Times New Roman" w:hAnsi="Times New Roman" w:cs="Times New Roman"/>
          <w:lang w:val="pt-BR"/>
        </w:rPr>
        <w:t>,</w:t>
      </w:r>
      <w:r w:rsidR="00B45527" w:rsidRPr="00C35568">
        <w:rPr>
          <w:rFonts w:ascii="Times New Roman" w:hAnsi="Times New Roman" w:cs="Times New Roman"/>
          <w:lang w:val="pt-BR"/>
        </w:rPr>
        <w:t xml:space="preserve"> a variável remuneração </w:t>
      </w:r>
      <w:r w:rsidR="00B12BC7" w:rsidRPr="00C35568">
        <w:rPr>
          <w:rFonts w:ascii="Times New Roman" w:hAnsi="Times New Roman" w:cs="Times New Roman"/>
          <w:lang w:val="pt-BR"/>
        </w:rPr>
        <w:t xml:space="preserve">total </w:t>
      </w:r>
      <w:r w:rsidR="00B45527" w:rsidRPr="00C35568">
        <w:rPr>
          <w:rFonts w:ascii="Times New Roman" w:hAnsi="Times New Roman" w:cs="Times New Roman"/>
          <w:lang w:val="pt-BR"/>
        </w:rPr>
        <w:t xml:space="preserve">foi </w:t>
      </w:r>
      <w:r w:rsidR="00B205BD" w:rsidRPr="00C35568">
        <w:rPr>
          <w:rFonts w:ascii="Times New Roman" w:hAnsi="Times New Roman" w:cs="Times New Roman"/>
          <w:lang w:val="pt-BR"/>
        </w:rPr>
        <w:t>estratificada</w:t>
      </w:r>
      <w:r w:rsidR="00B45527" w:rsidRPr="00C35568">
        <w:rPr>
          <w:rFonts w:ascii="Times New Roman" w:hAnsi="Times New Roman" w:cs="Times New Roman"/>
          <w:lang w:val="pt-BR"/>
        </w:rPr>
        <w:t xml:space="preserve"> </w:t>
      </w:r>
      <w:r w:rsidR="00B12BC7" w:rsidRPr="00C35568">
        <w:rPr>
          <w:rFonts w:ascii="Times New Roman" w:hAnsi="Times New Roman" w:cs="Times New Roman"/>
          <w:lang w:val="pt-BR"/>
        </w:rPr>
        <w:t xml:space="preserve">em seu componente </w:t>
      </w:r>
      <w:r w:rsidR="00B45527" w:rsidRPr="00C35568">
        <w:rPr>
          <w:rFonts w:ascii="Times New Roman" w:hAnsi="Times New Roman" w:cs="Times New Roman"/>
          <w:lang w:val="pt-BR"/>
        </w:rPr>
        <w:t>fix</w:t>
      </w:r>
      <w:r w:rsidR="00B12BC7" w:rsidRPr="00C35568">
        <w:rPr>
          <w:rFonts w:ascii="Times New Roman" w:hAnsi="Times New Roman" w:cs="Times New Roman"/>
          <w:lang w:val="pt-BR"/>
        </w:rPr>
        <w:t xml:space="preserve">o, variável e mediante </w:t>
      </w:r>
      <w:r w:rsidR="00B45527" w:rsidRPr="00C35568">
        <w:rPr>
          <w:rFonts w:ascii="Times New Roman" w:hAnsi="Times New Roman" w:cs="Times New Roman"/>
          <w:lang w:val="pt-BR"/>
        </w:rPr>
        <w:t>pagamentos baseados em ações</w:t>
      </w:r>
      <w:r w:rsidR="00B12BC7" w:rsidRPr="00C35568">
        <w:rPr>
          <w:rFonts w:ascii="Times New Roman" w:hAnsi="Times New Roman" w:cs="Times New Roman"/>
          <w:lang w:val="pt-BR"/>
        </w:rPr>
        <w:t>.</w:t>
      </w:r>
      <w:r w:rsidR="00B45527" w:rsidRPr="00C35568">
        <w:rPr>
          <w:rFonts w:ascii="Times New Roman" w:hAnsi="Times New Roman" w:cs="Times New Roman"/>
          <w:lang w:val="pt-BR"/>
        </w:rPr>
        <w:t xml:space="preserve"> </w:t>
      </w:r>
      <w:r w:rsidRPr="00C35568">
        <w:rPr>
          <w:rFonts w:ascii="Times New Roman" w:hAnsi="Times New Roman" w:cs="Times New Roman"/>
          <w:lang w:val="pt-BR"/>
        </w:rPr>
        <w:t>As pesquisas internacionais que analisam as determinante</w:t>
      </w:r>
      <w:r w:rsidR="00B45527" w:rsidRPr="00C35568">
        <w:rPr>
          <w:rFonts w:ascii="Times New Roman" w:hAnsi="Times New Roman" w:cs="Times New Roman"/>
          <w:lang w:val="pt-BR"/>
        </w:rPr>
        <w:t xml:space="preserve">s da remuneração suportam as </w:t>
      </w:r>
      <w:r w:rsidR="00B205BD" w:rsidRPr="00C35568">
        <w:rPr>
          <w:rFonts w:ascii="Times New Roman" w:hAnsi="Times New Roman" w:cs="Times New Roman"/>
          <w:lang w:val="pt-BR"/>
        </w:rPr>
        <w:t>estratificações</w:t>
      </w:r>
      <w:r w:rsidR="00B45527" w:rsidRPr="00C35568">
        <w:rPr>
          <w:rFonts w:ascii="Times New Roman" w:hAnsi="Times New Roman" w:cs="Times New Roman"/>
          <w:lang w:val="pt-BR"/>
        </w:rPr>
        <w:t xml:space="preserve"> escolhidas</w:t>
      </w:r>
      <w:r w:rsidR="00B12BC7" w:rsidRPr="00C35568">
        <w:rPr>
          <w:rFonts w:ascii="Times New Roman" w:hAnsi="Times New Roman" w:cs="Times New Roman"/>
          <w:lang w:val="pt-BR"/>
        </w:rPr>
        <w:t xml:space="preserve">, conforme apresentado na </w:t>
      </w:r>
      <w:r w:rsidR="005A4FB7" w:rsidRPr="00C35568">
        <w:rPr>
          <w:rFonts w:ascii="Times New Roman" w:hAnsi="Times New Roman" w:cs="Times New Roman"/>
          <w:lang w:val="pt-BR"/>
        </w:rPr>
        <w:t xml:space="preserve">Tabela </w:t>
      </w:r>
      <w:r w:rsidR="00D613A3" w:rsidRPr="00C35568">
        <w:rPr>
          <w:rFonts w:ascii="Times New Roman" w:hAnsi="Times New Roman" w:cs="Times New Roman"/>
          <w:lang w:val="pt-BR"/>
        </w:rPr>
        <w:t>2</w:t>
      </w:r>
      <w:r w:rsidR="00B12BC7" w:rsidRPr="00C35568">
        <w:rPr>
          <w:rFonts w:ascii="Times New Roman" w:hAnsi="Times New Roman" w:cs="Times New Roman"/>
          <w:lang w:val="pt-BR"/>
        </w:rPr>
        <w:t>.</w:t>
      </w:r>
    </w:p>
    <w:p w:rsidR="0056375D" w:rsidRPr="00C35568" w:rsidRDefault="0056375D" w:rsidP="00DC2517">
      <w:pPr>
        <w:pStyle w:val="BodyText"/>
        <w:spacing w:after="0" w:line="240" w:lineRule="auto"/>
        <w:ind w:firstLine="709"/>
        <w:jc w:val="both"/>
        <w:rPr>
          <w:rFonts w:ascii="Times New Roman" w:hAnsi="Times New Roman" w:cs="Times New Roman"/>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1501"/>
        <w:gridCol w:w="222"/>
        <w:gridCol w:w="1481"/>
        <w:gridCol w:w="222"/>
        <w:gridCol w:w="1633"/>
        <w:gridCol w:w="222"/>
        <w:gridCol w:w="1988"/>
      </w:tblGrid>
      <w:tr w:rsidR="00714781" w:rsidRPr="00351C7E" w:rsidTr="00284D58">
        <w:trPr>
          <w:trHeight w:val="57"/>
          <w:jc w:val="center"/>
        </w:trPr>
        <w:tc>
          <w:tcPr>
            <w:tcW w:w="0" w:type="auto"/>
            <w:gridSpan w:val="8"/>
            <w:tcBorders>
              <w:bottom w:val="single" w:sz="4" w:space="0" w:color="auto"/>
            </w:tcBorders>
            <w:vAlign w:val="center"/>
          </w:tcPr>
          <w:p w:rsidR="00714781" w:rsidRPr="00DC2517" w:rsidRDefault="00714781" w:rsidP="00DC2517">
            <w:pPr>
              <w:pStyle w:val="BodyText"/>
              <w:jc w:val="center"/>
              <w:rPr>
                <w:rFonts w:ascii="Times New Roman" w:hAnsi="Times New Roman" w:cs="Times New Roman"/>
                <w:b/>
                <w:sz w:val="20"/>
                <w:szCs w:val="20"/>
                <w:lang w:val="pt-BR"/>
              </w:rPr>
            </w:pPr>
            <w:r w:rsidRPr="00DC2517">
              <w:rPr>
                <w:rFonts w:ascii="Times New Roman" w:hAnsi="Times New Roman" w:cs="Times New Roman"/>
                <w:b/>
                <w:sz w:val="20"/>
                <w:szCs w:val="20"/>
                <w:lang w:val="pt-BR"/>
              </w:rPr>
              <w:t xml:space="preserve">Tabela </w:t>
            </w:r>
            <w:r w:rsidR="00D613A3" w:rsidRPr="00DC2517">
              <w:rPr>
                <w:rFonts w:ascii="Times New Roman" w:hAnsi="Times New Roman" w:cs="Times New Roman"/>
                <w:b/>
                <w:sz w:val="20"/>
                <w:szCs w:val="20"/>
                <w:lang w:val="pt-BR"/>
              </w:rPr>
              <w:t>2</w:t>
            </w:r>
            <w:r w:rsidRPr="00DC2517">
              <w:rPr>
                <w:rFonts w:ascii="Times New Roman" w:hAnsi="Times New Roman" w:cs="Times New Roman"/>
                <w:b/>
                <w:sz w:val="20"/>
                <w:szCs w:val="20"/>
                <w:lang w:val="pt-BR"/>
              </w:rPr>
              <w:t xml:space="preserve"> – </w:t>
            </w:r>
            <w:r w:rsidR="00B205BD" w:rsidRPr="00DC2517">
              <w:rPr>
                <w:rFonts w:ascii="Times New Roman" w:hAnsi="Times New Roman" w:cs="Times New Roman"/>
                <w:b/>
                <w:sz w:val="20"/>
                <w:szCs w:val="20"/>
                <w:lang w:val="pt-BR"/>
              </w:rPr>
              <w:t>Estratificação</w:t>
            </w:r>
            <w:r w:rsidRPr="00DC2517">
              <w:rPr>
                <w:rFonts w:ascii="Times New Roman" w:hAnsi="Times New Roman" w:cs="Times New Roman"/>
                <w:b/>
                <w:sz w:val="20"/>
                <w:szCs w:val="20"/>
                <w:lang w:val="pt-BR"/>
              </w:rPr>
              <w:t xml:space="preserve"> da remuneração executiva</w:t>
            </w:r>
          </w:p>
        </w:tc>
      </w:tr>
      <w:tr w:rsidR="00284D58" w:rsidRPr="00DC2517" w:rsidTr="00284D58">
        <w:trPr>
          <w:trHeight w:val="57"/>
          <w:jc w:val="center"/>
        </w:trPr>
        <w:tc>
          <w:tcPr>
            <w:tcW w:w="0" w:type="auto"/>
            <w:tcBorders>
              <w:top w:val="single" w:sz="4" w:space="0" w:color="auto"/>
            </w:tcBorders>
            <w:vAlign w:val="center"/>
          </w:tcPr>
          <w:p w:rsidR="00714781" w:rsidRPr="00DC2517" w:rsidRDefault="00714781" w:rsidP="00567F3A">
            <w:pPr>
              <w:pStyle w:val="BodyText"/>
              <w:jc w:val="both"/>
              <w:rPr>
                <w:rFonts w:ascii="Times New Roman" w:hAnsi="Times New Roman" w:cs="Times New Roman"/>
                <w:sz w:val="20"/>
                <w:szCs w:val="20"/>
                <w:u w:val="single"/>
                <w:lang w:val="pt-BR"/>
              </w:rPr>
            </w:pPr>
          </w:p>
        </w:tc>
        <w:tc>
          <w:tcPr>
            <w:tcW w:w="0" w:type="auto"/>
            <w:tcBorders>
              <w:top w:val="single" w:sz="4" w:space="0" w:color="auto"/>
              <w:bottom w:val="single" w:sz="4" w:space="0" w:color="auto"/>
            </w:tcBorders>
            <w:vAlign w:val="center"/>
          </w:tcPr>
          <w:p w:rsidR="00714781" w:rsidRPr="00DC2517" w:rsidRDefault="00714781"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total</w:t>
            </w:r>
          </w:p>
        </w:tc>
        <w:tc>
          <w:tcPr>
            <w:tcW w:w="0" w:type="auto"/>
            <w:tcBorders>
              <w:top w:val="single" w:sz="4" w:space="0" w:color="auto"/>
            </w:tcBorders>
            <w:vAlign w:val="center"/>
          </w:tcPr>
          <w:p w:rsidR="00714781" w:rsidRPr="00DC2517" w:rsidRDefault="00714781" w:rsidP="00567F3A">
            <w:pPr>
              <w:pStyle w:val="BodyText"/>
              <w:jc w:val="center"/>
              <w:rPr>
                <w:rFonts w:ascii="Times New Roman" w:hAnsi="Times New Roman" w:cs="Times New Roman"/>
                <w:sz w:val="20"/>
                <w:szCs w:val="20"/>
                <w:lang w:val="pt-BR"/>
              </w:rPr>
            </w:pPr>
          </w:p>
        </w:tc>
        <w:tc>
          <w:tcPr>
            <w:tcW w:w="0" w:type="auto"/>
            <w:tcBorders>
              <w:top w:val="single" w:sz="4" w:space="0" w:color="auto"/>
              <w:bottom w:val="single" w:sz="4" w:space="0" w:color="auto"/>
            </w:tcBorders>
            <w:vAlign w:val="center"/>
          </w:tcPr>
          <w:p w:rsidR="00714781" w:rsidRPr="00DC2517" w:rsidRDefault="00714781"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fixa</w:t>
            </w:r>
          </w:p>
        </w:tc>
        <w:tc>
          <w:tcPr>
            <w:tcW w:w="0" w:type="auto"/>
            <w:tcBorders>
              <w:top w:val="single" w:sz="4" w:space="0" w:color="auto"/>
            </w:tcBorders>
          </w:tcPr>
          <w:p w:rsidR="00714781" w:rsidRPr="00DC2517" w:rsidRDefault="00714781" w:rsidP="00567F3A">
            <w:pPr>
              <w:pStyle w:val="BodyText"/>
              <w:jc w:val="center"/>
              <w:rPr>
                <w:rFonts w:ascii="Times New Roman" w:hAnsi="Times New Roman" w:cs="Times New Roman"/>
                <w:sz w:val="20"/>
                <w:szCs w:val="20"/>
                <w:lang w:val="pt-BR"/>
              </w:rPr>
            </w:pPr>
          </w:p>
        </w:tc>
        <w:tc>
          <w:tcPr>
            <w:tcW w:w="0" w:type="auto"/>
            <w:tcBorders>
              <w:top w:val="single" w:sz="4" w:space="0" w:color="auto"/>
              <w:bottom w:val="single" w:sz="4" w:space="0" w:color="auto"/>
            </w:tcBorders>
            <w:vAlign w:val="center"/>
          </w:tcPr>
          <w:p w:rsidR="00714781" w:rsidRPr="00DC2517" w:rsidRDefault="00714781"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variável</w:t>
            </w:r>
          </w:p>
        </w:tc>
        <w:tc>
          <w:tcPr>
            <w:tcW w:w="0" w:type="auto"/>
            <w:tcBorders>
              <w:top w:val="single" w:sz="4" w:space="0" w:color="auto"/>
            </w:tcBorders>
          </w:tcPr>
          <w:p w:rsidR="00714781" w:rsidRPr="00DC2517" w:rsidRDefault="00714781" w:rsidP="00567F3A">
            <w:pPr>
              <w:pStyle w:val="BodyText"/>
              <w:jc w:val="center"/>
              <w:rPr>
                <w:rFonts w:ascii="Times New Roman" w:hAnsi="Times New Roman" w:cs="Times New Roman"/>
                <w:sz w:val="20"/>
                <w:szCs w:val="20"/>
                <w:lang w:val="pt-BR"/>
              </w:rPr>
            </w:pPr>
          </w:p>
        </w:tc>
        <w:tc>
          <w:tcPr>
            <w:tcW w:w="0" w:type="auto"/>
            <w:tcBorders>
              <w:top w:val="single" w:sz="4" w:space="0" w:color="auto"/>
              <w:bottom w:val="single" w:sz="4" w:space="0" w:color="auto"/>
            </w:tcBorders>
            <w:vAlign w:val="center"/>
          </w:tcPr>
          <w:p w:rsidR="00714781" w:rsidRPr="00DC2517" w:rsidRDefault="00714781"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baseada em ações</w:t>
            </w:r>
          </w:p>
        </w:tc>
      </w:tr>
      <w:tr w:rsidR="00284D58" w:rsidRPr="00DC2517" w:rsidTr="00284D58">
        <w:trPr>
          <w:trHeight w:hRule="exact" w:val="510"/>
          <w:jc w:val="center"/>
        </w:trPr>
        <w:tc>
          <w:tcPr>
            <w:tcW w:w="0" w:type="auto"/>
            <w:shd w:val="clear" w:color="auto" w:fill="FFFFFF" w:themeFill="background1"/>
            <w:vAlign w:val="center"/>
          </w:tcPr>
          <w:p w:rsidR="00716218" w:rsidRPr="00DC2517" w:rsidRDefault="00C70C2A" w:rsidP="00567F3A">
            <w:pPr>
              <w:pStyle w:val="BodyText"/>
              <w:jc w:val="both"/>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"mendeley" : { "formattedCitation" : "(ELKINAWY; STATER, 2011)", "manualFormatting" : "Elkinawy e Stater (2011)", "plainTextFormattedCitation" : "(ELKINAWY; STATER, 2011)", "previouslyFormattedCitation" : "(ELKINAWY; STATER, 2011)"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Elkinawy e Stater (2011)</w:t>
            </w:r>
            <w:r w:rsidRPr="00DC2517">
              <w:rPr>
                <w:rStyle w:val="FootnoteReference"/>
                <w:rFonts w:ascii="Times New Roman" w:hAnsi="Times New Roman" w:cs="Times New Roman"/>
                <w:sz w:val="20"/>
                <w:szCs w:val="20"/>
                <w:lang w:val="pt-BR"/>
              </w:rPr>
              <w:fldChar w:fldCharType="end"/>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r>
      <w:tr w:rsidR="00284D58" w:rsidRPr="00DC2517" w:rsidTr="00284D58">
        <w:trPr>
          <w:trHeight w:hRule="exact" w:val="283"/>
          <w:jc w:val="center"/>
        </w:trPr>
        <w:tc>
          <w:tcPr>
            <w:tcW w:w="0" w:type="auto"/>
            <w:shd w:val="clear" w:color="auto" w:fill="FFFFFF" w:themeFill="background1"/>
            <w:vAlign w:val="center"/>
          </w:tcPr>
          <w:p w:rsidR="00716218" w:rsidRPr="00DC2517" w:rsidRDefault="00C70C2A" w:rsidP="00567F3A">
            <w:pPr>
              <w:pStyle w:val="BodyText"/>
              <w:jc w:val="both"/>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"10.1016/j.mulfin.2007.02.003", "ISSN" : "1042444X", "abstract" : "We use data from the Portuguese Stock Market to examine the link between firm performance, board structure, and top executive pay. We examine whether the governance structure of companies influences top executive pay. Specifically, we consider the role of nonexecutive board members as mediators of the management-shareholder relationship. Our results cast doubt on the effectiveness of independent board members. Firms with more nonexecutive board members pay higher wages to their executives. Furthermore, we find that firms with zero nonexecutive board members actually have fewer agency problems and achieve a better alignment of shareholders' and managers' interests. \u00a9 2007 Elsevier B.V. All rights reserved.", "author" : [ { "dropping-particle" : "", "family" : "Fernandes", "given" : "Nuno", "non-dropping-particle" : "", "parse-names" : false, "suffix" : "" } ], "container-title" : "Journal of Multinational Financial Management", "id" : "ITEM-1", "issue" : "1", "issued" : { "date-parts" : [ [ "2008" ] ] }, "page" : "30-44", "title" : "EC: Board compensation and firm performance: The role of \"independent\" board members", "type" : "article-journal", "volume" : "18" }, "uris" : [ "http://www.mendeley.com/documents/?uuid=1e19251e-3c01-40b5-a2fa-5cf7f1265cbb" ] } ], "mendeley" : { "formattedCitation" : "(FERNANDES, 2008)", "manualFormatting" : "Fernandes (2008)", "plainTextFormattedCitation" : "(FERNANDES, 2008)", "previouslyFormattedCitation" : "(FERNANDES, 2008)"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Fernandes (2008)</w:t>
            </w:r>
            <w:r w:rsidRPr="00DC2517">
              <w:rPr>
                <w:rStyle w:val="FootnoteReference"/>
                <w:rFonts w:ascii="Times New Roman" w:hAnsi="Times New Roman" w:cs="Times New Roman"/>
                <w:sz w:val="20"/>
                <w:szCs w:val="20"/>
                <w:lang w:val="pt-BR"/>
              </w:rPr>
              <w:fldChar w:fldCharType="end"/>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r>
      <w:tr w:rsidR="00284D58" w:rsidRPr="00DC2517" w:rsidTr="00284D58">
        <w:trPr>
          <w:trHeight w:hRule="exact" w:val="510"/>
          <w:jc w:val="center"/>
        </w:trPr>
        <w:tc>
          <w:tcPr>
            <w:tcW w:w="0" w:type="auto"/>
            <w:shd w:val="clear" w:color="auto" w:fill="FFFFFF" w:themeFill="background1"/>
            <w:vAlign w:val="center"/>
          </w:tcPr>
          <w:p w:rsidR="00716218" w:rsidRPr="00DC2517" w:rsidRDefault="00C70C2A" w:rsidP="00567F3A">
            <w:pPr>
              <w:pStyle w:val="BodyText"/>
              <w:jc w:val="both"/>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"mendeley" : { "formattedCitation" : "(GHOSH; SIRMANS, 2005)", "manualFormatting" : "Ghosh e Sirmans (2005)", "plainTextFormattedCitation" : "(GHOSH; SIRMANS, 2005)", "previouslyFormattedCitation" : "(GHOSH; SIRMANS, 2005)"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Ghosh e Sirmans (2005)</w:t>
            </w:r>
            <w:r w:rsidRPr="00DC2517">
              <w:rPr>
                <w:rStyle w:val="FootnoteReference"/>
                <w:rFonts w:ascii="Times New Roman" w:hAnsi="Times New Roman" w:cs="Times New Roman"/>
                <w:sz w:val="20"/>
                <w:szCs w:val="20"/>
                <w:lang w:val="pt-BR"/>
              </w:rPr>
              <w:fldChar w:fldCharType="end"/>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r>
      <w:tr w:rsidR="00284D58" w:rsidRPr="00DC2517" w:rsidTr="00284D58">
        <w:trPr>
          <w:trHeight w:hRule="exact" w:val="227"/>
          <w:jc w:val="center"/>
        </w:trPr>
        <w:tc>
          <w:tcPr>
            <w:tcW w:w="0" w:type="auto"/>
            <w:shd w:val="clear" w:color="auto" w:fill="FFFFFF" w:themeFill="background1"/>
            <w:vAlign w:val="center"/>
          </w:tcPr>
          <w:p w:rsidR="00716218" w:rsidRPr="00DC2517" w:rsidRDefault="00C70C2A" w:rsidP="00567F3A">
            <w:pPr>
              <w:pStyle w:val="BodyText"/>
              <w:jc w:val="both"/>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"author" : [ { "dropping-particle" : "", "family" : "Yan", "given" : "Yan", "non-dropping-particle" : "", "parse-names" : false, "suffix" : "" } ], "id" : "ITEM-1",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"(YAN, 2015)", "manualFormatting" : "Yan (2015)", "plainTextFormattedCitation" : "(YAN, 2015)", "previouslyFormattedCitation" : "(YAN, 2015)"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Yan (2015)</w:t>
            </w:r>
            <w:r w:rsidRPr="00DC2517">
              <w:rPr>
                <w:rStyle w:val="FootnoteReference"/>
                <w:rFonts w:ascii="Times New Roman" w:hAnsi="Times New Roman" w:cs="Times New Roman"/>
                <w:sz w:val="20"/>
                <w:szCs w:val="20"/>
                <w:lang w:val="pt-BR"/>
              </w:rPr>
              <w:fldChar w:fldCharType="end"/>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r>
      <w:tr w:rsidR="00284D58" w:rsidRPr="00DC2517" w:rsidTr="00284D58">
        <w:trPr>
          <w:trHeight w:hRule="exact" w:val="283"/>
          <w:jc w:val="center"/>
        </w:trPr>
        <w:tc>
          <w:tcPr>
            <w:tcW w:w="0" w:type="auto"/>
            <w:shd w:val="clear" w:color="auto" w:fill="FFFFFF" w:themeFill="background1"/>
            <w:vAlign w:val="center"/>
          </w:tcPr>
          <w:p w:rsidR="00716218" w:rsidRPr="00DC2517" w:rsidRDefault="00C70C2A" w:rsidP="00567F3A">
            <w:pPr>
              <w:pStyle w:val="BodyText"/>
              <w:jc w:val="both"/>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"10.2307/30040616", "ISBN" : "0001-4273", "ISSN" : "00014273", "PMID" : "9618381", "abstract" : "Tenho o Artigo original de 2003 para ler on line no JSTOR", "author" : [ { "dropping-particle" : "", "family" : "Franken", "given" : "R.B.M", "non-dropping-particle" : "", "parse-names" : false, "suffix" : "" } ], "id" : "ITEM-1", "issued" : { "date-parts" : [ [ "2010" ] ] }, "number-of-pages" : "226-237", "publisher" : "Tilburg University", "title" : "The determinants of executive compensation An optimal mix in fixed and variable executive rewards for listed companies in the Netherlands Master", "type" : "thesis", "volume" : "57" }, "uris" : [ "http://www.mendeley.com/documents/?uuid=10f1e391-30f8-4fd8-ac2b-a90c180947f4" ] } ], "mendeley" : { "formattedCitation" : "(FRANKEN, 2010)", "manualFormatting" : "Franken (2010)", "plainTextFormattedCitation" : "(FRANKEN, 2010)", "previouslyFormattedCitation" : "(FRANKEN, 2010)"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Franken (2010)</w:t>
            </w:r>
            <w:r w:rsidRPr="00DC2517">
              <w:rPr>
                <w:rStyle w:val="FootnoteReference"/>
                <w:rFonts w:ascii="Times New Roman" w:hAnsi="Times New Roman" w:cs="Times New Roman"/>
                <w:sz w:val="20"/>
                <w:szCs w:val="20"/>
                <w:lang w:val="pt-BR"/>
              </w:rPr>
              <w:fldChar w:fldCharType="end"/>
            </w: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vAlign w:val="center"/>
          </w:tcPr>
          <w:p w:rsidR="00716218" w:rsidRPr="00DC2517" w:rsidRDefault="00716218" w:rsidP="00567F3A">
            <w:pPr>
              <w:pStyle w:val="BodyText"/>
              <w:jc w:val="center"/>
              <w:rPr>
                <w:rFonts w:ascii="Times New Roman" w:hAnsi="Times New Roman" w:cs="Times New Roman"/>
                <w:sz w:val="20"/>
                <w:szCs w:val="20"/>
                <w:lang w:val="pt-BR"/>
              </w:rPr>
            </w:pPr>
          </w:p>
        </w:tc>
      </w:tr>
      <w:tr w:rsidR="00284D58" w:rsidRPr="00DC2517" w:rsidTr="00284D58">
        <w:trPr>
          <w:trHeight w:hRule="exact" w:val="510"/>
          <w:jc w:val="center"/>
        </w:trPr>
        <w:tc>
          <w:tcPr>
            <w:tcW w:w="0" w:type="auto"/>
            <w:tcBorders>
              <w:bottom w:val="single" w:sz="4" w:space="0" w:color="auto"/>
            </w:tcBorders>
            <w:shd w:val="clear" w:color="auto" w:fill="FFFFFF" w:themeFill="background1"/>
            <w:vAlign w:val="center"/>
          </w:tcPr>
          <w:p w:rsidR="00716218" w:rsidRPr="00DC2517" w:rsidRDefault="00C70C2A" w:rsidP="00F16F0D">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"ITEM-1",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"(LAM; MCGUINNESS; VIEITO, 2013)", "manualFormatting" : "Lam, McGuinness e Vieito (2013)", "plainTextFormattedCitation" : "(LAM; MCGUINNESS; VIEITO, 2013)", "previouslyFormattedCitation" : "(LAM; MCGUINNESS; VIEITO, 2013)"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Lam, McGuinness e Vieito (2013)</w:t>
            </w:r>
            <w:r w:rsidRPr="00DC2517">
              <w:rPr>
                <w:rStyle w:val="FootnoteReference"/>
                <w:rFonts w:ascii="Times New Roman" w:hAnsi="Times New Roman" w:cs="Times New Roman"/>
                <w:sz w:val="20"/>
                <w:szCs w:val="20"/>
                <w:lang w:val="pt-BR"/>
              </w:rPr>
              <w:fldChar w:fldCharType="end"/>
            </w:r>
          </w:p>
        </w:tc>
        <w:tc>
          <w:tcPr>
            <w:tcW w:w="0" w:type="auto"/>
            <w:tcBorders>
              <w:bottom w:val="single" w:sz="4" w:space="0" w:color="auto"/>
            </w:tcBorders>
            <w:vAlign w:val="center"/>
          </w:tcPr>
          <w:p w:rsidR="00716218" w:rsidRPr="00DC2517" w:rsidRDefault="00716218"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0" w:type="auto"/>
            <w:tcBorders>
              <w:bottom w:val="single" w:sz="4" w:space="0" w:color="auto"/>
            </w:tcBorders>
            <w:vAlign w:val="center"/>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Borders>
              <w:bottom w:val="single" w:sz="4" w:space="0" w:color="auto"/>
            </w:tcBorders>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Borders>
              <w:bottom w:val="single" w:sz="4" w:space="0" w:color="auto"/>
            </w:tcBorders>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Borders>
              <w:bottom w:val="single" w:sz="4" w:space="0" w:color="auto"/>
            </w:tcBorders>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Borders>
              <w:bottom w:val="single" w:sz="4" w:space="0" w:color="auto"/>
            </w:tcBorders>
          </w:tcPr>
          <w:p w:rsidR="00716218" w:rsidRPr="00DC2517" w:rsidRDefault="00716218" w:rsidP="00567F3A">
            <w:pPr>
              <w:pStyle w:val="BodyText"/>
              <w:jc w:val="center"/>
              <w:rPr>
                <w:rFonts w:ascii="Times New Roman" w:hAnsi="Times New Roman" w:cs="Times New Roman"/>
                <w:sz w:val="20"/>
                <w:szCs w:val="20"/>
                <w:lang w:val="pt-BR"/>
              </w:rPr>
            </w:pPr>
          </w:p>
        </w:tc>
        <w:tc>
          <w:tcPr>
            <w:tcW w:w="0" w:type="auto"/>
            <w:tcBorders>
              <w:bottom w:val="single" w:sz="4" w:space="0" w:color="auto"/>
            </w:tcBorders>
            <w:vAlign w:val="center"/>
          </w:tcPr>
          <w:p w:rsidR="00716218" w:rsidRPr="00DC2517" w:rsidRDefault="00716218" w:rsidP="00567F3A">
            <w:pPr>
              <w:pStyle w:val="BodyText"/>
              <w:jc w:val="center"/>
              <w:rPr>
                <w:rFonts w:ascii="Times New Roman" w:hAnsi="Times New Roman" w:cs="Times New Roman"/>
                <w:sz w:val="20"/>
                <w:szCs w:val="20"/>
                <w:lang w:val="pt-BR"/>
              </w:rPr>
            </w:pPr>
          </w:p>
        </w:tc>
      </w:tr>
      <w:tr w:rsidR="00714781" w:rsidRPr="00DC2517" w:rsidTr="00284D58">
        <w:trPr>
          <w:trHeight w:val="57"/>
          <w:jc w:val="center"/>
        </w:trPr>
        <w:tc>
          <w:tcPr>
            <w:tcW w:w="0" w:type="auto"/>
            <w:gridSpan w:val="8"/>
            <w:tcBorders>
              <w:top w:val="single" w:sz="4" w:space="0" w:color="auto"/>
            </w:tcBorders>
            <w:vAlign w:val="center"/>
          </w:tcPr>
          <w:p w:rsidR="00714781" w:rsidRPr="00DC2517" w:rsidRDefault="00714781" w:rsidP="00567F3A">
            <w:pPr>
              <w:pStyle w:val="BodyText"/>
              <w:jc w:val="both"/>
              <w:rPr>
                <w:rFonts w:ascii="Times New Roman" w:hAnsi="Times New Roman" w:cs="Times New Roman"/>
                <w:sz w:val="20"/>
                <w:szCs w:val="20"/>
                <w:lang w:val="pt-BR"/>
              </w:rPr>
            </w:pPr>
            <w:r w:rsidRPr="00DC2517">
              <w:rPr>
                <w:rFonts w:ascii="Times New Roman" w:hAnsi="Times New Roman" w:cs="Times New Roman"/>
                <w:sz w:val="20"/>
                <w:szCs w:val="20"/>
                <w:lang w:val="pt-BR"/>
              </w:rPr>
              <w:t>Fonte: elaborada pelos autores.</w:t>
            </w:r>
          </w:p>
        </w:tc>
      </w:tr>
    </w:tbl>
    <w:p w:rsidR="00AB0D00" w:rsidRDefault="00A74F7A"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Na pesquisa, f</w:t>
      </w:r>
      <w:r w:rsidR="002423CE" w:rsidRPr="00C35568">
        <w:rPr>
          <w:rFonts w:ascii="Times New Roman" w:hAnsi="Times New Roman" w:cs="Times New Roman"/>
          <w:lang w:val="pt-BR"/>
        </w:rPr>
        <w:t>oram</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consideradas</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no</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cálculo</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da</w:t>
      </w:r>
      <w:r w:rsidR="002423CE" w:rsidRPr="00C35568">
        <w:rPr>
          <w:rFonts w:ascii="Times New Roman" w:hAnsi="Times New Roman" w:cs="Times New Roman"/>
          <w:spacing w:val="-14"/>
          <w:lang w:val="pt-BR"/>
        </w:rPr>
        <w:t xml:space="preserve"> </w:t>
      </w:r>
      <w:r w:rsidR="002423CE" w:rsidRPr="00C35568">
        <w:rPr>
          <w:rFonts w:ascii="Times New Roman" w:hAnsi="Times New Roman" w:cs="Times New Roman"/>
          <w:lang w:val="pt-BR"/>
        </w:rPr>
        <w:t>remuneração</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executiva</w:t>
      </w:r>
      <w:r w:rsidR="002423CE" w:rsidRPr="00C35568">
        <w:rPr>
          <w:rFonts w:ascii="Times New Roman" w:hAnsi="Times New Roman" w:cs="Times New Roman"/>
          <w:spacing w:val="-14"/>
          <w:lang w:val="pt-BR"/>
        </w:rPr>
        <w:t xml:space="preserve"> </w:t>
      </w:r>
      <w:r w:rsidR="002423CE" w:rsidRPr="00C35568">
        <w:rPr>
          <w:rFonts w:ascii="Times New Roman" w:hAnsi="Times New Roman" w:cs="Times New Roman"/>
          <w:lang w:val="pt-BR"/>
        </w:rPr>
        <w:t>a</w:t>
      </w:r>
      <w:r w:rsidR="002423CE" w:rsidRPr="00C35568">
        <w:rPr>
          <w:rFonts w:ascii="Times New Roman" w:hAnsi="Times New Roman" w:cs="Times New Roman"/>
          <w:spacing w:val="-14"/>
          <w:lang w:val="pt-BR"/>
        </w:rPr>
        <w:t xml:space="preserve"> </w:t>
      </w:r>
      <w:r w:rsidR="002423CE" w:rsidRPr="00C35568">
        <w:rPr>
          <w:rFonts w:ascii="Times New Roman" w:hAnsi="Times New Roman" w:cs="Times New Roman"/>
          <w:lang w:val="pt-BR"/>
        </w:rPr>
        <w:t>compensação</w:t>
      </w:r>
      <w:r w:rsidR="002423CE" w:rsidRPr="00C35568">
        <w:rPr>
          <w:rFonts w:ascii="Times New Roman" w:hAnsi="Times New Roman" w:cs="Times New Roman"/>
          <w:spacing w:val="-13"/>
          <w:lang w:val="pt-BR"/>
        </w:rPr>
        <w:t xml:space="preserve"> </w:t>
      </w:r>
      <w:r w:rsidR="002423CE" w:rsidRPr="00C35568">
        <w:rPr>
          <w:rFonts w:ascii="Times New Roman" w:hAnsi="Times New Roman" w:cs="Times New Roman"/>
          <w:lang w:val="pt-BR"/>
        </w:rPr>
        <w:t xml:space="preserve">em reais. </w:t>
      </w:r>
      <w:r w:rsidR="00B45527" w:rsidRPr="00C35568">
        <w:rPr>
          <w:rFonts w:ascii="Times New Roman" w:hAnsi="Times New Roman" w:cs="Times New Roman"/>
          <w:lang w:val="pt-BR"/>
        </w:rPr>
        <w:t xml:space="preserve">Os dados para remuneração foram extraídos do item </w:t>
      </w:r>
      <w:r w:rsidR="00A51424" w:rsidRPr="00C35568">
        <w:rPr>
          <w:rFonts w:ascii="Times New Roman" w:hAnsi="Times New Roman" w:cs="Times New Roman"/>
          <w:lang w:val="pt-BR"/>
        </w:rPr>
        <w:t>13</w:t>
      </w:r>
      <w:r w:rsidR="00B45527" w:rsidRPr="00C35568">
        <w:rPr>
          <w:rFonts w:ascii="Times New Roman" w:hAnsi="Times New Roman" w:cs="Times New Roman"/>
          <w:lang w:val="pt-BR"/>
        </w:rPr>
        <w:t xml:space="preserve"> do FR </w:t>
      </w:r>
      <w:r w:rsidR="0056375D">
        <w:rPr>
          <w:rFonts w:ascii="Times New Roman" w:hAnsi="Times New Roman" w:cs="Times New Roman"/>
          <w:lang w:val="pt-BR"/>
        </w:rPr>
        <w:t>e</w:t>
      </w:r>
      <w:r w:rsidR="00B45527" w:rsidRPr="00C35568">
        <w:rPr>
          <w:rFonts w:ascii="Times New Roman" w:hAnsi="Times New Roman" w:cs="Times New Roman"/>
          <w:lang w:val="pt-BR"/>
        </w:rPr>
        <w:t xml:space="preserve"> foram operacionalizados como segue</w:t>
      </w:r>
      <w:r w:rsidR="0056375D">
        <w:rPr>
          <w:rFonts w:ascii="Times New Roman" w:hAnsi="Times New Roman" w:cs="Times New Roman"/>
          <w:lang w:val="pt-BR"/>
        </w:rPr>
        <w:t xml:space="preserve"> no Quadro 2</w:t>
      </w:r>
      <w:r w:rsidR="00B45527" w:rsidRPr="00C35568">
        <w:rPr>
          <w:rFonts w:ascii="Times New Roman" w:hAnsi="Times New Roman" w:cs="Times New Roman"/>
          <w:lang w:val="pt-BR"/>
        </w:rPr>
        <w:t>:</w:t>
      </w:r>
    </w:p>
    <w:p w:rsidR="00DC2517" w:rsidRPr="00C35568" w:rsidRDefault="00DC2517" w:rsidP="00DC2517">
      <w:pPr>
        <w:pStyle w:val="BodyText"/>
        <w:spacing w:after="0" w:line="240" w:lineRule="auto"/>
        <w:ind w:firstLine="709"/>
        <w:jc w:val="both"/>
        <w:rPr>
          <w:rFonts w:ascii="Times New Roman" w:hAnsi="Times New Roman" w:cs="Times New Roman"/>
          <w:lang w:val="pt-BR"/>
        </w:rPr>
      </w:pPr>
    </w:p>
    <w:p w:rsidR="0017043A" w:rsidRPr="007C3FAB" w:rsidRDefault="007C3FAB" w:rsidP="00DC2517">
      <w:pPr>
        <w:pStyle w:val="BodyText"/>
        <w:ind w:firstLine="709"/>
        <w:jc w:val="center"/>
        <w:rPr>
          <w:rFonts w:ascii="Times New Roman" w:hAnsi="Times New Roman" w:cs="Times New Roman"/>
          <w:b/>
          <w:sz w:val="20"/>
          <w:lang w:val="pt-BR"/>
        </w:rPr>
      </w:pPr>
      <w:r w:rsidRPr="007C3FAB">
        <w:rPr>
          <w:rFonts w:ascii="Times New Roman" w:hAnsi="Times New Roman" w:cs="Times New Roman"/>
          <w:b/>
          <w:sz w:val="20"/>
          <w:lang w:val="pt-BR"/>
        </w:rPr>
        <w:t>Quadro</w:t>
      </w:r>
      <w:r w:rsidR="00741EEE" w:rsidRPr="007C3FAB">
        <w:rPr>
          <w:rFonts w:ascii="Times New Roman" w:hAnsi="Times New Roman" w:cs="Times New Roman"/>
          <w:b/>
          <w:sz w:val="20"/>
          <w:lang w:val="pt-BR"/>
        </w:rPr>
        <w:t xml:space="preserve"> </w:t>
      </w:r>
      <w:r w:rsidRPr="007C3FAB">
        <w:rPr>
          <w:rFonts w:ascii="Times New Roman" w:hAnsi="Times New Roman" w:cs="Times New Roman"/>
          <w:b/>
          <w:sz w:val="20"/>
          <w:lang w:val="pt-BR"/>
        </w:rPr>
        <w:t>2</w:t>
      </w:r>
      <w:r w:rsidR="00741EEE" w:rsidRPr="007C3FAB">
        <w:rPr>
          <w:rFonts w:ascii="Times New Roman" w:hAnsi="Times New Roman" w:cs="Times New Roman"/>
          <w:b/>
          <w:sz w:val="20"/>
          <w:lang w:val="pt-BR"/>
        </w:rPr>
        <w:t xml:space="preserve"> – </w:t>
      </w:r>
      <w:r w:rsidR="005865AA" w:rsidRPr="007C3FAB">
        <w:rPr>
          <w:rFonts w:ascii="Times New Roman" w:hAnsi="Times New Roman" w:cs="Times New Roman"/>
          <w:b/>
          <w:sz w:val="20"/>
          <w:lang w:val="pt-BR"/>
        </w:rPr>
        <w:t>Medidas da Remuneração Executiva.</w:t>
      </w:r>
    </w:p>
    <w:tbl>
      <w:tblPr>
        <w:tblStyle w:val="TableGrid"/>
        <w:tblW w:w="5000" w:type="pct"/>
        <w:tblLook w:val="04A0" w:firstRow="1" w:lastRow="0" w:firstColumn="1" w:lastColumn="0" w:noHBand="0" w:noVBand="1"/>
      </w:tblPr>
      <w:tblGrid>
        <w:gridCol w:w="1840"/>
        <w:gridCol w:w="1202"/>
        <w:gridCol w:w="5210"/>
        <w:gridCol w:w="1039"/>
      </w:tblGrid>
      <w:tr w:rsidR="0017043A" w:rsidRPr="00DC2517" w:rsidTr="00DC2517">
        <w:tc>
          <w:tcPr>
            <w:tcW w:w="990"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Total</w:t>
            </w:r>
          </w:p>
        </w:tc>
        <w:tc>
          <w:tcPr>
            <w:tcW w:w="647"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lnTotal</w:t>
            </w:r>
          </w:p>
        </w:tc>
        <w:tc>
          <w:tcPr>
            <w:tcW w:w="2804"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 xml:space="preserve">ln(Remuneração Fixa + Remuneração Variável + Remuneração Baseada em </w:t>
            </w:r>
            <w:r w:rsidR="005865AA" w:rsidRPr="00DC2517">
              <w:rPr>
                <w:rFonts w:ascii="Times New Roman" w:hAnsi="Times New Roman" w:cs="Times New Roman"/>
                <w:sz w:val="20"/>
                <w:szCs w:val="20"/>
                <w:lang w:val="pt-BR"/>
              </w:rPr>
              <w:t>A</w:t>
            </w:r>
            <w:r w:rsidR="00C35568" w:rsidRPr="00DC2517">
              <w:rPr>
                <w:rFonts w:ascii="Times New Roman" w:hAnsi="Times New Roman" w:cs="Times New Roman"/>
                <w:sz w:val="20"/>
                <w:szCs w:val="20"/>
                <w:lang w:val="pt-BR"/>
              </w:rPr>
              <w:t>ções)</w:t>
            </w:r>
          </w:p>
        </w:tc>
        <w:tc>
          <w:tcPr>
            <w:tcW w:w="559"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equação 1</w:t>
            </w:r>
          </w:p>
        </w:tc>
      </w:tr>
      <w:tr w:rsidR="0017043A" w:rsidRPr="00DC2517" w:rsidTr="00DC2517">
        <w:tc>
          <w:tcPr>
            <w:tcW w:w="990"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Fixa</w:t>
            </w:r>
          </w:p>
        </w:tc>
        <w:tc>
          <w:tcPr>
            <w:tcW w:w="647"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lnFixa</w:t>
            </w:r>
          </w:p>
        </w:tc>
        <w:tc>
          <w:tcPr>
            <w:tcW w:w="2804"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 xml:space="preserve">ln(Salário ou pró-labore + Benefícios direitos e indiretos + Participações em comitês + Outros valores fixos)  </w:t>
            </w:r>
          </w:p>
        </w:tc>
        <w:tc>
          <w:tcPr>
            <w:tcW w:w="559"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equação 2</w:t>
            </w:r>
          </w:p>
        </w:tc>
      </w:tr>
      <w:tr w:rsidR="0017043A" w:rsidRPr="00DC2517" w:rsidTr="00DC2517">
        <w:tc>
          <w:tcPr>
            <w:tcW w:w="990"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Remuneração Variável</w:t>
            </w:r>
          </w:p>
        </w:tc>
        <w:tc>
          <w:tcPr>
            <w:tcW w:w="647"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lnVariável</w:t>
            </w:r>
          </w:p>
        </w:tc>
        <w:tc>
          <w:tcPr>
            <w:tcW w:w="2804"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ln(Bônus + Participação de resultados + Participação em reuniões + Outros valores variáveis + Benefícios pós-emprego + Benefícios com cessação do cargo</w:t>
            </w:r>
          </w:p>
        </w:tc>
        <w:tc>
          <w:tcPr>
            <w:tcW w:w="559"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equação 3</w:t>
            </w:r>
          </w:p>
        </w:tc>
      </w:tr>
      <w:tr w:rsidR="0017043A" w:rsidRPr="00DC2517" w:rsidTr="00DC2517">
        <w:tc>
          <w:tcPr>
            <w:tcW w:w="990"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 xml:space="preserve">Remuneração </w:t>
            </w:r>
            <w:r w:rsidR="0096176A" w:rsidRPr="00DC2517">
              <w:rPr>
                <w:rFonts w:ascii="Times New Roman" w:hAnsi="Times New Roman" w:cs="Times New Roman"/>
                <w:sz w:val="20"/>
                <w:szCs w:val="20"/>
                <w:lang w:val="pt-BR"/>
              </w:rPr>
              <w:lastRenderedPageBreak/>
              <w:t>B</w:t>
            </w:r>
            <w:r w:rsidRPr="00DC2517">
              <w:rPr>
                <w:rFonts w:ascii="Times New Roman" w:hAnsi="Times New Roman" w:cs="Times New Roman"/>
                <w:sz w:val="20"/>
                <w:szCs w:val="20"/>
                <w:lang w:val="pt-BR"/>
              </w:rPr>
              <w:t xml:space="preserve">aseada em </w:t>
            </w:r>
            <w:r w:rsidR="0096176A" w:rsidRPr="00DC2517">
              <w:rPr>
                <w:rFonts w:ascii="Times New Roman" w:hAnsi="Times New Roman" w:cs="Times New Roman"/>
                <w:sz w:val="20"/>
                <w:szCs w:val="20"/>
                <w:lang w:val="pt-BR"/>
              </w:rPr>
              <w:t>A</w:t>
            </w:r>
            <w:r w:rsidRPr="00DC2517">
              <w:rPr>
                <w:rFonts w:ascii="Times New Roman" w:hAnsi="Times New Roman" w:cs="Times New Roman"/>
                <w:sz w:val="20"/>
                <w:szCs w:val="20"/>
                <w:lang w:val="pt-BR"/>
              </w:rPr>
              <w:t>ções</w:t>
            </w:r>
          </w:p>
        </w:tc>
        <w:tc>
          <w:tcPr>
            <w:tcW w:w="647"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lastRenderedPageBreak/>
              <w:t>lnAções</w:t>
            </w:r>
          </w:p>
        </w:tc>
        <w:tc>
          <w:tcPr>
            <w:tcW w:w="2804"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ln(Total de remun</w:t>
            </w:r>
            <w:r w:rsidR="005865AA" w:rsidRPr="00DC2517">
              <w:rPr>
                <w:rFonts w:ascii="Times New Roman" w:hAnsi="Times New Roman" w:cs="Times New Roman"/>
                <w:sz w:val="20"/>
                <w:szCs w:val="20"/>
                <w:lang w:val="pt-BR"/>
              </w:rPr>
              <w:t>erações</w:t>
            </w:r>
            <w:r w:rsidRPr="00DC2517">
              <w:rPr>
                <w:rFonts w:ascii="Times New Roman" w:hAnsi="Times New Roman" w:cs="Times New Roman"/>
                <w:sz w:val="20"/>
                <w:szCs w:val="20"/>
                <w:lang w:val="pt-BR"/>
              </w:rPr>
              <w:t xml:space="preserve"> baseadas em ações)</w:t>
            </w:r>
          </w:p>
        </w:tc>
        <w:tc>
          <w:tcPr>
            <w:tcW w:w="559" w:type="pct"/>
            <w:vAlign w:val="center"/>
          </w:tcPr>
          <w:p w:rsidR="0017043A" w:rsidRPr="00DC2517" w:rsidRDefault="0017043A" w:rsidP="00C35568">
            <w:pPr>
              <w:pStyle w:val="BodyText"/>
              <w:rPr>
                <w:rFonts w:ascii="Times New Roman" w:hAnsi="Times New Roman" w:cs="Times New Roman"/>
                <w:sz w:val="20"/>
                <w:szCs w:val="20"/>
                <w:lang w:val="pt-BR"/>
              </w:rPr>
            </w:pPr>
            <w:r w:rsidRPr="00DC2517">
              <w:rPr>
                <w:rFonts w:ascii="Times New Roman" w:hAnsi="Times New Roman" w:cs="Times New Roman"/>
                <w:sz w:val="20"/>
                <w:szCs w:val="20"/>
                <w:lang w:val="pt-BR"/>
              </w:rPr>
              <w:t>equação 4</w:t>
            </w:r>
          </w:p>
        </w:tc>
      </w:tr>
    </w:tbl>
    <w:p w:rsidR="0017043A" w:rsidRPr="00DC2517" w:rsidRDefault="0096176A" w:rsidP="00DC2517">
      <w:pPr>
        <w:pStyle w:val="BodyText"/>
        <w:jc w:val="both"/>
        <w:rPr>
          <w:rFonts w:ascii="Times New Roman" w:hAnsi="Times New Roman" w:cs="Times New Roman"/>
          <w:sz w:val="20"/>
          <w:lang w:val="pt-BR"/>
        </w:rPr>
      </w:pPr>
      <w:r w:rsidRPr="00DC2517">
        <w:rPr>
          <w:rFonts w:ascii="Times New Roman" w:hAnsi="Times New Roman" w:cs="Times New Roman"/>
          <w:sz w:val="20"/>
          <w:lang w:val="pt-BR"/>
        </w:rPr>
        <w:t>Fonte: elaborad</w:t>
      </w:r>
      <w:r w:rsidR="007C3FAB">
        <w:rPr>
          <w:rFonts w:ascii="Times New Roman" w:hAnsi="Times New Roman" w:cs="Times New Roman"/>
          <w:sz w:val="20"/>
          <w:lang w:val="pt-BR"/>
        </w:rPr>
        <w:t>o</w:t>
      </w:r>
      <w:r w:rsidRPr="00DC2517">
        <w:rPr>
          <w:rFonts w:ascii="Times New Roman" w:hAnsi="Times New Roman" w:cs="Times New Roman"/>
          <w:sz w:val="20"/>
          <w:lang w:val="pt-BR"/>
        </w:rPr>
        <w:t xml:space="preserve"> pelos autores</w:t>
      </w:r>
    </w:p>
    <w:p w:rsidR="00F24B82" w:rsidRDefault="0017043A" w:rsidP="00DC2517">
      <w:pPr>
        <w:pStyle w:val="BodyText"/>
        <w:spacing w:after="0" w:line="240" w:lineRule="auto"/>
        <w:ind w:firstLine="709"/>
        <w:jc w:val="both"/>
        <w:rPr>
          <w:rFonts w:ascii="Times New Roman" w:hAnsi="Times New Roman" w:cs="Times New Roman"/>
          <w:lang w:val="pt-BR"/>
        </w:rPr>
      </w:pPr>
      <w:r w:rsidRPr="00DC2517">
        <w:rPr>
          <w:rFonts w:ascii="Times New Roman" w:hAnsi="Times New Roman" w:cs="Times New Roman"/>
          <w:lang w:val="pt-BR"/>
        </w:rPr>
        <w:t>F</w:t>
      </w:r>
      <w:r w:rsidR="00A65A6A" w:rsidRPr="00DC2517">
        <w:rPr>
          <w:rFonts w:ascii="Times New Roman" w:hAnsi="Times New Roman" w:cs="Times New Roman"/>
          <w:lang w:val="pt-BR"/>
        </w:rPr>
        <w:t>oram excluídos os pagamentos baseados em ações da remuneração variável, por considerar que estes acentuam possíveis problemas de conflito de interesses.</w:t>
      </w:r>
    </w:p>
    <w:p w:rsidR="00DC2517" w:rsidRPr="00DC2517" w:rsidRDefault="00DC2517" w:rsidP="00DC2517">
      <w:pPr>
        <w:pStyle w:val="BodyText"/>
        <w:spacing w:after="0" w:line="240" w:lineRule="auto"/>
        <w:ind w:firstLine="709"/>
        <w:jc w:val="both"/>
        <w:rPr>
          <w:rFonts w:ascii="Times New Roman" w:hAnsi="Times New Roman" w:cs="Times New Roman"/>
          <w:lang w:val="pt-BR"/>
        </w:rPr>
      </w:pPr>
    </w:p>
    <w:p w:rsidR="00B45527" w:rsidRPr="00DC2517" w:rsidRDefault="00B45527" w:rsidP="00DC2517">
      <w:pPr>
        <w:pStyle w:val="BodyText"/>
        <w:spacing w:after="0" w:line="240" w:lineRule="auto"/>
        <w:jc w:val="both"/>
        <w:rPr>
          <w:rFonts w:ascii="Times New Roman" w:hAnsi="Times New Roman" w:cs="Times New Roman"/>
          <w:i/>
          <w:lang w:val="pt-BR"/>
        </w:rPr>
      </w:pPr>
      <w:r w:rsidRPr="00DC2517">
        <w:rPr>
          <w:rFonts w:ascii="Times New Roman" w:hAnsi="Times New Roman" w:cs="Times New Roman"/>
          <w:i/>
          <w:lang w:val="pt-BR"/>
        </w:rPr>
        <w:t>Variáveis de interesse: características dos executivos</w:t>
      </w:r>
    </w:p>
    <w:p w:rsidR="0020560A" w:rsidRDefault="0020560A" w:rsidP="00DC2517">
      <w:pPr>
        <w:pStyle w:val="BodyText"/>
        <w:spacing w:after="0" w:line="240" w:lineRule="auto"/>
        <w:ind w:firstLine="709"/>
        <w:jc w:val="both"/>
        <w:rPr>
          <w:rFonts w:ascii="Times New Roman" w:hAnsi="Times New Roman" w:cs="Times New Roman"/>
          <w:lang w:val="pt-BR"/>
        </w:rPr>
      </w:pPr>
      <w:r w:rsidRPr="00DC2517">
        <w:rPr>
          <w:rFonts w:ascii="Times New Roman" w:hAnsi="Times New Roman" w:cs="Times New Roman"/>
          <w:lang w:val="pt-BR"/>
        </w:rPr>
        <w:t xml:space="preserve">As variáveis que mensuram as características dos executivos </w:t>
      </w:r>
      <w:r w:rsidR="0007253B" w:rsidRPr="00DC2517">
        <w:rPr>
          <w:rFonts w:ascii="Times New Roman" w:hAnsi="Times New Roman" w:cs="Times New Roman"/>
          <w:lang w:val="pt-BR"/>
        </w:rPr>
        <w:t xml:space="preserve">utilizadas na presente pesquisa </w:t>
      </w:r>
      <w:r w:rsidRPr="00DC2517">
        <w:rPr>
          <w:rFonts w:ascii="Times New Roman" w:hAnsi="Times New Roman" w:cs="Times New Roman"/>
          <w:lang w:val="pt-BR"/>
        </w:rPr>
        <w:t xml:space="preserve">e os sinais encontrados pelos estudos </w:t>
      </w:r>
      <w:r w:rsidR="0007253B" w:rsidRPr="00DC2517">
        <w:rPr>
          <w:rFonts w:ascii="Times New Roman" w:hAnsi="Times New Roman" w:cs="Times New Roman"/>
          <w:lang w:val="pt-BR"/>
        </w:rPr>
        <w:t xml:space="preserve">anteriores </w:t>
      </w:r>
      <w:r w:rsidRPr="00DC2517">
        <w:rPr>
          <w:rFonts w:ascii="Times New Roman" w:hAnsi="Times New Roman" w:cs="Times New Roman"/>
          <w:lang w:val="pt-BR"/>
        </w:rPr>
        <w:t xml:space="preserve">são sumarizados na Tabela </w:t>
      </w:r>
      <w:r w:rsidR="00D613A3" w:rsidRPr="00DC2517">
        <w:rPr>
          <w:rFonts w:ascii="Times New Roman" w:hAnsi="Times New Roman" w:cs="Times New Roman"/>
          <w:lang w:val="pt-BR"/>
        </w:rPr>
        <w:t>3</w:t>
      </w:r>
      <w:r w:rsidRPr="00DC2517">
        <w:rPr>
          <w:rFonts w:ascii="Times New Roman" w:hAnsi="Times New Roman" w:cs="Times New Roman"/>
          <w:lang w:val="pt-BR"/>
        </w:rPr>
        <w:t>.</w:t>
      </w:r>
    </w:p>
    <w:p w:rsidR="007C3FAB" w:rsidRPr="00DC2517" w:rsidRDefault="007C3FAB" w:rsidP="00DC2517">
      <w:pPr>
        <w:pStyle w:val="BodyText"/>
        <w:spacing w:after="0" w:line="240" w:lineRule="auto"/>
        <w:ind w:firstLine="709"/>
        <w:jc w:val="both"/>
        <w:rPr>
          <w:rFonts w:ascii="Times New Roman" w:hAnsi="Times New Roman" w:cs="Times New Roman"/>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821"/>
        <w:gridCol w:w="747"/>
        <w:gridCol w:w="682"/>
        <w:gridCol w:w="574"/>
        <w:gridCol w:w="933"/>
        <w:gridCol w:w="793"/>
        <w:gridCol w:w="751"/>
        <w:gridCol w:w="628"/>
        <w:gridCol w:w="870"/>
        <w:gridCol w:w="533"/>
      </w:tblGrid>
      <w:tr w:rsidR="005730ED" w:rsidRPr="00351C7E" w:rsidTr="00AB7C88">
        <w:trPr>
          <w:trHeight w:hRule="exact" w:val="510"/>
        </w:trPr>
        <w:tc>
          <w:tcPr>
            <w:tcW w:w="4713" w:type="pct"/>
            <w:gridSpan w:val="10"/>
            <w:tcBorders>
              <w:bottom w:val="single" w:sz="4" w:space="0" w:color="auto"/>
            </w:tcBorders>
            <w:vAlign w:val="center"/>
          </w:tcPr>
          <w:p w:rsidR="005730ED" w:rsidRPr="00DC2517" w:rsidRDefault="005730ED" w:rsidP="00DC2517">
            <w:pPr>
              <w:pStyle w:val="BodyText"/>
              <w:jc w:val="center"/>
              <w:rPr>
                <w:rFonts w:ascii="Times New Roman" w:hAnsi="Times New Roman" w:cs="Times New Roman"/>
                <w:b/>
                <w:sz w:val="20"/>
                <w:szCs w:val="20"/>
                <w:lang w:val="pt-BR"/>
              </w:rPr>
            </w:pPr>
            <w:r w:rsidRPr="00DC2517">
              <w:rPr>
                <w:rFonts w:ascii="Times New Roman" w:hAnsi="Times New Roman" w:cs="Times New Roman"/>
                <w:b/>
                <w:sz w:val="20"/>
                <w:szCs w:val="20"/>
                <w:lang w:val="pt-BR"/>
              </w:rPr>
              <w:t xml:space="preserve">Tabela </w:t>
            </w:r>
            <w:r w:rsidR="00D613A3" w:rsidRPr="00DC2517">
              <w:rPr>
                <w:rFonts w:ascii="Times New Roman" w:hAnsi="Times New Roman" w:cs="Times New Roman"/>
                <w:b/>
                <w:sz w:val="20"/>
                <w:szCs w:val="20"/>
                <w:lang w:val="pt-BR"/>
              </w:rPr>
              <w:t>3</w:t>
            </w:r>
            <w:r w:rsidRPr="00DC2517">
              <w:rPr>
                <w:rFonts w:ascii="Times New Roman" w:hAnsi="Times New Roman" w:cs="Times New Roman"/>
                <w:b/>
                <w:sz w:val="20"/>
                <w:szCs w:val="20"/>
                <w:lang w:val="pt-BR"/>
              </w:rPr>
              <w:t xml:space="preserve"> – Estudos que utilizaram as características dos executivos como determinantes da remuneração</w:t>
            </w:r>
          </w:p>
        </w:tc>
        <w:tc>
          <w:tcPr>
            <w:tcW w:w="287" w:type="pct"/>
            <w:tcBorders>
              <w:bottom w:val="single" w:sz="4" w:space="0" w:color="auto"/>
            </w:tcBorders>
          </w:tcPr>
          <w:p w:rsidR="005730ED" w:rsidRPr="00DC2517" w:rsidRDefault="005730ED" w:rsidP="00567F3A">
            <w:pPr>
              <w:pStyle w:val="BodyText"/>
              <w:jc w:val="both"/>
              <w:rPr>
                <w:rFonts w:ascii="Times New Roman" w:hAnsi="Times New Roman" w:cs="Times New Roman"/>
                <w:b/>
                <w:sz w:val="20"/>
                <w:szCs w:val="20"/>
                <w:lang w:val="pt-BR"/>
              </w:rPr>
            </w:pPr>
          </w:p>
        </w:tc>
      </w:tr>
      <w:tr w:rsidR="005E1583" w:rsidRPr="00DC2517" w:rsidTr="00AB7C88">
        <w:trPr>
          <w:trHeight w:hRule="exact" w:val="510"/>
        </w:trPr>
        <w:tc>
          <w:tcPr>
            <w:tcW w:w="1054" w:type="pct"/>
            <w:vAlign w:val="center"/>
          </w:tcPr>
          <w:p w:rsidR="005730ED" w:rsidRPr="00DC2517" w:rsidRDefault="005730ED" w:rsidP="00567F3A">
            <w:pPr>
              <w:pStyle w:val="BodyText"/>
              <w:jc w:val="both"/>
              <w:rPr>
                <w:rFonts w:ascii="Times New Roman" w:hAnsi="Times New Roman" w:cs="Times New Roman"/>
                <w:sz w:val="20"/>
                <w:szCs w:val="20"/>
                <w:highlight w:val="green"/>
                <w:lang w:val="pt-BR"/>
              </w:rPr>
            </w:pPr>
          </w:p>
        </w:tc>
        <w:tc>
          <w:tcPr>
            <w:tcW w:w="844" w:type="pct"/>
            <w:gridSpan w:val="2"/>
            <w:tcBorders>
              <w:bottom w:val="single" w:sz="4" w:space="0" w:color="auto"/>
            </w:tcBorders>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Quantidade de Membros</w:t>
            </w:r>
          </w:p>
        </w:tc>
        <w:tc>
          <w:tcPr>
            <w:tcW w:w="676" w:type="pct"/>
            <w:gridSpan w:val="2"/>
            <w:tcBorders>
              <w:bottom w:val="single" w:sz="4" w:space="0" w:color="auto"/>
            </w:tcBorders>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Grau de Instrução</w:t>
            </w:r>
          </w:p>
        </w:tc>
        <w:tc>
          <w:tcPr>
            <w:tcW w:w="929" w:type="pct"/>
            <w:gridSpan w:val="2"/>
            <w:tcBorders>
              <w:bottom w:val="single" w:sz="4" w:space="0" w:color="auto"/>
            </w:tcBorders>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Presença de mulheres executivas</w:t>
            </w:r>
          </w:p>
        </w:tc>
        <w:tc>
          <w:tcPr>
            <w:tcW w:w="742" w:type="pct"/>
            <w:gridSpan w:val="2"/>
            <w:tcBorders>
              <w:bottom w:val="single" w:sz="4" w:space="0" w:color="auto"/>
            </w:tcBorders>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Dualidade de cargos</w:t>
            </w:r>
          </w:p>
        </w:tc>
        <w:tc>
          <w:tcPr>
            <w:tcW w:w="755" w:type="pct"/>
            <w:gridSpan w:val="2"/>
            <w:tcBorders>
              <w:bottom w:val="single" w:sz="4" w:space="0" w:color="auto"/>
            </w:tcBorders>
            <w:vAlign w:val="center"/>
          </w:tcPr>
          <w:p w:rsidR="005730ED" w:rsidRPr="00DC2517" w:rsidRDefault="005730ED" w:rsidP="00DC2517">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Independ</w:t>
            </w:r>
            <w:r w:rsidR="00DC2517">
              <w:rPr>
                <w:rFonts w:ascii="Times New Roman" w:hAnsi="Times New Roman" w:cs="Times New Roman"/>
                <w:sz w:val="20"/>
                <w:szCs w:val="20"/>
                <w:lang w:val="pt-BR"/>
              </w:rPr>
              <w:t>ê</w:t>
            </w:r>
            <w:r w:rsidRPr="00DC2517">
              <w:rPr>
                <w:rFonts w:ascii="Times New Roman" w:hAnsi="Times New Roman" w:cs="Times New Roman"/>
                <w:sz w:val="20"/>
                <w:szCs w:val="20"/>
                <w:lang w:val="pt-BR"/>
              </w:rPr>
              <w:t>ncia</w:t>
            </w:r>
          </w:p>
        </w:tc>
      </w:tr>
      <w:tr w:rsidR="00C70C2A" w:rsidRPr="00DC2517" w:rsidTr="00AB7C88">
        <w:trPr>
          <w:trHeight w:hRule="exact" w:val="510"/>
        </w:trPr>
        <w:tc>
          <w:tcPr>
            <w:tcW w:w="1054" w:type="pct"/>
            <w:vAlign w:val="center"/>
          </w:tcPr>
          <w:p w:rsidR="005730ED" w:rsidRPr="00DC2517" w:rsidRDefault="00C70C2A" w:rsidP="00DB3397">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"mendeley" : { "formattedCitation" : "(GHOSH; SIRMANS, 2005)", "manualFormatting" : "Ghosh e Sirmans (2005)", "plainTextFormattedCitation" : "(GHOSH; SIRMANS, 2005)", "previouslyFormattedCitation" : "(GHOSH; SIRMANS, 2005)"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Ghosh e Sirmans (2005)</w:t>
            </w:r>
            <w:r w:rsidRPr="00DC2517">
              <w:rPr>
                <w:rStyle w:val="FootnoteReference"/>
                <w:rFonts w:ascii="Times New Roman" w:hAnsi="Times New Roman" w:cs="Times New Roman"/>
                <w:sz w:val="20"/>
                <w:szCs w:val="20"/>
                <w:lang w:val="pt-BR"/>
              </w:rPr>
              <w:fldChar w:fldCharType="end"/>
            </w:r>
          </w:p>
        </w:tc>
        <w:tc>
          <w:tcPr>
            <w:tcW w:w="44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36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09"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502"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2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04"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33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6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28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r>
      <w:tr w:rsidR="00C70C2A" w:rsidRPr="00DC2517" w:rsidTr="00AB7C88">
        <w:trPr>
          <w:trHeight w:hRule="exact" w:val="510"/>
        </w:trPr>
        <w:tc>
          <w:tcPr>
            <w:tcW w:w="1054" w:type="pct"/>
            <w:vAlign w:val="center"/>
          </w:tcPr>
          <w:p w:rsidR="005730ED" w:rsidRPr="00DC2517" w:rsidRDefault="00C70C2A" w:rsidP="00DB3397">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"10.1016/j.mulfin.2007.02.003", "ISSN" : "1042444X", "abstract" : "We use data from the Portuguese Stock Market to examine the link between firm performance, board structure, and top executive pay. We examine whether the governance structure of companies influences top executive pay. Specifically, we consider the role of nonexecutive board members as mediators of the management-shareholder relationship. Our results cast doubt on the effectiveness of independent board members. Firms with more nonexecutive board members pay higher wages to their executives. Furthermore, we find that firms with zero nonexecutive board members actually have fewer agency problems and achieve a better alignment of shareholders' and managers' interests. \u00a9 2007 Elsevier B.V. All rights reserved.", "author" : [ { "dropping-particle" : "", "family" : "Fernandes", "given" : "Nuno", "non-dropping-particle" : "", "parse-names" : false, "suffix" : "" } ], "container-title" : "Journal of Multinational Financial Management", "id" : "ITEM-1", "issue" : "1", "issued" : { "date-parts" : [ [ "2008" ] ] }, "page" : "30-44", "title" : "EC: Board compensation and firm performance: The role of \"independent\" board members", "type" : "article-journal", "volume" : "18" }, "uris" : [ "http://www.mendeley.com/documents/?uuid=1e19251e-3c01-40b5-a2fa-5cf7f1265cbb" ] } ], "mendeley" : { "formattedCitation" : "(FERNANDES, 2008)", "manualFormatting" : "Fernandes (2008)", "plainTextFormattedCitation" : "(FERNANDES, 2008)", "previouslyFormattedCitation" : "(FERNANDES, 2008)"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Fernandes (2008)</w:t>
            </w:r>
            <w:r w:rsidRPr="00DC2517">
              <w:rPr>
                <w:rStyle w:val="FootnoteReference"/>
                <w:rFonts w:ascii="Times New Roman" w:hAnsi="Times New Roman" w:cs="Times New Roman"/>
                <w:sz w:val="20"/>
                <w:szCs w:val="20"/>
                <w:lang w:val="pt-BR"/>
              </w:rPr>
              <w:fldChar w:fldCharType="end"/>
            </w:r>
          </w:p>
        </w:tc>
        <w:tc>
          <w:tcPr>
            <w:tcW w:w="44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36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09"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502"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2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04"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38"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6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28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r>
      <w:tr w:rsidR="00C70C2A" w:rsidRPr="00DC2517" w:rsidTr="00AB7C88">
        <w:trPr>
          <w:trHeight w:hRule="exact" w:val="510"/>
        </w:trPr>
        <w:tc>
          <w:tcPr>
            <w:tcW w:w="1054" w:type="pct"/>
            <w:vAlign w:val="center"/>
          </w:tcPr>
          <w:p w:rsidR="005730ED" w:rsidRPr="00DC2517" w:rsidRDefault="00C70C2A" w:rsidP="00DB3397">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"mendeley" : { "formattedCitation" : "(ELKINAWY; STATER, 2011)", "manualFormatting" : "Elkinawy e Stater (2011)", "plainTextFormattedCitation" : "(ELKINAWY; STATER, 2011)", "previouslyFormattedCitation" : "(ELKINAWY; STATER, 2011)"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Elkinawy e Stater (2011)</w:t>
            </w:r>
            <w:r w:rsidRPr="00DC2517">
              <w:rPr>
                <w:rStyle w:val="FootnoteReference"/>
                <w:rFonts w:ascii="Times New Roman" w:hAnsi="Times New Roman" w:cs="Times New Roman"/>
                <w:sz w:val="20"/>
                <w:szCs w:val="20"/>
                <w:lang w:val="pt-BR"/>
              </w:rPr>
              <w:fldChar w:fldCharType="end"/>
            </w:r>
          </w:p>
        </w:tc>
        <w:tc>
          <w:tcPr>
            <w:tcW w:w="44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36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09"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5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2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04"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33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6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28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r>
      <w:tr w:rsidR="00C70C2A" w:rsidRPr="00DC2517" w:rsidTr="00AB7C88">
        <w:trPr>
          <w:trHeight w:hRule="exact" w:val="510"/>
        </w:trPr>
        <w:tc>
          <w:tcPr>
            <w:tcW w:w="1054" w:type="pct"/>
            <w:vAlign w:val="center"/>
          </w:tcPr>
          <w:p w:rsidR="005730ED" w:rsidRPr="00DC2517" w:rsidRDefault="00C70C2A" w:rsidP="00DB3397">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"author" : [ { "dropping-particle" : "", "family" : "Yan", "given" : "Yan", "non-dropping-particle" : "", "parse-names" : false, "suffix" : "" } ], "id" : "ITEM-1",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"(YAN, 2015)", "manualFormatting" : "Yan (2015)", "plainTextFormattedCitation" : "(YAN, 2015)", "previouslyFormattedCitation" : "(YAN, 2015)"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Yan (2015)</w:t>
            </w:r>
            <w:r w:rsidRPr="00DC2517">
              <w:rPr>
                <w:rStyle w:val="FootnoteReference"/>
                <w:rFonts w:ascii="Times New Roman" w:hAnsi="Times New Roman" w:cs="Times New Roman"/>
                <w:sz w:val="20"/>
                <w:szCs w:val="20"/>
                <w:lang w:val="pt-BR"/>
              </w:rPr>
              <w:fldChar w:fldCharType="end"/>
            </w:r>
          </w:p>
        </w:tc>
        <w:tc>
          <w:tcPr>
            <w:tcW w:w="44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36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09"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5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2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04"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33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68"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28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r>
      <w:tr w:rsidR="00C70C2A" w:rsidRPr="00DC2517" w:rsidTr="00AB7C88">
        <w:trPr>
          <w:trHeight w:hRule="exact" w:val="510"/>
        </w:trPr>
        <w:tc>
          <w:tcPr>
            <w:tcW w:w="1054" w:type="pct"/>
            <w:tcBorders>
              <w:bottom w:val="single" w:sz="4" w:space="0" w:color="auto"/>
            </w:tcBorders>
            <w:vAlign w:val="center"/>
          </w:tcPr>
          <w:p w:rsidR="005730ED" w:rsidRPr="00DC2517" w:rsidRDefault="00C70C2A" w:rsidP="00DB3397">
            <w:pPr>
              <w:pStyle w:val="BodyText"/>
              <w:rPr>
                <w:rFonts w:ascii="Times New Roman" w:hAnsi="Times New Roman" w:cs="Times New Roman"/>
                <w:sz w:val="20"/>
                <w:szCs w:val="20"/>
                <w:lang w:val="pt-BR"/>
              </w:rPr>
            </w:pPr>
            <w:r w:rsidRPr="00DC2517">
              <w:rPr>
                <w:rStyle w:val="FootnoteReference"/>
                <w:rFonts w:ascii="Times New Roman" w:hAnsi="Times New Roman" w:cs="Times New Roman"/>
                <w:sz w:val="20"/>
                <w:szCs w:val="20"/>
                <w:lang w:val="pt-BR"/>
              </w:rPr>
              <w:fldChar w:fldCharType="begin" w:fldLock="1"/>
            </w:r>
            <w:r w:rsidR="00051229" w:rsidRPr="00DC2517">
              <w:rPr>
                <w:rFonts w:ascii="Times New Roman" w:hAnsi="Times New Roman" w:cs="Times New Roman"/>
                <w:sz w:val="20"/>
                <w:szCs w:val="20"/>
                <w:lang w:val="pt-BR"/>
              </w:rPr>
              <w:instrText>ADDIN CSL_CITATION { "citationItems" : [ { "id" : "ITEM-1",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"ITEM-1",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"(LAM; MCGUINNESS; VIEITO, 2013)", "manualFormatting" : "Lam et al. (2013)", "plainTextFormattedCitation" : "(LAM; MCGUINNESS; VIEITO, 2013)", "previouslyFormattedCitation" : "(LAM; MCGUINNESS; VIEITO, 2013)" }, "properties" : {  }, "schema" : "https://github.com/citation-style-language/schema/raw/master/csl-citation.json" }</w:instrText>
            </w:r>
            <w:r w:rsidRPr="00DC2517">
              <w:rPr>
                <w:rStyle w:val="FootnoteReference"/>
                <w:rFonts w:ascii="Times New Roman" w:hAnsi="Times New Roman" w:cs="Times New Roman"/>
                <w:sz w:val="20"/>
                <w:szCs w:val="20"/>
                <w:lang w:val="pt-BR"/>
              </w:rPr>
              <w:fldChar w:fldCharType="separate"/>
            </w:r>
            <w:r w:rsidRPr="00DC2517">
              <w:rPr>
                <w:rFonts w:ascii="Times New Roman" w:hAnsi="Times New Roman" w:cs="Times New Roman"/>
                <w:noProof/>
                <w:sz w:val="20"/>
                <w:szCs w:val="20"/>
                <w:lang w:val="pt-BR"/>
              </w:rPr>
              <w:t xml:space="preserve">Lam </w:t>
            </w:r>
            <w:r w:rsidRPr="005108E6">
              <w:rPr>
                <w:rFonts w:ascii="Times New Roman" w:hAnsi="Times New Roman" w:cs="Times New Roman"/>
                <w:i/>
                <w:noProof/>
                <w:sz w:val="20"/>
                <w:szCs w:val="20"/>
                <w:lang w:val="pt-BR"/>
              </w:rPr>
              <w:t>et al</w:t>
            </w:r>
            <w:r w:rsidRPr="00DC2517">
              <w:rPr>
                <w:rFonts w:ascii="Times New Roman" w:hAnsi="Times New Roman" w:cs="Times New Roman"/>
                <w:noProof/>
                <w:sz w:val="20"/>
                <w:szCs w:val="20"/>
                <w:lang w:val="pt-BR"/>
              </w:rPr>
              <w:t>. (2013)</w:t>
            </w:r>
            <w:r w:rsidRPr="00DC2517">
              <w:rPr>
                <w:rStyle w:val="FootnoteReference"/>
                <w:rFonts w:ascii="Times New Roman" w:hAnsi="Times New Roman" w:cs="Times New Roman"/>
                <w:sz w:val="20"/>
                <w:szCs w:val="20"/>
                <w:lang w:val="pt-BR"/>
              </w:rPr>
              <w:fldChar w:fldCharType="end"/>
            </w:r>
          </w:p>
        </w:tc>
        <w:tc>
          <w:tcPr>
            <w:tcW w:w="442"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02"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6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309"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502"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X</w:t>
            </w:r>
          </w:p>
        </w:tc>
        <w:tc>
          <w:tcPr>
            <w:tcW w:w="427" w:type="pct"/>
            <w:vAlign w:val="center"/>
          </w:tcPr>
          <w:p w:rsidR="005730ED" w:rsidRPr="00DC2517" w:rsidRDefault="005730ED" w:rsidP="00567F3A">
            <w:pPr>
              <w:pStyle w:val="BodyText"/>
              <w:jc w:val="center"/>
              <w:rPr>
                <w:rFonts w:ascii="Times New Roman" w:hAnsi="Times New Roman" w:cs="Times New Roman"/>
                <w:sz w:val="20"/>
                <w:szCs w:val="20"/>
                <w:lang w:val="pt-BR"/>
              </w:rPr>
            </w:pPr>
            <w:r w:rsidRPr="00DC2517">
              <w:rPr>
                <w:rFonts w:ascii="Times New Roman" w:hAnsi="Times New Roman" w:cs="Times New Roman"/>
                <w:sz w:val="20"/>
                <w:szCs w:val="20"/>
                <w:lang w:val="pt-BR"/>
              </w:rPr>
              <w:t>-</w:t>
            </w:r>
          </w:p>
        </w:tc>
        <w:tc>
          <w:tcPr>
            <w:tcW w:w="404"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338"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468"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c>
          <w:tcPr>
            <w:tcW w:w="287" w:type="pct"/>
            <w:vAlign w:val="center"/>
          </w:tcPr>
          <w:p w:rsidR="005730ED" w:rsidRPr="00DC2517" w:rsidRDefault="005730ED" w:rsidP="00567F3A">
            <w:pPr>
              <w:pStyle w:val="BodyText"/>
              <w:jc w:val="center"/>
              <w:rPr>
                <w:rFonts w:ascii="Times New Roman" w:hAnsi="Times New Roman" w:cs="Times New Roman"/>
                <w:sz w:val="20"/>
                <w:szCs w:val="20"/>
                <w:lang w:val="pt-BR"/>
              </w:rPr>
            </w:pPr>
          </w:p>
        </w:tc>
      </w:tr>
      <w:tr w:rsidR="005730ED" w:rsidRPr="00351C7E" w:rsidTr="00284D58">
        <w:trPr>
          <w:trHeight w:hRule="exact" w:val="1247"/>
        </w:trPr>
        <w:tc>
          <w:tcPr>
            <w:tcW w:w="4713" w:type="pct"/>
            <w:gridSpan w:val="10"/>
            <w:tcBorders>
              <w:top w:val="single" w:sz="4" w:space="0" w:color="auto"/>
            </w:tcBorders>
            <w:vAlign w:val="center"/>
          </w:tcPr>
          <w:p w:rsidR="005730ED" w:rsidRPr="00DC2517" w:rsidRDefault="005730ED" w:rsidP="00567F3A">
            <w:pPr>
              <w:pStyle w:val="BodyText"/>
              <w:jc w:val="both"/>
              <w:rPr>
                <w:rFonts w:ascii="Times New Roman" w:hAnsi="Times New Roman" w:cs="Times New Roman"/>
                <w:sz w:val="20"/>
                <w:szCs w:val="20"/>
                <w:lang w:val="pt-BR"/>
              </w:rPr>
            </w:pPr>
            <w:r w:rsidRPr="00DC2517">
              <w:rPr>
                <w:rFonts w:ascii="Times New Roman" w:hAnsi="Times New Roman" w:cs="Times New Roman"/>
                <w:sz w:val="20"/>
                <w:szCs w:val="20"/>
                <w:lang w:val="pt-BR"/>
              </w:rPr>
              <w:t>Fonte: elaborada pelos autores.</w:t>
            </w:r>
          </w:p>
          <w:p w:rsidR="005730ED" w:rsidRPr="00DC2517" w:rsidRDefault="005730ED" w:rsidP="00567F3A">
            <w:pPr>
              <w:pStyle w:val="BodyText"/>
              <w:jc w:val="both"/>
              <w:rPr>
                <w:rFonts w:ascii="Times New Roman" w:hAnsi="Times New Roman" w:cs="Times New Roman"/>
                <w:sz w:val="20"/>
                <w:szCs w:val="20"/>
                <w:lang w:val="pt-BR"/>
              </w:rPr>
            </w:pPr>
            <w:r w:rsidRPr="00DC2517">
              <w:rPr>
                <w:rFonts w:ascii="Times New Roman" w:hAnsi="Times New Roman" w:cs="Times New Roman"/>
                <w:sz w:val="20"/>
                <w:szCs w:val="20"/>
                <w:lang w:val="pt-BR"/>
              </w:rPr>
              <w:t>Nota: a letra X representa a utilização da variável nos estudos selecionados. Os sinais +, -, * e ?, representam que os autores evidenciaram relação positiva, negativa, dúbia ou inexistente, respectivamente, para estas determinantes da remuneração executiva.</w:t>
            </w:r>
          </w:p>
        </w:tc>
        <w:tc>
          <w:tcPr>
            <w:tcW w:w="287" w:type="pct"/>
            <w:tcBorders>
              <w:top w:val="single" w:sz="4" w:space="0" w:color="auto"/>
            </w:tcBorders>
          </w:tcPr>
          <w:p w:rsidR="005730ED" w:rsidRPr="00DC2517" w:rsidRDefault="005730ED" w:rsidP="00567F3A">
            <w:pPr>
              <w:pStyle w:val="BodyText"/>
              <w:jc w:val="both"/>
              <w:rPr>
                <w:rFonts w:ascii="Times New Roman" w:hAnsi="Times New Roman" w:cs="Times New Roman"/>
                <w:sz w:val="20"/>
                <w:szCs w:val="20"/>
                <w:lang w:val="pt-BR"/>
              </w:rPr>
            </w:pPr>
          </w:p>
        </w:tc>
      </w:tr>
    </w:tbl>
    <w:p w:rsidR="00041960" w:rsidRPr="00C35568" w:rsidRDefault="00D2448C"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quantidade de </w:t>
      </w:r>
      <w:r w:rsidR="00C3551D" w:rsidRPr="00C35568">
        <w:rPr>
          <w:rFonts w:ascii="Times New Roman" w:hAnsi="Times New Roman" w:cs="Times New Roman"/>
          <w:lang w:val="pt-BR"/>
        </w:rPr>
        <w:t>membros</w:t>
      </w:r>
      <w:r w:rsidRPr="00C35568">
        <w:rPr>
          <w:rFonts w:ascii="Times New Roman" w:hAnsi="Times New Roman" w:cs="Times New Roman"/>
          <w:lang w:val="pt-BR"/>
        </w:rPr>
        <w:t xml:space="preserve"> </w:t>
      </w:r>
      <w:r w:rsidR="0020560A" w:rsidRPr="00C35568">
        <w:rPr>
          <w:rFonts w:ascii="Times New Roman" w:hAnsi="Times New Roman" w:cs="Times New Roman"/>
          <w:lang w:val="pt-BR"/>
        </w:rPr>
        <w:t xml:space="preserve">(Membros) </w:t>
      </w:r>
      <w:r w:rsidR="00B45527" w:rsidRPr="00C35568">
        <w:rPr>
          <w:rFonts w:ascii="Times New Roman" w:hAnsi="Times New Roman" w:cs="Times New Roman"/>
          <w:lang w:val="pt-BR"/>
        </w:rPr>
        <w:t>foi</w:t>
      </w:r>
      <w:r w:rsidR="00B45527" w:rsidRPr="00C35568">
        <w:rPr>
          <w:rFonts w:ascii="Times New Roman" w:hAnsi="Times New Roman" w:cs="Times New Roman"/>
          <w:spacing w:val="-14"/>
          <w:lang w:val="pt-BR"/>
        </w:rPr>
        <w:t xml:space="preserve"> </w:t>
      </w:r>
      <w:r w:rsidR="00B45527" w:rsidRPr="00C35568">
        <w:rPr>
          <w:rFonts w:ascii="Times New Roman" w:hAnsi="Times New Roman" w:cs="Times New Roman"/>
          <w:lang w:val="pt-BR"/>
        </w:rPr>
        <w:t>calculada</w:t>
      </w:r>
      <w:r w:rsidR="00B45527" w:rsidRPr="00C35568">
        <w:rPr>
          <w:rFonts w:ascii="Times New Roman" w:hAnsi="Times New Roman" w:cs="Times New Roman"/>
          <w:spacing w:val="-12"/>
          <w:lang w:val="pt-BR"/>
        </w:rPr>
        <w:t xml:space="preserve"> </w:t>
      </w:r>
      <w:r w:rsidR="0020560A" w:rsidRPr="00C35568">
        <w:rPr>
          <w:rFonts w:ascii="Times New Roman" w:hAnsi="Times New Roman" w:cs="Times New Roman"/>
          <w:lang w:val="pt-BR"/>
        </w:rPr>
        <w:t xml:space="preserve">pelo total dos executivos que compõem </w:t>
      </w:r>
      <w:r w:rsidR="00B45527" w:rsidRPr="00C35568">
        <w:rPr>
          <w:rFonts w:ascii="Times New Roman" w:hAnsi="Times New Roman" w:cs="Times New Roman"/>
          <w:lang w:val="pt-BR"/>
        </w:rPr>
        <w:t>o</w:t>
      </w:r>
      <w:r w:rsidR="00B45527" w:rsidRPr="00C35568">
        <w:rPr>
          <w:rFonts w:ascii="Times New Roman" w:hAnsi="Times New Roman" w:cs="Times New Roman"/>
          <w:spacing w:val="-10"/>
          <w:lang w:val="pt-BR"/>
        </w:rPr>
        <w:t xml:space="preserve"> </w:t>
      </w:r>
      <w:r w:rsidR="00B45527" w:rsidRPr="00C35568">
        <w:rPr>
          <w:rFonts w:ascii="Times New Roman" w:hAnsi="Times New Roman" w:cs="Times New Roman"/>
          <w:lang w:val="pt-BR"/>
        </w:rPr>
        <w:t>conselho</w:t>
      </w:r>
      <w:r w:rsidR="00B45527" w:rsidRPr="00C35568">
        <w:rPr>
          <w:rFonts w:ascii="Times New Roman" w:hAnsi="Times New Roman" w:cs="Times New Roman"/>
          <w:spacing w:val="-9"/>
          <w:lang w:val="pt-BR"/>
        </w:rPr>
        <w:t xml:space="preserve"> </w:t>
      </w:r>
      <w:r w:rsidR="00B45527" w:rsidRPr="00C35568">
        <w:rPr>
          <w:rFonts w:ascii="Times New Roman" w:hAnsi="Times New Roman" w:cs="Times New Roman"/>
          <w:lang w:val="pt-BR"/>
        </w:rPr>
        <w:t>de</w:t>
      </w:r>
      <w:r w:rsidR="00B45527" w:rsidRPr="00C35568">
        <w:rPr>
          <w:rFonts w:ascii="Times New Roman" w:hAnsi="Times New Roman" w:cs="Times New Roman"/>
          <w:spacing w:val="-11"/>
          <w:lang w:val="pt-BR"/>
        </w:rPr>
        <w:t xml:space="preserve"> </w:t>
      </w:r>
      <w:r w:rsidR="00B45527" w:rsidRPr="00C35568">
        <w:rPr>
          <w:rFonts w:ascii="Times New Roman" w:hAnsi="Times New Roman" w:cs="Times New Roman"/>
          <w:lang w:val="pt-BR"/>
        </w:rPr>
        <w:t>administração</w:t>
      </w:r>
      <w:r w:rsidR="00526F46" w:rsidRPr="00C35568">
        <w:rPr>
          <w:rFonts w:ascii="Times New Roman" w:hAnsi="Times New Roman" w:cs="Times New Roman"/>
          <w:lang w:val="pt-BR"/>
        </w:rPr>
        <w:t xml:space="preserve"> (CA)</w:t>
      </w:r>
      <w:r w:rsidR="0020560A" w:rsidRPr="00C35568">
        <w:rPr>
          <w:rFonts w:ascii="Times New Roman" w:hAnsi="Times New Roman" w:cs="Times New Roman"/>
          <w:lang w:val="pt-BR"/>
        </w:rPr>
        <w:t>,</w:t>
      </w:r>
      <w:r w:rsidR="00B45527" w:rsidRPr="00C35568">
        <w:rPr>
          <w:rFonts w:ascii="Times New Roman" w:hAnsi="Times New Roman" w:cs="Times New Roman"/>
          <w:lang w:val="pt-BR"/>
        </w:rPr>
        <w:t xml:space="preserve"> </w:t>
      </w:r>
      <w:r w:rsidR="0020560A" w:rsidRPr="00C35568">
        <w:rPr>
          <w:rFonts w:ascii="Times New Roman" w:hAnsi="Times New Roman" w:cs="Times New Roman"/>
          <w:lang w:val="pt-BR"/>
        </w:rPr>
        <w:t xml:space="preserve">diretoria estatutária </w:t>
      </w:r>
      <w:r w:rsidR="00526F46" w:rsidRPr="00C35568">
        <w:rPr>
          <w:rFonts w:ascii="Times New Roman" w:hAnsi="Times New Roman" w:cs="Times New Roman"/>
          <w:lang w:val="pt-BR"/>
        </w:rPr>
        <w:t xml:space="preserve">(DE) </w:t>
      </w:r>
      <w:r w:rsidR="0020560A" w:rsidRPr="00C35568">
        <w:rPr>
          <w:rFonts w:ascii="Times New Roman" w:hAnsi="Times New Roman" w:cs="Times New Roman"/>
          <w:lang w:val="pt-BR"/>
        </w:rPr>
        <w:t xml:space="preserve">e </w:t>
      </w:r>
      <w:r w:rsidR="00B45527" w:rsidRPr="00C35568">
        <w:rPr>
          <w:rFonts w:ascii="Times New Roman" w:hAnsi="Times New Roman" w:cs="Times New Roman"/>
          <w:lang w:val="pt-BR"/>
        </w:rPr>
        <w:t>conselho fiscal</w:t>
      </w:r>
      <w:r w:rsidR="00526F46" w:rsidRPr="00C35568">
        <w:rPr>
          <w:rFonts w:ascii="Times New Roman" w:hAnsi="Times New Roman" w:cs="Times New Roman"/>
          <w:lang w:val="pt-BR"/>
        </w:rPr>
        <w:t xml:space="preserve"> (CF)</w:t>
      </w:r>
      <w:r w:rsidR="0020560A" w:rsidRPr="00C35568">
        <w:rPr>
          <w:rFonts w:ascii="Times New Roman" w:hAnsi="Times New Roman" w:cs="Times New Roman"/>
          <w:lang w:val="pt-BR"/>
        </w:rPr>
        <w:t xml:space="preserve">. </w:t>
      </w:r>
      <w:r w:rsidR="005E40DE" w:rsidRPr="00C35568">
        <w:rPr>
          <w:rFonts w:ascii="Times New Roman" w:hAnsi="Times New Roman" w:cs="Times New Roman"/>
          <w:lang w:val="pt-BR"/>
        </w:rPr>
        <w:t xml:space="preserve">Conselhos maiores estão associados à maior remuneração do CEO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"mendeley" : { "formattedCitation" : "(GHOSH; SIRMANS, 2005)", "plainTextFormattedCitation" : "(GHOSH; SIRMANS, 2005)", "previouslyFormattedCitation" : "(GHOSH; SIRMANS, 2005)"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(GHOSH; SIRMANS, 2005)</w:t>
      </w:r>
      <w:r w:rsidR="00C70C2A" w:rsidRPr="00C35568">
        <w:rPr>
          <w:rStyle w:val="FootnoteReference"/>
          <w:rFonts w:ascii="Times New Roman" w:hAnsi="Times New Roman" w:cs="Times New Roman"/>
          <w:lang w:val="pt-BR"/>
        </w:rPr>
        <w:fldChar w:fldCharType="end"/>
      </w:r>
      <w:r w:rsidR="00B12BC7" w:rsidRPr="00C35568">
        <w:rPr>
          <w:rFonts w:ascii="Times New Roman" w:hAnsi="Times New Roman" w:cs="Times New Roman"/>
          <w:lang w:val="pt-BR"/>
        </w:rPr>
        <w:t>.</w:t>
      </w:r>
      <w:r w:rsidR="00FD7ADD" w:rsidRPr="00C35568">
        <w:rPr>
          <w:rFonts w:ascii="Times New Roman" w:hAnsi="Times New Roman" w:cs="Times New Roman"/>
          <w:lang w:val="pt-BR"/>
        </w:rPr>
        <w:t xml:space="preserve"> </w:t>
      </w:r>
      <w:r w:rsidR="0020560A" w:rsidRPr="00C35568">
        <w:rPr>
          <w:rFonts w:ascii="Times New Roman" w:hAnsi="Times New Roman" w:cs="Times New Roman"/>
          <w:lang w:val="pt-BR"/>
        </w:rPr>
        <w:t xml:space="preserve">Espera-se uma relação positiva </w:t>
      </w:r>
      <w:r w:rsidR="005E40DE" w:rsidRPr="00C35568">
        <w:rPr>
          <w:rFonts w:ascii="Times New Roman" w:hAnsi="Times New Roman" w:cs="Times New Roman"/>
          <w:lang w:val="pt-BR"/>
        </w:rPr>
        <w:t xml:space="preserve">entre a variável Membros e a remuneração executiva, </w:t>
      </w:r>
      <w:r w:rsidR="0020560A" w:rsidRPr="00C35568">
        <w:rPr>
          <w:rFonts w:ascii="Times New Roman" w:hAnsi="Times New Roman" w:cs="Times New Roman"/>
          <w:lang w:val="pt-BR"/>
        </w:rPr>
        <w:t>tal como evidenciado por</w:t>
      </w:r>
      <w:r w:rsidR="00FD7ADD"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"ITEM-2",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"ITEM-2", "issue" : "4", "issued" : { "date-parts" : [ [ "2005" ] ] }, "page" : "397-428", "title" : "On REIT CEO compensation: Does board structure matter?", "type" : "article-journal", "volume" : "30" }, "uris" : [ "http://www.mendeley.com/documents/?uuid=df4180a7-d66a-4236-9c12-a7236a3b1468" ] }, { "id" : "ITEM-3",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"ITEM-3", "issue" : "1", "issued" : { "date-parts" : [ [ "2013" ] ] }, "page" : "1136-1159", "publisher" : "Elsevier B.V.", "title" : "CEO gender, executive compensation and firm performance in Chinese-listed enterprises", "type" : "article-journal", "volume" : "21" }, "uris" : [ "http://www.mendeley.com/documents/?uuid=2689f12d-13ad-4eb0-b173-22fa246645c7" ] }, { "id" : "ITEM-4", "itemData" : { "author" : [ { "dropping-particle" : "", "family" : "Yan", "given" : "Yan", "non-dropping-particle" : "", "parse-names" : false, "suffix" : "" } ], "id" : "ITEM-4",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"(ELKINAWY; STATER, 2011; GHOSH; SIRMANS, 2005; LAM; MCGUINNESS; VIEITO, 2013; YAN, 2015)", "manualFormatting" : "Elkinawy e Stater (2011), Ghosh e Sirmans (2005), Lam et al. (2013) e Yan (2015)", "plainTextFormattedCitation" : "(ELKINAWY; STATER, 2011; GHOSH; SIRMANS, 2005; LAM; MCGUINNESS; VIEITO, 2013; YAN, 2015)", "previouslyFormattedCitation" : "(ELKINAWY; STATER, 2011; GHOSH; SIRMANS, 2005; LAM; MCGUINNESS; VIEITO, 2013; YAN, 2015)"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 xml:space="preserve">Elkinawy e Stater (2011), Ghosh e Sirmans (2005), Lam </w:t>
      </w:r>
      <w:r w:rsidR="00C70C2A" w:rsidRPr="005108E6">
        <w:rPr>
          <w:rFonts w:ascii="Times New Roman" w:hAnsi="Times New Roman" w:cs="Times New Roman"/>
          <w:i/>
          <w:noProof/>
          <w:lang w:val="pt-BR"/>
        </w:rPr>
        <w:t>et al.</w:t>
      </w:r>
      <w:r w:rsidR="00C70C2A" w:rsidRPr="00C35568">
        <w:rPr>
          <w:rFonts w:ascii="Times New Roman" w:hAnsi="Times New Roman" w:cs="Times New Roman"/>
          <w:noProof/>
          <w:lang w:val="pt-BR"/>
        </w:rPr>
        <w:t xml:space="preserve"> (2013) e Yan (2015)</w:t>
      </w:r>
      <w:r w:rsidR="00C70C2A" w:rsidRPr="00C35568">
        <w:rPr>
          <w:rStyle w:val="FootnoteReference"/>
          <w:rFonts w:ascii="Times New Roman" w:hAnsi="Times New Roman" w:cs="Times New Roman"/>
          <w:lang w:val="pt-BR"/>
        </w:rPr>
        <w:fldChar w:fldCharType="end"/>
      </w:r>
      <w:r w:rsidR="00F16F0D" w:rsidRPr="00C35568">
        <w:rPr>
          <w:rFonts w:ascii="Times New Roman" w:hAnsi="Times New Roman" w:cs="Times New Roman"/>
          <w:lang w:val="pt-BR"/>
        </w:rPr>
        <w:t>.</w:t>
      </w:r>
    </w:p>
    <w:p w:rsidR="00BE429C" w:rsidRPr="00C35568" w:rsidRDefault="00041960"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 grau de instrução (Instrução) é a média aritmética simples </w:t>
      </w:r>
      <w:r w:rsidR="00B4791E" w:rsidRPr="00C35568">
        <w:rPr>
          <w:rFonts w:ascii="Times New Roman" w:hAnsi="Times New Roman" w:cs="Times New Roman"/>
          <w:lang w:val="pt-BR"/>
        </w:rPr>
        <w:t xml:space="preserve">da titulação </w:t>
      </w:r>
      <w:r w:rsidRPr="00C35568">
        <w:rPr>
          <w:rFonts w:ascii="Times New Roman" w:hAnsi="Times New Roman" w:cs="Times New Roman"/>
          <w:lang w:val="pt-BR"/>
        </w:rPr>
        <w:t xml:space="preserve">dos executivos segundo a seguinte escala: 0 = sem graduação; 1 = graduação; 2 = </w:t>
      </w:r>
      <w:r w:rsidRPr="00C35568">
        <w:rPr>
          <w:rFonts w:ascii="Times New Roman" w:hAnsi="Times New Roman" w:cs="Times New Roman"/>
          <w:i/>
          <w:lang w:val="pt-BR"/>
        </w:rPr>
        <w:t xml:space="preserve">Master of Business Administration </w:t>
      </w:r>
      <w:r w:rsidRPr="00C35568">
        <w:rPr>
          <w:rFonts w:ascii="Times New Roman" w:hAnsi="Times New Roman" w:cs="Times New Roman"/>
          <w:lang w:val="pt-BR"/>
        </w:rPr>
        <w:t>(MBA) e/ou pós-graduação; 3 = mestrado; 4 = doutorado; 5 = pós-doutorado.</w:t>
      </w:r>
      <w:r w:rsidR="00B557CA" w:rsidRPr="00C35568">
        <w:rPr>
          <w:rFonts w:ascii="Times New Roman" w:hAnsi="Times New Roman" w:cs="Times New Roman"/>
          <w:lang w:val="pt-BR"/>
        </w:rPr>
        <w:t xml:space="preserve"> </w:t>
      </w:r>
      <w:r w:rsidR="00BE429C" w:rsidRPr="00C35568">
        <w:rPr>
          <w:rFonts w:ascii="Times New Roman" w:hAnsi="Times New Roman" w:cs="Times New Roman"/>
          <w:lang w:val="pt-BR"/>
        </w:rPr>
        <w:t xml:space="preserve">As credenciais acadêmicas têm um impacto indireto e positivo na remuneração executiva. A pesquisa de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"ITEM-1",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"(LAM; MCGUINNESS; VIEITO, 2013)", "manualFormatting" : "Lam et al. (2013)", "plainTextFormattedCitation" : "(LAM; MCGUINNESS; VIEITO, 2013)", "previouslyFormattedCitation" : "(LAM; MCGUINNESS; VIEITO, 2013)"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 xml:space="preserve">Lam </w:t>
      </w:r>
      <w:r w:rsidR="00C70C2A" w:rsidRPr="005108E6">
        <w:rPr>
          <w:rFonts w:ascii="Times New Roman" w:hAnsi="Times New Roman" w:cs="Times New Roman"/>
          <w:i/>
          <w:noProof/>
          <w:lang w:val="pt-BR"/>
        </w:rPr>
        <w:t>et al</w:t>
      </w:r>
      <w:r w:rsidR="00C70C2A" w:rsidRPr="00C35568">
        <w:rPr>
          <w:rFonts w:ascii="Times New Roman" w:hAnsi="Times New Roman" w:cs="Times New Roman"/>
          <w:noProof/>
          <w:lang w:val="pt-BR"/>
        </w:rPr>
        <w:t>. (2013)</w:t>
      </w:r>
      <w:r w:rsidR="00C70C2A" w:rsidRPr="00C35568">
        <w:rPr>
          <w:rStyle w:val="FootnoteReference"/>
          <w:rFonts w:ascii="Times New Roman" w:hAnsi="Times New Roman" w:cs="Times New Roman"/>
          <w:lang w:val="pt-BR"/>
        </w:rPr>
        <w:fldChar w:fldCharType="end"/>
      </w:r>
      <w:r w:rsidR="00FD7ADD" w:rsidRPr="00C35568">
        <w:rPr>
          <w:rFonts w:ascii="Times New Roman" w:hAnsi="Times New Roman" w:cs="Times New Roman"/>
          <w:lang w:val="pt-BR"/>
        </w:rPr>
        <w:t xml:space="preserve"> </w:t>
      </w:r>
      <w:r w:rsidR="00BE429C" w:rsidRPr="00C35568">
        <w:rPr>
          <w:rFonts w:ascii="Times New Roman" w:hAnsi="Times New Roman" w:cs="Times New Roman"/>
          <w:lang w:val="pt-BR"/>
        </w:rPr>
        <w:t>suporta esta relação.</w:t>
      </w:r>
    </w:p>
    <w:p w:rsidR="001817C3" w:rsidRPr="00C35568" w:rsidRDefault="00526F46"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presença de mulheres (Mulheres) é uma </w:t>
      </w:r>
      <w:r w:rsidR="00FB30D8" w:rsidRPr="00C35568">
        <w:rPr>
          <w:rFonts w:ascii="Times New Roman" w:hAnsi="Times New Roman" w:cs="Times New Roman"/>
          <w:lang w:val="pt-BR"/>
        </w:rPr>
        <w:t xml:space="preserve">variável </w:t>
      </w:r>
      <w:r w:rsidRPr="00C35568">
        <w:rPr>
          <w:rFonts w:ascii="Times New Roman" w:hAnsi="Times New Roman" w:cs="Times New Roman"/>
          <w:lang w:val="pt-BR"/>
        </w:rPr>
        <w:t xml:space="preserve">de contagem calculada pelo </w:t>
      </w:r>
      <w:r w:rsidR="00FB30D8" w:rsidRPr="00C35568">
        <w:rPr>
          <w:rFonts w:ascii="Times New Roman" w:hAnsi="Times New Roman" w:cs="Times New Roman"/>
          <w:lang w:val="pt-BR"/>
        </w:rPr>
        <w:t xml:space="preserve">soma do </w:t>
      </w:r>
      <w:r w:rsidRPr="00C35568">
        <w:rPr>
          <w:rFonts w:ascii="Times New Roman" w:hAnsi="Times New Roman" w:cs="Times New Roman"/>
          <w:lang w:val="pt-BR"/>
        </w:rPr>
        <w:t xml:space="preserve">total de mulheres </w:t>
      </w:r>
      <w:r w:rsidR="00B4791E" w:rsidRPr="00C35568">
        <w:rPr>
          <w:rFonts w:ascii="Times New Roman" w:hAnsi="Times New Roman" w:cs="Times New Roman"/>
          <w:lang w:val="pt-BR"/>
        </w:rPr>
        <w:t xml:space="preserve">nos órgãos </w:t>
      </w:r>
      <w:r w:rsidR="000739A8" w:rsidRPr="00C35568">
        <w:rPr>
          <w:rFonts w:ascii="Times New Roman" w:hAnsi="Times New Roman" w:cs="Times New Roman"/>
          <w:lang w:val="pt-BR"/>
        </w:rPr>
        <w:t>administrativo</w:t>
      </w:r>
      <w:r w:rsidR="00B4791E" w:rsidRPr="00C35568">
        <w:rPr>
          <w:rFonts w:ascii="Times New Roman" w:hAnsi="Times New Roman" w:cs="Times New Roman"/>
          <w:lang w:val="pt-BR"/>
        </w:rPr>
        <w:t>s</w:t>
      </w:r>
      <w:r w:rsidR="000739A8" w:rsidRPr="00C35568">
        <w:rPr>
          <w:rFonts w:ascii="Times New Roman" w:hAnsi="Times New Roman" w:cs="Times New Roman"/>
          <w:lang w:val="pt-BR"/>
        </w:rPr>
        <w:t xml:space="preserve"> (</w:t>
      </w:r>
      <w:r w:rsidRPr="00C35568">
        <w:rPr>
          <w:rFonts w:ascii="Times New Roman" w:hAnsi="Times New Roman" w:cs="Times New Roman"/>
          <w:lang w:val="pt-BR"/>
        </w:rPr>
        <w:t>CA, DE e CF</w:t>
      </w:r>
      <w:r w:rsidR="000739A8" w:rsidRPr="00C35568">
        <w:rPr>
          <w:rFonts w:ascii="Times New Roman" w:hAnsi="Times New Roman" w:cs="Times New Roman"/>
          <w:lang w:val="pt-BR"/>
        </w:rPr>
        <w:t>)</w:t>
      </w:r>
      <w:r w:rsidRPr="00C35568">
        <w:rPr>
          <w:rFonts w:ascii="Times New Roman" w:hAnsi="Times New Roman" w:cs="Times New Roman"/>
          <w:lang w:val="pt-BR"/>
        </w:rPr>
        <w:t>.</w:t>
      </w:r>
      <w:r w:rsidR="00051229" w:rsidRPr="00C35568">
        <w:rPr>
          <w:rFonts w:ascii="Times New Roman" w:hAnsi="Times New Roman" w:cs="Times New Roman"/>
          <w:lang w:val="pt-BR"/>
        </w:rPr>
        <w:t xml:space="preserve"> </w:t>
      </w:r>
      <w:r w:rsidR="00051229" w:rsidRPr="00C35568">
        <w:rPr>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"10.1023/A:1006226129868", "ISBN" : "0167-4544", "ISSN" : "01674544", "PMID" : "12250418", "abstract" : "Although the number of women in middle management has grown quite rapidly in the last two decades, the number of female CEOs in large corporations remains extremely low. This article examines many explanations for why women have not risen to the top, including lack of line experience, inadequate career opportunities, gender differences in linguistic styles and socialization, gender-based stereo- types, the old boy network at the top, and tokenism. Alternative explanations are also presented and analyzed, such as differences between female leader- ship styles and the type of leadership style expected at the top of organizations, feminist explanations for the underrepresentation of women in top manage- ment positions, and the possibility that the most talented women in business often avoid corporate life in favor of entrepreneurial careers.", "author" : [ { "dropping-particle" : "", "family" : "Oakley", "given" : "Judith G.", "non-dropping-particle" : "", "parse-names" : false, "suffix" : "" } ], "container-title" : "Journal of Business Ethics", "id" : "ITEM-1", "issue" : "4", "issued" : { "date-parts" : [ [ "2000" ] ] }, "page" : "321-334", "title" : "Gender-based barriers to senior management positions: Understanding the scarcity of female CEOs", "type" : "article-journal", "volume" : "27" }, "uris" : [ "http://www.mendeley.com/documents/?uuid=79772562-b7ab-444c-a3d0-79287f67f39e" ] } ], "mendeley" : { "formattedCitation" : "(OAKLEY, 2000)", "manualFormatting" : "Oakley (2000)", "plainTextFormattedCitation" : "(OAKLEY, 2000)", "previouslyFormattedCitation" : "(OAKLEY, 2000)" }, "properties" : {  }, "schema" : "https://github.com/citation-style-language/schema/raw/master/csl-citation.json" }</w:instrText>
      </w:r>
      <w:r w:rsidR="00051229" w:rsidRPr="00C35568">
        <w:rPr>
          <w:rFonts w:ascii="Times New Roman" w:hAnsi="Times New Roman" w:cs="Times New Roman"/>
          <w:lang w:val="pt-BR"/>
        </w:rPr>
        <w:fldChar w:fldCharType="separate"/>
      </w:r>
      <w:r w:rsidR="00051229" w:rsidRPr="00C35568">
        <w:rPr>
          <w:rFonts w:ascii="Times New Roman" w:hAnsi="Times New Roman" w:cs="Times New Roman"/>
          <w:noProof/>
          <w:lang w:val="pt-BR"/>
        </w:rPr>
        <w:t>Oakley (2000)</w:t>
      </w:r>
      <w:r w:rsidR="00051229" w:rsidRPr="00C35568">
        <w:rPr>
          <w:rFonts w:ascii="Times New Roman" w:hAnsi="Times New Roman" w:cs="Times New Roman"/>
          <w:lang w:val="pt-BR"/>
        </w:rPr>
        <w:fldChar w:fldCharType="end"/>
      </w:r>
      <w:r w:rsidRPr="00C35568">
        <w:rPr>
          <w:rFonts w:ascii="Times New Roman" w:hAnsi="Times New Roman" w:cs="Times New Roman"/>
          <w:lang w:val="pt-BR"/>
        </w:rPr>
        <w:t xml:space="preserve"> </w:t>
      </w:r>
      <w:r w:rsidR="000739A8" w:rsidRPr="00C35568">
        <w:rPr>
          <w:rFonts w:ascii="Times New Roman" w:hAnsi="Times New Roman" w:cs="Times New Roman"/>
          <w:lang w:val="pt-BR"/>
        </w:rPr>
        <w:t xml:space="preserve">e </w:t>
      </w:r>
      <w:r w:rsidR="00051229" w:rsidRPr="00C35568">
        <w:rPr>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"10.1007/s10888-006-9040-x", "ISBN" : "1569-1721", "ISSN" : "15691721", "abstract" : "The paper provides an up-to-date description of the distribution of female top executives in US corporations across industries and over time. In addition, it characterizes differences in executive compensation practices between men and women. The sample comprises 108,628 observations on 26,047 executives and 2,598 firms from 1992 to 2003. Women are working for smaller, less profitable, faster growing and less risky firms. Furthermore, female executives earn 14% less than their male colleagues. Finally, the gender pay gap is higher towards the upper end of the pay distribution. Key", "author" : [ { "dropping-particle" : "", "family" : "Wanzenried", "given" : "Gabrielle", "non-dropping-particle" : "", "parse-names" : false, "suffix" : "" } ], "container-title" : "Journal of Economic Inequality", "id" : "ITEM-1", "issue" : "2", "issued" : { "date-parts" : [ [ "2008" ] ] }, "page" : "185-209", "title" : "How feminine is corporate America? A recent overview", "type" : "article-journal", "volume" : "6" }, "uris" : [ "http://www.mendeley.com/documents/?uuid=483b3de4-70b0-425f-b301-ce780861cc2d" ] } ], "mendeley" : { "formattedCitation" : "(WANZENRIED, 2008)", "manualFormatting" : "Wanzenried (2008)", "plainTextFormattedCitation" : "(WANZENRIED, 2008)", "previouslyFormattedCitation" : "(WANZENRIED, 2008)" }, "properties" : {  }, "schema" : "https://github.com/citation-style-language/schema/raw/master/csl-citation.json" }</w:instrText>
      </w:r>
      <w:r w:rsidR="00051229" w:rsidRPr="00C35568">
        <w:rPr>
          <w:rFonts w:ascii="Times New Roman" w:hAnsi="Times New Roman" w:cs="Times New Roman"/>
          <w:lang w:val="pt-BR"/>
        </w:rPr>
        <w:fldChar w:fldCharType="separate"/>
      </w:r>
      <w:r w:rsidR="00051229" w:rsidRPr="00C35568">
        <w:rPr>
          <w:rFonts w:ascii="Times New Roman" w:hAnsi="Times New Roman" w:cs="Times New Roman"/>
          <w:noProof/>
          <w:lang w:val="pt-BR"/>
        </w:rPr>
        <w:t>Wanzenried (2008)</w:t>
      </w:r>
      <w:r w:rsidR="00051229" w:rsidRPr="00C35568">
        <w:rPr>
          <w:rFonts w:ascii="Times New Roman" w:hAnsi="Times New Roman" w:cs="Times New Roman"/>
          <w:lang w:val="pt-BR"/>
        </w:rPr>
        <w:fldChar w:fldCharType="end"/>
      </w:r>
      <w:r w:rsidR="00051229" w:rsidRPr="00C35568">
        <w:rPr>
          <w:rFonts w:ascii="Times New Roman" w:hAnsi="Times New Roman" w:cs="Times New Roman"/>
          <w:lang w:val="pt-BR"/>
        </w:rPr>
        <w:t xml:space="preserve"> </w:t>
      </w:r>
      <w:r w:rsidR="000739A8" w:rsidRPr="00C35568">
        <w:rPr>
          <w:rFonts w:ascii="Times New Roman" w:hAnsi="Times New Roman" w:cs="Times New Roman"/>
          <w:lang w:val="pt-BR"/>
        </w:rPr>
        <w:t>documentam que mulheres são sub-compensadas em relação aos homens no mercado de trabalho. Para</w:t>
      </w:r>
      <w:r w:rsidR="00C22701"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"10.1162/003355301556400", "ISBN" : "0033-5533", "ISSN" : "0033-5533", "abstract" : "Theoretical models predict that overconfident investors trade\\nexcessively. We test this prediction by partitioning investors on\\ngender. Psychological research demonstrates that, in areas such as\\nfinance, men are more overconfident than women. Thus, theory predicts\\nthat men will trade more excessively than women. Using account data for\\nover 35,000 households from a large discount brokerage, we analyze the\\ncommon stock investments of men and women from February 1991 through\\nJanuary 1997. We document that men trade 45 percent more than women.\\nTrading reduces men's net returns by 2.65 percentage points a year as\\nopposed to 1.72 percentage points for women.", "author" : [ { "dropping-particle" : "", "family" : "Barber", "given" : "B. M.", "non-dropping-particle" : "", "parse-names" : false, "suffix" : "" }, { "dropping-particle" : "", "family" : "Odean", "given" : "T.", "non-dropping-particle" : "", "parse-names" : false, "suffix" : "" } ], "container-title" : "The Quarterly Journal of Economics", "id" : "ITEM-1", "issue" : "1", "issued" : { "date-parts" : [ [ "2001" ] ] }, "page" : "261-292", "title" : "Boys will be Boys: Gender, Overconfidence, and Common Stock Investment", "type" : "article-journal", "volume" : "116" }, "uris" : [ "http://www.mendeley.com/documents/?uuid=79da7e8c-5d35-4b09-97b9-0de6a7e5f7c0" ] } ], "mendeley" : { "formattedCitation" : "(BARBER; ODEAN, 2001)", "manualFormatting" : "Barber e Odean (2001)", "plainTextFormattedCitation" : "(BARBER; ODEAN, 2001)", "previouslyFormattedCitation" : "(BARBER; ODEAN, 2001)"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Barber e Odean (2001)</w:t>
      </w:r>
      <w:r w:rsidR="00C70C2A" w:rsidRPr="00C35568">
        <w:rPr>
          <w:rStyle w:val="FootnoteReference"/>
          <w:rFonts w:ascii="Times New Roman" w:hAnsi="Times New Roman" w:cs="Times New Roman"/>
          <w:lang w:val="pt-BR"/>
        </w:rPr>
        <w:fldChar w:fldCharType="end"/>
      </w:r>
      <w:r w:rsidR="00FD7ADD" w:rsidRPr="00C35568">
        <w:rPr>
          <w:rFonts w:ascii="Times New Roman" w:hAnsi="Times New Roman" w:cs="Times New Roman"/>
          <w:lang w:val="pt-BR"/>
        </w:rPr>
        <w:t xml:space="preserve"> </w:t>
      </w:r>
      <w:r w:rsidR="00C22701" w:rsidRPr="00C35568">
        <w:rPr>
          <w:rFonts w:ascii="Times New Roman" w:hAnsi="Times New Roman" w:cs="Times New Roman"/>
          <w:lang w:val="pt-BR"/>
        </w:rPr>
        <w:t xml:space="preserve">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"10.1016/j.jfineco.2013.01.010", "ISBN" : "0304405X", "ISSN" : "0304405X", "PMID" : "1357004865", "abstract" : "We administer psychometric tests to senior executives to obtain evidence on their underlying psychological traits and attitudes. We find US CEOs differ significantly from non-US CEOs in terms of their underlying attitudes. In addition, we find that CEOs are significantly more optimistic and risk-tolerant than the lay population. We provide evidence that CEOs' behavioral traits such as optimism and managerial risk-aversion are related to corporate financial policies. Further, we provide new empirical evidence that CEO traits such as risk-aversion and time preference are related to their compensation. \u00a9 2013 Elsevier B.V.", "author" : [ { "dropping-particle" : "", "family" : "Graham", "given" : "John R.", "non-dropping-particle" : "", "parse-names" : false, "suffix" : "" }, { "dropping-particle" : "", "family" : "Harvey", "given" : "Campbell R.", "non-dropping-particle" : "", "parse-names" : false, "suffix" : "" }, { "dropping-particle" : "", "family" : "Puri", "given" : "Manju", "non-dropping-particle" : "", "parse-names" : false, "suffix" : "" } ], "container-title" : "Journal of Financial Economics", "id" : "ITEM-1", "issue" : "1", "issued" : { "date-parts" : [ [ "2013" ] ] }, "page" : "103-121", "publisher" : "Elsevier", "title" : "Managerial attitudes and corporate actions", "type" : "article-journal", "volume" : "109" }, "uris" : [ "http://www.mendeley.com/documents/?uuid=a7b7aeb6-0b65-49f5-87be-92fb2f7fa93d" ] } ], "mendeley" : { "formattedCitation" : "(GRAHAM; HARVEY; PURI, 2013)", "manualFormatting" : "Graham, Harvey e Puri (2013)", "plainTextFormattedCitation" : "(GRAHAM; HARVEY; PURI, 2013)", "previouslyFormattedCitation" : "(GRAHAM; HARVEY; PURI, 2013)"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Graham, Harvey e Puri (2013)</w:t>
      </w:r>
      <w:r w:rsidR="00C70C2A" w:rsidRPr="00C35568">
        <w:rPr>
          <w:rStyle w:val="FootnoteReference"/>
          <w:rFonts w:ascii="Times New Roman" w:hAnsi="Times New Roman" w:cs="Times New Roman"/>
          <w:lang w:val="pt-BR"/>
        </w:rPr>
        <w:fldChar w:fldCharType="end"/>
      </w:r>
      <w:r w:rsidR="00C22701" w:rsidRPr="00C35568">
        <w:rPr>
          <w:rFonts w:ascii="Times New Roman" w:hAnsi="Times New Roman" w:cs="Times New Roman"/>
          <w:lang w:val="pt-BR"/>
        </w:rPr>
        <w:t xml:space="preserve"> </w:t>
      </w:r>
      <w:r w:rsidR="000739A8" w:rsidRPr="00C35568">
        <w:rPr>
          <w:rFonts w:ascii="Times New Roman" w:hAnsi="Times New Roman" w:cs="Times New Roman"/>
          <w:lang w:val="pt-BR"/>
        </w:rPr>
        <w:t xml:space="preserve">as mulheres são mais avessas ao risco do que os homens. </w:t>
      </w:r>
      <w:r w:rsidR="001817C3" w:rsidRPr="00C35568">
        <w:rPr>
          <w:rFonts w:ascii="Times New Roman" w:hAnsi="Times New Roman" w:cs="Times New Roman"/>
          <w:lang w:val="pt-BR"/>
        </w:rPr>
        <w:t xml:space="preserve">Visto que a remuneração fixa é considerada mais conservadora, enquanto os bônus e as opções de ações estão sujeitas a maior incerteza, espera-se: um sinal positivo da variável Mulheres com a remuneração fixa; e </w:t>
      </w:r>
      <w:r w:rsidR="000739A8" w:rsidRPr="00C35568">
        <w:rPr>
          <w:rFonts w:ascii="Times New Roman" w:hAnsi="Times New Roman" w:cs="Times New Roman"/>
          <w:lang w:val="pt-BR"/>
        </w:rPr>
        <w:t xml:space="preserve">uma relação negativa entre </w:t>
      </w:r>
      <w:r w:rsidR="001817C3" w:rsidRPr="00C35568">
        <w:rPr>
          <w:rFonts w:ascii="Times New Roman" w:hAnsi="Times New Roman" w:cs="Times New Roman"/>
          <w:lang w:val="pt-BR"/>
        </w:rPr>
        <w:t xml:space="preserve">a quantidade de mulheres executivas com as remunerações variáveis e por pagamento baseado em ações. </w:t>
      </w:r>
    </w:p>
    <w:p w:rsidR="00D00DCC" w:rsidRPr="00C35568" w:rsidRDefault="002362B4"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dualidade de cargos </w:t>
      </w:r>
      <w:r w:rsidR="002D15D9" w:rsidRPr="00C35568">
        <w:rPr>
          <w:rFonts w:ascii="Times New Roman" w:hAnsi="Times New Roman" w:cs="Times New Roman"/>
          <w:lang w:val="pt-BR"/>
        </w:rPr>
        <w:t xml:space="preserve">(d.Dual) </w:t>
      </w:r>
      <w:r w:rsidRPr="00C35568">
        <w:rPr>
          <w:rFonts w:ascii="Times New Roman" w:hAnsi="Times New Roman" w:cs="Times New Roman"/>
          <w:lang w:val="pt-BR"/>
        </w:rPr>
        <w:t xml:space="preserve">é capturada por uma variável binária que assume o valor de 1 (um) caso o CEO atue como presidente do conselho e 0 (zero) caso contrário. As </w:t>
      </w:r>
      <w:r w:rsidRPr="00C35568">
        <w:rPr>
          <w:rFonts w:ascii="Times New Roman" w:hAnsi="Times New Roman" w:cs="Times New Roman"/>
          <w:lang w:val="pt-BR"/>
        </w:rPr>
        <w:lastRenderedPageBreak/>
        <w:t>pesquisas que relacionam esta variável como determinante da</w:t>
      </w:r>
      <w:r w:rsidR="00B205BD" w:rsidRPr="00C35568">
        <w:rPr>
          <w:rFonts w:ascii="Times New Roman" w:hAnsi="Times New Roman" w:cs="Times New Roman"/>
          <w:lang w:val="pt-BR"/>
        </w:rPr>
        <w:t xml:space="preserve"> remuneração apresentaram sinal ambíguo</w:t>
      </w:r>
      <w:r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"ITEM-2", "itemData" : { "author" : [ { "dropping-particle" : "", "family" : "Yan", "given" : "Yan", "non-dropping-particle" : "", "parse-names" : false, "suffix" : "" } ], "id" : "ITEM-2",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"(ELKINAWY; STATER, 2011; YAN, 2015)", "plainTextFormattedCitation" : "(ELKINAWY; STATER, 2011; YAN, 2015)", "previouslyFormattedCitation" : "(ELKINAWY; STATER, 2011; YAN, 2015)"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(ELKINAWY; STATER, 2011; YAN, 2015)</w:t>
      </w:r>
      <w:r w:rsidR="00C70C2A" w:rsidRPr="00C35568">
        <w:rPr>
          <w:rStyle w:val="FootnoteReference"/>
          <w:rFonts w:ascii="Times New Roman" w:hAnsi="Times New Roman" w:cs="Times New Roman"/>
          <w:lang w:val="pt-BR"/>
        </w:rPr>
        <w:fldChar w:fldCharType="end"/>
      </w:r>
    </w:p>
    <w:p w:rsidR="005B3E7E" w:rsidRPr="00C35568" w:rsidRDefault="00D00DCC"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w:t>
      </w:r>
      <w:r w:rsidR="00B205BD" w:rsidRPr="00C35568">
        <w:rPr>
          <w:rFonts w:ascii="Times New Roman" w:hAnsi="Times New Roman" w:cs="Times New Roman"/>
          <w:lang w:val="pt-BR"/>
        </w:rPr>
        <w:t>independência</w:t>
      </w:r>
      <w:r w:rsidRPr="00C35568">
        <w:rPr>
          <w:rFonts w:ascii="Times New Roman" w:hAnsi="Times New Roman" w:cs="Times New Roman"/>
          <w:lang w:val="pt-BR"/>
        </w:rPr>
        <w:t xml:space="preserve"> (d.Eleito) é capturada por uma variável binária que assume o valor </w:t>
      </w:r>
      <w:r w:rsidR="00B45527" w:rsidRPr="00C35568">
        <w:rPr>
          <w:rFonts w:ascii="Times New Roman" w:hAnsi="Times New Roman" w:cs="Times New Roman"/>
          <w:lang w:val="pt-BR"/>
        </w:rPr>
        <w:t xml:space="preserve">de </w:t>
      </w:r>
      <w:r w:rsidRPr="00C35568">
        <w:rPr>
          <w:rFonts w:ascii="Times New Roman" w:hAnsi="Times New Roman" w:cs="Times New Roman"/>
          <w:lang w:val="pt-BR"/>
        </w:rPr>
        <w:t xml:space="preserve">1 (um) </w:t>
      </w:r>
      <w:r w:rsidR="005B3E7E" w:rsidRPr="00C35568">
        <w:rPr>
          <w:rFonts w:ascii="Times New Roman" w:hAnsi="Times New Roman" w:cs="Times New Roman"/>
          <w:lang w:val="pt-BR"/>
        </w:rPr>
        <w:t>se</w:t>
      </w:r>
      <w:r w:rsidRPr="00C35568">
        <w:rPr>
          <w:rFonts w:ascii="Times New Roman" w:hAnsi="Times New Roman" w:cs="Times New Roman"/>
          <w:lang w:val="pt-BR"/>
        </w:rPr>
        <w:t xml:space="preserve"> o conselheiro foi eleito pelo </w:t>
      </w:r>
      <w:r w:rsidR="00B205BD" w:rsidRPr="00C35568">
        <w:rPr>
          <w:rFonts w:ascii="Times New Roman" w:hAnsi="Times New Roman" w:cs="Times New Roman"/>
          <w:lang w:val="pt-BR"/>
        </w:rPr>
        <w:t>controlador</w:t>
      </w:r>
      <w:r w:rsidRPr="00C35568">
        <w:rPr>
          <w:rFonts w:ascii="Times New Roman" w:hAnsi="Times New Roman" w:cs="Times New Roman"/>
          <w:lang w:val="pt-BR"/>
        </w:rPr>
        <w:t xml:space="preserve"> da empresa e 0 (zero) caso contrário. O resultado para esta variável é </w:t>
      </w:r>
      <w:r w:rsidR="00B205BD" w:rsidRPr="00C35568">
        <w:rPr>
          <w:rFonts w:ascii="Times New Roman" w:hAnsi="Times New Roman" w:cs="Times New Roman"/>
          <w:lang w:val="pt-BR"/>
        </w:rPr>
        <w:t>ambíguo</w:t>
      </w:r>
      <w:r w:rsidRPr="00C35568">
        <w:rPr>
          <w:rFonts w:ascii="Times New Roman" w:hAnsi="Times New Roman" w:cs="Times New Roman"/>
          <w:lang w:val="pt-BR"/>
        </w:rPr>
        <w:t xml:space="preserve"> devido os </w:t>
      </w:r>
      <w:r w:rsidR="005B3E7E" w:rsidRPr="00C35568">
        <w:rPr>
          <w:rFonts w:ascii="Times New Roman" w:hAnsi="Times New Roman" w:cs="Times New Roman"/>
          <w:lang w:val="pt-BR"/>
        </w:rPr>
        <w:t>achados</w:t>
      </w:r>
      <w:r w:rsidRPr="00C35568">
        <w:rPr>
          <w:rFonts w:ascii="Times New Roman" w:hAnsi="Times New Roman" w:cs="Times New Roman"/>
          <w:lang w:val="pt-BR"/>
        </w:rPr>
        <w:t xml:space="preserve"> encontrados por</w:t>
      </w:r>
      <w:r w:rsidR="005730ED"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"ITEM-1",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"ITEM-2", "itemData" : { "DOI" : "10.1016/j.mulfin.2007.02.003", "ISSN" : "1042444X", "abstract" : "We use data from the Portuguese Stock Market to examine the link between firm performance, board structure, and top executive pay. We examine whether the governance structure of companies influences top executive pay. Specifically, we consider the role of nonexecutive board members as mediators of the management-shareholder relationship. Our results cast doubt on the effectiveness of independent board members. Firms with more nonexecutive board members pay higher wages to their executives. Furthermore, we find that firms with zero nonexecutive board members actually have fewer agency problems and achieve a better alignment of shareholders' and managers' interests. \u00a9 2007 Elsevier B.V. All rights reserved.", "author" : [ { "dropping-particle" : "", "family" : "Fernandes", "given" : "Nuno", "non-dropping-particle" : "", "parse-names" : false, "suffix" : "" } ], "container-title" : "Journal of Multinational Financial Management", "id" : "ITEM-2", "issue" : "1", "issued" : { "date-parts" : [ [ "2008" ] ] }, "page" : "30-44", "title" : "EC: Board compensation and firm performance: The role of \"independent\" board members", "type" : "article-journal", "volume" : "18" }, "uris" : [ "http://www.mendeley.com/documents/?uuid=1e19251e-3c01-40b5-a2fa-5cf7f1265cbb" ] }, { "id" : "ITEM-3",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"ITEM-3", "issue" : "4", "issued" : { "date-parts" : [ [ "2005" ] ] }, "page" : "397-428", "title" : "On REIT CEO compensation: Does board structure matter?", "type" : "article-journal", "volume" : "30" }, "uris" : [ "http://www.mendeley.com/documents/?uuid=df4180a7-d66a-4236-9c12-a7236a3b1468" ] } ], "mendeley" : { "formattedCitation" : "(ELKINAWY; STATER, 2011; FERNANDES, 2008; GHOSH; SIRMANS, 2005)", "manualFormatting" : "Elkinawy e Stater, (2011), Fernandes (2008) e Ghosh e Sirmans (2005)", "plainTextFormattedCitation" : "(ELKINAWY; STATER, 2011; FERNANDES, 2008; GHOSH; SIRMANS, 2005)", "previouslyFormattedCitation" : "(ELKINAWY; STATER, 2011; FERNANDES, 2008; GHOSH; SIRMANS, 2005)"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Elkinawy e Stater</w:t>
      </w:r>
      <w:r w:rsidR="00051229" w:rsidRPr="00C35568">
        <w:rPr>
          <w:rFonts w:ascii="Times New Roman" w:hAnsi="Times New Roman" w:cs="Times New Roman"/>
          <w:noProof/>
          <w:lang w:val="pt-BR"/>
        </w:rPr>
        <w:t xml:space="preserve"> </w:t>
      </w:r>
      <w:r w:rsidR="00C70C2A" w:rsidRPr="00C35568">
        <w:rPr>
          <w:rFonts w:ascii="Times New Roman" w:hAnsi="Times New Roman" w:cs="Times New Roman"/>
          <w:noProof/>
          <w:lang w:val="pt-BR"/>
        </w:rPr>
        <w:t>(2011), Fernandes (2008) e Ghosh e Sirmans (2005)</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w:t>
      </w:r>
      <w:r w:rsidR="005B3E7E" w:rsidRPr="00C35568">
        <w:rPr>
          <w:rFonts w:ascii="Times New Roman" w:hAnsi="Times New Roman" w:cs="Times New Roman"/>
          <w:lang w:val="pt-BR"/>
        </w:rPr>
        <w:t xml:space="preserve"> Caso o sinal da variável d.Eleito seja positivo indicará que executivos eleitos influenciam positivamente a remuneração executiva. Já se o sinal for negativo, indicará que executivos eleitos </w:t>
      </w:r>
      <w:r w:rsidR="00B4791E" w:rsidRPr="00C35568">
        <w:rPr>
          <w:rFonts w:ascii="Times New Roman" w:hAnsi="Times New Roman" w:cs="Times New Roman"/>
          <w:lang w:val="pt-BR"/>
        </w:rPr>
        <w:t xml:space="preserve">têm incentivos para reduzir a </w:t>
      </w:r>
      <w:r w:rsidR="005B3E7E" w:rsidRPr="00C35568">
        <w:rPr>
          <w:rFonts w:ascii="Times New Roman" w:hAnsi="Times New Roman" w:cs="Times New Roman"/>
          <w:lang w:val="pt-BR"/>
        </w:rPr>
        <w:t xml:space="preserve">compensação </w:t>
      </w:r>
      <w:r w:rsidR="00B4791E" w:rsidRPr="00C35568">
        <w:rPr>
          <w:rFonts w:ascii="Times New Roman" w:hAnsi="Times New Roman" w:cs="Times New Roman"/>
          <w:lang w:val="pt-BR"/>
        </w:rPr>
        <w:t>executiva.</w:t>
      </w:r>
    </w:p>
    <w:p w:rsidR="00307C8D" w:rsidRPr="00C35568" w:rsidRDefault="00307C8D" w:rsidP="0056375D">
      <w:pPr>
        <w:pStyle w:val="BodyText"/>
        <w:spacing w:after="0" w:line="240" w:lineRule="auto"/>
        <w:jc w:val="both"/>
        <w:rPr>
          <w:rFonts w:ascii="Times New Roman" w:hAnsi="Times New Roman" w:cs="Times New Roman"/>
          <w:lang w:val="pt-BR"/>
        </w:rPr>
      </w:pPr>
    </w:p>
    <w:p w:rsidR="00825720" w:rsidRPr="00DC2517" w:rsidRDefault="00446871" w:rsidP="00567F3A">
      <w:pPr>
        <w:pStyle w:val="BodyText"/>
        <w:jc w:val="both"/>
        <w:rPr>
          <w:rFonts w:ascii="Times New Roman" w:hAnsi="Times New Roman" w:cs="Times New Roman"/>
          <w:i/>
          <w:lang w:val="pt-BR"/>
        </w:rPr>
      </w:pPr>
      <w:r w:rsidRPr="00DC2517">
        <w:rPr>
          <w:rFonts w:ascii="Times New Roman" w:hAnsi="Times New Roman" w:cs="Times New Roman"/>
          <w:i/>
          <w:lang w:val="pt-BR"/>
        </w:rPr>
        <w:t>Variáveis de c</w:t>
      </w:r>
      <w:r w:rsidR="00B45527" w:rsidRPr="00DC2517">
        <w:rPr>
          <w:rFonts w:ascii="Times New Roman" w:hAnsi="Times New Roman" w:cs="Times New Roman"/>
          <w:i/>
          <w:lang w:val="pt-BR"/>
        </w:rPr>
        <w:t>ontrole</w:t>
      </w:r>
      <w:r w:rsidR="00CD6E08" w:rsidRPr="00DC2517">
        <w:rPr>
          <w:rFonts w:ascii="Times New Roman" w:hAnsi="Times New Roman" w:cs="Times New Roman"/>
          <w:i/>
          <w:lang w:val="pt-BR"/>
        </w:rPr>
        <w:t>: rentabilidade e identidade do acionista controlador</w:t>
      </w:r>
    </w:p>
    <w:p w:rsidR="00D3297D" w:rsidRPr="00C35568" w:rsidRDefault="003836D2"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Como </w:t>
      </w:r>
      <w:r w:rsidRPr="00C35568">
        <w:rPr>
          <w:rFonts w:ascii="Times New Roman" w:hAnsi="Times New Roman" w:cs="Times New Roman"/>
          <w:i/>
          <w:iCs/>
          <w:lang w:val="pt-BR"/>
        </w:rPr>
        <w:t xml:space="preserve">proxy </w:t>
      </w:r>
      <w:r w:rsidRPr="00C35568">
        <w:rPr>
          <w:rFonts w:ascii="Times New Roman" w:hAnsi="Times New Roman" w:cs="Times New Roman"/>
          <w:lang w:val="pt-BR"/>
        </w:rPr>
        <w:t xml:space="preserve">de rentabilidade foram utilizadas medidas contábeis de desempenho financeiro, sendo: o retorno sobre os ativos (Roa), desvio </w:t>
      </w:r>
      <w:r w:rsidR="00D3297D" w:rsidRPr="00C35568">
        <w:rPr>
          <w:rFonts w:ascii="Times New Roman" w:hAnsi="Times New Roman" w:cs="Times New Roman"/>
          <w:lang w:val="pt-BR"/>
        </w:rPr>
        <w:t xml:space="preserve">padrão </w:t>
      </w:r>
      <w:r w:rsidRPr="00C35568">
        <w:rPr>
          <w:rFonts w:ascii="Times New Roman" w:hAnsi="Times New Roman" w:cs="Times New Roman"/>
          <w:lang w:val="pt-BR"/>
        </w:rPr>
        <w:t>do retorno sobre os at</w:t>
      </w:r>
      <w:r w:rsidR="00CD6E08" w:rsidRPr="00C35568">
        <w:rPr>
          <w:rFonts w:ascii="Times New Roman" w:hAnsi="Times New Roman" w:cs="Times New Roman"/>
          <w:lang w:val="pt-BR"/>
        </w:rPr>
        <w:t>ivos (SR</w:t>
      </w:r>
      <w:r w:rsidRPr="00C35568">
        <w:rPr>
          <w:rFonts w:ascii="Times New Roman" w:hAnsi="Times New Roman" w:cs="Times New Roman"/>
          <w:lang w:val="pt-BR"/>
        </w:rPr>
        <w:t xml:space="preserve">oa), crescimento da empresa (lnCresc) e </w:t>
      </w:r>
      <w:r w:rsidRPr="00C35568">
        <w:rPr>
          <w:rFonts w:ascii="Times New Roman" w:hAnsi="Times New Roman" w:cs="Times New Roman"/>
          <w:i/>
          <w:lang w:val="pt-BR"/>
        </w:rPr>
        <w:t>q</w:t>
      </w:r>
      <w:r w:rsidRPr="00C35568">
        <w:rPr>
          <w:rFonts w:ascii="Times New Roman" w:hAnsi="Times New Roman" w:cs="Times New Roman"/>
          <w:lang w:val="pt-BR"/>
        </w:rPr>
        <w:t xml:space="preserve"> de Tobin (Q). Espera-se uma relação </w:t>
      </w:r>
      <w:r w:rsidR="00CD6E08" w:rsidRPr="00C35568">
        <w:rPr>
          <w:rFonts w:ascii="Times New Roman" w:hAnsi="Times New Roman" w:cs="Times New Roman"/>
          <w:lang w:val="pt-BR"/>
        </w:rPr>
        <w:t>positiva entre as medidas de rentabilidade e a remun</w:t>
      </w:r>
      <w:r w:rsidR="00315AE1" w:rsidRPr="00C35568">
        <w:rPr>
          <w:rFonts w:ascii="Times New Roman" w:hAnsi="Times New Roman" w:cs="Times New Roman"/>
          <w:lang w:val="pt-BR"/>
        </w:rPr>
        <w:t>eração executiva, tal como evide</w:t>
      </w:r>
      <w:r w:rsidR="00CD6E08" w:rsidRPr="00C35568">
        <w:rPr>
          <w:rFonts w:ascii="Times New Roman" w:hAnsi="Times New Roman" w:cs="Times New Roman"/>
          <w:lang w:val="pt-BR"/>
        </w:rPr>
        <w:t xml:space="preserve">nciado por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"id" : "ITEM-2",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"ITEM-2",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"ITEM-3", "itemData" : { "author" : [ { "dropping-particle" : "", "family" : "Yan", "given" : "Yan", "non-dropping-particle" : "", "parse-names" : false, "suffix" : "" } ], "id" : "ITEM-3",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"(ELKINAWY; STATER, 2011; GHOSH; SIRMANS, 2005; YAN, 2015)", "manualFormatting" : "Elkinawy e Stater (2011), Ghosh e Sirmans (2005) e Yan (2015)", "plainTextFormattedCitation" : "(ELKINAWY; STATER, 2011; GHOSH; SIRMANS, 2005; YAN, 2015)", "previouslyFormattedCitation" : "(ELKINAWY; STATER, 2011; GHOSH; SIRMANS, 2005; YAN, 2015)"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Elkinawy e Stater (2011), Ghosh e Sirmans (2005) e Yan (2015)</w:t>
      </w:r>
      <w:r w:rsidR="00C70C2A" w:rsidRPr="00C35568">
        <w:rPr>
          <w:rStyle w:val="FootnoteReference"/>
          <w:rFonts w:ascii="Times New Roman" w:hAnsi="Times New Roman" w:cs="Times New Roman"/>
          <w:lang w:val="pt-BR"/>
        </w:rPr>
        <w:fldChar w:fldCharType="end"/>
      </w:r>
      <w:r w:rsidR="00CD6E08" w:rsidRPr="00C35568">
        <w:rPr>
          <w:rFonts w:ascii="Times New Roman" w:hAnsi="Times New Roman" w:cs="Times New Roman"/>
          <w:lang w:val="pt-BR"/>
        </w:rPr>
        <w:t>.</w:t>
      </w:r>
      <w:r w:rsidR="00D3297D" w:rsidRPr="00C35568">
        <w:rPr>
          <w:rFonts w:ascii="Times New Roman" w:hAnsi="Times New Roman" w:cs="Times New Roman"/>
          <w:lang w:val="pt-BR"/>
        </w:rPr>
        <w:t xml:space="preserve"> </w:t>
      </w:r>
    </w:p>
    <w:p w:rsidR="00315AE1" w:rsidRPr="00C35568" w:rsidRDefault="00CD6E08"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 Roa é calculado como a razão entre o lucro líquido e o ativo total. A medida SRoa é </w:t>
      </w:r>
      <w:r w:rsidR="00315AE1" w:rsidRPr="00C35568">
        <w:rPr>
          <w:rFonts w:ascii="Times New Roman" w:hAnsi="Times New Roman" w:cs="Times New Roman"/>
          <w:lang w:val="pt-BR"/>
        </w:rPr>
        <w:t xml:space="preserve">o desvio padrão do Roa dos últimos cinco </w:t>
      </w:r>
      <w:r w:rsidRPr="00C35568">
        <w:rPr>
          <w:rFonts w:ascii="Times New Roman" w:hAnsi="Times New Roman" w:cs="Times New Roman"/>
          <w:lang w:val="pt-BR"/>
        </w:rPr>
        <w:t xml:space="preserve">anos. </w:t>
      </w:r>
      <w:r w:rsidR="00315AE1" w:rsidRPr="00C35568">
        <w:rPr>
          <w:rFonts w:ascii="Times New Roman" w:hAnsi="Times New Roman" w:cs="Times New Roman"/>
          <w:lang w:val="pt-BR"/>
        </w:rPr>
        <w:t xml:space="preserve">A variável lnCresc é o logaritmo natural da média aritmética do crescimento do valor de mercado das ações para cinco anos anteriores. O </w:t>
      </w:r>
      <w:r w:rsidR="00315AE1" w:rsidRPr="00C35568">
        <w:rPr>
          <w:rFonts w:ascii="Times New Roman" w:hAnsi="Times New Roman" w:cs="Times New Roman"/>
          <w:i/>
          <w:lang w:val="pt-BR"/>
        </w:rPr>
        <w:t>q</w:t>
      </w:r>
      <w:r w:rsidR="00315AE1" w:rsidRPr="00C35568">
        <w:rPr>
          <w:rFonts w:ascii="Times New Roman" w:hAnsi="Times New Roman" w:cs="Times New Roman"/>
          <w:lang w:val="pt-BR"/>
        </w:rPr>
        <w:t xml:space="preserve"> de Tobin (Q) é o valor de mercado das ações mais as dividas dividido pelo ativo total da empresa.</w:t>
      </w:r>
    </w:p>
    <w:p w:rsidR="008B3B0A" w:rsidRDefault="00D3297D"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Como variável de controle foi inserida a identidade do acionista controlador (d.Identidade). Esta, </w:t>
      </w:r>
      <w:r w:rsidR="0056041F" w:rsidRPr="00C35568">
        <w:rPr>
          <w:rFonts w:ascii="Times New Roman" w:hAnsi="Times New Roman" w:cs="Times New Roman"/>
          <w:lang w:val="pt-BR"/>
        </w:rPr>
        <w:t xml:space="preserve">é uma variável binária que assume o valor de 1 (um) caso o acionista controlador seja o Estado e 0 (zero) caso contrário. O sinal esperado para esta relação é dúbio </w:t>
      </w:r>
      <w:r w:rsidR="00D73E15" w:rsidRPr="00C35568">
        <w:rPr>
          <w:rFonts w:ascii="Times New Roman" w:hAnsi="Times New Roman" w:cs="Times New Roman"/>
          <w:lang w:val="pt-BR"/>
        </w:rPr>
        <w:t>devido o capturado pelas proxies de independência utilizadas nas pesquisas de</w:t>
      </w:r>
      <w:r w:rsidR="00AB7DD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"Yan", "given" : "Yan", "non-dropping-particle" : "", "parse-names" : false, "suffix" : "" } ], "id" : "ITEM-1",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"id" : "ITEM-2", "itemData" : { "DOI" : "10.2307/30040616", "ISBN" : "0001-4273", "ISSN" : "00014273", "PMID" : "9618381", "abstract" : "Tenho o Artigo original de 2003 para ler on line no JSTOR", "author" : [ { "dropping-particle" : "", "family" : "Franken", "given" : "R.B.M", "non-dropping-particle" : "", "parse-names" : false, "suffix" : "" } ], "id" : "ITEM-2", "issued" : { "date-parts" : [ [ "2010" ] ] }, "number-of-pages" : "226-237", "publisher" : "Tilburg University", "title" : "The determinants of executive compensation An optimal mix in fixed and variable executive rewards for listed companies in the Netherlands Master", "type" : "thesis", "volume" : "57" }, "uris" : [ "http://www.mendeley.com/documents/?uuid=10f1e391-30f8-4fd8-ac2b-a90c180947f4" ] }, { "id" : "ITEM-3",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"ITEM-3",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"(FRANKEN, 2010; LAM; MCGUINNESS; VIEITO, 2013; YAN, 2015)", "manualFormatting" : "Franken (2010), Lam et al. (2013) e Yan (2015)", "plainTextFormattedCitation" : "(FRANKEN, 2010; LAM; MCGUINNESS; VIEITO, 2013; YAN, 2015)", "previouslyFormattedCitation" : "(FRANKEN, 2010; LAM; MCGUINNESS; VIEITO, 2013; YAN, 2015)"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 xml:space="preserve">Franken (2010), Lam </w:t>
      </w:r>
      <w:r w:rsidR="00C70C2A" w:rsidRPr="005108E6">
        <w:rPr>
          <w:rFonts w:ascii="Times New Roman" w:hAnsi="Times New Roman" w:cs="Times New Roman"/>
          <w:i/>
          <w:noProof/>
          <w:lang w:val="pt-BR"/>
        </w:rPr>
        <w:t>et al</w:t>
      </w:r>
      <w:r w:rsidR="00C70C2A" w:rsidRPr="00C35568">
        <w:rPr>
          <w:rFonts w:ascii="Times New Roman" w:hAnsi="Times New Roman" w:cs="Times New Roman"/>
          <w:noProof/>
          <w:lang w:val="pt-BR"/>
        </w:rPr>
        <w:t>. (2013) e Yan (2015)</w:t>
      </w:r>
      <w:r w:rsidR="00C70C2A" w:rsidRPr="00C35568">
        <w:rPr>
          <w:rStyle w:val="FootnoteReference"/>
          <w:rFonts w:ascii="Times New Roman" w:hAnsi="Times New Roman" w:cs="Times New Roman"/>
          <w:lang w:val="pt-BR"/>
        </w:rPr>
        <w:fldChar w:fldCharType="end"/>
      </w:r>
      <w:r w:rsidR="00AB7DD0" w:rsidRPr="00C35568">
        <w:rPr>
          <w:rFonts w:ascii="Times New Roman" w:hAnsi="Times New Roman" w:cs="Times New Roman"/>
          <w:lang w:val="pt-BR"/>
        </w:rPr>
        <w:t>.</w:t>
      </w:r>
    </w:p>
    <w:p w:rsidR="007C3FAB" w:rsidRPr="00C35568" w:rsidRDefault="007C3FAB" w:rsidP="00DC2517">
      <w:pPr>
        <w:pStyle w:val="BodyText"/>
        <w:spacing w:after="0" w:line="240" w:lineRule="auto"/>
        <w:ind w:firstLine="709"/>
        <w:jc w:val="both"/>
        <w:rPr>
          <w:rFonts w:ascii="Times New Roman" w:hAnsi="Times New Roman" w:cs="Times New Roman"/>
          <w:lang w:val="pt-BR"/>
        </w:rPr>
      </w:pPr>
    </w:p>
    <w:p w:rsidR="00F5717E" w:rsidRPr="007C3FAB" w:rsidRDefault="008B3B0A" w:rsidP="007C3FAB">
      <w:pPr>
        <w:pStyle w:val="BodyText"/>
        <w:spacing w:line="240" w:lineRule="auto"/>
        <w:jc w:val="both"/>
        <w:rPr>
          <w:rFonts w:ascii="Times New Roman" w:hAnsi="Times New Roman" w:cs="Times New Roman"/>
          <w:b/>
          <w:lang w:val="pt-BR"/>
        </w:rPr>
      </w:pPr>
      <w:r w:rsidRPr="007C3FAB">
        <w:rPr>
          <w:rFonts w:ascii="Times New Roman" w:hAnsi="Times New Roman" w:cs="Times New Roman"/>
          <w:b/>
          <w:lang w:val="pt-BR"/>
        </w:rPr>
        <w:t xml:space="preserve">3.3 </w:t>
      </w:r>
      <w:r w:rsidR="00F5717E" w:rsidRPr="007C3FAB">
        <w:rPr>
          <w:rFonts w:ascii="Times New Roman" w:hAnsi="Times New Roman" w:cs="Times New Roman"/>
          <w:b/>
          <w:lang w:val="pt-BR"/>
        </w:rPr>
        <w:t>Modelos e Técnicas de Análise</w:t>
      </w:r>
    </w:p>
    <w:p w:rsidR="00DC6249" w:rsidRDefault="008B3B0A" w:rsidP="00DC2517">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Para capturar a relação entre </w:t>
      </w:r>
      <w:r w:rsidR="002D5281" w:rsidRPr="00C35568">
        <w:rPr>
          <w:rFonts w:ascii="Times New Roman" w:hAnsi="Times New Roman" w:cs="Times New Roman"/>
          <w:lang w:val="pt-BR"/>
        </w:rPr>
        <w:t>remuneração e características dos executivos estabelecida na literatura foi proposto o seguinte modelo econométrico:</w:t>
      </w:r>
    </w:p>
    <w:p w:rsidR="00DC2517" w:rsidRPr="00C35568" w:rsidRDefault="00DC2517" w:rsidP="00DC2517">
      <w:pPr>
        <w:pStyle w:val="BodyText"/>
        <w:spacing w:after="0" w:line="240" w:lineRule="auto"/>
        <w:ind w:firstLine="709"/>
        <w:jc w:val="both"/>
        <w:rPr>
          <w:rFonts w:ascii="Times New Roman" w:hAnsi="Times New Roman" w:cs="Times New Roman"/>
          <w:lang w:val="pt-BR"/>
        </w:rPr>
      </w:pPr>
    </w:p>
    <w:p w:rsidR="00DC6249" w:rsidRPr="00C35568" w:rsidRDefault="00351C7E" w:rsidP="00DC6249">
      <w:pP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lang w:val="pt-BR"/>
                </w:rPr>
                <m:t>(lnTotal;lnFixa;lnVariável;lnAções)</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0</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Membros</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Instrução</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3</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d.Mulheres</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4</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d.Dual</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5</m:t>
              </m:r>
            </m:sub>
          </m:sSub>
          <m:sSub>
            <m:sSubPr>
              <m:ctrlPr>
                <w:rPr>
                  <w:rFonts w:ascii="Cambria Math" w:hAnsi="Cambria Math" w:cs="Times New Roman"/>
                  <w:sz w:val="24"/>
                  <w:szCs w:val="24"/>
                </w:rPr>
              </m:ctrlPr>
            </m:sSubPr>
            <m:e>
              <m:r>
                <m:rPr>
                  <m:sty m:val="p"/>
                </m:rPr>
                <w:rPr>
                  <w:rFonts w:ascii="Cambria Math" w:hAnsi="Cambria Math" w:cs="Times New Roman"/>
                  <w:sz w:val="24"/>
                  <w:szCs w:val="24"/>
                  <w:lang w:val="pt-BR"/>
                </w:rPr>
                <m:t>d.Eleito</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6</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Roa</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7</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SRoa</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8</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lnCres</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9</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lang w:val="pt-BR"/>
                </w:rPr>
                <m:t>10</m:t>
              </m:r>
            </m:sub>
          </m:sSub>
          <m:sSub>
            <m:sSubPr>
              <m:ctrlPr>
                <w:rPr>
                  <w:rFonts w:ascii="Cambria Math" w:hAnsi="Cambria Math" w:cs="Times New Roman"/>
                  <w:sz w:val="24"/>
                  <w:szCs w:val="24"/>
                </w:rPr>
              </m:ctrlPr>
            </m:sSubPr>
            <m:e>
              <m:r>
                <m:rPr>
                  <m:sty m:val="p"/>
                </m:rPr>
                <w:rPr>
                  <w:rFonts w:ascii="Cambria Math" w:hAnsi="Cambria Math" w:cs="Times New Roman"/>
                  <w:sz w:val="24"/>
                  <w:szCs w:val="24"/>
                  <w:lang w:val="pt-BR"/>
                </w:rPr>
                <m:t>d.Identidade</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lang w:val="pt-BR"/>
                </w:rPr>
                <m:t>i</m:t>
              </m:r>
            </m:sub>
          </m:sSub>
          <m:r>
            <m:rPr>
              <m:sty m:val="p"/>
            </m:rPr>
            <w:rPr>
              <w:rFonts w:ascii="Cambria Math" w:hAnsi="Cambria Math" w:cs="Times New Roman"/>
              <w:sz w:val="24"/>
              <w:szCs w:val="24"/>
              <w:lang w:val="pt-BR"/>
            </w:rPr>
            <m:t xml:space="preserve">                                                                                                                          </m:t>
          </m:r>
          <m:r>
            <w:rPr>
              <w:rFonts w:ascii="Cambria Math" w:hAnsi="Cambria Math" w:cs="Times New Roman"/>
              <w:sz w:val="24"/>
              <w:szCs w:val="24"/>
              <w:lang w:val="pt-BR"/>
            </w:rPr>
            <m:t>(</m:t>
          </m:r>
          <m:r>
            <m:rPr>
              <m:sty m:val="p"/>
            </m:rPr>
            <w:rPr>
              <w:rFonts w:ascii="Cambria Math" w:hAnsi="Cambria Math" w:cs="Times New Roman"/>
              <w:sz w:val="24"/>
              <w:szCs w:val="24"/>
            </w:rPr>
            <m:t>eq</m:t>
          </m:r>
          <m:r>
            <m:rPr>
              <m:sty m:val="p"/>
            </m:rPr>
            <w:rPr>
              <w:rFonts w:ascii="Cambria Math" w:hAnsi="Cambria Math" w:cs="Times New Roman"/>
              <w:sz w:val="24"/>
              <w:szCs w:val="24"/>
              <w:lang w:val="pt-BR"/>
            </w:rPr>
            <m:t>uação 5</m:t>
          </m:r>
          <m:r>
            <w:rPr>
              <w:rFonts w:ascii="Cambria Math" w:hAnsi="Cambria Math" w:cs="Times New Roman"/>
              <w:sz w:val="24"/>
              <w:szCs w:val="24"/>
              <w:lang w:val="pt-BR"/>
            </w:rPr>
            <m:t>)</m:t>
          </m:r>
        </m:oMath>
      </m:oMathPara>
    </w:p>
    <w:p w:rsidR="00246F4E" w:rsidRPr="00C35568" w:rsidRDefault="00246F4E" w:rsidP="00DC2517">
      <w:pPr>
        <w:spacing w:after="0" w:line="240" w:lineRule="auto"/>
        <w:ind w:firstLine="709"/>
        <w:jc w:val="both"/>
        <w:rPr>
          <w:rFonts w:ascii="Times New Roman" w:hAnsi="Times New Roman" w:cs="Times New Roman"/>
          <w:sz w:val="24"/>
          <w:szCs w:val="24"/>
          <w:lang w:val="pt-BR"/>
        </w:rPr>
      </w:pPr>
      <w:r w:rsidRPr="00C35568">
        <w:rPr>
          <w:rFonts w:ascii="Times New Roman" w:hAnsi="Times New Roman" w:cs="Times New Roman"/>
          <w:sz w:val="24"/>
          <w:szCs w:val="24"/>
          <w:lang w:val="pt-BR"/>
        </w:rPr>
        <w:t xml:space="preserve">Inicialmente foram estimados os parâmetros para a equação </w:t>
      </w:r>
      <w:r w:rsidR="00C813FC" w:rsidRPr="00C35568">
        <w:rPr>
          <w:rFonts w:ascii="Times New Roman" w:hAnsi="Times New Roman" w:cs="Times New Roman"/>
          <w:sz w:val="24"/>
          <w:szCs w:val="24"/>
          <w:lang w:val="pt-BR"/>
        </w:rPr>
        <w:t>5</w:t>
      </w:r>
      <w:r w:rsidRPr="00C35568">
        <w:rPr>
          <w:rFonts w:ascii="Times New Roman" w:hAnsi="Times New Roman" w:cs="Times New Roman"/>
          <w:sz w:val="24"/>
          <w:szCs w:val="24"/>
          <w:lang w:val="pt-BR"/>
        </w:rPr>
        <w:t xml:space="preserve"> com o logaritmo natural do total d</w:t>
      </w:r>
      <w:r w:rsidR="00B0072E" w:rsidRPr="00C35568">
        <w:rPr>
          <w:rFonts w:ascii="Times New Roman" w:hAnsi="Times New Roman" w:cs="Times New Roman"/>
          <w:sz w:val="24"/>
          <w:szCs w:val="24"/>
          <w:lang w:val="pt-BR"/>
        </w:rPr>
        <w:t>a</w:t>
      </w:r>
      <w:r w:rsidRPr="00C35568">
        <w:rPr>
          <w:rFonts w:ascii="Times New Roman" w:hAnsi="Times New Roman" w:cs="Times New Roman"/>
          <w:sz w:val="24"/>
          <w:szCs w:val="24"/>
          <w:lang w:val="pt-BR"/>
        </w:rPr>
        <w:t xml:space="preserve"> remuneração dos executivos (lnTotal). Em um segundo momento, foram reestimados os parâmetros empregando como variável dependente o logaritmo natural do total de remuneração fixa (lnFixa). Posteriormente, os parâmetros foram estimados utilizando o total da remuneração variável dos executivos (lnVariável). Por fim, a equação </w:t>
      </w:r>
      <w:r w:rsidR="00C813FC" w:rsidRPr="00C35568">
        <w:rPr>
          <w:rFonts w:ascii="Times New Roman" w:hAnsi="Times New Roman" w:cs="Times New Roman"/>
          <w:sz w:val="24"/>
          <w:szCs w:val="24"/>
          <w:lang w:val="pt-BR"/>
        </w:rPr>
        <w:t>5</w:t>
      </w:r>
      <w:r w:rsidRPr="00C35568">
        <w:rPr>
          <w:rFonts w:ascii="Times New Roman" w:hAnsi="Times New Roman" w:cs="Times New Roman"/>
          <w:sz w:val="24"/>
          <w:szCs w:val="24"/>
          <w:lang w:val="pt-BR"/>
        </w:rPr>
        <w:t xml:space="preserve"> foi reestimado tendo como variável dependente o total de remuneração baseada em ações (lnAções). </w:t>
      </w:r>
    </w:p>
    <w:p w:rsidR="00F5717E" w:rsidRDefault="00F35E09" w:rsidP="00DC2517">
      <w:pPr>
        <w:spacing w:after="0" w:line="240" w:lineRule="auto"/>
        <w:ind w:firstLine="709"/>
        <w:jc w:val="both"/>
        <w:rPr>
          <w:rFonts w:ascii="Times New Roman" w:hAnsi="Times New Roman" w:cs="Times New Roman"/>
          <w:sz w:val="24"/>
          <w:szCs w:val="24"/>
          <w:lang w:val="pt-BR"/>
        </w:rPr>
      </w:pPr>
      <w:r w:rsidRPr="00C35568">
        <w:rPr>
          <w:rFonts w:ascii="Times New Roman" w:hAnsi="Times New Roman" w:cs="Times New Roman"/>
          <w:sz w:val="24"/>
          <w:szCs w:val="24"/>
          <w:lang w:val="pt-BR"/>
        </w:rPr>
        <w:t>Os modelos foram gerados pela estimativa</w:t>
      </w:r>
      <w:r w:rsidR="00246F4E" w:rsidRPr="00C35568">
        <w:rPr>
          <w:rFonts w:ascii="Times New Roman" w:hAnsi="Times New Roman" w:cs="Times New Roman"/>
          <w:sz w:val="24"/>
          <w:szCs w:val="24"/>
          <w:lang w:val="pt-BR"/>
        </w:rPr>
        <w:t xml:space="preserve"> de Mínimos Quadrados Ordinários (MQO)</w:t>
      </w:r>
      <w:r w:rsidR="00191842" w:rsidRPr="00C35568">
        <w:rPr>
          <w:rFonts w:ascii="Times New Roman" w:hAnsi="Times New Roman" w:cs="Times New Roman"/>
          <w:sz w:val="24"/>
          <w:szCs w:val="24"/>
          <w:lang w:val="pt-BR"/>
        </w:rPr>
        <w:t xml:space="preserve"> </w:t>
      </w:r>
      <w:r w:rsidR="00246F4E" w:rsidRPr="00C35568">
        <w:rPr>
          <w:rFonts w:ascii="Times New Roman" w:hAnsi="Times New Roman" w:cs="Times New Roman"/>
          <w:sz w:val="24"/>
          <w:szCs w:val="24"/>
          <w:lang w:val="pt-BR"/>
        </w:rPr>
        <w:t xml:space="preserve">com erros robustos pela </w:t>
      </w:r>
      <w:r w:rsidRPr="00C35568">
        <w:rPr>
          <w:rFonts w:ascii="Times New Roman" w:hAnsi="Times New Roman" w:cs="Times New Roman"/>
          <w:sz w:val="24"/>
          <w:szCs w:val="24"/>
          <w:lang w:val="pt-BR"/>
        </w:rPr>
        <w:t>técnica de</w:t>
      </w:r>
      <w:r w:rsidR="00C22701" w:rsidRPr="00C35568">
        <w:rPr>
          <w:rFonts w:ascii="Times New Roman" w:hAnsi="Times New Roman" w:cs="Times New Roman"/>
          <w:sz w:val="24"/>
          <w:szCs w:val="24"/>
          <w:lang w:val="pt-BR"/>
        </w:rPr>
        <w:t xml:space="preserve"> </w:t>
      </w:r>
      <w:r w:rsidR="00C70C2A" w:rsidRPr="00C35568">
        <w:rPr>
          <w:rStyle w:val="FootnoteReference"/>
          <w:rFonts w:ascii="Times New Roman" w:hAnsi="Times New Roman" w:cs="Times New Roman"/>
          <w:sz w:val="24"/>
          <w:szCs w:val="24"/>
          <w:lang w:val="pt-BR"/>
        </w:rPr>
        <w:fldChar w:fldCharType="begin" w:fldLock="1"/>
      </w:r>
      <w:r w:rsidR="00051229" w:rsidRPr="00C35568">
        <w:rPr>
          <w:rFonts w:ascii="Times New Roman" w:hAnsi="Times New Roman" w:cs="Times New Roman"/>
          <w:sz w:val="24"/>
          <w:szCs w:val="24"/>
          <w:lang w:val="pt-BR"/>
        </w:rPr>
        <w:instrText>ADDIN CSL_CITATION { "citationItems" : [ { "id" : "ITEM-1", "itemData" : { "author" : [ { "dropping-particle" : "", "family" : "White", "given" : "Halbert", "non-dropping-particle" : "", "parse-names" : false, "suffix" : "" } ], "container-title" : "Econometrica", "id" : "ITEM-1", "issue" : "4", "issued" : { "date-parts" : [ [ "1980" ] ] }, "page" : "817-838", "title" : "A Heteroskedasticity-Consistent Covariance Matrix Estimator and a Direct Test for Heteroskedasticity", "type" : "article-journal", "volume" : "48" }, "uris" : [ "http://www.mendeley.com/documents/?uuid=04800656-3338-4816-b7cf-12603c7365a6" ] } ], "mendeley" : { "formattedCitation" : "(WHITE, 1980)", "manualFormatting" : "White (1980)", "plainTextFormattedCitation" : "(WHITE, 1980)", "previouslyFormattedCitation" : "(WHITE, 1980)"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rPr>
        <w:fldChar w:fldCharType="separate"/>
      </w:r>
      <w:r w:rsidR="00C70C2A" w:rsidRPr="00C35568">
        <w:rPr>
          <w:rFonts w:ascii="Times New Roman" w:hAnsi="Times New Roman" w:cs="Times New Roman"/>
          <w:noProof/>
          <w:sz w:val="24"/>
          <w:szCs w:val="24"/>
          <w:lang w:val="pt-BR"/>
        </w:rPr>
        <w:t>White (1980)</w:t>
      </w:r>
      <w:r w:rsidR="00C70C2A" w:rsidRPr="00C35568">
        <w:rPr>
          <w:rStyle w:val="FootnoteReference"/>
          <w:rFonts w:ascii="Times New Roman" w:hAnsi="Times New Roman" w:cs="Times New Roman"/>
          <w:sz w:val="24"/>
          <w:szCs w:val="24"/>
          <w:lang w:val="pt-BR"/>
        </w:rPr>
        <w:fldChar w:fldCharType="end"/>
      </w:r>
      <w:r w:rsidR="00191842" w:rsidRPr="00C35568">
        <w:rPr>
          <w:rFonts w:ascii="Times New Roman" w:hAnsi="Times New Roman" w:cs="Times New Roman"/>
          <w:sz w:val="24"/>
          <w:szCs w:val="24"/>
          <w:lang w:val="pt-BR"/>
        </w:rPr>
        <w:t>. A aplicação da técnica de White o</w:t>
      </w:r>
      <w:r w:rsidRPr="00C35568">
        <w:rPr>
          <w:rFonts w:ascii="Times New Roman" w:hAnsi="Times New Roman" w:cs="Times New Roman"/>
          <w:sz w:val="24"/>
          <w:szCs w:val="24"/>
          <w:lang w:val="pt-BR"/>
        </w:rPr>
        <w:t>bjetiv</w:t>
      </w:r>
      <w:r w:rsidR="00191842" w:rsidRPr="00C35568">
        <w:rPr>
          <w:rFonts w:ascii="Times New Roman" w:hAnsi="Times New Roman" w:cs="Times New Roman"/>
          <w:sz w:val="24"/>
          <w:szCs w:val="24"/>
          <w:lang w:val="pt-BR"/>
        </w:rPr>
        <w:t xml:space="preserve">a </w:t>
      </w:r>
      <w:r w:rsidRPr="00C35568">
        <w:rPr>
          <w:rFonts w:ascii="Times New Roman" w:hAnsi="Times New Roman" w:cs="Times New Roman"/>
          <w:sz w:val="24"/>
          <w:szCs w:val="24"/>
          <w:lang w:val="pt-BR"/>
        </w:rPr>
        <w:t>mitigar o problema causado quando os termos de erros das regressões não são homocedásticos.</w:t>
      </w:r>
      <w:r w:rsidR="002D5281" w:rsidRPr="00C35568">
        <w:rPr>
          <w:rFonts w:ascii="Times New Roman" w:hAnsi="Times New Roman" w:cs="Times New Roman"/>
          <w:sz w:val="24"/>
          <w:szCs w:val="24"/>
          <w:lang w:val="pt-BR"/>
        </w:rPr>
        <w:t xml:space="preserve"> </w:t>
      </w:r>
    </w:p>
    <w:p w:rsidR="007D121F" w:rsidRDefault="007D121F" w:rsidP="00DC2517">
      <w:pPr>
        <w:spacing w:after="0" w:line="240" w:lineRule="auto"/>
        <w:ind w:firstLine="709"/>
        <w:jc w:val="both"/>
        <w:rPr>
          <w:rFonts w:ascii="Times New Roman" w:hAnsi="Times New Roman" w:cs="Times New Roman"/>
          <w:sz w:val="24"/>
          <w:szCs w:val="24"/>
          <w:lang w:val="pt-BR"/>
        </w:rPr>
      </w:pPr>
    </w:p>
    <w:p w:rsidR="007C3FAB" w:rsidRPr="00C35568" w:rsidRDefault="007C3FAB" w:rsidP="00DC2517">
      <w:pPr>
        <w:spacing w:after="0" w:line="240" w:lineRule="auto"/>
        <w:ind w:firstLine="709"/>
        <w:jc w:val="both"/>
        <w:rPr>
          <w:rFonts w:ascii="Times New Roman" w:hAnsi="Times New Roman" w:cs="Times New Roman"/>
          <w:sz w:val="24"/>
          <w:szCs w:val="24"/>
          <w:lang w:val="pt-BR"/>
        </w:rPr>
      </w:pPr>
    </w:p>
    <w:p w:rsidR="002736BE" w:rsidRPr="007C3FAB" w:rsidRDefault="007C3FAB" w:rsidP="007C3FAB">
      <w:pPr>
        <w:spacing w:line="240" w:lineRule="auto"/>
        <w:rPr>
          <w:rFonts w:ascii="Times New Roman" w:hAnsi="Times New Roman" w:cs="Times New Roman"/>
          <w:b/>
          <w:sz w:val="24"/>
          <w:lang w:val="pt-BR"/>
        </w:rPr>
      </w:pPr>
      <w:r w:rsidRPr="007C3FAB">
        <w:rPr>
          <w:rFonts w:ascii="Times New Roman" w:hAnsi="Times New Roman" w:cs="Times New Roman"/>
          <w:b/>
          <w:sz w:val="24"/>
          <w:lang w:val="pt-BR"/>
        </w:rPr>
        <w:lastRenderedPageBreak/>
        <w:t xml:space="preserve">4 </w:t>
      </w:r>
      <w:r w:rsidR="002423CE" w:rsidRPr="007C3FAB">
        <w:rPr>
          <w:rFonts w:ascii="Times New Roman" w:hAnsi="Times New Roman" w:cs="Times New Roman"/>
          <w:b/>
          <w:sz w:val="24"/>
          <w:lang w:val="pt-BR"/>
        </w:rPr>
        <w:t>Análise dos resultados</w:t>
      </w:r>
    </w:p>
    <w:p w:rsidR="002736BE" w:rsidRPr="007C3FAB" w:rsidRDefault="007C3FAB" w:rsidP="007C3FAB">
      <w:pPr>
        <w:spacing w:line="240" w:lineRule="auto"/>
        <w:rPr>
          <w:rFonts w:ascii="Times New Roman" w:hAnsi="Times New Roman" w:cs="Times New Roman"/>
          <w:b/>
          <w:sz w:val="24"/>
          <w:lang w:val="pt-BR"/>
        </w:rPr>
      </w:pPr>
      <w:r>
        <w:rPr>
          <w:rFonts w:ascii="Times New Roman" w:hAnsi="Times New Roman" w:cs="Times New Roman"/>
          <w:b/>
          <w:sz w:val="24"/>
          <w:lang w:val="pt-BR"/>
        </w:rPr>
        <w:t xml:space="preserve">4.1 </w:t>
      </w:r>
      <w:r w:rsidR="002736BE" w:rsidRPr="007C3FAB">
        <w:rPr>
          <w:rFonts w:ascii="Times New Roman" w:hAnsi="Times New Roman" w:cs="Times New Roman"/>
          <w:b/>
          <w:sz w:val="24"/>
          <w:lang w:val="pt-BR"/>
        </w:rPr>
        <w:t>Análise univariada</w:t>
      </w:r>
    </w:p>
    <w:p w:rsidR="00397F9B" w:rsidRPr="00C35568" w:rsidRDefault="00036881"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Na T</w:t>
      </w:r>
      <w:r w:rsidR="00397F9B" w:rsidRPr="00C35568">
        <w:rPr>
          <w:rFonts w:ascii="Times New Roman" w:hAnsi="Times New Roman" w:cs="Times New Roman"/>
          <w:lang w:val="pt-BR"/>
        </w:rPr>
        <w:t xml:space="preserve">abela </w:t>
      </w:r>
      <w:r w:rsidR="00D613A3" w:rsidRPr="00C35568">
        <w:rPr>
          <w:rFonts w:ascii="Times New Roman" w:hAnsi="Times New Roman" w:cs="Times New Roman"/>
          <w:lang w:val="pt-BR"/>
        </w:rPr>
        <w:t>4</w:t>
      </w:r>
      <w:r w:rsidR="00397F9B" w:rsidRPr="00C35568">
        <w:rPr>
          <w:rFonts w:ascii="Times New Roman" w:hAnsi="Times New Roman" w:cs="Times New Roman"/>
          <w:lang w:val="pt-BR"/>
        </w:rPr>
        <w:t xml:space="preserve"> são apresentadas as características dos executivos dos órgãos administrativos</w:t>
      </w:r>
      <w:r w:rsidR="005D0A38" w:rsidRPr="00C35568">
        <w:rPr>
          <w:rFonts w:ascii="Times New Roman" w:hAnsi="Times New Roman" w:cs="Times New Roman"/>
          <w:lang w:val="pt-BR"/>
        </w:rPr>
        <w:t xml:space="preserve"> (CA, DE e CF)</w:t>
      </w:r>
      <w:r w:rsidR="00397F9B" w:rsidRPr="00C35568">
        <w:rPr>
          <w:rFonts w:ascii="Times New Roman" w:hAnsi="Times New Roman" w:cs="Times New Roman"/>
          <w:lang w:val="pt-BR"/>
        </w:rPr>
        <w:t>. Observa-se pelo Painel A que a administração das empresas é formada em primazia por homens, mesmo que a quantidade de mulheres executivas tenha aumentado ao longo dos anos (75, 79, 83 e 105, para os anos de 2013, 2014, 2015 e 2016, respectivamente).</w:t>
      </w:r>
      <w:r w:rsidR="005D0A38" w:rsidRPr="00C35568">
        <w:rPr>
          <w:rFonts w:ascii="Times New Roman" w:hAnsi="Times New Roman" w:cs="Times New Roman"/>
          <w:lang w:val="pt-BR"/>
        </w:rPr>
        <w:t xml:space="preserve"> A adoção da presença feminina na modelagem estatística objetiva </w:t>
      </w:r>
      <w:r w:rsidR="003B5D4B" w:rsidRPr="00C35568">
        <w:rPr>
          <w:rFonts w:ascii="Times New Roman" w:hAnsi="Times New Roman" w:cs="Times New Roman"/>
          <w:lang w:val="pt-BR"/>
        </w:rPr>
        <w:t>capturar se a remuneração executiva é alterada pela presença de mulheres em cargos da alta direção. Dado as características de aversão ao risco evidenciadas na literatura espera-se que determinados tipos de remuneração sejam influenciados pela presença de mulheres executivas.</w:t>
      </w:r>
    </w:p>
    <w:p w:rsidR="00397F9B" w:rsidRPr="00C35568" w:rsidRDefault="004033DE"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Observando as estatísticas para característica “Eleito pelo controlador”,</w:t>
      </w:r>
      <w:r w:rsidR="00024AD7" w:rsidRPr="00C35568">
        <w:rPr>
          <w:rFonts w:ascii="Times New Roman" w:hAnsi="Times New Roman" w:cs="Times New Roman"/>
          <w:lang w:val="pt-BR"/>
        </w:rPr>
        <w:t xml:space="preserve"> </w:t>
      </w:r>
      <w:r w:rsidRPr="00C35568">
        <w:rPr>
          <w:rFonts w:ascii="Times New Roman" w:hAnsi="Times New Roman" w:cs="Times New Roman"/>
          <w:i/>
          <w:lang w:val="pt-BR"/>
        </w:rPr>
        <w:t>proxy</w:t>
      </w:r>
      <w:r w:rsidRPr="00C35568">
        <w:rPr>
          <w:rFonts w:ascii="Times New Roman" w:hAnsi="Times New Roman" w:cs="Times New Roman"/>
          <w:lang w:val="pt-BR"/>
        </w:rPr>
        <w:t xml:space="preserve"> para </w:t>
      </w:r>
      <w:r w:rsidR="00785DCC" w:rsidRPr="00C35568">
        <w:rPr>
          <w:rFonts w:ascii="Times New Roman" w:hAnsi="Times New Roman" w:cs="Times New Roman"/>
          <w:lang w:val="pt-BR"/>
        </w:rPr>
        <w:t>independência</w:t>
      </w:r>
      <w:r w:rsidRPr="00C35568">
        <w:rPr>
          <w:rFonts w:ascii="Times New Roman" w:hAnsi="Times New Roman" w:cs="Times New Roman"/>
          <w:lang w:val="pt-BR"/>
        </w:rPr>
        <w:t xml:space="preserve"> do executivo, identifica-se que a</w:t>
      </w:r>
      <w:r w:rsidR="00B52B9E" w:rsidRPr="00C35568">
        <w:rPr>
          <w:rFonts w:ascii="Times New Roman" w:hAnsi="Times New Roman" w:cs="Times New Roman"/>
          <w:lang w:val="pt-BR"/>
        </w:rPr>
        <w:t xml:space="preserve"> maioria dos executivos são eleitos</w:t>
      </w:r>
      <w:r w:rsidRPr="00C35568">
        <w:rPr>
          <w:rFonts w:ascii="Times New Roman" w:hAnsi="Times New Roman" w:cs="Times New Roman"/>
          <w:lang w:val="pt-BR"/>
        </w:rPr>
        <w:t xml:space="preserve"> pelo controlador (71,18%, 68,55%, 68,21% e 70,12%, para os anos de 2013, 2014, 2015 e 2016, respectivamente). </w:t>
      </w:r>
      <w:r w:rsidR="00094132" w:rsidRPr="00C35568">
        <w:rPr>
          <w:rFonts w:ascii="Times New Roman" w:hAnsi="Times New Roman" w:cs="Times New Roman"/>
          <w:lang w:val="pt-BR"/>
        </w:rPr>
        <w:t xml:space="preserve">A característica de independência pode reduzir o conflito de interesses devido maior monitoramento das ações dos agentes </w:t>
      </w:r>
      <w:r w:rsidR="00B52B9E" w:rsidRPr="00C35568">
        <w:rPr>
          <w:rFonts w:ascii="Times New Roman" w:hAnsi="Times New Roman" w:cs="Times New Roman"/>
          <w:lang w:val="pt-BR"/>
        </w:rPr>
        <w:t>externos.</w:t>
      </w:r>
      <w:r w:rsidR="00094132" w:rsidRPr="00C35568">
        <w:rPr>
          <w:rFonts w:ascii="Times New Roman" w:hAnsi="Times New Roman" w:cs="Times New Roman"/>
          <w:lang w:val="pt-BR"/>
        </w:rPr>
        <w:t xml:space="preserve"> </w:t>
      </w:r>
    </w:p>
    <w:p w:rsidR="000B44A8" w:rsidRPr="00C35568" w:rsidRDefault="00846F7E"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 característica de dualidade, </w:t>
      </w:r>
      <w:r w:rsidR="00BC5B65" w:rsidRPr="00C35568">
        <w:rPr>
          <w:rFonts w:ascii="Times New Roman" w:hAnsi="Times New Roman" w:cs="Times New Roman"/>
          <w:lang w:val="pt-BR"/>
        </w:rPr>
        <w:t>CEOs que atuam como presidente</w:t>
      </w:r>
      <w:r w:rsidRPr="00C35568">
        <w:rPr>
          <w:rFonts w:ascii="Times New Roman" w:hAnsi="Times New Roman" w:cs="Times New Roman"/>
          <w:lang w:val="pt-BR"/>
        </w:rPr>
        <w:t>s</w:t>
      </w:r>
      <w:r w:rsidR="00BC5B65" w:rsidRPr="00C35568">
        <w:rPr>
          <w:rFonts w:ascii="Times New Roman" w:hAnsi="Times New Roman" w:cs="Times New Roman"/>
          <w:lang w:val="pt-BR"/>
        </w:rPr>
        <w:t xml:space="preserve"> do</w:t>
      </w:r>
      <w:r w:rsidRPr="00C35568">
        <w:rPr>
          <w:rFonts w:ascii="Times New Roman" w:hAnsi="Times New Roman" w:cs="Times New Roman"/>
          <w:lang w:val="pt-BR"/>
        </w:rPr>
        <w:t>s</w:t>
      </w:r>
      <w:r w:rsidR="00BC5B65" w:rsidRPr="00C35568">
        <w:rPr>
          <w:rFonts w:ascii="Times New Roman" w:hAnsi="Times New Roman" w:cs="Times New Roman"/>
          <w:lang w:val="pt-BR"/>
        </w:rPr>
        <w:t xml:space="preserve"> conselho</w:t>
      </w:r>
      <w:r w:rsidRPr="00C35568">
        <w:rPr>
          <w:rFonts w:ascii="Times New Roman" w:hAnsi="Times New Roman" w:cs="Times New Roman"/>
          <w:lang w:val="pt-BR"/>
        </w:rPr>
        <w:t xml:space="preserve">s, está presente em 76,19%, 69,05%, 69,27% e 72,09%, para os anos de 2013, 2014, 2015 e 2016, respectivamente, das empresas analisadas. </w:t>
      </w:r>
    </w:p>
    <w:p w:rsidR="00FF4D4A" w:rsidRPr="00C35568" w:rsidRDefault="006C4DB8"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No painel B da Tabela </w:t>
      </w:r>
      <w:r w:rsidR="00D613A3" w:rsidRPr="00C35568">
        <w:rPr>
          <w:rFonts w:ascii="Times New Roman" w:hAnsi="Times New Roman" w:cs="Times New Roman"/>
          <w:lang w:val="pt-BR"/>
        </w:rPr>
        <w:t>4</w:t>
      </w:r>
      <w:r w:rsidRPr="00C35568">
        <w:rPr>
          <w:rFonts w:ascii="Times New Roman" w:hAnsi="Times New Roman" w:cs="Times New Roman"/>
          <w:lang w:val="pt-BR"/>
        </w:rPr>
        <w:t xml:space="preserve"> é apresentado o nível educacional dos executivos separa</w:t>
      </w:r>
      <w:r w:rsidR="00FB1BB7" w:rsidRPr="00C35568">
        <w:rPr>
          <w:rFonts w:ascii="Times New Roman" w:hAnsi="Times New Roman" w:cs="Times New Roman"/>
          <w:lang w:val="pt-BR"/>
        </w:rPr>
        <w:t>n</w:t>
      </w:r>
      <w:r w:rsidRPr="00C35568">
        <w:rPr>
          <w:rFonts w:ascii="Times New Roman" w:hAnsi="Times New Roman" w:cs="Times New Roman"/>
          <w:lang w:val="pt-BR"/>
        </w:rPr>
        <w:t>do os mesmo</w:t>
      </w:r>
      <w:r w:rsidR="00FB1BB7" w:rsidRPr="00C35568">
        <w:rPr>
          <w:rFonts w:ascii="Times New Roman" w:hAnsi="Times New Roman" w:cs="Times New Roman"/>
          <w:lang w:val="pt-BR"/>
        </w:rPr>
        <w:t>s</w:t>
      </w:r>
      <w:r w:rsidRPr="00C35568">
        <w:rPr>
          <w:rFonts w:ascii="Times New Roman" w:hAnsi="Times New Roman" w:cs="Times New Roman"/>
          <w:lang w:val="pt-BR"/>
        </w:rPr>
        <w:t xml:space="preserve"> em graduados, especialistas (pós-graduação e/ou </w:t>
      </w:r>
      <w:r w:rsidRPr="00C35568">
        <w:rPr>
          <w:rFonts w:ascii="Times New Roman" w:hAnsi="Times New Roman" w:cs="Times New Roman"/>
          <w:i/>
          <w:lang w:val="pt-BR"/>
        </w:rPr>
        <w:t>Master in Business Administration</w:t>
      </w:r>
      <w:r w:rsidRPr="00C35568">
        <w:rPr>
          <w:rFonts w:ascii="Times New Roman" w:hAnsi="Times New Roman" w:cs="Times New Roman"/>
          <w:lang w:val="pt-BR"/>
        </w:rPr>
        <w:t xml:space="preserve">), mestres, doutores ou </w:t>
      </w:r>
      <w:r w:rsidR="00141A13" w:rsidRPr="00C35568">
        <w:rPr>
          <w:rFonts w:ascii="Times New Roman" w:hAnsi="Times New Roman" w:cs="Times New Roman"/>
          <w:lang w:val="pt-BR"/>
        </w:rPr>
        <w:t>pós-doutores</w:t>
      </w:r>
      <w:r w:rsidRPr="00C35568">
        <w:rPr>
          <w:rFonts w:ascii="Times New Roman" w:hAnsi="Times New Roman" w:cs="Times New Roman"/>
          <w:lang w:val="pt-BR"/>
        </w:rPr>
        <w:t xml:space="preserve">. Para a primeira característica observa-se que menos de 3% das empresas para os anos analisados possuem executivos que não são </w:t>
      </w:r>
      <w:r w:rsidR="00141A13" w:rsidRPr="00C35568">
        <w:rPr>
          <w:rFonts w:ascii="Times New Roman" w:hAnsi="Times New Roman" w:cs="Times New Roman"/>
          <w:lang w:val="pt-BR"/>
        </w:rPr>
        <w:t xml:space="preserve">no mínimo </w:t>
      </w:r>
      <w:r w:rsidRPr="00C35568">
        <w:rPr>
          <w:rFonts w:ascii="Times New Roman" w:hAnsi="Times New Roman" w:cs="Times New Roman"/>
          <w:lang w:val="pt-BR"/>
        </w:rPr>
        <w:t xml:space="preserve">graduados. A existência de executivos não graduados pode ser justificada pela presença </w:t>
      </w:r>
      <w:r w:rsidR="00141A13" w:rsidRPr="00C35568">
        <w:rPr>
          <w:rFonts w:ascii="Times New Roman" w:hAnsi="Times New Roman" w:cs="Times New Roman"/>
          <w:lang w:val="pt-BR"/>
        </w:rPr>
        <w:t xml:space="preserve">nos conselhos </w:t>
      </w:r>
      <w:r w:rsidRPr="00C35568">
        <w:rPr>
          <w:rFonts w:ascii="Times New Roman" w:hAnsi="Times New Roman" w:cs="Times New Roman"/>
          <w:lang w:val="pt-BR"/>
        </w:rPr>
        <w:t>de fundadores, exclusivamente identificados como empresários</w:t>
      </w:r>
      <w:r w:rsidR="00141A13" w:rsidRPr="00C35568">
        <w:rPr>
          <w:rFonts w:ascii="Times New Roman" w:hAnsi="Times New Roman" w:cs="Times New Roman"/>
          <w:lang w:val="pt-BR"/>
        </w:rPr>
        <w:t>.</w:t>
      </w:r>
      <w:r w:rsidR="00FF4D4A" w:rsidRPr="00C35568">
        <w:rPr>
          <w:rFonts w:ascii="Times New Roman" w:hAnsi="Times New Roman" w:cs="Times New Roman"/>
          <w:lang w:val="pt-BR"/>
        </w:rPr>
        <w:t xml:space="preserve"> </w:t>
      </w:r>
    </w:p>
    <w:p w:rsidR="00AA189B" w:rsidRPr="00C35568" w:rsidRDefault="00FF4D4A"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As demais características que capturam o nível de instrução são assim sumarizadas em relação ao total de executivos e anos analisados: 49% dos executivos possuem especialização, 17% têm mestrado, 4% portam título de doutorado e 2% são pós-doutores. A redução de executivos com maior grau de i</w:t>
      </w:r>
      <w:r w:rsidR="00F3752B" w:rsidRPr="00C35568">
        <w:rPr>
          <w:rFonts w:ascii="Times New Roman" w:hAnsi="Times New Roman" w:cs="Times New Roman"/>
          <w:lang w:val="pt-BR"/>
        </w:rPr>
        <w:t xml:space="preserve">nstrução pode estar atrelado a maior exigência de anos de estudo para essas características. </w:t>
      </w:r>
    </w:p>
    <w:p w:rsidR="00AA189B" w:rsidRPr="00C35568" w:rsidRDefault="00AA189B" w:rsidP="007C3FAB">
      <w:pPr>
        <w:pStyle w:val="BodyText"/>
        <w:spacing w:after="0" w:line="240" w:lineRule="auto"/>
        <w:ind w:firstLine="709"/>
        <w:jc w:val="both"/>
        <w:rPr>
          <w:rFonts w:ascii="Times New Roman" w:hAnsi="Times New Roman" w:cs="Times New Roman"/>
          <w:lang w:val="pt-BR"/>
        </w:rPr>
      </w:pPr>
    </w:p>
    <w:tbl>
      <w:tblPr>
        <w:tblW w:w="5000" w:type="pct"/>
        <w:jc w:val="center"/>
        <w:tblCellMar>
          <w:left w:w="70" w:type="dxa"/>
          <w:right w:w="70" w:type="dxa"/>
        </w:tblCellMar>
        <w:tblLook w:val="04A0" w:firstRow="1" w:lastRow="0" w:firstColumn="1" w:lastColumn="0" w:noHBand="0" w:noVBand="1"/>
      </w:tblPr>
      <w:tblGrid>
        <w:gridCol w:w="2174"/>
        <w:gridCol w:w="896"/>
        <w:gridCol w:w="678"/>
        <w:gridCol w:w="757"/>
        <w:gridCol w:w="146"/>
        <w:gridCol w:w="667"/>
        <w:gridCol w:w="757"/>
        <w:gridCol w:w="146"/>
        <w:gridCol w:w="667"/>
        <w:gridCol w:w="757"/>
        <w:gridCol w:w="146"/>
        <w:gridCol w:w="667"/>
        <w:gridCol w:w="757"/>
      </w:tblGrid>
      <w:tr w:rsidR="00F35E09" w:rsidRPr="00351C7E" w:rsidTr="007C3FAB">
        <w:trPr>
          <w:trHeight w:hRule="exact" w:val="301"/>
          <w:jc w:val="center"/>
        </w:trPr>
        <w:tc>
          <w:tcPr>
            <w:tcW w:w="5000" w:type="pct"/>
            <w:gridSpan w:val="13"/>
            <w:tcBorders>
              <w:bottom w:val="single" w:sz="4" w:space="0" w:color="auto"/>
            </w:tcBorders>
            <w:vAlign w:val="center"/>
          </w:tcPr>
          <w:p w:rsidR="00F35E09" w:rsidRPr="00DC2517" w:rsidRDefault="00F35E09" w:rsidP="00DC2517">
            <w:pPr>
              <w:jc w:val="center"/>
              <w:rPr>
                <w:rFonts w:ascii="Times New Roman" w:hAnsi="Times New Roman" w:cs="Times New Roman"/>
                <w:b/>
                <w:color w:val="000000"/>
                <w:sz w:val="20"/>
                <w:szCs w:val="20"/>
                <w:lang w:val="pt-BR" w:eastAsia="pt-BR"/>
              </w:rPr>
            </w:pPr>
            <w:r w:rsidRPr="00DC2517">
              <w:rPr>
                <w:rFonts w:ascii="Times New Roman" w:hAnsi="Times New Roman" w:cs="Times New Roman"/>
                <w:b/>
                <w:color w:val="000000"/>
                <w:sz w:val="20"/>
                <w:szCs w:val="20"/>
                <w:lang w:val="pt-BR" w:eastAsia="pt-BR"/>
              </w:rPr>
              <w:t xml:space="preserve">Tabela </w:t>
            </w:r>
            <w:r w:rsidR="00D613A3" w:rsidRPr="00DC2517">
              <w:rPr>
                <w:rFonts w:ascii="Times New Roman" w:hAnsi="Times New Roman" w:cs="Times New Roman"/>
                <w:b/>
                <w:color w:val="000000"/>
                <w:sz w:val="20"/>
                <w:szCs w:val="20"/>
                <w:lang w:val="pt-BR" w:eastAsia="pt-BR"/>
              </w:rPr>
              <w:t>4</w:t>
            </w:r>
            <w:r w:rsidRPr="00DC2517">
              <w:rPr>
                <w:rFonts w:ascii="Times New Roman" w:hAnsi="Times New Roman" w:cs="Times New Roman"/>
                <w:b/>
                <w:color w:val="000000"/>
                <w:sz w:val="20"/>
                <w:szCs w:val="20"/>
                <w:lang w:val="pt-BR" w:eastAsia="pt-BR"/>
              </w:rPr>
              <w:t xml:space="preserve"> – Características dos órgãos administrativos</w:t>
            </w:r>
          </w:p>
        </w:tc>
      </w:tr>
      <w:tr w:rsidR="00F35E09" w:rsidRPr="00351C7E" w:rsidTr="007C3FAB">
        <w:trPr>
          <w:trHeight w:hRule="exact" w:val="301"/>
          <w:jc w:val="center"/>
        </w:trPr>
        <w:tc>
          <w:tcPr>
            <w:tcW w:w="5000" w:type="pct"/>
            <w:gridSpan w:val="13"/>
            <w:tcBorders>
              <w:top w:val="single" w:sz="4" w:space="0" w:color="auto"/>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val="pt-BR" w:eastAsia="pt-BR"/>
              </w:rPr>
            </w:pPr>
            <w:r w:rsidRPr="00DC2517">
              <w:rPr>
                <w:rFonts w:ascii="Times New Roman" w:hAnsi="Times New Roman" w:cs="Times New Roman"/>
                <w:b/>
                <w:color w:val="000000"/>
                <w:sz w:val="20"/>
                <w:szCs w:val="20"/>
                <w:lang w:val="pt-BR" w:eastAsia="pt-BR"/>
              </w:rPr>
              <w:t>Painel A – Características dos executivos</w:t>
            </w:r>
          </w:p>
        </w:tc>
      </w:tr>
      <w:tr w:rsidR="00F35E09" w:rsidRPr="00DC2517" w:rsidTr="007C3FAB">
        <w:trPr>
          <w:trHeight w:hRule="exact" w:val="301"/>
          <w:jc w:val="center"/>
        </w:trPr>
        <w:tc>
          <w:tcPr>
            <w:tcW w:w="1666" w:type="pct"/>
            <w:gridSpan w:val="2"/>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val="pt-BR" w:eastAsia="pt-BR"/>
              </w:rPr>
            </w:pPr>
          </w:p>
        </w:tc>
        <w:tc>
          <w:tcPr>
            <w:tcW w:w="779"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2013</w:t>
            </w:r>
          </w:p>
        </w:tc>
        <w:tc>
          <w:tcPr>
            <w:tcW w:w="79" w:type="pct"/>
            <w:tcBorders>
              <w:top w:val="single" w:sz="4" w:space="0" w:color="auto"/>
            </w:tcBorders>
            <w:vAlign w:val="center"/>
          </w:tcPr>
          <w:p w:rsidR="00F35E09" w:rsidRPr="00DC2517" w:rsidRDefault="00F35E09" w:rsidP="00D613A3">
            <w:pPr>
              <w:jc w:val="center"/>
              <w:rPr>
                <w:rFonts w:ascii="Times New Roman" w:hAnsi="Times New Roman" w:cs="Times New Roman"/>
                <w:color w:val="000000"/>
                <w:sz w:val="20"/>
                <w:szCs w:val="20"/>
                <w:lang w:eastAsia="pt-BR"/>
              </w:rPr>
            </w:pPr>
          </w:p>
        </w:tc>
        <w:tc>
          <w:tcPr>
            <w:tcW w:w="773"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2014</w:t>
            </w:r>
          </w:p>
        </w:tc>
        <w:tc>
          <w:tcPr>
            <w:tcW w:w="79" w:type="pct"/>
            <w:tcBorders>
              <w:top w:val="single" w:sz="4" w:space="0" w:color="auto"/>
            </w:tcBorders>
            <w:vAlign w:val="center"/>
          </w:tcPr>
          <w:p w:rsidR="00F35E09" w:rsidRPr="00DC2517" w:rsidRDefault="00F35E09" w:rsidP="00D613A3">
            <w:pPr>
              <w:jc w:val="center"/>
              <w:rPr>
                <w:rFonts w:ascii="Times New Roman" w:hAnsi="Times New Roman" w:cs="Times New Roman"/>
                <w:color w:val="000000"/>
                <w:sz w:val="20"/>
                <w:szCs w:val="20"/>
                <w:lang w:eastAsia="pt-BR"/>
              </w:rPr>
            </w:pPr>
          </w:p>
        </w:tc>
        <w:tc>
          <w:tcPr>
            <w:tcW w:w="773"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2015</w:t>
            </w:r>
          </w:p>
        </w:tc>
        <w:tc>
          <w:tcPr>
            <w:tcW w:w="79" w:type="pct"/>
            <w:tcBorders>
              <w:top w:val="single" w:sz="4" w:space="0" w:color="auto"/>
            </w:tcBorders>
            <w:vAlign w:val="center"/>
          </w:tcPr>
          <w:p w:rsidR="00F35E09" w:rsidRPr="00DC2517" w:rsidRDefault="00F35E09" w:rsidP="00567F3A">
            <w:pPr>
              <w:rPr>
                <w:rFonts w:ascii="Times New Roman" w:hAnsi="Times New Roman" w:cs="Times New Roman"/>
                <w:color w:val="000000"/>
                <w:sz w:val="20"/>
                <w:szCs w:val="20"/>
                <w:lang w:eastAsia="pt-BR"/>
              </w:rPr>
            </w:pPr>
          </w:p>
        </w:tc>
        <w:tc>
          <w:tcPr>
            <w:tcW w:w="772"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2016</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Composição dos órgãos</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Mulheres</w:t>
            </w:r>
          </w:p>
        </w:tc>
        <w:tc>
          <w:tcPr>
            <w:tcW w:w="368" w:type="pct"/>
            <w:tcBorders>
              <w:top w:val="single" w:sz="4" w:space="0" w:color="auto"/>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75</w:t>
            </w:r>
          </w:p>
        </w:tc>
        <w:tc>
          <w:tcPr>
            <w:tcW w:w="41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7,69%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79</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7,99%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83</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8,51%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105</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10,67%</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Homens</w:t>
            </w: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900</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92,31%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910</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92,01%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892</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91,49%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879</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89,33%</w:t>
            </w:r>
          </w:p>
        </w:tc>
      </w:tr>
      <w:tr w:rsidR="00F35E09" w:rsidRPr="00DC2517" w:rsidTr="007C3FAB">
        <w:trPr>
          <w:trHeight w:hRule="exact" w:val="301"/>
          <w:jc w:val="center"/>
        </w:trPr>
        <w:tc>
          <w:tcPr>
            <w:tcW w:w="1666" w:type="pct"/>
            <w:gridSpan w:val="2"/>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Eleito pelo Controlador</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694</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71,18%</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678</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68,55%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665</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68,21%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690</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70,12%</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281</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28,82%</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311</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31,45%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310</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31,79%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294</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29,88%</w:t>
            </w:r>
          </w:p>
        </w:tc>
      </w:tr>
      <w:tr w:rsidR="00F35E09" w:rsidRPr="00DC2517" w:rsidTr="007C3FAB">
        <w:trPr>
          <w:trHeight w:hRule="exact" w:val="301"/>
          <w:jc w:val="center"/>
        </w:trPr>
        <w:tc>
          <w:tcPr>
            <w:tcW w:w="1666" w:type="pct"/>
            <w:gridSpan w:val="2"/>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Dualidade</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76,19%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69,05%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69,77%</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72,09%</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tcBorders>
              <w:left w:val="nil"/>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23,81%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30,95%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30,23%</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27,91%</w:t>
            </w:r>
          </w:p>
        </w:tc>
      </w:tr>
      <w:tr w:rsidR="00F35E09" w:rsidRPr="00DC2517" w:rsidTr="007C3FAB">
        <w:trPr>
          <w:trHeight w:hRule="exact" w:val="301"/>
          <w:jc w:val="center"/>
        </w:trPr>
        <w:tc>
          <w:tcPr>
            <w:tcW w:w="1666" w:type="pct"/>
            <w:gridSpan w:val="2"/>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368"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42</w:t>
            </w:r>
          </w:p>
        </w:tc>
        <w:tc>
          <w:tcPr>
            <w:tcW w:w="41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42</w:t>
            </w:r>
          </w:p>
        </w:tc>
        <w:tc>
          <w:tcPr>
            <w:tcW w:w="41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43</w:t>
            </w:r>
          </w:p>
        </w:tc>
        <w:tc>
          <w:tcPr>
            <w:tcW w:w="41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43</w:t>
            </w:r>
          </w:p>
        </w:tc>
        <w:tc>
          <w:tcPr>
            <w:tcW w:w="41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351C7E" w:rsidTr="007C3FAB">
        <w:trPr>
          <w:trHeight w:hRule="exact" w:val="301"/>
          <w:jc w:val="center"/>
        </w:trPr>
        <w:tc>
          <w:tcPr>
            <w:tcW w:w="5000" w:type="pct"/>
            <w:gridSpan w:val="13"/>
            <w:tcBorders>
              <w:top w:val="single" w:sz="4" w:space="0" w:color="auto"/>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val="pt-BR" w:eastAsia="pt-BR"/>
              </w:rPr>
            </w:pPr>
            <w:r w:rsidRPr="00DC2517">
              <w:rPr>
                <w:rFonts w:ascii="Times New Roman" w:hAnsi="Times New Roman" w:cs="Times New Roman"/>
                <w:b/>
                <w:color w:val="000000"/>
                <w:sz w:val="20"/>
                <w:szCs w:val="20"/>
                <w:lang w:val="pt-BR" w:eastAsia="pt-BR"/>
              </w:rPr>
              <w:t>Painel B – Nível educacional dos executivos</w:t>
            </w:r>
          </w:p>
        </w:tc>
      </w:tr>
      <w:tr w:rsidR="00F35E09" w:rsidRPr="00DC2517" w:rsidTr="007C3FAB">
        <w:trPr>
          <w:trHeight w:hRule="exact" w:val="301"/>
          <w:jc w:val="center"/>
        </w:trPr>
        <w:tc>
          <w:tcPr>
            <w:tcW w:w="1666" w:type="pct"/>
            <w:gridSpan w:val="2"/>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val="pt-BR" w:eastAsia="pt-BR"/>
              </w:rPr>
            </w:pPr>
          </w:p>
        </w:tc>
        <w:tc>
          <w:tcPr>
            <w:tcW w:w="779"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2013</w:t>
            </w:r>
          </w:p>
        </w:tc>
        <w:tc>
          <w:tcPr>
            <w:tcW w:w="79" w:type="pct"/>
            <w:tcBorders>
              <w:top w:val="single" w:sz="4" w:space="0" w:color="auto"/>
            </w:tcBorders>
            <w:vAlign w:val="center"/>
          </w:tcPr>
          <w:p w:rsidR="00F35E09" w:rsidRPr="00DC2517" w:rsidRDefault="00F35E09" w:rsidP="00D613A3">
            <w:pPr>
              <w:jc w:val="center"/>
              <w:rPr>
                <w:rFonts w:ascii="Times New Roman" w:hAnsi="Times New Roman" w:cs="Times New Roman"/>
                <w:color w:val="000000"/>
                <w:sz w:val="20"/>
                <w:szCs w:val="20"/>
                <w:lang w:eastAsia="pt-BR"/>
              </w:rPr>
            </w:pPr>
          </w:p>
        </w:tc>
        <w:tc>
          <w:tcPr>
            <w:tcW w:w="773"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2014</w:t>
            </w:r>
          </w:p>
        </w:tc>
        <w:tc>
          <w:tcPr>
            <w:tcW w:w="79" w:type="pct"/>
            <w:tcBorders>
              <w:top w:val="single" w:sz="4" w:space="0" w:color="auto"/>
            </w:tcBorders>
            <w:vAlign w:val="center"/>
          </w:tcPr>
          <w:p w:rsidR="00F35E09" w:rsidRPr="00DC2517" w:rsidRDefault="00F35E09" w:rsidP="00D613A3">
            <w:pPr>
              <w:jc w:val="center"/>
              <w:rPr>
                <w:rFonts w:ascii="Times New Roman" w:hAnsi="Times New Roman" w:cs="Times New Roman"/>
                <w:color w:val="000000"/>
                <w:sz w:val="20"/>
                <w:szCs w:val="20"/>
                <w:lang w:eastAsia="pt-BR"/>
              </w:rPr>
            </w:pPr>
          </w:p>
        </w:tc>
        <w:tc>
          <w:tcPr>
            <w:tcW w:w="773"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2015</w:t>
            </w:r>
          </w:p>
        </w:tc>
        <w:tc>
          <w:tcPr>
            <w:tcW w:w="79" w:type="pct"/>
            <w:tcBorders>
              <w:top w:val="single" w:sz="4" w:space="0" w:color="auto"/>
            </w:tcBorders>
            <w:vAlign w:val="center"/>
          </w:tcPr>
          <w:p w:rsidR="00F35E09" w:rsidRPr="00DC2517" w:rsidRDefault="00F35E09" w:rsidP="00D613A3">
            <w:pPr>
              <w:jc w:val="center"/>
              <w:rPr>
                <w:rFonts w:ascii="Times New Roman" w:hAnsi="Times New Roman" w:cs="Times New Roman"/>
                <w:color w:val="000000"/>
                <w:sz w:val="20"/>
                <w:szCs w:val="20"/>
                <w:lang w:eastAsia="pt-BR"/>
              </w:rPr>
            </w:pPr>
          </w:p>
        </w:tc>
        <w:tc>
          <w:tcPr>
            <w:tcW w:w="772" w:type="pct"/>
            <w:gridSpan w:val="2"/>
            <w:tcBorders>
              <w:top w:val="single" w:sz="4" w:space="0" w:color="auto"/>
              <w:bottom w:val="single" w:sz="4" w:space="0" w:color="auto"/>
            </w:tcBorders>
            <w:shd w:val="clear" w:color="auto" w:fill="auto"/>
            <w:noWrap/>
            <w:vAlign w:val="center"/>
            <w:hideMark/>
          </w:tcPr>
          <w:p w:rsidR="00F35E09" w:rsidRPr="00DC2517" w:rsidRDefault="00F35E09" w:rsidP="00D613A3">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2016</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Graduação</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960</w:t>
            </w:r>
          </w:p>
        </w:tc>
        <w:tc>
          <w:tcPr>
            <w:tcW w:w="41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98,46%</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965</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97,57%</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954</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97,85%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955</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97,05%</w:t>
            </w:r>
          </w:p>
        </w:tc>
      </w:tr>
      <w:tr w:rsidR="00F35E09" w:rsidRPr="00DC2517" w:rsidTr="007C3FAB">
        <w:trPr>
          <w:trHeight w:hRule="exact" w:val="301"/>
          <w:jc w:val="center"/>
        </w:trPr>
        <w:tc>
          <w:tcPr>
            <w:tcW w:w="118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1,54%</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24</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2,43%</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w:t>
            </w:r>
          </w:p>
        </w:tc>
        <w:tc>
          <w:tcPr>
            <w:tcW w:w="41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w:t>
            </w:r>
          </w:p>
        </w:tc>
        <w:tc>
          <w:tcPr>
            <w:tcW w:w="41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2,95%</w:t>
            </w:r>
          </w:p>
        </w:tc>
      </w:tr>
      <w:tr w:rsidR="00F35E09" w:rsidRPr="00DC2517" w:rsidTr="007C3FAB">
        <w:trPr>
          <w:trHeight w:hRule="exact" w:val="301"/>
          <w:jc w:val="center"/>
        </w:trPr>
        <w:tc>
          <w:tcPr>
            <w:tcW w:w="1666" w:type="pct"/>
            <w:gridSpan w:val="2"/>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368"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hideMark/>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lastRenderedPageBreak/>
              <w:t xml:space="preserve">Pós-graduação e/ou </w:t>
            </w:r>
            <w:r w:rsidRPr="00DC2517">
              <w:rPr>
                <w:rFonts w:ascii="Times New Roman" w:hAnsi="Times New Roman" w:cs="Times New Roman"/>
                <w:i/>
                <w:color w:val="000000"/>
                <w:sz w:val="20"/>
                <w:szCs w:val="20"/>
                <w:lang w:val="pt-BR" w:eastAsia="pt-BR"/>
              </w:rPr>
              <w:t>MBA</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467</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47,90%</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470</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47,52%</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491</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50,36%</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478</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48,58%</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508</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52,10%</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519</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52,48%</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484</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49,64%</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506</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51,42%</w:t>
            </w:r>
          </w:p>
        </w:tc>
      </w:tr>
      <w:tr w:rsidR="00F35E09" w:rsidRPr="00DC2517" w:rsidTr="007C3FAB">
        <w:trPr>
          <w:trHeight w:hRule="exact" w:val="301"/>
          <w:jc w:val="center"/>
        </w:trPr>
        <w:tc>
          <w:tcPr>
            <w:tcW w:w="1666" w:type="pct"/>
            <w:gridSpan w:val="2"/>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368"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Mestrado</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161</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16,51%</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183</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18,50%</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173</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17,74%</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164</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16,67%</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814</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83,49%</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806</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81,50%</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802</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82,26%</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820</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83,33%</w:t>
            </w:r>
          </w:p>
        </w:tc>
      </w:tr>
      <w:tr w:rsidR="00F35E09" w:rsidRPr="00DC2517" w:rsidTr="007C3FAB">
        <w:trPr>
          <w:trHeight w:hRule="exact" w:val="301"/>
          <w:jc w:val="center"/>
        </w:trPr>
        <w:tc>
          <w:tcPr>
            <w:tcW w:w="1666" w:type="pct"/>
            <w:gridSpan w:val="2"/>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368"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Doutorado</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27</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2,77%</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49</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5,03%</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51</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5,18%</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948</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97,23%</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946</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95,65%</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926</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94,97%</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933</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94,82%</w:t>
            </w:r>
          </w:p>
        </w:tc>
      </w:tr>
      <w:tr w:rsidR="00F35E09" w:rsidRPr="00DC2517" w:rsidTr="007C3FAB">
        <w:trPr>
          <w:trHeight w:hRule="exact" w:val="301"/>
          <w:jc w:val="center"/>
        </w:trPr>
        <w:tc>
          <w:tcPr>
            <w:tcW w:w="1666" w:type="pct"/>
            <w:gridSpan w:val="2"/>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368"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Pós-doutorado</w:t>
            </w: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Sim</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1,23%</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1,72%</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1,54%</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1,52%</w:t>
            </w:r>
          </w:p>
        </w:tc>
      </w:tr>
      <w:tr w:rsidR="00F35E09" w:rsidRPr="00DC2517" w:rsidTr="007C3FAB">
        <w:trPr>
          <w:trHeight w:hRule="exact" w:val="301"/>
          <w:jc w:val="center"/>
        </w:trPr>
        <w:tc>
          <w:tcPr>
            <w:tcW w:w="118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86" w:type="pct"/>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Não</w:t>
            </w:r>
          </w:p>
        </w:tc>
        <w:tc>
          <w:tcPr>
            <w:tcW w:w="368"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963</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98,77%</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972</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98,28%</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960</w:t>
            </w:r>
          </w:p>
        </w:tc>
        <w:tc>
          <w:tcPr>
            <w:tcW w:w="411"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98,46%</w:t>
            </w:r>
          </w:p>
        </w:tc>
        <w:tc>
          <w:tcPr>
            <w:tcW w:w="79" w:type="pct"/>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969</w:t>
            </w:r>
          </w:p>
        </w:tc>
        <w:tc>
          <w:tcPr>
            <w:tcW w:w="410" w:type="pct"/>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98,48%</w:t>
            </w:r>
          </w:p>
        </w:tc>
      </w:tr>
      <w:tr w:rsidR="00F35E09" w:rsidRPr="00DC2517" w:rsidTr="007C3FAB">
        <w:trPr>
          <w:trHeight w:hRule="exact" w:val="301"/>
          <w:jc w:val="center"/>
        </w:trPr>
        <w:tc>
          <w:tcPr>
            <w:tcW w:w="1666" w:type="pct"/>
            <w:gridSpan w:val="2"/>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Total</w:t>
            </w:r>
          </w:p>
        </w:tc>
        <w:tc>
          <w:tcPr>
            <w:tcW w:w="368"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989</w:t>
            </w:r>
          </w:p>
        </w:tc>
        <w:tc>
          <w:tcPr>
            <w:tcW w:w="411"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975</w:t>
            </w:r>
          </w:p>
        </w:tc>
        <w:tc>
          <w:tcPr>
            <w:tcW w:w="411"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c>
          <w:tcPr>
            <w:tcW w:w="79" w:type="pct"/>
            <w:tcBorders>
              <w:bottom w:val="single" w:sz="4" w:space="0" w:color="auto"/>
            </w:tcBorders>
            <w:vAlign w:val="center"/>
          </w:tcPr>
          <w:p w:rsidR="00F35E09" w:rsidRPr="00DC2517" w:rsidRDefault="00F35E09" w:rsidP="00567F3A">
            <w:pPr>
              <w:rPr>
                <w:rFonts w:ascii="Times New Roman" w:hAnsi="Times New Roman" w:cs="Times New Roman"/>
                <w:b/>
                <w:color w:val="000000"/>
                <w:sz w:val="20"/>
                <w:szCs w:val="20"/>
                <w:lang w:eastAsia="pt-BR"/>
              </w:rPr>
            </w:pPr>
          </w:p>
        </w:tc>
        <w:tc>
          <w:tcPr>
            <w:tcW w:w="362"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984</w:t>
            </w:r>
          </w:p>
        </w:tc>
        <w:tc>
          <w:tcPr>
            <w:tcW w:w="410" w:type="pct"/>
            <w:tcBorders>
              <w:bottom w:val="single" w:sz="4" w:space="0" w:color="auto"/>
            </w:tcBorders>
            <w:shd w:val="clear" w:color="auto" w:fill="auto"/>
            <w:noWrap/>
            <w:vAlign w:val="center"/>
          </w:tcPr>
          <w:p w:rsidR="00F35E09" w:rsidRPr="00DC2517" w:rsidRDefault="00F35E09" w:rsidP="00567F3A">
            <w:pPr>
              <w:rPr>
                <w:rFonts w:ascii="Times New Roman" w:hAnsi="Times New Roman" w:cs="Times New Roman"/>
                <w:b/>
                <w:color w:val="000000"/>
                <w:sz w:val="20"/>
                <w:szCs w:val="20"/>
                <w:lang w:eastAsia="pt-BR"/>
              </w:rPr>
            </w:pPr>
            <w:r w:rsidRPr="00DC2517">
              <w:rPr>
                <w:rFonts w:ascii="Times New Roman" w:hAnsi="Times New Roman" w:cs="Times New Roman"/>
                <w:b/>
                <w:color w:val="000000"/>
                <w:sz w:val="20"/>
                <w:szCs w:val="20"/>
                <w:lang w:eastAsia="pt-BR"/>
              </w:rPr>
              <w:t>100%</w:t>
            </w:r>
          </w:p>
        </w:tc>
      </w:tr>
      <w:tr w:rsidR="00F35E09" w:rsidRPr="00DC2517" w:rsidTr="007C3FAB">
        <w:trPr>
          <w:trHeight w:hRule="exact" w:val="301"/>
          <w:jc w:val="center"/>
        </w:trPr>
        <w:tc>
          <w:tcPr>
            <w:tcW w:w="1666" w:type="pct"/>
            <w:gridSpan w:val="2"/>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Fonte: dados da pesquisa.</w:t>
            </w:r>
          </w:p>
        </w:tc>
        <w:tc>
          <w:tcPr>
            <w:tcW w:w="368"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11"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79" w:type="pct"/>
            <w:tcBorders>
              <w:top w:val="single" w:sz="4" w:space="0" w:color="auto"/>
            </w:tcBorders>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11"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79" w:type="pct"/>
            <w:tcBorders>
              <w:top w:val="single" w:sz="4" w:space="0" w:color="auto"/>
            </w:tcBorders>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11"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79" w:type="pct"/>
            <w:tcBorders>
              <w:top w:val="single" w:sz="4" w:space="0" w:color="auto"/>
            </w:tcBorders>
            <w:vAlign w:val="center"/>
          </w:tcPr>
          <w:p w:rsidR="00F35E09" w:rsidRPr="00DC2517" w:rsidRDefault="00F35E09" w:rsidP="00567F3A">
            <w:pPr>
              <w:rPr>
                <w:rFonts w:ascii="Times New Roman" w:hAnsi="Times New Roman" w:cs="Times New Roman"/>
                <w:color w:val="000000"/>
                <w:sz w:val="20"/>
                <w:szCs w:val="20"/>
                <w:lang w:eastAsia="pt-BR"/>
              </w:rPr>
            </w:pPr>
          </w:p>
        </w:tc>
        <w:tc>
          <w:tcPr>
            <w:tcW w:w="362"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c>
          <w:tcPr>
            <w:tcW w:w="410" w:type="pct"/>
            <w:tcBorders>
              <w:top w:val="single" w:sz="4" w:space="0" w:color="auto"/>
            </w:tcBorders>
            <w:shd w:val="clear" w:color="auto" w:fill="auto"/>
            <w:noWrap/>
            <w:vAlign w:val="center"/>
          </w:tcPr>
          <w:p w:rsidR="00F35E09" w:rsidRPr="00DC2517" w:rsidRDefault="00F35E09" w:rsidP="00567F3A">
            <w:pPr>
              <w:rPr>
                <w:rFonts w:ascii="Times New Roman" w:hAnsi="Times New Roman" w:cs="Times New Roman"/>
                <w:color w:val="000000"/>
                <w:sz w:val="20"/>
                <w:szCs w:val="20"/>
                <w:lang w:eastAsia="pt-BR"/>
              </w:rPr>
            </w:pPr>
          </w:p>
        </w:tc>
      </w:tr>
    </w:tbl>
    <w:p w:rsidR="0056375D" w:rsidRDefault="0056375D" w:rsidP="007C3FAB">
      <w:pPr>
        <w:spacing w:after="0" w:line="240" w:lineRule="auto"/>
        <w:ind w:firstLine="709"/>
        <w:jc w:val="both"/>
        <w:rPr>
          <w:rFonts w:ascii="Times New Roman" w:hAnsi="Times New Roman" w:cs="Times New Roman"/>
          <w:sz w:val="24"/>
          <w:szCs w:val="24"/>
          <w:lang w:val="pt-BR" w:eastAsia="pt-BR"/>
        </w:rPr>
      </w:pPr>
    </w:p>
    <w:p w:rsidR="00B37164" w:rsidRPr="00C35568" w:rsidRDefault="007C2D56" w:rsidP="007C3FAB">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Na Tabela </w:t>
      </w:r>
      <w:r w:rsidR="00D613A3" w:rsidRPr="00C35568">
        <w:rPr>
          <w:rFonts w:ascii="Times New Roman" w:hAnsi="Times New Roman" w:cs="Times New Roman"/>
          <w:sz w:val="24"/>
          <w:szCs w:val="24"/>
          <w:lang w:val="pt-BR" w:eastAsia="pt-BR"/>
        </w:rPr>
        <w:t>5</w:t>
      </w:r>
      <w:r w:rsidRPr="00C35568">
        <w:rPr>
          <w:rFonts w:ascii="Times New Roman" w:hAnsi="Times New Roman" w:cs="Times New Roman"/>
          <w:sz w:val="24"/>
          <w:szCs w:val="24"/>
          <w:lang w:val="pt-BR" w:eastAsia="pt-BR"/>
        </w:rPr>
        <w:t xml:space="preserve"> </w:t>
      </w:r>
      <w:r w:rsidR="004A06D8" w:rsidRPr="00C35568">
        <w:rPr>
          <w:rFonts w:ascii="Times New Roman" w:hAnsi="Times New Roman" w:cs="Times New Roman"/>
          <w:sz w:val="24"/>
          <w:szCs w:val="24"/>
          <w:lang w:val="pt-BR" w:eastAsia="pt-BR"/>
        </w:rPr>
        <w:t xml:space="preserve">são apresentadas </w:t>
      </w:r>
      <w:r w:rsidR="003242F2" w:rsidRPr="00C35568">
        <w:rPr>
          <w:rFonts w:ascii="Times New Roman" w:hAnsi="Times New Roman" w:cs="Times New Roman"/>
          <w:sz w:val="24"/>
          <w:szCs w:val="24"/>
          <w:lang w:val="pt-BR" w:eastAsia="pt-BR"/>
        </w:rPr>
        <w:t xml:space="preserve">as formas de remunerações dos executivos pertencentes ao CA, DE e CF. </w:t>
      </w:r>
      <w:r w:rsidR="00841237" w:rsidRPr="00C35568">
        <w:rPr>
          <w:rFonts w:ascii="Times New Roman" w:hAnsi="Times New Roman" w:cs="Times New Roman"/>
          <w:sz w:val="24"/>
          <w:szCs w:val="24"/>
          <w:lang w:val="pt-BR" w:eastAsia="pt-BR"/>
        </w:rPr>
        <w:t>Com base no painel A</w:t>
      </w:r>
      <w:r w:rsidR="00B37164" w:rsidRPr="00C35568">
        <w:rPr>
          <w:rFonts w:ascii="Times New Roman" w:hAnsi="Times New Roman" w:cs="Times New Roman"/>
          <w:sz w:val="24"/>
          <w:szCs w:val="24"/>
          <w:lang w:val="pt-BR" w:eastAsia="pt-BR"/>
        </w:rPr>
        <w:t xml:space="preserve">, observa-se aumento da remuneração total </w:t>
      </w:r>
      <w:r w:rsidR="00841237" w:rsidRPr="00C35568">
        <w:rPr>
          <w:rFonts w:ascii="Times New Roman" w:hAnsi="Times New Roman" w:cs="Times New Roman"/>
          <w:sz w:val="24"/>
          <w:szCs w:val="24"/>
          <w:lang w:val="pt-BR" w:eastAsia="pt-BR"/>
        </w:rPr>
        <w:t xml:space="preserve">do CA </w:t>
      </w:r>
      <w:r w:rsidR="00B37164" w:rsidRPr="00C35568">
        <w:rPr>
          <w:rFonts w:ascii="Times New Roman" w:hAnsi="Times New Roman" w:cs="Times New Roman"/>
          <w:sz w:val="24"/>
          <w:szCs w:val="24"/>
          <w:lang w:val="pt-BR" w:eastAsia="pt-BR"/>
        </w:rPr>
        <w:t xml:space="preserve">ao longo dos anos. </w:t>
      </w:r>
      <w:r w:rsidR="006A6ED4" w:rsidRPr="00C35568">
        <w:rPr>
          <w:rFonts w:ascii="Times New Roman" w:hAnsi="Times New Roman" w:cs="Times New Roman"/>
          <w:sz w:val="24"/>
          <w:szCs w:val="24"/>
          <w:lang w:val="pt-BR" w:eastAsia="pt-BR"/>
        </w:rPr>
        <w:t xml:space="preserve">Este aumento diz respeito aos valores em reais da remuneração e em relação </w:t>
      </w:r>
      <w:r w:rsidR="00987FE2" w:rsidRPr="00C35568">
        <w:rPr>
          <w:rFonts w:ascii="Times New Roman" w:hAnsi="Times New Roman" w:cs="Times New Roman"/>
          <w:sz w:val="24"/>
          <w:szCs w:val="24"/>
          <w:lang w:val="pt-BR" w:eastAsia="pt-BR"/>
        </w:rPr>
        <w:t>à</w:t>
      </w:r>
      <w:r w:rsidR="006A6ED4" w:rsidRPr="00C35568">
        <w:rPr>
          <w:rFonts w:ascii="Times New Roman" w:hAnsi="Times New Roman" w:cs="Times New Roman"/>
          <w:sz w:val="24"/>
          <w:szCs w:val="24"/>
          <w:lang w:val="pt-BR" w:eastAsia="pt-BR"/>
        </w:rPr>
        <w:t xml:space="preserve"> média dos pagamentos. Assim, é possível concluir que a CA aumentou a remuneração individual dos seus executivos ao longo </w:t>
      </w:r>
      <w:r w:rsidR="00987FE2" w:rsidRPr="00C35568">
        <w:rPr>
          <w:rFonts w:ascii="Times New Roman" w:hAnsi="Times New Roman" w:cs="Times New Roman"/>
          <w:sz w:val="24"/>
          <w:szCs w:val="24"/>
          <w:lang w:val="pt-BR" w:eastAsia="pt-BR"/>
        </w:rPr>
        <w:t>dos períodos analisados.</w:t>
      </w:r>
      <w:r w:rsidR="006A6ED4" w:rsidRPr="00C35568">
        <w:rPr>
          <w:rFonts w:ascii="Times New Roman" w:hAnsi="Times New Roman" w:cs="Times New Roman"/>
          <w:sz w:val="24"/>
          <w:szCs w:val="24"/>
          <w:lang w:val="pt-BR" w:eastAsia="pt-BR"/>
        </w:rPr>
        <w:t xml:space="preserve"> Sobre os tipos de remuneração, observa-se a predominância da remuneração fixa </w:t>
      </w:r>
      <w:r w:rsidR="00987FE2" w:rsidRPr="00C35568">
        <w:rPr>
          <w:rFonts w:ascii="Times New Roman" w:hAnsi="Times New Roman" w:cs="Times New Roman"/>
          <w:sz w:val="24"/>
          <w:szCs w:val="24"/>
          <w:lang w:val="pt-BR" w:eastAsia="pt-BR"/>
        </w:rPr>
        <w:t>em face</w:t>
      </w:r>
      <w:r w:rsidR="00841237" w:rsidRPr="00C35568">
        <w:rPr>
          <w:rFonts w:ascii="Times New Roman" w:hAnsi="Times New Roman" w:cs="Times New Roman"/>
          <w:sz w:val="24"/>
          <w:szCs w:val="24"/>
          <w:lang w:val="pt-BR" w:eastAsia="pt-BR"/>
        </w:rPr>
        <w:t xml:space="preserve"> </w:t>
      </w:r>
      <w:r w:rsidR="00987FE2" w:rsidRPr="00C35568">
        <w:rPr>
          <w:rFonts w:ascii="Times New Roman" w:hAnsi="Times New Roman" w:cs="Times New Roman"/>
          <w:sz w:val="24"/>
          <w:szCs w:val="24"/>
          <w:lang w:val="pt-BR" w:eastAsia="pt-BR"/>
        </w:rPr>
        <w:t>da</w:t>
      </w:r>
      <w:r w:rsidR="006A6ED4" w:rsidRPr="00C35568">
        <w:rPr>
          <w:rFonts w:ascii="Times New Roman" w:hAnsi="Times New Roman" w:cs="Times New Roman"/>
          <w:sz w:val="24"/>
          <w:szCs w:val="24"/>
          <w:lang w:val="pt-BR" w:eastAsia="pt-BR"/>
        </w:rPr>
        <w:t xml:space="preserve"> parcela variável da remuneração. Aquela apresenta variação positiva entre os ano. Esta oscila ora positiva ora negativamente, sendo que, para todos os anos, o pagamento baseado em ações é o mais representativo entre os tipos de remuneração variável.</w:t>
      </w:r>
    </w:p>
    <w:p w:rsidR="00EA39A5" w:rsidRPr="00C35568" w:rsidRDefault="00F352E2" w:rsidP="007C3FAB">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Analisando o </w:t>
      </w:r>
      <w:r w:rsidR="00841237" w:rsidRPr="00C35568">
        <w:rPr>
          <w:rFonts w:ascii="Times New Roman" w:hAnsi="Times New Roman" w:cs="Times New Roman"/>
          <w:sz w:val="24"/>
          <w:szCs w:val="24"/>
          <w:lang w:val="pt-BR" w:eastAsia="pt-BR"/>
        </w:rPr>
        <w:t>p</w:t>
      </w:r>
      <w:r w:rsidRPr="00C35568">
        <w:rPr>
          <w:rFonts w:ascii="Times New Roman" w:hAnsi="Times New Roman" w:cs="Times New Roman"/>
          <w:sz w:val="24"/>
          <w:szCs w:val="24"/>
          <w:lang w:val="pt-BR" w:eastAsia="pt-BR"/>
        </w:rPr>
        <w:t>ainel B, que apresenta a remuneração da DE, observa-se aumento da compensação total ao longo dos anos exceto para o ano de 2016.</w:t>
      </w:r>
      <w:r w:rsidR="008B69FE" w:rsidRPr="00C35568">
        <w:rPr>
          <w:rFonts w:ascii="Times New Roman" w:hAnsi="Times New Roman" w:cs="Times New Roman"/>
          <w:sz w:val="24"/>
          <w:szCs w:val="24"/>
          <w:lang w:val="pt-BR" w:eastAsia="pt-BR"/>
        </w:rPr>
        <w:t xml:space="preserve"> </w:t>
      </w:r>
      <w:r w:rsidR="006D2F01" w:rsidRPr="00C35568">
        <w:rPr>
          <w:rFonts w:ascii="Times New Roman" w:hAnsi="Times New Roman" w:cs="Times New Roman"/>
          <w:sz w:val="24"/>
          <w:szCs w:val="24"/>
          <w:lang w:val="pt-BR" w:eastAsia="pt-BR"/>
        </w:rPr>
        <w:t xml:space="preserve">A </w:t>
      </w:r>
      <w:r w:rsidR="008B69FE" w:rsidRPr="00C35568">
        <w:rPr>
          <w:rFonts w:ascii="Times New Roman" w:hAnsi="Times New Roman" w:cs="Times New Roman"/>
          <w:sz w:val="24"/>
          <w:szCs w:val="24"/>
          <w:lang w:val="pt-BR" w:eastAsia="pt-BR"/>
        </w:rPr>
        <w:t xml:space="preserve">redução </w:t>
      </w:r>
      <w:r w:rsidR="006D2F01" w:rsidRPr="00C35568">
        <w:rPr>
          <w:rFonts w:ascii="Times New Roman" w:hAnsi="Times New Roman" w:cs="Times New Roman"/>
          <w:sz w:val="24"/>
          <w:szCs w:val="24"/>
          <w:lang w:val="pt-BR" w:eastAsia="pt-BR"/>
        </w:rPr>
        <w:t xml:space="preserve">para este ano </w:t>
      </w:r>
      <w:r w:rsidR="008B69FE" w:rsidRPr="00C35568">
        <w:rPr>
          <w:rFonts w:ascii="Times New Roman" w:hAnsi="Times New Roman" w:cs="Times New Roman"/>
          <w:sz w:val="24"/>
          <w:szCs w:val="24"/>
          <w:lang w:val="pt-BR" w:eastAsia="pt-BR"/>
        </w:rPr>
        <w:t>está relacionada com a forma de remuneração adotada à diretoria, visto que a remuneração variável representa maior parcel</w:t>
      </w:r>
      <w:r w:rsidR="002A4050" w:rsidRPr="00C35568">
        <w:rPr>
          <w:rFonts w:ascii="Times New Roman" w:hAnsi="Times New Roman" w:cs="Times New Roman"/>
          <w:sz w:val="24"/>
          <w:szCs w:val="24"/>
          <w:lang w:val="pt-BR" w:eastAsia="pt-BR"/>
        </w:rPr>
        <w:t>a na remuneração dos diretores – 60% do total de remuneração da diretoria é proveniente da remuneração variável, quando analis</w:t>
      </w:r>
      <w:r w:rsidR="00B36E4A" w:rsidRPr="00C35568">
        <w:rPr>
          <w:rFonts w:ascii="Times New Roman" w:hAnsi="Times New Roman" w:cs="Times New Roman"/>
          <w:sz w:val="24"/>
          <w:szCs w:val="24"/>
          <w:lang w:val="pt-BR" w:eastAsia="pt-BR"/>
        </w:rPr>
        <w:t xml:space="preserve">ados todos os anos em conjunto, </w:t>
      </w:r>
      <w:r w:rsidR="007E616C" w:rsidRPr="00C35568">
        <w:rPr>
          <w:rFonts w:ascii="Times New Roman" w:hAnsi="Times New Roman" w:cs="Times New Roman"/>
          <w:sz w:val="24"/>
          <w:szCs w:val="24"/>
          <w:lang w:val="pt-BR" w:eastAsia="pt-BR"/>
        </w:rPr>
        <w:t>onde a remuneração por meio de bônus e baseadas em ações polarizam os montantes da remuneração variável</w:t>
      </w:r>
      <w:r w:rsidR="00841237" w:rsidRPr="00C35568">
        <w:rPr>
          <w:rFonts w:ascii="Times New Roman" w:hAnsi="Times New Roman" w:cs="Times New Roman"/>
          <w:sz w:val="24"/>
          <w:szCs w:val="24"/>
          <w:lang w:val="pt-BR" w:eastAsia="pt-BR"/>
        </w:rPr>
        <w:t xml:space="preserve"> –</w:t>
      </w:r>
      <w:r w:rsidR="007E616C" w:rsidRPr="00C35568">
        <w:rPr>
          <w:rFonts w:ascii="Times New Roman" w:hAnsi="Times New Roman" w:cs="Times New Roman"/>
          <w:sz w:val="24"/>
          <w:szCs w:val="24"/>
          <w:lang w:val="pt-BR" w:eastAsia="pt-BR"/>
        </w:rPr>
        <w:t>.</w:t>
      </w:r>
    </w:p>
    <w:p w:rsidR="00360D30" w:rsidRPr="00C35568" w:rsidRDefault="00360D30" w:rsidP="007C3FAB">
      <w:pPr>
        <w:spacing w:after="0" w:line="240" w:lineRule="auto"/>
        <w:ind w:firstLine="709"/>
        <w:jc w:val="both"/>
        <w:rPr>
          <w:rFonts w:ascii="Times New Roman" w:hAnsi="Times New Roman" w:cs="Times New Roman"/>
          <w:sz w:val="24"/>
          <w:szCs w:val="24"/>
          <w:lang w:val="pt-BR"/>
        </w:rPr>
      </w:pPr>
      <w:r w:rsidRPr="00C35568">
        <w:rPr>
          <w:rFonts w:ascii="Times New Roman" w:hAnsi="Times New Roman" w:cs="Times New Roman"/>
          <w:sz w:val="24"/>
          <w:szCs w:val="24"/>
          <w:lang w:val="pt-BR"/>
        </w:rPr>
        <w:t xml:space="preserve">No </w:t>
      </w:r>
      <w:r w:rsidR="00841237" w:rsidRPr="00C35568">
        <w:rPr>
          <w:rFonts w:ascii="Times New Roman" w:hAnsi="Times New Roman" w:cs="Times New Roman"/>
          <w:sz w:val="24"/>
          <w:szCs w:val="24"/>
          <w:lang w:val="pt-BR"/>
        </w:rPr>
        <w:t>p</w:t>
      </w:r>
      <w:r w:rsidR="003242F2" w:rsidRPr="00C35568">
        <w:rPr>
          <w:rFonts w:ascii="Times New Roman" w:hAnsi="Times New Roman" w:cs="Times New Roman"/>
          <w:sz w:val="24"/>
          <w:szCs w:val="24"/>
          <w:lang w:val="pt-BR"/>
        </w:rPr>
        <w:t>ainel</w:t>
      </w:r>
      <w:r w:rsidR="003242F2" w:rsidRPr="00C35568">
        <w:rPr>
          <w:rFonts w:ascii="Times New Roman" w:hAnsi="Times New Roman" w:cs="Times New Roman"/>
          <w:spacing w:val="-13"/>
          <w:sz w:val="24"/>
          <w:szCs w:val="24"/>
          <w:lang w:val="pt-BR"/>
        </w:rPr>
        <w:t xml:space="preserve"> </w:t>
      </w:r>
      <w:r w:rsidR="003242F2" w:rsidRPr="00C35568">
        <w:rPr>
          <w:rFonts w:ascii="Times New Roman" w:hAnsi="Times New Roman" w:cs="Times New Roman"/>
          <w:sz w:val="24"/>
          <w:szCs w:val="24"/>
          <w:lang w:val="pt-BR"/>
        </w:rPr>
        <w:t>C</w:t>
      </w:r>
      <w:r w:rsidR="003242F2" w:rsidRPr="00C35568">
        <w:rPr>
          <w:rFonts w:ascii="Times New Roman" w:hAnsi="Times New Roman" w:cs="Times New Roman"/>
          <w:spacing w:val="-13"/>
          <w:sz w:val="24"/>
          <w:szCs w:val="24"/>
          <w:lang w:val="pt-BR"/>
        </w:rPr>
        <w:t xml:space="preserve"> </w:t>
      </w:r>
      <w:r w:rsidRPr="00C35568">
        <w:rPr>
          <w:rFonts w:ascii="Times New Roman" w:hAnsi="Times New Roman" w:cs="Times New Roman"/>
          <w:spacing w:val="-13"/>
          <w:sz w:val="24"/>
          <w:szCs w:val="24"/>
          <w:lang w:val="pt-BR"/>
        </w:rPr>
        <w:t xml:space="preserve">é </w:t>
      </w:r>
      <w:r w:rsidR="003242F2" w:rsidRPr="00C35568">
        <w:rPr>
          <w:rFonts w:ascii="Times New Roman" w:hAnsi="Times New Roman" w:cs="Times New Roman"/>
          <w:sz w:val="24"/>
          <w:szCs w:val="24"/>
          <w:lang w:val="pt-BR"/>
        </w:rPr>
        <w:t>mostra</w:t>
      </w:r>
      <w:r w:rsidRPr="00C35568">
        <w:rPr>
          <w:rFonts w:ascii="Times New Roman" w:hAnsi="Times New Roman" w:cs="Times New Roman"/>
          <w:sz w:val="24"/>
          <w:szCs w:val="24"/>
          <w:lang w:val="pt-BR"/>
        </w:rPr>
        <w:t>da</w:t>
      </w:r>
      <w:r w:rsidR="003242F2" w:rsidRPr="00C35568">
        <w:rPr>
          <w:rFonts w:ascii="Times New Roman" w:hAnsi="Times New Roman" w:cs="Times New Roman"/>
          <w:spacing w:val="-15"/>
          <w:sz w:val="24"/>
          <w:szCs w:val="24"/>
          <w:lang w:val="pt-BR"/>
        </w:rPr>
        <w:t xml:space="preserve"> </w:t>
      </w:r>
      <w:r w:rsidR="003242F2" w:rsidRPr="00C35568">
        <w:rPr>
          <w:rFonts w:ascii="Times New Roman" w:hAnsi="Times New Roman" w:cs="Times New Roman"/>
          <w:sz w:val="24"/>
          <w:szCs w:val="24"/>
          <w:lang w:val="pt-BR"/>
        </w:rPr>
        <w:t>a</w:t>
      </w:r>
      <w:r w:rsidR="003242F2" w:rsidRPr="00C35568">
        <w:rPr>
          <w:rFonts w:ascii="Times New Roman" w:hAnsi="Times New Roman" w:cs="Times New Roman"/>
          <w:spacing w:val="-14"/>
          <w:sz w:val="24"/>
          <w:szCs w:val="24"/>
          <w:lang w:val="pt-BR"/>
        </w:rPr>
        <w:t xml:space="preserve"> </w:t>
      </w:r>
      <w:r w:rsidR="00ED551F" w:rsidRPr="00C35568">
        <w:rPr>
          <w:rFonts w:ascii="Times New Roman" w:hAnsi="Times New Roman" w:cs="Times New Roman"/>
          <w:spacing w:val="-14"/>
          <w:sz w:val="24"/>
          <w:szCs w:val="24"/>
          <w:lang w:val="pt-BR"/>
        </w:rPr>
        <w:t xml:space="preserve">compensação do </w:t>
      </w:r>
      <w:r w:rsidR="003242F2" w:rsidRPr="00C35568">
        <w:rPr>
          <w:rFonts w:ascii="Times New Roman" w:hAnsi="Times New Roman" w:cs="Times New Roman"/>
          <w:sz w:val="24"/>
          <w:szCs w:val="24"/>
          <w:lang w:val="pt-BR"/>
        </w:rPr>
        <w:t>CF,</w:t>
      </w:r>
      <w:r w:rsidR="003242F2" w:rsidRPr="00C35568">
        <w:rPr>
          <w:rFonts w:ascii="Times New Roman" w:hAnsi="Times New Roman" w:cs="Times New Roman"/>
          <w:spacing w:val="-11"/>
          <w:sz w:val="24"/>
          <w:szCs w:val="24"/>
          <w:lang w:val="pt-BR"/>
        </w:rPr>
        <w:t xml:space="preserve"> </w:t>
      </w:r>
      <w:r w:rsidR="003242F2" w:rsidRPr="00C35568">
        <w:rPr>
          <w:rFonts w:ascii="Times New Roman" w:hAnsi="Times New Roman" w:cs="Times New Roman"/>
          <w:sz w:val="24"/>
          <w:szCs w:val="24"/>
          <w:lang w:val="pt-BR"/>
        </w:rPr>
        <w:t>que</w:t>
      </w:r>
      <w:r w:rsidR="003242F2" w:rsidRPr="00C35568">
        <w:rPr>
          <w:rFonts w:ascii="Times New Roman" w:hAnsi="Times New Roman" w:cs="Times New Roman"/>
          <w:spacing w:val="-14"/>
          <w:sz w:val="24"/>
          <w:szCs w:val="24"/>
          <w:lang w:val="pt-BR"/>
        </w:rPr>
        <w:t xml:space="preserve"> </w:t>
      </w:r>
      <w:r w:rsidR="003242F2" w:rsidRPr="00C35568">
        <w:rPr>
          <w:rFonts w:ascii="Times New Roman" w:hAnsi="Times New Roman" w:cs="Times New Roman"/>
          <w:sz w:val="24"/>
          <w:szCs w:val="24"/>
          <w:lang w:val="pt-BR"/>
        </w:rPr>
        <w:t>apenas</w:t>
      </w:r>
      <w:r w:rsidR="003242F2" w:rsidRPr="00C35568">
        <w:rPr>
          <w:rFonts w:ascii="Times New Roman" w:hAnsi="Times New Roman" w:cs="Times New Roman"/>
          <w:spacing w:val="-13"/>
          <w:sz w:val="24"/>
          <w:szCs w:val="24"/>
          <w:lang w:val="pt-BR"/>
        </w:rPr>
        <w:t xml:space="preserve"> </w:t>
      </w:r>
      <w:r w:rsidR="003242F2" w:rsidRPr="00C35568">
        <w:rPr>
          <w:rFonts w:ascii="Times New Roman" w:hAnsi="Times New Roman" w:cs="Times New Roman"/>
          <w:sz w:val="24"/>
          <w:szCs w:val="24"/>
          <w:lang w:val="pt-BR"/>
        </w:rPr>
        <w:t>utiliza</w:t>
      </w:r>
      <w:r w:rsidR="003242F2" w:rsidRPr="00C35568">
        <w:rPr>
          <w:rFonts w:ascii="Times New Roman" w:hAnsi="Times New Roman" w:cs="Times New Roman"/>
          <w:spacing w:val="-14"/>
          <w:sz w:val="24"/>
          <w:szCs w:val="24"/>
          <w:lang w:val="pt-BR"/>
        </w:rPr>
        <w:t xml:space="preserve"> </w:t>
      </w:r>
      <w:r w:rsidR="003242F2" w:rsidRPr="00C35568">
        <w:rPr>
          <w:rFonts w:ascii="Times New Roman" w:hAnsi="Times New Roman" w:cs="Times New Roman"/>
          <w:sz w:val="24"/>
          <w:szCs w:val="24"/>
          <w:lang w:val="pt-BR"/>
        </w:rPr>
        <w:t>remuneração</w:t>
      </w:r>
      <w:r w:rsidR="003242F2" w:rsidRPr="00C35568">
        <w:rPr>
          <w:rFonts w:ascii="Times New Roman" w:hAnsi="Times New Roman" w:cs="Times New Roman"/>
          <w:spacing w:val="-13"/>
          <w:sz w:val="24"/>
          <w:szCs w:val="24"/>
          <w:lang w:val="pt-BR"/>
        </w:rPr>
        <w:t xml:space="preserve"> </w:t>
      </w:r>
      <w:r w:rsidR="003242F2" w:rsidRPr="00C35568">
        <w:rPr>
          <w:rFonts w:ascii="Times New Roman" w:hAnsi="Times New Roman" w:cs="Times New Roman"/>
          <w:sz w:val="24"/>
          <w:szCs w:val="24"/>
          <w:lang w:val="pt-BR"/>
        </w:rPr>
        <w:t>fixa</w:t>
      </w:r>
      <w:r w:rsidR="003242F2" w:rsidRPr="00C35568">
        <w:rPr>
          <w:rFonts w:ascii="Times New Roman" w:hAnsi="Times New Roman" w:cs="Times New Roman"/>
          <w:spacing w:val="-13"/>
          <w:sz w:val="24"/>
          <w:szCs w:val="24"/>
          <w:lang w:val="pt-BR"/>
        </w:rPr>
        <w:t xml:space="preserve"> </w:t>
      </w:r>
      <w:r w:rsidR="003242F2" w:rsidRPr="00C35568">
        <w:rPr>
          <w:rFonts w:ascii="Times New Roman" w:hAnsi="Times New Roman" w:cs="Times New Roman"/>
          <w:sz w:val="24"/>
          <w:szCs w:val="24"/>
          <w:lang w:val="pt-BR"/>
        </w:rPr>
        <w:t xml:space="preserve">como </w:t>
      </w:r>
      <w:r w:rsidR="00ED551F" w:rsidRPr="00C35568">
        <w:rPr>
          <w:rFonts w:ascii="Times New Roman" w:hAnsi="Times New Roman" w:cs="Times New Roman"/>
          <w:sz w:val="24"/>
          <w:szCs w:val="24"/>
          <w:lang w:val="pt-BR"/>
        </w:rPr>
        <w:t xml:space="preserve">forma de compensação. </w:t>
      </w:r>
      <w:r w:rsidRPr="00C35568">
        <w:rPr>
          <w:rFonts w:ascii="Times New Roman" w:hAnsi="Times New Roman" w:cs="Times New Roman"/>
          <w:sz w:val="24"/>
          <w:szCs w:val="24"/>
          <w:lang w:val="pt-BR"/>
        </w:rPr>
        <w:t>A remuneração para esses conselheiros aumentou ao longo dos anos, tendo como predominante a compensação mediante salários ou pró-labores – 85% da remuneração total para todos os anos analisados é proveniente dessa forma de remuneração –.</w:t>
      </w:r>
    </w:p>
    <w:p w:rsidR="00360D30" w:rsidRPr="00C35568" w:rsidRDefault="003242F2" w:rsidP="007C3FAB">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No geral, </w:t>
      </w:r>
      <w:r w:rsidR="00360D30" w:rsidRPr="00C35568">
        <w:rPr>
          <w:rFonts w:ascii="Times New Roman" w:hAnsi="Times New Roman" w:cs="Times New Roman"/>
          <w:sz w:val="24"/>
          <w:szCs w:val="24"/>
          <w:lang w:val="pt-BR" w:eastAsia="pt-BR"/>
        </w:rPr>
        <w:t xml:space="preserve">a remuneração para </w:t>
      </w:r>
      <w:r w:rsidR="002C137C" w:rsidRPr="00C35568">
        <w:rPr>
          <w:rFonts w:ascii="Times New Roman" w:hAnsi="Times New Roman" w:cs="Times New Roman"/>
          <w:sz w:val="24"/>
          <w:szCs w:val="24"/>
          <w:lang w:val="pt-BR" w:eastAsia="pt-BR"/>
        </w:rPr>
        <w:t>o CA e CF</w:t>
      </w:r>
      <w:r w:rsidR="00360D30" w:rsidRPr="00C35568">
        <w:rPr>
          <w:rFonts w:ascii="Times New Roman" w:hAnsi="Times New Roman" w:cs="Times New Roman"/>
          <w:sz w:val="24"/>
          <w:szCs w:val="24"/>
          <w:lang w:val="pt-BR" w:eastAsia="pt-BR"/>
        </w:rPr>
        <w:t xml:space="preserve"> é mais conservadora, </w:t>
      </w:r>
      <w:r w:rsidRPr="00C35568">
        <w:rPr>
          <w:rFonts w:ascii="Times New Roman" w:hAnsi="Times New Roman" w:cs="Times New Roman"/>
          <w:sz w:val="24"/>
          <w:szCs w:val="24"/>
          <w:lang w:val="pt-BR" w:eastAsia="pt-BR"/>
        </w:rPr>
        <w:t xml:space="preserve">dado </w:t>
      </w:r>
      <w:r w:rsidR="00360D30" w:rsidRPr="00C35568">
        <w:rPr>
          <w:rFonts w:ascii="Times New Roman" w:hAnsi="Times New Roman" w:cs="Times New Roman"/>
          <w:sz w:val="24"/>
          <w:szCs w:val="24"/>
          <w:lang w:val="pt-BR" w:eastAsia="pt-BR"/>
        </w:rPr>
        <w:t xml:space="preserve">a predominância da parcela fixa da remuneração </w:t>
      </w:r>
      <w:r w:rsidR="00570061" w:rsidRPr="00C35568">
        <w:rPr>
          <w:rFonts w:ascii="Times New Roman" w:hAnsi="Times New Roman" w:cs="Times New Roman"/>
          <w:sz w:val="24"/>
          <w:szCs w:val="24"/>
          <w:lang w:val="pt-BR" w:eastAsia="pt-BR"/>
        </w:rPr>
        <w:t>para os conselheiros administrativos, e a inexistência de remuneração variável para os conselheiros fiscais.</w:t>
      </w:r>
      <w:r w:rsidR="00360D30" w:rsidRPr="00C35568">
        <w:rPr>
          <w:rFonts w:ascii="Times New Roman" w:hAnsi="Times New Roman" w:cs="Times New Roman"/>
          <w:sz w:val="24"/>
          <w:szCs w:val="24"/>
          <w:lang w:val="pt-BR" w:eastAsia="pt-BR"/>
        </w:rPr>
        <w:t xml:space="preserve"> Contrariamente, os diretores executivos possuem um plano de remuneração menos conservador, </w:t>
      </w:r>
      <w:r w:rsidR="0040359B" w:rsidRPr="00C35568">
        <w:rPr>
          <w:rFonts w:ascii="Times New Roman" w:hAnsi="Times New Roman" w:cs="Times New Roman"/>
          <w:sz w:val="24"/>
          <w:szCs w:val="24"/>
          <w:lang w:val="pt-BR" w:eastAsia="pt-BR"/>
        </w:rPr>
        <w:t>visto</w:t>
      </w:r>
      <w:r w:rsidR="00360D30" w:rsidRPr="00C35568">
        <w:rPr>
          <w:rFonts w:ascii="Times New Roman" w:hAnsi="Times New Roman" w:cs="Times New Roman"/>
          <w:sz w:val="24"/>
          <w:szCs w:val="24"/>
          <w:lang w:val="pt-BR" w:eastAsia="pt-BR"/>
        </w:rPr>
        <w:t xml:space="preserve"> que a remuneração variável desses conselheiros é proporcionalmente maior do </w:t>
      </w:r>
      <w:r w:rsidR="000B44A8" w:rsidRPr="00C35568">
        <w:rPr>
          <w:rFonts w:ascii="Times New Roman" w:hAnsi="Times New Roman" w:cs="Times New Roman"/>
          <w:sz w:val="24"/>
          <w:szCs w:val="24"/>
          <w:lang w:val="pt-BR" w:eastAsia="pt-BR"/>
        </w:rPr>
        <w:t>que sua parcela fixa.</w:t>
      </w:r>
    </w:p>
    <w:p w:rsidR="00D613A3" w:rsidRPr="00C35568" w:rsidRDefault="00D613A3" w:rsidP="007C3FAB">
      <w:pPr>
        <w:spacing w:after="0" w:line="240" w:lineRule="auto"/>
        <w:ind w:firstLine="709"/>
        <w:jc w:val="both"/>
        <w:rPr>
          <w:rFonts w:ascii="Times New Roman" w:hAnsi="Times New Roman" w:cs="Times New Roman"/>
          <w:sz w:val="24"/>
          <w:szCs w:val="24"/>
          <w:lang w:val="pt-BR" w:eastAsia="pt-BR"/>
        </w:rPr>
        <w:sectPr w:rsidR="00D613A3" w:rsidRPr="00C35568" w:rsidSect="00375AE7">
          <w:footerReference w:type="default" r:id="rId9"/>
          <w:pgSz w:w="11910" w:h="16840"/>
          <w:pgMar w:top="1701" w:right="1134" w:bottom="1134" w:left="1701" w:header="1531" w:footer="283" w:gutter="0"/>
          <w:cols w:space="720"/>
          <w:docGrid w:linePitch="299"/>
        </w:sectPr>
      </w:pPr>
    </w:p>
    <w:tbl>
      <w:tblPr>
        <w:tblW w:w="5000" w:type="pct"/>
        <w:jc w:val="center"/>
        <w:tblCellMar>
          <w:left w:w="70" w:type="dxa"/>
          <w:right w:w="70" w:type="dxa"/>
        </w:tblCellMar>
        <w:tblLook w:val="04A0" w:firstRow="1" w:lastRow="0" w:firstColumn="1" w:lastColumn="0" w:noHBand="0" w:noVBand="1"/>
      </w:tblPr>
      <w:tblGrid>
        <w:gridCol w:w="2763"/>
        <w:gridCol w:w="1063"/>
        <w:gridCol w:w="1239"/>
        <w:gridCol w:w="371"/>
        <w:gridCol w:w="1132"/>
        <w:gridCol w:w="1403"/>
        <w:gridCol w:w="371"/>
        <w:gridCol w:w="1132"/>
        <w:gridCol w:w="1403"/>
        <w:gridCol w:w="371"/>
        <w:gridCol w:w="1132"/>
        <w:gridCol w:w="1403"/>
        <w:gridCol w:w="362"/>
      </w:tblGrid>
      <w:tr w:rsidR="00F35E09" w:rsidRPr="00351C7E" w:rsidTr="005108E6">
        <w:trPr>
          <w:trHeight w:hRule="exact" w:val="227"/>
          <w:jc w:val="center"/>
        </w:trPr>
        <w:tc>
          <w:tcPr>
            <w:tcW w:w="5000" w:type="pct"/>
            <w:gridSpan w:val="13"/>
            <w:tcBorders>
              <w:bottom w:val="single" w:sz="4" w:space="0" w:color="auto"/>
            </w:tcBorders>
            <w:shd w:val="clear" w:color="auto" w:fill="auto"/>
            <w:noWrap/>
            <w:vAlign w:val="center"/>
            <w:hideMark/>
          </w:tcPr>
          <w:p w:rsidR="00F35E09" w:rsidRPr="00FB1354" w:rsidRDefault="00F35E09" w:rsidP="00FB1354">
            <w:pPr>
              <w:jc w:val="center"/>
              <w:rPr>
                <w:rFonts w:ascii="Times New Roman" w:hAnsi="Times New Roman" w:cs="Times New Roman"/>
                <w:b/>
                <w:color w:val="000000"/>
                <w:sz w:val="20"/>
                <w:szCs w:val="20"/>
                <w:lang w:val="pt-BR" w:eastAsia="pt-BR"/>
              </w:rPr>
            </w:pPr>
            <w:r w:rsidRPr="00FB1354">
              <w:rPr>
                <w:rFonts w:ascii="Times New Roman" w:hAnsi="Times New Roman" w:cs="Times New Roman"/>
                <w:b/>
                <w:color w:val="000000"/>
                <w:sz w:val="20"/>
                <w:szCs w:val="20"/>
                <w:lang w:val="pt-BR" w:eastAsia="pt-BR"/>
              </w:rPr>
              <w:lastRenderedPageBreak/>
              <w:t xml:space="preserve">Tabela </w:t>
            </w:r>
            <w:r w:rsidR="00D613A3" w:rsidRPr="00FB1354">
              <w:rPr>
                <w:rFonts w:ascii="Times New Roman" w:hAnsi="Times New Roman" w:cs="Times New Roman"/>
                <w:b/>
                <w:color w:val="000000"/>
                <w:sz w:val="20"/>
                <w:szCs w:val="20"/>
                <w:lang w:val="pt-BR" w:eastAsia="pt-BR"/>
              </w:rPr>
              <w:t>5</w:t>
            </w:r>
            <w:r w:rsidRPr="00FB1354">
              <w:rPr>
                <w:rFonts w:ascii="Times New Roman" w:hAnsi="Times New Roman" w:cs="Times New Roman"/>
                <w:b/>
                <w:color w:val="000000"/>
                <w:sz w:val="20"/>
                <w:szCs w:val="20"/>
                <w:lang w:val="pt-BR" w:eastAsia="pt-BR"/>
              </w:rPr>
              <w:t xml:space="preserve"> – Remuneração dos executivos em reais (R$)</w:t>
            </w:r>
          </w:p>
        </w:tc>
      </w:tr>
      <w:tr w:rsidR="00F35E09" w:rsidRPr="00DC2517" w:rsidTr="005108E6">
        <w:trPr>
          <w:trHeight w:hRule="exact" w:val="227"/>
          <w:jc w:val="center"/>
        </w:trPr>
        <w:tc>
          <w:tcPr>
            <w:tcW w:w="977"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val="pt-BR" w:eastAsia="pt-BR"/>
              </w:rPr>
            </w:pPr>
          </w:p>
        </w:tc>
        <w:tc>
          <w:tcPr>
            <w:tcW w:w="945" w:type="pct"/>
            <w:gridSpan w:val="3"/>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2013</w:t>
            </w:r>
          </w:p>
        </w:tc>
        <w:tc>
          <w:tcPr>
            <w:tcW w:w="1027" w:type="pct"/>
            <w:gridSpan w:val="3"/>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2014</w:t>
            </w:r>
          </w:p>
        </w:tc>
        <w:tc>
          <w:tcPr>
            <w:tcW w:w="1027" w:type="pct"/>
            <w:gridSpan w:val="3"/>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2015</w:t>
            </w:r>
          </w:p>
        </w:tc>
        <w:tc>
          <w:tcPr>
            <w:tcW w:w="1024" w:type="pct"/>
            <w:gridSpan w:val="3"/>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2016</w:t>
            </w:r>
          </w:p>
        </w:tc>
      </w:tr>
      <w:tr w:rsidR="00F35E09" w:rsidRPr="00DC2517" w:rsidTr="005108E6">
        <w:trPr>
          <w:trHeight w:hRule="exact" w:val="227"/>
          <w:jc w:val="center"/>
        </w:trPr>
        <w:tc>
          <w:tcPr>
            <w:tcW w:w="977"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p>
        </w:tc>
        <w:tc>
          <w:tcPr>
            <w:tcW w:w="37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Média</w:t>
            </w:r>
          </w:p>
        </w:tc>
        <w:tc>
          <w:tcPr>
            <w:tcW w:w="438"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Soma</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Qt</w:t>
            </w: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Média</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Soma</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Qt</w:t>
            </w: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Média</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Soma</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Qt</w:t>
            </w: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Média</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Soma</w:t>
            </w:r>
          </w:p>
        </w:tc>
        <w:tc>
          <w:tcPr>
            <w:tcW w:w="128"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Qt</w:t>
            </w:r>
          </w:p>
        </w:tc>
      </w:tr>
      <w:tr w:rsidR="00F35E09" w:rsidRPr="00351C7E" w:rsidTr="005108E6">
        <w:trPr>
          <w:trHeight w:hRule="exact" w:val="227"/>
          <w:jc w:val="center"/>
        </w:trPr>
        <w:tc>
          <w:tcPr>
            <w:tcW w:w="5000" w:type="pct"/>
            <w:gridSpan w:val="13"/>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val="pt-BR" w:eastAsia="pt-BR"/>
              </w:rPr>
            </w:pPr>
            <w:r w:rsidRPr="00DC2517">
              <w:rPr>
                <w:rFonts w:ascii="Times New Roman" w:hAnsi="Times New Roman" w:cs="Times New Roman"/>
                <w:b/>
                <w:bCs/>
                <w:color w:val="000000"/>
                <w:sz w:val="20"/>
                <w:szCs w:val="20"/>
                <w:lang w:val="pt-BR" w:eastAsia="pt-BR"/>
              </w:rPr>
              <w:t xml:space="preserve">Painel A – </w:t>
            </w:r>
            <w:r w:rsidRPr="00DC2517">
              <w:rPr>
                <w:rFonts w:ascii="Times New Roman" w:hAnsi="Times New Roman" w:cs="Times New Roman"/>
                <w:bCs/>
                <w:color w:val="000000"/>
                <w:sz w:val="20"/>
                <w:szCs w:val="20"/>
                <w:lang w:val="pt-BR" w:eastAsia="pt-BR"/>
              </w:rPr>
              <w:t>Remuneração do Conselho de Administração</w:t>
            </w:r>
          </w:p>
        </w:tc>
      </w:tr>
      <w:tr w:rsidR="00F35E09" w:rsidRPr="00DC2517" w:rsidTr="005108E6">
        <w:trPr>
          <w:trHeight w:hRule="exact" w:val="227"/>
          <w:jc w:val="center"/>
        </w:trPr>
        <w:tc>
          <w:tcPr>
            <w:tcW w:w="977"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Fixa</w:t>
            </w:r>
          </w:p>
        </w:tc>
        <w:tc>
          <w:tcPr>
            <w:tcW w:w="376"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2.743.880</w:t>
            </w:r>
          </w:p>
        </w:tc>
        <w:tc>
          <w:tcPr>
            <w:tcW w:w="438"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112.499.093</w:t>
            </w:r>
          </w:p>
        </w:tc>
        <w:tc>
          <w:tcPr>
            <w:tcW w:w="131"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3.108.254</w:t>
            </w:r>
          </w:p>
        </w:tc>
        <w:tc>
          <w:tcPr>
            <w:tcW w:w="496"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127.438.399</w:t>
            </w:r>
          </w:p>
        </w:tc>
        <w:tc>
          <w:tcPr>
            <w:tcW w:w="131"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3.158.374</w:t>
            </w:r>
          </w:p>
        </w:tc>
        <w:tc>
          <w:tcPr>
            <w:tcW w:w="496"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135.810.084</w:t>
            </w:r>
          </w:p>
        </w:tc>
        <w:tc>
          <w:tcPr>
            <w:tcW w:w="131"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3.633.001</w:t>
            </w:r>
          </w:p>
        </w:tc>
        <w:tc>
          <w:tcPr>
            <w:tcW w:w="496"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156.219.048</w:t>
            </w:r>
          </w:p>
        </w:tc>
        <w:tc>
          <w:tcPr>
            <w:tcW w:w="128" w:type="pct"/>
            <w:tcBorders>
              <w:top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Salário ou pró-labore</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2.253.419</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92.390.195</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2.565.483</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105.184.791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2.576.195</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110.776.375</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2.885.414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124.072.810</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Benefícios diretos e indiretos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102.233</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920.093</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101.984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1.223.808</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126.933</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1.269.329</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145.004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1.740.045</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Participações em comitês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623.751</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6.861.264</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561.982</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6.743.786</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620.610</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8.067.933</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781.397</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11.720.954</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Outros valores fixos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410.918</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12.327.541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476.200</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14.286.014</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490.514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15.696.447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533.864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18.685.239</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35</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Variável</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2.856.352</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45.701.628</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2.493.664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42.392.287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2.647.729</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42.363.662</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2.796.664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50.339.956</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Bônus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2.193.043</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8.772.171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2.534.923</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15.209.538</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1.551.395</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9.308.369</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3.251.771</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22.762.398</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Participação de resultados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1.695.483</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3.390.966</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880.491</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1.760.981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1.296.547</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3.889.641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1.196.229</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2.392.458</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Participação em reuniões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515.484</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1.030.967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390.151</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1.170.452</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790.675</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2.372.026</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434.299</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2.605.795</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Outros valores variáveis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139.621</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418.862</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381.419</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1.525.677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285.715</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1.714.288</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139.769</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698.843</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Benefícios Pós-emprego</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129.442</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647.210</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85.698</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342.791</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65.760</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328.800</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103.281</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413.123</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 Cessação do cargo</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8.275.900</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8.275.900</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4.392.542</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4.392.542</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4.746.167</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4.746.167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Rem. Baseada em ações</w:t>
            </w:r>
          </w:p>
        </w:tc>
        <w:tc>
          <w:tcPr>
            <w:tcW w:w="37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3.309.365</w:t>
            </w:r>
          </w:p>
        </w:tc>
        <w:tc>
          <w:tcPr>
            <w:tcW w:w="43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23.165.552</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2.570.044</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17.990.307</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2.857.768</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20.004.373</w:t>
            </w:r>
          </w:p>
        </w:tc>
        <w:tc>
          <w:tcPr>
            <w:tcW w:w="131"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c>
          <w:tcPr>
            <w:tcW w:w="400"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3.066.763</w:t>
            </w:r>
          </w:p>
        </w:tc>
        <w:tc>
          <w:tcPr>
            <w:tcW w:w="496"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21.467.338</w:t>
            </w:r>
          </w:p>
        </w:tc>
        <w:tc>
          <w:tcPr>
            <w:tcW w:w="128" w:type="pct"/>
            <w:shd w:val="clear" w:color="auto" w:fill="auto"/>
            <w:noWrap/>
            <w:vAlign w:val="center"/>
            <w:hideMark/>
          </w:tcPr>
          <w:p w:rsidR="00F35E09" w:rsidRPr="00DC2517" w:rsidRDefault="00F35E09" w:rsidP="00567F3A">
            <w:pPr>
              <w:jc w:val="cente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r>
      <w:tr w:rsidR="00F35E09" w:rsidRPr="00DC2517" w:rsidTr="005108E6">
        <w:trPr>
          <w:trHeight w:hRule="exact" w:val="227"/>
          <w:jc w:val="center"/>
        </w:trPr>
        <w:tc>
          <w:tcPr>
            <w:tcW w:w="977"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Total</w:t>
            </w:r>
          </w:p>
        </w:tc>
        <w:tc>
          <w:tcPr>
            <w:tcW w:w="37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3.858.554</w:t>
            </w:r>
          </w:p>
        </w:tc>
        <w:tc>
          <w:tcPr>
            <w:tcW w:w="438"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158.200.721</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4.142.212</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169.830.686</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4.143.575</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178.173.746</w:t>
            </w:r>
          </w:p>
        </w:tc>
        <w:tc>
          <w:tcPr>
            <w:tcW w:w="131"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4.803.698</w:t>
            </w:r>
          </w:p>
        </w:tc>
        <w:tc>
          <w:tcPr>
            <w:tcW w:w="496"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206.559.003</w:t>
            </w:r>
          </w:p>
        </w:tc>
        <w:tc>
          <w:tcPr>
            <w:tcW w:w="128" w:type="pct"/>
            <w:tcBorders>
              <w:bottom w:val="single" w:sz="4" w:space="0" w:color="auto"/>
            </w:tcBorders>
            <w:shd w:val="clear" w:color="auto" w:fill="auto"/>
            <w:noWrap/>
            <w:vAlign w:val="center"/>
            <w:hideMark/>
          </w:tcPr>
          <w:p w:rsidR="00F35E09" w:rsidRPr="00DC2517" w:rsidRDefault="00F35E09" w:rsidP="00567F3A">
            <w:pPr>
              <w:jc w:val="center"/>
              <w:rPr>
                <w:rFonts w:ascii="Times New Roman" w:hAnsi="Times New Roman" w:cs="Times New Roman"/>
                <w:b/>
                <w:bCs/>
                <w:color w:val="000000"/>
                <w:sz w:val="20"/>
                <w:szCs w:val="20"/>
                <w:lang w:eastAsia="pt-BR"/>
              </w:rPr>
            </w:pPr>
          </w:p>
        </w:tc>
      </w:tr>
      <w:tr w:rsidR="00F35E09" w:rsidRPr="00351C7E" w:rsidTr="005108E6">
        <w:trPr>
          <w:trHeight w:hRule="exact" w:val="227"/>
          <w:jc w:val="center"/>
        </w:trPr>
        <w:tc>
          <w:tcPr>
            <w:tcW w:w="5000" w:type="pct"/>
            <w:gridSpan w:val="13"/>
            <w:tcBorders>
              <w:top w:val="single" w:sz="4" w:space="0" w:color="auto"/>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val="pt-BR" w:eastAsia="pt-BR"/>
              </w:rPr>
            </w:pPr>
            <w:r w:rsidRPr="00DC2517">
              <w:rPr>
                <w:rFonts w:ascii="Times New Roman" w:hAnsi="Times New Roman" w:cs="Times New Roman"/>
                <w:b/>
                <w:bCs/>
                <w:color w:val="000000"/>
                <w:sz w:val="20"/>
                <w:szCs w:val="20"/>
                <w:lang w:val="pt-BR" w:eastAsia="pt-BR"/>
              </w:rPr>
              <w:t xml:space="preserve">Painel B – </w:t>
            </w:r>
            <w:r w:rsidRPr="00DC2517">
              <w:rPr>
                <w:rFonts w:ascii="Times New Roman" w:hAnsi="Times New Roman" w:cs="Times New Roman"/>
                <w:bCs/>
                <w:color w:val="000000"/>
                <w:sz w:val="20"/>
                <w:szCs w:val="20"/>
                <w:lang w:val="pt-BR" w:eastAsia="pt-BR"/>
              </w:rPr>
              <w:t>Remuneração da Diretoria Estaturária</w:t>
            </w:r>
          </w:p>
        </w:tc>
      </w:tr>
      <w:tr w:rsidR="00F35E09" w:rsidRPr="00DC2517" w:rsidTr="005108E6">
        <w:trPr>
          <w:trHeight w:hRule="exact" w:val="227"/>
          <w:jc w:val="center"/>
        </w:trPr>
        <w:tc>
          <w:tcPr>
            <w:tcW w:w="977"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Fixa</w:t>
            </w:r>
          </w:p>
        </w:tc>
        <w:tc>
          <w:tcPr>
            <w:tcW w:w="37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9.090.990</w:t>
            </w:r>
          </w:p>
        </w:tc>
        <w:tc>
          <w:tcPr>
            <w:tcW w:w="438"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372.730.570</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10.395.951</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426.233.995</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10.280.675</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431.788.350</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10.736.049</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461.650.100</w:t>
            </w:r>
          </w:p>
        </w:tc>
        <w:tc>
          <w:tcPr>
            <w:tcW w:w="128"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Salário ou pró-labore</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6.813.127</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279.338.216</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8.025.082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329.028.380</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41</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7.802.700</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327.713.381</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42</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8.065.419</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346.813.027</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Benefícios diretos e indiretos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1.071.501</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38.574.046</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36</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1.078.581</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39.907.510</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37</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1.179.131</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43.627.841</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37</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1.069.588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40.644.350</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38</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Outros valores fixos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1.713.072</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54.818.307</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32</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1.685.238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57.298.104</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1.831.731</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60.447.128</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33</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1.854.818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74.192.722</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40</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Variável</w:t>
            </w:r>
          </w:p>
        </w:tc>
        <w:tc>
          <w:tcPr>
            <w:tcW w:w="376"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12.643.445</w:t>
            </w:r>
          </w:p>
        </w:tc>
        <w:tc>
          <w:tcPr>
            <w:tcW w:w="438"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505.737.816</w:t>
            </w:r>
          </w:p>
        </w:tc>
        <w:tc>
          <w:tcPr>
            <w:tcW w:w="131"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15.903.433</w:t>
            </w:r>
          </w:p>
        </w:tc>
        <w:tc>
          <w:tcPr>
            <w:tcW w:w="496"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636.137.323</w:t>
            </w:r>
          </w:p>
        </w:tc>
        <w:tc>
          <w:tcPr>
            <w:tcW w:w="131"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18.310.730</w:t>
            </w:r>
          </w:p>
        </w:tc>
        <w:tc>
          <w:tcPr>
            <w:tcW w:w="496"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750.739.910</w:t>
            </w:r>
          </w:p>
        </w:tc>
        <w:tc>
          <w:tcPr>
            <w:tcW w:w="131"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15.266.854</w:t>
            </w:r>
          </w:p>
        </w:tc>
        <w:tc>
          <w:tcPr>
            <w:tcW w:w="496"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641.207.889</w:t>
            </w:r>
          </w:p>
        </w:tc>
        <w:tc>
          <w:tcPr>
            <w:tcW w:w="128" w:type="pct"/>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Bônus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7.085.224</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141.704.487</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9.110.089</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209.532.038</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23</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10.148.365</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223.264.033</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8.358.900</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183.895.804</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Participação de resultados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6.579.595</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144.751.094</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7.532.123</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158.174.593</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8.496.825</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161.439.669</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19</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6.295.836</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125.916.714</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Outros valores variáveis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1.540.314</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21.564.399</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1.827.821</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29.245.142</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3.049.102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48.785.633</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4.257.026</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76.626.467</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Benefícios Pós-emprego</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523.698</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7.855.463</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562.788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8.441.825</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15</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506.370</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8.608.290</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581.558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12.212.727</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21</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 Cessação do cargo</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1.419.705</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5.678.821</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13.467.672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26.935.345</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16.672.130</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83.360.649</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9.078.860</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63.552.017</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Rem. Baseada em ações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7.674.315</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184.183.552</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7.548.459</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203.808.381</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27</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8.045.773</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225.281.637</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6.172.557</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179.004.159</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29</w:t>
            </w:r>
          </w:p>
        </w:tc>
      </w:tr>
      <w:tr w:rsidR="00F35E09" w:rsidRPr="00DC2517" w:rsidTr="005108E6">
        <w:trPr>
          <w:trHeight w:hRule="exact" w:val="227"/>
          <w:jc w:val="center"/>
        </w:trPr>
        <w:tc>
          <w:tcPr>
            <w:tcW w:w="977"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Total</w:t>
            </w:r>
          </w:p>
        </w:tc>
        <w:tc>
          <w:tcPr>
            <w:tcW w:w="37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21.426.058</w:t>
            </w:r>
          </w:p>
        </w:tc>
        <w:tc>
          <w:tcPr>
            <w:tcW w:w="438"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878.468.386</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25.911.496</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1.062.371.318</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28.155.435</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1.182.528.261</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25.647.860</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1.102.857.988</w:t>
            </w:r>
          </w:p>
        </w:tc>
        <w:tc>
          <w:tcPr>
            <w:tcW w:w="128"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r>
      <w:tr w:rsidR="00F35E09" w:rsidRPr="00351C7E" w:rsidTr="005108E6">
        <w:trPr>
          <w:trHeight w:hRule="exact" w:val="227"/>
          <w:jc w:val="center"/>
        </w:trPr>
        <w:tc>
          <w:tcPr>
            <w:tcW w:w="5000" w:type="pct"/>
            <w:gridSpan w:val="13"/>
            <w:tcBorders>
              <w:top w:val="single" w:sz="4" w:space="0" w:color="auto"/>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val="pt-BR" w:eastAsia="pt-BR"/>
              </w:rPr>
            </w:pPr>
            <w:r w:rsidRPr="00DC2517">
              <w:rPr>
                <w:rFonts w:ascii="Times New Roman" w:hAnsi="Times New Roman" w:cs="Times New Roman"/>
                <w:b/>
                <w:bCs/>
                <w:color w:val="000000"/>
                <w:sz w:val="20"/>
                <w:szCs w:val="20"/>
                <w:lang w:val="pt-BR" w:eastAsia="pt-BR"/>
              </w:rPr>
              <w:t xml:space="preserve">Painel C – </w:t>
            </w:r>
            <w:r w:rsidRPr="00DC2517">
              <w:rPr>
                <w:rFonts w:ascii="Times New Roman" w:hAnsi="Times New Roman" w:cs="Times New Roman"/>
                <w:bCs/>
                <w:color w:val="000000"/>
                <w:sz w:val="20"/>
                <w:szCs w:val="20"/>
                <w:lang w:val="pt-BR" w:eastAsia="pt-BR"/>
              </w:rPr>
              <w:t>Remuneração do Conselho Fiscal</w:t>
            </w:r>
          </w:p>
        </w:tc>
      </w:tr>
      <w:tr w:rsidR="00F35E09" w:rsidRPr="00DC2517" w:rsidTr="005108E6">
        <w:trPr>
          <w:trHeight w:hRule="exact" w:val="227"/>
          <w:jc w:val="center"/>
        </w:trPr>
        <w:tc>
          <w:tcPr>
            <w:tcW w:w="977"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Remuneração Fixa (Total)</w:t>
            </w:r>
          </w:p>
        </w:tc>
        <w:tc>
          <w:tcPr>
            <w:tcW w:w="37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522.345</w:t>
            </w:r>
          </w:p>
        </w:tc>
        <w:tc>
          <w:tcPr>
            <w:tcW w:w="438"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18.804.424</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570.083</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19.952.903</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628.876</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21.381.793</w:t>
            </w:r>
          </w:p>
        </w:tc>
        <w:tc>
          <w:tcPr>
            <w:tcW w:w="131"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c>
          <w:tcPr>
            <w:tcW w:w="400"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677.130</w:t>
            </w:r>
          </w:p>
        </w:tc>
        <w:tc>
          <w:tcPr>
            <w:tcW w:w="496"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r w:rsidRPr="00DC2517">
              <w:rPr>
                <w:rFonts w:ascii="Times New Roman" w:hAnsi="Times New Roman" w:cs="Times New Roman"/>
                <w:b/>
                <w:bCs/>
                <w:color w:val="000000"/>
                <w:sz w:val="20"/>
                <w:szCs w:val="20"/>
                <w:lang w:eastAsia="pt-BR"/>
              </w:rPr>
              <w:t>23.699.544</w:t>
            </w:r>
          </w:p>
        </w:tc>
        <w:tc>
          <w:tcPr>
            <w:tcW w:w="128" w:type="pct"/>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b/>
                <w:bCs/>
                <w:color w:val="000000"/>
                <w:sz w:val="20"/>
                <w:szCs w:val="20"/>
                <w:lang w:eastAsia="pt-BR"/>
              </w:rPr>
            </w:pP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Salário ou pró-labore</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447.236</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16.100.486</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36</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485.169</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16.980.905</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35</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532.772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18.114.245</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579.018</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20.265.614</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35</w:t>
            </w:r>
          </w:p>
        </w:tc>
      </w:tr>
      <w:tr w:rsidR="00F35E09" w:rsidRPr="00DC2517" w:rsidTr="005108E6">
        <w:trPr>
          <w:trHeight w:hRule="exact" w:val="227"/>
          <w:jc w:val="center"/>
        </w:trPr>
        <w:tc>
          <w:tcPr>
            <w:tcW w:w="977" w:type="pct"/>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Benefícios diretos e indiretos</w:t>
            </w:r>
          </w:p>
        </w:tc>
        <w:tc>
          <w:tcPr>
            <w:tcW w:w="37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62.666</w:t>
            </w:r>
          </w:p>
        </w:tc>
        <w:tc>
          <w:tcPr>
            <w:tcW w:w="43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250.664</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53.265</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372.855</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7</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53.492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267.462</w:t>
            </w:r>
          </w:p>
        </w:tc>
        <w:tc>
          <w:tcPr>
            <w:tcW w:w="131"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5</w:t>
            </w:r>
          </w:p>
        </w:tc>
        <w:tc>
          <w:tcPr>
            <w:tcW w:w="400"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66.202</w:t>
            </w:r>
          </w:p>
        </w:tc>
        <w:tc>
          <w:tcPr>
            <w:tcW w:w="496"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264.807</w:t>
            </w:r>
          </w:p>
        </w:tc>
        <w:tc>
          <w:tcPr>
            <w:tcW w:w="128" w:type="pct"/>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4</w:t>
            </w:r>
          </w:p>
        </w:tc>
      </w:tr>
      <w:tr w:rsidR="00F35E09" w:rsidRPr="00DC2517" w:rsidTr="005108E6">
        <w:trPr>
          <w:trHeight w:hRule="exact" w:val="227"/>
          <w:jc w:val="center"/>
        </w:trPr>
        <w:tc>
          <w:tcPr>
            <w:tcW w:w="977" w:type="pct"/>
            <w:tcBorders>
              <w:bottom w:val="single" w:sz="4" w:space="0" w:color="auto"/>
            </w:tcBorders>
            <w:shd w:val="clear" w:color="auto" w:fill="auto"/>
            <w:noWrap/>
            <w:vAlign w:val="center"/>
            <w:hideMark/>
          </w:tcPr>
          <w:p w:rsidR="00F35E09" w:rsidRPr="00DC2517" w:rsidRDefault="00F35E09" w:rsidP="00567F3A">
            <w:pPr>
              <w:ind w:firstLine="284"/>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Outros valores fixos</w:t>
            </w:r>
          </w:p>
        </w:tc>
        <w:tc>
          <w:tcPr>
            <w:tcW w:w="37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87.617</w:t>
            </w:r>
          </w:p>
        </w:tc>
        <w:tc>
          <w:tcPr>
            <w:tcW w:w="438"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2.453.274</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w:t>
            </w: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99.967</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2.599.143</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26</w:t>
            </w: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107.146</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3.000.087</w:t>
            </w:r>
          </w:p>
        </w:tc>
        <w:tc>
          <w:tcPr>
            <w:tcW w:w="131"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28</w:t>
            </w:r>
          </w:p>
        </w:tc>
        <w:tc>
          <w:tcPr>
            <w:tcW w:w="400"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105.637</w:t>
            </w:r>
          </w:p>
        </w:tc>
        <w:tc>
          <w:tcPr>
            <w:tcW w:w="496"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3.169.124</w:t>
            </w:r>
          </w:p>
        </w:tc>
        <w:tc>
          <w:tcPr>
            <w:tcW w:w="128" w:type="pct"/>
            <w:tcBorders>
              <w:bottom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eastAsia="pt-BR"/>
              </w:rPr>
            </w:pPr>
            <w:r w:rsidRPr="00DC2517">
              <w:rPr>
                <w:rFonts w:ascii="Times New Roman" w:hAnsi="Times New Roman" w:cs="Times New Roman"/>
                <w:color w:val="000000"/>
                <w:sz w:val="20"/>
                <w:szCs w:val="20"/>
                <w:lang w:eastAsia="pt-BR"/>
              </w:rPr>
              <w:t>30</w:t>
            </w:r>
          </w:p>
        </w:tc>
      </w:tr>
      <w:tr w:rsidR="00F35E09" w:rsidRPr="00351C7E" w:rsidTr="005108E6">
        <w:trPr>
          <w:trHeight w:hRule="exact" w:val="227"/>
          <w:jc w:val="center"/>
        </w:trPr>
        <w:tc>
          <w:tcPr>
            <w:tcW w:w="5000" w:type="pct"/>
            <w:gridSpan w:val="13"/>
            <w:tcBorders>
              <w:top w:val="single" w:sz="4" w:space="0" w:color="auto"/>
            </w:tcBorders>
            <w:shd w:val="clear" w:color="auto" w:fill="auto"/>
            <w:noWrap/>
            <w:vAlign w:val="center"/>
            <w:hideMark/>
          </w:tcPr>
          <w:p w:rsidR="00F35E09" w:rsidRPr="00DC2517" w:rsidRDefault="00F35E09"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Fonte: dados da pesquisa.</w:t>
            </w:r>
          </w:p>
          <w:p w:rsidR="00F35E09" w:rsidRPr="00DC2517" w:rsidRDefault="00F35E09"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Nota: Benef. é a abreviação de Benefícios. Rem é a abreviação de remuneração.</w:t>
            </w:r>
          </w:p>
        </w:tc>
      </w:tr>
    </w:tbl>
    <w:p w:rsidR="00F35E09" w:rsidRPr="00C35568" w:rsidRDefault="00F35E09" w:rsidP="00567F3A">
      <w:pPr>
        <w:pStyle w:val="BodyText"/>
        <w:ind w:left="102"/>
        <w:rPr>
          <w:rFonts w:ascii="Times New Roman" w:hAnsi="Times New Roman" w:cs="Times New Roman"/>
          <w:lang w:val="pt-BR"/>
        </w:rPr>
        <w:sectPr w:rsidR="00F35E09" w:rsidRPr="00C35568" w:rsidSect="00375AE7">
          <w:pgSz w:w="16840" w:h="11910" w:orient="landscape"/>
          <w:pgMar w:top="1701" w:right="1134" w:bottom="1134" w:left="1701" w:header="856" w:footer="0" w:gutter="0"/>
          <w:cols w:space="720"/>
          <w:docGrid w:linePitch="299"/>
        </w:sectPr>
      </w:pPr>
    </w:p>
    <w:tbl>
      <w:tblPr>
        <w:tblW w:w="5000" w:type="pct"/>
        <w:tblCellMar>
          <w:left w:w="70" w:type="dxa"/>
          <w:right w:w="70" w:type="dxa"/>
        </w:tblCellMar>
        <w:tblLook w:val="04A0" w:firstRow="1" w:lastRow="0" w:firstColumn="1" w:lastColumn="0" w:noHBand="0" w:noVBand="1"/>
      </w:tblPr>
      <w:tblGrid>
        <w:gridCol w:w="1489"/>
        <w:gridCol w:w="896"/>
        <w:gridCol w:w="955"/>
        <w:gridCol w:w="955"/>
        <w:gridCol w:w="955"/>
        <w:gridCol w:w="955"/>
        <w:gridCol w:w="855"/>
        <w:gridCol w:w="955"/>
        <w:gridCol w:w="955"/>
        <w:gridCol w:w="955"/>
        <w:gridCol w:w="955"/>
        <w:gridCol w:w="955"/>
        <w:gridCol w:w="955"/>
        <w:gridCol w:w="955"/>
        <w:gridCol w:w="400"/>
      </w:tblGrid>
      <w:tr w:rsidR="0068141E" w:rsidRPr="00351C7E" w:rsidTr="005108E6">
        <w:trPr>
          <w:trHeight w:hRule="exact" w:val="283"/>
        </w:trPr>
        <w:tc>
          <w:tcPr>
            <w:tcW w:w="5000" w:type="pct"/>
            <w:gridSpan w:val="15"/>
            <w:tcBorders>
              <w:bottom w:val="single" w:sz="4" w:space="0" w:color="auto"/>
            </w:tcBorders>
            <w:shd w:val="clear" w:color="auto" w:fill="auto"/>
            <w:noWrap/>
            <w:vAlign w:val="bottom"/>
            <w:hideMark/>
          </w:tcPr>
          <w:p w:rsidR="0068141E" w:rsidRPr="00FB1354" w:rsidRDefault="0068141E" w:rsidP="00FB1354">
            <w:pPr>
              <w:jc w:val="center"/>
              <w:rPr>
                <w:rFonts w:ascii="Times New Roman" w:hAnsi="Times New Roman" w:cs="Times New Roman"/>
                <w:b/>
                <w:color w:val="000000"/>
                <w:sz w:val="20"/>
                <w:szCs w:val="20"/>
                <w:lang w:val="pt-BR" w:eastAsia="pt-BR"/>
              </w:rPr>
            </w:pPr>
            <w:r w:rsidRPr="00FB1354">
              <w:rPr>
                <w:rFonts w:ascii="Times New Roman" w:hAnsi="Times New Roman" w:cs="Times New Roman"/>
                <w:b/>
                <w:color w:val="000000"/>
                <w:sz w:val="20"/>
                <w:szCs w:val="20"/>
                <w:lang w:val="pt-BR" w:eastAsia="pt-BR"/>
              </w:rPr>
              <w:lastRenderedPageBreak/>
              <w:t xml:space="preserve">Tabela </w:t>
            </w:r>
            <w:r w:rsidR="00D613A3" w:rsidRPr="00FB1354">
              <w:rPr>
                <w:rFonts w:ascii="Times New Roman" w:hAnsi="Times New Roman" w:cs="Times New Roman"/>
                <w:b/>
                <w:color w:val="000000"/>
                <w:sz w:val="20"/>
                <w:szCs w:val="20"/>
                <w:lang w:val="pt-BR" w:eastAsia="pt-BR"/>
              </w:rPr>
              <w:t>6</w:t>
            </w:r>
            <w:r w:rsidRPr="00FB1354">
              <w:rPr>
                <w:rFonts w:ascii="Times New Roman" w:hAnsi="Times New Roman" w:cs="Times New Roman"/>
                <w:b/>
                <w:color w:val="000000"/>
                <w:sz w:val="20"/>
                <w:szCs w:val="20"/>
                <w:lang w:val="pt-BR" w:eastAsia="pt-BR"/>
              </w:rPr>
              <w:t xml:space="preserve"> – Correlação de Pearson e Spearman</w:t>
            </w:r>
          </w:p>
        </w:tc>
      </w:tr>
      <w:tr w:rsidR="00D03B66" w:rsidRPr="00DC2517" w:rsidTr="005108E6">
        <w:trPr>
          <w:trHeight w:hRule="exact" w:val="283"/>
        </w:trPr>
        <w:tc>
          <w:tcPr>
            <w:tcW w:w="545" w:type="pct"/>
            <w:tcBorders>
              <w:top w:val="single" w:sz="4" w:space="0" w:color="auto"/>
            </w:tcBorders>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2</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3</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4</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5</w:t>
            </w:r>
          </w:p>
        </w:tc>
        <w:tc>
          <w:tcPr>
            <w:tcW w:w="299"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6</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7</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8</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9</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10</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11</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12</w:t>
            </w:r>
          </w:p>
        </w:tc>
        <w:tc>
          <w:tcPr>
            <w:tcW w:w="338"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13</w:t>
            </w:r>
          </w:p>
        </w:tc>
        <w:tc>
          <w:tcPr>
            <w:tcW w:w="123" w:type="pct"/>
            <w:tcBorders>
              <w:top w:val="single" w:sz="4" w:space="0" w:color="auto"/>
              <w:bottom w:val="single" w:sz="4" w:space="0" w:color="auto"/>
            </w:tcBorders>
            <w:shd w:val="clear" w:color="auto" w:fill="auto"/>
            <w:noWrap/>
            <w:vAlign w:val="bottom"/>
            <w:hideMark/>
          </w:tcPr>
          <w:p w:rsidR="0068141E" w:rsidRPr="00DC2517" w:rsidRDefault="0068141E" w:rsidP="00567F3A">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14</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1.lnTot</w:t>
            </w:r>
            <w:r w:rsidR="00EC38A8" w:rsidRPr="00DC2517">
              <w:rPr>
                <w:rFonts w:ascii="Times New Roman" w:hAnsi="Times New Roman" w:cs="Times New Roman"/>
                <w:color w:val="000000"/>
                <w:sz w:val="20"/>
                <w:szCs w:val="20"/>
                <w:lang w:val="pt-BR" w:eastAsia="pt-BR"/>
              </w:rPr>
              <w:t>al</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0,698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0,838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0,454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0,467</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0,219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-0,472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-0,001</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0,692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0,958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0,989</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2.lnFixa</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0,843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0,507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0,598</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0,350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0,485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0,211</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0,832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0,576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0,685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0,033**</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3.lnVariável</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0,869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0,641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0,225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0,341</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-0,449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0,268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0,074</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0,554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0,195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0,754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0,918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0,458</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4.lnAções</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0,451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-0,295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0,323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-0,096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-0,187</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0,830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0,419</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0,841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0,543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0,337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0,560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0,059*</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5</w:t>
            </w:r>
            <w:r w:rsidR="0068141E" w:rsidRPr="00DC2517">
              <w:rPr>
                <w:rFonts w:ascii="Times New Roman" w:hAnsi="Times New Roman" w:cs="Times New Roman"/>
                <w:color w:val="000000"/>
                <w:sz w:val="20"/>
                <w:szCs w:val="20"/>
                <w:lang w:val="pt-BR" w:eastAsia="pt-BR"/>
              </w:rPr>
              <w:t>.Membros</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0,352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0,407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-0,364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0,437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0,124</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0,994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0,261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0,212</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6</w:t>
            </w:r>
            <w:r w:rsidR="0068141E" w:rsidRPr="00DC2517">
              <w:rPr>
                <w:rFonts w:ascii="Times New Roman" w:hAnsi="Times New Roman" w:cs="Times New Roman"/>
                <w:color w:val="000000"/>
                <w:sz w:val="20"/>
                <w:szCs w:val="20"/>
                <w:lang w:val="pt-BR" w:eastAsia="pt-BR"/>
              </w:rPr>
              <w:t>.Instrução</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-0,213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-0,161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-0,147</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-0,230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0,315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-0,057</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0,809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0,055*</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0,759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0,544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0,568</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7</w:t>
            </w:r>
            <w:r w:rsidR="0068141E" w:rsidRPr="00DC2517">
              <w:rPr>
                <w:rFonts w:ascii="Times New Roman" w:hAnsi="Times New Roman" w:cs="Times New Roman"/>
                <w:color w:val="000000"/>
                <w:sz w:val="20"/>
                <w:szCs w:val="20"/>
                <w:lang w:val="pt-BR" w:eastAsia="pt-BR"/>
              </w:rPr>
              <w:t>.Mulheres</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0,317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0,552</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-0,016</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0,731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0,476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0,192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0,852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0,578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0,391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0,873</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8</w:t>
            </w:r>
            <w:r w:rsidR="0068141E" w:rsidRPr="00DC2517">
              <w:rPr>
                <w:rFonts w:ascii="Times New Roman" w:hAnsi="Times New Roman" w:cs="Times New Roman"/>
                <w:color w:val="000000"/>
                <w:sz w:val="20"/>
                <w:szCs w:val="20"/>
                <w:lang w:val="pt-BR" w:eastAsia="pt-BR"/>
              </w:rPr>
              <w:t>.d.Dual</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-0,293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-0,379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-0,220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-0,286</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-0,307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-0,202</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0,446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0,714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0,254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0,041**</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9</w:t>
            </w:r>
            <w:r w:rsidR="0068141E" w:rsidRPr="00DC2517">
              <w:rPr>
                <w:rFonts w:ascii="Times New Roman" w:hAnsi="Times New Roman" w:cs="Times New Roman"/>
                <w:color w:val="000000"/>
                <w:sz w:val="20"/>
                <w:szCs w:val="20"/>
                <w:lang w:val="pt-BR" w:eastAsia="pt-BR"/>
              </w:rPr>
              <w:t>.d.Eleito</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-0,245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0,597</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0,319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-0,301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0,235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0,209</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0,493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0,633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0,935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0,491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0,358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0,035**</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10</w:t>
            </w:r>
            <w:r w:rsidR="0068141E" w:rsidRPr="00DC2517">
              <w:rPr>
                <w:rFonts w:ascii="Times New Roman" w:hAnsi="Times New Roman" w:cs="Times New Roman"/>
                <w:color w:val="000000"/>
                <w:sz w:val="20"/>
                <w:szCs w:val="20"/>
                <w:lang w:val="pt-BR" w:eastAsia="pt-BR"/>
              </w:rPr>
              <w:t>.Roa</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0,193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0,106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0,155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0,405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0,004</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-0,031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-0,537</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0,962</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0,792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0,336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0,856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0,759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11</w:t>
            </w:r>
            <w:r w:rsidR="0068141E" w:rsidRPr="00DC2517">
              <w:rPr>
                <w:rFonts w:ascii="Times New Roman" w:hAnsi="Times New Roman" w:cs="Times New Roman"/>
                <w:color w:val="000000"/>
                <w:sz w:val="20"/>
                <w:szCs w:val="20"/>
                <w:lang w:val="pt-BR" w:eastAsia="pt-BR"/>
              </w:rPr>
              <w:t>.Sroa</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-0,104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0,073</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0,104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-0,277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-0,415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0,176</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0,243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0,345</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0,524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0,076*</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12</w:t>
            </w:r>
            <w:r w:rsidR="0068141E" w:rsidRPr="00DC2517">
              <w:rPr>
                <w:rFonts w:ascii="Times New Roman" w:hAnsi="Times New Roman" w:cs="Times New Roman"/>
                <w:color w:val="000000"/>
                <w:sz w:val="20"/>
                <w:szCs w:val="20"/>
                <w:lang w:val="pt-BR" w:eastAsia="pt-BR"/>
              </w:rPr>
              <w:t>.lnCresc</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0,326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0,401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0,164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0,348</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0,098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0,056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0,235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0,121</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0,095*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0,466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0,269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0,225</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13</w:t>
            </w:r>
            <w:r w:rsidR="0068141E" w:rsidRPr="00DC2517">
              <w:rPr>
                <w:rFonts w:ascii="Times New Roman" w:hAnsi="Times New Roman" w:cs="Times New Roman"/>
                <w:color w:val="000000"/>
                <w:sz w:val="20"/>
                <w:szCs w:val="20"/>
                <w:lang w:val="pt-BR" w:eastAsia="pt-BR"/>
              </w:rPr>
              <w:t>.Q</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0,141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0,207</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0,134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0,188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-0,043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0,272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-0,346</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0,074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0,952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0,067*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0,962</w:t>
            </w:r>
          </w:p>
        </w:tc>
        <w:tc>
          <w:tcPr>
            <w:tcW w:w="338" w:type="pct"/>
            <w:shd w:val="clear" w:color="auto" w:fill="auto"/>
            <w:noWrap/>
            <w:vAlign w:val="bottom"/>
            <w:hideMark/>
          </w:tcPr>
          <w:p w:rsidR="0068141E" w:rsidRPr="00DC2517" w:rsidRDefault="0068141E" w:rsidP="009C5CD2">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0,239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0,007***</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0,014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0,578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0,335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0,104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r>
      <w:tr w:rsidR="00D03B66" w:rsidRPr="00DC2517" w:rsidTr="005108E6">
        <w:trPr>
          <w:trHeight w:hRule="exact" w:val="283"/>
        </w:trPr>
        <w:tc>
          <w:tcPr>
            <w:tcW w:w="545" w:type="pct"/>
            <w:shd w:val="clear" w:color="auto" w:fill="auto"/>
            <w:noWrap/>
            <w:vAlign w:val="bottom"/>
            <w:hideMark/>
          </w:tcPr>
          <w:p w:rsidR="0068141E" w:rsidRPr="00DC2517" w:rsidRDefault="004239CF"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14</w:t>
            </w:r>
            <w:r w:rsidR="0068141E" w:rsidRPr="00DC2517">
              <w:rPr>
                <w:rFonts w:ascii="Times New Roman" w:hAnsi="Times New Roman" w:cs="Times New Roman"/>
                <w:color w:val="000000"/>
                <w:sz w:val="20"/>
                <w:szCs w:val="20"/>
                <w:lang w:val="pt-BR" w:eastAsia="pt-BR"/>
              </w:rPr>
              <w:t>.d.Identidade</w:t>
            </w: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-0,358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-0,489</w:t>
            </w:r>
          </w:p>
        </w:tc>
        <w:tc>
          <w:tcPr>
            <w:tcW w:w="338" w:type="pct"/>
            <w:shd w:val="clear" w:color="auto" w:fill="auto"/>
            <w:noWrap/>
            <w:vAlign w:val="bottom"/>
            <w:hideMark/>
          </w:tcPr>
          <w:p w:rsidR="0068141E" w:rsidRPr="00DC2517" w:rsidRDefault="0068141E" w:rsidP="009C5CD2">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0,203</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0,228</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0,093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-0,081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0,177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0,218</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r>
      <w:tr w:rsidR="00D03B66" w:rsidRPr="00DC2517" w:rsidTr="005108E6">
        <w:trPr>
          <w:trHeight w:hRule="exact" w:val="283"/>
        </w:trPr>
        <w:tc>
          <w:tcPr>
            <w:tcW w:w="54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c>
          <w:tcPr>
            <w:tcW w:w="315"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0,129</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0,000***</w:t>
            </w:r>
          </w:p>
        </w:tc>
        <w:tc>
          <w:tcPr>
            <w:tcW w:w="338" w:type="pct"/>
            <w:shd w:val="clear" w:color="auto" w:fill="auto"/>
            <w:noWrap/>
            <w:vAlign w:val="bottom"/>
            <w:hideMark/>
          </w:tcPr>
          <w:p w:rsidR="0068141E" w:rsidRPr="00DC2517" w:rsidRDefault="0068141E" w:rsidP="009C5CD2">
            <w:pPr>
              <w:jc w:val="cente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0,008***</w:t>
            </w:r>
          </w:p>
        </w:tc>
        <w:tc>
          <w:tcPr>
            <w:tcW w:w="299"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0,003</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0,117</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0,004***</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0,230</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0,292</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0,775</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0,021**</w:t>
            </w:r>
          </w:p>
        </w:tc>
        <w:tc>
          <w:tcPr>
            <w:tcW w:w="338"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0,004***</w:t>
            </w:r>
          </w:p>
        </w:tc>
        <w:tc>
          <w:tcPr>
            <w:tcW w:w="123" w:type="pct"/>
            <w:shd w:val="clear" w:color="auto" w:fill="auto"/>
            <w:noWrap/>
            <w:vAlign w:val="bottom"/>
            <w:hideMark/>
          </w:tcPr>
          <w:p w:rsidR="0068141E" w:rsidRPr="00DC2517" w:rsidRDefault="0068141E" w:rsidP="00567F3A">
            <w:pPr>
              <w:rPr>
                <w:rFonts w:ascii="Times New Roman" w:hAnsi="Times New Roman" w:cs="Times New Roman"/>
                <w:color w:val="000000"/>
                <w:sz w:val="20"/>
                <w:szCs w:val="20"/>
                <w:lang w:val="pt-BR" w:eastAsia="pt-BR"/>
              </w:rPr>
            </w:pPr>
          </w:p>
        </w:tc>
      </w:tr>
      <w:tr w:rsidR="0068141E" w:rsidRPr="00351C7E" w:rsidTr="005108E6">
        <w:trPr>
          <w:trHeight w:hRule="exact" w:val="283"/>
        </w:trPr>
        <w:tc>
          <w:tcPr>
            <w:tcW w:w="5000" w:type="pct"/>
            <w:gridSpan w:val="15"/>
            <w:shd w:val="clear" w:color="auto" w:fill="auto"/>
            <w:noWrap/>
            <w:vAlign w:val="bottom"/>
            <w:hideMark/>
          </w:tcPr>
          <w:p w:rsidR="0068141E" w:rsidRPr="00DC2517" w:rsidRDefault="0068141E" w:rsidP="00567F3A">
            <w:pPr>
              <w:pBdr>
                <w:top w:val="single" w:sz="4" w:space="1" w:color="auto"/>
              </w:pBdr>
              <w:jc w:val="both"/>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Fonte: elaboração com os dados da pesquisa.</w:t>
            </w:r>
          </w:p>
          <w:p w:rsidR="006A096B" w:rsidRPr="00DC2517" w:rsidRDefault="0068141E" w:rsidP="009C5CD2">
            <w:pPr>
              <w:jc w:val="both"/>
              <w:rPr>
                <w:rFonts w:ascii="Times New Roman" w:hAnsi="Times New Roman" w:cs="Times New Roman"/>
                <w:color w:val="000000"/>
                <w:sz w:val="20"/>
                <w:szCs w:val="20"/>
                <w:lang w:val="pt-BR" w:eastAsia="pt-BR"/>
              </w:rPr>
            </w:pPr>
            <w:r w:rsidRPr="00DC2517">
              <w:rPr>
                <w:rFonts w:ascii="Times New Roman" w:hAnsi="Times New Roman" w:cs="Times New Roman"/>
                <w:color w:val="000000"/>
                <w:sz w:val="20"/>
                <w:szCs w:val="20"/>
                <w:lang w:val="pt-BR" w:eastAsia="pt-BR"/>
              </w:rPr>
              <w:t xml:space="preserve">Nota: </w:t>
            </w:r>
            <w:r w:rsidR="009C5CD2" w:rsidRPr="00DC2517">
              <w:rPr>
                <w:rFonts w:ascii="Times New Roman" w:hAnsi="Times New Roman" w:cs="Times New Roman"/>
                <w:sz w:val="20"/>
                <w:szCs w:val="20"/>
                <w:lang w:val="pt-BR"/>
              </w:rPr>
              <w:t xml:space="preserve">*, **, *** indica a significância estatística nos níveis de 0,10, 0,05 e 0,01, respectivamente. </w:t>
            </w:r>
            <w:r w:rsidRPr="00DC2517">
              <w:rPr>
                <w:rFonts w:ascii="Times New Roman" w:hAnsi="Times New Roman" w:cs="Times New Roman"/>
                <w:color w:val="000000"/>
                <w:sz w:val="20"/>
                <w:szCs w:val="20"/>
                <w:lang w:val="pt-BR" w:eastAsia="pt-BR"/>
              </w:rPr>
              <w:t xml:space="preserve">Variáveis definidas </w:t>
            </w:r>
            <w:r w:rsidR="00D03B66" w:rsidRPr="00DC2517">
              <w:rPr>
                <w:rFonts w:ascii="Times New Roman" w:hAnsi="Times New Roman" w:cs="Times New Roman"/>
                <w:color w:val="000000"/>
                <w:sz w:val="20"/>
                <w:szCs w:val="20"/>
                <w:lang w:val="pt-BR" w:eastAsia="pt-BR"/>
              </w:rPr>
              <w:t>na seção 3.2.  O</w:t>
            </w:r>
            <w:r w:rsidRPr="00DC2517">
              <w:rPr>
                <w:rFonts w:ascii="Times New Roman" w:hAnsi="Times New Roman" w:cs="Times New Roman"/>
                <w:color w:val="000000"/>
                <w:sz w:val="20"/>
                <w:szCs w:val="20"/>
                <w:lang w:val="pt-BR" w:eastAsia="pt-BR"/>
              </w:rPr>
              <w:t xml:space="preserve">s coeficientes e </w:t>
            </w:r>
            <w:r w:rsidRPr="00DC2517">
              <w:rPr>
                <w:rFonts w:ascii="Times New Roman" w:hAnsi="Times New Roman" w:cs="Times New Roman"/>
                <w:i/>
                <w:color w:val="000000"/>
                <w:sz w:val="20"/>
                <w:szCs w:val="20"/>
                <w:lang w:val="pt-BR" w:eastAsia="pt-BR"/>
              </w:rPr>
              <w:t>p-value</w:t>
            </w:r>
            <w:r w:rsidRPr="00DC2517">
              <w:rPr>
                <w:rFonts w:ascii="Times New Roman" w:hAnsi="Times New Roman" w:cs="Times New Roman"/>
                <w:color w:val="000000"/>
                <w:sz w:val="20"/>
                <w:szCs w:val="20"/>
                <w:lang w:val="pt-BR" w:eastAsia="pt-BR"/>
              </w:rPr>
              <w:t xml:space="preserve"> da correlação de Pearson e Spearman </w:t>
            </w:r>
            <w:r w:rsidR="00D03B66" w:rsidRPr="00DC2517">
              <w:rPr>
                <w:rFonts w:ascii="Times New Roman" w:hAnsi="Times New Roman" w:cs="Times New Roman"/>
                <w:color w:val="000000"/>
                <w:sz w:val="20"/>
                <w:szCs w:val="20"/>
                <w:lang w:val="pt-BR" w:eastAsia="pt-BR"/>
              </w:rPr>
              <w:t xml:space="preserve">são apresentados </w:t>
            </w:r>
            <w:r w:rsidRPr="00DC2517">
              <w:rPr>
                <w:rFonts w:ascii="Times New Roman" w:hAnsi="Times New Roman" w:cs="Times New Roman"/>
                <w:color w:val="000000"/>
                <w:sz w:val="20"/>
                <w:szCs w:val="20"/>
                <w:lang w:val="pt-BR" w:eastAsia="pt-BR"/>
              </w:rPr>
              <w:t>na diagonal inferior e superior, respectivamente.</w:t>
            </w:r>
            <w:r w:rsidR="00D03B66" w:rsidRPr="00DC2517">
              <w:rPr>
                <w:rFonts w:ascii="Times New Roman" w:hAnsi="Times New Roman" w:cs="Times New Roman"/>
                <w:color w:val="000000"/>
                <w:sz w:val="20"/>
                <w:szCs w:val="20"/>
                <w:lang w:val="pt-BR" w:eastAsia="pt-BR"/>
              </w:rPr>
              <w:t xml:space="preserve"> A variável d.Identidade foi omitida na correlação de Spearman por apresentar alta correlação.Também observa-se que pela correlação de Pearson a mesma foi suprimida quando correlacionada com a medida de remuneração baseada em ações.  Não obstante, optou-se por manter a mesma nos modelos, devido os baixos valores dos coeficientes para a correlação da identidade do controlador com as demais variáveis de remuneração, como observado pela matriz de Pearson.</w:t>
            </w:r>
          </w:p>
        </w:tc>
      </w:tr>
    </w:tbl>
    <w:p w:rsidR="0068141E" w:rsidRPr="00C35568" w:rsidRDefault="0068141E" w:rsidP="00567F3A">
      <w:pPr>
        <w:pStyle w:val="BodyText"/>
        <w:ind w:right="109"/>
        <w:jc w:val="both"/>
        <w:rPr>
          <w:rFonts w:ascii="Times New Roman" w:hAnsi="Times New Roman" w:cs="Times New Roman"/>
          <w:b/>
          <w:color w:val="000000"/>
          <w:lang w:val="pt-BR" w:eastAsia="pt-BR"/>
        </w:rPr>
        <w:sectPr w:rsidR="0068141E" w:rsidRPr="00C35568" w:rsidSect="00375AE7">
          <w:pgSz w:w="16840" w:h="11910" w:orient="landscape"/>
          <w:pgMar w:top="1701" w:right="1134" w:bottom="1134" w:left="1701" w:header="856" w:footer="0" w:gutter="0"/>
          <w:cols w:space="720"/>
          <w:docGrid w:linePitch="299"/>
        </w:sectPr>
      </w:pPr>
    </w:p>
    <w:p w:rsidR="00D613A3" w:rsidRPr="00C35568" w:rsidRDefault="00D613A3"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 xml:space="preserve">Na Tabela 6 são apresentados os resultados da correlação de Pearson, no eixo inferior, e de Spearman, no eixo superior. Analisando as variáveis de interesse é possível verificar uma relação significativa e positiva do total de executivos e a remuneração total, fixa e variável. Esta relação sugere aumento da remuneração quando os órgãos administrativos são mais elásticos. Contrário ao encontrado na pesquisa de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"ITEM-1",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"(LAM; MCGUINNESS; VIEITO, 2013)", "manualFormatting" : "Lam et al. (2013)", "plainTextFormattedCitation" : "(LAM; MCGUINNESS; VIEITO, 2013)", "previouslyFormattedCitation" : "(LAM; MCGUINNESS; VIEITO, 2013)"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 xml:space="preserve">Lam </w:t>
      </w:r>
      <w:r w:rsidR="00C70C2A" w:rsidRPr="005108E6">
        <w:rPr>
          <w:rFonts w:ascii="Times New Roman" w:hAnsi="Times New Roman" w:cs="Times New Roman"/>
          <w:i/>
          <w:noProof/>
          <w:lang w:val="pt-BR"/>
        </w:rPr>
        <w:t>et al</w:t>
      </w:r>
      <w:r w:rsidR="00C70C2A" w:rsidRPr="00C35568">
        <w:rPr>
          <w:rFonts w:ascii="Times New Roman" w:hAnsi="Times New Roman" w:cs="Times New Roman"/>
          <w:noProof/>
          <w:lang w:val="pt-BR"/>
        </w:rPr>
        <w:t>. (2013)</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o grau de instrução apresenta relação negativa com a remuneração total, fixa e variável. Para presença de mulheres nos conselhos é evidenciado uma relação positiva e significativa com a remuneração total e fixa. Este achado sugere que a presença de mulheres torna os planos de remuneração mais conservadores. A dualidade apresenta relação negativa com a remuneração total, fixa, variável e baseada em ações. Estas evidências indicam que o CEO como presidente do conselho reduz a remuneração dos executivos. A falta de independência dos executivos, capturada pela variável d.Eleito, está positivamente relacionada com a remuneração fixa e negativamente com a remuneração baseado em ações. </w:t>
      </w:r>
    </w:p>
    <w:p w:rsidR="00D613A3" w:rsidRPr="00C35568" w:rsidRDefault="00D613A3"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Analisando as variáveis de controle, as medidas de rentabilidade Roa, lnCresc e Q apresentam relação positiva com os tipos de remuneração. Isto indica que a remuneração executiva no geral é impactada pelo desempenho da empresa. Já a variável de controle d.Identidade está negativamente relacionada com a remuneração total e variável. </w:t>
      </w:r>
    </w:p>
    <w:p w:rsidR="00D613A3" w:rsidRPr="00C35568" w:rsidRDefault="00D613A3"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No geral, os coeficientes das correlações entre as variáveis dependentes e as variáveis independentes estão em parâmetros aceitáveis (menor do que 0,8 conforme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"Gujarati", "given" : "Damodar N.", "non-dropping-particle" : "", "parse-names" : false, "suffix" : "" }, { "dropping-particle" : "", "family" : "Porter", "given" : "Dawn C.", "non-dropping-particle" : "", "parse-names" : false, "suffix" : "" } ], "edition" : "5", "editor" : [ { "dropping-particle" : "", "family" : "AMGH", "given" : "", "non-dropping-particle" : "", "parse-names" : false, "suffix" : "" } ], "id" : "ITEM-1", "issued" : { "date-parts" : [ [ "2011" ] ] }, "number-of-pages" : "918", "title" : "Econometria B\u00e1sica", "type" : "book" }, "uris" : [ "http://www.mendeley.com/documents/?uuid=faa9d1c8-7789-4e75-92fb-a2b46d89218e" ] } ], "mendeley" : { "formattedCitation" : "(GUJARATI; PORTER, 2011)", "manualFormatting" : "Gujarati e Porter  (2011)", "plainTextFormattedCitation" : "(GUJARATI; PORTER, 2011)", "previouslyFormattedCitation" : "(GUJARATI; PORTER, 2011)"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Gujarati e Porter  (2011)</w:t>
      </w:r>
      <w:r w:rsidR="00C70C2A" w:rsidRPr="00C35568">
        <w:rPr>
          <w:rStyle w:val="FootnoteReference"/>
          <w:rFonts w:ascii="Times New Roman" w:hAnsi="Times New Roman" w:cs="Times New Roman"/>
          <w:lang w:val="pt-BR"/>
        </w:rPr>
        <w:fldChar w:fldCharType="end"/>
      </w:r>
      <w:r w:rsidR="00C70C2A" w:rsidRPr="00C35568">
        <w:rPr>
          <w:rStyle w:val="FootnoteReference"/>
          <w:rFonts w:ascii="Times New Roman" w:hAnsi="Times New Roman" w:cs="Times New Roman"/>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"Gujarati", "given" : "Damodar N.", "non-dropping-particle" : "", "parse-names" : false, "suffix" : "" }, { "dropping-particle" : "", "family" : "Porter", "given" : "Dawn C.", "non-dropping-particle" : "", "parse-names" : false, "suffix" : "" } ], "edition" : "5", "editor" : [ { "dropping-particle" : "", "family" : "AMGH", "given" : "", "non-dropping-particle" : "", "parse-names" : false, "suffix" : "" } ], "id" : "ITEM-1", "issued" : { "date-parts" : [ [ "2011" ] ] }, "number-of-pages" : "918", "title" : "Econometria B\u00e1sica", "type" : "book" }, "uris" : [ "http://www.mendeley.com/documents/?uuid=faa9d1c8-7789-4e75-92fb-a2b46d89218e" ] } ], "mendeley" : { "formattedCitation" : "(GUJARATI; PORTER, 2011)", "manualFormatting" : ")", "plainTextFormattedCitation" : "(GUJARATI; PORTER, 2011)", "previouslyFormattedCitation" : "(GUJARATI; PORTER, 2011)" }, "properties" : {  }, "schema" : "https://github.com/citation-style-language/schema/raw/master/csl-citation.json" }</w:instrText>
      </w:r>
      <w:r w:rsidR="00C70C2A" w:rsidRPr="00C35568">
        <w:rPr>
          <w:rStyle w:val="FootnoteReference"/>
          <w:rFonts w:ascii="Times New Roman" w:hAnsi="Times New Roman" w:cs="Times New Roman"/>
        </w:rPr>
        <w:fldChar w:fldCharType="separate"/>
      </w:r>
      <w:r w:rsidR="00C70C2A" w:rsidRPr="00C35568">
        <w:rPr>
          <w:rStyle w:val="FootnoteReference"/>
          <w:rFonts w:ascii="Times New Roman" w:hAnsi="Times New Roman" w:cs="Times New Roman"/>
          <w:noProof/>
          <w:lang w:val="pt-BR"/>
        </w:rPr>
        <w:t>)</w:t>
      </w:r>
      <w:r w:rsidR="00C70C2A" w:rsidRPr="00C35568">
        <w:rPr>
          <w:rStyle w:val="FootnoteReference"/>
          <w:rFonts w:ascii="Times New Roman" w:hAnsi="Times New Roman" w:cs="Times New Roman"/>
        </w:rPr>
        <w:fldChar w:fldCharType="end"/>
      </w:r>
      <w:r w:rsidRPr="00C35568">
        <w:rPr>
          <w:rFonts w:ascii="Times New Roman" w:hAnsi="Times New Roman" w:cs="Times New Roman"/>
          <w:lang w:val="pt-BR"/>
        </w:rPr>
        <w:t>. Os coeficientes também não são considerados altos quando comparadas as relações entre as variáveis independentes. Isto sugere a inexistência de problemas de multicolinearidade dos dados.</w:t>
      </w:r>
    </w:p>
    <w:p w:rsidR="005C15B1" w:rsidRPr="00C35568" w:rsidRDefault="005C15B1"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Os resultados da parte descritiva da pesquisa são comparáveis com os estudos internacionais.</w:t>
      </w:r>
      <w:r w:rsidR="00AB7DD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"10.1016/0304-405X(95)00829-4", "ISBN" : "0304-405X", "ISSN" : "0304-405X", "abstract" : "This paper analyzes stock option awards to CEOs of 792 U.S. public\\ncorporations between 1984 and 1991. Using a Black-Scholes approach, I\\ntest whether stock options' performance incentives have significant\\nassociations with explanatory variables related to agency cost\\nreduction. Further tests examine whether the mix of compensation between\\nstock options and cash pay can be explained by corporate liquidity, tax\\nstatus, or earnings management. Results indicate that few agency or\\nfinancial contracting theories have explanatory power for patterns of\\nCEO stock option awards.", "author" : [ { "dropping-particle" : "", "family" : "Yermack", "given" : "David", "non-dropping-particle" : "", "parse-names" : false, "suffix" : "" } ], "container-title" : "Journal of Financial Economics", "id" : "ITEM-1", "issue" : "2-3", "issued" : { "date-parts" : [ [ "1995" ] ] }, "page" : "237-269", "title" : "Do Corporations Award Ceo Stock-Options Effectively", "type" : "article-journal", "volume" : "39" }, "uris" : [ "http://www.mendeley.com/documents/?uuid=bc941579-aad2-4053-9602-03bbf8c0c93b" ] } ], "mendeley" : { "formattedCitation" : "(YERMACK, 1995)", "manualFormatting" : "Yermack (1995)", "plainTextFormattedCitation" : "(YERMACK, 1995)", "previouslyFormattedCitation" : "(YERMACK, 1995)"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Yermack (1995)</w:t>
      </w:r>
      <w:r w:rsidR="00C70C2A" w:rsidRPr="00C35568">
        <w:rPr>
          <w:rStyle w:val="FootnoteReference"/>
          <w:rFonts w:ascii="Times New Roman" w:hAnsi="Times New Roman" w:cs="Times New Roman"/>
          <w:lang w:val="pt-BR"/>
        </w:rPr>
        <w:fldChar w:fldCharType="end"/>
      </w:r>
      <w:r w:rsidR="00414AA4" w:rsidRPr="00C35568">
        <w:rPr>
          <w:rFonts w:ascii="Times New Roman" w:hAnsi="Times New Roman" w:cs="Times New Roman"/>
          <w:lang w:val="pt-BR"/>
        </w:rPr>
        <w:t xml:space="preserve">, com base em uma amostra composta pelas 792 maiores empresas </w:t>
      </w:r>
      <w:r w:rsidR="00256E5D" w:rsidRPr="00C35568">
        <w:rPr>
          <w:rFonts w:ascii="Times New Roman" w:hAnsi="Times New Roman" w:cs="Times New Roman"/>
          <w:lang w:val="pt-BR"/>
        </w:rPr>
        <w:t xml:space="preserve">norte </w:t>
      </w:r>
      <w:r w:rsidR="00414AA4" w:rsidRPr="00C35568">
        <w:rPr>
          <w:rFonts w:ascii="Times New Roman" w:hAnsi="Times New Roman" w:cs="Times New Roman"/>
          <w:lang w:val="pt-BR"/>
        </w:rPr>
        <w:t xml:space="preserve">americanas, </w:t>
      </w:r>
      <w:r w:rsidR="00256E5D" w:rsidRPr="00C35568">
        <w:rPr>
          <w:rFonts w:ascii="Times New Roman" w:hAnsi="Times New Roman" w:cs="Times New Roman"/>
          <w:lang w:val="pt-BR"/>
        </w:rPr>
        <w:t xml:space="preserve">evidenciou que </w:t>
      </w:r>
      <w:r w:rsidRPr="00C35568">
        <w:rPr>
          <w:rFonts w:ascii="Times New Roman" w:hAnsi="Times New Roman" w:cs="Times New Roman"/>
          <w:lang w:val="pt-BR"/>
        </w:rPr>
        <w:t>as opções de ações passaram de 20% em 1984 para 35% em 1990 e 30% em 1991</w:t>
      </w:r>
      <w:r w:rsidR="00256E5D"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"10.2307/1600633", "ISSN" : "00419494", "author" : [ { "dropping-particle" : "", "family" : "Murphy", "given" : "Kevin J", "non-dropping-particle" : "", "parse-names" : false, "suffix" : "" } ], "container-title" : "University of Chicago Law Review", "id" : "ITEM-1", "issue" : "3", "issued" : { "date-parts" : [ [ "2002" ] ] }, "page" : "847-869", "title" : "Explaining Executive Compensation: Managerial Power vs. the Perceived Cost of Stock Options", "type" : "article-journal", "volume" : "69" }, "uris" : [ "http://www.mendeley.com/documents/?uuid=daa4b3cb-b14b-4f29-ae94-e1b532db8409" ] } ], "mendeley" : { "formattedCitation" : "(MURPHY, 2002)", "manualFormatting" : "Murphy (2002)", "plainTextFormattedCitation" : "(MURPHY, 2002)", "previouslyFormattedCitation" : "(MURPHY, 2002)"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Murphy (2002)</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mostrou que na década de 1990 a compensação média quase que triplicou, mostrando aumento expressivo </w:t>
      </w:r>
      <w:r w:rsidR="00414AA4" w:rsidRPr="00C35568">
        <w:rPr>
          <w:rFonts w:ascii="Times New Roman" w:hAnsi="Times New Roman" w:cs="Times New Roman"/>
          <w:lang w:val="pt-BR"/>
        </w:rPr>
        <w:t>d</w:t>
      </w:r>
      <w:r w:rsidRPr="00C35568">
        <w:rPr>
          <w:rFonts w:ascii="Times New Roman" w:hAnsi="Times New Roman" w:cs="Times New Roman"/>
          <w:lang w:val="pt-BR"/>
        </w:rPr>
        <w:t>a remuneração basead</w:t>
      </w:r>
      <w:r w:rsidR="00256E5D" w:rsidRPr="00C35568">
        <w:rPr>
          <w:rFonts w:ascii="Times New Roman" w:hAnsi="Times New Roman" w:cs="Times New Roman"/>
          <w:lang w:val="pt-BR"/>
        </w:rPr>
        <w:t>a</w:t>
      </w:r>
      <w:r w:rsidRPr="00C35568">
        <w:rPr>
          <w:rFonts w:ascii="Times New Roman" w:hAnsi="Times New Roman" w:cs="Times New Roman"/>
          <w:lang w:val="pt-BR"/>
        </w:rPr>
        <w:t xml:space="preserve"> em opções de ações que passou de 27% (1992) para 51% (2000),</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enquanto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salário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fixo</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mostrou</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uma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redução</w:t>
      </w:r>
      <w:r w:rsidR="00414AA4" w:rsidRPr="00C35568">
        <w:rPr>
          <w:rFonts w:ascii="Times New Roman" w:hAnsi="Times New Roman" w:cs="Times New Roman"/>
          <w:lang w:val="pt-BR"/>
        </w:rPr>
        <w:t xml:space="preserve"> de </w:t>
      </w:r>
      <w:r w:rsidRPr="00C35568">
        <w:rPr>
          <w:rFonts w:ascii="Times New Roman" w:hAnsi="Times New Roman" w:cs="Times New Roman"/>
          <w:lang w:val="pt-BR"/>
        </w:rPr>
        <w:t>35%</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(1992)</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para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18%</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(2000)</w:t>
      </w:r>
      <w:r w:rsidR="00414AA4" w:rsidRPr="00C35568">
        <w:rPr>
          <w:rFonts w:ascii="Times New Roman" w:hAnsi="Times New Roman" w:cs="Times New Roman"/>
          <w:lang w:val="pt-BR"/>
        </w:rPr>
        <w:t xml:space="preserve">. </w:t>
      </w:r>
      <w:r w:rsidRPr="00C35568">
        <w:rPr>
          <w:rFonts w:ascii="Times New Roman" w:hAnsi="Times New Roman" w:cs="Times New Roman"/>
          <w:lang w:val="pt-BR"/>
        </w:rPr>
        <w:t>Corroborando</w:t>
      </w:r>
      <w:r w:rsidR="00256E5D" w:rsidRPr="00C35568">
        <w:rPr>
          <w:rFonts w:ascii="Times New Roman" w:hAnsi="Times New Roman" w:cs="Times New Roman"/>
          <w:lang w:val="pt-BR"/>
        </w:rPr>
        <w:t xml:space="preserve"> com esta evidência</w:t>
      </w:r>
      <w:r w:rsidRPr="00C35568">
        <w:rPr>
          <w:rFonts w:ascii="Times New Roman" w:hAnsi="Times New Roman" w:cs="Times New Roman"/>
          <w:lang w:val="pt-BR"/>
        </w:rPr>
        <w:t xml:space="preserve">, Balsam (2002) </w:t>
      </w:r>
      <w:r w:rsidR="00256E5D" w:rsidRPr="00C35568">
        <w:rPr>
          <w:rFonts w:ascii="Times New Roman" w:hAnsi="Times New Roman" w:cs="Times New Roman"/>
          <w:lang w:val="pt-BR"/>
        </w:rPr>
        <w:t>verificou</w:t>
      </w:r>
      <w:r w:rsidRPr="00C35568">
        <w:rPr>
          <w:rFonts w:ascii="Times New Roman" w:hAnsi="Times New Roman" w:cs="Times New Roman"/>
          <w:lang w:val="pt-BR"/>
        </w:rPr>
        <w:t xml:space="preserve"> qu</w:t>
      </w:r>
      <w:r w:rsidR="00256E5D" w:rsidRPr="00C35568">
        <w:rPr>
          <w:rFonts w:ascii="Times New Roman" w:hAnsi="Times New Roman" w:cs="Times New Roman"/>
          <w:lang w:val="pt-BR"/>
        </w:rPr>
        <w:t xml:space="preserve">e a média da remuneração total </w:t>
      </w:r>
      <w:r w:rsidRPr="00C35568">
        <w:rPr>
          <w:rFonts w:ascii="Times New Roman" w:hAnsi="Times New Roman" w:cs="Times New Roman"/>
          <w:lang w:val="pt-BR"/>
        </w:rPr>
        <w:t>teve aumento de 401% (1992-2000), opção de ações</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obtiveram</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um</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aumento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21%</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(1992)</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para</w:t>
      </w:r>
      <w:r w:rsidRPr="00C35568">
        <w:rPr>
          <w:rFonts w:ascii="Times New Roman" w:hAnsi="Times New Roman" w:cs="Times New Roman"/>
          <w:spacing w:val="-10"/>
          <w:lang w:val="pt-BR"/>
        </w:rPr>
        <w:t xml:space="preserve"> </w:t>
      </w:r>
      <w:r w:rsidRPr="00C35568">
        <w:rPr>
          <w:rFonts w:ascii="Times New Roman" w:hAnsi="Times New Roman" w:cs="Times New Roman"/>
          <w:lang w:val="pt-BR"/>
        </w:rPr>
        <w:t>42%</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(2000),</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salário</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fixo</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 xml:space="preserve">passou de 47% (1992) para 20% (2000), </w:t>
      </w:r>
      <w:r w:rsidR="00256E5D" w:rsidRPr="00C35568">
        <w:rPr>
          <w:rFonts w:ascii="Times New Roman" w:hAnsi="Times New Roman" w:cs="Times New Roman"/>
          <w:lang w:val="pt-BR"/>
        </w:rPr>
        <w:t xml:space="preserve">quando analisadas as empresas contidas nas bases de dados </w:t>
      </w:r>
      <w:r w:rsidRPr="00C35568">
        <w:rPr>
          <w:rFonts w:ascii="Times New Roman" w:hAnsi="Times New Roman" w:cs="Times New Roman"/>
          <w:lang w:val="pt-BR"/>
        </w:rPr>
        <w:t>S&amp;P500, S&amp;P MidCap400, e S&amp;P</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SamllCap600.</w:t>
      </w:r>
    </w:p>
    <w:p w:rsidR="005C15B1" w:rsidRPr="00C35568" w:rsidRDefault="005C15B1"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Em pesquisa realizada por</w:t>
      </w:r>
      <w:r w:rsidR="00AB7DD0"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"Kolb", "given" : "Robert W.", "non-dropping-particle" : "", "parse-names" : false, "suffix" : "" } ], "id" : "ITEM-1", "issued" : { "date-parts" : [ [ "2012" ] ] }, "publisher" : "Oxford University Press", "publisher-place" : "New York", "title" : "Too Much is Not Enough: incentives in executive compensation", "type" : "book" }, "uris" : [ "http://www.mendeley.com/documents/?uuid=578f8a2b-ae80-4966-b145-270aa34b1e0e" ] } ], "mendeley" : { "formattedCitation" : "(KOLB, 2012)", "manualFormatting" : "Kolb (2012)", "plainTextFormattedCitation" : "(KOLB, 2012)", "previouslyFormattedCitation" : "(KOLB, 2012)"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Kolb (2012)</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com os CEOs da S&amp;P 500, entre 1992 a 2010, </w:t>
      </w:r>
      <w:r w:rsidR="00256E5D" w:rsidRPr="00C35568">
        <w:rPr>
          <w:rFonts w:ascii="Times New Roman" w:hAnsi="Times New Roman" w:cs="Times New Roman"/>
          <w:lang w:val="pt-BR"/>
        </w:rPr>
        <w:t xml:space="preserve">foi evidenciado </w:t>
      </w:r>
      <w:r w:rsidRPr="00C35568">
        <w:rPr>
          <w:rFonts w:ascii="Times New Roman" w:hAnsi="Times New Roman" w:cs="Times New Roman"/>
          <w:lang w:val="pt-BR"/>
        </w:rPr>
        <w:t xml:space="preserve">que a média da compensação baseada em opções de ações teve um aumento de U$ 250.000 (1992), para quase U$ 10 milhões (2000), considerado o auge da </w:t>
      </w:r>
      <w:r w:rsidR="00256E5D" w:rsidRPr="00C35568">
        <w:rPr>
          <w:rFonts w:ascii="Times New Roman" w:hAnsi="Times New Roman" w:cs="Times New Roman"/>
          <w:lang w:val="pt-BR"/>
        </w:rPr>
        <w:t>“</w:t>
      </w:r>
      <w:r w:rsidRPr="00C35568">
        <w:rPr>
          <w:rFonts w:ascii="Times New Roman" w:hAnsi="Times New Roman" w:cs="Times New Roman"/>
          <w:lang w:val="pt-BR"/>
        </w:rPr>
        <w:t>bolha</w:t>
      </w:r>
      <w:r w:rsidR="00256E5D" w:rsidRPr="00C35568">
        <w:rPr>
          <w:rFonts w:ascii="Times New Roman" w:hAnsi="Times New Roman" w:cs="Times New Roman"/>
          <w:lang w:val="pt-BR"/>
        </w:rPr>
        <w:t>”</w:t>
      </w:r>
      <w:r w:rsidRPr="00C35568">
        <w:rPr>
          <w:rFonts w:ascii="Times New Roman" w:hAnsi="Times New Roman" w:cs="Times New Roman"/>
          <w:lang w:val="pt-BR"/>
        </w:rPr>
        <w:t xml:space="preserve"> do setor tecnológico. Em 1992, a compensação dos executivos era composta por quase 30% de opções de ações, passando para 70% em 2000, e 20% em 2010. Em contrapartida, as ações restritas</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se tornaram mais populares crescendo de 20% para 80% no</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período.</w:t>
      </w:r>
    </w:p>
    <w:p w:rsidR="005C15B1" w:rsidRPr="00C35568" w:rsidRDefault="00C70C2A" w:rsidP="007C3FAB">
      <w:pPr>
        <w:pStyle w:val="BodyText"/>
        <w:spacing w:after="0" w:line="240" w:lineRule="auto"/>
        <w:ind w:firstLine="709"/>
        <w:jc w:val="both"/>
        <w:rPr>
          <w:rFonts w:ascii="Times New Roman" w:hAnsi="Times New Roman" w:cs="Times New Roman"/>
          <w:lang w:val="pt-BR"/>
        </w:rPr>
      </w:pPr>
      <w:r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"10.1146/annurev-financial-120209-133958", "author" : [ { "dropping-particle" : "", "family" : "Frydman", "given" : "Carola", "non-dropping-particle" : "", "parse-names" : false, "suffix" : "" }, { "dropping-particle" : "", "family" : "Jenter", "given" : "Dirk", "non-dropping-particle" : "", "parse-names" : false, "suffix" : "" } ], "container-title" : "Annual Review of Financial Economics", "id" : "ITEM-1", "issued" : { "date-parts" : [ [ "2010" ] ] }, "page" : "75-102", "title" : "CEO Compensation", "type" : "article-journal", "volume" : "2" }, "uris" : [ "http://www.mendeley.com/documents/?uuid=e91f8f20-b900-4b25-85b1-ba7489ad31dc" ] } ], "mendeley" : { "formattedCitation" : "(FRYDMAN; JENTER, 2010)", "manualFormatting" : "Frydman e Jenter (2010)", "plainTextFormattedCitation" : "(FRYDMAN; JENTER, 2010)", "previouslyFormattedCitation" : "(FRYDMAN; JENTER, 2010)" }, "properties" : {  }, "schema" : "https://github.com/citation-style-language/schema/raw/master/csl-citation.json" }</w:instrText>
      </w:r>
      <w:r w:rsidRPr="00C35568">
        <w:rPr>
          <w:rStyle w:val="FootnoteReference"/>
          <w:rFonts w:ascii="Times New Roman" w:hAnsi="Times New Roman" w:cs="Times New Roman"/>
          <w:lang w:val="pt-BR"/>
        </w:rPr>
        <w:fldChar w:fldCharType="separate"/>
      </w:r>
      <w:r w:rsidRPr="00C35568">
        <w:rPr>
          <w:rFonts w:ascii="Times New Roman" w:hAnsi="Times New Roman" w:cs="Times New Roman"/>
          <w:noProof/>
          <w:lang w:val="pt-BR"/>
        </w:rPr>
        <w:t>Frydman e Jenter (2010)</w:t>
      </w:r>
      <w:r w:rsidRPr="00C35568">
        <w:rPr>
          <w:rStyle w:val="FootnoteReference"/>
          <w:rFonts w:ascii="Times New Roman" w:hAnsi="Times New Roman" w:cs="Times New Roman"/>
          <w:lang w:val="pt-BR"/>
        </w:rPr>
        <w:fldChar w:fldCharType="end"/>
      </w:r>
      <w:r w:rsidR="005C15B1" w:rsidRPr="00C35568">
        <w:rPr>
          <w:rFonts w:ascii="Times New Roman" w:hAnsi="Times New Roman" w:cs="Times New Roman"/>
          <w:lang w:val="pt-BR"/>
        </w:rPr>
        <w:t xml:space="preserve"> </w:t>
      </w:r>
      <w:r w:rsidR="00641B06" w:rsidRPr="00C35568">
        <w:rPr>
          <w:rFonts w:ascii="Times New Roman" w:hAnsi="Times New Roman" w:cs="Times New Roman"/>
          <w:lang w:val="pt-BR"/>
        </w:rPr>
        <w:t xml:space="preserve">identificaram </w:t>
      </w:r>
      <w:r w:rsidR="005C15B1" w:rsidRPr="00C35568">
        <w:rPr>
          <w:rFonts w:ascii="Times New Roman" w:hAnsi="Times New Roman" w:cs="Times New Roman"/>
          <w:lang w:val="pt-BR"/>
        </w:rPr>
        <w:t xml:space="preserve">que as compensações por opções representavam 20% da remuneração </w:t>
      </w:r>
      <w:r w:rsidR="00641B06" w:rsidRPr="00C35568">
        <w:rPr>
          <w:rFonts w:ascii="Times New Roman" w:hAnsi="Times New Roman" w:cs="Times New Roman"/>
          <w:lang w:val="pt-BR"/>
        </w:rPr>
        <w:t xml:space="preserve">do CEOs </w:t>
      </w:r>
      <w:r w:rsidR="005C15B1" w:rsidRPr="00C35568">
        <w:rPr>
          <w:rFonts w:ascii="Times New Roman" w:hAnsi="Times New Roman" w:cs="Times New Roman"/>
          <w:lang w:val="pt-BR"/>
        </w:rPr>
        <w:t>em 1992,</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aumentando</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para</w:t>
      </w:r>
      <w:r w:rsidR="005C15B1" w:rsidRPr="00C35568">
        <w:rPr>
          <w:rFonts w:ascii="Times New Roman" w:hAnsi="Times New Roman" w:cs="Times New Roman"/>
          <w:spacing w:val="-15"/>
          <w:lang w:val="pt-BR"/>
        </w:rPr>
        <w:t xml:space="preserve"> </w:t>
      </w:r>
      <w:r w:rsidR="005C15B1" w:rsidRPr="00C35568">
        <w:rPr>
          <w:rFonts w:ascii="Times New Roman" w:hAnsi="Times New Roman" w:cs="Times New Roman"/>
          <w:lang w:val="pt-BR"/>
        </w:rPr>
        <w:t>49%</w:t>
      </w:r>
      <w:r w:rsidR="005C15B1" w:rsidRPr="00C35568">
        <w:rPr>
          <w:rFonts w:ascii="Times New Roman" w:hAnsi="Times New Roman" w:cs="Times New Roman"/>
          <w:spacing w:val="-14"/>
          <w:lang w:val="pt-BR"/>
        </w:rPr>
        <w:t xml:space="preserve"> </w:t>
      </w:r>
      <w:r w:rsidR="005C15B1" w:rsidRPr="00C35568">
        <w:rPr>
          <w:rFonts w:ascii="Times New Roman" w:hAnsi="Times New Roman" w:cs="Times New Roman"/>
          <w:lang w:val="pt-BR"/>
        </w:rPr>
        <w:t>em</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1999,</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e</w:t>
      </w:r>
      <w:r w:rsidR="005C15B1" w:rsidRPr="00C35568">
        <w:rPr>
          <w:rFonts w:ascii="Times New Roman" w:hAnsi="Times New Roman" w:cs="Times New Roman"/>
          <w:spacing w:val="-14"/>
          <w:lang w:val="pt-BR"/>
        </w:rPr>
        <w:t xml:space="preserve"> </w:t>
      </w:r>
      <w:r w:rsidR="005C15B1" w:rsidRPr="00C35568">
        <w:rPr>
          <w:rFonts w:ascii="Times New Roman" w:hAnsi="Times New Roman" w:cs="Times New Roman"/>
          <w:lang w:val="pt-BR"/>
        </w:rPr>
        <w:t>reduzindo</w:t>
      </w:r>
      <w:r w:rsidR="005C15B1" w:rsidRPr="00C35568">
        <w:rPr>
          <w:rFonts w:ascii="Times New Roman" w:hAnsi="Times New Roman" w:cs="Times New Roman"/>
          <w:spacing w:val="-18"/>
          <w:lang w:val="pt-BR"/>
        </w:rPr>
        <w:t xml:space="preserve"> </w:t>
      </w:r>
      <w:r w:rsidR="005C15B1" w:rsidRPr="00C35568">
        <w:rPr>
          <w:rFonts w:ascii="Times New Roman" w:hAnsi="Times New Roman" w:cs="Times New Roman"/>
          <w:lang w:val="pt-BR"/>
        </w:rPr>
        <w:t>para</w:t>
      </w:r>
      <w:r w:rsidR="005C15B1" w:rsidRPr="00C35568">
        <w:rPr>
          <w:rFonts w:ascii="Times New Roman" w:hAnsi="Times New Roman" w:cs="Times New Roman"/>
          <w:spacing w:val="-15"/>
          <w:lang w:val="pt-BR"/>
        </w:rPr>
        <w:t xml:space="preserve"> </w:t>
      </w:r>
      <w:r w:rsidR="005C15B1" w:rsidRPr="00C35568">
        <w:rPr>
          <w:rFonts w:ascii="Times New Roman" w:hAnsi="Times New Roman" w:cs="Times New Roman"/>
          <w:lang w:val="pt-BR"/>
        </w:rPr>
        <w:t>25%</w:t>
      </w:r>
      <w:r w:rsidR="005C15B1" w:rsidRPr="00C35568">
        <w:rPr>
          <w:rFonts w:ascii="Times New Roman" w:hAnsi="Times New Roman" w:cs="Times New Roman"/>
          <w:spacing w:val="-14"/>
          <w:lang w:val="pt-BR"/>
        </w:rPr>
        <w:t xml:space="preserve"> </w:t>
      </w:r>
      <w:r w:rsidR="005C15B1" w:rsidRPr="00C35568">
        <w:rPr>
          <w:rFonts w:ascii="Times New Roman" w:hAnsi="Times New Roman" w:cs="Times New Roman"/>
          <w:lang w:val="pt-BR"/>
        </w:rPr>
        <w:t>em</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2008.</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Enquanto</w:t>
      </w:r>
      <w:r w:rsidR="005C15B1" w:rsidRPr="00C35568">
        <w:rPr>
          <w:rFonts w:ascii="Times New Roman" w:hAnsi="Times New Roman" w:cs="Times New Roman"/>
          <w:spacing w:val="-13"/>
          <w:lang w:val="pt-BR"/>
        </w:rPr>
        <w:t xml:space="preserve"> </w:t>
      </w:r>
      <w:r w:rsidR="005C15B1" w:rsidRPr="00C35568">
        <w:rPr>
          <w:rFonts w:ascii="Times New Roman" w:hAnsi="Times New Roman" w:cs="Times New Roman"/>
          <w:lang w:val="pt-BR"/>
        </w:rPr>
        <w:t>a</w:t>
      </w:r>
      <w:r w:rsidR="005C15B1" w:rsidRPr="00C35568">
        <w:rPr>
          <w:rFonts w:ascii="Times New Roman" w:hAnsi="Times New Roman" w:cs="Times New Roman"/>
          <w:spacing w:val="-14"/>
          <w:lang w:val="pt-BR"/>
        </w:rPr>
        <w:t xml:space="preserve"> </w:t>
      </w:r>
      <w:r w:rsidR="005C15B1" w:rsidRPr="00C35568">
        <w:rPr>
          <w:rFonts w:ascii="Times New Roman" w:hAnsi="Times New Roman" w:cs="Times New Roman"/>
          <w:lang w:val="pt-BR"/>
        </w:rPr>
        <w:t xml:space="preserve">remuneração </w:t>
      </w:r>
      <w:r w:rsidR="00641B06" w:rsidRPr="00C35568">
        <w:rPr>
          <w:rFonts w:ascii="Times New Roman" w:hAnsi="Times New Roman" w:cs="Times New Roman"/>
          <w:lang w:val="pt-BR"/>
        </w:rPr>
        <w:t xml:space="preserve">por </w:t>
      </w:r>
      <w:r w:rsidR="005C15B1" w:rsidRPr="00C35568">
        <w:rPr>
          <w:rFonts w:ascii="Times New Roman" w:hAnsi="Times New Roman" w:cs="Times New Roman"/>
          <w:lang w:val="pt-BR"/>
        </w:rPr>
        <w:t xml:space="preserve">ações restritas passaram a ser mais popular em 2006 </w:t>
      </w:r>
      <w:r w:rsidR="00641B06" w:rsidRPr="00C35568">
        <w:rPr>
          <w:rFonts w:ascii="Times New Roman" w:hAnsi="Times New Roman" w:cs="Times New Roman"/>
          <w:lang w:val="pt-BR"/>
        </w:rPr>
        <w:t xml:space="preserve">ultrapassando o valor pago pelas </w:t>
      </w:r>
      <w:r w:rsidR="005C15B1" w:rsidRPr="00C35568">
        <w:rPr>
          <w:rFonts w:ascii="Times New Roman" w:hAnsi="Times New Roman" w:cs="Times New Roman"/>
          <w:lang w:val="pt-BR"/>
        </w:rPr>
        <w:t>opções de ações</w:t>
      </w:r>
      <w:r w:rsidR="00641B06" w:rsidRPr="00C35568">
        <w:rPr>
          <w:rFonts w:ascii="Times New Roman" w:hAnsi="Times New Roman" w:cs="Times New Roman"/>
          <w:lang w:val="pt-BR"/>
        </w:rPr>
        <w:t xml:space="preserve">. </w:t>
      </w:r>
      <w:r w:rsidR="005C15B1" w:rsidRPr="00C35568">
        <w:rPr>
          <w:rFonts w:ascii="Times New Roman" w:hAnsi="Times New Roman" w:cs="Times New Roman"/>
          <w:lang w:val="pt-BR"/>
        </w:rPr>
        <w:t>Em contrapartida a remuneração fixa (slários) passou de 42% em 1992 para 17% em</w:t>
      </w:r>
      <w:r w:rsidR="005C15B1" w:rsidRPr="00C35568">
        <w:rPr>
          <w:rFonts w:ascii="Times New Roman" w:hAnsi="Times New Roman" w:cs="Times New Roman"/>
          <w:spacing w:val="-3"/>
          <w:lang w:val="pt-BR"/>
        </w:rPr>
        <w:t xml:space="preserve"> </w:t>
      </w:r>
      <w:r w:rsidR="005C15B1" w:rsidRPr="00C35568">
        <w:rPr>
          <w:rFonts w:ascii="Times New Roman" w:hAnsi="Times New Roman" w:cs="Times New Roman"/>
          <w:lang w:val="pt-BR"/>
        </w:rPr>
        <w:t>2008.</w:t>
      </w:r>
    </w:p>
    <w:p w:rsidR="005C15B1" w:rsidRPr="00C35568" w:rsidRDefault="005C15B1"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Em</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geral,</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os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resultados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transcritos</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indicam</w:t>
      </w:r>
      <w:r w:rsidRPr="00C35568">
        <w:rPr>
          <w:rFonts w:ascii="Times New Roman" w:hAnsi="Times New Roman" w:cs="Times New Roman"/>
          <w:spacing w:val="-9"/>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8"/>
          <w:lang w:val="pt-BR"/>
        </w:rPr>
        <w:t xml:space="preserve"> </w:t>
      </w:r>
      <w:r w:rsidRPr="00C35568">
        <w:rPr>
          <w:rFonts w:ascii="Times New Roman" w:hAnsi="Times New Roman" w:cs="Times New Roman"/>
          <w:lang w:val="pt-BR"/>
        </w:rPr>
        <w:t>as</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empresas</w:t>
      </w:r>
      <w:r w:rsidRPr="00C35568">
        <w:rPr>
          <w:rFonts w:ascii="Times New Roman" w:hAnsi="Times New Roman" w:cs="Times New Roman"/>
          <w:spacing w:val="-9"/>
          <w:lang w:val="pt-BR"/>
        </w:rPr>
        <w:t xml:space="preserve"> </w:t>
      </w:r>
      <w:r w:rsidR="00641B06" w:rsidRPr="00C35568">
        <w:rPr>
          <w:rFonts w:ascii="Times New Roman" w:hAnsi="Times New Roman" w:cs="Times New Roman"/>
          <w:spacing w:val="-9"/>
          <w:lang w:val="pt-BR"/>
        </w:rPr>
        <w:t xml:space="preserve">ao longo dos anos </w:t>
      </w:r>
      <w:r w:rsidRPr="00C35568">
        <w:rPr>
          <w:rFonts w:ascii="Times New Roman" w:hAnsi="Times New Roman" w:cs="Times New Roman"/>
          <w:lang w:val="pt-BR"/>
        </w:rPr>
        <w:t>optaram</w:t>
      </w:r>
      <w:r w:rsidR="00641B06" w:rsidRPr="00C35568">
        <w:rPr>
          <w:rFonts w:ascii="Times New Roman" w:hAnsi="Times New Roman" w:cs="Times New Roman"/>
          <w:lang w:val="pt-BR"/>
        </w:rPr>
        <w:t xml:space="preserve"> pela </w:t>
      </w:r>
      <w:r w:rsidRPr="00C35568">
        <w:rPr>
          <w:rFonts w:ascii="Times New Roman" w:hAnsi="Times New Roman" w:cs="Times New Roman"/>
          <w:lang w:val="pt-BR"/>
        </w:rPr>
        <w:t>mudança d</w:t>
      </w:r>
      <w:r w:rsidR="00641B06" w:rsidRPr="00C35568">
        <w:rPr>
          <w:rFonts w:ascii="Times New Roman" w:hAnsi="Times New Roman" w:cs="Times New Roman"/>
          <w:lang w:val="pt-BR"/>
        </w:rPr>
        <w:t xml:space="preserve">a compensação mediante </w:t>
      </w:r>
      <w:r w:rsidRPr="00C35568">
        <w:rPr>
          <w:rFonts w:ascii="Times New Roman" w:hAnsi="Times New Roman" w:cs="Times New Roman"/>
          <w:lang w:val="pt-BR"/>
        </w:rPr>
        <w:t xml:space="preserve">pagamento baseado em ações de </w:t>
      </w:r>
      <w:r w:rsidRPr="00C35568">
        <w:rPr>
          <w:rFonts w:ascii="Times New Roman" w:hAnsi="Times New Roman" w:cs="Times New Roman"/>
          <w:i/>
          <w:lang w:val="pt-BR"/>
        </w:rPr>
        <w:t xml:space="preserve">stock options </w:t>
      </w:r>
      <w:r w:rsidRPr="00C35568">
        <w:rPr>
          <w:rFonts w:ascii="Times New Roman" w:hAnsi="Times New Roman" w:cs="Times New Roman"/>
          <w:lang w:val="pt-BR"/>
        </w:rPr>
        <w:t xml:space="preserve">(SO) para </w:t>
      </w:r>
      <w:r w:rsidRPr="00C35568">
        <w:rPr>
          <w:rFonts w:ascii="Times New Roman" w:hAnsi="Times New Roman" w:cs="Times New Roman"/>
          <w:i/>
          <w:lang w:val="pt-BR"/>
        </w:rPr>
        <w:t xml:space="preserve">restricted opitions </w:t>
      </w:r>
      <w:r w:rsidRPr="00C35568">
        <w:rPr>
          <w:rFonts w:ascii="Times New Roman" w:hAnsi="Times New Roman" w:cs="Times New Roman"/>
          <w:lang w:val="pt-BR"/>
        </w:rPr>
        <w:t>(RS). Sugerindo que este tipo de remuneração, pagamento baseado em ações, pode impactar negativamente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no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resultado,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tal</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como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maximizar</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problema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agência,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dado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sua</w:t>
      </w:r>
      <w:r w:rsidRPr="00C35568">
        <w:rPr>
          <w:rFonts w:ascii="Times New Roman" w:hAnsi="Times New Roman" w:cs="Times New Roman"/>
          <w:spacing w:val="-7"/>
          <w:lang w:val="pt-BR"/>
        </w:rPr>
        <w:t xml:space="preserve"> </w:t>
      </w:r>
      <w:r w:rsidRPr="00C35568">
        <w:rPr>
          <w:rFonts w:ascii="Times New Roman" w:hAnsi="Times New Roman" w:cs="Times New Roman"/>
          <w:lang w:val="pt-BR"/>
        </w:rPr>
        <w:t>redução</w:t>
      </w:r>
      <w:r w:rsidRPr="00C35568">
        <w:rPr>
          <w:rFonts w:ascii="Times New Roman" w:hAnsi="Times New Roman" w:cs="Times New Roman"/>
          <w:spacing w:val="-6"/>
          <w:lang w:val="pt-BR"/>
        </w:rPr>
        <w:t xml:space="preserve"> </w:t>
      </w:r>
      <w:r w:rsidRPr="00C35568">
        <w:rPr>
          <w:rFonts w:ascii="Times New Roman" w:hAnsi="Times New Roman" w:cs="Times New Roman"/>
          <w:lang w:val="pt-BR"/>
        </w:rPr>
        <w:t>de aplicação</w:t>
      </w:r>
      <w:r w:rsidRPr="00C35568">
        <w:rPr>
          <w:rFonts w:ascii="Times New Roman" w:hAnsi="Times New Roman" w:cs="Times New Roman"/>
          <w:spacing w:val="-5"/>
          <w:lang w:val="pt-BR"/>
        </w:rPr>
        <w:t xml:space="preserve"> </w:t>
      </w:r>
      <w:r w:rsidRPr="00C35568">
        <w:rPr>
          <w:rFonts w:ascii="Times New Roman" w:hAnsi="Times New Roman" w:cs="Times New Roman"/>
          <w:lang w:val="pt-BR"/>
        </w:rPr>
        <w:t>temporal.</w:t>
      </w:r>
    </w:p>
    <w:p w:rsidR="003E7D60" w:rsidRPr="00C35568" w:rsidRDefault="007E20C3" w:rsidP="007C3FAB">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E</w:t>
      </w:r>
      <w:r w:rsidR="003E7D60" w:rsidRPr="00C35568">
        <w:rPr>
          <w:rFonts w:ascii="Times New Roman" w:hAnsi="Times New Roman" w:cs="Times New Roman"/>
          <w:lang w:val="pt-BR"/>
        </w:rPr>
        <w:t>videnciou-se que o pagamento baseado em ação possui algumas modalidades. Na análise de dados observou-se que, nos anos de 2016 e 2015, das 43 empresas que compõem a amostra</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29</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remuneraram</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os</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executivos</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com</w:t>
      </w:r>
      <w:r w:rsidR="003E7D60" w:rsidRPr="00C35568">
        <w:rPr>
          <w:rFonts w:ascii="Times New Roman" w:hAnsi="Times New Roman" w:cs="Times New Roman"/>
          <w:spacing w:val="-6"/>
          <w:lang w:val="pt-BR"/>
        </w:rPr>
        <w:t xml:space="preserve"> base em </w:t>
      </w:r>
      <w:r w:rsidR="003E7D60" w:rsidRPr="00C35568">
        <w:rPr>
          <w:rFonts w:ascii="Times New Roman" w:hAnsi="Times New Roman" w:cs="Times New Roman"/>
          <w:lang w:val="pt-BR"/>
        </w:rPr>
        <w:t>ações em 2016 e</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28</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em</w:t>
      </w:r>
      <w:r w:rsidR="003E7D60" w:rsidRPr="00C35568">
        <w:rPr>
          <w:rFonts w:ascii="Times New Roman" w:hAnsi="Times New Roman" w:cs="Times New Roman"/>
          <w:spacing w:val="-6"/>
          <w:lang w:val="pt-BR"/>
        </w:rPr>
        <w:t xml:space="preserve"> </w:t>
      </w:r>
      <w:r w:rsidR="003E7D60" w:rsidRPr="00C35568">
        <w:rPr>
          <w:rFonts w:ascii="Times New Roman" w:hAnsi="Times New Roman" w:cs="Times New Roman"/>
          <w:lang w:val="pt-BR"/>
        </w:rPr>
        <w:t>2015. Dessas</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empresas</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que</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possuíram</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algum</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tipo</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de</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remuneração</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baseada</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em</w:t>
      </w:r>
      <w:r w:rsidR="003E7D60" w:rsidRPr="00C35568">
        <w:rPr>
          <w:rFonts w:ascii="Times New Roman" w:hAnsi="Times New Roman" w:cs="Times New Roman"/>
          <w:spacing w:val="-7"/>
          <w:lang w:val="pt-BR"/>
        </w:rPr>
        <w:t xml:space="preserve"> </w:t>
      </w:r>
      <w:r w:rsidR="003E7D60" w:rsidRPr="00C35568">
        <w:rPr>
          <w:rFonts w:ascii="Times New Roman" w:hAnsi="Times New Roman" w:cs="Times New Roman"/>
          <w:lang w:val="pt-BR"/>
        </w:rPr>
        <w:t>ação</w:t>
      </w:r>
      <w:r w:rsidR="003E7D60" w:rsidRPr="00C35568">
        <w:rPr>
          <w:rFonts w:ascii="Times New Roman" w:hAnsi="Times New Roman" w:cs="Times New Roman"/>
          <w:spacing w:val="-4"/>
          <w:lang w:val="pt-BR"/>
        </w:rPr>
        <w:t xml:space="preserve"> </w:t>
      </w:r>
      <w:r w:rsidR="003E7D60" w:rsidRPr="00C35568">
        <w:rPr>
          <w:rFonts w:ascii="Times New Roman" w:hAnsi="Times New Roman" w:cs="Times New Roman"/>
          <w:lang w:val="pt-BR"/>
        </w:rPr>
        <w:t>e</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que</w:t>
      </w:r>
      <w:r w:rsidR="003E7D60" w:rsidRPr="00C35568">
        <w:rPr>
          <w:rFonts w:ascii="Times New Roman" w:hAnsi="Times New Roman" w:cs="Times New Roman"/>
          <w:spacing w:val="-8"/>
          <w:lang w:val="pt-BR"/>
        </w:rPr>
        <w:t xml:space="preserve"> </w:t>
      </w:r>
      <w:r w:rsidR="003E7D60" w:rsidRPr="00C35568">
        <w:rPr>
          <w:rFonts w:ascii="Times New Roman" w:hAnsi="Times New Roman" w:cs="Times New Roman"/>
          <w:lang w:val="pt-BR"/>
        </w:rPr>
        <w:t>divulgaram de forma explícita no FR em 2016, 23 empresas informaram que remuneravam através de SO, seguido por 6 empresas que disseram utilizar RS. Para 2015, 22 empresas informaram utilizar SO, enquanto 6 utilizaram RS. Para os anos de 2014 e 2013, das 42 empresas que compõem a amostra, 27 remuneraram os ex</w:t>
      </w:r>
      <w:r w:rsidRPr="00C35568">
        <w:rPr>
          <w:rFonts w:ascii="Times New Roman" w:hAnsi="Times New Roman" w:cs="Times New Roman"/>
          <w:lang w:val="pt-BR"/>
        </w:rPr>
        <w:t>e</w:t>
      </w:r>
      <w:r w:rsidR="003E7D60" w:rsidRPr="00C35568">
        <w:rPr>
          <w:rFonts w:ascii="Times New Roman" w:hAnsi="Times New Roman" w:cs="Times New Roman"/>
          <w:lang w:val="pt-BR"/>
        </w:rPr>
        <w:t>cutivos com base em ações e 24 em 2013. Dessas empresas que possuíram pagamentos baseados em ações e que foram divulgados de forma explícita no FR em 2014, 21 informaram utilizar SO, enquanto 3 utilizaram RS. Para 2013, 17 informaram utilizar SO, enquanto 2 utilizaram</w:t>
      </w:r>
      <w:r w:rsidR="003E7D60" w:rsidRPr="00C35568">
        <w:rPr>
          <w:rFonts w:ascii="Times New Roman" w:hAnsi="Times New Roman" w:cs="Times New Roman"/>
          <w:spacing w:val="-9"/>
          <w:lang w:val="pt-BR"/>
        </w:rPr>
        <w:t xml:space="preserve"> </w:t>
      </w:r>
      <w:r w:rsidR="003E7D60" w:rsidRPr="00C35568">
        <w:rPr>
          <w:rFonts w:ascii="Times New Roman" w:hAnsi="Times New Roman" w:cs="Times New Roman"/>
          <w:lang w:val="pt-BR"/>
        </w:rPr>
        <w:t>RS.</w:t>
      </w:r>
    </w:p>
    <w:p w:rsidR="00957411" w:rsidRPr="00C35568" w:rsidRDefault="00957411" w:rsidP="007C3FAB">
      <w:pPr>
        <w:pStyle w:val="BodyText"/>
        <w:spacing w:after="0" w:line="240" w:lineRule="auto"/>
        <w:ind w:firstLine="709"/>
        <w:jc w:val="both"/>
        <w:rPr>
          <w:rFonts w:ascii="Times New Roman" w:hAnsi="Times New Roman" w:cs="Times New Roman"/>
          <w:b/>
          <w:color w:val="000000"/>
          <w:lang w:val="pt-BR" w:eastAsia="pt-BR"/>
        </w:rPr>
      </w:pPr>
      <w:r w:rsidRPr="00C35568">
        <w:rPr>
          <w:rFonts w:ascii="Times New Roman" w:hAnsi="Times New Roman" w:cs="Times New Roman"/>
          <w:lang w:val="pt-BR"/>
        </w:rPr>
        <w:t xml:space="preserve">Os achados nacionais indicam o oposto dos internacionais, dado que pela amostra, as empresas fazem uso quase que exclusivamente das SO. Para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"Kolb", "given" : "Robert W.", "non-dropping-particle" : "", "parse-names" : false, "suffix" : "" } ], "id" : "ITEM-1", "issued" : { "date-parts" : [ [ "2012" ] ] }, "publisher" : "Oxford University Press", "publisher-place" : "New York", "title" : "Too Much is Not Enough: incentives in executive compensation", "type" : "book" }, "uris" : [ "http://www.mendeley.com/documents/?uuid=578f8a2b-ae80-4966-b145-270aa34b1e0e" ] } ], "mendeley" : { "formattedCitation" : "(KOLB, 2012)", "manualFormatting" : "Kolb (2012)", "plainTextFormattedCitation" : "(KOLB, 2012)", "previouslyFormattedCitation" : "(KOLB, 2012)"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Kolb (2012)</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as opções de ações são a forma mais incentivadora de remuneração, enquanto grandes quantidades de ações restritas encorajam o conservadorismo. Esta mudança na direção da remuneração entre os países</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indica</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que</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Brasil</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apresenta</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característica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mais</w:t>
      </w:r>
      <w:r w:rsidRPr="00C35568">
        <w:rPr>
          <w:rFonts w:ascii="Times New Roman" w:hAnsi="Times New Roman" w:cs="Times New Roman"/>
          <w:spacing w:val="-11"/>
          <w:lang w:val="pt-BR"/>
        </w:rPr>
        <w:t xml:space="preserve"> </w:t>
      </w:r>
      <w:r w:rsidRPr="00C35568">
        <w:rPr>
          <w:rFonts w:ascii="Times New Roman" w:hAnsi="Times New Roman" w:cs="Times New Roman"/>
          <w:lang w:val="pt-BR"/>
        </w:rPr>
        <w:t>arrojada</w:t>
      </w:r>
      <w:r w:rsidRPr="00C35568">
        <w:rPr>
          <w:rFonts w:ascii="Times New Roman" w:hAnsi="Times New Roman" w:cs="Times New Roman"/>
          <w:spacing w:val="-14"/>
          <w:lang w:val="pt-BR"/>
        </w:rPr>
        <w:t xml:space="preserve"> </w:t>
      </w:r>
      <w:r w:rsidRPr="00C35568">
        <w:rPr>
          <w:rFonts w:ascii="Times New Roman" w:hAnsi="Times New Roman" w:cs="Times New Roman"/>
          <w:lang w:val="pt-BR"/>
        </w:rPr>
        <w:t>quando</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da</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forma</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de</w:t>
      </w:r>
      <w:r w:rsidRPr="00C35568">
        <w:rPr>
          <w:rFonts w:ascii="Times New Roman" w:hAnsi="Times New Roman" w:cs="Times New Roman"/>
          <w:spacing w:val="-13"/>
          <w:lang w:val="pt-BR"/>
        </w:rPr>
        <w:t xml:space="preserve"> </w:t>
      </w:r>
      <w:r w:rsidRPr="00C35568">
        <w:rPr>
          <w:rFonts w:ascii="Times New Roman" w:hAnsi="Times New Roman" w:cs="Times New Roman"/>
          <w:lang w:val="pt-BR"/>
        </w:rPr>
        <w:t xml:space="preserve">remuneração executiva. Todavia, segundo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"Kolb", "given" : "Robert W.", "non-dropping-particle" : "", "parse-names" : false, "suffix" : "" } ], "id" : "ITEM-1", "issued" : { "date-parts" : [ [ "2012" ] ] }, "publisher" : "Oxford University Press", "publisher-place" : "New York", "title" : "Too Much is Not Enough: incentives in executive compensation", "type" : "book" }, "uris" : [ "http://www.mendeley.com/documents/?uuid=578f8a2b-ae80-4966-b145-270aa34b1e0e" ] } ], "mendeley" : { "formattedCitation" : "(KOLB, 2012)", "manualFormatting" : "Kolb (2012)", "plainTextFormattedCitation" : "(KOLB, 2012)", "previouslyFormattedCitation" : "(KOLB, 2012)"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Kolb (2012)</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a remuneração através das opções de ações é uma forma ineficiente, dado que os executivos devem desembolsar valores monetários para</w:t>
      </w:r>
      <w:r w:rsidRPr="00C35568">
        <w:rPr>
          <w:rFonts w:ascii="Times New Roman" w:hAnsi="Times New Roman" w:cs="Times New Roman"/>
          <w:spacing w:val="-18"/>
          <w:lang w:val="pt-BR"/>
        </w:rPr>
        <w:t xml:space="preserve"> </w:t>
      </w:r>
      <w:r w:rsidRPr="00C35568">
        <w:rPr>
          <w:rFonts w:ascii="Times New Roman" w:hAnsi="Times New Roman" w:cs="Times New Roman"/>
          <w:lang w:val="pt-BR"/>
        </w:rPr>
        <w:t>exercer o direito da opção de</w:t>
      </w:r>
      <w:r w:rsidRPr="00C35568">
        <w:rPr>
          <w:rFonts w:ascii="Times New Roman" w:hAnsi="Times New Roman" w:cs="Times New Roman"/>
          <w:spacing w:val="-3"/>
          <w:lang w:val="pt-BR"/>
        </w:rPr>
        <w:t xml:space="preserve"> </w:t>
      </w:r>
      <w:r w:rsidRPr="00C35568">
        <w:rPr>
          <w:rFonts w:ascii="Times New Roman" w:hAnsi="Times New Roman" w:cs="Times New Roman"/>
          <w:lang w:val="pt-BR"/>
        </w:rPr>
        <w:t>ação.</w:t>
      </w:r>
    </w:p>
    <w:p w:rsidR="005108E6" w:rsidRDefault="005108E6" w:rsidP="007C3FAB">
      <w:pPr>
        <w:spacing w:after="0" w:line="240" w:lineRule="auto"/>
        <w:ind w:firstLine="709"/>
        <w:jc w:val="both"/>
        <w:rPr>
          <w:rFonts w:ascii="Times New Roman" w:hAnsi="Times New Roman" w:cs="Times New Roman"/>
          <w:b/>
          <w:sz w:val="24"/>
          <w:szCs w:val="24"/>
          <w:lang w:val="pt-BR"/>
        </w:rPr>
      </w:pPr>
    </w:p>
    <w:p w:rsidR="00957411" w:rsidRPr="00C35568" w:rsidRDefault="00957411" w:rsidP="007C3FAB">
      <w:pPr>
        <w:spacing w:line="240" w:lineRule="auto"/>
        <w:jc w:val="both"/>
        <w:rPr>
          <w:rFonts w:ascii="Times New Roman" w:hAnsi="Times New Roman" w:cs="Times New Roman"/>
          <w:b/>
          <w:sz w:val="24"/>
          <w:szCs w:val="24"/>
          <w:lang w:val="pt-BR"/>
        </w:rPr>
      </w:pPr>
      <w:r w:rsidRPr="00C35568">
        <w:rPr>
          <w:rFonts w:ascii="Times New Roman" w:hAnsi="Times New Roman" w:cs="Times New Roman"/>
          <w:b/>
          <w:sz w:val="24"/>
          <w:szCs w:val="24"/>
          <w:lang w:val="pt-BR"/>
        </w:rPr>
        <w:t>4.2 Análise multivariada</w:t>
      </w:r>
    </w:p>
    <w:p w:rsidR="00B63418" w:rsidRPr="00C35568" w:rsidRDefault="00957411" w:rsidP="007C3FAB">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Na Tabela </w:t>
      </w:r>
      <w:r w:rsidR="00D613A3" w:rsidRPr="00C35568">
        <w:rPr>
          <w:rFonts w:ascii="Times New Roman" w:hAnsi="Times New Roman" w:cs="Times New Roman"/>
          <w:sz w:val="24"/>
          <w:szCs w:val="24"/>
          <w:lang w:val="pt-BR" w:eastAsia="pt-BR"/>
        </w:rPr>
        <w:t>7</w:t>
      </w:r>
      <w:r w:rsidRPr="00C35568">
        <w:rPr>
          <w:rFonts w:ascii="Times New Roman" w:hAnsi="Times New Roman" w:cs="Times New Roman"/>
          <w:sz w:val="24"/>
          <w:szCs w:val="24"/>
          <w:lang w:val="pt-BR" w:eastAsia="pt-BR"/>
        </w:rPr>
        <w:t xml:space="preserve"> são apresentados os resultados das estimações da equação</w:t>
      </w:r>
      <w:r w:rsidR="003E7D60" w:rsidRPr="00C35568">
        <w:rPr>
          <w:rFonts w:ascii="Times New Roman" w:hAnsi="Times New Roman" w:cs="Times New Roman"/>
          <w:sz w:val="24"/>
          <w:szCs w:val="24"/>
          <w:lang w:val="pt-BR" w:eastAsia="pt-BR"/>
        </w:rPr>
        <w:t xml:space="preserve"> 5,</w:t>
      </w:r>
      <w:r w:rsidRPr="00C35568">
        <w:rPr>
          <w:rFonts w:ascii="Times New Roman" w:hAnsi="Times New Roman" w:cs="Times New Roman"/>
          <w:sz w:val="24"/>
          <w:szCs w:val="24"/>
          <w:lang w:val="pt-BR" w:eastAsia="pt-BR"/>
        </w:rPr>
        <w:t xml:space="preserve"> tendo como variáveis dependentes a remuneração total e os tipos de remuneração. As interpretações dos parâmetros dos modelos estão condicionadas as variáveis dependentes. A remuneração fixa captura o efeito conservador da remuneração, assim, a interpretação dos coeficientes estimados deve ter como prerrogativa que a compensação fixa é mais conservadora. O contrário ocorre quando da interpretação das remunerações variáveis (lnVariavel) e baseada em ações (lnAções), visto que estas remunerações estão relacionadas com maior risco e volatividade do mercado acionário.</w:t>
      </w:r>
    </w:p>
    <w:p w:rsidR="003E7D60" w:rsidRPr="00C35568" w:rsidRDefault="003E7D60" w:rsidP="007C3FAB">
      <w:pPr>
        <w:spacing w:after="0" w:line="240" w:lineRule="auto"/>
        <w:ind w:firstLine="709"/>
        <w:jc w:val="both"/>
        <w:rPr>
          <w:rFonts w:ascii="Times New Roman" w:hAnsi="Times New Roman" w:cs="Times New Roman"/>
          <w:sz w:val="24"/>
          <w:szCs w:val="24"/>
          <w:lang w:val="pt-BR" w:eastAsia="pt-BR"/>
        </w:rPr>
      </w:pPr>
    </w:p>
    <w:tbl>
      <w:tblPr>
        <w:tblW w:w="0" w:type="auto"/>
        <w:jc w:val="center"/>
        <w:tblCellMar>
          <w:left w:w="70" w:type="dxa"/>
          <w:right w:w="70" w:type="dxa"/>
        </w:tblCellMar>
        <w:tblLook w:val="04A0" w:firstRow="1" w:lastRow="0" w:firstColumn="1" w:lastColumn="0" w:noHBand="0" w:noVBand="1"/>
      </w:tblPr>
      <w:tblGrid>
        <w:gridCol w:w="1865"/>
        <w:gridCol w:w="1589"/>
        <w:gridCol w:w="308"/>
        <w:gridCol w:w="1589"/>
        <w:gridCol w:w="308"/>
        <w:gridCol w:w="1624"/>
        <w:gridCol w:w="308"/>
        <w:gridCol w:w="1624"/>
      </w:tblGrid>
      <w:tr w:rsidR="003E7D60" w:rsidRPr="00351C7E" w:rsidTr="00AA739C">
        <w:trPr>
          <w:trHeight w:hRule="exact" w:val="227"/>
          <w:jc w:val="center"/>
        </w:trPr>
        <w:tc>
          <w:tcPr>
            <w:tcW w:w="0" w:type="auto"/>
            <w:gridSpan w:val="8"/>
            <w:tcBorders>
              <w:top w:val="nil"/>
              <w:left w:val="nil"/>
              <w:bottom w:val="single" w:sz="8" w:space="0" w:color="auto"/>
              <w:right w:val="nil"/>
            </w:tcBorders>
            <w:shd w:val="clear" w:color="auto" w:fill="auto"/>
            <w:vAlign w:val="center"/>
            <w:hideMark/>
          </w:tcPr>
          <w:p w:rsidR="003E7D60" w:rsidRPr="007C3FAB" w:rsidRDefault="003E7D60" w:rsidP="007C3FAB">
            <w:pPr>
              <w:jc w:val="center"/>
              <w:rPr>
                <w:rFonts w:ascii="Times New Roman" w:hAnsi="Times New Roman" w:cs="Times New Roman"/>
                <w:b/>
                <w:bCs/>
                <w:color w:val="000000"/>
                <w:sz w:val="20"/>
                <w:szCs w:val="20"/>
                <w:lang w:val="pt-BR" w:eastAsia="pt-BR"/>
              </w:rPr>
            </w:pPr>
            <w:r w:rsidRPr="007C3FAB">
              <w:rPr>
                <w:rFonts w:ascii="Times New Roman" w:hAnsi="Times New Roman" w:cs="Times New Roman"/>
                <w:b/>
                <w:bCs/>
                <w:color w:val="000000"/>
                <w:sz w:val="20"/>
                <w:szCs w:val="20"/>
                <w:lang w:val="pt-BR" w:eastAsia="pt-BR"/>
              </w:rPr>
              <w:t xml:space="preserve">Tabela </w:t>
            </w:r>
            <w:r w:rsidR="00D613A3" w:rsidRPr="007C3FAB">
              <w:rPr>
                <w:rFonts w:ascii="Times New Roman" w:hAnsi="Times New Roman" w:cs="Times New Roman"/>
                <w:b/>
                <w:bCs/>
                <w:color w:val="000000"/>
                <w:sz w:val="20"/>
                <w:szCs w:val="20"/>
                <w:lang w:val="pt-BR" w:eastAsia="pt-BR"/>
              </w:rPr>
              <w:t>7</w:t>
            </w:r>
            <w:r w:rsidRPr="007C3FAB">
              <w:rPr>
                <w:rFonts w:ascii="Times New Roman" w:hAnsi="Times New Roman" w:cs="Times New Roman"/>
                <w:b/>
                <w:color w:val="000000"/>
                <w:sz w:val="20"/>
                <w:szCs w:val="20"/>
                <w:lang w:val="pt-BR" w:eastAsia="pt-BR"/>
              </w:rPr>
              <w:t xml:space="preserve"> – Determinantes da remuneração executiva</w:t>
            </w:r>
          </w:p>
        </w:tc>
      </w:tr>
      <w:tr w:rsidR="00835790" w:rsidRPr="007C3FAB" w:rsidTr="00AA739C">
        <w:trPr>
          <w:trHeight w:hRule="exact" w:val="227"/>
          <w:jc w:val="center"/>
        </w:trPr>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rPr>
                <w:rFonts w:ascii="Times New Roman" w:hAnsi="Times New Roman" w:cs="Times New Roman"/>
                <w:b/>
                <w:bCs/>
                <w:color w:val="000000"/>
                <w:sz w:val="20"/>
                <w:szCs w:val="20"/>
                <w:lang w:val="pt-BR" w:eastAsia="pt-BR"/>
              </w:rPr>
            </w:pP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jc w:val="center"/>
              <w:rPr>
                <w:rFonts w:ascii="Times New Roman" w:hAnsi="Times New Roman" w:cs="Times New Roman"/>
                <w:noProof/>
                <w:color w:val="000000"/>
                <w:sz w:val="20"/>
                <w:szCs w:val="20"/>
                <w:lang w:val="pt-BR" w:eastAsia="pt-BR"/>
              </w:rPr>
            </w:pPr>
            <w:r w:rsidRPr="007C3FAB">
              <w:rPr>
                <w:rFonts w:ascii="Times New Roman" w:hAnsi="Times New Roman" w:cs="Times New Roman"/>
                <w:noProof/>
                <w:color w:val="000000"/>
                <w:sz w:val="20"/>
                <w:szCs w:val="20"/>
                <w:lang w:val="pt-BR" w:eastAsia="pt-BR"/>
              </w:rPr>
              <w:t>lnTotal</w:t>
            </w:r>
            <w:r w:rsidRPr="007C3FAB">
              <w:rPr>
                <w:rFonts w:ascii="Times New Roman" w:hAnsi="Times New Roman" w:cs="Times New Roman"/>
                <w:noProof/>
                <w:color w:val="000000"/>
                <w:sz w:val="20"/>
                <w:szCs w:val="20"/>
                <w:vertAlign w:val="subscript"/>
                <w:lang w:val="pt-BR" w:eastAsia="pt-BR"/>
              </w:rPr>
              <w:t>i</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noProof/>
                <w:color w:val="000000"/>
                <w:sz w:val="20"/>
                <w:szCs w:val="20"/>
                <w:lang w:val="pt-BR" w:eastAsia="pt-BR"/>
              </w:rPr>
              <w:t>lnFixa</w:t>
            </w:r>
            <w:r w:rsidRPr="007C3FAB">
              <w:rPr>
                <w:rFonts w:ascii="Times New Roman" w:hAnsi="Times New Roman" w:cs="Times New Roman"/>
                <w:noProof/>
                <w:color w:val="000000"/>
                <w:sz w:val="20"/>
                <w:szCs w:val="20"/>
                <w:vertAlign w:val="subscript"/>
                <w:lang w:val="pt-BR" w:eastAsia="pt-BR"/>
              </w:rPr>
              <w:t>i</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lnVariável</w:t>
            </w:r>
            <w:r w:rsidRPr="007C3FAB">
              <w:rPr>
                <w:rFonts w:ascii="Times New Roman" w:hAnsi="Times New Roman" w:cs="Times New Roman"/>
                <w:color w:val="000000"/>
                <w:sz w:val="20"/>
                <w:szCs w:val="20"/>
                <w:vertAlign w:val="subscript"/>
                <w:lang w:val="pt-BR" w:eastAsia="pt-BR"/>
              </w:rPr>
              <w:t>i</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lnAções</w:t>
            </w:r>
            <w:r w:rsidRPr="007C3FAB">
              <w:rPr>
                <w:rFonts w:ascii="Times New Roman" w:hAnsi="Times New Roman" w:cs="Times New Roman"/>
                <w:color w:val="000000"/>
                <w:sz w:val="20"/>
                <w:szCs w:val="20"/>
                <w:vertAlign w:val="subscript"/>
                <w:lang w:val="pt-BR" w:eastAsia="pt-BR"/>
              </w:rPr>
              <w:t>i</w:t>
            </w:r>
          </w:p>
        </w:tc>
      </w:tr>
      <w:tr w:rsidR="003E7D60" w:rsidRPr="007C3FAB" w:rsidTr="00AA739C">
        <w:trPr>
          <w:trHeight w:hRule="exact" w:val="227"/>
          <w:jc w:val="center"/>
        </w:trPr>
        <w:tc>
          <w:tcPr>
            <w:tcW w:w="0" w:type="auto"/>
            <w:gridSpan w:val="8"/>
            <w:tcBorders>
              <w:top w:val="single" w:sz="4" w:space="0" w:color="auto"/>
            </w:tcBorders>
            <w:shd w:val="clear" w:color="auto" w:fill="auto"/>
            <w:noWrap/>
            <w:vAlign w:val="center"/>
            <w:hideMark/>
          </w:tcPr>
          <w:p w:rsidR="003E7D60" w:rsidRPr="007C3FAB" w:rsidRDefault="003E7D60" w:rsidP="00567F3A">
            <w:pPr>
              <w:rPr>
                <w:rFonts w:ascii="Times New Roman" w:hAnsi="Times New Roman" w:cs="Times New Roman"/>
                <w:b/>
                <w:bCs/>
                <w:color w:val="000000"/>
                <w:sz w:val="20"/>
                <w:szCs w:val="20"/>
                <w:lang w:val="pt-BR" w:eastAsia="pt-BR"/>
              </w:rPr>
            </w:pPr>
            <w:r w:rsidRPr="007C3FAB">
              <w:rPr>
                <w:rFonts w:ascii="Times New Roman" w:hAnsi="Times New Roman" w:cs="Times New Roman"/>
                <w:b/>
                <w:bCs/>
                <w:color w:val="000000"/>
                <w:sz w:val="20"/>
                <w:szCs w:val="20"/>
                <w:lang w:eastAsia="pt-BR"/>
              </w:rPr>
              <w:t>Variáveis de Interesse</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Membros</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[0,015]  (0,01)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[0,019]  (0,01)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[0,034]  (0,01)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[0,013]  (0,02)</w:t>
            </w:r>
          </w:p>
        </w:tc>
      </w:tr>
      <w:tr w:rsidR="00835790" w:rsidRPr="007C3FAB" w:rsidTr="00AA739C">
        <w:trPr>
          <w:trHeight w:hRule="exact" w:val="227"/>
          <w:jc w:val="center"/>
        </w:trPr>
        <w:tc>
          <w:tcPr>
            <w:tcW w:w="0" w:type="auto"/>
            <w:vMerge/>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1,83*</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2,69***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2,88***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0,75</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Instrução</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[-0,064]  (0,06)</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[-0,047]  (0,05)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[-0,025]  (0,08)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[0,152]  (0,12)</w:t>
            </w:r>
          </w:p>
        </w:tc>
      </w:tr>
      <w:tr w:rsidR="00835790" w:rsidRPr="007C3FAB" w:rsidTr="00AA739C">
        <w:trPr>
          <w:trHeight w:hRule="exact" w:val="227"/>
          <w:jc w:val="center"/>
        </w:trPr>
        <w:tc>
          <w:tcPr>
            <w:tcW w:w="0" w:type="auto"/>
            <w:vMerge/>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w:t>
            </w:r>
            <w:r w:rsidR="00AB7C88">
              <w:rPr>
                <w:rFonts w:ascii="Times New Roman" w:hAnsi="Times New Roman" w:cs="Times New Roman"/>
                <w:color w:val="000000"/>
                <w:sz w:val="20"/>
                <w:szCs w:val="20"/>
                <w:lang w:eastAsia="pt-BR"/>
              </w:rPr>
              <w:t>,00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-0,9</w:t>
            </w:r>
            <w:r w:rsidR="00AB7C88">
              <w:rPr>
                <w:rFonts w:ascii="Times New Roman" w:hAnsi="Times New Roman" w:cs="Times New Roman"/>
                <w:color w:val="000000"/>
                <w:sz w:val="20"/>
                <w:szCs w:val="20"/>
                <w:lang w:eastAsia="pt-BR"/>
              </w:rPr>
              <w:t>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0,76</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1,24</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d.Mulheres</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[0,081]  (0,03)</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[0,100]  (0,03)</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[0,050]  (0,04)</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[0,022]  (0,06)</w:t>
            </w:r>
          </w:p>
        </w:tc>
      </w:tr>
      <w:tr w:rsidR="00835790" w:rsidRPr="007C3FAB" w:rsidTr="00AA739C">
        <w:trPr>
          <w:trHeight w:hRule="exact" w:val="227"/>
          <w:jc w:val="center"/>
        </w:trPr>
        <w:tc>
          <w:tcPr>
            <w:tcW w:w="0" w:type="auto"/>
            <w:vMerge/>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2,63***</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3,56***</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1,16</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0,36</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d.Dual</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[-0,189]  (0,09)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[-0,154]  (0,09)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[-0,236]  (0,12)</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[-0,218]  (0,18)</w:t>
            </w:r>
          </w:p>
        </w:tc>
      </w:tr>
      <w:tr w:rsidR="00835790" w:rsidRPr="007C3FAB" w:rsidTr="00AA739C">
        <w:trPr>
          <w:trHeight w:hRule="exact" w:val="227"/>
          <w:jc w:val="center"/>
        </w:trPr>
        <w:tc>
          <w:tcPr>
            <w:tcW w:w="0" w:type="auto"/>
            <w:vMerge/>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-2,10**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-1,70*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-1,99**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-1,24</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AA739C">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d.Eleito</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[-0,024]  (0,01)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[-0,021]  (0,00)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[-0,025]  (0,01)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[-0,030]  (0,01)</w:t>
            </w:r>
          </w:p>
        </w:tc>
      </w:tr>
      <w:tr w:rsidR="00835790" w:rsidRPr="007C3FAB" w:rsidTr="00AA739C">
        <w:trPr>
          <w:trHeight w:hRule="exact" w:val="227"/>
          <w:jc w:val="center"/>
        </w:trPr>
        <w:tc>
          <w:tcPr>
            <w:tcW w:w="0" w:type="auto"/>
            <w:vMerge/>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-4,17***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-4,47***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-3,20***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-2,86***</w:t>
            </w:r>
          </w:p>
        </w:tc>
      </w:tr>
      <w:tr w:rsidR="003E7D60" w:rsidRPr="007C3FAB" w:rsidTr="00AA739C">
        <w:trPr>
          <w:trHeight w:hRule="exact" w:val="227"/>
          <w:jc w:val="center"/>
        </w:trPr>
        <w:tc>
          <w:tcPr>
            <w:tcW w:w="0" w:type="auto"/>
            <w:gridSpan w:val="8"/>
            <w:tcBorders>
              <w:left w:val="nil"/>
              <w:right w:val="nil"/>
            </w:tcBorders>
            <w:shd w:val="clear" w:color="auto" w:fill="auto"/>
            <w:noWrap/>
            <w:vAlign w:val="center"/>
            <w:hideMark/>
          </w:tcPr>
          <w:p w:rsidR="003E7D60" w:rsidRPr="007C3FAB" w:rsidRDefault="003E7D60" w:rsidP="00567F3A">
            <w:pPr>
              <w:rPr>
                <w:rFonts w:ascii="Times New Roman" w:hAnsi="Times New Roman" w:cs="Times New Roman"/>
                <w:b/>
                <w:bCs/>
                <w:color w:val="000000"/>
                <w:sz w:val="20"/>
                <w:szCs w:val="20"/>
                <w:lang w:val="pt-BR" w:eastAsia="pt-BR"/>
              </w:rPr>
            </w:pPr>
            <w:r w:rsidRPr="007C3FAB">
              <w:rPr>
                <w:rFonts w:ascii="Times New Roman" w:hAnsi="Times New Roman" w:cs="Times New Roman"/>
                <w:b/>
                <w:bCs/>
                <w:color w:val="000000"/>
                <w:sz w:val="20"/>
                <w:szCs w:val="20"/>
                <w:lang w:eastAsia="pt-BR"/>
              </w:rPr>
              <w:t>Variáveis de Controle</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Roa</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[1,652]  (1,19)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[0,175]  (1,05)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[2,387]  (1,59)</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[8,211]  (2,46)</w:t>
            </w:r>
          </w:p>
        </w:tc>
      </w:tr>
      <w:tr w:rsidR="00835790" w:rsidRPr="007C3FAB" w:rsidTr="00AA739C">
        <w:trPr>
          <w:trHeight w:hRule="exact" w:val="227"/>
          <w:jc w:val="center"/>
        </w:trPr>
        <w:tc>
          <w:tcPr>
            <w:tcW w:w="0" w:type="auto"/>
            <w:vMerge/>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1,38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1,5</w:t>
            </w:r>
            <w:r w:rsidR="00AB7C88">
              <w:rPr>
                <w:rFonts w:ascii="Times New Roman" w:hAnsi="Times New Roman" w:cs="Times New Roman"/>
                <w:color w:val="000000"/>
                <w:sz w:val="20"/>
                <w:szCs w:val="20"/>
                <w:lang w:eastAsia="pt-BR"/>
              </w:rPr>
              <w:t>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3,33***</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SRoa</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[-2,934]  (3,65)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[-6,350]  (3,05)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[0,186]  (3,76)</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[-5,648]  (6,13)</w:t>
            </w:r>
          </w:p>
        </w:tc>
      </w:tr>
      <w:tr w:rsidR="00835790" w:rsidRPr="007C3FAB" w:rsidTr="00AA739C">
        <w:trPr>
          <w:trHeight w:hRule="exact" w:val="227"/>
          <w:jc w:val="center"/>
        </w:trPr>
        <w:tc>
          <w:tcPr>
            <w:tcW w:w="0" w:type="auto"/>
            <w:vMerge/>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-0,8</w:t>
            </w:r>
            <w:r w:rsidR="00AB7C88">
              <w:rPr>
                <w:rFonts w:ascii="Times New Roman" w:hAnsi="Times New Roman" w:cs="Times New Roman"/>
                <w:color w:val="000000"/>
                <w:sz w:val="20"/>
                <w:szCs w:val="20"/>
                <w:lang w:eastAsia="pt-BR"/>
              </w:rPr>
              <w:t>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-2,08**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-0,92</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lnCresc</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[0,321]  (0,05)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[0,304]  (0,05)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[0,225]  (0,07)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[0,148]  (0,12)</w:t>
            </w:r>
          </w:p>
        </w:tc>
      </w:tr>
      <w:tr w:rsidR="00835790" w:rsidRPr="007C3FAB" w:rsidTr="00AA739C">
        <w:trPr>
          <w:trHeight w:hRule="exact" w:val="227"/>
          <w:jc w:val="center"/>
        </w:trPr>
        <w:tc>
          <w:tcPr>
            <w:tcW w:w="0" w:type="auto"/>
            <w:vMerge/>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6,94***</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6,68***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3,07***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1,27</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Q</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[0,404]  (0,35)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[0,552]  (0,30)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[0,799]  (0,48)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[0,982]  (0,85)</w:t>
            </w:r>
          </w:p>
        </w:tc>
      </w:tr>
      <w:tr w:rsidR="00835790" w:rsidRPr="007C3FAB" w:rsidTr="00AA739C">
        <w:trPr>
          <w:trHeight w:hRule="exact" w:val="227"/>
          <w:jc w:val="center"/>
        </w:trPr>
        <w:tc>
          <w:tcPr>
            <w:tcW w:w="0" w:type="auto"/>
            <w:vMerge/>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1,17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1,84*</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1,67*</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1,16</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d.Identidade</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[-1,082]  (0,15)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[-0,523]  (0,15)</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[-2,202]  (0,21)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w:t>
            </w:r>
          </w:p>
        </w:tc>
      </w:tr>
      <w:tr w:rsidR="00835790" w:rsidRPr="007C3FAB" w:rsidTr="00AA739C">
        <w:trPr>
          <w:trHeight w:hRule="exact" w:val="227"/>
          <w:jc w:val="center"/>
        </w:trPr>
        <w:tc>
          <w:tcPr>
            <w:tcW w:w="0" w:type="auto"/>
            <w:vMerge/>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-7,42***</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-3,42***</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-10,28***</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w:t>
            </w:r>
          </w:p>
        </w:tc>
      </w:tr>
      <w:tr w:rsidR="00835790" w:rsidRPr="007C3FAB" w:rsidTr="00AA739C">
        <w:trPr>
          <w:trHeight w:hRule="exact" w:val="227"/>
          <w:jc w:val="center"/>
        </w:trPr>
        <w:tc>
          <w:tcPr>
            <w:tcW w:w="0" w:type="auto"/>
            <w:vMerge w:val="restart"/>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lastRenderedPageBreak/>
              <w:t>Constante</w:t>
            </w:r>
            <w:r w:rsidRPr="007C3FAB">
              <w:rPr>
                <w:rFonts w:ascii="Times New Roman" w:hAnsi="Times New Roman" w:cs="Times New Roman"/>
                <w:color w:val="000000"/>
                <w:sz w:val="20"/>
                <w:szCs w:val="20"/>
                <w:vertAlign w:val="subscript"/>
                <w:lang w:val="pt-BR" w:eastAsia="pt-BR"/>
              </w:rPr>
              <w:t>i</w:t>
            </w: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[9,616]  (1,00)</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[9,076]  (1,04)</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[10,059]  (1,61)</w:t>
            </w:r>
          </w:p>
        </w:tc>
        <w:tc>
          <w:tcPr>
            <w:tcW w:w="0" w:type="auto"/>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[11,408]  (2,56)</w:t>
            </w:r>
          </w:p>
        </w:tc>
      </w:tr>
      <w:tr w:rsidR="00835790" w:rsidRPr="007C3FAB" w:rsidTr="00AA739C">
        <w:trPr>
          <w:trHeight w:hRule="exact" w:val="227"/>
          <w:jc w:val="center"/>
        </w:trPr>
        <w:tc>
          <w:tcPr>
            <w:tcW w:w="0" w:type="auto"/>
            <w:vMerge/>
            <w:tcBorders>
              <w:bottom w:val="single" w:sz="4" w:space="0" w:color="auto"/>
            </w:tcBorders>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tcBorders>
              <w:bottom w:val="single" w:sz="4" w:space="0" w:color="auto"/>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9,57***</w:t>
            </w:r>
          </w:p>
        </w:tc>
        <w:tc>
          <w:tcPr>
            <w:tcW w:w="0" w:type="auto"/>
            <w:tcBorders>
              <w:bottom w:val="single" w:sz="4" w:space="0" w:color="auto"/>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bottom w:val="single" w:sz="4" w:space="0" w:color="auto"/>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8,76***</w:t>
            </w:r>
          </w:p>
        </w:tc>
        <w:tc>
          <w:tcPr>
            <w:tcW w:w="0" w:type="auto"/>
            <w:tcBorders>
              <w:bottom w:val="single" w:sz="4" w:space="0" w:color="auto"/>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bottom w:val="single" w:sz="4" w:space="0" w:color="auto"/>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6,26***</w:t>
            </w:r>
          </w:p>
        </w:tc>
        <w:tc>
          <w:tcPr>
            <w:tcW w:w="0" w:type="auto"/>
            <w:tcBorders>
              <w:bottom w:val="single" w:sz="4" w:space="0" w:color="auto"/>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bottom w:val="single" w:sz="4" w:space="0" w:color="auto"/>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4,45***</w:t>
            </w:r>
          </w:p>
        </w:tc>
      </w:tr>
      <w:tr w:rsidR="00835790" w:rsidRPr="007C3FAB" w:rsidTr="00AA739C">
        <w:trPr>
          <w:trHeight w:hRule="exact" w:val="227"/>
          <w:jc w:val="center"/>
        </w:trPr>
        <w:tc>
          <w:tcPr>
            <w:tcW w:w="0" w:type="auto"/>
            <w:tcBorders>
              <w:top w:val="single" w:sz="4" w:space="0" w:color="auto"/>
              <w:left w:val="nil"/>
              <w:bottom w:val="nil"/>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Observações</w:t>
            </w:r>
          </w:p>
        </w:tc>
        <w:tc>
          <w:tcPr>
            <w:tcW w:w="0" w:type="auto"/>
            <w:tcBorders>
              <w:top w:val="single" w:sz="4" w:space="0" w:color="auto"/>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170</w:t>
            </w:r>
          </w:p>
        </w:tc>
        <w:tc>
          <w:tcPr>
            <w:tcW w:w="0" w:type="auto"/>
            <w:tcBorders>
              <w:top w:val="single" w:sz="4" w:space="0" w:color="auto"/>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single" w:sz="4" w:space="0" w:color="auto"/>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170</w:t>
            </w:r>
          </w:p>
        </w:tc>
        <w:tc>
          <w:tcPr>
            <w:tcW w:w="0" w:type="auto"/>
            <w:tcBorders>
              <w:top w:val="single" w:sz="4" w:space="0" w:color="auto"/>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single" w:sz="4" w:space="0" w:color="auto"/>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164</w:t>
            </w:r>
          </w:p>
        </w:tc>
        <w:tc>
          <w:tcPr>
            <w:tcW w:w="0" w:type="auto"/>
            <w:tcBorders>
              <w:top w:val="single" w:sz="4" w:space="0" w:color="auto"/>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single" w:sz="4" w:space="0" w:color="auto"/>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105</w:t>
            </w:r>
          </w:p>
        </w:tc>
      </w:tr>
      <w:tr w:rsidR="00835790" w:rsidRPr="007C3FAB" w:rsidTr="00AA739C">
        <w:trPr>
          <w:trHeight w:hRule="exact" w:val="227"/>
          <w:jc w:val="center"/>
        </w:trPr>
        <w:tc>
          <w:tcPr>
            <w:tcW w:w="0" w:type="auto"/>
            <w:tcBorders>
              <w:top w:val="nil"/>
              <w:left w:val="nil"/>
              <w:bottom w:val="nil"/>
              <w:right w:val="nil"/>
            </w:tcBorders>
            <w:shd w:val="clear" w:color="auto" w:fill="auto"/>
            <w:noWrap/>
            <w:vAlign w:val="center"/>
            <w:hideMark/>
          </w:tcPr>
          <w:p w:rsidR="003E7D60" w:rsidRPr="007C3FAB" w:rsidRDefault="003E7D60" w:rsidP="00567F3A">
            <w:pPr>
              <w:rPr>
                <w:rFonts w:ascii="Times New Roman" w:hAnsi="Times New Roman" w:cs="Times New Roman"/>
                <w:i/>
                <w:iCs/>
                <w:color w:val="000000"/>
                <w:sz w:val="20"/>
                <w:szCs w:val="20"/>
                <w:lang w:val="pt-BR" w:eastAsia="pt-BR"/>
              </w:rPr>
            </w:pPr>
            <w:r w:rsidRPr="007C3FAB">
              <w:rPr>
                <w:rFonts w:ascii="Times New Roman" w:hAnsi="Times New Roman" w:cs="Times New Roman"/>
                <w:i/>
                <w:iCs/>
                <w:color w:val="000000"/>
                <w:sz w:val="20"/>
                <w:szCs w:val="20"/>
                <w:lang w:eastAsia="pt-BR"/>
              </w:rPr>
              <w:t>R</w:t>
            </w:r>
            <w:r w:rsidRPr="007C3FAB">
              <w:rPr>
                <w:rFonts w:ascii="Times New Roman" w:hAnsi="Times New Roman" w:cs="Times New Roman"/>
                <w:color w:val="000000"/>
                <w:sz w:val="20"/>
                <w:szCs w:val="20"/>
                <w:vertAlign w:val="superscript"/>
                <w:lang w:eastAsia="pt-BR"/>
              </w:rPr>
              <w:t>2</w:t>
            </w: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0,44</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0,42</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0,45</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0,28</w:t>
            </w:r>
          </w:p>
        </w:tc>
      </w:tr>
      <w:tr w:rsidR="00835790" w:rsidRPr="007C3FAB" w:rsidTr="00AA739C">
        <w:trPr>
          <w:trHeight w:hRule="exact" w:val="227"/>
          <w:jc w:val="center"/>
        </w:trPr>
        <w:tc>
          <w:tcPr>
            <w:tcW w:w="0" w:type="auto"/>
            <w:tcBorders>
              <w:top w:val="nil"/>
              <w:left w:val="nil"/>
              <w:bottom w:val="nil"/>
              <w:right w:val="nil"/>
            </w:tcBorders>
            <w:shd w:val="clear" w:color="auto" w:fill="auto"/>
            <w:noWrap/>
            <w:vAlign w:val="center"/>
            <w:hideMark/>
          </w:tcPr>
          <w:p w:rsidR="003E7D60" w:rsidRPr="007C3FAB" w:rsidRDefault="003E7D60" w:rsidP="00567F3A">
            <w:pPr>
              <w:rPr>
                <w:rFonts w:ascii="Times New Roman" w:hAnsi="Times New Roman" w:cs="Times New Roman"/>
                <w:i/>
                <w:iCs/>
                <w:color w:val="000000"/>
                <w:sz w:val="20"/>
                <w:szCs w:val="20"/>
                <w:lang w:val="pt-BR" w:eastAsia="pt-BR"/>
              </w:rPr>
            </w:pPr>
            <w:r w:rsidRPr="007C3FAB">
              <w:rPr>
                <w:rFonts w:ascii="Times New Roman" w:hAnsi="Times New Roman" w:cs="Times New Roman"/>
                <w:i/>
                <w:iCs/>
                <w:color w:val="000000"/>
                <w:sz w:val="20"/>
                <w:szCs w:val="20"/>
                <w:lang w:eastAsia="pt-BR"/>
              </w:rPr>
              <w:t>Vif</w:t>
            </w:r>
            <w:r w:rsidRPr="007C3FAB">
              <w:rPr>
                <w:rFonts w:ascii="Times New Roman" w:hAnsi="Times New Roman" w:cs="Times New Roman"/>
                <w:color w:val="000000"/>
                <w:sz w:val="20"/>
                <w:szCs w:val="20"/>
                <w:lang w:eastAsia="pt-BR"/>
              </w:rPr>
              <w:t xml:space="preserve"> </w:t>
            </w:r>
            <w:r w:rsidRPr="007C3FAB">
              <w:rPr>
                <w:rFonts w:ascii="Times New Roman" w:hAnsi="Times New Roman" w:cs="Times New Roman"/>
                <w:color w:val="000000"/>
                <w:sz w:val="20"/>
                <w:szCs w:val="20"/>
                <w:vertAlign w:val="subscript"/>
                <w:lang w:eastAsia="pt-BR"/>
              </w:rPr>
              <w:t>mínimo</w:t>
            </w: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1,23</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1,23</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1,24</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1,36</w:t>
            </w:r>
          </w:p>
        </w:tc>
      </w:tr>
      <w:tr w:rsidR="00835790" w:rsidRPr="007C3FAB" w:rsidTr="00AA739C">
        <w:trPr>
          <w:trHeight w:hRule="exact" w:val="227"/>
          <w:jc w:val="center"/>
        </w:trPr>
        <w:tc>
          <w:tcPr>
            <w:tcW w:w="0" w:type="auto"/>
            <w:tcBorders>
              <w:top w:val="nil"/>
              <w:left w:val="nil"/>
              <w:bottom w:val="nil"/>
              <w:right w:val="nil"/>
            </w:tcBorders>
            <w:shd w:val="clear" w:color="auto" w:fill="auto"/>
            <w:noWrap/>
            <w:vAlign w:val="center"/>
            <w:hideMark/>
          </w:tcPr>
          <w:p w:rsidR="003E7D60" w:rsidRPr="007C3FAB" w:rsidRDefault="003E7D60" w:rsidP="00567F3A">
            <w:pPr>
              <w:rPr>
                <w:rFonts w:ascii="Times New Roman" w:hAnsi="Times New Roman" w:cs="Times New Roman"/>
                <w:i/>
                <w:iCs/>
                <w:color w:val="000000"/>
                <w:sz w:val="20"/>
                <w:szCs w:val="20"/>
                <w:lang w:val="pt-BR" w:eastAsia="pt-BR"/>
              </w:rPr>
            </w:pPr>
            <w:r w:rsidRPr="007C3FAB">
              <w:rPr>
                <w:rFonts w:ascii="Times New Roman" w:hAnsi="Times New Roman" w:cs="Times New Roman"/>
                <w:i/>
                <w:iCs/>
                <w:color w:val="000000"/>
                <w:sz w:val="20"/>
                <w:szCs w:val="20"/>
                <w:lang w:eastAsia="pt-BR"/>
              </w:rPr>
              <w:t>Vif</w:t>
            </w:r>
            <w:r w:rsidRPr="007C3FAB">
              <w:rPr>
                <w:rFonts w:ascii="Times New Roman" w:hAnsi="Times New Roman" w:cs="Times New Roman"/>
                <w:color w:val="000000"/>
                <w:sz w:val="20"/>
                <w:szCs w:val="20"/>
                <w:lang w:eastAsia="pt-BR"/>
              </w:rPr>
              <w:t xml:space="preserve"> </w:t>
            </w:r>
            <w:r w:rsidRPr="007C3FAB">
              <w:rPr>
                <w:rFonts w:ascii="Times New Roman" w:hAnsi="Times New Roman" w:cs="Times New Roman"/>
                <w:color w:val="000000"/>
                <w:sz w:val="20"/>
                <w:szCs w:val="20"/>
                <w:vertAlign w:val="subscript"/>
                <w:lang w:eastAsia="pt-BR"/>
              </w:rPr>
              <w:t>máximo</w:t>
            </w: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2,61</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2,61</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2,63</w:t>
            </w:r>
          </w:p>
        </w:tc>
        <w:tc>
          <w:tcPr>
            <w:tcW w:w="0" w:type="auto"/>
            <w:tcBorders>
              <w:top w:val="nil"/>
              <w:left w:val="nil"/>
              <w:bottom w:val="nil"/>
              <w:right w:val="nil"/>
            </w:tcBorders>
            <w:shd w:val="clear" w:color="auto" w:fill="auto"/>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p>
        </w:tc>
        <w:tc>
          <w:tcPr>
            <w:tcW w:w="0" w:type="auto"/>
            <w:tcBorders>
              <w:top w:val="nil"/>
              <w:left w:val="nil"/>
              <w:bottom w:val="nil"/>
              <w:right w:val="nil"/>
            </w:tcBorders>
            <w:shd w:val="clear" w:color="auto" w:fill="auto"/>
            <w:noWrap/>
            <w:vAlign w:val="center"/>
            <w:hideMark/>
          </w:tcPr>
          <w:p w:rsidR="003E7D60" w:rsidRPr="007C3FAB" w:rsidRDefault="003E7D60" w:rsidP="00567F3A">
            <w:pPr>
              <w:jc w:val="cente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3,3</w:t>
            </w:r>
            <w:r w:rsidR="00D00DC6" w:rsidRPr="007C3FAB">
              <w:rPr>
                <w:rFonts w:ascii="Times New Roman" w:hAnsi="Times New Roman" w:cs="Times New Roman"/>
                <w:color w:val="000000"/>
                <w:sz w:val="20"/>
                <w:szCs w:val="20"/>
                <w:lang w:eastAsia="pt-BR"/>
              </w:rPr>
              <w:t>0</w:t>
            </w:r>
          </w:p>
        </w:tc>
      </w:tr>
      <w:tr w:rsidR="00835790" w:rsidRPr="007C3FAB" w:rsidTr="00AA739C">
        <w:trPr>
          <w:trHeight w:hRule="exact" w:val="227"/>
          <w:jc w:val="center"/>
        </w:trPr>
        <w:tc>
          <w:tcPr>
            <w:tcW w:w="0" w:type="auto"/>
            <w:tcBorders>
              <w:top w:val="nil"/>
              <w:left w:val="nil"/>
              <w:right w:val="nil"/>
            </w:tcBorders>
            <w:shd w:val="clear" w:color="auto" w:fill="auto"/>
            <w:noWrap/>
            <w:vAlign w:val="center"/>
            <w:hideMark/>
          </w:tcPr>
          <w:p w:rsidR="003E7D60" w:rsidRPr="00237DDB" w:rsidRDefault="003E7D60" w:rsidP="00567F3A">
            <w:pPr>
              <w:rPr>
                <w:rFonts w:ascii="Times New Roman" w:hAnsi="Times New Roman" w:cs="Times New Roman"/>
                <w:i/>
                <w:color w:val="000000"/>
                <w:sz w:val="20"/>
                <w:szCs w:val="20"/>
                <w:lang w:val="pt-BR" w:eastAsia="pt-BR"/>
              </w:rPr>
            </w:pPr>
            <w:r w:rsidRPr="00237DDB">
              <w:rPr>
                <w:rFonts w:ascii="Times New Roman" w:hAnsi="Times New Roman" w:cs="Times New Roman"/>
                <w:i/>
                <w:color w:val="000000"/>
                <w:sz w:val="20"/>
                <w:szCs w:val="20"/>
                <w:lang w:eastAsia="pt-BR"/>
              </w:rPr>
              <w:t>Skewness/Kurtosis</w:t>
            </w:r>
          </w:p>
        </w:tc>
        <w:tc>
          <w:tcPr>
            <w:tcW w:w="0" w:type="auto"/>
            <w:tcBorders>
              <w:top w:val="nil"/>
              <w:left w:val="nil"/>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[4,920]  0,09*</w:t>
            </w:r>
          </w:p>
        </w:tc>
        <w:tc>
          <w:tcPr>
            <w:tcW w:w="0" w:type="auto"/>
            <w:tcBorders>
              <w:top w:val="nil"/>
              <w:left w:val="nil"/>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tcBorders>
              <w:top w:val="nil"/>
              <w:left w:val="nil"/>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[7,760]  0,02**</w:t>
            </w:r>
          </w:p>
        </w:tc>
        <w:tc>
          <w:tcPr>
            <w:tcW w:w="0" w:type="auto"/>
            <w:tcBorders>
              <w:top w:val="nil"/>
              <w:left w:val="nil"/>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tcBorders>
              <w:top w:val="nil"/>
              <w:left w:val="nil"/>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[3,570]  0,17</w:t>
            </w:r>
          </w:p>
        </w:tc>
        <w:tc>
          <w:tcPr>
            <w:tcW w:w="0" w:type="auto"/>
            <w:tcBorders>
              <w:top w:val="nil"/>
              <w:left w:val="nil"/>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p>
        </w:tc>
        <w:tc>
          <w:tcPr>
            <w:tcW w:w="0" w:type="auto"/>
            <w:tcBorders>
              <w:top w:val="nil"/>
              <w:left w:val="nil"/>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[1,670]  0,43</w:t>
            </w:r>
          </w:p>
        </w:tc>
      </w:tr>
      <w:tr w:rsidR="00835790" w:rsidRPr="007C3FAB" w:rsidTr="00AA739C">
        <w:trPr>
          <w:trHeight w:hRule="exact" w:val="227"/>
          <w:jc w:val="center"/>
        </w:trPr>
        <w:tc>
          <w:tcPr>
            <w:tcW w:w="0" w:type="auto"/>
            <w:tcBorders>
              <w:top w:val="nil"/>
              <w:left w:val="nil"/>
              <w:bottom w:val="single" w:sz="4" w:space="0" w:color="auto"/>
              <w:right w:val="nil"/>
            </w:tcBorders>
            <w:shd w:val="clear" w:color="auto" w:fill="auto"/>
            <w:noWrap/>
            <w:vAlign w:val="center"/>
            <w:hideMark/>
          </w:tcPr>
          <w:p w:rsidR="003E7D60" w:rsidRPr="00237DDB" w:rsidRDefault="003E7D60" w:rsidP="00567F3A">
            <w:pPr>
              <w:rPr>
                <w:rFonts w:ascii="Times New Roman" w:hAnsi="Times New Roman" w:cs="Times New Roman"/>
                <w:i/>
                <w:color w:val="000000"/>
                <w:sz w:val="20"/>
                <w:szCs w:val="20"/>
                <w:lang w:val="pt-BR" w:eastAsia="pt-BR"/>
              </w:rPr>
            </w:pPr>
            <w:r w:rsidRPr="00237DDB">
              <w:rPr>
                <w:rFonts w:ascii="Times New Roman" w:hAnsi="Times New Roman" w:cs="Times New Roman"/>
                <w:i/>
                <w:color w:val="000000"/>
                <w:sz w:val="20"/>
                <w:szCs w:val="20"/>
                <w:lang w:eastAsia="pt-BR"/>
              </w:rPr>
              <w:t>Jarque-Bera</w:t>
            </w: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[4,448]  0,11</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[8,486]  0,01**</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[3,507]  0,17</w:t>
            </w:r>
          </w:p>
        </w:tc>
        <w:tc>
          <w:tcPr>
            <w:tcW w:w="0" w:type="auto"/>
            <w:tcBorders>
              <w:top w:val="nil"/>
              <w:left w:val="nil"/>
              <w:bottom w:val="single" w:sz="4" w:space="0" w:color="auto"/>
              <w:right w:val="nil"/>
            </w:tcBorders>
            <w:shd w:val="clear" w:color="auto" w:fill="auto"/>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 </w:t>
            </w:r>
          </w:p>
        </w:tc>
        <w:tc>
          <w:tcPr>
            <w:tcW w:w="0" w:type="auto"/>
            <w:tcBorders>
              <w:top w:val="nil"/>
              <w:left w:val="nil"/>
              <w:bottom w:val="single" w:sz="4" w:space="0" w:color="auto"/>
              <w:right w:val="nil"/>
            </w:tcBorders>
            <w:shd w:val="clear" w:color="auto" w:fill="auto"/>
            <w:noWrap/>
            <w:vAlign w:val="center"/>
            <w:hideMark/>
          </w:tcPr>
          <w:p w:rsidR="003E7D60" w:rsidRPr="007C3FAB" w:rsidRDefault="003E7D60" w:rsidP="00567F3A">
            <w:pPr>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eastAsia="pt-BR"/>
              </w:rPr>
              <w:t>[1,679]  0,43</w:t>
            </w:r>
          </w:p>
        </w:tc>
      </w:tr>
      <w:tr w:rsidR="003E7D60" w:rsidRPr="00351C7E" w:rsidTr="00AA739C">
        <w:trPr>
          <w:trHeight w:hRule="exact" w:val="2381"/>
          <w:jc w:val="center"/>
        </w:trPr>
        <w:tc>
          <w:tcPr>
            <w:tcW w:w="0" w:type="auto"/>
            <w:gridSpan w:val="8"/>
            <w:tcBorders>
              <w:top w:val="single" w:sz="4" w:space="0" w:color="auto"/>
            </w:tcBorders>
            <w:shd w:val="clear" w:color="auto" w:fill="auto"/>
            <w:noWrap/>
            <w:vAlign w:val="center"/>
            <w:hideMark/>
          </w:tcPr>
          <w:p w:rsidR="003E7D60" w:rsidRPr="007C3FAB" w:rsidRDefault="007E59CE" w:rsidP="00237DDB">
            <w:pPr>
              <w:spacing w:after="0" w:line="240" w:lineRule="auto"/>
              <w:jc w:val="both"/>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Fonte:</w:t>
            </w:r>
            <w:r w:rsidR="003E7D60" w:rsidRPr="007C3FAB">
              <w:rPr>
                <w:rFonts w:ascii="Times New Roman" w:hAnsi="Times New Roman" w:cs="Times New Roman"/>
                <w:color w:val="000000"/>
                <w:sz w:val="20"/>
                <w:szCs w:val="20"/>
                <w:lang w:val="pt-BR" w:eastAsia="pt-BR"/>
              </w:rPr>
              <w:t xml:space="preserve"> elaborada pelos autores.</w:t>
            </w:r>
          </w:p>
          <w:p w:rsidR="007E59CE" w:rsidRPr="007C3FAB" w:rsidRDefault="005B1CC3" w:rsidP="00AA739C">
            <w:pPr>
              <w:spacing w:after="0" w:line="240" w:lineRule="auto"/>
              <w:jc w:val="both"/>
              <w:rPr>
                <w:rFonts w:ascii="Times New Roman" w:hAnsi="Times New Roman" w:cs="Times New Roman"/>
                <w:color w:val="000000"/>
                <w:sz w:val="20"/>
                <w:szCs w:val="20"/>
                <w:lang w:val="pt-BR" w:eastAsia="pt-BR"/>
              </w:rPr>
            </w:pPr>
            <w:r w:rsidRPr="007C3FAB">
              <w:rPr>
                <w:rFonts w:ascii="Times New Roman" w:hAnsi="Times New Roman" w:cs="Times New Roman"/>
                <w:color w:val="000000"/>
                <w:sz w:val="20"/>
                <w:szCs w:val="20"/>
                <w:lang w:val="pt-BR" w:eastAsia="pt-BR"/>
              </w:rPr>
              <w:t xml:space="preserve">Nota: </w:t>
            </w:r>
            <w:r w:rsidR="007A41C5" w:rsidRPr="007C3FAB">
              <w:rPr>
                <w:rFonts w:ascii="Times New Roman" w:hAnsi="Times New Roman" w:cs="Times New Roman"/>
                <w:sz w:val="20"/>
                <w:szCs w:val="20"/>
                <w:lang w:val="pt-BR"/>
              </w:rPr>
              <w:t xml:space="preserve">*, **, *** indica a significância estatística nos níveis de 0,10, 0,05 e 0,01, respectivamente. </w:t>
            </w:r>
            <w:r w:rsidRPr="007C3FAB">
              <w:rPr>
                <w:rFonts w:ascii="Times New Roman" w:hAnsi="Times New Roman" w:cs="Times New Roman"/>
                <w:color w:val="000000"/>
                <w:sz w:val="20"/>
                <w:szCs w:val="20"/>
                <w:lang w:val="pt-BR" w:eastAsia="pt-BR"/>
              </w:rPr>
              <w:t xml:space="preserve">Variáveis definidas na seção 3.2. </w:t>
            </w:r>
            <w:r w:rsidR="00237DDB">
              <w:rPr>
                <w:rFonts w:ascii="Times New Roman" w:hAnsi="Times New Roman" w:cs="Times New Roman"/>
                <w:color w:val="000000"/>
                <w:sz w:val="20"/>
                <w:szCs w:val="20"/>
                <w:lang w:val="pt-BR" w:eastAsia="pt-BR"/>
              </w:rPr>
              <w:t xml:space="preserve">Nas estimativas dos modelos econométricos os valores em colchetes representam os coeficientes, os valores em parênteses representam os erros-padrões robustos pela técnica de White (1980) e os valores abaixo destes representam a estatística </w:t>
            </w:r>
            <w:r w:rsidR="00237DDB" w:rsidRPr="00237DDB">
              <w:rPr>
                <w:rFonts w:ascii="Times New Roman" w:hAnsi="Times New Roman" w:cs="Times New Roman"/>
                <w:i/>
                <w:color w:val="000000"/>
                <w:sz w:val="20"/>
                <w:szCs w:val="20"/>
                <w:lang w:val="pt-BR" w:eastAsia="pt-BR"/>
              </w:rPr>
              <w:t>t</w:t>
            </w:r>
            <w:r w:rsidR="00237DDB">
              <w:rPr>
                <w:rFonts w:ascii="Times New Roman" w:hAnsi="Times New Roman" w:cs="Times New Roman"/>
                <w:color w:val="000000"/>
                <w:sz w:val="20"/>
                <w:szCs w:val="20"/>
                <w:lang w:val="pt-BR" w:eastAsia="pt-BR"/>
              </w:rPr>
              <w:t xml:space="preserve">. </w:t>
            </w:r>
            <w:r w:rsidR="00AA739C">
              <w:rPr>
                <w:rFonts w:ascii="Times New Roman" w:hAnsi="Times New Roman" w:cs="Times New Roman"/>
                <w:color w:val="000000"/>
                <w:sz w:val="20"/>
                <w:szCs w:val="20"/>
                <w:lang w:val="pt-BR" w:eastAsia="pt-BR"/>
              </w:rPr>
              <w:t xml:space="preserve">Nas estimativas dos testes de normalidade os números em colchetes representam os valores do teste e os a sua frente a estatística do referido teste. </w:t>
            </w:r>
            <w:r w:rsidR="00AA739C" w:rsidRPr="00AA739C">
              <w:rPr>
                <w:rFonts w:ascii="Times New Roman" w:hAnsi="Times New Roman" w:cs="Times New Roman"/>
                <w:i/>
                <w:color w:val="000000"/>
                <w:sz w:val="20"/>
                <w:szCs w:val="20"/>
                <w:lang w:val="pt-BR" w:eastAsia="pt-BR"/>
              </w:rPr>
              <w:t>R</w:t>
            </w:r>
            <w:r w:rsidR="00AA739C" w:rsidRPr="00AA739C">
              <w:rPr>
                <w:rFonts w:ascii="Times New Roman" w:hAnsi="Times New Roman" w:cs="Times New Roman"/>
                <w:color w:val="000000"/>
                <w:sz w:val="20"/>
                <w:szCs w:val="20"/>
                <w:vertAlign w:val="superscript"/>
                <w:lang w:val="pt-BR" w:eastAsia="pt-BR"/>
              </w:rPr>
              <w:t>2</w:t>
            </w:r>
            <w:r w:rsidR="00AA739C">
              <w:rPr>
                <w:rFonts w:ascii="Times New Roman" w:hAnsi="Times New Roman" w:cs="Times New Roman"/>
                <w:color w:val="000000"/>
                <w:sz w:val="20"/>
                <w:szCs w:val="20"/>
                <w:lang w:val="pt-BR" w:eastAsia="pt-BR"/>
              </w:rPr>
              <w:t xml:space="preserve"> representa o poder estatístico do modelo de forma global. </w:t>
            </w:r>
            <w:r w:rsidR="00237DDB">
              <w:rPr>
                <w:rFonts w:ascii="Times New Roman" w:hAnsi="Times New Roman" w:cs="Times New Roman"/>
                <w:color w:val="000000"/>
                <w:sz w:val="20"/>
                <w:szCs w:val="20"/>
                <w:lang w:val="pt-BR" w:eastAsia="pt-BR"/>
              </w:rPr>
              <w:t>V</w:t>
            </w:r>
            <w:r w:rsidRPr="007C3FAB">
              <w:rPr>
                <w:rFonts w:ascii="Times New Roman" w:hAnsi="Times New Roman" w:cs="Times New Roman"/>
                <w:i/>
                <w:color w:val="000000"/>
                <w:sz w:val="20"/>
                <w:szCs w:val="20"/>
                <w:lang w:val="pt-BR" w:eastAsia="pt-BR"/>
              </w:rPr>
              <w:t>if</w:t>
            </w:r>
            <w:r w:rsidRPr="007C3FAB">
              <w:rPr>
                <w:rFonts w:ascii="Times New Roman" w:hAnsi="Times New Roman" w:cs="Times New Roman"/>
                <w:color w:val="000000"/>
                <w:sz w:val="20"/>
                <w:szCs w:val="20"/>
                <w:lang w:val="pt-BR" w:eastAsia="pt-BR"/>
              </w:rPr>
              <w:t xml:space="preserve"> mínimo e </w:t>
            </w:r>
            <w:r w:rsidR="0096176A" w:rsidRPr="007C3FAB">
              <w:rPr>
                <w:rFonts w:ascii="Times New Roman" w:hAnsi="Times New Roman" w:cs="Times New Roman"/>
                <w:i/>
                <w:color w:val="000000"/>
                <w:sz w:val="20"/>
                <w:szCs w:val="20"/>
                <w:lang w:val="pt-BR" w:eastAsia="pt-BR"/>
              </w:rPr>
              <w:t>v</w:t>
            </w:r>
            <w:r w:rsidRPr="007C3FAB">
              <w:rPr>
                <w:rFonts w:ascii="Times New Roman" w:hAnsi="Times New Roman" w:cs="Times New Roman"/>
                <w:i/>
                <w:color w:val="000000"/>
                <w:sz w:val="20"/>
                <w:szCs w:val="20"/>
                <w:lang w:val="pt-BR" w:eastAsia="pt-BR"/>
              </w:rPr>
              <w:t>if</w:t>
            </w:r>
            <w:r w:rsidRPr="007C3FAB">
              <w:rPr>
                <w:rFonts w:ascii="Times New Roman" w:hAnsi="Times New Roman" w:cs="Times New Roman"/>
                <w:color w:val="000000"/>
                <w:sz w:val="20"/>
                <w:szCs w:val="20"/>
                <w:lang w:val="pt-BR" w:eastAsia="pt-BR"/>
              </w:rPr>
              <w:t xml:space="preserve"> máximo representam os valores mínimos e máximos do teste </w:t>
            </w:r>
            <w:r w:rsidRPr="007C3FAB">
              <w:rPr>
                <w:rFonts w:ascii="Times New Roman" w:hAnsi="Times New Roman" w:cs="Times New Roman"/>
                <w:i/>
                <w:color w:val="000000"/>
                <w:sz w:val="20"/>
                <w:szCs w:val="20"/>
                <w:lang w:val="pt-BR" w:eastAsia="pt-BR"/>
              </w:rPr>
              <w:t>variance inflation factor</w:t>
            </w:r>
            <w:r w:rsidR="00D00DC6" w:rsidRPr="007C3FAB">
              <w:rPr>
                <w:rFonts w:ascii="Times New Roman" w:hAnsi="Times New Roman" w:cs="Times New Roman"/>
                <w:color w:val="000000"/>
                <w:sz w:val="20"/>
                <w:szCs w:val="20"/>
                <w:lang w:val="pt-BR" w:eastAsia="pt-BR"/>
              </w:rPr>
              <w:t xml:space="preserve">, respectivamente. Segundo </w:t>
            </w:r>
            <w:r w:rsidR="00C70C2A" w:rsidRPr="007C3FAB">
              <w:rPr>
                <w:rStyle w:val="FootnoteReference"/>
                <w:rFonts w:ascii="Times New Roman" w:hAnsi="Times New Roman" w:cs="Times New Roman"/>
                <w:color w:val="000000"/>
                <w:sz w:val="20"/>
                <w:szCs w:val="20"/>
                <w:lang w:val="pt-BR" w:eastAsia="pt-BR"/>
              </w:rPr>
              <w:fldChar w:fldCharType="begin" w:fldLock="1"/>
            </w:r>
            <w:r w:rsidR="00051229" w:rsidRPr="007C3FAB">
              <w:rPr>
                <w:rFonts w:ascii="Times New Roman" w:hAnsi="Times New Roman" w:cs="Times New Roman"/>
                <w:color w:val="000000"/>
                <w:sz w:val="20"/>
                <w:szCs w:val="20"/>
                <w:lang w:val="pt-BR" w:eastAsia="pt-BR"/>
              </w:rPr>
              <w:instrText>ADDIN CSL_CITATION { "citationItems" : [ { "id" : "ITEM-1", "itemData" : { "author" : [ { "dropping-particle" : "", "family" : "Gujarati", "given" : "Damodar N.", "non-dropping-particle" : "", "parse-names" : false, "suffix" : "" }, { "dropping-particle" : "", "family" : "Porter", "given" : "Dawn C.", "non-dropping-particle" : "", "parse-names" : false, "suffix" : "" } ], "edition" : "5", "editor" : [ { "dropping-particle" : "", "family" : "AMGH", "given" : "", "non-dropping-particle" : "", "parse-names" : false, "suffix" : "" } ], "id" : "ITEM-1", "issued" : { "date-parts" : [ [ "2011" ] ] }, "number-of-pages" : "918", "title" : "Econometria B\u00e1sica", "type" : "book" }, "uris" : [ "http://www.mendeley.com/documents/?uuid=faa9d1c8-7789-4e75-92fb-a2b46d89218e" ] } ], "mendeley" : { "formattedCitation" : "(GUJARATI; PORTER, 2011)", "manualFormatting" : "Gujarati e Porter (2011)", "plainTextFormattedCitation" : "(GUJARATI; PORTER, 2011)", "previouslyFormattedCitation" : "(GUJARATI; PORTER, 2011)" }, "properties" : {  }, "schema" : "https://github.com/citation-style-language/schema/raw/master/csl-citation.json" }</w:instrText>
            </w:r>
            <w:r w:rsidR="00C70C2A" w:rsidRPr="007C3FAB">
              <w:rPr>
                <w:rStyle w:val="FootnoteReference"/>
                <w:rFonts w:ascii="Times New Roman" w:hAnsi="Times New Roman" w:cs="Times New Roman"/>
                <w:color w:val="000000"/>
                <w:sz w:val="20"/>
                <w:szCs w:val="20"/>
                <w:lang w:val="pt-BR" w:eastAsia="pt-BR"/>
              </w:rPr>
              <w:fldChar w:fldCharType="separate"/>
            </w:r>
            <w:r w:rsidR="00C70C2A" w:rsidRPr="007C3FAB">
              <w:rPr>
                <w:rFonts w:ascii="Times New Roman" w:hAnsi="Times New Roman" w:cs="Times New Roman"/>
                <w:noProof/>
                <w:color w:val="000000"/>
                <w:sz w:val="20"/>
                <w:szCs w:val="20"/>
                <w:lang w:val="pt-BR" w:eastAsia="pt-BR"/>
              </w:rPr>
              <w:t>Gujarati e Porter (2011)</w:t>
            </w:r>
            <w:r w:rsidR="00C70C2A" w:rsidRPr="007C3FAB">
              <w:rPr>
                <w:rStyle w:val="FootnoteReference"/>
                <w:rFonts w:ascii="Times New Roman" w:hAnsi="Times New Roman" w:cs="Times New Roman"/>
                <w:color w:val="000000"/>
                <w:sz w:val="20"/>
                <w:szCs w:val="20"/>
                <w:lang w:val="pt-BR" w:eastAsia="pt-BR"/>
              </w:rPr>
              <w:fldChar w:fldCharType="end"/>
            </w:r>
            <w:r w:rsidRPr="007C3FAB">
              <w:rPr>
                <w:rFonts w:ascii="Times New Roman" w:hAnsi="Times New Roman" w:cs="Times New Roman"/>
                <w:color w:val="000000"/>
                <w:sz w:val="20"/>
                <w:szCs w:val="20"/>
                <w:lang w:val="pt-BR" w:eastAsia="pt-BR"/>
              </w:rPr>
              <w:t xml:space="preserve"> </w:t>
            </w:r>
            <w:r w:rsidR="00D00DC6" w:rsidRPr="007C3FAB">
              <w:rPr>
                <w:rFonts w:ascii="Times New Roman" w:hAnsi="Times New Roman" w:cs="Times New Roman"/>
                <w:color w:val="000000"/>
                <w:sz w:val="20"/>
                <w:szCs w:val="20"/>
                <w:lang w:val="pt-BR" w:eastAsia="pt-BR"/>
              </w:rPr>
              <w:t xml:space="preserve">quanto maior for o valor </w:t>
            </w:r>
            <w:r w:rsidR="0096176A" w:rsidRPr="007C3FAB">
              <w:rPr>
                <w:rFonts w:ascii="Times New Roman" w:hAnsi="Times New Roman" w:cs="Times New Roman"/>
                <w:i/>
                <w:color w:val="000000"/>
                <w:sz w:val="20"/>
                <w:szCs w:val="20"/>
                <w:lang w:val="pt-BR" w:eastAsia="pt-BR"/>
              </w:rPr>
              <w:t>vif</w:t>
            </w:r>
            <w:r w:rsidR="00D00DC6" w:rsidRPr="007C3FAB">
              <w:rPr>
                <w:rFonts w:ascii="Times New Roman" w:hAnsi="Times New Roman" w:cs="Times New Roman"/>
                <w:color w:val="000000"/>
                <w:sz w:val="20"/>
                <w:szCs w:val="20"/>
                <w:lang w:val="pt-BR" w:eastAsia="pt-BR"/>
              </w:rPr>
              <w:t xml:space="preserve">, superior a 10, </w:t>
            </w:r>
            <w:r w:rsidRPr="007C3FAB">
              <w:rPr>
                <w:rFonts w:ascii="Times New Roman" w:hAnsi="Times New Roman" w:cs="Times New Roman"/>
                <w:color w:val="000000"/>
                <w:sz w:val="20"/>
                <w:szCs w:val="20"/>
                <w:lang w:val="pt-BR" w:eastAsia="pt-BR"/>
              </w:rPr>
              <w:t>h</w:t>
            </w:r>
            <w:r w:rsidR="00D00DC6" w:rsidRPr="007C3FAB">
              <w:rPr>
                <w:rFonts w:ascii="Times New Roman" w:hAnsi="Times New Roman" w:cs="Times New Roman"/>
                <w:color w:val="000000"/>
                <w:sz w:val="20"/>
                <w:szCs w:val="20"/>
                <w:lang w:val="pt-BR" w:eastAsia="pt-BR"/>
              </w:rPr>
              <w:t>á variáveis com alta colinearidade.</w:t>
            </w:r>
            <w:r w:rsidR="00835790" w:rsidRPr="007C3FAB">
              <w:rPr>
                <w:rFonts w:ascii="Times New Roman" w:hAnsi="Times New Roman" w:cs="Times New Roman"/>
                <w:color w:val="000000"/>
                <w:sz w:val="20"/>
                <w:szCs w:val="20"/>
                <w:lang w:val="pt-BR" w:eastAsia="pt-BR"/>
              </w:rPr>
              <w:t xml:space="preserve"> </w:t>
            </w:r>
            <w:r w:rsidR="00835790" w:rsidRPr="00237DDB">
              <w:rPr>
                <w:rFonts w:ascii="Times New Roman" w:hAnsi="Times New Roman" w:cs="Times New Roman"/>
                <w:i/>
                <w:color w:val="000000"/>
                <w:sz w:val="20"/>
                <w:szCs w:val="20"/>
                <w:lang w:val="pt-BR" w:eastAsia="pt-BR"/>
              </w:rPr>
              <w:t>Skewness/Kurtosis e Jarque-Bera</w:t>
            </w:r>
            <w:r w:rsidR="00835790" w:rsidRPr="007C3FAB">
              <w:rPr>
                <w:rFonts w:ascii="Times New Roman" w:hAnsi="Times New Roman" w:cs="Times New Roman"/>
                <w:color w:val="000000"/>
                <w:sz w:val="20"/>
                <w:szCs w:val="20"/>
                <w:lang w:val="pt-BR" w:eastAsia="pt-BR"/>
              </w:rPr>
              <w:t xml:space="preserve"> testam a normalidade dos resíduos da regressão, tendo como H</w:t>
            </w:r>
            <w:r w:rsidR="00835790" w:rsidRPr="007C3FAB">
              <w:rPr>
                <w:rFonts w:ascii="Times New Roman" w:hAnsi="Times New Roman" w:cs="Times New Roman"/>
                <w:color w:val="000000"/>
                <w:sz w:val="20"/>
                <w:szCs w:val="20"/>
                <w:vertAlign w:val="subscript"/>
                <w:lang w:val="pt-BR" w:eastAsia="pt-BR"/>
              </w:rPr>
              <w:t>0</w:t>
            </w:r>
            <w:r w:rsidR="00835790" w:rsidRPr="007C3FAB">
              <w:rPr>
                <w:rFonts w:ascii="Times New Roman" w:hAnsi="Times New Roman" w:cs="Times New Roman"/>
                <w:color w:val="000000"/>
                <w:sz w:val="20"/>
                <w:szCs w:val="20"/>
                <w:lang w:val="pt-BR" w:eastAsia="pt-BR"/>
              </w:rPr>
              <w:t>: normalidade.</w:t>
            </w:r>
            <w:r w:rsidR="00237DDB">
              <w:rPr>
                <w:rFonts w:ascii="Times New Roman" w:hAnsi="Times New Roman" w:cs="Times New Roman"/>
                <w:color w:val="000000"/>
                <w:sz w:val="20"/>
                <w:szCs w:val="20"/>
                <w:lang w:val="pt-BR" w:eastAsia="pt-BR"/>
              </w:rPr>
              <w:t xml:space="preserve"> </w:t>
            </w:r>
          </w:p>
        </w:tc>
      </w:tr>
    </w:tbl>
    <w:p w:rsidR="006832C3" w:rsidRDefault="006832C3" w:rsidP="006832C3">
      <w:pPr>
        <w:spacing w:after="0" w:line="240" w:lineRule="auto"/>
        <w:ind w:firstLine="709"/>
        <w:jc w:val="both"/>
        <w:rPr>
          <w:rFonts w:ascii="Times New Roman" w:hAnsi="Times New Roman" w:cs="Times New Roman"/>
          <w:sz w:val="24"/>
          <w:szCs w:val="24"/>
          <w:lang w:val="pt-BR" w:eastAsia="pt-BR"/>
        </w:rPr>
      </w:pPr>
    </w:p>
    <w:p w:rsidR="003E7D60" w:rsidRPr="00C35568" w:rsidRDefault="006070F9"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As características dos executivos </w:t>
      </w:r>
      <w:r w:rsidR="0029480C" w:rsidRPr="00C35568">
        <w:rPr>
          <w:rFonts w:ascii="Times New Roman" w:hAnsi="Times New Roman" w:cs="Times New Roman"/>
          <w:sz w:val="24"/>
          <w:szCs w:val="24"/>
          <w:lang w:val="pt-BR" w:eastAsia="pt-BR"/>
        </w:rPr>
        <w:t>apresentaram signific</w:t>
      </w:r>
      <w:r w:rsidR="007E20C3" w:rsidRPr="00C35568">
        <w:rPr>
          <w:rFonts w:ascii="Times New Roman" w:hAnsi="Times New Roman" w:cs="Times New Roman"/>
          <w:sz w:val="24"/>
          <w:szCs w:val="24"/>
          <w:lang w:val="pt-BR" w:eastAsia="pt-BR"/>
        </w:rPr>
        <w:t>â</w:t>
      </w:r>
      <w:r w:rsidR="0029480C" w:rsidRPr="00C35568">
        <w:rPr>
          <w:rFonts w:ascii="Times New Roman" w:hAnsi="Times New Roman" w:cs="Times New Roman"/>
          <w:sz w:val="24"/>
          <w:szCs w:val="24"/>
          <w:lang w:val="pt-BR" w:eastAsia="pt-BR"/>
        </w:rPr>
        <w:t>ncia estatística com as medida</w:t>
      </w:r>
      <w:r w:rsidR="00874245" w:rsidRPr="00C35568">
        <w:rPr>
          <w:rFonts w:ascii="Times New Roman" w:hAnsi="Times New Roman" w:cs="Times New Roman"/>
          <w:sz w:val="24"/>
          <w:szCs w:val="24"/>
          <w:lang w:val="pt-BR" w:eastAsia="pt-BR"/>
        </w:rPr>
        <w:t xml:space="preserve">s de </w:t>
      </w:r>
      <w:r w:rsidR="0029480C" w:rsidRPr="00C35568">
        <w:rPr>
          <w:rFonts w:ascii="Times New Roman" w:hAnsi="Times New Roman" w:cs="Times New Roman"/>
          <w:sz w:val="24"/>
          <w:szCs w:val="24"/>
          <w:lang w:val="pt-BR" w:eastAsia="pt-BR"/>
        </w:rPr>
        <w:t>remuneração. Especific</w:t>
      </w:r>
      <w:r w:rsidR="00692E89" w:rsidRPr="00C35568">
        <w:rPr>
          <w:rFonts w:ascii="Times New Roman" w:hAnsi="Times New Roman" w:cs="Times New Roman"/>
          <w:sz w:val="24"/>
          <w:szCs w:val="24"/>
          <w:lang w:val="pt-BR" w:eastAsia="pt-BR"/>
        </w:rPr>
        <w:t>amente, a quantidade de execu</w:t>
      </w:r>
      <w:r w:rsidR="00810A3C" w:rsidRPr="00C35568">
        <w:rPr>
          <w:rFonts w:ascii="Times New Roman" w:hAnsi="Times New Roman" w:cs="Times New Roman"/>
          <w:sz w:val="24"/>
          <w:szCs w:val="24"/>
          <w:lang w:val="pt-BR" w:eastAsia="pt-BR"/>
        </w:rPr>
        <w:t>tivos apresenta relação positiva</w:t>
      </w:r>
      <w:r w:rsidR="00692E89" w:rsidRPr="00C35568">
        <w:rPr>
          <w:rFonts w:ascii="Times New Roman" w:hAnsi="Times New Roman" w:cs="Times New Roman"/>
          <w:sz w:val="24"/>
          <w:szCs w:val="24"/>
          <w:lang w:val="pt-BR" w:eastAsia="pt-BR"/>
        </w:rPr>
        <w:t xml:space="preserve"> com o total de remuneração, a parcela fixa da compensação e a parcela variável (</w:t>
      </w:r>
      <w:r w:rsidR="00770AC9" w:rsidRPr="00C35568">
        <w:rPr>
          <w:rFonts w:ascii="Times New Roman" w:hAnsi="Times New Roman" w:cs="Times New Roman"/>
          <w:sz w:val="24"/>
          <w:szCs w:val="24"/>
          <w:lang w:val="pt-BR" w:eastAsia="pt-BR"/>
        </w:rPr>
        <w:t>Membros:</w:t>
      </w:r>
      <w:r w:rsidR="00692E89" w:rsidRPr="00C35568">
        <w:rPr>
          <w:rFonts w:ascii="Times New Roman" w:hAnsi="Times New Roman" w:cs="Times New Roman"/>
          <w:sz w:val="24"/>
          <w:szCs w:val="24"/>
          <w:lang w:val="pt-BR" w:eastAsia="pt-BR"/>
        </w:rPr>
        <w:t xml:space="preserve"> coef. 0,015, p &lt; 0,10; coef. 0,019, p &lt; 0,01; e coef. 0,034, p &lt; 0,01, respectivamente). Isso significa que conselhos maiores têm impacto</w:t>
      </w:r>
      <w:r w:rsidR="00874245" w:rsidRPr="00C35568">
        <w:rPr>
          <w:rFonts w:ascii="Times New Roman" w:hAnsi="Times New Roman" w:cs="Times New Roman"/>
          <w:sz w:val="24"/>
          <w:szCs w:val="24"/>
          <w:lang w:val="pt-BR" w:eastAsia="pt-BR"/>
        </w:rPr>
        <w:t xml:space="preserve"> direto na remuneração executiva</w:t>
      </w:r>
      <w:r w:rsidR="00692E89" w:rsidRPr="00C35568">
        <w:rPr>
          <w:rFonts w:ascii="Times New Roman" w:hAnsi="Times New Roman" w:cs="Times New Roman"/>
          <w:sz w:val="24"/>
          <w:szCs w:val="24"/>
          <w:lang w:val="pt-BR" w:eastAsia="pt-BR"/>
        </w:rPr>
        <w:t xml:space="preserve">, independentemente do tipo da mesma. </w:t>
      </w:r>
      <w:r w:rsidR="00810A3C" w:rsidRPr="00C35568">
        <w:rPr>
          <w:rFonts w:ascii="Times New Roman" w:hAnsi="Times New Roman" w:cs="Times New Roman"/>
          <w:sz w:val="24"/>
          <w:szCs w:val="24"/>
          <w:lang w:val="pt-BR" w:eastAsia="pt-BR"/>
        </w:rPr>
        <w:t xml:space="preserve">Deste modo, há indícios de que as decisões de remuneração são mais propensas a serem influenciadas quando os órgãos administrativos são maiores. </w:t>
      </w:r>
      <w:r w:rsidR="00692E89" w:rsidRPr="00C35568">
        <w:rPr>
          <w:rFonts w:ascii="Times New Roman" w:hAnsi="Times New Roman" w:cs="Times New Roman"/>
          <w:sz w:val="24"/>
          <w:szCs w:val="24"/>
          <w:lang w:val="pt-BR" w:eastAsia="pt-BR"/>
        </w:rPr>
        <w:t xml:space="preserve">Essa evidência está </w:t>
      </w:r>
      <w:r w:rsidR="00E06AC3" w:rsidRPr="00C35568">
        <w:rPr>
          <w:rFonts w:ascii="Times New Roman" w:hAnsi="Times New Roman" w:cs="Times New Roman"/>
          <w:sz w:val="24"/>
          <w:szCs w:val="24"/>
          <w:lang w:val="pt-BR" w:eastAsia="pt-BR"/>
        </w:rPr>
        <w:t xml:space="preserve">de acordo com os achados de </w:t>
      </w:r>
      <w:r w:rsidR="00C70C2A" w:rsidRPr="00C35568">
        <w:rPr>
          <w:rStyle w:val="FootnoteReference"/>
          <w:rFonts w:ascii="Times New Roman" w:hAnsi="Times New Roman" w:cs="Times New Roman"/>
          <w:sz w:val="24"/>
          <w:szCs w:val="24"/>
          <w:lang w:val="pt-BR" w:eastAsia="pt-BR"/>
        </w:rPr>
        <w:fldChar w:fldCharType="begin" w:fldLock="1"/>
      </w:r>
      <w:r w:rsidR="00051229" w:rsidRPr="00C35568">
        <w:rPr>
          <w:rFonts w:ascii="Times New Roman" w:hAnsi="Times New Roman" w:cs="Times New Roman"/>
          <w:sz w:val="24"/>
          <w:szCs w:val="24"/>
          <w:lang w:val="pt-BR" w:eastAsia="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"id" : "ITEM-2",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"ITEM-2",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"ITEM-3", "itemData" : { "author" : [ { "dropping-particle" : "", "family" : "Yan", "given" : "Yan", "non-dropping-particle" : "", "parse-names" : false, "suffix" : "" } ], "id" : "ITEM-3",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"id" : "ITEM-4", "itemData" : { "DOI" : "10.1016/j.pacfin.2012.08.006", "ISBN" : "0927-538X", "ISSN" : "0927538X", "abstract" : "The present study extends the international body of evidence on executive compensation by offering a novel account of the interaction of CEO gender with executive remuneration and firm performance in the Chinese market place. Examination of more than 10,000 firm-year observations, spanning the period 2000-2008, points to women making up around 4.4% of all CEOs in China's listed issuers. More tellingly, female CEO participation is on the rise and is considerably more visible in firms with private control. This result is consistent with Becker's (1957) proposition that competitive forces lessen discriminatory pressures. We surmise that the Chinese authorities' attempts to promote gender-neutral hiring policies now appear subordinate to forces unleashed by China's burgeoning private sector. Female CEOs are also more likely to emerge in firms where at least one female director is present. However, the presence of international cross-listings does not materially raise CEO compensation or the likelihood of the CEO being female. In keeping with international norms, female CEOs receive less favourable compensation terms than their male counterparts. Finally, we find only limited evidence of a CEO gender-firm performance link. \u00a9 2012 Elsevier B.V.", "author" : [ { "dropping-particle" : "", "family" : "Lam", "given" : "Kevin C.K.", "non-dropping-particle" : "", "parse-names" : false, "suffix" : "" }, { "dropping-particle" : "", "family" : "McGuinness", "given" : "Paul B.", "non-dropping-particle" : "", "parse-names" : false, "suffix" : "" }, { "dropping-particle" : "", "family" : "Vieito", "given" : "Jo\u00e3o Paulo", "non-dropping-particle" : "", "parse-names" : false, "suffix" : "" } ], "container-title" : "Pacific Basin Finance Journal", "id" : "ITEM-4", "issue" : "1", "issued" : { "date-parts" : [ [ "2013" ] ] }, "page" : "1136-1159", "publisher" : "Elsevier B.V.", "title" : "CEO gender, executive compensation and firm performance in Chinese-listed enterprises", "type" : "article-journal", "volume" : "21" }, "uris" : [ "http://www.mendeley.com/documents/?uuid=2689f12d-13ad-4eb0-b173-22fa246645c7" ] } ], "mendeley" : { "formattedCitation" : "(ELKINAWY; STATER, 2011; GHOSH; SIRMANS, 2005; LAM; MCGUINNESS; VIEITO, 2013; YAN, 2015)", "manualFormatting" : "Elkinawy e Stater (2011), Ghosh e Sirmans (2005), Lam et al. (2013) e Yan (2015)", "plainTextFormattedCitation" : "(ELKINAWY; STATER, 2011; GHOSH; SIRMANS, 2005; LAM; MCGUINNESS; VIEITO, 2013; YAN, 2015)", "previouslyFormattedCitation" : "(ELKINAWY; STATER, 2011; GHOSH; SIRMANS, 2005; LAM; MCGUINNESS; VIEITO, 2013; YAN, 2015)"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eastAsia="pt-BR"/>
        </w:rPr>
        <w:fldChar w:fldCharType="separate"/>
      </w:r>
      <w:r w:rsidR="00C70C2A" w:rsidRPr="00C35568">
        <w:rPr>
          <w:rFonts w:ascii="Times New Roman" w:hAnsi="Times New Roman" w:cs="Times New Roman"/>
          <w:noProof/>
          <w:sz w:val="24"/>
          <w:szCs w:val="24"/>
          <w:lang w:val="pt-BR" w:eastAsia="pt-BR"/>
        </w:rPr>
        <w:t xml:space="preserve">Elkinawy e Stater (2011), Ghosh e Sirmans (2005), Lam </w:t>
      </w:r>
      <w:r w:rsidR="00C70C2A" w:rsidRPr="005108E6">
        <w:rPr>
          <w:rFonts w:ascii="Times New Roman" w:hAnsi="Times New Roman" w:cs="Times New Roman"/>
          <w:i/>
          <w:noProof/>
          <w:sz w:val="24"/>
          <w:szCs w:val="24"/>
          <w:lang w:val="pt-BR" w:eastAsia="pt-BR"/>
        </w:rPr>
        <w:t>et al</w:t>
      </w:r>
      <w:r w:rsidR="00C70C2A" w:rsidRPr="00C35568">
        <w:rPr>
          <w:rFonts w:ascii="Times New Roman" w:hAnsi="Times New Roman" w:cs="Times New Roman"/>
          <w:noProof/>
          <w:sz w:val="24"/>
          <w:szCs w:val="24"/>
          <w:lang w:val="pt-BR" w:eastAsia="pt-BR"/>
        </w:rPr>
        <w:t>. (2013) e Yan (2015)</w:t>
      </w:r>
      <w:r w:rsidR="00C70C2A" w:rsidRPr="00C35568">
        <w:rPr>
          <w:rStyle w:val="FootnoteReference"/>
          <w:rFonts w:ascii="Times New Roman" w:hAnsi="Times New Roman" w:cs="Times New Roman"/>
          <w:sz w:val="24"/>
          <w:szCs w:val="24"/>
          <w:lang w:val="pt-BR" w:eastAsia="pt-BR"/>
        </w:rPr>
        <w:fldChar w:fldCharType="end"/>
      </w:r>
      <w:r w:rsidR="00886DD1" w:rsidRPr="00C35568">
        <w:rPr>
          <w:rFonts w:ascii="Times New Roman" w:hAnsi="Times New Roman" w:cs="Times New Roman"/>
          <w:sz w:val="24"/>
          <w:szCs w:val="24"/>
          <w:lang w:val="pt-BR" w:eastAsia="pt-BR"/>
        </w:rPr>
        <w:t>.</w:t>
      </w:r>
    </w:p>
    <w:p w:rsidR="00A039DE" w:rsidRPr="00C35568" w:rsidRDefault="00A039DE"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 presença de mulheres executivas impacta positivamente a remuneração total e </w:t>
      </w:r>
      <w:r w:rsidR="00262421" w:rsidRPr="00C35568">
        <w:rPr>
          <w:rFonts w:ascii="Times New Roman" w:hAnsi="Times New Roman" w:cs="Times New Roman"/>
          <w:sz w:val="24"/>
          <w:szCs w:val="24"/>
          <w:lang w:val="pt-BR" w:eastAsia="pt-BR"/>
        </w:rPr>
        <w:t xml:space="preserve">sua </w:t>
      </w:r>
      <w:r w:rsidRPr="00C35568">
        <w:rPr>
          <w:rFonts w:ascii="Times New Roman" w:hAnsi="Times New Roman" w:cs="Times New Roman"/>
          <w:sz w:val="24"/>
          <w:szCs w:val="24"/>
          <w:lang w:val="pt-BR" w:eastAsia="pt-BR"/>
        </w:rPr>
        <w:t>parcela fixa</w:t>
      </w:r>
      <w:r w:rsidR="00262421" w:rsidRPr="00C35568">
        <w:rPr>
          <w:rFonts w:ascii="Times New Roman" w:hAnsi="Times New Roman" w:cs="Times New Roman"/>
          <w:sz w:val="24"/>
          <w:szCs w:val="24"/>
          <w:lang w:val="pt-BR" w:eastAsia="pt-BR"/>
        </w:rPr>
        <w:t xml:space="preserve">. </w:t>
      </w:r>
      <w:r w:rsidR="00770AC9" w:rsidRPr="00C35568">
        <w:rPr>
          <w:rFonts w:ascii="Times New Roman" w:hAnsi="Times New Roman" w:cs="Times New Roman"/>
          <w:sz w:val="24"/>
          <w:szCs w:val="24"/>
          <w:lang w:val="pt-BR" w:eastAsia="pt-BR"/>
        </w:rPr>
        <w:t>(d.Mulheres:</w:t>
      </w:r>
      <w:r w:rsidR="00262421" w:rsidRPr="00C35568">
        <w:rPr>
          <w:rFonts w:ascii="Times New Roman" w:hAnsi="Times New Roman" w:cs="Times New Roman"/>
          <w:sz w:val="24"/>
          <w:szCs w:val="24"/>
          <w:lang w:val="pt-BR" w:eastAsia="pt-BR"/>
        </w:rPr>
        <w:t xml:space="preserve"> coef. 0,081, p &lt; 0,01; coef. 0,100, p &lt; 0,01, respectivamente). Dado que a parcela fixa da compensação executiva é considerada mais conservadora, o achado indica que a presença de mulheres conselheiras aumenta esse tipo de remuneração. Os achados da pesquisa corroboram ao discutido na literatura de que as mulheres são mais avessas ao risco </w:t>
      </w:r>
      <w:r w:rsidR="00C70C2A" w:rsidRPr="00C35568">
        <w:rPr>
          <w:rStyle w:val="FootnoteReference"/>
          <w:rFonts w:ascii="Times New Roman" w:hAnsi="Times New Roman" w:cs="Times New Roman"/>
          <w:sz w:val="24"/>
          <w:szCs w:val="24"/>
          <w:lang w:val="pt-BR" w:eastAsia="pt-BR"/>
        </w:rPr>
        <w:fldChar w:fldCharType="begin" w:fldLock="1"/>
      </w:r>
      <w:r w:rsidR="00051229" w:rsidRPr="00C35568">
        <w:rPr>
          <w:rFonts w:ascii="Times New Roman" w:hAnsi="Times New Roman" w:cs="Times New Roman"/>
          <w:sz w:val="24"/>
          <w:szCs w:val="24"/>
          <w:lang w:val="pt-BR" w:eastAsia="pt-BR"/>
        </w:rPr>
        <w:instrText>ADDIN CSL_CITATION { "citationItems" : [ { "id" : "ITEM-1", "itemData" : { "DOI" : "10.1016/j.jfineco.2013.01.010", "ISBN" : "0304405X", "ISSN" : "0304405X", "PMID" : "1357004865", "abstract" : "We administer psychometric tests to senior executives to obtain evidence on their underlying psychological traits and attitudes. We find US CEOs differ significantly from non-US CEOs in terms of their underlying attitudes. In addition, we find that CEOs are significantly more optimistic and risk-tolerant than the lay population. We provide evidence that CEOs' behavioral traits such as optimism and managerial risk-aversion are related to corporate financial policies. Further, we provide new empirical evidence that CEO traits such as risk-aversion and time preference are related to their compensation. \u00a9 2013 Elsevier B.V.", "author" : [ { "dropping-particle" : "", "family" : "Graham", "given" : "John R.", "non-dropping-particle" : "", "parse-names" : false, "suffix" : "" }, { "dropping-particle" : "", "family" : "Harvey", "given" : "Campbell R.", "non-dropping-particle" : "", "parse-names" : false, "suffix" : "" }, { "dropping-particle" : "", "family" : "Puri", "given" : "Manju", "non-dropping-particle" : "", "parse-names" : false, "suffix" : "" } ], "container-title" : "Journal of Financial Economics", "id" : "ITEM-1", "issue" : "1", "issued" : { "date-parts" : [ [ "2013" ] ] }, "page" : "103-121", "publisher" : "Elsevier", "title" : "Managerial attitudes and corporate actions", "type" : "article-journal", "volume" : "109" }, "uris" : [ "http://www.mendeley.com/documents/?uuid=a7b7aeb6-0b65-49f5-87be-92fb2f7fa93d" ] }, { "id" : "ITEM-2", "itemData" : { "DOI" : "10.1162/003355301556400", "ISBN" : "0033-5533", "ISSN" : "0033-5533", "abstract" : "Theoretical models predict that overconfident investors trade\\nexcessively. We test this prediction by partitioning investors on\\ngender. Psychological research demonstrates that, in areas such as\\nfinance, men are more overconfident than women. Thus, theory predicts\\nthat men will trade more excessively than women. Using account data for\\nover 35,000 households from a large discount brokerage, we analyze the\\ncommon stock investments of men and women from February 1991 through\\nJanuary 1997. We document that men trade 45 percent more than women.\\nTrading reduces men's net returns by 2.65 percentage points a year as\\nopposed to 1.72 percentage points for women.", "author" : [ { "dropping-particle" : "", "family" : "Barber", "given" : "B. M.", "non-dropping-particle" : "", "parse-names" : false, "suffix" : "" }, { "dropping-particle" : "", "family" : "Odean", "given" : "T.", "non-dropping-particle" : "", "parse-names" : false, "suffix" : "" } ], "container-title" : "The Quarterly Journal of Economics", "id" : "ITEM-2", "issue" : "1", "issued" : { "date-parts" : [ [ "2001" ] ] }, "page" : "261-292", "title" : "Boys will be Boys: Gender, Overconfidence, and Common Stock Investment", "type" : "article-journal", "volume" : "116" }, "uris" : [ "http://www.mendeley.com/documents/?uuid=79da7e8c-5d35-4b09-97b9-0de6a7e5f7c0" ] } ], "mendeley" : { "formattedCitation" : "(BARBER; ODEAN, 2001; GRAHAM; HARVEY; PURI, 2013)", "plainTextFormattedCitation" : "(BARBER; ODEAN, 2001; GRAHAM; HARVEY; PURI, 2013)", "previouslyFormattedCitation" : "(BARBER; ODEAN, 2001; GRAHAM; HARVEY; PURI, 2013)"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eastAsia="pt-BR"/>
        </w:rPr>
        <w:fldChar w:fldCharType="separate"/>
      </w:r>
      <w:r w:rsidR="00C70C2A" w:rsidRPr="00C35568">
        <w:rPr>
          <w:rFonts w:ascii="Times New Roman" w:hAnsi="Times New Roman" w:cs="Times New Roman"/>
          <w:noProof/>
          <w:sz w:val="24"/>
          <w:szCs w:val="24"/>
          <w:lang w:val="pt-BR" w:eastAsia="pt-BR"/>
        </w:rPr>
        <w:t>(BARBER; ODEAN, 2001; GRAHAM; HARVEY; PURI, 2013)</w:t>
      </w:r>
      <w:r w:rsidR="00C70C2A" w:rsidRPr="00C35568">
        <w:rPr>
          <w:rStyle w:val="FootnoteReference"/>
          <w:rFonts w:ascii="Times New Roman" w:hAnsi="Times New Roman" w:cs="Times New Roman"/>
          <w:sz w:val="24"/>
          <w:szCs w:val="24"/>
          <w:lang w:val="pt-BR" w:eastAsia="pt-BR"/>
        </w:rPr>
        <w:fldChar w:fldCharType="end"/>
      </w:r>
      <w:r w:rsidR="00262421" w:rsidRPr="00C35568">
        <w:rPr>
          <w:rFonts w:ascii="Times New Roman" w:hAnsi="Times New Roman" w:cs="Times New Roman"/>
          <w:sz w:val="24"/>
          <w:szCs w:val="24"/>
          <w:lang w:val="pt-BR" w:eastAsia="pt-BR"/>
        </w:rPr>
        <w:t>, pref</w:t>
      </w:r>
      <w:r w:rsidR="009C0051" w:rsidRPr="00C35568">
        <w:rPr>
          <w:rFonts w:ascii="Times New Roman" w:hAnsi="Times New Roman" w:cs="Times New Roman"/>
          <w:sz w:val="24"/>
          <w:szCs w:val="24"/>
          <w:lang w:val="pt-BR" w:eastAsia="pt-BR"/>
        </w:rPr>
        <w:t>e</w:t>
      </w:r>
      <w:r w:rsidR="00262421" w:rsidRPr="00C35568">
        <w:rPr>
          <w:rFonts w:ascii="Times New Roman" w:hAnsi="Times New Roman" w:cs="Times New Roman"/>
          <w:sz w:val="24"/>
          <w:szCs w:val="24"/>
          <w:lang w:val="pt-BR" w:eastAsia="pt-BR"/>
        </w:rPr>
        <w:t>rindo assim, planos de remuneração mais conservadores.</w:t>
      </w:r>
    </w:p>
    <w:p w:rsidR="00325324" w:rsidRPr="00C35568" w:rsidRDefault="00265986"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 dualidade de cargos (d.Dual) </w:t>
      </w:r>
      <w:r w:rsidR="00473E72" w:rsidRPr="00C35568">
        <w:rPr>
          <w:rFonts w:ascii="Times New Roman" w:hAnsi="Times New Roman" w:cs="Times New Roman"/>
          <w:sz w:val="24"/>
          <w:szCs w:val="24"/>
          <w:lang w:val="pt-BR" w:eastAsia="pt-BR"/>
        </w:rPr>
        <w:t xml:space="preserve">é </w:t>
      </w:r>
      <w:r w:rsidRPr="00C35568">
        <w:rPr>
          <w:rFonts w:ascii="Times New Roman" w:hAnsi="Times New Roman" w:cs="Times New Roman"/>
          <w:sz w:val="24"/>
          <w:szCs w:val="24"/>
          <w:lang w:val="pt-BR" w:eastAsia="pt-BR"/>
        </w:rPr>
        <w:t xml:space="preserve">negativa </w:t>
      </w:r>
      <w:r w:rsidR="00473E72" w:rsidRPr="00C35568">
        <w:rPr>
          <w:rFonts w:ascii="Times New Roman" w:hAnsi="Times New Roman" w:cs="Times New Roman"/>
          <w:sz w:val="24"/>
          <w:szCs w:val="24"/>
          <w:lang w:val="pt-BR" w:eastAsia="pt-BR"/>
        </w:rPr>
        <w:t>e estatisticamente significante</w:t>
      </w:r>
      <w:r w:rsidRPr="00C35568">
        <w:rPr>
          <w:rFonts w:ascii="Times New Roman" w:hAnsi="Times New Roman" w:cs="Times New Roman"/>
          <w:sz w:val="24"/>
          <w:szCs w:val="24"/>
          <w:lang w:val="pt-BR" w:eastAsia="pt-BR"/>
        </w:rPr>
        <w:t xml:space="preserve"> com as variáveis dependentes, exceto a dualidade para remuneração baseada em ações (lnAções). </w:t>
      </w:r>
      <w:r w:rsidR="00810A3C" w:rsidRPr="00C35568">
        <w:rPr>
          <w:rFonts w:ascii="Times New Roman" w:hAnsi="Times New Roman" w:cs="Times New Roman"/>
          <w:sz w:val="24"/>
          <w:szCs w:val="24"/>
          <w:lang w:val="pt-BR" w:eastAsia="pt-BR"/>
        </w:rPr>
        <w:t>Os achados</w:t>
      </w:r>
      <w:r w:rsidR="00607910" w:rsidRPr="00C35568">
        <w:rPr>
          <w:rFonts w:ascii="Times New Roman" w:hAnsi="Times New Roman" w:cs="Times New Roman"/>
          <w:sz w:val="24"/>
          <w:szCs w:val="24"/>
          <w:lang w:val="pt-BR" w:eastAsia="pt-BR"/>
        </w:rPr>
        <w:t xml:space="preserve"> indicam que a presença do CEO como presidente do conselho reduz a compensação executiva, tanto em sua parcela fixa quanto em sua parcela variável. </w:t>
      </w:r>
      <w:r w:rsidR="00810A3C" w:rsidRPr="00C35568">
        <w:rPr>
          <w:rFonts w:ascii="Times New Roman" w:hAnsi="Times New Roman" w:cs="Times New Roman"/>
          <w:sz w:val="24"/>
          <w:szCs w:val="24"/>
          <w:lang w:val="pt-BR" w:eastAsia="pt-BR"/>
        </w:rPr>
        <w:t xml:space="preserve">Esses resultados são condizentes com a pesquisa </w:t>
      </w:r>
      <w:r w:rsidR="00D01B80" w:rsidRPr="00C35568">
        <w:rPr>
          <w:rFonts w:ascii="Times New Roman" w:hAnsi="Times New Roman" w:cs="Times New Roman"/>
          <w:sz w:val="24"/>
          <w:szCs w:val="24"/>
          <w:lang w:val="pt-BR" w:eastAsia="pt-BR"/>
        </w:rPr>
        <w:t>de</w:t>
      </w:r>
      <w:r w:rsidR="00886DD1" w:rsidRPr="00C35568">
        <w:rPr>
          <w:rFonts w:ascii="Times New Roman" w:hAnsi="Times New Roman" w:cs="Times New Roman"/>
          <w:sz w:val="24"/>
          <w:szCs w:val="24"/>
          <w:lang w:val="pt-BR" w:eastAsia="pt-BR"/>
        </w:rPr>
        <w:t xml:space="preserve"> </w:t>
      </w:r>
      <w:r w:rsidR="00C70C2A" w:rsidRPr="00C35568">
        <w:rPr>
          <w:rStyle w:val="FootnoteReference"/>
          <w:rFonts w:ascii="Times New Roman" w:hAnsi="Times New Roman" w:cs="Times New Roman"/>
          <w:sz w:val="24"/>
          <w:szCs w:val="24"/>
          <w:lang w:val="pt-BR" w:eastAsia="pt-BR"/>
        </w:rPr>
        <w:fldChar w:fldCharType="begin" w:fldLock="1"/>
      </w:r>
      <w:r w:rsidR="00051229" w:rsidRPr="00C35568">
        <w:rPr>
          <w:rFonts w:ascii="Times New Roman" w:hAnsi="Times New Roman" w:cs="Times New Roman"/>
          <w:sz w:val="24"/>
          <w:szCs w:val="24"/>
          <w:lang w:val="pt-BR" w:eastAsia="pt-BR"/>
        </w:rPr>
        <w:instrText>ADDIN CSL_CITATION { "citationItems" : [ { "id" : "ITEM-1", "itemData" : { "author" : [ { "dropping-particle" : "", "family" : "Yan", "given" : "Yan", "non-dropping-particle" : "", "parse-names" : false, "suffix" : "" } ], "id" : "ITEM-1",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"(YAN, 2015)", "manualFormatting" : "Yan (2015)", "plainTextFormattedCitation" : "(YAN, 2015)", "previouslyFormattedCitation" : "(YAN, 2015)"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eastAsia="pt-BR"/>
        </w:rPr>
        <w:fldChar w:fldCharType="separate"/>
      </w:r>
      <w:r w:rsidR="00C70C2A" w:rsidRPr="00C35568">
        <w:rPr>
          <w:rFonts w:ascii="Times New Roman" w:hAnsi="Times New Roman" w:cs="Times New Roman"/>
          <w:noProof/>
          <w:sz w:val="24"/>
          <w:szCs w:val="24"/>
          <w:lang w:val="pt-BR" w:eastAsia="pt-BR"/>
        </w:rPr>
        <w:t>Yan (2015)</w:t>
      </w:r>
      <w:r w:rsidR="00C70C2A" w:rsidRPr="00C35568">
        <w:rPr>
          <w:rStyle w:val="FootnoteReference"/>
          <w:rFonts w:ascii="Times New Roman" w:hAnsi="Times New Roman" w:cs="Times New Roman"/>
          <w:sz w:val="24"/>
          <w:szCs w:val="24"/>
          <w:lang w:val="pt-BR" w:eastAsia="pt-BR"/>
        </w:rPr>
        <w:fldChar w:fldCharType="end"/>
      </w:r>
      <w:r w:rsidR="004F691C" w:rsidRPr="00C35568">
        <w:rPr>
          <w:rFonts w:ascii="Times New Roman" w:hAnsi="Times New Roman" w:cs="Times New Roman"/>
          <w:sz w:val="24"/>
          <w:szCs w:val="24"/>
          <w:lang w:val="pt-BR" w:eastAsia="pt-BR"/>
        </w:rPr>
        <w:t>.</w:t>
      </w:r>
    </w:p>
    <w:p w:rsidR="00A039DE" w:rsidRPr="00C35568" w:rsidRDefault="00473E72"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 </w:t>
      </w:r>
      <w:r w:rsidRPr="00C35568">
        <w:rPr>
          <w:rFonts w:ascii="Times New Roman" w:hAnsi="Times New Roman" w:cs="Times New Roman"/>
          <w:i/>
          <w:sz w:val="24"/>
          <w:szCs w:val="24"/>
          <w:lang w:val="pt-BR" w:eastAsia="pt-BR"/>
        </w:rPr>
        <w:t xml:space="preserve">proxy </w:t>
      </w:r>
      <w:r w:rsidRPr="00C35568">
        <w:rPr>
          <w:rFonts w:ascii="Times New Roman" w:hAnsi="Times New Roman" w:cs="Times New Roman"/>
          <w:sz w:val="24"/>
          <w:szCs w:val="24"/>
          <w:lang w:val="pt-BR" w:eastAsia="pt-BR"/>
        </w:rPr>
        <w:t>para independência do conselheiro (d.Eleito) está negativamente relacionada com a totalidade</w:t>
      </w:r>
      <w:r w:rsidR="00DF6D00" w:rsidRPr="00C35568">
        <w:rPr>
          <w:rFonts w:ascii="Times New Roman" w:hAnsi="Times New Roman" w:cs="Times New Roman"/>
          <w:sz w:val="24"/>
          <w:szCs w:val="24"/>
          <w:lang w:val="pt-BR" w:eastAsia="pt-BR"/>
        </w:rPr>
        <w:t xml:space="preserve"> e os tipos de remuneração</w:t>
      </w:r>
      <w:r w:rsidRPr="00C35568">
        <w:rPr>
          <w:rFonts w:ascii="Times New Roman" w:hAnsi="Times New Roman" w:cs="Times New Roman"/>
          <w:sz w:val="24"/>
          <w:szCs w:val="24"/>
          <w:lang w:val="pt-BR" w:eastAsia="pt-BR"/>
        </w:rPr>
        <w:t xml:space="preserve">. </w:t>
      </w:r>
      <w:r w:rsidR="00DA4B7D" w:rsidRPr="00C35568">
        <w:rPr>
          <w:rFonts w:ascii="Times New Roman" w:hAnsi="Times New Roman" w:cs="Times New Roman"/>
          <w:sz w:val="24"/>
          <w:szCs w:val="24"/>
          <w:lang w:val="pt-BR" w:eastAsia="pt-BR"/>
        </w:rPr>
        <w:t>Os achados indicam que a falta de independência reduz</w:t>
      </w:r>
      <w:r w:rsidR="00770AC9" w:rsidRPr="00C35568">
        <w:rPr>
          <w:rFonts w:ascii="Times New Roman" w:hAnsi="Times New Roman" w:cs="Times New Roman"/>
          <w:sz w:val="24"/>
          <w:szCs w:val="24"/>
          <w:lang w:val="pt-BR" w:eastAsia="pt-BR"/>
        </w:rPr>
        <w:t xml:space="preserve"> </w:t>
      </w:r>
      <w:r w:rsidR="00DA4B7D" w:rsidRPr="00C35568">
        <w:rPr>
          <w:rFonts w:ascii="Times New Roman" w:hAnsi="Times New Roman" w:cs="Times New Roman"/>
          <w:sz w:val="24"/>
          <w:szCs w:val="24"/>
          <w:lang w:val="pt-BR" w:eastAsia="pt-BR"/>
        </w:rPr>
        <w:t xml:space="preserve">a remuneração executiva. Todavia, devido a forma de operacionalização da variável os achados devem ser interpretados com caltela. </w:t>
      </w:r>
      <w:r w:rsidR="00F136F4" w:rsidRPr="00C35568">
        <w:rPr>
          <w:rFonts w:ascii="Times New Roman" w:hAnsi="Times New Roman" w:cs="Times New Roman"/>
          <w:sz w:val="24"/>
          <w:szCs w:val="24"/>
          <w:lang w:val="pt-BR" w:eastAsia="pt-BR"/>
        </w:rPr>
        <w:t>As evidências encontradas são</w:t>
      </w:r>
      <w:r w:rsidR="00DA4B7D" w:rsidRPr="00C35568">
        <w:rPr>
          <w:rFonts w:ascii="Times New Roman" w:hAnsi="Times New Roman" w:cs="Times New Roman"/>
          <w:sz w:val="24"/>
          <w:szCs w:val="24"/>
          <w:lang w:val="pt-BR" w:eastAsia="pt-BR"/>
        </w:rPr>
        <w:t xml:space="preserve"> contrária</w:t>
      </w:r>
      <w:r w:rsidR="00F136F4" w:rsidRPr="00C35568">
        <w:rPr>
          <w:rFonts w:ascii="Times New Roman" w:hAnsi="Times New Roman" w:cs="Times New Roman"/>
          <w:sz w:val="24"/>
          <w:szCs w:val="24"/>
          <w:lang w:val="pt-BR" w:eastAsia="pt-BR"/>
        </w:rPr>
        <w:t>s</w:t>
      </w:r>
      <w:r w:rsidR="00DA4B7D" w:rsidRPr="00C35568">
        <w:rPr>
          <w:rFonts w:ascii="Times New Roman" w:hAnsi="Times New Roman" w:cs="Times New Roman"/>
          <w:sz w:val="24"/>
          <w:szCs w:val="24"/>
          <w:lang w:val="pt-BR" w:eastAsia="pt-BR"/>
        </w:rPr>
        <w:t xml:space="preserve"> </w:t>
      </w:r>
      <w:r w:rsidR="00770AC9" w:rsidRPr="00C35568">
        <w:rPr>
          <w:rFonts w:ascii="Times New Roman" w:hAnsi="Times New Roman" w:cs="Times New Roman"/>
          <w:sz w:val="24"/>
          <w:szCs w:val="24"/>
          <w:lang w:val="pt-BR" w:eastAsia="pt-BR"/>
        </w:rPr>
        <w:t>à</w:t>
      </w:r>
      <w:r w:rsidR="00DA4B7D" w:rsidRPr="00C35568">
        <w:rPr>
          <w:rFonts w:ascii="Times New Roman" w:hAnsi="Times New Roman" w:cs="Times New Roman"/>
          <w:sz w:val="24"/>
          <w:szCs w:val="24"/>
          <w:lang w:val="pt-BR" w:eastAsia="pt-BR"/>
        </w:rPr>
        <w:t xml:space="preserve"> ideia de que uma mai</w:t>
      </w:r>
      <w:r w:rsidR="00770AC9" w:rsidRPr="00C35568">
        <w:rPr>
          <w:rFonts w:ascii="Times New Roman" w:hAnsi="Times New Roman" w:cs="Times New Roman"/>
          <w:sz w:val="24"/>
          <w:szCs w:val="24"/>
          <w:lang w:val="pt-BR" w:eastAsia="pt-BR"/>
        </w:rPr>
        <w:t>or</w:t>
      </w:r>
      <w:r w:rsidR="00DA4B7D" w:rsidRPr="00C35568">
        <w:rPr>
          <w:rFonts w:ascii="Times New Roman" w:hAnsi="Times New Roman" w:cs="Times New Roman"/>
          <w:sz w:val="24"/>
          <w:szCs w:val="24"/>
          <w:lang w:val="pt-BR" w:eastAsia="pt-BR"/>
        </w:rPr>
        <w:t xml:space="preserve"> proporção de membros independentes do consel</w:t>
      </w:r>
      <w:r w:rsidR="00770AC9" w:rsidRPr="00C35568">
        <w:rPr>
          <w:rFonts w:ascii="Times New Roman" w:hAnsi="Times New Roman" w:cs="Times New Roman"/>
          <w:sz w:val="24"/>
          <w:szCs w:val="24"/>
          <w:lang w:val="pt-BR" w:eastAsia="pt-BR"/>
        </w:rPr>
        <w:t>ho</w:t>
      </w:r>
      <w:r w:rsidR="00DA4B7D" w:rsidRPr="00C35568">
        <w:rPr>
          <w:rFonts w:ascii="Times New Roman" w:hAnsi="Times New Roman" w:cs="Times New Roman"/>
          <w:sz w:val="24"/>
          <w:szCs w:val="24"/>
          <w:lang w:val="pt-BR" w:eastAsia="pt-BR"/>
        </w:rPr>
        <w:t xml:space="preserve"> implique em maior monitoramento </w:t>
      </w:r>
      <w:r w:rsidR="00C70C2A" w:rsidRPr="00C35568">
        <w:rPr>
          <w:rStyle w:val="FootnoteReference"/>
          <w:rFonts w:ascii="Times New Roman" w:hAnsi="Times New Roman" w:cs="Times New Roman"/>
          <w:sz w:val="24"/>
          <w:szCs w:val="24"/>
          <w:lang w:val="pt-BR" w:eastAsia="pt-BR"/>
        </w:rPr>
        <w:fldChar w:fldCharType="begin" w:fldLock="1"/>
      </w:r>
      <w:r w:rsidR="00051229" w:rsidRPr="00C35568">
        <w:rPr>
          <w:rFonts w:ascii="Times New Roman" w:hAnsi="Times New Roman" w:cs="Times New Roman"/>
          <w:sz w:val="24"/>
          <w:szCs w:val="24"/>
          <w:lang w:val="pt-BR" w:eastAsia="pt-BR"/>
        </w:rPr>
        <w:instrText>ADDIN CSL_CITATION { "citationItems" : [ { "id" : "ITEM-1", "itemData" : { "DOI" : "10.1016/j.mulfin.2007.02.003", "ISSN" : "1042444X", "abstract" : "We use data from the Portuguese Stock Market to examine the link between firm performance, board structure, and top executive pay. We examine whether the governance structure of companies influences top executive pay. Specifically, we consider the role of nonexecutive board members as mediators of the management-shareholder relationship. Our results cast doubt on the effectiveness of independent board members. Firms with more nonexecutive board members pay higher wages to their executives. Furthermore, we find that firms with zero nonexecutive board members actually have fewer agency problems and achieve a better alignment of shareholders' and managers' interests. \u00a9 2007 Elsevier B.V. All rights reserved.", "author" : [ { "dropping-particle" : "", "family" : "Fernandes", "given" : "Nuno", "non-dropping-particle" : "", "parse-names" : false, "suffix" : "" } ], "container-title" : "Journal of Multinational Financial Management", "id" : "ITEM-1", "issue" : "1", "issued" : { "date-parts" : [ [ "2008" ] ] }, "page" : "30-44", "title" : "EC: Board compensation and firm performance: The role of \"independent\" board members", "type" : "article-journal", "volume" : "18" }, "uris" : [ "http://www.mendeley.com/documents/?uuid=1e19251e-3c01-40b5-a2fa-5cf7f1265cbb" ] } ], "mendeley" : { "formattedCitation" : "(FERNANDES, 2008)", "plainTextFormattedCitation" : "(FERNANDES, 2008)", "previouslyFormattedCitation" : "(FERNANDES, 2008)"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eastAsia="pt-BR"/>
        </w:rPr>
        <w:fldChar w:fldCharType="separate"/>
      </w:r>
      <w:r w:rsidR="00C70C2A" w:rsidRPr="00C35568">
        <w:rPr>
          <w:rFonts w:ascii="Times New Roman" w:hAnsi="Times New Roman" w:cs="Times New Roman"/>
          <w:noProof/>
          <w:sz w:val="24"/>
          <w:szCs w:val="24"/>
          <w:lang w:val="pt-BR" w:eastAsia="pt-BR"/>
        </w:rPr>
        <w:t>(FERNANDES, 2008)</w:t>
      </w:r>
      <w:r w:rsidR="00C70C2A" w:rsidRPr="00C35568">
        <w:rPr>
          <w:rStyle w:val="FootnoteReference"/>
          <w:rFonts w:ascii="Times New Roman" w:hAnsi="Times New Roman" w:cs="Times New Roman"/>
          <w:sz w:val="24"/>
          <w:szCs w:val="24"/>
          <w:lang w:val="pt-BR" w:eastAsia="pt-BR"/>
        </w:rPr>
        <w:fldChar w:fldCharType="end"/>
      </w:r>
      <w:r w:rsidR="00DA4B7D" w:rsidRPr="00C35568">
        <w:rPr>
          <w:rFonts w:ascii="Times New Roman" w:hAnsi="Times New Roman" w:cs="Times New Roman"/>
          <w:sz w:val="24"/>
          <w:szCs w:val="24"/>
          <w:lang w:val="pt-BR" w:eastAsia="pt-BR"/>
        </w:rPr>
        <w:t>, acarretando na redução do oportunismo gerencial por m</w:t>
      </w:r>
      <w:r w:rsidR="00770AC9" w:rsidRPr="00C35568">
        <w:rPr>
          <w:rFonts w:ascii="Times New Roman" w:hAnsi="Times New Roman" w:cs="Times New Roman"/>
          <w:sz w:val="24"/>
          <w:szCs w:val="24"/>
          <w:lang w:val="pt-BR" w:eastAsia="pt-BR"/>
        </w:rPr>
        <w:t>e</w:t>
      </w:r>
      <w:r w:rsidR="00DA4B7D" w:rsidRPr="00C35568">
        <w:rPr>
          <w:rFonts w:ascii="Times New Roman" w:hAnsi="Times New Roman" w:cs="Times New Roman"/>
          <w:sz w:val="24"/>
          <w:szCs w:val="24"/>
          <w:lang w:val="pt-BR" w:eastAsia="pt-BR"/>
        </w:rPr>
        <w:t xml:space="preserve">io da otimização dos contratos de compensação </w:t>
      </w:r>
      <w:r w:rsidR="00C70C2A" w:rsidRPr="00C35568">
        <w:rPr>
          <w:rStyle w:val="FootnoteReference"/>
          <w:rFonts w:ascii="Times New Roman" w:hAnsi="Times New Roman" w:cs="Times New Roman"/>
          <w:sz w:val="24"/>
          <w:szCs w:val="24"/>
          <w:lang w:val="pt-BR" w:eastAsia="pt-BR"/>
        </w:rPr>
        <w:fldChar w:fldCharType="begin" w:fldLock="1"/>
      </w:r>
      <w:r w:rsidR="00051229" w:rsidRPr="00C35568">
        <w:rPr>
          <w:rFonts w:ascii="Times New Roman" w:hAnsi="Times New Roman" w:cs="Times New Roman"/>
          <w:sz w:val="24"/>
          <w:szCs w:val="24"/>
          <w:lang w:val="pt-BR" w:eastAsia="pt-BR"/>
        </w:rPr>
        <w:instrText>ADDIN CSL_CITATION { "citationItems" : [ { "id" : "ITEM-1", "itemData" : { "author" : [ { "dropping-particle" : "", "family" : "Conyon", "given" : "Martin J", "non-dropping-particle" : "", "parse-names" : false, "suffix" : "" }, { "dropping-particle" : "", "family" : "He", "given" : "Lerong", "non-dropping-particle" : "", "parse-names" : false, "suffix" : "" } ], "container-title" : "Journal of Corporate Finance", "id" : "ITEM-1", "issue" : "4", "issued" : { "date-parts" : [ [ "2011" ] ] }, "page" : "1158-1175", "title" : "Executive Compensation and Corporate Governance in China", "type" : "article-journal", "volume" : "17" }, "uris" : [ "http://www.mendeley.com/documents/?uuid=8844f1b6-e3dd-43a0-a899-0f7217466a5c" ] } ], "mendeley" : { "formattedCitation" : "(CONYON; HE, 2011)", "plainTextFormattedCitation" : "(CONYON; HE, 2011)", "previouslyFormattedCitation" : "(CONYON; HE, 2011)"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eastAsia="pt-BR"/>
        </w:rPr>
        <w:fldChar w:fldCharType="separate"/>
      </w:r>
      <w:r w:rsidR="00C70C2A" w:rsidRPr="00C35568">
        <w:rPr>
          <w:rFonts w:ascii="Times New Roman" w:hAnsi="Times New Roman" w:cs="Times New Roman"/>
          <w:bCs/>
          <w:noProof/>
          <w:sz w:val="24"/>
          <w:szCs w:val="24"/>
          <w:lang w:val="pt-BR" w:eastAsia="pt-BR"/>
        </w:rPr>
        <w:t>(CONYON; HE, 2011)</w:t>
      </w:r>
      <w:r w:rsidR="00C70C2A" w:rsidRPr="00C35568">
        <w:rPr>
          <w:rStyle w:val="FootnoteReference"/>
          <w:rFonts w:ascii="Times New Roman" w:hAnsi="Times New Roman" w:cs="Times New Roman"/>
          <w:sz w:val="24"/>
          <w:szCs w:val="24"/>
          <w:lang w:val="pt-BR" w:eastAsia="pt-BR"/>
        </w:rPr>
        <w:fldChar w:fldCharType="end"/>
      </w:r>
      <w:r w:rsidR="004F691C" w:rsidRPr="00C35568">
        <w:rPr>
          <w:rFonts w:ascii="Times New Roman" w:hAnsi="Times New Roman" w:cs="Times New Roman"/>
          <w:sz w:val="24"/>
          <w:szCs w:val="24"/>
          <w:lang w:val="pt-BR" w:eastAsia="pt-BR"/>
        </w:rPr>
        <w:t xml:space="preserve">. </w:t>
      </w:r>
      <w:r w:rsidR="00DA4B7D" w:rsidRPr="00C35568">
        <w:rPr>
          <w:rFonts w:ascii="Times New Roman" w:hAnsi="Times New Roman" w:cs="Times New Roman"/>
          <w:sz w:val="24"/>
          <w:szCs w:val="24"/>
          <w:lang w:val="pt-BR" w:eastAsia="pt-BR"/>
        </w:rPr>
        <w:t xml:space="preserve"> </w:t>
      </w:r>
    </w:p>
    <w:p w:rsidR="000B764D" w:rsidRPr="00C35568" w:rsidRDefault="007F28FC"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Em relação as variáveis de controle, </w:t>
      </w:r>
      <w:r w:rsidR="00C6641D" w:rsidRPr="00C35568">
        <w:rPr>
          <w:rFonts w:ascii="Times New Roman" w:hAnsi="Times New Roman" w:cs="Times New Roman"/>
          <w:sz w:val="24"/>
          <w:szCs w:val="24"/>
          <w:lang w:val="pt-BR" w:eastAsia="pt-BR"/>
        </w:rPr>
        <w:t xml:space="preserve">consoante com os achados de </w:t>
      </w:r>
      <w:r w:rsidR="00C70C2A" w:rsidRPr="00C35568">
        <w:rPr>
          <w:rStyle w:val="FootnoteReference"/>
          <w:rFonts w:ascii="Times New Roman" w:hAnsi="Times New Roman" w:cs="Times New Roman"/>
          <w:sz w:val="24"/>
          <w:szCs w:val="24"/>
          <w:lang w:val="pt-BR"/>
        </w:rPr>
        <w:fldChar w:fldCharType="begin" w:fldLock="1"/>
      </w:r>
      <w:r w:rsidR="00051229" w:rsidRPr="00C35568">
        <w:rPr>
          <w:rFonts w:ascii="Times New Roman" w:hAnsi="Times New Roman" w:cs="Times New Roman"/>
          <w:sz w:val="24"/>
          <w:szCs w:val="24"/>
          <w:lang w:val="pt-BR"/>
        </w:rPr>
        <w:instrText>ADDIN CSL_CITATION { "citationItems" : [ { "id" : "ITEM-1", "itemData" : { "DOI" : "10.1007/s11146-005-7014-6", "ISBN" : "0895-5638", "ISSN" : "08955638", "abstract" : "In a perfect world where the board of directors is independent of CEO influence, CEO pay-for-performance compensation contracts should be a function of performance only. If the CEO can influence board structure through his ownership of company stock or chairmanship of the board, however, performance contracts are suboptimal and agency problems arise, which allow the CEO to extract rent and demand compensation in excess of the equilibrium level. As such, models of compensation contracts must include board and ownership structure variables, in addition to the traditional economic determinants. Our analyses with REITs corroborate this notion. Our data demonstrate that the structure of REIT boards are not independent of CEO influence, and significant agency problems exist allowing the CEO to design boards that reward him at the cost of shareholder wealth. CEO compensation in REITs depends significantly on the usual economic measures of performance including firm size and return on assets; more importantly, CEO compensation is higher in REITs where the board is weak in monitoring because of large size, and older directors; the effect of a blockholder is adverse, however. This study provides additional evidence to the growing literature that observed board structures are ineffective in monitoring and governance.", "author" : [ { "dropping-particle" : "", "family" : "Ghosh", "given" : "Chinmoy", "non-dropping-particle" : "", "parse-names" : false, "suffix" : "" }, { "dropping-particle" : "", "family" : "Sirmans", "given" : "C. F.", "non-dropping-particle" : "", "parse-names" : false, "suffix" : "" } ], "container-title" : "Journal of Real Estate Finance and Economics", "id" : "ITEM-1", "issue" : "4", "issued" : { "date-parts" : [ [ "2005" ] ] }, "page" : "397-428", "title" : "On REIT CEO compensation: Does board structure matter?", "type" : "article-journal", "volume" : "30" }, "uris" : [ "http://www.mendeley.com/documents/?uuid=df4180a7-d66a-4236-9c12-a7236a3b1468" ] }, { "id" : "ITEM-2", "itemData" : { "DOI" : "10.1016/j.jeconbus.2010.05.003", "ISBN" : "0148-6195", "ISSN" : "01486195", "abstract" : "This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\u00a9 2010 Elsevier Inc.", "author" : [ { "dropping-particle" : "", "family" : "Elkinawy", "given" : "Susan", "non-dropping-particle" : "", "parse-names" : false, "suffix" : "" }, { "dropping-particle" : "", "family" : "Stater", "given" : "Mark", "non-dropping-particle" : "", "parse-names" : false, "suffix" : "" } ], "container-title" : "Journal of Economics and Business", "id" : "ITEM-2", "issue" : "1", "issued" : { "date-parts" : [ [ "2011" ] ] }, "page" : "23-45", "publisher" : "Elsevier Inc.", "title" : "Gender differences in executive compensation: Variation with board gender composition and time", "type" : "article-journal", "volume" : "63" }, "uris" : [ "http://www.mendeley.com/documents/?uuid=be77c2ac-0e50-4f46-98a2-365a22bd6536" ] }, { "id" : "ITEM-3", "itemData" : { "author" : [ { "dropping-particle" : "", "family" : "Yan", "given" : "Yan", "non-dropping-particle" : "", "parse-names" : false, "suffix" : "" } ], "id" : "ITEM-3", "issued" : { "date-parts" : [ [ "2015" ] ] }, "number-of-pages" : "1-222", "publisher" : "University of Bath", "title" : "Determinants and Consequences of Executive Compensation: Empirical Evidence from Chinese Listed Companies", "type" : "thesis" }, "uris" : [ "http://www.mendeley.com/documents/?uuid=22d28093-d268-4bc8-87f8-6c869317cd61" ] } ], "mendeley" : { "formattedCitation" : "(ELKINAWY; STATER, 2011; GHOSH; SIRMANS, 2005; YAN, 2015)", "manualFormatting" : "Elkinawy e Stater (2011), Ghosh e Sirmans (2005) e Yan (2015)", "plainTextFormattedCitation" : "(ELKINAWY; STATER, 2011; GHOSH; SIRMANS, 2005; YAN, 2015)", "previouslyFormattedCitation" : "(ELKINAWY; STATER, 2011; GHOSH; SIRMANS, 2005; YAN, 2015)" }, "properties" : {  }, "schema" : "https://github.com/citation-style-language/schema/raw/master/csl-citation.json" }</w:instrText>
      </w:r>
      <w:r w:rsidR="00C70C2A" w:rsidRPr="00C35568">
        <w:rPr>
          <w:rStyle w:val="FootnoteReference"/>
          <w:rFonts w:ascii="Times New Roman" w:hAnsi="Times New Roman" w:cs="Times New Roman"/>
          <w:sz w:val="24"/>
          <w:szCs w:val="24"/>
          <w:lang w:val="pt-BR"/>
        </w:rPr>
        <w:fldChar w:fldCharType="separate"/>
      </w:r>
      <w:r w:rsidR="00C70C2A" w:rsidRPr="00C35568">
        <w:rPr>
          <w:rFonts w:ascii="Times New Roman" w:hAnsi="Times New Roman" w:cs="Times New Roman"/>
          <w:noProof/>
          <w:sz w:val="24"/>
          <w:szCs w:val="24"/>
          <w:lang w:val="pt-BR"/>
        </w:rPr>
        <w:t>Elkinawy e Stater (2011), Ghosh e Sirmans (2005) e Yan (2015)</w:t>
      </w:r>
      <w:r w:rsidR="00C70C2A" w:rsidRPr="00C35568">
        <w:rPr>
          <w:rStyle w:val="FootnoteReference"/>
          <w:rFonts w:ascii="Times New Roman" w:hAnsi="Times New Roman" w:cs="Times New Roman"/>
          <w:sz w:val="24"/>
          <w:szCs w:val="24"/>
          <w:lang w:val="pt-BR"/>
        </w:rPr>
        <w:fldChar w:fldCharType="end"/>
      </w:r>
      <w:r w:rsidR="006A096B" w:rsidRPr="00C35568">
        <w:rPr>
          <w:rFonts w:ascii="Times New Roman" w:hAnsi="Times New Roman" w:cs="Times New Roman"/>
          <w:sz w:val="24"/>
          <w:szCs w:val="24"/>
          <w:lang w:val="pt-BR" w:eastAsia="pt-BR"/>
        </w:rPr>
        <w:t>,</w:t>
      </w:r>
      <w:r w:rsidR="00C6641D" w:rsidRPr="00C35568">
        <w:rPr>
          <w:rFonts w:ascii="Times New Roman" w:hAnsi="Times New Roman" w:cs="Times New Roman"/>
          <w:sz w:val="24"/>
          <w:szCs w:val="24"/>
          <w:lang w:val="pt-BR" w:eastAsia="pt-BR"/>
        </w:rPr>
        <w:t xml:space="preserve"> as variáveis de rentabilidade Roa, lnCresc e Q estão positivamente relacionadas com a inteligibilidade. Especificamente, o coeficiente para a medida de desempenho financeiro global Roa é significativo para explicar </w:t>
      </w:r>
      <w:r w:rsidR="00300B74" w:rsidRPr="00C35568">
        <w:rPr>
          <w:rFonts w:ascii="Times New Roman" w:hAnsi="Times New Roman" w:cs="Times New Roman"/>
          <w:sz w:val="24"/>
          <w:szCs w:val="24"/>
          <w:lang w:val="pt-BR" w:eastAsia="pt-BR"/>
        </w:rPr>
        <w:t xml:space="preserve">a remuneração baseada em ações (coef. 8,211, p &lt; 0,01). </w:t>
      </w:r>
      <w:r w:rsidR="000B764D" w:rsidRPr="00C35568">
        <w:rPr>
          <w:rFonts w:ascii="Times New Roman" w:hAnsi="Times New Roman" w:cs="Times New Roman"/>
          <w:sz w:val="24"/>
          <w:szCs w:val="24"/>
          <w:lang w:val="pt-BR" w:eastAsia="pt-BR"/>
        </w:rPr>
        <w:t xml:space="preserve">Os achados para o desvio padrão do Roa (SRoa) são significativos e negativos quando relacionado a remuneração fixa (coef. -6,350, p &lt; 0,05). A </w:t>
      </w:r>
      <w:r w:rsidR="000B764D" w:rsidRPr="00C35568">
        <w:rPr>
          <w:rFonts w:ascii="Times New Roman" w:hAnsi="Times New Roman" w:cs="Times New Roman"/>
          <w:sz w:val="24"/>
          <w:szCs w:val="24"/>
          <w:lang w:val="pt-BR" w:eastAsia="pt-BR"/>
        </w:rPr>
        <w:lastRenderedPageBreak/>
        <w:t>medida de crescimento do valor de mercados das ações (lnCresc) apresentou-se positivamente relacionada com o total de remuneração e sua parcela fixa e variável (coef. 0,321, p &lt; 0,01; coef. 0,304, p &lt; 0,01; e coef. 0,225, p &lt; 0,01, respectivamente).</w:t>
      </w:r>
      <w:r w:rsidR="00BE7559" w:rsidRPr="00C35568">
        <w:rPr>
          <w:rFonts w:ascii="Times New Roman" w:hAnsi="Times New Roman" w:cs="Times New Roman"/>
          <w:sz w:val="24"/>
          <w:szCs w:val="24"/>
          <w:lang w:val="pt-BR" w:eastAsia="pt-BR"/>
        </w:rPr>
        <w:t xml:space="preserve"> Assim como a medida de desempenho finaceiro global, o </w:t>
      </w:r>
      <w:r w:rsidR="00BE7559" w:rsidRPr="00C35568">
        <w:rPr>
          <w:rFonts w:ascii="Times New Roman" w:hAnsi="Times New Roman" w:cs="Times New Roman"/>
          <w:i/>
          <w:sz w:val="24"/>
          <w:szCs w:val="24"/>
          <w:lang w:val="pt-BR" w:eastAsia="pt-BR"/>
        </w:rPr>
        <w:t>q</w:t>
      </w:r>
      <w:r w:rsidR="00BE7559" w:rsidRPr="00C35568">
        <w:rPr>
          <w:rFonts w:ascii="Times New Roman" w:hAnsi="Times New Roman" w:cs="Times New Roman"/>
          <w:sz w:val="24"/>
          <w:szCs w:val="24"/>
          <w:lang w:val="pt-BR" w:eastAsia="pt-BR"/>
        </w:rPr>
        <w:t xml:space="preserve"> de Tobin (Q) apresentou relação positiva com a remuneração executiva fixa e variável (coef. </w:t>
      </w:r>
      <w:r w:rsidR="001944FF" w:rsidRPr="00C35568">
        <w:rPr>
          <w:rFonts w:ascii="Times New Roman" w:hAnsi="Times New Roman" w:cs="Times New Roman"/>
          <w:sz w:val="24"/>
          <w:szCs w:val="24"/>
          <w:lang w:val="pt-BR" w:eastAsia="pt-BR"/>
        </w:rPr>
        <w:t>0,552, p &lt; 0,10 e coef. 0,799, p &lt; 0,10, respectivamente).</w:t>
      </w:r>
      <w:r w:rsidR="00E74E47" w:rsidRPr="00C35568">
        <w:rPr>
          <w:rFonts w:ascii="Times New Roman" w:hAnsi="Times New Roman" w:cs="Times New Roman"/>
          <w:sz w:val="24"/>
          <w:szCs w:val="24"/>
          <w:lang w:val="pt-BR" w:eastAsia="pt-BR"/>
        </w:rPr>
        <w:t xml:space="preserve"> </w:t>
      </w:r>
    </w:p>
    <w:p w:rsidR="00E74E47" w:rsidRPr="00C35568" w:rsidRDefault="00B86E42"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Em análise conjunta,</w:t>
      </w:r>
      <w:r w:rsidR="00E74E47" w:rsidRPr="00C35568">
        <w:rPr>
          <w:rFonts w:ascii="Times New Roman" w:hAnsi="Times New Roman" w:cs="Times New Roman"/>
          <w:sz w:val="24"/>
          <w:szCs w:val="24"/>
          <w:lang w:val="pt-BR" w:eastAsia="pt-BR"/>
        </w:rPr>
        <w:t xml:space="preserve"> </w:t>
      </w:r>
      <w:r w:rsidRPr="00C35568">
        <w:rPr>
          <w:rFonts w:ascii="Times New Roman" w:hAnsi="Times New Roman" w:cs="Times New Roman"/>
          <w:sz w:val="24"/>
          <w:szCs w:val="24"/>
          <w:lang w:val="pt-BR" w:eastAsia="pt-BR"/>
        </w:rPr>
        <w:t xml:space="preserve">os resultados indicam que empresas com maior desempenho têm planos de remuneração mais vantajosos para os executivos. O impacto negativo da dispersão do desempenho na remuneração indica que os planos de remuneração sofrem impacto da oscilação do desempenho. Não obstante, os resultados para medida de rentabilidade devem ser interpretados com cautela, limitando-se a amostra selecionada no estudo, devido a falta de significância estatística das variáveis para todas as especificações da equação </w:t>
      </w:r>
      <w:r w:rsidR="003E7D60" w:rsidRPr="00C35568">
        <w:rPr>
          <w:rFonts w:ascii="Times New Roman" w:hAnsi="Times New Roman" w:cs="Times New Roman"/>
          <w:sz w:val="24"/>
          <w:szCs w:val="24"/>
          <w:lang w:val="pt-BR" w:eastAsia="pt-BR"/>
        </w:rPr>
        <w:t>5</w:t>
      </w:r>
      <w:r w:rsidRPr="00C35568">
        <w:rPr>
          <w:rFonts w:ascii="Times New Roman" w:hAnsi="Times New Roman" w:cs="Times New Roman"/>
          <w:sz w:val="24"/>
          <w:szCs w:val="24"/>
          <w:lang w:val="pt-BR" w:eastAsia="pt-BR"/>
        </w:rPr>
        <w:t xml:space="preserve">, bem como o baixo valor da significância estatística de algumas variáveis. </w:t>
      </w:r>
    </w:p>
    <w:p w:rsidR="00686593" w:rsidRPr="00C35568" w:rsidRDefault="0052104A" w:rsidP="006832C3">
      <w:pPr>
        <w:spacing w:after="0" w:line="240" w:lineRule="auto"/>
        <w:ind w:firstLine="709"/>
        <w:jc w:val="both"/>
        <w:rPr>
          <w:rFonts w:ascii="Times New Roman" w:hAnsi="Times New Roman" w:cs="Times New Roman"/>
          <w:sz w:val="24"/>
          <w:szCs w:val="24"/>
          <w:lang w:val="pt-BR" w:eastAsia="pt-BR"/>
        </w:rPr>
      </w:pPr>
      <w:r w:rsidRPr="00C35568">
        <w:rPr>
          <w:rFonts w:ascii="Times New Roman" w:hAnsi="Times New Roman" w:cs="Times New Roman"/>
          <w:sz w:val="24"/>
          <w:szCs w:val="24"/>
          <w:lang w:val="pt-BR" w:eastAsia="pt-BR"/>
        </w:rPr>
        <w:t xml:space="preserve">A </w:t>
      </w:r>
      <w:r w:rsidRPr="00C35568">
        <w:rPr>
          <w:rFonts w:ascii="Times New Roman" w:hAnsi="Times New Roman" w:cs="Times New Roman"/>
          <w:i/>
          <w:sz w:val="24"/>
          <w:szCs w:val="24"/>
          <w:lang w:val="pt-BR" w:eastAsia="pt-BR"/>
        </w:rPr>
        <w:t>proxy</w:t>
      </w:r>
      <w:r w:rsidRPr="00C35568">
        <w:rPr>
          <w:rFonts w:ascii="Times New Roman" w:hAnsi="Times New Roman" w:cs="Times New Roman"/>
          <w:sz w:val="24"/>
          <w:szCs w:val="24"/>
          <w:lang w:val="pt-BR" w:eastAsia="pt-BR"/>
        </w:rPr>
        <w:t xml:space="preserve"> que captura a identidade do controlador da empresa (d.Identidade) apresentou relação estatística e </w:t>
      </w:r>
      <w:r w:rsidR="008940DE" w:rsidRPr="00C35568">
        <w:rPr>
          <w:rFonts w:ascii="Times New Roman" w:hAnsi="Times New Roman" w:cs="Times New Roman"/>
          <w:sz w:val="24"/>
          <w:szCs w:val="24"/>
          <w:lang w:val="pt-BR" w:eastAsia="pt-BR"/>
        </w:rPr>
        <w:t>negativa</w:t>
      </w:r>
      <w:r w:rsidRPr="00C35568">
        <w:rPr>
          <w:rFonts w:ascii="Times New Roman" w:hAnsi="Times New Roman" w:cs="Times New Roman"/>
          <w:sz w:val="24"/>
          <w:szCs w:val="24"/>
          <w:lang w:val="pt-BR" w:eastAsia="pt-BR"/>
        </w:rPr>
        <w:t xml:space="preserve"> </w:t>
      </w:r>
      <w:r w:rsidR="008940DE" w:rsidRPr="00C35568">
        <w:rPr>
          <w:rFonts w:ascii="Times New Roman" w:hAnsi="Times New Roman" w:cs="Times New Roman"/>
          <w:sz w:val="24"/>
          <w:szCs w:val="24"/>
          <w:lang w:val="pt-BR" w:eastAsia="pt-BR"/>
        </w:rPr>
        <w:t xml:space="preserve">quando explicativa da remuneração total, fixa e variável (coef. -1,082, p &lt; 0,01; coef. -0,523, p &lt; 0,01; e coef. -2,202, p &lt; 0,01, respectivamente). </w:t>
      </w:r>
      <w:r w:rsidR="009E5482" w:rsidRPr="00C35568">
        <w:rPr>
          <w:rFonts w:ascii="Times New Roman" w:hAnsi="Times New Roman" w:cs="Times New Roman"/>
          <w:sz w:val="24"/>
          <w:szCs w:val="24"/>
          <w:lang w:val="pt-BR" w:eastAsia="pt-BR"/>
        </w:rPr>
        <w:t xml:space="preserve">Assim, os executivos de empresas com controle estatal podem receber recompensas menores devido ao maior monitoramento por parte dos </w:t>
      </w:r>
      <w:r w:rsidR="009E5482" w:rsidRPr="00C35568">
        <w:rPr>
          <w:rFonts w:ascii="Times New Roman" w:hAnsi="Times New Roman" w:cs="Times New Roman"/>
          <w:i/>
          <w:sz w:val="24"/>
          <w:szCs w:val="24"/>
          <w:lang w:val="pt-BR" w:eastAsia="pt-BR"/>
        </w:rPr>
        <w:t>stakeholders</w:t>
      </w:r>
      <w:r w:rsidR="009E5482" w:rsidRPr="00C35568">
        <w:rPr>
          <w:rFonts w:ascii="Times New Roman" w:hAnsi="Times New Roman" w:cs="Times New Roman"/>
          <w:sz w:val="24"/>
          <w:szCs w:val="24"/>
          <w:lang w:val="pt-BR" w:eastAsia="pt-BR"/>
        </w:rPr>
        <w:t xml:space="preserve"> e </w:t>
      </w:r>
      <w:r w:rsidR="009E5482" w:rsidRPr="00C35568">
        <w:rPr>
          <w:rFonts w:ascii="Times New Roman" w:hAnsi="Times New Roman" w:cs="Times New Roman"/>
          <w:i/>
          <w:sz w:val="24"/>
          <w:szCs w:val="24"/>
          <w:lang w:val="pt-BR" w:eastAsia="pt-BR"/>
        </w:rPr>
        <w:t>shareholders</w:t>
      </w:r>
      <w:r w:rsidR="00065623" w:rsidRPr="00C35568">
        <w:rPr>
          <w:rFonts w:ascii="Times New Roman" w:hAnsi="Times New Roman" w:cs="Times New Roman"/>
          <w:sz w:val="24"/>
          <w:szCs w:val="24"/>
          <w:lang w:val="pt-BR" w:eastAsia="pt-BR"/>
        </w:rPr>
        <w:t xml:space="preserve"> envolvidos nessas organizações.</w:t>
      </w:r>
    </w:p>
    <w:p w:rsidR="00686593" w:rsidRPr="00C35568" w:rsidRDefault="00686593" w:rsidP="006832C3">
      <w:pPr>
        <w:pStyle w:val="Heading1"/>
        <w:rPr>
          <w:lang w:val="pt-BR"/>
        </w:rPr>
      </w:pPr>
    </w:p>
    <w:p w:rsidR="001A2445" w:rsidRPr="00C35568" w:rsidRDefault="009C5CF8" w:rsidP="006832C3">
      <w:pPr>
        <w:pStyle w:val="Heading1"/>
        <w:rPr>
          <w:lang w:val="pt-BR"/>
        </w:rPr>
      </w:pPr>
      <w:r>
        <w:rPr>
          <w:lang w:val="pt-BR"/>
        </w:rPr>
        <w:t xml:space="preserve">5 </w:t>
      </w:r>
      <w:r w:rsidR="002423CE" w:rsidRPr="00C35568">
        <w:rPr>
          <w:lang w:val="pt-BR"/>
        </w:rPr>
        <w:t>Conclusão</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O presente trabalho objetivou identificar os tipos e os determinantes da remuneração dos executivos que compõem o CA, a DE e o CF das empresas com ações negociadas no mercado acionário brasileiro. Para operacionalizar a pesquisa foram selecionadas as empresas que integravam o índice Ibovespa de 2017, sendo que a amostra final culminou em 170 empresas/a</w:t>
      </w:r>
      <w:r w:rsidR="003E7D60" w:rsidRPr="00C35568">
        <w:rPr>
          <w:rFonts w:ascii="Times New Roman" w:hAnsi="Times New Roman" w:cs="Times New Roman"/>
          <w:lang w:val="pt-BR"/>
        </w:rPr>
        <w:t>n</w:t>
      </w:r>
      <w:r w:rsidRPr="00C35568">
        <w:rPr>
          <w:rFonts w:ascii="Times New Roman" w:hAnsi="Times New Roman" w:cs="Times New Roman"/>
          <w:lang w:val="pt-BR"/>
        </w:rPr>
        <w:t>o para o período de 2013 a 2016.</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Sobre a remuneração por órgãos administrativos observou-se que o CA e o CF optam por planos de remuneração mais conservadores</w:t>
      </w:r>
      <w:r w:rsidR="00F467DF" w:rsidRPr="00C35568">
        <w:rPr>
          <w:rFonts w:ascii="Times New Roman" w:hAnsi="Times New Roman" w:cs="Times New Roman"/>
          <w:lang w:val="pt-BR"/>
        </w:rPr>
        <w:t>. J</w:t>
      </w:r>
      <w:r w:rsidRPr="00C35568">
        <w:rPr>
          <w:rFonts w:ascii="Times New Roman" w:hAnsi="Times New Roman" w:cs="Times New Roman"/>
          <w:lang w:val="pt-BR"/>
        </w:rPr>
        <w:t xml:space="preserve">á a DE tem planos menos conservadores, sujeitos assim, a situações momentâneas do mercado. </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Com relação aos tipos de </w:t>
      </w:r>
      <w:r w:rsidR="00485282" w:rsidRPr="00C35568">
        <w:rPr>
          <w:rFonts w:ascii="Times New Roman" w:hAnsi="Times New Roman" w:cs="Times New Roman"/>
          <w:lang w:val="pt-BR"/>
        </w:rPr>
        <w:t xml:space="preserve">compensação </w:t>
      </w:r>
      <w:r w:rsidRPr="00C35568">
        <w:rPr>
          <w:rFonts w:ascii="Times New Roman" w:hAnsi="Times New Roman" w:cs="Times New Roman"/>
          <w:lang w:val="pt-BR"/>
        </w:rPr>
        <w:t>destaca-se que a remuneração baseada em ação</w:t>
      </w:r>
      <w:r w:rsidR="007D2CE8" w:rsidRPr="00C35568">
        <w:rPr>
          <w:rFonts w:ascii="Times New Roman" w:hAnsi="Times New Roman" w:cs="Times New Roman"/>
          <w:lang w:val="pt-BR"/>
        </w:rPr>
        <w:t xml:space="preserve">, </w:t>
      </w:r>
      <w:r w:rsidR="00485282" w:rsidRPr="00C35568">
        <w:rPr>
          <w:rFonts w:ascii="Times New Roman" w:hAnsi="Times New Roman" w:cs="Times New Roman"/>
          <w:lang w:val="pt-BR"/>
        </w:rPr>
        <w:t>como um todo</w:t>
      </w:r>
      <w:r w:rsidR="007D2CE8" w:rsidRPr="00C35568">
        <w:rPr>
          <w:rFonts w:ascii="Times New Roman" w:hAnsi="Times New Roman" w:cs="Times New Roman"/>
          <w:lang w:val="pt-BR"/>
        </w:rPr>
        <w:t>,</w:t>
      </w:r>
      <w:r w:rsidR="00AC3338" w:rsidRPr="00C35568">
        <w:rPr>
          <w:rFonts w:ascii="Times New Roman" w:hAnsi="Times New Roman" w:cs="Times New Roman"/>
          <w:lang w:val="pt-BR"/>
        </w:rPr>
        <w:t xml:space="preserve"> apresentou vari</w:t>
      </w:r>
      <w:r w:rsidR="007E20C3" w:rsidRPr="00C35568">
        <w:rPr>
          <w:rFonts w:ascii="Times New Roman" w:hAnsi="Times New Roman" w:cs="Times New Roman"/>
          <w:lang w:val="pt-BR"/>
        </w:rPr>
        <w:t>a</w:t>
      </w:r>
      <w:r w:rsidR="00AC3338" w:rsidRPr="00C35568">
        <w:rPr>
          <w:rFonts w:ascii="Times New Roman" w:hAnsi="Times New Roman" w:cs="Times New Roman"/>
          <w:lang w:val="pt-BR"/>
        </w:rPr>
        <w:t xml:space="preserve">ção positiva </w:t>
      </w:r>
      <w:r w:rsidR="007D2CE8" w:rsidRPr="00C35568">
        <w:rPr>
          <w:rFonts w:ascii="Times New Roman" w:hAnsi="Times New Roman" w:cs="Times New Roman"/>
          <w:lang w:val="pt-BR"/>
        </w:rPr>
        <w:t>nos</w:t>
      </w:r>
      <w:r w:rsidR="00AC3338" w:rsidRPr="00C35568">
        <w:rPr>
          <w:rFonts w:ascii="Times New Roman" w:hAnsi="Times New Roman" w:cs="Times New Roman"/>
          <w:lang w:val="pt-BR"/>
        </w:rPr>
        <w:t xml:space="preserve"> três primeiros anos analisados, </w:t>
      </w:r>
      <w:r w:rsidR="007D2CE8" w:rsidRPr="00C35568">
        <w:rPr>
          <w:rFonts w:ascii="Times New Roman" w:hAnsi="Times New Roman" w:cs="Times New Roman"/>
          <w:lang w:val="pt-BR"/>
        </w:rPr>
        <w:t>revertendo esta</w:t>
      </w:r>
      <w:r w:rsidR="00AC3338" w:rsidRPr="00C35568">
        <w:rPr>
          <w:rFonts w:ascii="Times New Roman" w:hAnsi="Times New Roman" w:cs="Times New Roman"/>
          <w:lang w:val="pt-BR"/>
        </w:rPr>
        <w:t xml:space="preserve"> tendência em 2016. </w:t>
      </w:r>
      <w:r w:rsidR="007D2CE8" w:rsidRPr="00C35568">
        <w:rPr>
          <w:rFonts w:ascii="Times New Roman" w:hAnsi="Times New Roman" w:cs="Times New Roman"/>
          <w:lang w:val="pt-BR"/>
        </w:rPr>
        <w:t xml:space="preserve">Uma possível explicação para esta oscilação é a </w:t>
      </w:r>
      <w:r w:rsidRPr="00C35568">
        <w:rPr>
          <w:rFonts w:ascii="Times New Roman" w:hAnsi="Times New Roman" w:cs="Times New Roman"/>
          <w:lang w:val="pt-BR"/>
        </w:rPr>
        <w:t>atual</w:t>
      </w:r>
      <w:r w:rsidRPr="00C35568">
        <w:rPr>
          <w:rFonts w:ascii="Times New Roman" w:hAnsi="Times New Roman" w:cs="Times New Roman"/>
          <w:spacing w:val="-17"/>
          <w:lang w:val="pt-BR"/>
        </w:rPr>
        <w:t xml:space="preserve"> </w:t>
      </w:r>
      <w:r w:rsidRPr="00C35568">
        <w:rPr>
          <w:rFonts w:ascii="Times New Roman" w:hAnsi="Times New Roman" w:cs="Times New Roman"/>
          <w:lang w:val="pt-BR"/>
        </w:rPr>
        <w:t>situação</w:t>
      </w:r>
      <w:r w:rsidRPr="00C35568">
        <w:rPr>
          <w:rFonts w:ascii="Times New Roman" w:hAnsi="Times New Roman" w:cs="Times New Roman"/>
          <w:spacing w:val="-17"/>
          <w:lang w:val="pt-BR"/>
        </w:rPr>
        <w:t xml:space="preserve"> </w:t>
      </w:r>
      <w:r w:rsidRPr="00C35568">
        <w:rPr>
          <w:rFonts w:ascii="Times New Roman" w:hAnsi="Times New Roman" w:cs="Times New Roman"/>
          <w:lang w:val="pt-BR"/>
        </w:rPr>
        <w:t>econômica</w:t>
      </w:r>
      <w:r w:rsidR="00AC3338" w:rsidRPr="00C35568">
        <w:rPr>
          <w:rFonts w:ascii="Times New Roman" w:hAnsi="Times New Roman" w:cs="Times New Roman"/>
          <w:lang w:val="pt-BR"/>
        </w:rPr>
        <w:t xml:space="preserve"> do</w:t>
      </w:r>
      <w:r w:rsidRPr="00C35568">
        <w:rPr>
          <w:rFonts w:ascii="Times New Roman" w:hAnsi="Times New Roman" w:cs="Times New Roman"/>
          <w:lang w:val="pt-BR"/>
        </w:rPr>
        <w:t xml:space="preserve"> </w:t>
      </w:r>
      <w:r w:rsidR="00AC3338" w:rsidRPr="00C35568">
        <w:rPr>
          <w:rFonts w:ascii="Times New Roman" w:hAnsi="Times New Roman" w:cs="Times New Roman"/>
          <w:lang w:val="pt-BR"/>
        </w:rPr>
        <w:t>mercado</w:t>
      </w:r>
      <w:r w:rsidRPr="00C35568">
        <w:rPr>
          <w:rFonts w:ascii="Times New Roman" w:hAnsi="Times New Roman" w:cs="Times New Roman"/>
          <w:lang w:val="pt-BR"/>
        </w:rPr>
        <w:t xml:space="preserve"> </w:t>
      </w:r>
      <w:r w:rsidR="00AC3338" w:rsidRPr="00C35568">
        <w:rPr>
          <w:rFonts w:ascii="Times New Roman" w:hAnsi="Times New Roman" w:cs="Times New Roman"/>
          <w:lang w:val="pt-BR"/>
        </w:rPr>
        <w:t xml:space="preserve">brasileiro, que </w:t>
      </w:r>
      <w:r w:rsidRPr="00C35568">
        <w:rPr>
          <w:rFonts w:ascii="Times New Roman" w:hAnsi="Times New Roman" w:cs="Times New Roman"/>
          <w:lang w:val="pt-BR"/>
        </w:rPr>
        <w:t>distancia</w:t>
      </w:r>
      <w:r w:rsidR="00AC3338" w:rsidRPr="00C35568">
        <w:rPr>
          <w:rFonts w:ascii="Times New Roman" w:hAnsi="Times New Roman" w:cs="Times New Roman"/>
          <w:lang w:val="pt-BR"/>
        </w:rPr>
        <w:t xml:space="preserve"> </w:t>
      </w:r>
      <w:r w:rsidRPr="00C35568">
        <w:rPr>
          <w:rFonts w:ascii="Times New Roman" w:hAnsi="Times New Roman" w:cs="Times New Roman"/>
          <w:lang w:val="pt-BR"/>
        </w:rPr>
        <w:t xml:space="preserve">as empresas de suas metas traçadas. </w:t>
      </w:r>
      <w:r w:rsidR="00287ADF" w:rsidRPr="00C35568">
        <w:rPr>
          <w:rFonts w:ascii="Times New Roman" w:hAnsi="Times New Roman" w:cs="Times New Roman"/>
          <w:lang w:val="pt-BR"/>
        </w:rPr>
        <w:t xml:space="preserve">Em relação a remuneração fixa observou aumento no período analisado, </w:t>
      </w:r>
      <w:r w:rsidRPr="00C35568">
        <w:rPr>
          <w:rFonts w:ascii="Times New Roman" w:hAnsi="Times New Roman" w:cs="Times New Roman"/>
          <w:lang w:val="pt-BR"/>
        </w:rPr>
        <w:t>sugerindo conservadorismo por parte dos</w:t>
      </w:r>
      <w:r w:rsidRPr="00C35568">
        <w:rPr>
          <w:rFonts w:ascii="Times New Roman" w:hAnsi="Times New Roman" w:cs="Times New Roman"/>
          <w:spacing w:val="-12"/>
          <w:lang w:val="pt-BR"/>
        </w:rPr>
        <w:t xml:space="preserve"> </w:t>
      </w:r>
      <w:r w:rsidRPr="00C35568">
        <w:rPr>
          <w:rFonts w:ascii="Times New Roman" w:hAnsi="Times New Roman" w:cs="Times New Roman"/>
          <w:lang w:val="pt-BR"/>
        </w:rPr>
        <w:t>gestores.</w:t>
      </w:r>
      <w:r w:rsidR="00287ADF" w:rsidRPr="00C35568">
        <w:rPr>
          <w:rFonts w:ascii="Times New Roman" w:hAnsi="Times New Roman" w:cs="Times New Roman"/>
          <w:lang w:val="pt-BR"/>
        </w:rPr>
        <w:t xml:space="preserve"> As empresas utiliza</w:t>
      </w:r>
      <w:r w:rsidR="007D2CE8" w:rsidRPr="00C35568">
        <w:rPr>
          <w:rFonts w:ascii="Times New Roman" w:hAnsi="Times New Roman" w:cs="Times New Roman"/>
          <w:lang w:val="pt-BR"/>
        </w:rPr>
        <w:t>ra</w:t>
      </w:r>
      <w:r w:rsidR="00287ADF" w:rsidRPr="00C35568">
        <w:rPr>
          <w:rFonts w:ascii="Times New Roman" w:hAnsi="Times New Roman" w:cs="Times New Roman"/>
          <w:lang w:val="pt-BR"/>
        </w:rPr>
        <w:t xml:space="preserve">m </w:t>
      </w:r>
      <w:r w:rsidR="007D2CE8" w:rsidRPr="00C35568">
        <w:rPr>
          <w:rFonts w:ascii="Times New Roman" w:hAnsi="Times New Roman" w:cs="Times New Roman"/>
          <w:lang w:val="pt-BR"/>
        </w:rPr>
        <w:t>predominantemente as SO como pagamento baseado em ações, ao contrário das empresas norte americanas que passaram a remunerar em maior p</w:t>
      </w:r>
      <w:r w:rsidR="00A6188C" w:rsidRPr="00C35568">
        <w:rPr>
          <w:rFonts w:ascii="Times New Roman" w:hAnsi="Times New Roman" w:cs="Times New Roman"/>
          <w:lang w:val="pt-BR"/>
        </w:rPr>
        <w:t xml:space="preserve">arcela com RS. Isso sugere </w:t>
      </w:r>
      <w:r w:rsidR="007D2CE8" w:rsidRPr="00C35568">
        <w:rPr>
          <w:rFonts w:ascii="Times New Roman" w:hAnsi="Times New Roman" w:cs="Times New Roman"/>
          <w:lang w:val="pt-BR"/>
        </w:rPr>
        <w:t>aumento do conservadorismo,</w:t>
      </w:r>
      <w:r w:rsidRPr="00C35568">
        <w:rPr>
          <w:rFonts w:ascii="Times New Roman" w:hAnsi="Times New Roman" w:cs="Times New Roman"/>
          <w:lang w:val="pt-BR"/>
        </w:rPr>
        <w:t xml:space="preserve"> </w:t>
      </w:r>
      <w:r w:rsidR="00A6188C" w:rsidRPr="00C35568">
        <w:rPr>
          <w:rFonts w:ascii="Times New Roman" w:hAnsi="Times New Roman" w:cs="Times New Roman"/>
          <w:lang w:val="pt-BR"/>
        </w:rPr>
        <w:t>dado que as RS maximizam</w:t>
      </w:r>
      <w:r w:rsidRPr="00C35568">
        <w:rPr>
          <w:rFonts w:ascii="Times New Roman" w:hAnsi="Times New Roman" w:cs="Times New Roman"/>
          <w:spacing w:val="1"/>
          <w:lang w:val="pt-BR"/>
        </w:rPr>
        <w:t xml:space="preserve"> </w:t>
      </w:r>
      <w:r w:rsidRPr="00C35568">
        <w:rPr>
          <w:rFonts w:ascii="Times New Roman" w:hAnsi="Times New Roman" w:cs="Times New Roman"/>
          <w:lang w:val="pt-BR"/>
        </w:rPr>
        <w:t>o</w:t>
      </w:r>
      <w:r w:rsidR="00485282" w:rsidRPr="00C35568">
        <w:rPr>
          <w:rFonts w:ascii="Times New Roman" w:hAnsi="Times New Roman" w:cs="Times New Roman"/>
          <w:lang w:val="pt-BR"/>
        </w:rPr>
        <w:t xml:space="preserve"> mesmo</w:t>
      </w:r>
      <w:r w:rsidR="00A6188C" w:rsidRPr="00C35568">
        <w:rPr>
          <w:rFonts w:ascii="Times New Roman" w:hAnsi="Times New Roman" w:cs="Times New Roman"/>
          <w:lang w:val="pt-BR"/>
        </w:rPr>
        <w:t xml:space="preserve">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"author" : [ { "dropping-particle" : "", "family" : "Kolb", "given" : "Robert W.", "non-dropping-particle" : "", "parse-names" : false, "suffix" : "" } ], "id" : "ITEM-1", "issued" : { "date-parts" : [ [ "2012" ] ] }, "publisher" : "Oxford University Press", "publisher-place" : "New York", "title" : "Too Much is Not Enough: incentives in executive compensation", "type" : "book" }, "uris" : [ "http://www.mendeley.com/documents/?uuid=578f8a2b-ae80-4966-b145-270aa34b1e0e" ] } ], "mendeley" : { "formattedCitation" : "(KOLB, 2012)", "manualFormatting" : "Kolb, 2012)", "plainTextFormattedCitation" : "(KOLB, 2012)", "previouslyFormattedCitation" : "(KOLB, 2012)"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Kolb, 2012)</w:t>
      </w:r>
      <w:r w:rsidR="00C70C2A" w:rsidRPr="00C35568">
        <w:rPr>
          <w:rStyle w:val="FootnoteReference"/>
          <w:rFonts w:ascii="Times New Roman" w:hAnsi="Times New Roman" w:cs="Times New Roman"/>
          <w:lang w:val="pt-BR"/>
        </w:rPr>
        <w:fldChar w:fldCharType="end"/>
      </w:r>
      <w:r w:rsidR="00485282" w:rsidRPr="00C35568">
        <w:rPr>
          <w:rFonts w:ascii="Times New Roman" w:hAnsi="Times New Roman" w:cs="Times New Roman"/>
          <w:lang w:val="pt-BR"/>
        </w:rPr>
        <w:t>.</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Os achados para as determinantes da remuneração executiva indicam que conselhos maiores podem influenciar nos planos de compensação, tornando os mesmos mais vantajosos, acentuando, assim, possível conflito de interesses. A presença de mulheres conselheiras torna os planos de remuneração mais conservadores, corroborando com o disciplinado por </w:t>
      </w:r>
      <w:r w:rsidR="00C70C2A" w:rsidRPr="00C35568">
        <w:rPr>
          <w:rStyle w:val="FootnoteReference"/>
          <w:rFonts w:ascii="Times New Roman" w:hAnsi="Times New Roman" w:cs="Times New Roman"/>
          <w:lang w:val="pt-BR"/>
        </w:rPr>
        <w:fldChar w:fldCharType="begin" w:fldLock="1"/>
      </w:r>
      <w:r w:rsidR="00051229" w:rsidRPr="00C35568">
        <w:rPr>
          <w:rFonts w:ascii="Times New Roman" w:hAnsi="Times New Roman" w:cs="Times New Roman"/>
          <w:lang w:val="pt-BR"/>
        </w:rPr>
        <w:instrText>ADDIN CSL_CITATION { "citationItems" : [ { "id" : "ITEM-1", "itemData" : { "DOI" : "10.1016/j.jfineco.2013.01.010", "ISBN" : "0304405X", "ISSN" : "0304405X", "PMID" : "1357004865", "abstract" : "We administer psychometric tests to senior executives to obtain evidence on their underlying psychological traits and attitudes. We find US CEOs differ significantly from non-US CEOs in terms of their underlying attitudes. In addition, we find that CEOs are significantly more optimistic and risk-tolerant than the lay population. We provide evidence that CEOs' behavioral traits such as optimism and managerial risk-aversion are related to corporate financial policies. Further, we provide new empirical evidence that CEO traits such as risk-aversion and time preference are related to their compensation. \u00a9 2013 Elsevier B.V.", "author" : [ { "dropping-particle" : "", "family" : "Graham", "given" : "John R.", "non-dropping-particle" : "", "parse-names" : false, "suffix" : "" }, { "dropping-particle" : "", "family" : "Harvey", "given" : "Campbell R.", "non-dropping-particle" : "", "parse-names" : false, "suffix" : "" }, { "dropping-particle" : "", "family" : "Puri", "given" : "Manju", "non-dropping-particle" : "", "parse-names" : false, "suffix" : "" } ], "container-title" : "Journal of Financial Economics", "id" : "ITEM-1", "issue" : "1", "issued" : { "date-parts" : [ [ "2013" ] ] }, "page" : "103-121", "publisher" : "Elsevier", "title" : "Managerial attitudes and corporate actions", "type" : "article-journal", "volume" : "109" }, "uris" : [ "http://www.mendeley.com/documents/?uuid=a7b7aeb6-0b65-49f5-87be-92fb2f7fa93d" ] }, { "id" : "ITEM-2", "itemData" : { "DOI" : "10.1162/003355301556400", "ISBN" : "0033-5533", "ISSN" : "0033-5533", "abstract" : "Theoretical models predict that overconfident investors trade\\nexcessively. We test this prediction by partitioning investors on\\ngender. Psychological research demonstrates that, in areas such as\\nfinance, men are more overconfident than women. Thus, theory predicts\\nthat men will trade more excessively than women. Using account data for\\nover 35,000 households from a large discount brokerage, we analyze the\\ncommon stock investments of men and women from February 1991 through\\nJanuary 1997. We document that men trade 45 percent more than women.\\nTrading reduces men's net returns by 2.65 percentage points a year as\\nopposed to 1.72 percentage points for women.", "author" : [ { "dropping-particle" : "", "family" : "Barber", "given" : "B. M.", "non-dropping-particle" : "", "parse-names" : false, "suffix" : "" }, { "dropping-particle" : "", "family" : "Odean", "given" : "T.", "non-dropping-particle" : "", "parse-names" : false, "suffix" : "" } ], "container-title" : "The Quarterly Journal of Economics", "id" : "ITEM-2", "issue" : "1", "issued" : { "date-parts" : [ [ "2001" ] ] }, "page" : "261-292", "title" : "Boys will be Boys: Gender, Overconfidence, and Common Stock Investment", "type" : "article-journal", "volume" : "116" }, "uris" : [ "http://www.mendeley.com/documents/?uuid=79da7e8c-5d35-4b09-97b9-0de6a7e5f7c0" ] } ], "mendeley" : { "formattedCitation" : "(BARBER; ODEAN, 2001; GRAHAM; HARVEY; PURI, 2013)", "manualFormatting" : "Barber e Odean (2001) e Graham et al. (2013)", "plainTextFormattedCitation" : "(BARBER; ODEAN, 2001; GRAHAM; HARVEY; PURI, 2013)", "previouslyFormattedCitation" : "(BARBER; ODEAN, 2001; GRAHAM; HARVEY; PURI, 2013)" }, "properties" : {  }, "schema" : "https://github.com/citation-style-language/schema/raw/master/csl-citation.json" }</w:instrText>
      </w:r>
      <w:r w:rsidR="00C70C2A" w:rsidRPr="00C35568">
        <w:rPr>
          <w:rStyle w:val="FootnoteReference"/>
          <w:rFonts w:ascii="Times New Roman" w:hAnsi="Times New Roman" w:cs="Times New Roman"/>
          <w:lang w:val="pt-BR"/>
        </w:rPr>
        <w:fldChar w:fldCharType="separate"/>
      </w:r>
      <w:r w:rsidR="00C70C2A" w:rsidRPr="00C35568">
        <w:rPr>
          <w:rFonts w:ascii="Times New Roman" w:hAnsi="Times New Roman" w:cs="Times New Roman"/>
          <w:noProof/>
          <w:lang w:val="pt-BR"/>
        </w:rPr>
        <w:t xml:space="preserve">Barber e Odean (2001) e Graham </w:t>
      </w:r>
      <w:r w:rsidR="00C70C2A" w:rsidRPr="005108E6">
        <w:rPr>
          <w:rFonts w:ascii="Times New Roman" w:hAnsi="Times New Roman" w:cs="Times New Roman"/>
          <w:i/>
          <w:noProof/>
          <w:lang w:val="pt-BR"/>
        </w:rPr>
        <w:t>et al</w:t>
      </w:r>
      <w:r w:rsidR="00C70C2A" w:rsidRPr="00C35568">
        <w:rPr>
          <w:rFonts w:ascii="Times New Roman" w:hAnsi="Times New Roman" w:cs="Times New Roman"/>
          <w:noProof/>
          <w:lang w:val="pt-BR"/>
        </w:rPr>
        <w:t>. (2013)</w:t>
      </w:r>
      <w:r w:rsidR="00C70C2A" w:rsidRPr="00C35568">
        <w:rPr>
          <w:rStyle w:val="FootnoteReference"/>
          <w:rFonts w:ascii="Times New Roman" w:hAnsi="Times New Roman" w:cs="Times New Roman"/>
          <w:lang w:val="pt-BR"/>
        </w:rPr>
        <w:fldChar w:fldCharType="end"/>
      </w:r>
      <w:r w:rsidRPr="00C35568">
        <w:rPr>
          <w:rFonts w:ascii="Times New Roman" w:hAnsi="Times New Roman" w:cs="Times New Roman"/>
          <w:lang w:val="pt-BR"/>
        </w:rPr>
        <w:t xml:space="preserve"> que mulheres executivas são mais avessas ao risco do que os homens. Os CEOs quando presidentes dos conselhos podem atenuar conflitos de interesse agindo como agentes monitores da remuneração executiva. A falta de independência acarreta redução do montante da remuneração, contrário ao teorizado de que uma maior proporção de conselheiros independentes acarreta maior monitoramento dos planos remuneratórios. </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lastRenderedPageBreak/>
        <w:t xml:space="preserve">Os achados encontrados, em sua maioria, estão de acordo com </w:t>
      </w:r>
      <w:r w:rsidR="00F467DF" w:rsidRPr="00C35568">
        <w:rPr>
          <w:rFonts w:ascii="Times New Roman" w:hAnsi="Times New Roman" w:cs="Times New Roman"/>
          <w:lang w:val="pt-BR"/>
        </w:rPr>
        <w:t>a teoria</w:t>
      </w:r>
      <w:r w:rsidRPr="00C35568">
        <w:rPr>
          <w:rFonts w:ascii="Times New Roman" w:hAnsi="Times New Roman" w:cs="Times New Roman"/>
          <w:lang w:val="pt-BR"/>
        </w:rPr>
        <w:t>. No geral, conclui-se que a re</w:t>
      </w:r>
      <w:r w:rsidR="00F467DF" w:rsidRPr="00C35568">
        <w:rPr>
          <w:rFonts w:ascii="Times New Roman" w:hAnsi="Times New Roman" w:cs="Times New Roman"/>
          <w:lang w:val="pt-BR"/>
        </w:rPr>
        <w:t>muneração sofre influê</w:t>
      </w:r>
      <w:r w:rsidRPr="00C35568">
        <w:rPr>
          <w:rFonts w:ascii="Times New Roman" w:hAnsi="Times New Roman" w:cs="Times New Roman"/>
          <w:lang w:val="pt-BR"/>
        </w:rPr>
        <w:t xml:space="preserve">ncia das características dos executivos, bem como da situação financeira momentânea da empresa, esta capturada pelas medidas de rentabilidade. </w:t>
      </w:r>
    </w:p>
    <w:p w:rsidR="004052D1" w:rsidRPr="00C35568"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Os resultados estendem a literatura que discorre </w:t>
      </w:r>
      <w:r w:rsidR="00F467DF" w:rsidRPr="00C35568">
        <w:rPr>
          <w:rFonts w:ascii="Times New Roman" w:hAnsi="Times New Roman" w:cs="Times New Roman"/>
          <w:lang w:val="pt-BR"/>
        </w:rPr>
        <w:t>sobre planos de remuneração</w:t>
      </w:r>
      <w:r w:rsidRPr="00C35568">
        <w:rPr>
          <w:rFonts w:ascii="Times New Roman" w:hAnsi="Times New Roman" w:cs="Times New Roman"/>
          <w:lang w:val="pt-BR"/>
        </w:rPr>
        <w:t>. Especificamente, introduz a ideia de conservadorismo remuneratório ao classificar a remuneração por seus tipos. Deste modo os resultados são relevantes e diferenciam-se dos demais por considerar o pagamento baseados em ações como componente variável que pode maximizar o conflito de ag</w:t>
      </w:r>
      <w:r w:rsidR="00D62EE2" w:rsidRPr="00C35568">
        <w:rPr>
          <w:rFonts w:ascii="Times New Roman" w:hAnsi="Times New Roman" w:cs="Times New Roman"/>
          <w:lang w:val="pt-BR"/>
        </w:rPr>
        <w:t>ê</w:t>
      </w:r>
      <w:r w:rsidRPr="00C35568">
        <w:rPr>
          <w:rFonts w:ascii="Times New Roman" w:hAnsi="Times New Roman" w:cs="Times New Roman"/>
          <w:lang w:val="pt-BR"/>
        </w:rPr>
        <w:t>ncia. Outra característica singular da pesquisa é a relação da presença feminina por tipo de remuneração, visto que a teoria disciplina que as mulheres têm como característica a aversão ao risco</w:t>
      </w:r>
      <w:r w:rsidR="00D62EE2" w:rsidRPr="00C35568">
        <w:rPr>
          <w:rFonts w:ascii="Times New Roman" w:hAnsi="Times New Roman" w:cs="Times New Roman"/>
          <w:lang w:val="pt-BR"/>
        </w:rPr>
        <w:t>.</w:t>
      </w:r>
    </w:p>
    <w:p w:rsidR="00F53B1F" w:rsidRDefault="004052D1" w:rsidP="005108E6">
      <w:pPr>
        <w:pStyle w:val="BodyText"/>
        <w:spacing w:after="0" w:line="240" w:lineRule="auto"/>
        <w:ind w:firstLine="709"/>
        <w:jc w:val="both"/>
        <w:rPr>
          <w:rFonts w:ascii="Times New Roman" w:hAnsi="Times New Roman" w:cs="Times New Roman"/>
          <w:lang w:val="pt-BR"/>
        </w:rPr>
      </w:pPr>
      <w:r w:rsidRPr="00C35568">
        <w:rPr>
          <w:rFonts w:ascii="Times New Roman" w:hAnsi="Times New Roman" w:cs="Times New Roman"/>
          <w:lang w:val="pt-BR"/>
        </w:rPr>
        <w:t xml:space="preserve">Destacam-se como oportunidades para novas pesquisas: (i) analisar características comportamentais dos executivos na relação com </w:t>
      </w:r>
      <w:r w:rsidR="00D62EE2" w:rsidRPr="00C35568">
        <w:rPr>
          <w:rFonts w:ascii="Times New Roman" w:hAnsi="Times New Roman" w:cs="Times New Roman"/>
          <w:lang w:val="pt-BR"/>
        </w:rPr>
        <w:t>su</w:t>
      </w:r>
      <w:r w:rsidRPr="00C35568">
        <w:rPr>
          <w:rFonts w:ascii="Times New Roman" w:hAnsi="Times New Roman" w:cs="Times New Roman"/>
          <w:lang w:val="pt-BR"/>
        </w:rPr>
        <w:t>a compensação; (ii) investigar fatores macroeconômicos que podem interferir nos planos de remuneração; e (iii) identificar os possíveis efeitos moderadores das características da empresa, tal como níveis de governança</w:t>
      </w:r>
      <w:r w:rsidR="00D62EE2" w:rsidRPr="00C35568">
        <w:rPr>
          <w:rFonts w:ascii="Times New Roman" w:hAnsi="Times New Roman" w:cs="Times New Roman"/>
          <w:lang w:val="pt-BR"/>
        </w:rPr>
        <w:t xml:space="preserve"> corporativa.</w:t>
      </w:r>
    </w:p>
    <w:p w:rsidR="005108E6" w:rsidRPr="005108E6" w:rsidRDefault="005108E6" w:rsidP="005108E6">
      <w:pPr>
        <w:pStyle w:val="BodyText"/>
        <w:spacing w:after="0" w:line="240" w:lineRule="auto"/>
        <w:ind w:firstLine="709"/>
        <w:jc w:val="both"/>
        <w:rPr>
          <w:rFonts w:ascii="Times New Roman" w:hAnsi="Times New Roman" w:cs="Times New Roman"/>
          <w:lang w:val="pt-BR"/>
        </w:rPr>
      </w:pPr>
    </w:p>
    <w:p w:rsidR="004A73AF" w:rsidRPr="00C35568" w:rsidRDefault="004A73AF" w:rsidP="00567F3A">
      <w:pPr>
        <w:pStyle w:val="BodyText"/>
        <w:ind w:right="111"/>
        <w:jc w:val="both"/>
        <w:rPr>
          <w:rFonts w:ascii="Times New Roman" w:hAnsi="Times New Roman" w:cs="Times New Roman"/>
          <w:b/>
        </w:rPr>
      </w:pPr>
      <w:r w:rsidRPr="00C35568">
        <w:rPr>
          <w:rFonts w:ascii="Times New Roman" w:hAnsi="Times New Roman" w:cs="Times New Roman"/>
          <w:b/>
        </w:rPr>
        <w:t>Referências</w:t>
      </w:r>
    </w:p>
    <w:p w:rsidR="00051229" w:rsidRPr="00C35568" w:rsidRDefault="00B073A5" w:rsidP="00051229">
      <w:pPr>
        <w:adjustRightInd w:val="0"/>
        <w:rPr>
          <w:rFonts w:ascii="Times New Roman" w:hAnsi="Times New Roman" w:cs="Times New Roman"/>
          <w:noProof/>
          <w:sz w:val="24"/>
          <w:szCs w:val="24"/>
        </w:rPr>
      </w:pPr>
      <w:r w:rsidRPr="00C35568">
        <w:rPr>
          <w:rFonts w:ascii="Times New Roman" w:hAnsi="Times New Roman" w:cs="Times New Roman"/>
          <w:sz w:val="24"/>
          <w:szCs w:val="24"/>
          <w:lang w:val="pt-BR"/>
        </w:rPr>
        <w:fldChar w:fldCharType="begin" w:fldLock="1"/>
      </w:r>
      <w:r w:rsidR="004A73AF" w:rsidRPr="00C35568">
        <w:rPr>
          <w:rFonts w:ascii="Times New Roman" w:hAnsi="Times New Roman" w:cs="Times New Roman"/>
          <w:sz w:val="24"/>
          <w:szCs w:val="24"/>
        </w:rPr>
        <w:instrText xml:space="preserve">ADDIN Mendeley Bibliography CSL_BIBLIOGRAPHY </w:instrText>
      </w:r>
      <w:r w:rsidRPr="00C35568">
        <w:rPr>
          <w:rFonts w:ascii="Times New Roman" w:hAnsi="Times New Roman" w:cs="Times New Roman"/>
          <w:sz w:val="24"/>
          <w:szCs w:val="24"/>
          <w:lang w:val="pt-BR"/>
        </w:rPr>
        <w:fldChar w:fldCharType="separate"/>
      </w:r>
      <w:r w:rsidR="00051229" w:rsidRPr="00C35568">
        <w:rPr>
          <w:rFonts w:ascii="Times New Roman" w:hAnsi="Times New Roman" w:cs="Times New Roman"/>
          <w:noProof/>
          <w:sz w:val="24"/>
          <w:szCs w:val="24"/>
        </w:rPr>
        <w:t xml:space="preserve">BAJTELSMIT, V. L.; BERNASEK, A. Why Do Women Invest Differently than Men? </w:t>
      </w:r>
      <w:r w:rsidR="00051229" w:rsidRPr="00C35568">
        <w:rPr>
          <w:rFonts w:ascii="Times New Roman" w:hAnsi="Times New Roman" w:cs="Times New Roman"/>
          <w:b/>
          <w:bCs/>
          <w:noProof/>
          <w:sz w:val="24"/>
          <w:szCs w:val="24"/>
        </w:rPr>
        <w:t>SSRN Electronic Journal</w:t>
      </w:r>
      <w:r w:rsidR="00051229" w:rsidRPr="00C35568">
        <w:rPr>
          <w:rFonts w:ascii="Times New Roman" w:hAnsi="Times New Roman" w:cs="Times New Roman"/>
          <w:noProof/>
          <w:sz w:val="24"/>
          <w:szCs w:val="24"/>
        </w:rPr>
        <w:t xml:space="preserve">, n. 970, 1996.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BALSAM, S. </w:t>
      </w:r>
      <w:r w:rsidRPr="00C35568">
        <w:rPr>
          <w:rFonts w:ascii="Times New Roman" w:hAnsi="Times New Roman" w:cs="Times New Roman"/>
          <w:b/>
          <w:bCs/>
          <w:noProof/>
          <w:sz w:val="24"/>
          <w:szCs w:val="24"/>
        </w:rPr>
        <w:t>An Introduction to Executive Compensation</w:t>
      </w:r>
      <w:r w:rsidRPr="00C35568">
        <w:rPr>
          <w:rFonts w:ascii="Times New Roman" w:hAnsi="Times New Roman" w:cs="Times New Roman"/>
          <w:noProof/>
          <w:sz w:val="24"/>
          <w:szCs w:val="24"/>
        </w:rPr>
        <w:t xml:space="preserve">. Philadelphia, Pennsylvania: Academic press, 2002.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BARBER, B. M.; ODEAN, T. Boys will be Boys: Gender, Overconfidence, and Common Stock Investment. </w:t>
      </w:r>
      <w:r w:rsidRPr="00C35568">
        <w:rPr>
          <w:rFonts w:ascii="Times New Roman" w:hAnsi="Times New Roman" w:cs="Times New Roman"/>
          <w:b/>
          <w:bCs/>
          <w:noProof/>
          <w:sz w:val="24"/>
          <w:szCs w:val="24"/>
        </w:rPr>
        <w:t>The Quarterly Journal of Economics</w:t>
      </w:r>
      <w:r w:rsidRPr="00C35568">
        <w:rPr>
          <w:rFonts w:ascii="Times New Roman" w:hAnsi="Times New Roman" w:cs="Times New Roman"/>
          <w:noProof/>
          <w:sz w:val="24"/>
          <w:szCs w:val="24"/>
        </w:rPr>
        <w:t xml:space="preserve">, v. 116, n. 1, p. 261–292, 2001.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BEBCHUK, L.; FRIED, J. </w:t>
      </w:r>
      <w:r w:rsidRPr="00C35568">
        <w:rPr>
          <w:rFonts w:ascii="Times New Roman" w:hAnsi="Times New Roman" w:cs="Times New Roman"/>
          <w:b/>
          <w:bCs/>
          <w:noProof/>
          <w:sz w:val="24"/>
          <w:szCs w:val="24"/>
        </w:rPr>
        <w:t>Pay without Performance The Unfulfilled Promise of Executive Compensation</w:t>
      </w:r>
      <w:r w:rsidRPr="00C35568">
        <w:rPr>
          <w:rFonts w:ascii="Times New Roman" w:hAnsi="Times New Roman" w:cs="Times New Roman"/>
          <w:noProof/>
          <w:sz w:val="24"/>
          <w:szCs w:val="24"/>
        </w:rPr>
        <w:t xml:space="preserve">. [s.l: s.n.].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BERTRAND, M.; SCHOAR, A. Managing with style: The effect of managers on firm policies. </w:t>
      </w:r>
      <w:r w:rsidRPr="00C35568">
        <w:rPr>
          <w:rFonts w:ascii="Times New Roman" w:hAnsi="Times New Roman" w:cs="Times New Roman"/>
          <w:b/>
          <w:bCs/>
          <w:noProof/>
          <w:sz w:val="24"/>
          <w:szCs w:val="24"/>
        </w:rPr>
        <w:t>The Quarterly Journal of Economics</w:t>
      </w:r>
      <w:r w:rsidRPr="00C35568">
        <w:rPr>
          <w:rFonts w:ascii="Times New Roman" w:hAnsi="Times New Roman" w:cs="Times New Roman"/>
          <w:noProof/>
          <w:sz w:val="24"/>
          <w:szCs w:val="24"/>
        </w:rPr>
        <w:t xml:space="preserve">, v. 118, n. 4, p. 1169–1208, 2003.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CAMPBELL, K.; MÍNGUEZ-VERA, A. Gender diversity in the boardroom and firm financial performance. </w:t>
      </w:r>
      <w:r w:rsidRPr="00C35568">
        <w:rPr>
          <w:rFonts w:ascii="Times New Roman" w:hAnsi="Times New Roman" w:cs="Times New Roman"/>
          <w:b/>
          <w:bCs/>
          <w:noProof/>
          <w:sz w:val="24"/>
          <w:szCs w:val="24"/>
        </w:rPr>
        <w:t>Journal of Business Ethics</w:t>
      </w:r>
      <w:r w:rsidRPr="00C35568">
        <w:rPr>
          <w:rFonts w:ascii="Times New Roman" w:hAnsi="Times New Roman" w:cs="Times New Roman"/>
          <w:noProof/>
          <w:sz w:val="24"/>
          <w:szCs w:val="24"/>
        </w:rPr>
        <w:t xml:space="preserve">, v. 83, n. 3, p. 435–451, 2008.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rPr>
        <w:t xml:space="preserve">CONYON, M. J.; HE, L. Executive Compensation and Corporate Governance in China. </w:t>
      </w:r>
      <w:r w:rsidRPr="00C35568">
        <w:rPr>
          <w:rFonts w:ascii="Times New Roman" w:hAnsi="Times New Roman" w:cs="Times New Roman"/>
          <w:b/>
          <w:bCs/>
          <w:noProof/>
          <w:sz w:val="24"/>
          <w:szCs w:val="24"/>
          <w:lang w:val="pt-BR"/>
        </w:rPr>
        <w:t>Journal of Corporate Finance</w:t>
      </w:r>
      <w:r w:rsidRPr="00C35568">
        <w:rPr>
          <w:rFonts w:ascii="Times New Roman" w:hAnsi="Times New Roman" w:cs="Times New Roman"/>
          <w:noProof/>
          <w:sz w:val="24"/>
          <w:szCs w:val="24"/>
          <w:lang w:val="pt-BR"/>
        </w:rPr>
        <w:t xml:space="preserve">, v. 17, n. 4, p. 1158–1175, 2011.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lang w:val="pt-BR"/>
        </w:rPr>
        <w:t xml:space="preserve">CORTEZ, C. </w:t>
      </w:r>
      <w:r w:rsidRPr="00C35568">
        <w:rPr>
          <w:rFonts w:ascii="Times New Roman" w:hAnsi="Times New Roman" w:cs="Times New Roman"/>
          <w:b/>
          <w:bCs/>
          <w:noProof/>
          <w:sz w:val="24"/>
          <w:szCs w:val="24"/>
          <w:lang w:val="pt-BR"/>
        </w:rPr>
        <w:t>Bônus para quem fica mais tempo na empresa</w:t>
      </w:r>
      <w:r w:rsidRPr="00C35568">
        <w:rPr>
          <w:rFonts w:ascii="Times New Roman" w:hAnsi="Times New Roman" w:cs="Times New Roman"/>
          <w:noProof/>
          <w:sz w:val="24"/>
          <w:szCs w:val="24"/>
          <w:lang w:val="pt-BR"/>
        </w:rPr>
        <w:t xml:space="preserve">. Disponível em: &lt;http://www2.valor.com.br/carreira/2852770/bonus-para- quem-fica-mais-tempo-na-empresa&gt;. </w:t>
      </w:r>
      <w:r w:rsidRPr="00C35568">
        <w:rPr>
          <w:rFonts w:ascii="Times New Roman" w:hAnsi="Times New Roman" w:cs="Times New Roman"/>
          <w:noProof/>
          <w:sz w:val="24"/>
          <w:szCs w:val="24"/>
        </w:rPr>
        <w:t xml:space="preserve">Acesso em: 14 jul. 2017.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DAVIS, S. M. Developments, trends &amp; useful proposals for the attention of managers: No connection between executive age and corporate performance. </w:t>
      </w:r>
      <w:r w:rsidRPr="00C35568">
        <w:rPr>
          <w:rFonts w:ascii="Times New Roman" w:hAnsi="Times New Roman" w:cs="Times New Roman"/>
          <w:b/>
          <w:bCs/>
          <w:noProof/>
          <w:sz w:val="24"/>
          <w:szCs w:val="24"/>
        </w:rPr>
        <w:t>Harvard Business Review</w:t>
      </w:r>
      <w:r w:rsidRPr="00C35568">
        <w:rPr>
          <w:rFonts w:ascii="Times New Roman" w:hAnsi="Times New Roman" w:cs="Times New Roman"/>
          <w:noProof/>
          <w:sz w:val="24"/>
          <w:szCs w:val="24"/>
        </w:rPr>
        <w:t xml:space="preserve">, v. 23, n. 2, 1979.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ELKINAWY, S.; STATER, M. Gender differences in executive compensation: Variation with board gender composition and time. </w:t>
      </w:r>
      <w:r w:rsidRPr="00C35568">
        <w:rPr>
          <w:rFonts w:ascii="Times New Roman" w:hAnsi="Times New Roman" w:cs="Times New Roman"/>
          <w:b/>
          <w:bCs/>
          <w:noProof/>
          <w:sz w:val="24"/>
          <w:szCs w:val="24"/>
        </w:rPr>
        <w:t>Journal of Economics and Business</w:t>
      </w:r>
      <w:r w:rsidRPr="00C35568">
        <w:rPr>
          <w:rFonts w:ascii="Times New Roman" w:hAnsi="Times New Roman" w:cs="Times New Roman"/>
          <w:noProof/>
          <w:sz w:val="24"/>
          <w:szCs w:val="24"/>
        </w:rPr>
        <w:t xml:space="preserve">, v. 63, n. 1, p. 23–45, 2011.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lastRenderedPageBreak/>
        <w:t xml:space="preserve">FERNANDES, N. EC: Board compensation and firm performance: The role of “independent” board members. </w:t>
      </w:r>
      <w:r w:rsidRPr="00C35568">
        <w:rPr>
          <w:rFonts w:ascii="Times New Roman" w:hAnsi="Times New Roman" w:cs="Times New Roman"/>
          <w:b/>
          <w:bCs/>
          <w:noProof/>
          <w:sz w:val="24"/>
          <w:szCs w:val="24"/>
        </w:rPr>
        <w:t>Journal of Multinational Financial Management</w:t>
      </w:r>
      <w:r w:rsidRPr="00C35568">
        <w:rPr>
          <w:rFonts w:ascii="Times New Roman" w:hAnsi="Times New Roman" w:cs="Times New Roman"/>
          <w:noProof/>
          <w:sz w:val="24"/>
          <w:szCs w:val="24"/>
        </w:rPr>
        <w:t xml:space="preserve">, v. 18, n. 1, p. 30–44, 2008.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FIRTH, M.; TAM, M.; TANG, M. The determinants of top management pay. </w:t>
      </w:r>
      <w:r w:rsidRPr="00C35568">
        <w:rPr>
          <w:rFonts w:ascii="Times New Roman" w:hAnsi="Times New Roman" w:cs="Times New Roman"/>
          <w:b/>
          <w:bCs/>
          <w:noProof/>
          <w:sz w:val="24"/>
          <w:szCs w:val="24"/>
        </w:rPr>
        <w:t>Omega</w:t>
      </w:r>
      <w:r w:rsidRPr="00C35568">
        <w:rPr>
          <w:rFonts w:ascii="Times New Roman" w:hAnsi="Times New Roman" w:cs="Times New Roman"/>
          <w:noProof/>
          <w:sz w:val="24"/>
          <w:szCs w:val="24"/>
        </w:rPr>
        <w:t xml:space="preserve">, v. 27, n. 6, p. 617–635, 1999.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FRANKEN, R. B. . </w:t>
      </w:r>
      <w:r w:rsidRPr="00C35568">
        <w:rPr>
          <w:rFonts w:ascii="Times New Roman" w:hAnsi="Times New Roman" w:cs="Times New Roman"/>
          <w:b/>
          <w:bCs/>
          <w:noProof/>
          <w:sz w:val="24"/>
          <w:szCs w:val="24"/>
        </w:rPr>
        <w:t>The determinants of executive compensation An optimal mix in fixed and variable executive rewards for listed companies in the Netherlands Master</w:t>
      </w:r>
      <w:r w:rsidRPr="00C35568">
        <w:rPr>
          <w:rFonts w:ascii="Times New Roman" w:hAnsi="Times New Roman" w:cs="Times New Roman"/>
          <w:noProof/>
          <w:sz w:val="24"/>
          <w:szCs w:val="24"/>
        </w:rPr>
        <w:t>. [s.l.] Tilburg University, 2010.</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FRYDMAN, C.; JENTER, D. CEO Compensation. </w:t>
      </w:r>
      <w:r w:rsidRPr="00C35568">
        <w:rPr>
          <w:rFonts w:ascii="Times New Roman" w:hAnsi="Times New Roman" w:cs="Times New Roman"/>
          <w:b/>
          <w:bCs/>
          <w:noProof/>
          <w:sz w:val="24"/>
          <w:szCs w:val="24"/>
        </w:rPr>
        <w:t>Annual Review of Financial Economics</w:t>
      </w:r>
      <w:r w:rsidRPr="00C35568">
        <w:rPr>
          <w:rFonts w:ascii="Times New Roman" w:hAnsi="Times New Roman" w:cs="Times New Roman"/>
          <w:noProof/>
          <w:sz w:val="24"/>
          <w:szCs w:val="24"/>
        </w:rPr>
        <w:t xml:space="preserve">, v. 2, p. 75–102, 2010.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lang w:val="pt-BR"/>
        </w:rPr>
        <w:t xml:space="preserve">FUNCHAL, J. DE A.; TERRA, P. R. S. </w:t>
      </w:r>
      <w:r w:rsidRPr="00C35568">
        <w:rPr>
          <w:rFonts w:ascii="Times New Roman" w:hAnsi="Times New Roman" w:cs="Times New Roman"/>
          <w:b/>
          <w:bCs/>
          <w:noProof/>
          <w:sz w:val="24"/>
          <w:szCs w:val="24"/>
          <w:lang w:val="pt-BR"/>
        </w:rPr>
        <w:t>Remuneração de Executivos, Desempenho Econômico e Governança Corporativa: um Estudo Empírico em Empresas Latino-Americanas</w:t>
      </w:r>
      <w:r w:rsidRPr="00C35568">
        <w:rPr>
          <w:rFonts w:ascii="Times New Roman" w:hAnsi="Times New Roman" w:cs="Times New Roman"/>
          <w:noProof/>
          <w:sz w:val="24"/>
          <w:szCs w:val="24"/>
          <w:lang w:val="pt-BR"/>
        </w:rPr>
        <w:t xml:space="preserve">. </w:t>
      </w:r>
      <w:r w:rsidRPr="00C35568">
        <w:rPr>
          <w:rFonts w:ascii="Times New Roman" w:hAnsi="Times New Roman" w:cs="Times New Roman"/>
          <w:noProof/>
          <w:sz w:val="24"/>
          <w:szCs w:val="24"/>
        </w:rPr>
        <w:t xml:space="preserve">EnANPAD. </w:t>
      </w:r>
      <w:r w:rsidRPr="00C35568">
        <w:rPr>
          <w:rFonts w:ascii="Times New Roman" w:hAnsi="Times New Roman" w:cs="Times New Roman"/>
          <w:b/>
          <w:bCs/>
          <w:noProof/>
          <w:sz w:val="24"/>
          <w:szCs w:val="24"/>
        </w:rPr>
        <w:t>Anais</w:t>
      </w:r>
      <w:r w:rsidRPr="00C35568">
        <w:rPr>
          <w:rFonts w:ascii="Times New Roman" w:hAnsi="Times New Roman" w:cs="Times New Roman"/>
          <w:noProof/>
          <w:sz w:val="24"/>
          <w:szCs w:val="24"/>
        </w:rPr>
        <w:t>...2006</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GHOSH, C.; SIRMANS, C. F. On REIT CEO compensation: Does board structure matter? </w:t>
      </w:r>
      <w:r w:rsidRPr="00C35568">
        <w:rPr>
          <w:rFonts w:ascii="Times New Roman" w:hAnsi="Times New Roman" w:cs="Times New Roman"/>
          <w:b/>
          <w:bCs/>
          <w:noProof/>
          <w:sz w:val="24"/>
          <w:szCs w:val="24"/>
        </w:rPr>
        <w:t>Journal of Real Estate Finance and Economics</w:t>
      </w:r>
      <w:r w:rsidRPr="00C35568">
        <w:rPr>
          <w:rFonts w:ascii="Times New Roman" w:hAnsi="Times New Roman" w:cs="Times New Roman"/>
          <w:noProof/>
          <w:sz w:val="24"/>
          <w:szCs w:val="24"/>
        </w:rPr>
        <w:t xml:space="preserve">, v. 30, n. 4, p. 397–428, 2005.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rPr>
        <w:t xml:space="preserve">GRAHAM, J. R.; HARVEY, C. R.; PURI, M. Managerial attitudes and corporate actions. </w:t>
      </w:r>
      <w:r w:rsidRPr="00C35568">
        <w:rPr>
          <w:rFonts w:ascii="Times New Roman" w:hAnsi="Times New Roman" w:cs="Times New Roman"/>
          <w:b/>
          <w:bCs/>
          <w:noProof/>
          <w:sz w:val="24"/>
          <w:szCs w:val="24"/>
          <w:lang w:val="pt-BR"/>
        </w:rPr>
        <w:t>Journal of Financial Economics</w:t>
      </w:r>
      <w:r w:rsidRPr="00C35568">
        <w:rPr>
          <w:rFonts w:ascii="Times New Roman" w:hAnsi="Times New Roman" w:cs="Times New Roman"/>
          <w:noProof/>
          <w:sz w:val="24"/>
          <w:szCs w:val="24"/>
          <w:lang w:val="pt-BR"/>
        </w:rPr>
        <w:t xml:space="preserve">, v. 109, n. 1, p. 103–121, 2013.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lang w:val="pt-BR"/>
        </w:rPr>
        <w:t xml:space="preserve">GUJARATI, D. N.; PORTER, D. C. </w:t>
      </w:r>
      <w:r w:rsidRPr="00C35568">
        <w:rPr>
          <w:rFonts w:ascii="Times New Roman" w:hAnsi="Times New Roman" w:cs="Times New Roman"/>
          <w:b/>
          <w:bCs/>
          <w:noProof/>
          <w:sz w:val="24"/>
          <w:szCs w:val="24"/>
          <w:lang w:val="pt-BR"/>
        </w:rPr>
        <w:t>Econometria Básica</w:t>
      </w:r>
      <w:r w:rsidRPr="00C35568">
        <w:rPr>
          <w:rFonts w:ascii="Times New Roman" w:hAnsi="Times New Roman" w:cs="Times New Roman"/>
          <w:noProof/>
          <w:sz w:val="24"/>
          <w:szCs w:val="24"/>
          <w:lang w:val="pt-BR"/>
        </w:rPr>
        <w:t xml:space="preserve">. 5. ed. </w:t>
      </w:r>
      <w:r w:rsidRPr="00C35568">
        <w:rPr>
          <w:rFonts w:ascii="Times New Roman" w:hAnsi="Times New Roman" w:cs="Times New Roman"/>
          <w:noProof/>
          <w:sz w:val="24"/>
          <w:szCs w:val="24"/>
        </w:rPr>
        <w:t xml:space="preserve">[s.l: s.n.].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HEALY, P. M.; WAHLEN, J. M. A Review of the Earnings Management Literature and Its Implications for Standard Setting. </w:t>
      </w:r>
      <w:r w:rsidRPr="00C35568">
        <w:rPr>
          <w:rFonts w:ascii="Times New Roman" w:hAnsi="Times New Roman" w:cs="Times New Roman"/>
          <w:b/>
          <w:bCs/>
          <w:noProof/>
          <w:sz w:val="24"/>
          <w:szCs w:val="24"/>
        </w:rPr>
        <w:t>Accounting Horizons</w:t>
      </w:r>
      <w:r w:rsidRPr="00C35568">
        <w:rPr>
          <w:rFonts w:ascii="Times New Roman" w:hAnsi="Times New Roman" w:cs="Times New Roman"/>
          <w:noProof/>
          <w:sz w:val="24"/>
          <w:szCs w:val="24"/>
        </w:rPr>
        <w:t xml:space="preserve">, v. 13, n. 4, p. 365–383, 1999.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JENSEN, M. C.; MURPHY, K. J. CEO Incentives — It ’ s Not How Much You Pay, But How. </w:t>
      </w:r>
      <w:r w:rsidRPr="00C35568">
        <w:rPr>
          <w:rFonts w:ascii="Times New Roman" w:hAnsi="Times New Roman" w:cs="Times New Roman"/>
          <w:b/>
          <w:bCs/>
          <w:noProof/>
          <w:sz w:val="24"/>
          <w:szCs w:val="24"/>
        </w:rPr>
        <w:t>Harvard Business Review</w:t>
      </w:r>
      <w:r w:rsidRPr="00C35568">
        <w:rPr>
          <w:rFonts w:ascii="Times New Roman" w:hAnsi="Times New Roman" w:cs="Times New Roman"/>
          <w:noProof/>
          <w:sz w:val="24"/>
          <w:szCs w:val="24"/>
        </w:rPr>
        <w:t xml:space="preserve">, v. 3, n. 3, p. 138–153, 1990.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JIANAKOPLOS, N. A.; BERNASEK, A. Are women more risk averse? </w:t>
      </w:r>
      <w:r w:rsidRPr="00C35568">
        <w:rPr>
          <w:rFonts w:ascii="Times New Roman" w:hAnsi="Times New Roman" w:cs="Times New Roman"/>
          <w:b/>
          <w:bCs/>
          <w:noProof/>
          <w:sz w:val="24"/>
          <w:szCs w:val="24"/>
        </w:rPr>
        <w:t>Economic inquiry</w:t>
      </w:r>
      <w:r w:rsidRPr="00C35568">
        <w:rPr>
          <w:rFonts w:ascii="Times New Roman" w:hAnsi="Times New Roman" w:cs="Times New Roman"/>
          <w:noProof/>
          <w:sz w:val="24"/>
          <w:szCs w:val="24"/>
        </w:rPr>
        <w:t xml:space="preserve">, v. 36, n. 4, p. 620–630, 1998.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KIEL, G. C.; NICHOLSON, G. J. Board Composition and Corporate Performance: how the Australian experience informs contrasting theories of corporate governance. </w:t>
      </w:r>
      <w:r w:rsidRPr="00C35568">
        <w:rPr>
          <w:rFonts w:ascii="Times New Roman" w:hAnsi="Times New Roman" w:cs="Times New Roman"/>
          <w:b/>
          <w:bCs/>
          <w:noProof/>
          <w:sz w:val="24"/>
          <w:szCs w:val="24"/>
        </w:rPr>
        <w:t>Corporate Governance</w:t>
      </w:r>
      <w:r w:rsidRPr="00C35568">
        <w:rPr>
          <w:rFonts w:ascii="Times New Roman" w:hAnsi="Times New Roman" w:cs="Times New Roman"/>
          <w:noProof/>
          <w:sz w:val="24"/>
          <w:szCs w:val="24"/>
        </w:rPr>
        <w:t xml:space="preserve">, v. 11, n. 3, p. 189–205, 2003.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KOLB, R. W. </w:t>
      </w:r>
      <w:r w:rsidRPr="00C35568">
        <w:rPr>
          <w:rFonts w:ascii="Times New Roman" w:hAnsi="Times New Roman" w:cs="Times New Roman"/>
          <w:b/>
          <w:bCs/>
          <w:noProof/>
          <w:sz w:val="24"/>
          <w:szCs w:val="24"/>
        </w:rPr>
        <w:t>Too Much is Not Enough: incentives in executive compensation</w:t>
      </w:r>
      <w:r w:rsidRPr="00C35568">
        <w:rPr>
          <w:rFonts w:ascii="Times New Roman" w:hAnsi="Times New Roman" w:cs="Times New Roman"/>
          <w:noProof/>
          <w:sz w:val="24"/>
          <w:szCs w:val="24"/>
        </w:rPr>
        <w:t xml:space="preserve">. New York: Oxford University Press, 2012.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KUHN, K. M.; YOCKEY, M. D. Variable pay as a risky choice: Determinants of the relative attractiveness of incentive plans. </w:t>
      </w:r>
      <w:r w:rsidRPr="00C35568">
        <w:rPr>
          <w:rFonts w:ascii="Times New Roman" w:hAnsi="Times New Roman" w:cs="Times New Roman"/>
          <w:b/>
          <w:bCs/>
          <w:noProof/>
          <w:sz w:val="24"/>
          <w:szCs w:val="24"/>
        </w:rPr>
        <w:t>Organizational Behavior and Human Decision Processes</w:t>
      </w:r>
      <w:r w:rsidRPr="00C35568">
        <w:rPr>
          <w:rFonts w:ascii="Times New Roman" w:hAnsi="Times New Roman" w:cs="Times New Roman"/>
          <w:noProof/>
          <w:sz w:val="24"/>
          <w:szCs w:val="24"/>
        </w:rPr>
        <w:t xml:space="preserve">, v. 90, n. 2, p. 323–341, 2003.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LAM, K. C. K.; MCGUINNESS, P. B.; VIEITO, J. P. CEO gender, executive compensation and firm performance in Chinese-listed enterprises. </w:t>
      </w:r>
      <w:r w:rsidRPr="00C35568">
        <w:rPr>
          <w:rFonts w:ascii="Times New Roman" w:hAnsi="Times New Roman" w:cs="Times New Roman"/>
          <w:b/>
          <w:bCs/>
          <w:noProof/>
          <w:sz w:val="24"/>
          <w:szCs w:val="24"/>
        </w:rPr>
        <w:t>Pacific Basin Finance Journal</w:t>
      </w:r>
      <w:r w:rsidRPr="00C35568">
        <w:rPr>
          <w:rFonts w:ascii="Times New Roman" w:hAnsi="Times New Roman" w:cs="Times New Roman"/>
          <w:noProof/>
          <w:sz w:val="24"/>
          <w:szCs w:val="24"/>
        </w:rPr>
        <w:t xml:space="preserve">, v. 21, n. 1, p. 1136–1159, 2013.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LIPMAN, F. D.; HALL, S. E. </w:t>
      </w:r>
      <w:r w:rsidRPr="00C35568">
        <w:rPr>
          <w:rFonts w:ascii="Times New Roman" w:hAnsi="Times New Roman" w:cs="Times New Roman"/>
          <w:b/>
          <w:bCs/>
          <w:noProof/>
          <w:sz w:val="24"/>
          <w:szCs w:val="24"/>
        </w:rPr>
        <w:t>Executive compensation best practices</w:t>
      </w:r>
      <w:r w:rsidRPr="00C35568">
        <w:rPr>
          <w:rFonts w:ascii="Times New Roman" w:hAnsi="Times New Roman" w:cs="Times New Roman"/>
          <w:noProof/>
          <w:sz w:val="24"/>
          <w:szCs w:val="24"/>
        </w:rPr>
        <w:t xml:space="preserve">. New Jersey: John Wiley &amp; Sons, Inc., 2008.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MURPHY, K. J. Executive Compensation. In: </w:t>
      </w:r>
      <w:r w:rsidRPr="00C35568">
        <w:rPr>
          <w:rFonts w:ascii="Times New Roman" w:hAnsi="Times New Roman" w:cs="Times New Roman"/>
          <w:b/>
          <w:bCs/>
          <w:noProof/>
          <w:sz w:val="24"/>
          <w:szCs w:val="24"/>
        </w:rPr>
        <w:t>Handbook of Labor Economics</w:t>
      </w:r>
      <w:r w:rsidRPr="00C35568">
        <w:rPr>
          <w:rFonts w:ascii="Times New Roman" w:hAnsi="Times New Roman" w:cs="Times New Roman"/>
          <w:noProof/>
          <w:sz w:val="24"/>
          <w:szCs w:val="24"/>
        </w:rPr>
        <w:t xml:space="preserve">. [s.l: s.n.]. v. 3p. 2485–2563.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lastRenderedPageBreak/>
        <w:t xml:space="preserve">MURPHY, K. J. Explaining Executive Compensation: Managerial Power vs. the Perceived Cost of Stock Options. </w:t>
      </w:r>
      <w:r w:rsidRPr="00C35568">
        <w:rPr>
          <w:rFonts w:ascii="Times New Roman" w:hAnsi="Times New Roman" w:cs="Times New Roman"/>
          <w:b/>
          <w:bCs/>
          <w:noProof/>
          <w:sz w:val="24"/>
          <w:szCs w:val="24"/>
        </w:rPr>
        <w:t>University of Chicago Law Review</w:t>
      </w:r>
      <w:r w:rsidRPr="00C35568">
        <w:rPr>
          <w:rFonts w:ascii="Times New Roman" w:hAnsi="Times New Roman" w:cs="Times New Roman"/>
          <w:noProof/>
          <w:sz w:val="24"/>
          <w:szCs w:val="24"/>
        </w:rPr>
        <w:t xml:space="preserve">, v. 69, n. 3, p. 847–869, 2002.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OAKLEY, J. G. Gender-based barriers to senior management positions: Understanding the scarcity of female CEOs. </w:t>
      </w:r>
      <w:r w:rsidRPr="00C35568">
        <w:rPr>
          <w:rFonts w:ascii="Times New Roman" w:hAnsi="Times New Roman" w:cs="Times New Roman"/>
          <w:b/>
          <w:bCs/>
          <w:noProof/>
          <w:sz w:val="24"/>
          <w:szCs w:val="24"/>
        </w:rPr>
        <w:t>Journal of Business Ethics</w:t>
      </w:r>
      <w:r w:rsidRPr="00C35568">
        <w:rPr>
          <w:rFonts w:ascii="Times New Roman" w:hAnsi="Times New Roman" w:cs="Times New Roman"/>
          <w:noProof/>
          <w:sz w:val="24"/>
          <w:szCs w:val="24"/>
        </w:rPr>
        <w:t xml:space="preserve">, v. 27, n. 4, p. 321–334, 2000.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rPr>
        <w:t xml:space="preserve">PENI, E. CEO and Chairperson characteristics and firm performance. </w:t>
      </w:r>
      <w:r w:rsidRPr="00C35568">
        <w:rPr>
          <w:rFonts w:ascii="Times New Roman" w:hAnsi="Times New Roman" w:cs="Times New Roman"/>
          <w:b/>
          <w:bCs/>
          <w:noProof/>
          <w:sz w:val="24"/>
          <w:szCs w:val="24"/>
          <w:lang w:val="pt-BR"/>
        </w:rPr>
        <w:t>Journal of Management and Governance</w:t>
      </w:r>
      <w:r w:rsidRPr="00C35568">
        <w:rPr>
          <w:rFonts w:ascii="Times New Roman" w:hAnsi="Times New Roman" w:cs="Times New Roman"/>
          <w:noProof/>
          <w:sz w:val="24"/>
          <w:szCs w:val="24"/>
          <w:lang w:val="pt-BR"/>
        </w:rPr>
        <w:t xml:space="preserve">, v. 18, n. 1, p. 185–205, 2014.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lang w:val="pt-BR"/>
        </w:rPr>
        <w:t xml:space="preserve">SIGOLLO, R. </w:t>
      </w:r>
      <w:r w:rsidRPr="00C35568">
        <w:rPr>
          <w:rFonts w:ascii="Times New Roman" w:hAnsi="Times New Roman" w:cs="Times New Roman"/>
          <w:b/>
          <w:bCs/>
          <w:noProof/>
          <w:sz w:val="24"/>
          <w:szCs w:val="24"/>
          <w:lang w:val="pt-BR"/>
        </w:rPr>
        <w:t>Crise afeta salário e remuneração variável em todos os setores</w:t>
      </w:r>
      <w:r w:rsidRPr="00C35568">
        <w:rPr>
          <w:rFonts w:ascii="Times New Roman" w:hAnsi="Times New Roman" w:cs="Times New Roman"/>
          <w:noProof/>
          <w:sz w:val="24"/>
          <w:szCs w:val="24"/>
          <w:lang w:val="pt-BR"/>
        </w:rPr>
        <w:t xml:space="preserve">. Disponível em: &lt;http://www.valor.com.br/carreira/4278722/crise-afeta-salario-e-remuneracao-variavel-em- todos-os-setores&gt;. Acesso em: 14 jul. 2017.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lang w:val="pt-BR"/>
        </w:rPr>
        <w:t xml:space="preserve">SILVEIRA, A. D. M. DA; BARROS, L. A. B. DE C. </w:t>
      </w:r>
      <w:r w:rsidRPr="00C35568">
        <w:rPr>
          <w:rFonts w:ascii="Times New Roman" w:hAnsi="Times New Roman" w:cs="Times New Roman"/>
          <w:b/>
          <w:bCs/>
          <w:noProof/>
          <w:sz w:val="24"/>
          <w:szCs w:val="24"/>
          <w:lang w:val="pt-BR"/>
        </w:rPr>
        <w:t>Concentration of Power and Corporate Performance Variabilityworking paper</w:t>
      </w:r>
      <w:r w:rsidRPr="00C35568">
        <w:rPr>
          <w:rFonts w:ascii="Times New Roman" w:hAnsi="Times New Roman" w:cs="Times New Roman"/>
          <w:noProof/>
          <w:sz w:val="24"/>
          <w:szCs w:val="24"/>
          <w:lang w:val="pt-BR"/>
        </w:rPr>
        <w:t>. [s.l: s.n.]. Disponível em: &lt;http://www.efmaefm.org/0EFMAMEETINGS/EFMA ANNUAL MEETINGS/2012-Barcelona/papers/EFMA2012_0177_fullpaper.pdf&gt;.</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lang w:val="pt-BR"/>
        </w:rPr>
        <w:t xml:space="preserve">SOUZA, J. A. S. DE. </w:t>
      </w:r>
      <w:r w:rsidRPr="00C35568">
        <w:rPr>
          <w:rFonts w:ascii="Times New Roman" w:hAnsi="Times New Roman" w:cs="Times New Roman"/>
          <w:b/>
          <w:bCs/>
          <w:noProof/>
          <w:sz w:val="24"/>
          <w:szCs w:val="24"/>
          <w:lang w:val="pt-BR"/>
        </w:rPr>
        <w:t>Transações com partes relacionadas: determinantes e impactos no desempenho das empresas</w:t>
      </w:r>
      <w:r w:rsidRPr="00C35568">
        <w:rPr>
          <w:rFonts w:ascii="Times New Roman" w:hAnsi="Times New Roman" w:cs="Times New Roman"/>
          <w:noProof/>
          <w:sz w:val="24"/>
          <w:szCs w:val="24"/>
          <w:lang w:val="pt-BR"/>
        </w:rPr>
        <w:t xml:space="preserve">. </w:t>
      </w:r>
      <w:r w:rsidRPr="00C35568">
        <w:rPr>
          <w:rFonts w:ascii="Times New Roman" w:hAnsi="Times New Roman" w:cs="Times New Roman"/>
          <w:noProof/>
          <w:sz w:val="24"/>
          <w:szCs w:val="24"/>
        </w:rPr>
        <w:t>[s.l.] Universidade Federal do Espírito Santo, 2014.</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WANZENRIED, G. How feminine is corporate America? A recent overview. </w:t>
      </w:r>
      <w:r w:rsidRPr="00C35568">
        <w:rPr>
          <w:rFonts w:ascii="Times New Roman" w:hAnsi="Times New Roman" w:cs="Times New Roman"/>
          <w:b/>
          <w:bCs/>
          <w:noProof/>
          <w:sz w:val="24"/>
          <w:szCs w:val="24"/>
        </w:rPr>
        <w:t>Journal of Economic Inequality</w:t>
      </w:r>
      <w:r w:rsidRPr="00C35568">
        <w:rPr>
          <w:rFonts w:ascii="Times New Roman" w:hAnsi="Times New Roman" w:cs="Times New Roman"/>
          <w:noProof/>
          <w:sz w:val="24"/>
          <w:szCs w:val="24"/>
        </w:rPr>
        <w:t xml:space="preserve">, v. 6, n. 2, p. 185–209, 2008. </w:t>
      </w:r>
    </w:p>
    <w:p w:rsidR="00051229" w:rsidRPr="00C35568" w:rsidRDefault="00051229" w:rsidP="00051229">
      <w:pPr>
        <w:adjustRightInd w:val="0"/>
        <w:rPr>
          <w:rFonts w:ascii="Times New Roman" w:hAnsi="Times New Roman" w:cs="Times New Roman"/>
          <w:noProof/>
          <w:sz w:val="24"/>
          <w:szCs w:val="24"/>
          <w:lang w:val="pt-BR"/>
        </w:rPr>
      </w:pPr>
      <w:r w:rsidRPr="00C35568">
        <w:rPr>
          <w:rFonts w:ascii="Times New Roman" w:hAnsi="Times New Roman" w:cs="Times New Roman"/>
          <w:noProof/>
          <w:sz w:val="24"/>
          <w:szCs w:val="24"/>
        </w:rPr>
        <w:t xml:space="preserve">WHITE, H. A Heteroskedasticity-Consistent Covariance Matrix Estimator and a Direct Test for Heteroskedasticity. </w:t>
      </w:r>
      <w:r w:rsidRPr="00C35568">
        <w:rPr>
          <w:rFonts w:ascii="Times New Roman" w:hAnsi="Times New Roman" w:cs="Times New Roman"/>
          <w:b/>
          <w:bCs/>
          <w:noProof/>
          <w:sz w:val="24"/>
          <w:szCs w:val="24"/>
          <w:lang w:val="pt-BR"/>
        </w:rPr>
        <w:t>Econometrica</w:t>
      </w:r>
      <w:r w:rsidRPr="00C35568">
        <w:rPr>
          <w:rFonts w:ascii="Times New Roman" w:hAnsi="Times New Roman" w:cs="Times New Roman"/>
          <w:noProof/>
          <w:sz w:val="24"/>
          <w:szCs w:val="24"/>
          <w:lang w:val="pt-BR"/>
        </w:rPr>
        <w:t xml:space="preserve">, v. 48, n. 4, p. 817–838, 1980.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lang w:val="pt-BR"/>
        </w:rPr>
        <w:t xml:space="preserve">WOOD JUNIOR, T.; PICARELLI FILHO, V. </w:t>
      </w:r>
      <w:r w:rsidRPr="00C35568">
        <w:rPr>
          <w:rFonts w:ascii="Times New Roman" w:hAnsi="Times New Roman" w:cs="Times New Roman"/>
          <w:b/>
          <w:bCs/>
          <w:noProof/>
          <w:sz w:val="24"/>
          <w:szCs w:val="24"/>
          <w:lang w:val="pt-BR"/>
        </w:rPr>
        <w:t>Remuneração estratégica: a nova vantagem competitiva</w:t>
      </w:r>
      <w:r w:rsidRPr="00C35568">
        <w:rPr>
          <w:rFonts w:ascii="Times New Roman" w:hAnsi="Times New Roman" w:cs="Times New Roman"/>
          <w:noProof/>
          <w:sz w:val="24"/>
          <w:szCs w:val="24"/>
          <w:lang w:val="pt-BR"/>
        </w:rPr>
        <w:t xml:space="preserve">. </w:t>
      </w:r>
      <w:r w:rsidRPr="00C35568">
        <w:rPr>
          <w:rFonts w:ascii="Times New Roman" w:hAnsi="Times New Roman" w:cs="Times New Roman"/>
          <w:noProof/>
          <w:sz w:val="24"/>
          <w:szCs w:val="24"/>
        </w:rPr>
        <w:t xml:space="preserve">2. ed. São Paulo: Atlas, 1999. </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YAN, Y. </w:t>
      </w:r>
      <w:r w:rsidRPr="00C35568">
        <w:rPr>
          <w:rFonts w:ascii="Times New Roman" w:hAnsi="Times New Roman" w:cs="Times New Roman"/>
          <w:b/>
          <w:bCs/>
          <w:noProof/>
          <w:sz w:val="24"/>
          <w:szCs w:val="24"/>
        </w:rPr>
        <w:t>Determinants and Consequences of Executive Compensation: Empirical Evidence from Chinese Listed Companies</w:t>
      </w:r>
      <w:r w:rsidRPr="00C35568">
        <w:rPr>
          <w:rFonts w:ascii="Times New Roman" w:hAnsi="Times New Roman" w:cs="Times New Roman"/>
          <w:noProof/>
          <w:sz w:val="24"/>
          <w:szCs w:val="24"/>
        </w:rPr>
        <w:t>. [s.l.] University of Bath, 2015.</w:t>
      </w:r>
    </w:p>
    <w:p w:rsidR="00051229" w:rsidRPr="00C35568" w:rsidRDefault="00051229" w:rsidP="00051229">
      <w:pPr>
        <w:adjustRightInd w:val="0"/>
        <w:rPr>
          <w:rFonts w:ascii="Times New Roman" w:hAnsi="Times New Roman" w:cs="Times New Roman"/>
          <w:noProof/>
          <w:sz w:val="24"/>
          <w:szCs w:val="24"/>
        </w:rPr>
      </w:pPr>
      <w:r w:rsidRPr="00C35568">
        <w:rPr>
          <w:rFonts w:ascii="Times New Roman" w:hAnsi="Times New Roman" w:cs="Times New Roman"/>
          <w:noProof/>
          <w:sz w:val="24"/>
          <w:szCs w:val="24"/>
        </w:rPr>
        <w:t xml:space="preserve">YERMACK, D. Do Corporations Award Ceo Stock-Options Effectively. </w:t>
      </w:r>
      <w:r w:rsidRPr="00C35568">
        <w:rPr>
          <w:rFonts w:ascii="Times New Roman" w:hAnsi="Times New Roman" w:cs="Times New Roman"/>
          <w:b/>
          <w:bCs/>
          <w:noProof/>
          <w:sz w:val="24"/>
          <w:szCs w:val="24"/>
        </w:rPr>
        <w:t>Journal of Financial Economics</w:t>
      </w:r>
      <w:r w:rsidRPr="00C35568">
        <w:rPr>
          <w:rFonts w:ascii="Times New Roman" w:hAnsi="Times New Roman" w:cs="Times New Roman"/>
          <w:noProof/>
          <w:sz w:val="24"/>
          <w:szCs w:val="24"/>
        </w:rPr>
        <w:t xml:space="preserve">, v. 39, n. 2–3, p. 237–269, 1995. </w:t>
      </w:r>
    </w:p>
    <w:p w:rsidR="004A73AF" w:rsidRPr="00C35568" w:rsidRDefault="00B073A5" w:rsidP="00567F3A">
      <w:pPr>
        <w:pStyle w:val="BodyText"/>
        <w:rPr>
          <w:rFonts w:ascii="Times New Roman" w:hAnsi="Times New Roman" w:cs="Times New Roman"/>
          <w:lang w:val="pt-BR"/>
        </w:rPr>
      </w:pPr>
      <w:r w:rsidRPr="00C35568">
        <w:rPr>
          <w:rFonts w:ascii="Times New Roman" w:hAnsi="Times New Roman" w:cs="Times New Roman"/>
          <w:lang w:val="pt-BR"/>
        </w:rPr>
        <w:fldChar w:fldCharType="end"/>
      </w:r>
    </w:p>
    <w:sectPr w:rsidR="004A73AF" w:rsidRPr="00C35568" w:rsidSect="00375AE7">
      <w:pgSz w:w="11910" w:h="16840"/>
      <w:pgMar w:top="1701" w:right="1134" w:bottom="1134" w:left="1701" w:header="855"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2EA" w:rsidRDefault="00A862EA">
      <w:r>
        <w:separator/>
      </w:r>
    </w:p>
  </w:endnote>
  <w:endnote w:type="continuationSeparator" w:id="0">
    <w:p w:rsidR="00A862EA" w:rsidRDefault="00A8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110856"/>
      <w:docPartObj>
        <w:docPartGallery w:val="Page Numbers (Bottom of Page)"/>
        <w:docPartUnique/>
      </w:docPartObj>
    </w:sdtPr>
    <w:sdtEndPr>
      <w:rPr>
        <w:rFonts w:ascii="Times New Roman" w:hAnsi="Times New Roman" w:cs="Times New Roman"/>
        <w:noProof/>
      </w:rPr>
    </w:sdtEndPr>
    <w:sdtContent>
      <w:p w:rsidR="00351C7E" w:rsidRPr="00A22A83" w:rsidRDefault="00351C7E">
        <w:pPr>
          <w:pStyle w:val="Footer"/>
          <w:jc w:val="right"/>
          <w:rPr>
            <w:rFonts w:ascii="Times New Roman" w:hAnsi="Times New Roman" w:cs="Times New Roman"/>
          </w:rPr>
        </w:pPr>
        <w:r w:rsidRPr="00A22A83">
          <w:rPr>
            <w:rFonts w:ascii="Times New Roman" w:hAnsi="Times New Roman" w:cs="Times New Roman"/>
            <w:sz w:val="20"/>
          </w:rPr>
          <w:fldChar w:fldCharType="begin"/>
        </w:r>
        <w:r w:rsidRPr="00A22A83">
          <w:rPr>
            <w:rFonts w:ascii="Times New Roman" w:hAnsi="Times New Roman" w:cs="Times New Roman"/>
            <w:sz w:val="20"/>
          </w:rPr>
          <w:instrText xml:space="preserve"> PAGE   \* MERGEFORMAT </w:instrText>
        </w:r>
        <w:r w:rsidRPr="00A22A83">
          <w:rPr>
            <w:rFonts w:ascii="Times New Roman" w:hAnsi="Times New Roman" w:cs="Times New Roman"/>
            <w:sz w:val="20"/>
          </w:rPr>
          <w:fldChar w:fldCharType="separate"/>
        </w:r>
        <w:r w:rsidR="009A0C2A">
          <w:rPr>
            <w:rFonts w:ascii="Times New Roman" w:hAnsi="Times New Roman" w:cs="Times New Roman"/>
            <w:noProof/>
            <w:sz w:val="20"/>
          </w:rPr>
          <w:t>19</w:t>
        </w:r>
        <w:r w:rsidRPr="00A22A83">
          <w:rPr>
            <w:rFonts w:ascii="Times New Roman" w:hAnsi="Times New Roman" w:cs="Times New Roman"/>
            <w:noProof/>
            <w:sz w:val="20"/>
          </w:rPr>
          <w:fldChar w:fldCharType="end"/>
        </w:r>
      </w:p>
    </w:sdtContent>
  </w:sdt>
  <w:p w:rsidR="00351C7E" w:rsidRDefault="00351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2EA" w:rsidRDefault="00A862EA">
      <w:r>
        <w:separator/>
      </w:r>
    </w:p>
  </w:footnote>
  <w:footnote w:type="continuationSeparator" w:id="0">
    <w:p w:rsidR="00A862EA" w:rsidRDefault="00A86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206"/>
    <w:multiLevelType w:val="hybridMultilevel"/>
    <w:tmpl w:val="1E6204B2"/>
    <w:lvl w:ilvl="0" w:tplc="372AAB3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0D68"/>
    <w:multiLevelType w:val="hybridMultilevel"/>
    <w:tmpl w:val="E3525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2D4F9A"/>
    <w:multiLevelType w:val="hybridMultilevel"/>
    <w:tmpl w:val="1994ACCC"/>
    <w:lvl w:ilvl="0" w:tplc="C422E01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77B3F"/>
    <w:multiLevelType w:val="hybridMultilevel"/>
    <w:tmpl w:val="FD88D6C8"/>
    <w:lvl w:ilvl="0" w:tplc="5F0A5594">
      <w:numFmt w:val="bullet"/>
      <w:lvlText w:val="-"/>
      <w:lvlJc w:val="left"/>
      <w:pPr>
        <w:ind w:left="103" w:hanging="107"/>
      </w:pPr>
      <w:rPr>
        <w:rFonts w:ascii="Times New Roman" w:eastAsia="Times New Roman" w:hAnsi="Times New Roman" w:cs="Times New Roman" w:hint="default"/>
        <w:w w:val="99"/>
        <w:sz w:val="20"/>
        <w:szCs w:val="20"/>
      </w:rPr>
    </w:lvl>
    <w:lvl w:ilvl="1" w:tplc="999EB84A">
      <w:numFmt w:val="bullet"/>
      <w:lvlText w:val="•"/>
      <w:lvlJc w:val="left"/>
      <w:pPr>
        <w:ind w:left="817" w:hanging="107"/>
      </w:pPr>
      <w:rPr>
        <w:rFonts w:hint="default"/>
      </w:rPr>
    </w:lvl>
    <w:lvl w:ilvl="2" w:tplc="A7D4FFB0">
      <w:numFmt w:val="bullet"/>
      <w:lvlText w:val="•"/>
      <w:lvlJc w:val="left"/>
      <w:pPr>
        <w:ind w:left="1534" w:hanging="107"/>
      </w:pPr>
      <w:rPr>
        <w:rFonts w:hint="default"/>
      </w:rPr>
    </w:lvl>
    <w:lvl w:ilvl="3" w:tplc="AC5CED3C">
      <w:numFmt w:val="bullet"/>
      <w:lvlText w:val="•"/>
      <w:lvlJc w:val="left"/>
      <w:pPr>
        <w:ind w:left="2251" w:hanging="107"/>
      </w:pPr>
      <w:rPr>
        <w:rFonts w:hint="default"/>
      </w:rPr>
    </w:lvl>
    <w:lvl w:ilvl="4" w:tplc="ADD4263E">
      <w:numFmt w:val="bullet"/>
      <w:lvlText w:val="•"/>
      <w:lvlJc w:val="left"/>
      <w:pPr>
        <w:ind w:left="2968" w:hanging="107"/>
      </w:pPr>
      <w:rPr>
        <w:rFonts w:hint="default"/>
      </w:rPr>
    </w:lvl>
    <w:lvl w:ilvl="5" w:tplc="72745A02">
      <w:numFmt w:val="bullet"/>
      <w:lvlText w:val="•"/>
      <w:lvlJc w:val="left"/>
      <w:pPr>
        <w:ind w:left="3685" w:hanging="107"/>
      </w:pPr>
      <w:rPr>
        <w:rFonts w:hint="default"/>
      </w:rPr>
    </w:lvl>
    <w:lvl w:ilvl="6" w:tplc="75F4998C">
      <w:numFmt w:val="bullet"/>
      <w:lvlText w:val="•"/>
      <w:lvlJc w:val="left"/>
      <w:pPr>
        <w:ind w:left="4402" w:hanging="107"/>
      </w:pPr>
      <w:rPr>
        <w:rFonts w:hint="default"/>
      </w:rPr>
    </w:lvl>
    <w:lvl w:ilvl="7" w:tplc="25E66FCC">
      <w:numFmt w:val="bullet"/>
      <w:lvlText w:val="•"/>
      <w:lvlJc w:val="left"/>
      <w:pPr>
        <w:ind w:left="5119" w:hanging="107"/>
      </w:pPr>
      <w:rPr>
        <w:rFonts w:hint="default"/>
      </w:rPr>
    </w:lvl>
    <w:lvl w:ilvl="8" w:tplc="50261D16">
      <w:numFmt w:val="bullet"/>
      <w:lvlText w:val="•"/>
      <w:lvlJc w:val="left"/>
      <w:pPr>
        <w:ind w:left="5836" w:hanging="107"/>
      </w:pPr>
      <w:rPr>
        <w:rFonts w:hint="default"/>
      </w:rPr>
    </w:lvl>
  </w:abstractNum>
  <w:abstractNum w:abstractNumId="4" w15:restartNumberingAfterBreak="0">
    <w:nsid w:val="115407A6"/>
    <w:multiLevelType w:val="multilevel"/>
    <w:tmpl w:val="13FE606A"/>
    <w:lvl w:ilvl="0">
      <w:start w:val="1"/>
      <w:numFmt w:val="decimal"/>
      <w:lvlText w:val="%1"/>
      <w:lvlJc w:val="left"/>
      <w:pPr>
        <w:ind w:left="282" w:hanging="180"/>
      </w:pPr>
      <w:rPr>
        <w:rFonts w:ascii="Times New Roman" w:eastAsia="Times New Roman" w:hAnsi="Times New Roman" w:cs="Times New Roman" w:hint="default"/>
        <w:b/>
        <w:bCs/>
        <w:spacing w:val="-2"/>
        <w:w w:val="99"/>
        <w:sz w:val="24"/>
        <w:szCs w:val="24"/>
      </w:rPr>
    </w:lvl>
    <w:lvl w:ilvl="1">
      <w:start w:val="1"/>
      <w:numFmt w:val="decimal"/>
      <w:lvlText w:val="%1.%2"/>
      <w:lvlJc w:val="left"/>
      <w:pPr>
        <w:ind w:left="462" w:hanging="360"/>
      </w:pPr>
      <w:rPr>
        <w:rFonts w:ascii="Times New Roman" w:eastAsia="Times New Roman" w:hAnsi="Times New Roman" w:cs="Times New Roman" w:hint="default"/>
        <w:w w:val="100"/>
        <w:sz w:val="24"/>
        <w:szCs w:val="24"/>
      </w:rPr>
    </w:lvl>
    <w:lvl w:ilvl="2">
      <w:start w:val="1"/>
      <w:numFmt w:val="decimal"/>
      <w:lvlText w:val="%1.%2.%3"/>
      <w:lvlJc w:val="left"/>
      <w:pPr>
        <w:ind w:left="662" w:hanging="540"/>
      </w:pPr>
      <w:rPr>
        <w:rFonts w:ascii="Times New Roman" w:eastAsia="Times New Roman" w:hAnsi="Times New Roman" w:cs="Times New Roman" w:hint="default"/>
        <w:i/>
        <w:w w:val="100"/>
        <w:sz w:val="24"/>
        <w:szCs w:val="24"/>
      </w:rPr>
    </w:lvl>
    <w:lvl w:ilvl="3">
      <w:numFmt w:val="bullet"/>
      <w:lvlText w:val="•"/>
      <w:lvlJc w:val="left"/>
      <w:pPr>
        <w:ind w:left="660" w:hanging="540"/>
      </w:pPr>
      <w:rPr>
        <w:rFonts w:hint="default"/>
      </w:rPr>
    </w:lvl>
    <w:lvl w:ilvl="4">
      <w:numFmt w:val="bullet"/>
      <w:lvlText w:val="•"/>
      <w:lvlJc w:val="left"/>
      <w:pPr>
        <w:ind w:left="1892" w:hanging="540"/>
      </w:pPr>
      <w:rPr>
        <w:rFonts w:hint="default"/>
      </w:rPr>
    </w:lvl>
    <w:lvl w:ilvl="5">
      <w:numFmt w:val="bullet"/>
      <w:lvlText w:val="•"/>
      <w:lvlJc w:val="left"/>
      <w:pPr>
        <w:ind w:left="3124" w:hanging="540"/>
      </w:pPr>
      <w:rPr>
        <w:rFonts w:hint="default"/>
      </w:rPr>
    </w:lvl>
    <w:lvl w:ilvl="6">
      <w:numFmt w:val="bullet"/>
      <w:lvlText w:val="•"/>
      <w:lvlJc w:val="left"/>
      <w:pPr>
        <w:ind w:left="4357" w:hanging="540"/>
      </w:pPr>
      <w:rPr>
        <w:rFonts w:hint="default"/>
      </w:rPr>
    </w:lvl>
    <w:lvl w:ilvl="7">
      <w:numFmt w:val="bullet"/>
      <w:lvlText w:val="•"/>
      <w:lvlJc w:val="left"/>
      <w:pPr>
        <w:ind w:left="5589" w:hanging="540"/>
      </w:pPr>
      <w:rPr>
        <w:rFonts w:hint="default"/>
      </w:rPr>
    </w:lvl>
    <w:lvl w:ilvl="8">
      <w:numFmt w:val="bullet"/>
      <w:lvlText w:val="•"/>
      <w:lvlJc w:val="left"/>
      <w:pPr>
        <w:ind w:left="6821" w:hanging="540"/>
      </w:pPr>
      <w:rPr>
        <w:rFonts w:hint="default"/>
      </w:rPr>
    </w:lvl>
  </w:abstractNum>
  <w:abstractNum w:abstractNumId="5" w15:restartNumberingAfterBreak="0">
    <w:nsid w:val="13572957"/>
    <w:multiLevelType w:val="hybridMultilevel"/>
    <w:tmpl w:val="5C3C00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BDD2334"/>
    <w:multiLevelType w:val="hybridMultilevel"/>
    <w:tmpl w:val="931629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EED17E3"/>
    <w:multiLevelType w:val="hybridMultilevel"/>
    <w:tmpl w:val="25B603B6"/>
    <w:lvl w:ilvl="0" w:tplc="DA90488C">
      <w:numFmt w:val="bullet"/>
      <w:lvlText w:val="-"/>
      <w:lvlJc w:val="left"/>
      <w:pPr>
        <w:ind w:left="103" w:hanging="116"/>
      </w:pPr>
      <w:rPr>
        <w:rFonts w:ascii="Times New Roman" w:eastAsia="Times New Roman" w:hAnsi="Times New Roman" w:cs="Times New Roman" w:hint="default"/>
        <w:w w:val="99"/>
        <w:sz w:val="20"/>
        <w:szCs w:val="20"/>
      </w:rPr>
    </w:lvl>
    <w:lvl w:ilvl="1" w:tplc="74A69126">
      <w:numFmt w:val="bullet"/>
      <w:lvlText w:val="•"/>
      <w:lvlJc w:val="left"/>
      <w:pPr>
        <w:ind w:left="817" w:hanging="116"/>
      </w:pPr>
      <w:rPr>
        <w:rFonts w:hint="default"/>
      </w:rPr>
    </w:lvl>
    <w:lvl w:ilvl="2" w:tplc="F392EE88">
      <w:numFmt w:val="bullet"/>
      <w:lvlText w:val="•"/>
      <w:lvlJc w:val="left"/>
      <w:pPr>
        <w:ind w:left="1534" w:hanging="116"/>
      </w:pPr>
      <w:rPr>
        <w:rFonts w:hint="default"/>
      </w:rPr>
    </w:lvl>
    <w:lvl w:ilvl="3" w:tplc="922E5748">
      <w:numFmt w:val="bullet"/>
      <w:lvlText w:val="•"/>
      <w:lvlJc w:val="left"/>
      <w:pPr>
        <w:ind w:left="2251" w:hanging="116"/>
      </w:pPr>
      <w:rPr>
        <w:rFonts w:hint="default"/>
      </w:rPr>
    </w:lvl>
    <w:lvl w:ilvl="4" w:tplc="CB3AFADC">
      <w:numFmt w:val="bullet"/>
      <w:lvlText w:val="•"/>
      <w:lvlJc w:val="left"/>
      <w:pPr>
        <w:ind w:left="2968" w:hanging="116"/>
      </w:pPr>
      <w:rPr>
        <w:rFonts w:hint="default"/>
      </w:rPr>
    </w:lvl>
    <w:lvl w:ilvl="5" w:tplc="5DBA28C2">
      <w:numFmt w:val="bullet"/>
      <w:lvlText w:val="•"/>
      <w:lvlJc w:val="left"/>
      <w:pPr>
        <w:ind w:left="3685" w:hanging="116"/>
      </w:pPr>
      <w:rPr>
        <w:rFonts w:hint="default"/>
      </w:rPr>
    </w:lvl>
    <w:lvl w:ilvl="6" w:tplc="E27A12E8">
      <w:numFmt w:val="bullet"/>
      <w:lvlText w:val="•"/>
      <w:lvlJc w:val="left"/>
      <w:pPr>
        <w:ind w:left="4402" w:hanging="116"/>
      </w:pPr>
      <w:rPr>
        <w:rFonts w:hint="default"/>
      </w:rPr>
    </w:lvl>
    <w:lvl w:ilvl="7" w:tplc="95D0C14C">
      <w:numFmt w:val="bullet"/>
      <w:lvlText w:val="•"/>
      <w:lvlJc w:val="left"/>
      <w:pPr>
        <w:ind w:left="5119" w:hanging="116"/>
      </w:pPr>
      <w:rPr>
        <w:rFonts w:hint="default"/>
      </w:rPr>
    </w:lvl>
    <w:lvl w:ilvl="8" w:tplc="F0E0874E">
      <w:numFmt w:val="bullet"/>
      <w:lvlText w:val="•"/>
      <w:lvlJc w:val="left"/>
      <w:pPr>
        <w:ind w:left="5836" w:hanging="116"/>
      </w:pPr>
      <w:rPr>
        <w:rFonts w:hint="default"/>
      </w:rPr>
    </w:lvl>
  </w:abstractNum>
  <w:abstractNum w:abstractNumId="8" w15:restartNumberingAfterBreak="0">
    <w:nsid w:val="2C346F4D"/>
    <w:multiLevelType w:val="hybridMultilevel"/>
    <w:tmpl w:val="3498F7B4"/>
    <w:lvl w:ilvl="0" w:tplc="5BC63150">
      <w:numFmt w:val="bullet"/>
      <w:lvlText w:val="-"/>
      <w:lvlJc w:val="left"/>
      <w:pPr>
        <w:ind w:left="103" w:hanging="111"/>
      </w:pPr>
      <w:rPr>
        <w:rFonts w:ascii="Times New Roman" w:eastAsia="Times New Roman" w:hAnsi="Times New Roman" w:cs="Times New Roman" w:hint="default"/>
        <w:w w:val="99"/>
        <w:sz w:val="20"/>
        <w:szCs w:val="20"/>
      </w:rPr>
    </w:lvl>
    <w:lvl w:ilvl="1" w:tplc="2EF00F1C">
      <w:numFmt w:val="bullet"/>
      <w:lvlText w:val="•"/>
      <w:lvlJc w:val="left"/>
      <w:pPr>
        <w:ind w:left="817" w:hanging="111"/>
      </w:pPr>
      <w:rPr>
        <w:rFonts w:hint="default"/>
      </w:rPr>
    </w:lvl>
    <w:lvl w:ilvl="2" w:tplc="EC005BE0">
      <w:numFmt w:val="bullet"/>
      <w:lvlText w:val="•"/>
      <w:lvlJc w:val="left"/>
      <w:pPr>
        <w:ind w:left="1534" w:hanging="111"/>
      </w:pPr>
      <w:rPr>
        <w:rFonts w:hint="default"/>
      </w:rPr>
    </w:lvl>
    <w:lvl w:ilvl="3" w:tplc="1034D5E4">
      <w:numFmt w:val="bullet"/>
      <w:lvlText w:val="•"/>
      <w:lvlJc w:val="left"/>
      <w:pPr>
        <w:ind w:left="2251" w:hanging="111"/>
      </w:pPr>
      <w:rPr>
        <w:rFonts w:hint="default"/>
      </w:rPr>
    </w:lvl>
    <w:lvl w:ilvl="4" w:tplc="3E7456D2">
      <w:numFmt w:val="bullet"/>
      <w:lvlText w:val="•"/>
      <w:lvlJc w:val="left"/>
      <w:pPr>
        <w:ind w:left="2968" w:hanging="111"/>
      </w:pPr>
      <w:rPr>
        <w:rFonts w:hint="default"/>
      </w:rPr>
    </w:lvl>
    <w:lvl w:ilvl="5" w:tplc="3558F8A8">
      <w:numFmt w:val="bullet"/>
      <w:lvlText w:val="•"/>
      <w:lvlJc w:val="left"/>
      <w:pPr>
        <w:ind w:left="3685" w:hanging="111"/>
      </w:pPr>
      <w:rPr>
        <w:rFonts w:hint="default"/>
      </w:rPr>
    </w:lvl>
    <w:lvl w:ilvl="6" w:tplc="05DAD2C2">
      <w:numFmt w:val="bullet"/>
      <w:lvlText w:val="•"/>
      <w:lvlJc w:val="left"/>
      <w:pPr>
        <w:ind w:left="4402" w:hanging="111"/>
      </w:pPr>
      <w:rPr>
        <w:rFonts w:hint="default"/>
      </w:rPr>
    </w:lvl>
    <w:lvl w:ilvl="7" w:tplc="F1583D86">
      <w:numFmt w:val="bullet"/>
      <w:lvlText w:val="•"/>
      <w:lvlJc w:val="left"/>
      <w:pPr>
        <w:ind w:left="5119" w:hanging="111"/>
      </w:pPr>
      <w:rPr>
        <w:rFonts w:hint="default"/>
      </w:rPr>
    </w:lvl>
    <w:lvl w:ilvl="8" w:tplc="8D125614">
      <w:numFmt w:val="bullet"/>
      <w:lvlText w:val="•"/>
      <w:lvlJc w:val="left"/>
      <w:pPr>
        <w:ind w:left="5836" w:hanging="111"/>
      </w:pPr>
      <w:rPr>
        <w:rFonts w:hint="default"/>
      </w:rPr>
    </w:lvl>
  </w:abstractNum>
  <w:abstractNum w:abstractNumId="9" w15:restartNumberingAfterBreak="0">
    <w:nsid w:val="396E5FAD"/>
    <w:multiLevelType w:val="hybridMultilevel"/>
    <w:tmpl w:val="65585D1A"/>
    <w:lvl w:ilvl="0" w:tplc="4A6EE0B0">
      <w:numFmt w:val="bullet"/>
      <w:lvlText w:val="-"/>
      <w:lvlJc w:val="left"/>
      <w:pPr>
        <w:ind w:left="103" w:hanging="116"/>
      </w:pPr>
      <w:rPr>
        <w:rFonts w:ascii="Times New Roman" w:eastAsia="Times New Roman" w:hAnsi="Times New Roman" w:cs="Times New Roman" w:hint="default"/>
        <w:w w:val="99"/>
        <w:sz w:val="20"/>
        <w:szCs w:val="20"/>
      </w:rPr>
    </w:lvl>
    <w:lvl w:ilvl="1" w:tplc="5A783398">
      <w:numFmt w:val="bullet"/>
      <w:lvlText w:val="•"/>
      <w:lvlJc w:val="left"/>
      <w:pPr>
        <w:ind w:left="817" w:hanging="116"/>
      </w:pPr>
      <w:rPr>
        <w:rFonts w:hint="default"/>
      </w:rPr>
    </w:lvl>
    <w:lvl w:ilvl="2" w:tplc="D29E81AE">
      <w:numFmt w:val="bullet"/>
      <w:lvlText w:val="•"/>
      <w:lvlJc w:val="left"/>
      <w:pPr>
        <w:ind w:left="1534" w:hanging="116"/>
      </w:pPr>
      <w:rPr>
        <w:rFonts w:hint="default"/>
      </w:rPr>
    </w:lvl>
    <w:lvl w:ilvl="3" w:tplc="932C99EC">
      <w:numFmt w:val="bullet"/>
      <w:lvlText w:val="•"/>
      <w:lvlJc w:val="left"/>
      <w:pPr>
        <w:ind w:left="2251" w:hanging="116"/>
      </w:pPr>
      <w:rPr>
        <w:rFonts w:hint="default"/>
      </w:rPr>
    </w:lvl>
    <w:lvl w:ilvl="4" w:tplc="5E98484C">
      <w:numFmt w:val="bullet"/>
      <w:lvlText w:val="•"/>
      <w:lvlJc w:val="left"/>
      <w:pPr>
        <w:ind w:left="2968" w:hanging="116"/>
      </w:pPr>
      <w:rPr>
        <w:rFonts w:hint="default"/>
      </w:rPr>
    </w:lvl>
    <w:lvl w:ilvl="5" w:tplc="DB329BC4">
      <w:numFmt w:val="bullet"/>
      <w:lvlText w:val="•"/>
      <w:lvlJc w:val="left"/>
      <w:pPr>
        <w:ind w:left="3685" w:hanging="116"/>
      </w:pPr>
      <w:rPr>
        <w:rFonts w:hint="default"/>
      </w:rPr>
    </w:lvl>
    <w:lvl w:ilvl="6" w:tplc="480E8DC2">
      <w:numFmt w:val="bullet"/>
      <w:lvlText w:val="•"/>
      <w:lvlJc w:val="left"/>
      <w:pPr>
        <w:ind w:left="4402" w:hanging="116"/>
      </w:pPr>
      <w:rPr>
        <w:rFonts w:hint="default"/>
      </w:rPr>
    </w:lvl>
    <w:lvl w:ilvl="7" w:tplc="D5B898C2">
      <w:numFmt w:val="bullet"/>
      <w:lvlText w:val="•"/>
      <w:lvlJc w:val="left"/>
      <w:pPr>
        <w:ind w:left="5119" w:hanging="116"/>
      </w:pPr>
      <w:rPr>
        <w:rFonts w:hint="default"/>
      </w:rPr>
    </w:lvl>
    <w:lvl w:ilvl="8" w:tplc="EC02B602">
      <w:numFmt w:val="bullet"/>
      <w:lvlText w:val="•"/>
      <w:lvlJc w:val="left"/>
      <w:pPr>
        <w:ind w:left="5836" w:hanging="116"/>
      </w:pPr>
      <w:rPr>
        <w:rFonts w:hint="default"/>
      </w:rPr>
    </w:lvl>
  </w:abstractNum>
  <w:abstractNum w:abstractNumId="10" w15:restartNumberingAfterBreak="0">
    <w:nsid w:val="51560579"/>
    <w:multiLevelType w:val="hybridMultilevel"/>
    <w:tmpl w:val="2D2092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BAE7030"/>
    <w:multiLevelType w:val="hybridMultilevel"/>
    <w:tmpl w:val="57ACC24A"/>
    <w:lvl w:ilvl="0" w:tplc="0936AC3C">
      <w:numFmt w:val="bullet"/>
      <w:lvlText w:val="-"/>
      <w:lvlJc w:val="left"/>
      <w:pPr>
        <w:ind w:left="103" w:hanging="203"/>
      </w:pPr>
      <w:rPr>
        <w:rFonts w:ascii="Times New Roman" w:eastAsia="Times New Roman" w:hAnsi="Times New Roman" w:cs="Times New Roman" w:hint="default"/>
        <w:w w:val="99"/>
        <w:sz w:val="20"/>
        <w:szCs w:val="20"/>
      </w:rPr>
    </w:lvl>
    <w:lvl w:ilvl="1" w:tplc="F50EACBC">
      <w:numFmt w:val="bullet"/>
      <w:lvlText w:val="•"/>
      <w:lvlJc w:val="left"/>
      <w:pPr>
        <w:ind w:left="817" w:hanging="203"/>
      </w:pPr>
      <w:rPr>
        <w:rFonts w:hint="default"/>
      </w:rPr>
    </w:lvl>
    <w:lvl w:ilvl="2" w:tplc="2316803E">
      <w:numFmt w:val="bullet"/>
      <w:lvlText w:val="•"/>
      <w:lvlJc w:val="left"/>
      <w:pPr>
        <w:ind w:left="1534" w:hanging="203"/>
      </w:pPr>
      <w:rPr>
        <w:rFonts w:hint="default"/>
      </w:rPr>
    </w:lvl>
    <w:lvl w:ilvl="3" w:tplc="2BB2D86A">
      <w:numFmt w:val="bullet"/>
      <w:lvlText w:val="•"/>
      <w:lvlJc w:val="left"/>
      <w:pPr>
        <w:ind w:left="2251" w:hanging="203"/>
      </w:pPr>
      <w:rPr>
        <w:rFonts w:hint="default"/>
      </w:rPr>
    </w:lvl>
    <w:lvl w:ilvl="4" w:tplc="03CAD632">
      <w:numFmt w:val="bullet"/>
      <w:lvlText w:val="•"/>
      <w:lvlJc w:val="left"/>
      <w:pPr>
        <w:ind w:left="2968" w:hanging="203"/>
      </w:pPr>
      <w:rPr>
        <w:rFonts w:hint="default"/>
      </w:rPr>
    </w:lvl>
    <w:lvl w:ilvl="5" w:tplc="F7D0AEF8">
      <w:numFmt w:val="bullet"/>
      <w:lvlText w:val="•"/>
      <w:lvlJc w:val="left"/>
      <w:pPr>
        <w:ind w:left="3685" w:hanging="203"/>
      </w:pPr>
      <w:rPr>
        <w:rFonts w:hint="default"/>
      </w:rPr>
    </w:lvl>
    <w:lvl w:ilvl="6" w:tplc="FF82B680">
      <w:numFmt w:val="bullet"/>
      <w:lvlText w:val="•"/>
      <w:lvlJc w:val="left"/>
      <w:pPr>
        <w:ind w:left="4402" w:hanging="203"/>
      </w:pPr>
      <w:rPr>
        <w:rFonts w:hint="default"/>
      </w:rPr>
    </w:lvl>
    <w:lvl w:ilvl="7" w:tplc="E188C734">
      <w:numFmt w:val="bullet"/>
      <w:lvlText w:val="•"/>
      <w:lvlJc w:val="left"/>
      <w:pPr>
        <w:ind w:left="5119" w:hanging="203"/>
      </w:pPr>
      <w:rPr>
        <w:rFonts w:hint="default"/>
      </w:rPr>
    </w:lvl>
    <w:lvl w:ilvl="8" w:tplc="BC441C54">
      <w:numFmt w:val="bullet"/>
      <w:lvlText w:val="•"/>
      <w:lvlJc w:val="left"/>
      <w:pPr>
        <w:ind w:left="5836" w:hanging="203"/>
      </w:pPr>
      <w:rPr>
        <w:rFonts w:hint="default"/>
      </w:rPr>
    </w:lvl>
  </w:abstractNum>
  <w:abstractNum w:abstractNumId="12" w15:restartNumberingAfterBreak="0">
    <w:nsid w:val="64E875CF"/>
    <w:multiLevelType w:val="hybridMultilevel"/>
    <w:tmpl w:val="79A06B90"/>
    <w:lvl w:ilvl="0" w:tplc="D012CD96">
      <w:start w:val="5"/>
      <w:numFmt w:val="decimal"/>
      <w:lvlText w:val="%1"/>
      <w:lvlJc w:val="left"/>
      <w:pPr>
        <w:ind w:left="462" w:hanging="360"/>
      </w:pPr>
      <w:rPr>
        <w:rFonts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13" w15:restartNumberingAfterBreak="0">
    <w:nsid w:val="6DF40BAF"/>
    <w:multiLevelType w:val="hybridMultilevel"/>
    <w:tmpl w:val="EF86AD84"/>
    <w:lvl w:ilvl="0" w:tplc="32DEBC9E">
      <w:numFmt w:val="bullet"/>
      <w:lvlText w:val="-"/>
      <w:lvlJc w:val="left"/>
      <w:pPr>
        <w:ind w:left="103" w:hanging="116"/>
      </w:pPr>
      <w:rPr>
        <w:rFonts w:ascii="Times New Roman" w:eastAsia="Times New Roman" w:hAnsi="Times New Roman" w:cs="Times New Roman" w:hint="default"/>
        <w:w w:val="99"/>
        <w:sz w:val="20"/>
        <w:szCs w:val="20"/>
      </w:rPr>
    </w:lvl>
    <w:lvl w:ilvl="1" w:tplc="B04CD0A6">
      <w:numFmt w:val="bullet"/>
      <w:lvlText w:val="•"/>
      <w:lvlJc w:val="left"/>
      <w:pPr>
        <w:ind w:left="817" w:hanging="116"/>
      </w:pPr>
      <w:rPr>
        <w:rFonts w:hint="default"/>
      </w:rPr>
    </w:lvl>
    <w:lvl w:ilvl="2" w:tplc="1A1C1B4C">
      <w:numFmt w:val="bullet"/>
      <w:lvlText w:val="•"/>
      <w:lvlJc w:val="left"/>
      <w:pPr>
        <w:ind w:left="1534" w:hanging="116"/>
      </w:pPr>
      <w:rPr>
        <w:rFonts w:hint="default"/>
      </w:rPr>
    </w:lvl>
    <w:lvl w:ilvl="3" w:tplc="74F2C4A4">
      <w:numFmt w:val="bullet"/>
      <w:lvlText w:val="•"/>
      <w:lvlJc w:val="left"/>
      <w:pPr>
        <w:ind w:left="2251" w:hanging="116"/>
      </w:pPr>
      <w:rPr>
        <w:rFonts w:hint="default"/>
      </w:rPr>
    </w:lvl>
    <w:lvl w:ilvl="4" w:tplc="774ACF6C">
      <w:numFmt w:val="bullet"/>
      <w:lvlText w:val="•"/>
      <w:lvlJc w:val="left"/>
      <w:pPr>
        <w:ind w:left="2968" w:hanging="116"/>
      </w:pPr>
      <w:rPr>
        <w:rFonts w:hint="default"/>
      </w:rPr>
    </w:lvl>
    <w:lvl w:ilvl="5" w:tplc="17E4D81A">
      <w:numFmt w:val="bullet"/>
      <w:lvlText w:val="•"/>
      <w:lvlJc w:val="left"/>
      <w:pPr>
        <w:ind w:left="3685" w:hanging="116"/>
      </w:pPr>
      <w:rPr>
        <w:rFonts w:hint="default"/>
      </w:rPr>
    </w:lvl>
    <w:lvl w:ilvl="6" w:tplc="D8DCF1EC">
      <w:numFmt w:val="bullet"/>
      <w:lvlText w:val="•"/>
      <w:lvlJc w:val="left"/>
      <w:pPr>
        <w:ind w:left="4402" w:hanging="116"/>
      </w:pPr>
      <w:rPr>
        <w:rFonts w:hint="default"/>
      </w:rPr>
    </w:lvl>
    <w:lvl w:ilvl="7" w:tplc="B0B212A0">
      <w:numFmt w:val="bullet"/>
      <w:lvlText w:val="•"/>
      <w:lvlJc w:val="left"/>
      <w:pPr>
        <w:ind w:left="5119" w:hanging="116"/>
      </w:pPr>
      <w:rPr>
        <w:rFonts w:hint="default"/>
      </w:rPr>
    </w:lvl>
    <w:lvl w:ilvl="8" w:tplc="EFD44A7E">
      <w:numFmt w:val="bullet"/>
      <w:lvlText w:val="•"/>
      <w:lvlJc w:val="left"/>
      <w:pPr>
        <w:ind w:left="5836" w:hanging="116"/>
      </w:pPr>
      <w:rPr>
        <w:rFonts w:hint="default"/>
      </w:rPr>
    </w:lvl>
  </w:abstractNum>
  <w:abstractNum w:abstractNumId="14" w15:restartNumberingAfterBreak="0">
    <w:nsid w:val="6F2702B3"/>
    <w:multiLevelType w:val="hybridMultilevel"/>
    <w:tmpl w:val="89C86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F9615D8"/>
    <w:multiLevelType w:val="multilevel"/>
    <w:tmpl w:val="7FF6616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3"/>
  </w:num>
  <w:num w:numId="3">
    <w:abstractNumId w:val="7"/>
  </w:num>
  <w:num w:numId="4">
    <w:abstractNumId w:val="8"/>
  </w:num>
  <w:num w:numId="5">
    <w:abstractNumId w:val="11"/>
  </w:num>
  <w:num w:numId="6">
    <w:abstractNumId w:val="3"/>
  </w:num>
  <w:num w:numId="7">
    <w:abstractNumId w:val="4"/>
  </w:num>
  <w:num w:numId="8">
    <w:abstractNumId w:val="15"/>
  </w:num>
  <w:num w:numId="9">
    <w:abstractNumId w:val="12"/>
  </w:num>
  <w:num w:numId="10">
    <w:abstractNumId w:val="1"/>
  </w:num>
  <w:num w:numId="11">
    <w:abstractNumId w:val="10"/>
  </w:num>
  <w:num w:numId="12">
    <w:abstractNumId w:val="6"/>
  </w:num>
  <w:num w:numId="13">
    <w:abstractNumId w:val="5"/>
  </w:num>
  <w:num w:numId="14">
    <w:abstractNumId w:val="14"/>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45"/>
    <w:rsid w:val="00024AD7"/>
    <w:rsid w:val="00036881"/>
    <w:rsid w:val="00041960"/>
    <w:rsid w:val="00045873"/>
    <w:rsid w:val="00051229"/>
    <w:rsid w:val="00057CB3"/>
    <w:rsid w:val="00065623"/>
    <w:rsid w:val="000668B8"/>
    <w:rsid w:val="0007253B"/>
    <w:rsid w:val="000739A8"/>
    <w:rsid w:val="000766CE"/>
    <w:rsid w:val="00080F96"/>
    <w:rsid w:val="00087054"/>
    <w:rsid w:val="00094026"/>
    <w:rsid w:val="00094132"/>
    <w:rsid w:val="000B44A8"/>
    <w:rsid w:val="000B764D"/>
    <w:rsid w:val="000B7A36"/>
    <w:rsid w:val="000D6AD0"/>
    <w:rsid w:val="000E2692"/>
    <w:rsid w:val="00107C7E"/>
    <w:rsid w:val="00141A13"/>
    <w:rsid w:val="0017043A"/>
    <w:rsid w:val="001773A2"/>
    <w:rsid w:val="001817C3"/>
    <w:rsid w:val="00185A18"/>
    <w:rsid w:val="00191842"/>
    <w:rsid w:val="001944FF"/>
    <w:rsid w:val="00194F7F"/>
    <w:rsid w:val="001A2445"/>
    <w:rsid w:val="001B6DBD"/>
    <w:rsid w:val="001B7CF8"/>
    <w:rsid w:val="001C0010"/>
    <w:rsid w:val="001C05CA"/>
    <w:rsid w:val="001D48B5"/>
    <w:rsid w:val="001E03FA"/>
    <w:rsid w:val="001F508F"/>
    <w:rsid w:val="002047F0"/>
    <w:rsid w:val="0020560A"/>
    <w:rsid w:val="00211F56"/>
    <w:rsid w:val="00221213"/>
    <w:rsid w:val="002362B4"/>
    <w:rsid w:val="00237DDB"/>
    <w:rsid w:val="002415E9"/>
    <w:rsid w:val="002419D5"/>
    <w:rsid w:val="002423CE"/>
    <w:rsid w:val="00246F4E"/>
    <w:rsid w:val="00253E08"/>
    <w:rsid w:val="00256E5D"/>
    <w:rsid w:val="00262187"/>
    <w:rsid w:val="00262421"/>
    <w:rsid w:val="00265986"/>
    <w:rsid w:val="00270CDA"/>
    <w:rsid w:val="002736BE"/>
    <w:rsid w:val="00275D55"/>
    <w:rsid w:val="00280838"/>
    <w:rsid w:val="00284241"/>
    <w:rsid w:val="00284D58"/>
    <w:rsid w:val="00287ADF"/>
    <w:rsid w:val="0029480C"/>
    <w:rsid w:val="002A4050"/>
    <w:rsid w:val="002B3C7F"/>
    <w:rsid w:val="002B4E11"/>
    <w:rsid w:val="002C137C"/>
    <w:rsid w:val="002C4FC4"/>
    <w:rsid w:val="002C5375"/>
    <w:rsid w:val="002D15D9"/>
    <w:rsid w:val="002D5281"/>
    <w:rsid w:val="002F16BC"/>
    <w:rsid w:val="002F3366"/>
    <w:rsid w:val="002F376B"/>
    <w:rsid w:val="00300B74"/>
    <w:rsid w:val="00307C8D"/>
    <w:rsid w:val="003150F9"/>
    <w:rsid w:val="00315AE1"/>
    <w:rsid w:val="003242F2"/>
    <w:rsid w:val="00325324"/>
    <w:rsid w:val="00341968"/>
    <w:rsid w:val="003475F2"/>
    <w:rsid w:val="00351C7E"/>
    <w:rsid w:val="00360D30"/>
    <w:rsid w:val="00361BD5"/>
    <w:rsid w:val="00375AE7"/>
    <w:rsid w:val="00381E6B"/>
    <w:rsid w:val="00383479"/>
    <w:rsid w:val="003836D2"/>
    <w:rsid w:val="00397F9B"/>
    <w:rsid w:val="003A429C"/>
    <w:rsid w:val="003B2524"/>
    <w:rsid w:val="003B5D4B"/>
    <w:rsid w:val="003D11EF"/>
    <w:rsid w:val="003E7D60"/>
    <w:rsid w:val="003F75DC"/>
    <w:rsid w:val="004014C0"/>
    <w:rsid w:val="004033DE"/>
    <w:rsid w:val="0040359B"/>
    <w:rsid w:val="004052D1"/>
    <w:rsid w:val="00414AA4"/>
    <w:rsid w:val="004239CF"/>
    <w:rsid w:val="004249FF"/>
    <w:rsid w:val="004265CF"/>
    <w:rsid w:val="00433774"/>
    <w:rsid w:val="00437F53"/>
    <w:rsid w:val="00446871"/>
    <w:rsid w:val="0044696D"/>
    <w:rsid w:val="00455A1D"/>
    <w:rsid w:val="00473E72"/>
    <w:rsid w:val="00485282"/>
    <w:rsid w:val="00486B45"/>
    <w:rsid w:val="004926EC"/>
    <w:rsid w:val="004A06D8"/>
    <w:rsid w:val="004A2DCC"/>
    <w:rsid w:val="004A73AF"/>
    <w:rsid w:val="004A7899"/>
    <w:rsid w:val="004B1B22"/>
    <w:rsid w:val="004B7A17"/>
    <w:rsid w:val="004C5ECF"/>
    <w:rsid w:val="004D0720"/>
    <w:rsid w:val="004D6C09"/>
    <w:rsid w:val="004F607D"/>
    <w:rsid w:val="004F691C"/>
    <w:rsid w:val="00506754"/>
    <w:rsid w:val="005108E6"/>
    <w:rsid w:val="00510D7C"/>
    <w:rsid w:val="005165B2"/>
    <w:rsid w:val="0052104A"/>
    <w:rsid w:val="00526F46"/>
    <w:rsid w:val="00530666"/>
    <w:rsid w:val="005315DE"/>
    <w:rsid w:val="00532047"/>
    <w:rsid w:val="00532627"/>
    <w:rsid w:val="00536E00"/>
    <w:rsid w:val="00550F65"/>
    <w:rsid w:val="0056041F"/>
    <w:rsid w:val="00560BD9"/>
    <w:rsid w:val="0056375D"/>
    <w:rsid w:val="00567F3A"/>
    <w:rsid w:val="00570061"/>
    <w:rsid w:val="0057241E"/>
    <w:rsid w:val="005730ED"/>
    <w:rsid w:val="005865AA"/>
    <w:rsid w:val="005A4FB7"/>
    <w:rsid w:val="005B1CC3"/>
    <w:rsid w:val="005B1EDC"/>
    <w:rsid w:val="005B3E7E"/>
    <w:rsid w:val="005C100A"/>
    <w:rsid w:val="005C15B1"/>
    <w:rsid w:val="005C780B"/>
    <w:rsid w:val="005D00EF"/>
    <w:rsid w:val="005D0A38"/>
    <w:rsid w:val="005D1DF6"/>
    <w:rsid w:val="005E0D62"/>
    <w:rsid w:val="005E1583"/>
    <w:rsid w:val="005E40DE"/>
    <w:rsid w:val="005E4244"/>
    <w:rsid w:val="006034DC"/>
    <w:rsid w:val="006070F9"/>
    <w:rsid w:val="00607910"/>
    <w:rsid w:val="006105DA"/>
    <w:rsid w:val="00616811"/>
    <w:rsid w:val="00621583"/>
    <w:rsid w:val="00621FCD"/>
    <w:rsid w:val="0062311E"/>
    <w:rsid w:val="00632281"/>
    <w:rsid w:val="00641B06"/>
    <w:rsid w:val="00652492"/>
    <w:rsid w:val="00660646"/>
    <w:rsid w:val="0066510C"/>
    <w:rsid w:val="006743B4"/>
    <w:rsid w:val="0068141E"/>
    <w:rsid w:val="006825C0"/>
    <w:rsid w:val="006832C3"/>
    <w:rsid w:val="00684768"/>
    <w:rsid w:val="00686593"/>
    <w:rsid w:val="00692E89"/>
    <w:rsid w:val="00693798"/>
    <w:rsid w:val="00695BD2"/>
    <w:rsid w:val="006A096B"/>
    <w:rsid w:val="006A6ED4"/>
    <w:rsid w:val="006B5433"/>
    <w:rsid w:val="006C3DE0"/>
    <w:rsid w:val="006C4DB8"/>
    <w:rsid w:val="006D2F01"/>
    <w:rsid w:val="006E2A1A"/>
    <w:rsid w:val="006F13D4"/>
    <w:rsid w:val="006F6D2E"/>
    <w:rsid w:val="007132E2"/>
    <w:rsid w:val="00714781"/>
    <w:rsid w:val="00716218"/>
    <w:rsid w:val="007320CE"/>
    <w:rsid w:val="00741EEE"/>
    <w:rsid w:val="007557D9"/>
    <w:rsid w:val="00770AC9"/>
    <w:rsid w:val="00770F95"/>
    <w:rsid w:val="00774794"/>
    <w:rsid w:val="00785DCC"/>
    <w:rsid w:val="00786274"/>
    <w:rsid w:val="007A399A"/>
    <w:rsid w:val="007A41C5"/>
    <w:rsid w:val="007B4298"/>
    <w:rsid w:val="007C2D56"/>
    <w:rsid w:val="007C3FAB"/>
    <w:rsid w:val="007D121F"/>
    <w:rsid w:val="007D23F4"/>
    <w:rsid w:val="007D2CE8"/>
    <w:rsid w:val="007D7920"/>
    <w:rsid w:val="007E20C3"/>
    <w:rsid w:val="007E59CE"/>
    <w:rsid w:val="007E616C"/>
    <w:rsid w:val="007F28FC"/>
    <w:rsid w:val="00810A3C"/>
    <w:rsid w:val="00810EEC"/>
    <w:rsid w:val="00813ABE"/>
    <w:rsid w:val="00825720"/>
    <w:rsid w:val="00835790"/>
    <w:rsid w:val="008357F0"/>
    <w:rsid w:val="00835B57"/>
    <w:rsid w:val="00841237"/>
    <w:rsid w:val="0084494E"/>
    <w:rsid w:val="008461B7"/>
    <w:rsid w:val="00846F7E"/>
    <w:rsid w:val="00860F15"/>
    <w:rsid w:val="008717F8"/>
    <w:rsid w:val="00874245"/>
    <w:rsid w:val="00875F94"/>
    <w:rsid w:val="00877307"/>
    <w:rsid w:val="0088426C"/>
    <w:rsid w:val="00886DD1"/>
    <w:rsid w:val="008940DE"/>
    <w:rsid w:val="00896E44"/>
    <w:rsid w:val="008B33FC"/>
    <w:rsid w:val="008B3B0A"/>
    <w:rsid w:val="008B69FE"/>
    <w:rsid w:val="008E0B30"/>
    <w:rsid w:val="008E5149"/>
    <w:rsid w:val="008F1B24"/>
    <w:rsid w:val="0092182A"/>
    <w:rsid w:val="00934ECB"/>
    <w:rsid w:val="0095010F"/>
    <w:rsid w:val="00953CE9"/>
    <w:rsid w:val="00957411"/>
    <w:rsid w:val="0096176A"/>
    <w:rsid w:val="00962259"/>
    <w:rsid w:val="009677F9"/>
    <w:rsid w:val="00977352"/>
    <w:rsid w:val="009825D5"/>
    <w:rsid w:val="00984926"/>
    <w:rsid w:val="00987FE2"/>
    <w:rsid w:val="0099229A"/>
    <w:rsid w:val="009A0C2A"/>
    <w:rsid w:val="009B00B5"/>
    <w:rsid w:val="009C0051"/>
    <w:rsid w:val="009C5CD2"/>
    <w:rsid w:val="009C5CF8"/>
    <w:rsid w:val="009D476C"/>
    <w:rsid w:val="009D78ED"/>
    <w:rsid w:val="009E25FD"/>
    <w:rsid w:val="009E5482"/>
    <w:rsid w:val="009F50C8"/>
    <w:rsid w:val="009F7E62"/>
    <w:rsid w:val="00A039DE"/>
    <w:rsid w:val="00A22A83"/>
    <w:rsid w:val="00A3138F"/>
    <w:rsid w:val="00A37290"/>
    <w:rsid w:val="00A51424"/>
    <w:rsid w:val="00A60BC7"/>
    <w:rsid w:val="00A6188C"/>
    <w:rsid w:val="00A65A6A"/>
    <w:rsid w:val="00A74F7A"/>
    <w:rsid w:val="00A77C75"/>
    <w:rsid w:val="00A862EA"/>
    <w:rsid w:val="00A94578"/>
    <w:rsid w:val="00AA189B"/>
    <w:rsid w:val="00AA4C8F"/>
    <w:rsid w:val="00AA739C"/>
    <w:rsid w:val="00AB0D00"/>
    <w:rsid w:val="00AB1FD5"/>
    <w:rsid w:val="00AB7C88"/>
    <w:rsid w:val="00AB7DD0"/>
    <w:rsid w:val="00AC3338"/>
    <w:rsid w:val="00AD1BD5"/>
    <w:rsid w:val="00AE0106"/>
    <w:rsid w:val="00AE3D8C"/>
    <w:rsid w:val="00B0072E"/>
    <w:rsid w:val="00B073A5"/>
    <w:rsid w:val="00B12BC7"/>
    <w:rsid w:val="00B205BD"/>
    <w:rsid w:val="00B22C55"/>
    <w:rsid w:val="00B36E4A"/>
    <w:rsid w:val="00B37164"/>
    <w:rsid w:val="00B4318B"/>
    <w:rsid w:val="00B45527"/>
    <w:rsid w:val="00B4791E"/>
    <w:rsid w:val="00B52B9E"/>
    <w:rsid w:val="00B557CA"/>
    <w:rsid w:val="00B562AD"/>
    <w:rsid w:val="00B56DBE"/>
    <w:rsid w:val="00B63418"/>
    <w:rsid w:val="00B65619"/>
    <w:rsid w:val="00B66352"/>
    <w:rsid w:val="00B722BC"/>
    <w:rsid w:val="00B81A3E"/>
    <w:rsid w:val="00B86E42"/>
    <w:rsid w:val="00BC10AA"/>
    <w:rsid w:val="00BC10DC"/>
    <w:rsid w:val="00BC5B65"/>
    <w:rsid w:val="00BD0670"/>
    <w:rsid w:val="00BE3268"/>
    <w:rsid w:val="00BE429C"/>
    <w:rsid w:val="00BE7559"/>
    <w:rsid w:val="00BF4842"/>
    <w:rsid w:val="00C175DA"/>
    <w:rsid w:val="00C22701"/>
    <w:rsid w:val="00C3078E"/>
    <w:rsid w:val="00C3551D"/>
    <w:rsid w:val="00C35568"/>
    <w:rsid w:val="00C41505"/>
    <w:rsid w:val="00C64F45"/>
    <w:rsid w:val="00C6641D"/>
    <w:rsid w:val="00C70C2A"/>
    <w:rsid w:val="00C813FC"/>
    <w:rsid w:val="00C818F2"/>
    <w:rsid w:val="00C915AB"/>
    <w:rsid w:val="00C92C88"/>
    <w:rsid w:val="00C9742F"/>
    <w:rsid w:val="00CD4DC3"/>
    <w:rsid w:val="00CD6E08"/>
    <w:rsid w:val="00CF53CE"/>
    <w:rsid w:val="00D00DC6"/>
    <w:rsid w:val="00D00DCC"/>
    <w:rsid w:val="00D01B80"/>
    <w:rsid w:val="00D03B66"/>
    <w:rsid w:val="00D10B94"/>
    <w:rsid w:val="00D2448C"/>
    <w:rsid w:val="00D3297D"/>
    <w:rsid w:val="00D34515"/>
    <w:rsid w:val="00D42069"/>
    <w:rsid w:val="00D50E61"/>
    <w:rsid w:val="00D55047"/>
    <w:rsid w:val="00D613A3"/>
    <w:rsid w:val="00D62EE2"/>
    <w:rsid w:val="00D6560F"/>
    <w:rsid w:val="00D73E15"/>
    <w:rsid w:val="00D9030A"/>
    <w:rsid w:val="00D917AD"/>
    <w:rsid w:val="00D964DC"/>
    <w:rsid w:val="00DA2371"/>
    <w:rsid w:val="00DA4B7D"/>
    <w:rsid w:val="00DB3397"/>
    <w:rsid w:val="00DB73C0"/>
    <w:rsid w:val="00DC2517"/>
    <w:rsid w:val="00DC6249"/>
    <w:rsid w:val="00DC6660"/>
    <w:rsid w:val="00DD27D6"/>
    <w:rsid w:val="00DE229F"/>
    <w:rsid w:val="00DF6D00"/>
    <w:rsid w:val="00E06AC3"/>
    <w:rsid w:val="00E23623"/>
    <w:rsid w:val="00E360FD"/>
    <w:rsid w:val="00E4342A"/>
    <w:rsid w:val="00E74E47"/>
    <w:rsid w:val="00E76E20"/>
    <w:rsid w:val="00E77D4A"/>
    <w:rsid w:val="00E92DCD"/>
    <w:rsid w:val="00EA39A5"/>
    <w:rsid w:val="00EB372A"/>
    <w:rsid w:val="00EB50F1"/>
    <w:rsid w:val="00EB76FB"/>
    <w:rsid w:val="00EC38A8"/>
    <w:rsid w:val="00EC7920"/>
    <w:rsid w:val="00ED551F"/>
    <w:rsid w:val="00ED708C"/>
    <w:rsid w:val="00EE2635"/>
    <w:rsid w:val="00F13378"/>
    <w:rsid w:val="00F136F4"/>
    <w:rsid w:val="00F16F0D"/>
    <w:rsid w:val="00F21748"/>
    <w:rsid w:val="00F24B82"/>
    <w:rsid w:val="00F352E2"/>
    <w:rsid w:val="00F35BF7"/>
    <w:rsid w:val="00F35E09"/>
    <w:rsid w:val="00F36413"/>
    <w:rsid w:val="00F3752B"/>
    <w:rsid w:val="00F431F1"/>
    <w:rsid w:val="00F467DF"/>
    <w:rsid w:val="00F52754"/>
    <w:rsid w:val="00F53B1F"/>
    <w:rsid w:val="00F53EE8"/>
    <w:rsid w:val="00F54A04"/>
    <w:rsid w:val="00F5717E"/>
    <w:rsid w:val="00F77E07"/>
    <w:rsid w:val="00F9075E"/>
    <w:rsid w:val="00F93DF0"/>
    <w:rsid w:val="00FA2AF1"/>
    <w:rsid w:val="00FB1354"/>
    <w:rsid w:val="00FB1BB7"/>
    <w:rsid w:val="00FB30D8"/>
    <w:rsid w:val="00FB7BF6"/>
    <w:rsid w:val="00FC5055"/>
    <w:rsid w:val="00FD1A15"/>
    <w:rsid w:val="00FD517C"/>
    <w:rsid w:val="00FD6F24"/>
    <w:rsid w:val="00FD7ADD"/>
    <w:rsid w:val="00FD7C21"/>
    <w:rsid w:val="00FF0356"/>
    <w:rsid w:val="00FF242C"/>
    <w:rsid w:val="00FF4D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FC0CF9-772B-41A2-83C2-51DEDB4C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AE7"/>
  </w:style>
  <w:style w:type="paragraph" w:styleId="Heading1">
    <w:name w:val="heading 1"/>
    <w:basedOn w:val="Normal"/>
    <w:next w:val="Normal"/>
    <w:link w:val="Heading1Char"/>
    <w:autoRedefine/>
    <w:uiPriority w:val="9"/>
    <w:qFormat/>
    <w:rsid w:val="006832C3"/>
    <w:pPr>
      <w:keepNext/>
      <w:keepLines/>
      <w:tabs>
        <w:tab w:val="left" w:pos="283"/>
      </w:tabs>
      <w:spacing w:line="240" w:lineRule="auto"/>
      <w:outlineLvl w:val="0"/>
    </w:pPr>
    <w:rPr>
      <w:rFonts w:ascii="Times New Roman" w:eastAsiaTheme="majorEastAsia" w:hAnsi="Times New Roman" w:cstheme="majorBidi"/>
      <w:b/>
      <w:sz w:val="24"/>
      <w:szCs w:val="36"/>
    </w:rPr>
  </w:style>
  <w:style w:type="paragraph" w:styleId="Heading2">
    <w:name w:val="heading 2"/>
    <w:basedOn w:val="Normal"/>
    <w:next w:val="Normal"/>
    <w:link w:val="Heading2Char"/>
    <w:autoRedefine/>
    <w:uiPriority w:val="9"/>
    <w:unhideWhenUsed/>
    <w:qFormat/>
    <w:rsid w:val="002B4E11"/>
    <w:pPr>
      <w:keepNext/>
      <w:keepLines/>
      <w:spacing w:line="240" w:lineRule="auto"/>
      <w:outlineLvl w:val="1"/>
    </w:pPr>
    <w:rPr>
      <w:rFonts w:ascii="Times New Roman" w:eastAsiaTheme="majorEastAsia" w:hAnsi="Times New Roman" w:cstheme="majorBidi"/>
      <w:b/>
      <w:sz w:val="24"/>
      <w:szCs w:val="28"/>
    </w:rPr>
  </w:style>
  <w:style w:type="paragraph" w:styleId="Heading3">
    <w:name w:val="heading 3"/>
    <w:basedOn w:val="Normal"/>
    <w:next w:val="Normal"/>
    <w:link w:val="Heading3Char"/>
    <w:uiPriority w:val="9"/>
    <w:semiHidden/>
    <w:unhideWhenUsed/>
    <w:qFormat/>
    <w:rsid w:val="00375AE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375AE7"/>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375AE7"/>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75AE7"/>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75AE7"/>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75AE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75AE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EB50F1"/>
    <w:rPr>
      <w:sz w:val="24"/>
      <w:szCs w:val="24"/>
    </w:rPr>
  </w:style>
  <w:style w:type="paragraph" w:styleId="ListParagraph">
    <w:name w:val="List Paragraph"/>
    <w:basedOn w:val="Normal"/>
    <w:uiPriority w:val="34"/>
    <w:qFormat/>
    <w:rsid w:val="00EB50F1"/>
    <w:pPr>
      <w:ind w:left="720"/>
      <w:contextualSpacing/>
    </w:pPr>
  </w:style>
  <w:style w:type="paragraph" w:customStyle="1" w:styleId="TableParagraph">
    <w:name w:val="Table Paragraph"/>
    <w:basedOn w:val="Normal"/>
    <w:uiPriority w:val="1"/>
    <w:rsid w:val="00EB50F1"/>
    <w:pPr>
      <w:jc w:val="center"/>
    </w:pPr>
  </w:style>
  <w:style w:type="paragraph" w:styleId="Header">
    <w:name w:val="header"/>
    <w:basedOn w:val="Normal"/>
    <w:link w:val="HeaderChar"/>
    <w:uiPriority w:val="99"/>
    <w:unhideWhenUsed/>
    <w:rsid w:val="002423CE"/>
    <w:pPr>
      <w:tabs>
        <w:tab w:val="center" w:pos="4252"/>
        <w:tab w:val="right" w:pos="8504"/>
      </w:tabs>
    </w:pPr>
  </w:style>
  <w:style w:type="character" w:customStyle="1" w:styleId="HeaderChar">
    <w:name w:val="Header Char"/>
    <w:basedOn w:val="DefaultParagraphFont"/>
    <w:link w:val="Header"/>
    <w:uiPriority w:val="99"/>
    <w:rsid w:val="002423CE"/>
    <w:rPr>
      <w:rFonts w:ascii="Times New Roman" w:eastAsia="Times New Roman" w:hAnsi="Times New Roman" w:cs="Times New Roman"/>
    </w:rPr>
  </w:style>
  <w:style w:type="paragraph" w:styleId="Footer">
    <w:name w:val="footer"/>
    <w:basedOn w:val="Normal"/>
    <w:link w:val="FooterChar"/>
    <w:uiPriority w:val="99"/>
    <w:unhideWhenUsed/>
    <w:rsid w:val="002423CE"/>
    <w:pPr>
      <w:tabs>
        <w:tab w:val="center" w:pos="4252"/>
        <w:tab w:val="right" w:pos="8504"/>
      </w:tabs>
    </w:pPr>
  </w:style>
  <w:style w:type="character" w:customStyle="1" w:styleId="FooterChar">
    <w:name w:val="Footer Char"/>
    <w:basedOn w:val="DefaultParagraphFont"/>
    <w:link w:val="Footer"/>
    <w:uiPriority w:val="99"/>
    <w:rsid w:val="002423CE"/>
    <w:rPr>
      <w:rFonts w:ascii="Times New Roman" w:eastAsia="Times New Roman" w:hAnsi="Times New Roman" w:cs="Times New Roman"/>
    </w:rPr>
  </w:style>
  <w:style w:type="character" w:styleId="PlaceholderText">
    <w:name w:val="Placeholder Text"/>
    <w:basedOn w:val="DefaultParagraphFont"/>
    <w:uiPriority w:val="99"/>
    <w:semiHidden/>
    <w:rsid w:val="00A74F7A"/>
    <w:rPr>
      <w:color w:val="808080"/>
    </w:rPr>
  </w:style>
  <w:style w:type="table" w:styleId="TableGrid">
    <w:name w:val="Table Grid"/>
    <w:basedOn w:val="TableNormal"/>
    <w:uiPriority w:val="39"/>
    <w:rsid w:val="008E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05BD"/>
    <w:rPr>
      <w:rFonts w:ascii="Tahoma" w:hAnsi="Tahoma" w:cs="Tahoma"/>
      <w:sz w:val="16"/>
      <w:szCs w:val="16"/>
    </w:rPr>
  </w:style>
  <w:style w:type="character" w:customStyle="1" w:styleId="BalloonTextChar">
    <w:name w:val="Balloon Text Char"/>
    <w:basedOn w:val="DefaultParagraphFont"/>
    <w:link w:val="BalloonText"/>
    <w:uiPriority w:val="99"/>
    <w:semiHidden/>
    <w:rsid w:val="00B205BD"/>
    <w:rPr>
      <w:rFonts w:ascii="Tahoma" w:eastAsia="Times New Roman" w:hAnsi="Tahoma" w:cs="Tahoma"/>
      <w:sz w:val="16"/>
      <w:szCs w:val="16"/>
    </w:rPr>
  </w:style>
  <w:style w:type="character" w:customStyle="1" w:styleId="BodyTextChar">
    <w:name w:val="Body Text Char"/>
    <w:basedOn w:val="DefaultParagraphFont"/>
    <w:link w:val="BodyText"/>
    <w:uiPriority w:val="1"/>
    <w:rsid w:val="005C15B1"/>
    <w:rPr>
      <w:rFonts w:ascii="Times New Roman" w:eastAsia="Times New Roman" w:hAnsi="Times New Roman" w:cs="Times New Roman"/>
      <w:sz w:val="24"/>
      <w:szCs w:val="24"/>
    </w:rPr>
  </w:style>
  <w:style w:type="character" w:styleId="Emphasis">
    <w:name w:val="Emphasis"/>
    <w:basedOn w:val="DefaultParagraphFont"/>
    <w:uiPriority w:val="20"/>
    <w:qFormat/>
    <w:rsid w:val="00375AE7"/>
    <w:rPr>
      <w:i/>
      <w:iCs/>
    </w:rPr>
  </w:style>
  <w:style w:type="paragraph" w:customStyle="1" w:styleId="Default">
    <w:name w:val="Default"/>
    <w:rsid w:val="009C5CD2"/>
    <w:pPr>
      <w:adjustRightInd w:val="0"/>
    </w:pPr>
    <w:rPr>
      <w:rFonts w:ascii="Times New Roman" w:hAnsi="Times New Roman" w:cs="Times New Roman"/>
      <w:color w:val="000000"/>
      <w:sz w:val="24"/>
      <w:szCs w:val="24"/>
      <w:lang w:val="pt-BR"/>
    </w:rPr>
  </w:style>
  <w:style w:type="paragraph" w:styleId="FootnoteText">
    <w:name w:val="footnote text"/>
    <w:basedOn w:val="Normal"/>
    <w:link w:val="FootnoteTextChar"/>
    <w:uiPriority w:val="99"/>
    <w:semiHidden/>
    <w:unhideWhenUsed/>
    <w:rsid w:val="00C70C2A"/>
    <w:rPr>
      <w:sz w:val="20"/>
      <w:szCs w:val="20"/>
    </w:rPr>
  </w:style>
  <w:style w:type="character" w:customStyle="1" w:styleId="FootnoteTextChar">
    <w:name w:val="Footnote Text Char"/>
    <w:basedOn w:val="DefaultParagraphFont"/>
    <w:link w:val="FootnoteText"/>
    <w:uiPriority w:val="99"/>
    <w:semiHidden/>
    <w:rsid w:val="00C70C2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70C2A"/>
    <w:rPr>
      <w:vertAlign w:val="superscript"/>
    </w:rPr>
  </w:style>
  <w:style w:type="character" w:styleId="CommentReference">
    <w:name w:val="annotation reference"/>
    <w:basedOn w:val="DefaultParagraphFont"/>
    <w:uiPriority w:val="99"/>
    <w:semiHidden/>
    <w:unhideWhenUsed/>
    <w:rsid w:val="0017043A"/>
    <w:rPr>
      <w:sz w:val="16"/>
      <w:szCs w:val="16"/>
    </w:rPr>
  </w:style>
  <w:style w:type="paragraph" w:styleId="CommentText">
    <w:name w:val="annotation text"/>
    <w:basedOn w:val="Normal"/>
    <w:link w:val="CommentTextChar"/>
    <w:uiPriority w:val="99"/>
    <w:semiHidden/>
    <w:unhideWhenUsed/>
    <w:rsid w:val="0017043A"/>
    <w:rPr>
      <w:sz w:val="20"/>
      <w:szCs w:val="20"/>
    </w:rPr>
  </w:style>
  <w:style w:type="character" w:customStyle="1" w:styleId="CommentTextChar">
    <w:name w:val="Comment Text Char"/>
    <w:basedOn w:val="DefaultParagraphFont"/>
    <w:link w:val="CommentText"/>
    <w:uiPriority w:val="99"/>
    <w:semiHidden/>
    <w:rsid w:val="001704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043A"/>
    <w:rPr>
      <w:b/>
      <w:bCs/>
    </w:rPr>
  </w:style>
  <w:style w:type="character" w:customStyle="1" w:styleId="CommentSubjectChar">
    <w:name w:val="Comment Subject Char"/>
    <w:basedOn w:val="CommentTextChar"/>
    <w:link w:val="CommentSubject"/>
    <w:uiPriority w:val="99"/>
    <w:semiHidden/>
    <w:rsid w:val="0017043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832C3"/>
    <w:rPr>
      <w:rFonts w:ascii="Times New Roman" w:eastAsiaTheme="majorEastAsia" w:hAnsi="Times New Roman" w:cstheme="majorBidi"/>
      <w:b/>
      <w:sz w:val="24"/>
      <w:szCs w:val="36"/>
    </w:rPr>
  </w:style>
  <w:style w:type="character" w:customStyle="1" w:styleId="Heading2Char">
    <w:name w:val="Heading 2 Char"/>
    <w:basedOn w:val="DefaultParagraphFont"/>
    <w:link w:val="Heading2"/>
    <w:uiPriority w:val="9"/>
    <w:rsid w:val="002B4E11"/>
    <w:rPr>
      <w:rFonts w:ascii="Times New Roman" w:eastAsiaTheme="majorEastAsia" w:hAnsi="Times New Roman" w:cstheme="majorBidi"/>
      <w:b/>
      <w:sz w:val="24"/>
      <w:szCs w:val="28"/>
    </w:rPr>
  </w:style>
  <w:style w:type="character" w:customStyle="1" w:styleId="Heading3Char">
    <w:name w:val="Heading 3 Char"/>
    <w:basedOn w:val="DefaultParagraphFont"/>
    <w:link w:val="Heading3"/>
    <w:uiPriority w:val="9"/>
    <w:semiHidden/>
    <w:rsid w:val="00375AE7"/>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375AE7"/>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375AE7"/>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375AE7"/>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75AE7"/>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75AE7"/>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75AE7"/>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375AE7"/>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75AE7"/>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375AE7"/>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375AE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75AE7"/>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75AE7"/>
    <w:rPr>
      <w:b/>
      <w:bCs/>
    </w:rPr>
  </w:style>
  <w:style w:type="paragraph" w:styleId="NoSpacing">
    <w:name w:val="No Spacing"/>
    <w:uiPriority w:val="1"/>
    <w:qFormat/>
    <w:rsid w:val="00375AE7"/>
    <w:pPr>
      <w:spacing w:after="0" w:line="240" w:lineRule="auto"/>
    </w:pPr>
  </w:style>
  <w:style w:type="paragraph" w:styleId="Quote">
    <w:name w:val="Quote"/>
    <w:basedOn w:val="Normal"/>
    <w:next w:val="Normal"/>
    <w:link w:val="QuoteChar"/>
    <w:uiPriority w:val="29"/>
    <w:qFormat/>
    <w:rsid w:val="00375AE7"/>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75AE7"/>
    <w:rPr>
      <w:i/>
      <w:iCs/>
    </w:rPr>
  </w:style>
  <w:style w:type="paragraph" w:styleId="IntenseQuote">
    <w:name w:val="Intense Quote"/>
    <w:basedOn w:val="Normal"/>
    <w:next w:val="Normal"/>
    <w:link w:val="IntenseQuoteChar"/>
    <w:uiPriority w:val="30"/>
    <w:qFormat/>
    <w:rsid w:val="00375AE7"/>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75AE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75AE7"/>
    <w:rPr>
      <w:i/>
      <w:iCs/>
      <w:color w:val="595959" w:themeColor="text1" w:themeTint="A6"/>
    </w:rPr>
  </w:style>
  <w:style w:type="character" w:styleId="IntenseEmphasis">
    <w:name w:val="Intense Emphasis"/>
    <w:basedOn w:val="DefaultParagraphFont"/>
    <w:uiPriority w:val="21"/>
    <w:qFormat/>
    <w:rsid w:val="00375AE7"/>
    <w:rPr>
      <w:b/>
      <w:bCs/>
      <w:i/>
      <w:iCs/>
    </w:rPr>
  </w:style>
  <w:style w:type="character" w:styleId="SubtleReference">
    <w:name w:val="Subtle Reference"/>
    <w:basedOn w:val="DefaultParagraphFont"/>
    <w:uiPriority w:val="31"/>
    <w:qFormat/>
    <w:rsid w:val="00375AE7"/>
    <w:rPr>
      <w:smallCaps/>
      <w:color w:val="404040" w:themeColor="text1" w:themeTint="BF"/>
    </w:rPr>
  </w:style>
  <w:style w:type="character" w:styleId="IntenseReference">
    <w:name w:val="Intense Reference"/>
    <w:basedOn w:val="DefaultParagraphFont"/>
    <w:uiPriority w:val="32"/>
    <w:qFormat/>
    <w:rsid w:val="00375AE7"/>
    <w:rPr>
      <w:b/>
      <w:bCs/>
      <w:smallCaps/>
      <w:u w:val="single"/>
    </w:rPr>
  </w:style>
  <w:style w:type="character" w:styleId="BookTitle">
    <w:name w:val="Book Title"/>
    <w:basedOn w:val="DefaultParagraphFont"/>
    <w:uiPriority w:val="33"/>
    <w:qFormat/>
    <w:rsid w:val="00375AE7"/>
    <w:rPr>
      <w:b/>
      <w:bCs/>
      <w:smallCaps/>
    </w:rPr>
  </w:style>
  <w:style w:type="paragraph" w:styleId="TOCHeading">
    <w:name w:val="TOC Heading"/>
    <w:basedOn w:val="Heading1"/>
    <w:next w:val="Normal"/>
    <w:uiPriority w:val="39"/>
    <w:semiHidden/>
    <w:unhideWhenUsed/>
    <w:qFormat/>
    <w:rsid w:val="00375AE7"/>
    <w:pPr>
      <w:outlineLvl w:val="9"/>
    </w:pPr>
  </w:style>
  <w:style w:type="character" w:styleId="Hyperlink">
    <w:name w:val="Hyperlink"/>
    <w:basedOn w:val="DefaultParagraphFont"/>
    <w:uiPriority w:val="99"/>
    <w:unhideWhenUsed/>
    <w:rsid w:val="007D12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217636">
      <w:bodyDiv w:val="1"/>
      <w:marLeft w:val="0"/>
      <w:marRight w:val="0"/>
      <w:marTop w:val="0"/>
      <w:marBottom w:val="0"/>
      <w:divBdr>
        <w:top w:val="none" w:sz="0" w:space="0" w:color="auto"/>
        <w:left w:val="none" w:sz="0" w:space="0" w:color="auto"/>
        <w:bottom w:val="none" w:sz="0" w:space="0" w:color="auto"/>
        <w:right w:val="none" w:sz="0" w:space="0" w:color="auto"/>
      </w:divBdr>
    </w:div>
    <w:div w:id="1224101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satti.je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BB7BD-21B0-4D2D-807A-D53F32E5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33323</Words>
  <Characters>189943</Characters>
  <DocSecurity>0</DocSecurity>
  <Lines>1582</Lines>
  <Paragraphs>445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2018-04-30T19:28:00Z</cp:lastPrinted>
  <dcterms:created xsi:type="dcterms:W3CDTF">2018-04-27T20:32:00Z</dcterms:created>
  <dcterms:modified xsi:type="dcterms:W3CDTF">2018-05-01T02:42:00Z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Microsoft® Word 2013</vt:lpwstr>
  </property>
  <property fmtid="{D5CDD505-2E9C-101B-9397-08002B2CF9AE}" pid="4" name="LastSaved">
    <vt:filetime>2018-03-26T00:00:00Z</vt:filetime>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http://www.zotero.org/styles/associacao-brasileira-de-normas-tecnicas-note</vt:lpwstr>
  </property>
  <property fmtid="{D5CDD505-2E9C-101B-9397-08002B2CF9AE}" pid="12" name="Mendeley Recent Style Name 3_1">
    <vt:lpwstr>Associação Brasileira de Normas Técnicas (note,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e260a817-de30-322e-938f-8932b11cd032</vt:lpwstr>
  </property>
  <property fmtid="{D5CDD505-2E9C-101B-9397-08002B2CF9AE}" pid="27" name="Mendeley Citation Style_1">
    <vt:lpwstr>http://www.zotero.org/styles/associacao-brasileira-de-normas-tecnicas</vt:lpwstr>
  </property>
</Properties>
</file>