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CE" w:rsidRDefault="005078CE" w:rsidP="005078CE">
      <w:pPr>
        <w:jc w:val="center"/>
        <w:rPr>
          <w:b/>
          <w:szCs w:val="24"/>
        </w:rPr>
      </w:pPr>
      <w:r>
        <w:rPr>
          <w:b/>
          <w:szCs w:val="24"/>
        </w:rPr>
        <w:t xml:space="preserve">Efeito </w:t>
      </w:r>
      <w:r w:rsidR="00626228">
        <w:rPr>
          <w:b/>
          <w:szCs w:val="24"/>
        </w:rPr>
        <w:t xml:space="preserve">da Idade, do Estado de Sobrevivência e da Proximidade à Morte nos Custos Assistenciais de </w:t>
      </w:r>
      <w:r w:rsidR="00060ED4">
        <w:rPr>
          <w:b/>
          <w:szCs w:val="24"/>
        </w:rPr>
        <w:t>u</w:t>
      </w:r>
      <w:r w:rsidR="00626228">
        <w:rPr>
          <w:b/>
          <w:szCs w:val="24"/>
        </w:rPr>
        <w:t>ma Operadora de Planos de Saúde</w:t>
      </w:r>
    </w:p>
    <w:p w:rsidR="00060ED4" w:rsidRDefault="00060ED4" w:rsidP="005078CE">
      <w:pPr>
        <w:jc w:val="center"/>
        <w:rPr>
          <w:b/>
          <w:szCs w:val="24"/>
        </w:rPr>
      </w:pPr>
    </w:p>
    <w:p w:rsidR="00060ED4" w:rsidRDefault="00060ED4" w:rsidP="005078CE">
      <w:pPr>
        <w:jc w:val="center"/>
        <w:rPr>
          <w:b/>
          <w:szCs w:val="24"/>
          <w:lang w:val="en-US"/>
        </w:rPr>
      </w:pPr>
      <w:r w:rsidRPr="0006252E">
        <w:rPr>
          <w:b/>
          <w:szCs w:val="24"/>
          <w:lang w:val="en-US"/>
        </w:rPr>
        <w:t xml:space="preserve">Effect of Age, Survival Status and Proximity to Death in the </w:t>
      </w:r>
      <w:r>
        <w:rPr>
          <w:b/>
          <w:szCs w:val="24"/>
          <w:lang w:val="en-US"/>
        </w:rPr>
        <w:t xml:space="preserve">Healthcare </w:t>
      </w:r>
      <w:r w:rsidRPr="0006252E">
        <w:rPr>
          <w:b/>
          <w:szCs w:val="24"/>
          <w:lang w:val="en-US"/>
        </w:rPr>
        <w:t>Expenditure of a H</w:t>
      </w:r>
      <w:r>
        <w:rPr>
          <w:b/>
          <w:szCs w:val="24"/>
          <w:lang w:val="en-US"/>
        </w:rPr>
        <w:t>ealth Maintenance Organization</w:t>
      </w:r>
    </w:p>
    <w:p w:rsidR="008C02F8" w:rsidRDefault="008C02F8" w:rsidP="005078CE">
      <w:pPr>
        <w:jc w:val="center"/>
        <w:rPr>
          <w:b/>
          <w:szCs w:val="24"/>
          <w:lang w:val="en-US"/>
        </w:rPr>
      </w:pPr>
    </w:p>
    <w:p w:rsidR="006B2E7D" w:rsidRDefault="006B2E7D" w:rsidP="005078CE">
      <w:pPr>
        <w:jc w:val="center"/>
        <w:rPr>
          <w:b/>
          <w:szCs w:val="24"/>
          <w:lang w:val="en-US"/>
        </w:rPr>
      </w:pPr>
    </w:p>
    <w:p w:rsidR="006B2E7D" w:rsidRDefault="006B2E7D" w:rsidP="005078CE">
      <w:pPr>
        <w:jc w:val="center"/>
        <w:rPr>
          <w:b/>
          <w:szCs w:val="24"/>
          <w:lang w:val="en-US"/>
        </w:rPr>
      </w:pPr>
    </w:p>
    <w:p w:rsidR="006B2E7D" w:rsidRDefault="006B2E7D" w:rsidP="005078CE">
      <w:pPr>
        <w:jc w:val="center"/>
        <w:rPr>
          <w:b/>
          <w:szCs w:val="24"/>
          <w:lang w:val="en-US"/>
        </w:rPr>
      </w:pPr>
    </w:p>
    <w:p w:rsidR="006B2E7D" w:rsidRDefault="006B2E7D" w:rsidP="005078CE">
      <w:pPr>
        <w:jc w:val="center"/>
        <w:rPr>
          <w:b/>
          <w:szCs w:val="24"/>
          <w:lang w:val="en-US"/>
        </w:rPr>
      </w:pPr>
    </w:p>
    <w:p w:rsidR="006B2E7D" w:rsidRDefault="006B2E7D" w:rsidP="005078CE">
      <w:pPr>
        <w:jc w:val="center"/>
        <w:rPr>
          <w:b/>
          <w:szCs w:val="24"/>
          <w:lang w:val="en-US"/>
        </w:rPr>
      </w:pPr>
    </w:p>
    <w:p w:rsidR="008C02F8" w:rsidRDefault="008C02F8" w:rsidP="006B2E7D">
      <w:pPr>
        <w:ind w:firstLine="0"/>
        <w:jc w:val="center"/>
        <w:rPr>
          <w:b/>
          <w:szCs w:val="24"/>
        </w:rPr>
      </w:pPr>
      <w:r w:rsidRPr="006B2E7D">
        <w:rPr>
          <w:b/>
          <w:szCs w:val="24"/>
        </w:rPr>
        <w:t>Rômulo Alves Soares</w:t>
      </w:r>
    </w:p>
    <w:p w:rsidR="006B2E7D" w:rsidRDefault="006B2E7D" w:rsidP="006B2E7D">
      <w:pPr>
        <w:ind w:firstLine="0"/>
        <w:jc w:val="center"/>
        <w:rPr>
          <w:szCs w:val="24"/>
        </w:rPr>
      </w:pPr>
      <w:r>
        <w:rPr>
          <w:szCs w:val="24"/>
        </w:rPr>
        <w:t>Mestre em Administração e Controladoria pela Universidade Federal do Ceará – UFC</w:t>
      </w:r>
    </w:p>
    <w:p w:rsidR="006B2E7D" w:rsidRDefault="006B2E7D" w:rsidP="006B2E7D">
      <w:pPr>
        <w:ind w:firstLine="0"/>
        <w:jc w:val="center"/>
        <w:rPr>
          <w:szCs w:val="24"/>
        </w:rPr>
      </w:pPr>
      <w:r>
        <w:rPr>
          <w:szCs w:val="24"/>
        </w:rPr>
        <w:t>Graduado em Ciências Atuariais pela Universidade Federal do Ceará – UFC</w:t>
      </w:r>
    </w:p>
    <w:p w:rsidR="006B2E7D" w:rsidRDefault="006B2E7D" w:rsidP="006B2E7D">
      <w:pPr>
        <w:ind w:firstLine="0"/>
        <w:jc w:val="center"/>
        <w:rPr>
          <w:szCs w:val="24"/>
        </w:rPr>
      </w:pPr>
      <w:r>
        <w:rPr>
          <w:szCs w:val="24"/>
        </w:rPr>
        <w:t xml:space="preserve">Professor </w:t>
      </w:r>
      <w:r w:rsidR="00A662F7">
        <w:rPr>
          <w:szCs w:val="24"/>
        </w:rPr>
        <w:t>substituto do Departamento de Administração da UFC</w:t>
      </w:r>
    </w:p>
    <w:p w:rsidR="009A38D1" w:rsidRDefault="009A38D1" w:rsidP="009A38D1">
      <w:pPr>
        <w:ind w:firstLine="0"/>
        <w:jc w:val="center"/>
        <w:rPr>
          <w:szCs w:val="24"/>
        </w:rPr>
      </w:pPr>
      <w:r>
        <w:rPr>
          <w:szCs w:val="24"/>
        </w:rPr>
        <w:t>Avenida da Universidade, 2486 – Benfica, Fortaleza – CE</w:t>
      </w:r>
    </w:p>
    <w:p w:rsidR="009A38D1" w:rsidRDefault="009A38D1" w:rsidP="009A38D1">
      <w:pPr>
        <w:ind w:firstLine="0"/>
        <w:jc w:val="center"/>
        <w:rPr>
          <w:szCs w:val="24"/>
        </w:rPr>
      </w:pPr>
      <w:r>
        <w:rPr>
          <w:szCs w:val="24"/>
        </w:rPr>
        <w:t>CEP: 60020-180</w:t>
      </w:r>
    </w:p>
    <w:p w:rsidR="006B2E7D" w:rsidRDefault="006B2E7D" w:rsidP="006B2E7D">
      <w:pPr>
        <w:ind w:firstLine="0"/>
        <w:jc w:val="center"/>
        <w:rPr>
          <w:szCs w:val="24"/>
        </w:rPr>
      </w:pPr>
      <w:bookmarkStart w:id="0" w:name="_GoBack"/>
      <w:bookmarkEnd w:id="0"/>
      <w:r>
        <w:rPr>
          <w:b/>
          <w:szCs w:val="24"/>
        </w:rPr>
        <w:t>E-mail:</w:t>
      </w:r>
      <w:r>
        <w:rPr>
          <w:szCs w:val="24"/>
        </w:rPr>
        <w:t xml:space="preserve"> romuloalves61@gmail.com</w:t>
      </w:r>
    </w:p>
    <w:p w:rsidR="006B2E7D" w:rsidRPr="006B2E7D" w:rsidRDefault="006B2E7D" w:rsidP="006B2E7D">
      <w:pPr>
        <w:ind w:firstLine="0"/>
        <w:jc w:val="center"/>
        <w:rPr>
          <w:szCs w:val="24"/>
        </w:rPr>
      </w:pPr>
    </w:p>
    <w:p w:rsidR="00B97605" w:rsidRDefault="008C02F8" w:rsidP="006B2E7D">
      <w:pPr>
        <w:ind w:firstLine="0"/>
        <w:jc w:val="center"/>
        <w:rPr>
          <w:b/>
          <w:szCs w:val="24"/>
        </w:rPr>
      </w:pPr>
      <w:r w:rsidRPr="006B2E7D">
        <w:rPr>
          <w:b/>
          <w:szCs w:val="24"/>
        </w:rPr>
        <w:t>Clever de Souza Gondim</w:t>
      </w:r>
    </w:p>
    <w:p w:rsidR="006B2E7D" w:rsidRDefault="006B2E7D" w:rsidP="006B2E7D">
      <w:pPr>
        <w:ind w:firstLine="0"/>
        <w:jc w:val="center"/>
        <w:rPr>
          <w:szCs w:val="24"/>
        </w:rPr>
      </w:pPr>
      <w:r>
        <w:rPr>
          <w:szCs w:val="24"/>
        </w:rPr>
        <w:t>Graduado em Ciências Atuariais pela Universidade Federal do Ceará – UFC</w:t>
      </w:r>
    </w:p>
    <w:p w:rsidR="006B2E7D" w:rsidRDefault="006B2E7D" w:rsidP="006B2E7D">
      <w:pPr>
        <w:ind w:firstLine="0"/>
        <w:jc w:val="center"/>
        <w:rPr>
          <w:szCs w:val="24"/>
        </w:rPr>
      </w:pPr>
      <w:r>
        <w:rPr>
          <w:szCs w:val="24"/>
        </w:rPr>
        <w:t>Avenida da Universidade, 2486 – Benfica, Fortaleza – CE</w:t>
      </w:r>
    </w:p>
    <w:p w:rsidR="006B2E7D" w:rsidRDefault="006B2E7D" w:rsidP="006B2E7D">
      <w:pPr>
        <w:ind w:firstLine="0"/>
        <w:jc w:val="center"/>
        <w:rPr>
          <w:szCs w:val="24"/>
        </w:rPr>
      </w:pPr>
      <w:r>
        <w:rPr>
          <w:szCs w:val="24"/>
        </w:rPr>
        <w:t>CEP: 60020-180</w:t>
      </w:r>
    </w:p>
    <w:p w:rsidR="006B2E7D" w:rsidRDefault="006B2E7D" w:rsidP="006B2E7D">
      <w:pPr>
        <w:ind w:firstLine="0"/>
        <w:jc w:val="center"/>
        <w:rPr>
          <w:szCs w:val="24"/>
        </w:rPr>
      </w:pPr>
      <w:r>
        <w:rPr>
          <w:b/>
          <w:szCs w:val="24"/>
        </w:rPr>
        <w:t xml:space="preserve">E-mail: </w:t>
      </w:r>
      <w:r>
        <w:rPr>
          <w:szCs w:val="24"/>
        </w:rPr>
        <w:t>cleversg@gmail.com</w:t>
      </w:r>
    </w:p>
    <w:p w:rsidR="006B2E7D" w:rsidRDefault="006B2E7D" w:rsidP="006B2E7D">
      <w:pPr>
        <w:ind w:firstLine="0"/>
        <w:jc w:val="center"/>
        <w:rPr>
          <w:color w:val="808080"/>
          <w:szCs w:val="24"/>
        </w:rPr>
      </w:pPr>
    </w:p>
    <w:p w:rsidR="006B2E7D" w:rsidRDefault="006B2E7D" w:rsidP="006B2E7D">
      <w:pPr>
        <w:ind w:firstLine="0"/>
        <w:jc w:val="center"/>
        <w:rPr>
          <w:color w:val="808080"/>
          <w:szCs w:val="24"/>
        </w:rPr>
      </w:pPr>
    </w:p>
    <w:p w:rsidR="006B2E7D" w:rsidRDefault="006B2E7D" w:rsidP="006B2E7D">
      <w:pPr>
        <w:ind w:firstLine="0"/>
        <w:jc w:val="center"/>
        <w:rPr>
          <w:color w:val="808080"/>
          <w:szCs w:val="24"/>
        </w:rPr>
      </w:pPr>
    </w:p>
    <w:p w:rsidR="006B2E7D" w:rsidRPr="006B2E7D" w:rsidRDefault="006B2E7D" w:rsidP="006B2E7D">
      <w:pPr>
        <w:ind w:firstLine="0"/>
        <w:jc w:val="center"/>
        <w:rPr>
          <w:color w:val="808080"/>
          <w:szCs w:val="24"/>
        </w:rPr>
      </w:pPr>
    </w:p>
    <w:p w:rsidR="005078CE" w:rsidRPr="0006252E" w:rsidRDefault="005078CE" w:rsidP="005078CE">
      <w:pPr>
        <w:jc w:val="right"/>
        <w:rPr>
          <w:b/>
          <w:i/>
          <w:color w:val="808080"/>
          <w:szCs w:val="24"/>
        </w:rPr>
      </w:pPr>
    </w:p>
    <w:p w:rsidR="005078CE" w:rsidRDefault="005078CE" w:rsidP="005078CE">
      <w:pPr>
        <w:spacing w:line="360" w:lineRule="auto"/>
        <w:ind w:firstLine="0"/>
        <w:rPr>
          <w:b/>
          <w:szCs w:val="24"/>
        </w:rPr>
      </w:pPr>
      <w:r>
        <w:rPr>
          <w:b/>
          <w:szCs w:val="24"/>
        </w:rPr>
        <w:t>Resumo</w:t>
      </w:r>
    </w:p>
    <w:p w:rsidR="005078CE" w:rsidRDefault="004226E3" w:rsidP="00E739DE">
      <w:pPr>
        <w:ind w:firstLine="0"/>
        <w:rPr>
          <w:szCs w:val="24"/>
        </w:rPr>
      </w:pPr>
      <w:r>
        <w:rPr>
          <w:szCs w:val="24"/>
        </w:rPr>
        <w:t>A pesquisa</w:t>
      </w:r>
      <w:r w:rsidR="00E739DE">
        <w:rPr>
          <w:szCs w:val="24"/>
        </w:rPr>
        <w:t xml:space="preserve"> te</w:t>
      </w:r>
      <w:r>
        <w:rPr>
          <w:szCs w:val="24"/>
        </w:rPr>
        <w:t>ve</w:t>
      </w:r>
      <w:r w:rsidR="00E739DE">
        <w:rPr>
          <w:szCs w:val="24"/>
        </w:rPr>
        <w:t xml:space="preserve"> como objetivo avaliar o efeito da idade, do estado de sobrevivência e da proximidade à morte sobre os custos assistenciais em uma operadora de planos de saúde (OPS). Para isso, foram utilizadas informações </w:t>
      </w:r>
      <w:r>
        <w:rPr>
          <w:szCs w:val="24"/>
        </w:rPr>
        <w:t>de 326.094</w:t>
      </w:r>
      <w:r w:rsidR="00E739DE">
        <w:rPr>
          <w:szCs w:val="24"/>
        </w:rPr>
        <w:t xml:space="preserve"> beneficiários de uma OPS do estado do Ceará, entre os anos de 2014 e 2015. As informações levantadas diziam respeito aos custos mensais desses usuários no período analisado, sua idade, </w:t>
      </w:r>
      <w:r>
        <w:rPr>
          <w:szCs w:val="24"/>
        </w:rPr>
        <w:t>estado de sobrevivência</w:t>
      </w:r>
      <w:r w:rsidR="00E739DE">
        <w:rPr>
          <w:szCs w:val="24"/>
        </w:rPr>
        <w:t xml:space="preserve">, sexo e quantidade de meses até o falecimento </w:t>
      </w:r>
      <w:r>
        <w:rPr>
          <w:szCs w:val="24"/>
        </w:rPr>
        <w:t>daqueles que</w:t>
      </w:r>
      <w:r w:rsidR="00E739DE">
        <w:rPr>
          <w:szCs w:val="24"/>
        </w:rPr>
        <w:t xml:space="preserve"> vieram a óbito. </w:t>
      </w:r>
      <w:r w:rsidR="007F25A1">
        <w:rPr>
          <w:szCs w:val="24"/>
        </w:rPr>
        <w:t>Foram</w:t>
      </w:r>
      <w:r>
        <w:rPr>
          <w:szCs w:val="24"/>
        </w:rPr>
        <w:t xml:space="preserve"> utilizados</w:t>
      </w:r>
      <w:r w:rsidR="00E739DE">
        <w:rPr>
          <w:szCs w:val="24"/>
        </w:rPr>
        <w:t xml:space="preserve"> </w:t>
      </w:r>
      <w:r w:rsidR="007F25A1">
        <w:rPr>
          <w:szCs w:val="24"/>
        </w:rPr>
        <w:t xml:space="preserve">os </w:t>
      </w:r>
      <w:r w:rsidR="00E739DE">
        <w:rPr>
          <w:szCs w:val="24"/>
        </w:rPr>
        <w:t>teste</w:t>
      </w:r>
      <w:r w:rsidR="007F25A1">
        <w:rPr>
          <w:szCs w:val="24"/>
        </w:rPr>
        <w:t>s</w:t>
      </w:r>
      <w:r w:rsidR="00E739DE">
        <w:rPr>
          <w:szCs w:val="24"/>
        </w:rPr>
        <w:t xml:space="preserve"> T e de Wilcoxon para a comparação dos custos anuais de beneficiários sobreviventes e não sobreviventes e regressão quantílica</w:t>
      </w:r>
      <w:r w:rsidR="007F25A1">
        <w:rPr>
          <w:szCs w:val="24"/>
        </w:rPr>
        <w:t>, para</w:t>
      </w:r>
      <w:r w:rsidR="00E739DE">
        <w:rPr>
          <w:szCs w:val="24"/>
        </w:rPr>
        <w:t xml:space="preserve"> verificar a influência das variáveis independentes sobre o custo assistencial. </w:t>
      </w:r>
      <w:r>
        <w:rPr>
          <w:szCs w:val="24"/>
        </w:rPr>
        <w:t>E</w:t>
      </w:r>
      <w:r w:rsidR="00E739DE">
        <w:rPr>
          <w:szCs w:val="24"/>
        </w:rPr>
        <w:t xml:space="preserve">mpregou-se </w:t>
      </w:r>
      <w:r>
        <w:rPr>
          <w:szCs w:val="24"/>
        </w:rPr>
        <w:t>ainda a</w:t>
      </w:r>
      <w:r w:rsidR="00E739DE">
        <w:rPr>
          <w:szCs w:val="24"/>
        </w:rPr>
        <w:t xml:space="preserve"> árvore de classificação e regressão e </w:t>
      </w:r>
      <w:r>
        <w:rPr>
          <w:szCs w:val="24"/>
        </w:rPr>
        <w:t>o</w:t>
      </w:r>
      <w:r w:rsidR="00E739DE">
        <w:rPr>
          <w:szCs w:val="24"/>
        </w:rPr>
        <w:t xml:space="preserve"> </w:t>
      </w:r>
      <w:r w:rsidR="00E739DE">
        <w:rPr>
          <w:i/>
          <w:szCs w:val="24"/>
        </w:rPr>
        <w:t>random forest</w:t>
      </w:r>
      <w:r w:rsidR="00E739DE">
        <w:rPr>
          <w:szCs w:val="24"/>
        </w:rPr>
        <w:t>, para verificar o grau de importância das variáveis na determinação do custo.</w:t>
      </w:r>
      <w:r w:rsidR="007F25A1">
        <w:rPr>
          <w:szCs w:val="24"/>
        </w:rPr>
        <w:t xml:space="preserve"> Os resultados mostram que, apesar de significante, a idade tem uma importância reduzida na determinação dos custos da OPS quando considerada em conjunto com o estado de sobrevivência e a proximidade à morte</w:t>
      </w:r>
      <w:r w:rsidR="00626228">
        <w:rPr>
          <w:szCs w:val="24"/>
        </w:rPr>
        <w:t xml:space="preserve">. </w:t>
      </w:r>
      <w:r w:rsidR="007F25A1">
        <w:rPr>
          <w:szCs w:val="24"/>
        </w:rPr>
        <w:t xml:space="preserve">Face aos </w:t>
      </w:r>
      <w:r w:rsidR="00626228">
        <w:rPr>
          <w:szCs w:val="24"/>
        </w:rPr>
        <w:t>resultados obtidos</w:t>
      </w:r>
      <w:r w:rsidR="007F25A1">
        <w:rPr>
          <w:szCs w:val="24"/>
        </w:rPr>
        <w:t xml:space="preserve">, defende-se </w:t>
      </w:r>
      <w:r w:rsidR="00626228">
        <w:rPr>
          <w:szCs w:val="24"/>
        </w:rPr>
        <w:t>que o estado de sobrevivência e a proximidade à morte sejam levadas em consideração par</w:t>
      </w:r>
      <w:r w:rsidR="007F25A1">
        <w:rPr>
          <w:szCs w:val="24"/>
        </w:rPr>
        <w:t xml:space="preserve">a que as projeções de custos das OPS sejam mais acuradas, permitindo um </w:t>
      </w:r>
      <w:r w:rsidR="00E86748">
        <w:rPr>
          <w:szCs w:val="24"/>
        </w:rPr>
        <w:t>melhor gerenciamento</w:t>
      </w:r>
      <w:r>
        <w:rPr>
          <w:szCs w:val="24"/>
        </w:rPr>
        <w:t>.</w:t>
      </w:r>
    </w:p>
    <w:p w:rsidR="005078CE" w:rsidRDefault="005078CE" w:rsidP="005078CE">
      <w:pPr>
        <w:rPr>
          <w:szCs w:val="24"/>
        </w:rPr>
      </w:pPr>
    </w:p>
    <w:p w:rsidR="00902767" w:rsidRDefault="005078CE" w:rsidP="005078CE">
      <w:pPr>
        <w:spacing w:after="160" w:line="259" w:lineRule="auto"/>
        <w:ind w:firstLine="0"/>
        <w:jc w:val="left"/>
        <w:rPr>
          <w:szCs w:val="24"/>
        </w:rPr>
      </w:pPr>
      <w:r>
        <w:rPr>
          <w:b/>
          <w:szCs w:val="24"/>
        </w:rPr>
        <w:t xml:space="preserve">Palavras chave: </w:t>
      </w:r>
      <w:r w:rsidR="004124CA">
        <w:rPr>
          <w:szCs w:val="24"/>
        </w:rPr>
        <w:t>Custos assistenciais</w:t>
      </w:r>
      <w:r w:rsidR="007F25A1">
        <w:rPr>
          <w:szCs w:val="24"/>
        </w:rPr>
        <w:t>, Idade</w:t>
      </w:r>
      <w:r w:rsidR="004124CA">
        <w:rPr>
          <w:szCs w:val="24"/>
        </w:rPr>
        <w:t>, Estado de sobrevivência</w:t>
      </w:r>
      <w:r w:rsidR="007F25A1">
        <w:rPr>
          <w:szCs w:val="24"/>
        </w:rPr>
        <w:t>, Proximidade à morte.</w:t>
      </w:r>
    </w:p>
    <w:p w:rsidR="000E5D4A" w:rsidRDefault="000E5D4A" w:rsidP="005078CE">
      <w:pPr>
        <w:spacing w:after="160" w:line="259" w:lineRule="auto"/>
        <w:ind w:firstLine="0"/>
        <w:jc w:val="left"/>
        <w:rPr>
          <w:szCs w:val="24"/>
        </w:rPr>
      </w:pPr>
    </w:p>
    <w:p w:rsidR="000E5D4A" w:rsidRPr="0006252E" w:rsidRDefault="000E5D4A" w:rsidP="005078CE">
      <w:pPr>
        <w:spacing w:after="160" w:line="259" w:lineRule="auto"/>
        <w:ind w:firstLine="0"/>
        <w:jc w:val="left"/>
        <w:rPr>
          <w:b/>
          <w:szCs w:val="24"/>
          <w:lang w:val="en-US"/>
        </w:rPr>
      </w:pPr>
      <w:r w:rsidRPr="0006252E">
        <w:rPr>
          <w:b/>
          <w:szCs w:val="24"/>
          <w:lang w:val="en-US"/>
        </w:rPr>
        <w:lastRenderedPageBreak/>
        <w:t>Abstract</w:t>
      </w:r>
    </w:p>
    <w:p w:rsidR="000E5D4A" w:rsidRDefault="000E5D4A" w:rsidP="0006252E">
      <w:pPr>
        <w:ind w:firstLine="0"/>
        <w:rPr>
          <w:szCs w:val="24"/>
          <w:lang w:val="en-US"/>
        </w:rPr>
      </w:pPr>
      <w:r w:rsidRPr="0006252E">
        <w:rPr>
          <w:szCs w:val="24"/>
          <w:lang w:val="en-US"/>
        </w:rPr>
        <w:t>This res</w:t>
      </w:r>
      <w:r w:rsidR="00E86748">
        <w:rPr>
          <w:szCs w:val="24"/>
          <w:lang w:val="en-US"/>
        </w:rPr>
        <w:t>e</w:t>
      </w:r>
      <w:r w:rsidRPr="0006252E">
        <w:rPr>
          <w:szCs w:val="24"/>
          <w:lang w:val="en-US"/>
        </w:rPr>
        <w:t>arch aimed to evaluate the effect of age, survival status and proximity to death over the</w:t>
      </w:r>
      <w:r>
        <w:rPr>
          <w:szCs w:val="24"/>
          <w:lang w:val="en-US"/>
        </w:rPr>
        <w:t xml:space="preserve"> healthcare</w:t>
      </w:r>
      <w:r w:rsidRPr="0006252E">
        <w:rPr>
          <w:szCs w:val="24"/>
          <w:lang w:val="en-US"/>
        </w:rPr>
        <w:t xml:space="preserve"> </w:t>
      </w:r>
      <w:r>
        <w:rPr>
          <w:szCs w:val="24"/>
          <w:lang w:val="en-US"/>
        </w:rPr>
        <w:t>expenditure of Health Maintenance Organizations (HMO</w:t>
      </w:r>
      <w:r w:rsidR="00C312B1">
        <w:rPr>
          <w:szCs w:val="24"/>
          <w:lang w:val="en-US"/>
        </w:rPr>
        <w:t>s</w:t>
      </w:r>
      <w:r>
        <w:rPr>
          <w:szCs w:val="24"/>
          <w:lang w:val="en-US"/>
        </w:rPr>
        <w:t>).</w:t>
      </w:r>
      <w:r w:rsidR="00C312B1">
        <w:rPr>
          <w:szCs w:val="24"/>
          <w:lang w:val="en-US"/>
        </w:rPr>
        <w:t xml:space="preserve"> In order to achieve this goal, information about 326.094 beneficiaries of a HMO in Ceara state, between 2014 and 2015, were used. The information used covered their monthly expenditure, age, survival status, gender and months left to death. </w:t>
      </w:r>
      <w:r w:rsidR="00E86748">
        <w:rPr>
          <w:szCs w:val="24"/>
          <w:lang w:val="en-US"/>
        </w:rPr>
        <w:t>For the analysis, it was used T and Wilcoxon tests, in order to compare the annual expenditure of survival and non-survival beneficiaries, and quantile regression, in order to verify the influence of the independent variables over the health expenditure. Classification and regression tree and random forest were used to access the level of importance of each variable to determine the health expenditure. Results showed that, even though age was significant, it has a minor importance to determine health expenditure when analyzed together with survival status and proximity to death. These results point to the need of including those variables, survival status and proximity to death, in health expenditure projections of HMOs, allowing them to be more accurate and ensuring a better management.</w:t>
      </w:r>
    </w:p>
    <w:p w:rsidR="00060ED4" w:rsidRDefault="00060ED4" w:rsidP="0006252E">
      <w:pPr>
        <w:ind w:firstLine="0"/>
        <w:rPr>
          <w:szCs w:val="24"/>
          <w:lang w:val="en-US"/>
        </w:rPr>
      </w:pPr>
    </w:p>
    <w:p w:rsidR="006B2E7D" w:rsidRDefault="00060ED4" w:rsidP="006B2E7D">
      <w:pPr>
        <w:spacing w:after="160" w:line="259" w:lineRule="auto"/>
        <w:ind w:firstLine="0"/>
        <w:rPr>
          <w:szCs w:val="24"/>
          <w:lang w:val="en-US"/>
        </w:rPr>
      </w:pPr>
      <w:r w:rsidRPr="0006252E">
        <w:rPr>
          <w:b/>
          <w:szCs w:val="24"/>
          <w:lang w:val="en-US"/>
        </w:rPr>
        <w:t>Keywords:</w:t>
      </w:r>
      <w:r>
        <w:rPr>
          <w:szCs w:val="24"/>
          <w:lang w:val="en-US"/>
        </w:rPr>
        <w:t xml:space="preserve"> Health expenditure, Age, Survival status, Proximity to death.</w:t>
      </w:r>
    </w:p>
    <w:p w:rsidR="006B2E7D" w:rsidRDefault="006B2E7D" w:rsidP="006B2E7D">
      <w:pPr>
        <w:spacing w:after="160" w:line="259" w:lineRule="auto"/>
        <w:ind w:firstLine="0"/>
        <w:rPr>
          <w:szCs w:val="24"/>
          <w:lang w:val="en-US"/>
        </w:rPr>
      </w:pPr>
    </w:p>
    <w:p w:rsidR="00DE39D6" w:rsidRDefault="00AC3DFD" w:rsidP="006B2E7D">
      <w:pPr>
        <w:pStyle w:val="Ttulo1"/>
      </w:pPr>
      <w:r>
        <w:t>Introdução</w:t>
      </w:r>
    </w:p>
    <w:p w:rsidR="00060ED4" w:rsidRPr="0006252E" w:rsidRDefault="00060ED4" w:rsidP="0006252E"/>
    <w:p w:rsidR="001157DE" w:rsidRDefault="00A113B4" w:rsidP="0006252E">
      <w:pPr>
        <w:ind w:firstLine="709"/>
      </w:pPr>
      <w:r w:rsidRPr="00A113B4">
        <w:t xml:space="preserve">Ao longo das últimas décadas o sistema brasileiro de saúde </w:t>
      </w:r>
      <w:r w:rsidR="00D60F8D">
        <w:t>pública e privada passou por</w:t>
      </w:r>
      <w:r w:rsidRPr="00A113B4">
        <w:t xml:space="preserve"> transformações, seja no que tange o seu ordenamento </w:t>
      </w:r>
      <w:r w:rsidR="00F840B6">
        <w:t>para o provimento de</w:t>
      </w:r>
      <w:r w:rsidRPr="00A113B4">
        <w:t xml:space="preserve"> saúde, como </w:t>
      </w:r>
      <w:r w:rsidR="00E52941">
        <w:t xml:space="preserve">também na </w:t>
      </w:r>
      <w:r w:rsidRPr="00A113B4">
        <w:t>sua inserção em um contexto de transição demográfica e epidemioló</w:t>
      </w:r>
      <w:r w:rsidR="00F840B6">
        <w:t xml:space="preserve">gica </w:t>
      </w:r>
      <w:r w:rsidR="00F840B6" w:rsidRPr="00DC0E6C">
        <w:t>(</w:t>
      </w:r>
      <w:r w:rsidR="007345EE" w:rsidRPr="0006252E">
        <w:t xml:space="preserve">MENDES </w:t>
      </w:r>
      <w:r w:rsidR="007345EE" w:rsidRPr="0006252E">
        <w:rPr>
          <w:i/>
        </w:rPr>
        <w:t>et al</w:t>
      </w:r>
      <w:r w:rsidR="007345EE" w:rsidRPr="0006252E">
        <w:t>., 2012</w:t>
      </w:r>
      <w:r w:rsidRPr="00DC0E6C">
        <w:t>).</w:t>
      </w:r>
      <w:r w:rsidRPr="00A113B4">
        <w:t xml:space="preserve"> No Sistema Único de Saúde (SUS), aquele público, tem-se, sobretudo, maior ênfase ao cuidado primário e à preocupação na universalização do seu acesso. Já no suplementar, os últimos tempos tro</w:t>
      </w:r>
      <w:r>
        <w:t>uxeram o aparato regulatório – L</w:t>
      </w:r>
      <w:r w:rsidRPr="00A113B4">
        <w:t>ei 9.656/98, com a criação da Agência Nacional de Saúde Su</w:t>
      </w:r>
      <w:r w:rsidR="00F840B6">
        <w:t>plementar (ANS), o que permitiu</w:t>
      </w:r>
      <w:r w:rsidRPr="00A113B4">
        <w:t xml:space="preserve"> uma maior organização e s</w:t>
      </w:r>
      <w:r w:rsidR="00F840B6">
        <w:t>ustentabilidade ao setor (</w:t>
      </w:r>
      <w:r w:rsidR="007345EE" w:rsidRPr="0006252E">
        <w:rPr>
          <w:shd w:val="clear" w:color="auto" w:fill="FFFFFF" w:themeFill="background1"/>
        </w:rPr>
        <w:t>ANDRADE; MAIA; RODRIGUES</w:t>
      </w:r>
      <w:r w:rsidRPr="0006252E">
        <w:rPr>
          <w:shd w:val="clear" w:color="auto" w:fill="FFFFFF" w:themeFill="background1"/>
        </w:rPr>
        <w:t>, 2013).</w:t>
      </w:r>
    </w:p>
    <w:p w:rsidR="00A113B4" w:rsidRDefault="00A113B4" w:rsidP="0006252E">
      <w:pPr>
        <w:ind w:firstLine="709"/>
      </w:pPr>
      <w:r>
        <w:t>Para a saúde suplementar, essa transição demográfica, configurada em grande parte por um envelhecimento populacional, associ</w:t>
      </w:r>
      <w:r w:rsidR="00F840B6">
        <w:t>ada a outros fatores como novas tecnologias e novos medicamentos, judicialização do setor, intervencionismo estatal,</w:t>
      </w:r>
      <w:r>
        <w:t xml:space="preserve"> dentre outros, faz com que o sistema busque compreender cada vez mais as estruturas de causas de seus c</w:t>
      </w:r>
      <w:r w:rsidR="00F840B6">
        <w:t>ustos, para que se tenha melhores processos gerenciais e de tomada de decis</w:t>
      </w:r>
      <w:r w:rsidR="00036A06">
        <w:t>ão</w:t>
      </w:r>
    </w:p>
    <w:p w:rsidR="00A113B4" w:rsidRDefault="00036A06" w:rsidP="0006252E">
      <w:pPr>
        <w:ind w:firstLine="709"/>
      </w:pPr>
      <w:r>
        <w:t>A</w:t>
      </w:r>
      <w:r w:rsidR="00A113B4">
        <w:t xml:space="preserve"> tr</w:t>
      </w:r>
      <w:r>
        <w:t xml:space="preserve">ansição demográfica brasileira </w:t>
      </w:r>
      <w:r w:rsidR="00A113B4">
        <w:t>em curso, exerce pressões sobre</w:t>
      </w:r>
      <w:r>
        <w:t xml:space="preserve"> previsões de demanda</w:t>
      </w:r>
      <w:r w:rsidR="00E52941">
        <w:t>,</w:t>
      </w:r>
      <w:r>
        <w:t xml:space="preserve"> cujo objetivo é</w:t>
      </w:r>
      <w:r w:rsidR="00A113B4">
        <w:t xml:space="preserve"> responder aos gestores do sistema de saúde como </w:t>
      </w:r>
      <w:r>
        <w:t>o envelhecimento pode afetar os gastos com</w:t>
      </w:r>
      <w:r w:rsidR="00A113B4">
        <w:t xml:space="preserve"> saúd</w:t>
      </w:r>
      <w:r>
        <w:t>e</w:t>
      </w:r>
      <w:r w:rsidRPr="00036A06">
        <w:t xml:space="preserve"> </w:t>
      </w:r>
      <w:r>
        <w:t>(</w:t>
      </w:r>
      <w:r w:rsidR="007345EE" w:rsidRPr="0006252E">
        <w:t>MAIA</w:t>
      </w:r>
      <w:r w:rsidR="00896273">
        <w:t>;</w:t>
      </w:r>
      <w:r w:rsidR="007345EE" w:rsidRPr="0006252E">
        <w:t xml:space="preserve"> ANDRADE</w:t>
      </w:r>
      <w:r w:rsidR="00896273">
        <w:t>;</w:t>
      </w:r>
      <w:r w:rsidR="007345EE" w:rsidRPr="0006252E">
        <w:t xml:space="preserve"> FERES</w:t>
      </w:r>
      <w:r w:rsidRPr="00DC0E6C">
        <w:t>, 2012)</w:t>
      </w:r>
      <w:r w:rsidR="00E1349F" w:rsidRPr="00DC0E6C">
        <w:t>.</w:t>
      </w:r>
      <w:r w:rsidR="00E1349F">
        <w:t xml:space="preserve"> </w:t>
      </w:r>
      <w:r w:rsidR="00E1349F" w:rsidRPr="00DC0E6C">
        <w:t>Rodrigues e Afonso (2012)</w:t>
      </w:r>
      <w:r w:rsidR="00E1349F">
        <w:t xml:space="preserve"> apontam que o envelhecimento populacional é um dos fatores mais discutidos quando se trata do aumento da demanda por serviços de saúde, e isso ocorre porque, segundo os autores, a relação entre idade e gastos com saúde </w:t>
      </w:r>
      <w:r w:rsidR="00E52941">
        <w:t xml:space="preserve">é </w:t>
      </w:r>
      <w:r w:rsidR="00E1349F">
        <w:t xml:space="preserve">positiva e exponencial. </w:t>
      </w:r>
    </w:p>
    <w:p w:rsidR="00E1349F" w:rsidRDefault="00E1349F" w:rsidP="0006252E">
      <w:pPr>
        <w:ind w:firstLine="709"/>
      </w:pPr>
      <w:r>
        <w:t xml:space="preserve">Dois argumentos surgem para </w:t>
      </w:r>
      <w:r w:rsidR="00E52941">
        <w:t>colocar</w:t>
      </w:r>
      <w:r>
        <w:t xml:space="preserve"> em cheque o papel de grande impulsionador dos custos com saúde que se atribui ao envelhecimento da população. O primeiro deles, segundo </w:t>
      </w:r>
      <w:r w:rsidRPr="00DC0E6C">
        <w:t>Rodrigues e Afonso (2012)</w:t>
      </w:r>
      <w:r w:rsidR="00321D79" w:rsidRPr="00DC0E6C">
        <w:t>,</w:t>
      </w:r>
      <w:r w:rsidR="00321D79">
        <w:t xml:space="preserve"> está ligado a mudanças na idade média com que as doenças começam a ocorrer, a medida que há um aumento na expectativa de vida.</w:t>
      </w:r>
      <w:r w:rsidR="00B575FF">
        <w:t xml:space="preserve"> Evidências como as de </w:t>
      </w:r>
      <w:r w:rsidR="00B575FF" w:rsidRPr="00DC0E6C">
        <w:t>Fries (2000; 2003) e Cutler, Ghosh e Landrum (2013)</w:t>
      </w:r>
      <w:r w:rsidR="00B575FF">
        <w:t xml:space="preserve"> mostram que há uma diminuição no período de prevalência de doenças na população à medida que há um aumento na expectativa de vida.</w:t>
      </w:r>
    </w:p>
    <w:p w:rsidR="00321D79" w:rsidRPr="00B575FF" w:rsidRDefault="00B575FF" w:rsidP="0006252E">
      <w:pPr>
        <w:ind w:firstLine="709"/>
      </w:pPr>
      <w:r>
        <w:t>O segundo argumento está relacionado com a influência que a proximidade à morte pode ter sobre o padrão de utilização de serviços médicos.</w:t>
      </w:r>
      <w:r w:rsidR="00321D79">
        <w:t xml:space="preserve"> </w:t>
      </w:r>
      <w:r w:rsidR="00321D79" w:rsidRPr="00DC0E6C">
        <w:t xml:space="preserve">McGrail </w:t>
      </w:r>
      <w:r w:rsidR="00321D79" w:rsidRPr="00DC0E6C">
        <w:rPr>
          <w:i/>
        </w:rPr>
        <w:t>et al.</w:t>
      </w:r>
      <w:r w:rsidR="00321D79" w:rsidRPr="007345EE">
        <w:t xml:space="preserve"> (2000) ressaltam que a</w:t>
      </w:r>
      <w:r w:rsidR="00321D79" w:rsidRPr="007345EE">
        <w:rPr>
          <w:i/>
        </w:rPr>
        <w:t xml:space="preserve"> </w:t>
      </w:r>
      <w:r w:rsidR="00321D79" w:rsidRPr="007345EE">
        <w:t>principal causa pela qual o dispêndio com saúde parece ser maior para os</w:t>
      </w:r>
      <w:r w:rsidR="00321D79" w:rsidRPr="00A113B4">
        <w:t xml:space="preserve"> idosos é o fato de </w:t>
      </w:r>
      <w:r w:rsidR="00321D79" w:rsidRPr="00A113B4">
        <w:lastRenderedPageBreak/>
        <w:t>mais pessoas estarem perto da morte, recebendo tratamentos mais intensivos, na tentativa de fazer</w:t>
      </w:r>
      <w:r w:rsidR="00321D79">
        <w:t xml:space="preserve"> com que este momento se afaste.</w:t>
      </w:r>
      <w:r>
        <w:t xml:space="preserve"> Uma vez que as taxas de mortalidade são maiores nas idades mais avançadas, pode haver uma sobreposição entre a idade e a proximidade à morte que pode afetar a estimação dos gastos com saúde </w:t>
      </w:r>
      <w:r w:rsidRPr="00DC0E6C">
        <w:t>(</w:t>
      </w:r>
      <w:r w:rsidR="00896273" w:rsidRPr="00DC2353">
        <w:t>MAIA</w:t>
      </w:r>
      <w:r w:rsidR="00896273">
        <w:t>;</w:t>
      </w:r>
      <w:r w:rsidR="00896273" w:rsidRPr="00DC2353">
        <w:t xml:space="preserve"> ANDRADE</w:t>
      </w:r>
      <w:r w:rsidR="00896273">
        <w:t>;</w:t>
      </w:r>
      <w:r w:rsidR="00896273" w:rsidRPr="00DC2353">
        <w:t xml:space="preserve"> FERES</w:t>
      </w:r>
      <w:r w:rsidR="00896273">
        <w:t xml:space="preserve">, </w:t>
      </w:r>
      <w:r w:rsidR="007345EE" w:rsidRPr="007345EE">
        <w:t>2012; RODRIGUES</w:t>
      </w:r>
      <w:r w:rsidR="007345EE">
        <w:t>;</w:t>
      </w:r>
      <w:r w:rsidR="007345EE" w:rsidRPr="00DC0E6C">
        <w:t xml:space="preserve"> AFONSO, 2012).</w:t>
      </w:r>
    </w:p>
    <w:p w:rsidR="00325BB4" w:rsidRDefault="00325BB4" w:rsidP="0006252E">
      <w:pPr>
        <w:ind w:firstLine="709"/>
      </w:pPr>
      <w:r w:rsidRPr="00325BB4">
        <w:t>Assim, o objetivo do trabalho foi investigar o efeito da idade, do estado de sobrevivência e da proximidade à morte na determinação dos custos assistenciais de um plano de saúde. De modo secundário: i) comparou-se os custos assistenciais entre beneficiários sobreviventes e não sobreviventes; ii) analisou-se o comportamento desses custos dentro de faixas etárias distintas nesses dois grupos; e iii) mensurou-se a importância de cada uma das variáveis independentes para a determinação dos custos.</w:t>
      </w:r>
    </w:p>
    <w:p w:rsidR="00A113B4" w:rsidRDefault="00E1349F" w:rsidP="0006252E">
      <w:pPr>
        <w:ind w:firstLine="709"/>
      </w:pPr>
      <w:r>
        <w:t>Foram</w:t>
      </w:r>
      <w:r w:rsidR="00A113B4">
        <w:t xml:space="preserve"> utilizados registros adminis</w:t>
      </w:r>
      <w:r w:rsidR="0092304B">
        <w:t>trativos provenientes de custos</w:t>
      </w:r>
      <w:r w:rsidR="00A113B4">
        <w:t xml:space="preserve"> assistenciais da carteira de beneficiários de uma cooperativa médica de grande porte do estado do Ceará, tendo como</w:t>
      </w:r>
      <w:r w:rsidR="006F6580">
        <w:t xml:space="preserve"> referência o biênio 2014/2015.</w:t>
      </w:r>
      <w:r w:rsidR="00D11A8F">
        <w:t xml:space="preserve"> Além disso, para atingir os objetivos traçados foram usadas como análise estatística, os testes T e de Wilcoxon, a regressão quantílica, as árvores de classificação e regressão (CART) e o </w:t>
      </w:r>
      <w:r w:rsidR="00D11A8F">
        <w:rPr>
          <w:i/>
        </w:rPr>
        <w:t>random forest</w:t>
      </w:r>
      <w:r w:rsidR="0092304B">
        <w:t xml:space="preserve"> (RF)</w:t>
      </w:r>
      <w:r w:rsidR="00D11A8F">
        <w:t>.</w:t>
      </w:r>
    </w:p>
    <w:p w:rsidR="00902767" w:rsidRDefault="00902767" w:rsidP="0006252E">
      <w:pPr>
        <w:ind w:firstLine="709"/>
      </w:pPr>
      <w:r>
        <w:t xml:space="preserve">Esta pesquisa justifica-se, num primeiro momento, pela pouca evidência empírica encontrada para </w:t>
      </w:r>
      <w:r w:rsidR="00B8173B">
        <w:t xml:space="preserve">esta questão no Brasil. </w:t>
      </w:r>
      <w:r w:rsidR="00B8173B" w:rsidRPr="00DC0E6C">
        <w:t xml:space="preserve">Miranda, </w:t>
      </w:r>
      <w:r w:rsidR="007A46C9" w:rsidRPr="00DC0E6C">
        <w:t xml:space="preserve">Mendes </w:t>
      </w:r>
      <w:r w:rsidR="0041447E" w:rsidRPr="0006252E">
        <w:t>e</w:t>
      </w:r>
      <w:r w:rsidR="007A46C9" w:rsidRPr="00DC0E6C">
        <w:t xml:space="preserve"> Silva</w:t>
      </w:r>
      <w:r w:rsidRPr="0041447E">
        <w:t xml:space="preserve"> (2016)</w:t>
      </w:r>
      <w:r>
        <w:t xml:space="preserve"> apontam que o envelhecimento populacional brasilei</w:t>
      </w:r>
      <w:r w:rsidR="00FE66F6">
        <w:t>ro te</w:t>
      </w:r>
      <w:r>
        <w:t>m ocorrido de modo diferente do que se observa para os países desenvolvidos, onde o processo ocorreu de modo mais lento.</w:t>
      </w:r>
      <w:r w:rsidR="00FE66F6">
        <w:t xml:space="preserve"> Além disso, o estudo também utiliza técnicas estatísticas ainda não aplicadas a esse contexto, o que permite verificar a robustez dos resultados encontrados.</w:t>
      </w:r>
    </w:p>
    <w:p w:rsidR="00F02101" w:rsidRDefault="00F02101" w:rsidP="0006252E">
      <w:pPr>
        <w:ind w:firstLine="709"/>
      </w:pPr>
      <w:r>
        <w:t xml:space="preserve">O trabalho está divido em seis partes, sendo a primeira </w:t>
      </w:r>
      <w:r w:rsidR="00A20C7D">
        <w:t>delas esta introdução. Na segund</w:t>
      </w:r>
      <w:r>
        <w:t xml:space="preserve">a parte é feita uma revisão da literatura dos principais trabalhos que já trataram do tema. Em seguida descreve-se a metodologia utilizada para a consecução dos objetivos traçados. </w:t>
      </w:r>
      <w:r w:rsidR="00A20C7D">
        <w:t>Na quarta parte são apresentados os resultados, os quais são discutidos na quinta parte do trabalho. Por fim, são feitas algumas conclusões acerca do trabalho realizado.</w:t>
      </w:r>
    </w:p>
    <w:p w:rsidR="00896273" w:rsidRPr="00D11A8F" w:rsidRDefault="00896273" w:rsidP="00A113B4"/>
    <w:p w:rsidR="00C91086" w:rsidRDefault="00F02101" w:rsidP="00C91086">
      <w:pPr>
        <w:pStyle w:val="Ttulo1"/>
      </w:pPr>
      <w:r>
        <w:t>Revisão da literatura</w:t>
      </w:r>
    </w:p>
    <w:p w:rsidR="00896273" w:rsidRPr="00DC0E6C" w:rsidRDefault="00896273" w:rsidP="0006252E"/>
    <w:p w:rsidR="00E95219" w:rsidRDefault="00E95219" w:rsidP="0006252E">
      <w:pPr>
        <w:ind w:firstLine="709"/>
      </w:pPr>
      <w:r>
        <w:t>O mercado de saúde suplementar, devido à sua complexidade, não pode ser comparado aos demais se</w:t>
      </w:r>
      <w:r w:rsidR="0040780B">
        <w:t>tores da economia</w:t>
      </w:r>
      <w:r>
        <w:t xml:space="preserve">. </w:t>
      </w:r>
      <w:r w:rsidRPr="00DC0E6C">
        <w:t>Arrow (1963) levanta algumas caracte</w:t>
      </w:r>
      <w:r w:rsidRPr="0041447E">
        <w:t xml:space="preserve">rísticas que o distinguem </w:t>
      </w:r>
      <w:r w:rsidR="0041447E">
        <w:t xml:space="preserve">dos </w:t>
      </w:r>
      <w:r w:rsidRPr="00DC0E6C">
        <w:t>demais bens e serviços fornecidos pelo mercado. A primeira delas diz respeito às demandas por serviços de saúde, que não são estáveis em sua origem, mas sim irregulares e imprevisíveis (</w:t>
      </w:r>
      <w:r w:rsidR="0041447E" w:rsidRPr="0041447E">
        <w:t>CHUBAROVA</w:t>
      </w:r>
      <w:r w:rsidRPr="0041447E">
        <w:t>, 2010).</w:t>
      </w:r>
      <w:r>
        <w:t xml:space="preserve"> Serviços médicos em geral só são capazes de proporcionar satisfação na presença de doenças, ou seja, quando um indivíduo sai de seu estado de normalidade </w:t>
      </w:r>
      <w:r w:rsidR="0041447E" w:rsidRPr="0006252E">
        <w:t>(LOCKER; DUNT, 1978</w:t>
      </w:r>
      <w:r>
        <w:t>). A utilização de serviços médicos ainda está associada a uma probabilidade de dano a integridade física dos usuários, incorrendo, não raro, em risco de morte ou prejuízo das capacidades funcionais do corpo (</w:t>
      </w:r>
      <w:r w:rsidRPr="00DC0E6C">
        <w:t>Arrow, 1963).</w:t>
      </w:r>
    </w:p>
    <w:p w:rsidR="00E95219" w:rsidRPr="0041447E" w:rsidRDefault="00E95219" w:rsidP="0006252E">
      <w:pPr>
        <w:ind w:firstLine="709"/>
      </w:pPr>
      <w:r>
        <w:t xml:space="preserve">O segundo ponto está ligado ao comportamento esperado dos fornecedores de serviços médicos, uma vez que </w:t>
      </w:r>
      <w:r>
        <w:rPr>
          <w:lang w:eastAsia="pt-BR" w:bidi="hi-IN"/>
        </w:rPr>
        <w:t>a relação entre produto e at</w:t>
      </w:r>
      <w:r w:rsidR="00775C9F">
        <w:rPr>
          <w:lang w:eastAsia="pt-BR" w:bidi="hi-IN"/>
        </w:rPr>
        <w:t xml:space="preserve">ividade de produção é idêntica </w:t>
      </w:r>
      <w:r>
        <w:rPr>
          <w:lang w:eastAsia="pt-BR" w:bidi="hi-IN"/>
        </w:rPr>
        <w:t xml:space="preserve">e o paciente se vê impossibilitado de testar o produto antes de consumi-lo, acreditando e confiando na relação ética intrínseca da profissão. </w:t>
      </w:r>
      <w:r>
        <w:t xml:space="preserve">Também há uma </w:t>
      </w:r>
      <w:r>
        <w:rPr>
          <w:rFonts w:eastAsia="SimSun"/>
          <w:kern w:val="1"/>
          <w:szCs w:val="24"/>
          <w:lang w:eastAsia="pt-BR" w:bidi="hi-IN"/>
        </w:rPr>
        <w:t xml:space="preserve">incerteza quanto à qualidade do produto é mais evidente nesse mercado do que em outros. A recuperação frente a uma patologia é tão incerta como a sua incidência. Em outras </w:t>
      </w:r>
      <w:r>
        <w:rPr>
          <w:rFonts w:eastAsia="SimSun"/>
          <w:i/>
          <w:kern w:val="1"/>
          <w:szCs w:val="24"/>
          <w:lang w:eastAsia="pt-BR" w:bidi="hi-IN"/>
        </w:rPr>
        <w:t xml:space="preserve">commodities </w:t>
      </w:r>
      <w:r>
        <w:rPr>
          <w:rFonts w:eastAsia="SimSun"/>
          <w:kern w:val="1"/>
          <w:szCs w:val="24"/>
          <w:lang w:eastAsia="pt-BR" w:bidi="hi-IN"/>
        </w:rPr>
        <w:t>a possibilidade se aprender com a própria experiência ou de outrem é mais forte, dado que a possibilidades de ensaios é finita. Por se tratar de indivíduos, cada qual com seu organismo vivo e irreparável, a incerteza devido à inexperiência é adicionada à dificuldade intrínseca de predição (</w:t>
      </w:r>
      <w:r w:rsidR="0041447E" w:rsidRPr="00DC0E6C">
        <w:rPr>
          <w:rFonts w:eastAsia="SimSun"/>
          <w:kern w:val="1"/>
          <w:szCs w:val="24"/>
          <w:lang w:eastAsia="pt-BR" w:bidi="hi-IN"/>
        </w:rPr>
        <w:t>ARROW, 1963</w:t>
      </w:r>
      <w:r w:rsidRPr="00DC0E6C">
        <w:rPr>
          <w:rFonts w:eastAsia="SimSun"/>
          <w:kern w:val="1"/>
          <w:szCs w:val="24"/>
          <w:lang w:eastAsia="pt-BR" w:bidi="hi-IN"/>
        </w:rPr>
        <w:t>).</w:t>
      </w:r>
    </w:p>
    <w:p w:rsidR="00E95219" w:rsidRDefault="00E95219" w:rsidP="0006252E">
      <w:pPr>
        <w:ind w:firstLine="709"/>
      </w:pPr>
      <w:r w:rsidRPr="0041447E">
        <w:lastRenderedPageBreak/>
        <w:t>Entre as incertezas relativas aos custos na saúde, Cutler, Lleras-Muney e Deaton (2006) evidencia</w:t>
      </w:r>
      <w:r w:rsidR="002C46EF" w:rsidRPr="0041447E">
        <w:t>m</w:t>
      </w:r>
      <w:r w:rsidRPr="0041447E">
        <w:t xml:space="preserve"> que para cada ano adicional na expectativa de vida de um indivíduo, o custo médio</w:t>
      </w:r>
      <w:r>
        <w:t xml:space="preserve"> deste com saúde t</w:t>
      </w:r>
      <w:r w:rsidR="0041447E">
        <w:t xml:space="preserve">orna-se </w:t>
      </w:r>
      <w:r>
        <w:t>maior. Por isso, no centro dessas incertezas, as variáveis que englobam a demografia populacional ocupam um lugar importante quando se busca entender os gastos no mercado de saúde.</w:t>
      </w:r>
    </w:p>
    <w:p w:rsidR="00E95219" w:rsidRDefault="00E95219" w:rsidP="0006252E">
      <w:pPr>
        <w:ind w:firstLine="709"/>
      </w:pPr>
      <w:r>
        <w:t>Vários fatores entram em discussão na explicação do aumento dos custos na saúde, porém destacam-se dois: idade e proximidade à morte. Considerando uma maior utilização dos serviços de saúde, a população pertencente ao topo da pirâmide etária tem sido vista como a causadora das variações nos custos na saúde, ou seja, a longevidade é vista como determinante nesse aumento (</w:t>
      </w:r>
      <w:r w:rsidR="0041447E" w:rsidRPr="0006252E">
        <w:t>MILLER, 2001</w:t>
      </w:r>
      <w:r>
        <w:t xml:space="preserve">). No entanto, uma série de estudos têm questionado essa visão, sugerindo que os custos na saúde são mais influenciados pela proximidade da morte de um indivíduo do que pela idade em si </w:t>
      </w:r>
      <w:r w:rsidR="0041447E" w:rsidRPr="00DC0E6C">
        <w:t>(</w:t>
      </w:r>
      <w:r w:rsidR="0041447E" w:rsidRPr="0006252E">
        <w:t>GRAY, 2005</w:t>
      </w:r>
      <w:r>
        <w:t>).</w:t>
      </w:r>
    </w:p>
    <w:p w:rsidR="00E95219" w:rsidRPr="00AF02E1" w:rsidRDefault="00CA27CB" w:rsidP="0006252E">
      <w:pPr>
        <w:ind w:firstLine="709"/>
      </w:pPr>
      <w:r>
        <w:t xml:space="preserve">A idade como fator de impacto </w:t>
      </w:r>
      <w:r w:rsidR="00E95219">
        <w:t>nos custos da saúde já motivou vários estudos (</w:t>
      </w:r>
      <w:r w:rsidR="00D9226E" w:rsidRPr="0006252E">
        <w:t>BARER, EVANS; HERTZMAN, 1995</w:t>
      </w:r>
      <w:r w:rsidR="00E95219" w:rsidRPr="00DC0E6C">
        <w:t xml:space="preserve">; </w:t>
      </w:r>
      <w:r w:rsidR="00D9226E" w:rsidRPr="0006252E">
        <w:t xml:space="preserve">GERDTHAM </w:t>
      </w:r>
      <w:r w:rsidR="00D9226E" w:rsidRPr="0006252E">
        <w:rPr>
          <w:i/>
        </w:rPr>
        <w:t>et al.</w:t>
      </w:r>
      <w:r w:rsidR="00E95219" w:rsidRPr="00D9226E">
        <w:t xml:space="preserve">, 1992; </w:t>
      </w:r>
      <w:r w:rsidR="00D9226E" w:rsidRPr="0006252E">
        <w:t>MARZOUK, 1991; SMITH, HEFFLER &amp; FREELAND, 1999; MILLER, 2001; SESHAMANI &amp; GRAY, 2003</w:t>
      </w:r>
      <w:r w:rsidR="00E95219">
        <w:t xml:space="preserve">). Contudo, uma das primeiras tentativas de analisar tal impacto foi feita em 1956, por Abel-Smith e Titmuss. Os autores projetaram um incremento nos custos hospitalares de 10,6% a partir das mudanças demográficas ocorridas no período analisado (1951 a 1971), entretanto, um estudo realizado pela </w:t>
      </w:r>
      <w:r w:rsidR="00E95219">
        <w:rPr>
          <w:i/>
        </w:rPr>
        <w:t>Royal Comission on the National Health System</w:t>
      </w:r>
      <w:r w:rsidR="00E95219">
        <w:t xml:space="preserve"> de 1979 revelou que o aumento observado no período foi de 71%, e a contribuição da idade para esse aumento, segundo os autores do estudo, é irrisória (</w:t>
      </w:r>
      <w:r w:rsidR="00D9226E">
        <w:t>GRAY</w:t>
      </w:r>
      <w:r w:rsidR="00E95219">
        <w:t>, 2005).</w:t>
      </w:r>
    </w:p>
    <w:p w:rsidR="00E95219" w:rsidRDefault="00E95219" w:rsidP="0006252E">
      <w:pPr>
        <w:ind w:firstLine="709"/>
      </w:pPr>
      <w:r>
        <w:t>A maioria dos cálculos para se chegar a essas análises partia do custo per capita ponderado pela população projetada em cada grupo etário, e os trabalhos tinham como motivação subsidiar iniciativas políticas e planejar investimentos em longo prazo na área da saúde.</w:t>
      </w:r>
    </w:p>
    <w:p w:rsidR="00E95219" w:rsidRPr="00D9226E" w:rsidRDefault="00E95219" w:rsidP="0006252E">
      <w:pPr>
        <w:ind w:firstLine="709"/>
      </w:pPr>
      <w:r>
        <w:t xml:space="preserve">Outros estudos foram desenvolvidos, mas retornando um resultado aquém do que se esperava explicar da evolução dos custos na saúde. Para os EUA, </w:t>
      </w:r>
      <w:r w:rsidRPr="00DC0E6C">
        <w:t xml:space="preserve">Burner </w:t>
      </w:r>
      <w:r w:rsidRPr="00D9226E">
        <w:rPr>
          <w:i/>
        </w:rPr>
        <w:t>et al.</w:t>
      </w:r>
      <w:r w:rsidRPr="00D9226E">
        <w:t xml:space="preserve"> (1992) verificaram que o impacto do envelhecimento populacional seria de apenas 0,5% ao ano dos custos com a saúde, explicando somente uma fração de 0,06% de um total de 8,4% projetado para o aumento dos custos anuais.</w:t>
      </w:r>
    </w:p>
    <w:p w:rsidR="00E95219" w:rsidRDefault="00E95219" w:rsidP="0006252E">
      <w:pPr>
        <w:ind w:firstLine="709"/>
      </w:pPr>
      <w:r w:rsidRPr="00D9226E">
        <w:t>Por sua vez, Getzen (1992)</w:t>
      </w:r>
      <w:r>
        <w:t xml:space="preserve"> questionou se o aumento das despesas </w:t>
      </w:r>
      <w:r w:rsidRPr="00AF02E1">
        <w:rPr>
          <w:i/>
        </w:rPr>
        <w:t>per capita</w:t>
      </w:r>
      <w:r>
        <w:t xml:space="preserve"> na saúde poderia ser atribuído às mudanças na composição populacional. Analisando dados de 20 países membros da Organização para a Cooperação e Desenvolvimento Econômico (O</w:t>
      </w:r>
      <w:r w:rsidR="00D9226E">
        <w:t>CDE</w:t>
      </w:r>
      <w:r>
        <w:t xml:space="preserve">), entre os anos de 1960 e 1988, o autor constatou, assim como </w:t>
      </w:r>
      <w:r w:rsidRPr="00DC0E6C">
        <w:t>Seshamani e Gray (2002, 2003</w:t>
      </w:r>
      <w:r>
        <w:t>), que não havendo outras variáveis à equação, não há nenhuma associação discernível entre a estrutura etária e os custos na saúde.</w:t>
      </w:r>
    </w:p>
    <w:p w:rsidR="00E95219" w:rsidRDefault="00E95219" w:rsidP="0006252E">
      <w:pPr>
        <w:ind w:firstLine="709"/>
      </w:pPr>
      <w:r>
        <w:t>Uma vez que as intervenções de cuidados de saúde são comuns nos últimos estágios de vida e que uma alta proporção dos indivíduos que morrem está sob atenção hospitalar, e que estudos mostram que a maioria dos custos individuais com saúde ocorre no último ou nos últimos dois anos de vida do indivíduo, independentemente de sua idade, os pesquisadores começaram a ter na variável proximidade à morte seu objeto de investigação (</w:t>
      </w:r>
      <w:r w:rsidR="00D9226E" w:rsidRPr="0006252E">
        <w:t>BERENSTEIN, 2009</w:t>
      </w:r>
      <w:r>
        <w:t>).</w:t>
      </w:r>
    </w:p>
    <w:p w:rsidR="00E95219" w:rsidRDefault="00E95219" w:rsidP="0006252E">
      <w:pPr>
        <w:ind w:firstLine="709"/>
      </w:pPr>
      <w:r>
        <w:t xml:space="preserve">A idade não foi desconsiderada nos estudos que se seguiram, o que ocorreu foi um movimento para abranger outras variáveis que permitissem entendimento mais amplo do problema sendo estudado. Se o entendimento comum era que, em média, os idosos gastam mais que os jovens, não somente pelas suas taxas de morbidade serem mais elevadas, mas também pelas suas taxas de mortalidade mostrarem-se mais agressivas, e que tratamentos em pacientes terminais costumam ser mais elevados, a variável proximidade à morte poderia ser o complemento da variável idade, explicando assim o aumento dos custos ao longo da vida de um indivíduo </w:t>
      </w:r>
      <w:r w:rsidRPr="00DC0E6C">
        <w:t>(</w:t>
      </w:r>
      <w:r w:rsidR="00D9226E" w:rsidRPr="0006252E">
        <w:t>FELDER</w:t>
      </w:r>
      <w:r w:rsidRPr="00DC0E6C">
        <w:t xml:space="preserve"> </w:t>
      </w:r>
      <w:r w:rsidRPr="00DC0E6C">
        <w:rPr>
          <w:i/>
        </w:rPr>
        <w:t>et al.</w:t>
      </w:r>
      <w:r w:rsidRPr="00D9226E">
        <w:t>, 2000</w:t>
      </w:r>
      <w:r>
        <w:t>).</w:t>
      </w:r>
    </w:p>
    <w:p w:rsidR="00E95219" w:rsidRDefault="00E95219" w:rsidP="0006252E">
      <w:pPr>
        <w:ind w:firstLine="709"/>
      </w:pPr>
      <w:r>
        <w:lastRenderedPageBreak/>
        <w:t xml:space="preserve">Vários estudos passaram a incorporar a variável proximidade à morte para explicar ou simular a distribuição de gastos ligados à saúde. Conforme afirmam </w:t>
      </w:r>
      <w:r w:rsidRPr="00DC0E6C">
        <w:t>Yang, Norton e Stearns (2003)</w:t>
      </w:r>
      <w:r w:rsidRPr="00D9226E">
        <w:t>,</w:t>
      </w:r>
      <w:r>
        <w:t xml:space="preserve"> se o efeito da proximidade à morte é ignorado, então o aparente efeito da idade nos custos da saúde será exagerado, levando a uma superestimação dos custos.</w:t>
      </w:r>
    </w:p>
    <w:p w:rsidR="00E95219" w:rsidRPr="00FC25F1" w:rsidRDefault="00E95219" w:rsidP="0006252E">
      <w:pPr>
        <w:ind w:firstLine="709"/>
      </w:pPr>
      <w:r>
        <w:t xml:space="preserve">Talvez o estudo mais influente utilizando a variável proximidade à morte </w:t>
      </w:r>
      <w:r w:rsidR="00D9226E">
        <w:t>seja o de</w:t>
      </w:r>
      <w:r w:rsidRPr="00DC0E6C">
        <w:t xml:space="preserve"> Zweifel, Felder e Meier (1999).</w:t>
      </w:r>
      <w:r>
        <w:t xml:space="preserve"> Com base em dados longitudinais de uma seguradora suíça, </w:t>
      </w:r>
      <w:r w:rsidR="00D9226E">
        <w:t xml:space="preserve">os autores </w:t>
      </w:r>
      <w:r>
        <w:t xml:space="preserve">analisaram a relação entre os custos com a saúde e a idade ao longo dos últimos oito trimestres de vida de indivíduos que morreram entre o período de 1983-1992. Eles concluíram que o envelhecimento da população se tratava de algo que desviava a atenção do real problema, a proximidade à morte. Os autores usaram a expressão </w:t>
      </w:r>
      <w:r>
        <w:rPr>
          <w:i/>
        </w:rPr>
        <w:t>red herring</w:t>
      </w:r>
      <w:r>
        <w:t xml:space="preserve"> para descrever o fenômeno, que significa algo que desvia a atenção </w:t>
      </w:r>
      <w:r w:rsidR="00896273">
        <w:t>daquilo que é</w:t>
      </w:r>
      <w:r>
        <w:t xml:space="preserve"> importante.</w:t>
      </w:r>
    </w:p>
    <w:p w:rsidR="00E95219" w:rsidRDefault="00E95219" w:rsidP="0006252E">
      <w:pPr>
        <w:ind w:firstLine="709"/>
      </w:pPr>
      <w:r>
        <w:t>Felder (2001) concluiu que ao controlar a demanda de custos na saúde pela proximidade à morte, não há efeito da idade. Ao analisar a interação entre as variáveis idade e proximidade à morte, replicando o e</w:t>
      </w:r>
      <w:r w:rsidR="006F6580">
        <w:t xml:space="preserve">studo de </w:t>
      </w:r>
      <w:r w:rsidR="00896273" w:rsidRPr="00DC2353">
        <w:t>Zweifel, Felder e Meier (1999)</w:t>
      </w:r>
      <w:r w:rsidR="00896273">
        <w:t xml:space="preserve">, </w:t>
      </w:r>
      <w:r w:rsidRPr="00896273">
        <w:t>Seshamani e Gray (2004)</w:t>
      </w:r>
      <w:r>
        <w:t xml:space="preserve"> verificaram que se faz necessário uma atenção na escolha do modelo a ser aplicado, pois em um primeiro momento eles não encontraram evidências positivas no relacionamento das variáveis proximidade à morte e idade na explicação dos custos hospitalares.</w:t>
      </w:r>
    </w:p>
    <w:p w:rsidR="00E95219" w:rsidRDefault="00E95219" w:rsidP="0006252E">
      <w:pPr>
        <w:ind w:firstLine="709"/>
      </w:pPr>
      <w:r>
        <w:t>Revisitando o es</w:t>
      </w:r>
      <w:r w:rsidR="006F6580">
        <w:t xml:space="preserve">tudo de </w:t>
      </w:r>
      <w:r w:rsidR="00896273" w:rsidRPr="00DC2353">
        <w:t>Zweifel, Felder e Meier (1999)</w:t>
      </w:r>
      <w:r w:rsidR="00896273">
        <w:t xml:space="preserve">, </w:t>
      </w:r>
      <w:r>
        <w:t xml:space="preserve">que após </w:t>
      </w:r>
      <w:r w:rsidR="00896273">
        <w:t xml:space="preserve">sua </w:t>
      </w:r>
      <w:r>
        <w:t xml:space="preserve">publicação recebeu muitas críticas quanto à modelagem utilizada, </w:t>
      </w:r>
      <w:r w:rsidRPr="00DC0E6C">
        <w:t>Zweifel, Felder e Werblow (2004)</w:t>
      </w:r>
      <w:r>
        <w:t xml:space="preserve"> propõem a mesma análise, com uma nova abordagem metodológica, além da inserção de custos de indivíduos vivos. Ao final, eles corroboram a conclusão do estudo anterior, porém ressaltam o fato de que a idade, para os indivíduos vivos, pode ser um fator importante na explicação dos custos.</w:t>
      </w:r>
    </w:p>
    <w:p w:rsidR="00E95219" w:rsidRDefault="00E95219" w:rsidP="0006252E">
      <w:pPr>
        <w:ind w:firstLine="709"/>
      </w:pPr>
      <w:r>
        <w:t xml:space="preserve">Mais recentemente, </w:t>
      </w:r>
      <w:r w:rsidRPr="00DC0E6C">
        <w:t>Yu, Wang e Wu (2015),</w:t>
      </w:r>
      <w:r>
        <w:t xml:space="preserve"> com base em dados do </w:t>
      </w:r>
      <w:r>
        <w:rPr>
          <w:i/>
        </w:rPr>
        <w:t>Taiwan National Health Insurance</w:t>
      </w:r>
      <w:r>
        <w:t xml:space="preserve"> no período de 2005 a 2009, mostraram que estimativas de envelhecimento populacional diminuem e se tornam insignificantes ao longo da curva de custos dos indivíduos analisados, sobretudo para a população de 65 anos ou mais. Para essa população, os coeficientes de proximidade à morte, estimados por meio de regressão quantílica, são significativamente positivos na maioria dos quantis adotados.</w:t>
      </w:r>
    </w:p>
    <w:p w:rsidR="00E95219" w:rsidRDefault="00E95219" w:rsidP="0006252E">
      <w:pPr>
        <w:ind w:firstLine="709"/>
      </w:pPr>
      <w:r>
        <w:t xml:space="preserve">No Brasil, Berenstein (2009) utilizou dados dos custos de internações hospitalares do SUS, para o estado de Minas Gerais, entre os anos de 2004 e 2005. Além da idade e a proximidade à morte, utilizou também o sexo e o tempo de permanência do paciente no hospital, e concluiu que quanto mais próximo da morte, mais elevado será o custo do paciente, porém, quanto mais elevada a idade, menor o impacto da proximidade à morte nos custos. </w:t>
      </w:r>
    </w:p>
    <w:p w:rsidR="00E95219" w:rsidRDefault="00E95219" w:rsidP="0006252E">
      <w:pPr>
        <w:ind w:firstLine="709"/>
      </w:pPr>
      <w:r>
        <w:t>Rodrigues e Afonso (2012)</w:t>
      </w:r>
      <w:r w:rsidR="005D51B3">
        <w:t>, com base em dados de 1995 a 2007 do Sistema de Informações Hospitalares do DATASUS (SIH/DATASUS), analisaram a evolução dos gastos com saúde no por grupos etários, segregando usuários sobreviventes e não sobreviventes.</w:t>
      </w:r>
      <w:r w:rsidR="00222817">
        <w:t xml:space="preserve"> Os autores observaram que para os sobreviventes, o gasto apresentava uma tendência de crescimento com a elevação da idade, enquanto no grupo de não sobreviventes observou-se uma tendência de queda. Além disso, os autores também simularam a evolução dos gastos com saúde para o ano de 2050. Quando não se levava em consideração o estado de sobrevivência na simulação, o aumento anual estimado foi de cerca de 9% ao ano, enquanto que quando adicionada à equação, o crescimento passou para um patamar de 1,6% ao ano.</w:t>
      </w:r>
    </w:p>
    <w:p w:rsidR="00E95219" w:rsidRDefault="00E95219" w:rsidP="0006252E">
      <w:pPr>
        <w:ind w:firstLine="709"/>
      </w:pPr>
      <w:r>
        <w:t xml:space="preserve">Andrade, Maia e Rodrigues (2013), analisando indicadores de custos por </w:t>
      </w:r>
      <w:r w:rsidR="00A23308">
        <w:t>estado de sobrevivência</w:t>
      </w:r>
      <w:r w:rsidR="005D51B3">
        <w:t xml:space="preserve"> de uma operadora de autogestão de São Paulo no ano de 2009</w:t>
      </w:r>
      <w:r w:rsidR="00A23308">
        <w:t>, mostram</w:t>
      </w:r>
      <w:r>
        <w:t xml:space="preserve"> que o dispêndio daqueles que faleceram é cerca de 40 vezes superior</w:t>
      </w:r>
      <w:r w:rsidR="00A23308">
        <w:t xml:space="preserve"> ao daqueles que permaneceram vivos</w:t>
      </w:r>
      <w:r w:rsidR="005D51B3">
        <w:t>. Além disso mostram também que a maior parcela de utilização dos custos se concentra em procedimentos de internação, sendo observado nesta categoria a maior diferença entre sobreviventes e não sobreviventes.</w:t>
      </w:r>
    </w:p>
    <w:p w:rsidR="00285635" w:rsidRDefault="00E95219" w:rsidP="0006252E">
      <w:pPr>
        <w:ind w:firstLine="709"/>
      </w:pPr>
      <w:r>
        <w:lastRenderedPageBreak/>
        <w:t xml:space="preserve">Com base na evidência empírica encontrada anteriormente, diferente do que fora encontrado por Felder (2001), </w:t>
      </w:r>
      <w:r w:rsidR="00896273" w:rsidRPr="00DC2353">
        <w:t>Zweifel, Felder e Meier (1999)</w:t>
      </w:r>
      <w:r>
        <w:t xml:space="preserve"> e </w:t>
      </w:r>
      <w:r w:rsidR="00896273">
        <w:t>Zweifel, Felder e Werblow (2004</w:t>
      </w:r>
      <w:r>
        <w:t>), mas alinhado com os achados de Rodrigues e Afonso (2012), Seshamani e Gray (2004, 2004b) e Yu</w:t>
      </w:r>
      <w:r w:rsidR="00896273">
        <w:t>, Wang e Wu</w:t>
      </w:r>
      <w:r>
        <w:t xml:space="preserve"> (2015), espera-se que tanto a idade como o estado de sobrevivência para todos os beneficiários (H</w:t>
      </w:r>
      <w:r w:rsidRPr="000313EB">
        <w:rPr>
          <w:vertAlign w:val="subscript"/>
        </w:rPr>
        <w:t>1</w:t>
      </w:r>
      <w:r>
        <w:t>), e a idade e a proximidade à morte para aqueles que não sobreviveram (H</w:t>
      </w:r>
      <w:r w:rsidRPr="000313EB">
        <w:rPr>
          <w:vertAlign w:val="subscript"/>
        </w:rPr>
        <w:t>2</w:t>
      </w:r>
      <w:r>
        <w:t>), exerçam influência sobre os custos assistenciais de saúde. Além disso, espera-se também que haja uma maior importância da proximidade à morte para determinar esses custos (H</w:t>
      </w:r>
      <w:r w:rsidRPr="000313EB">
        <w:rPr>
          <w:vertAlign w:val="subscript"/>
        </w:rPr>
        <w:t>3</w:t>
      </w:r>
      <w:r>
        <w:t>).</w:t>
      </w:r>
    </w:p>
    <w:p w:rsidR="00896273" w:rsidRPr="00E17C1E" w:rsidRDefault="00896273" w:rsidP="00F832E2">
      <w:pPr>
        <w:rPr>
          <w:rFonts w:eastAsia="Times New Roman"/>
          <w:b/>
          <w:szCs w:val="32"/>
        </w:rPr>
      </w:pPr>
    </w:p>
    <w:p w:rsidR="001B70E9" w:rsidRDefault="00AC3DFD" w:rsidP="00E95BF8">
      <w:pPr>
        <w:pStyle w:val="Ttulo1"/>
      </w:pPr>
      <w:r>
        <w:t>Metodologia</w:t>
      </w:r>
    </w:p>
    <w:p w:rsidR="00896273" w:rsidRPr="00DC0E6C" w:rsidRDefault="00896273" w:rsidP="0006252E"/>
    <w:p w:rsidR="00AC3DFD" w:rsidRDefault="00AC3DFD" w:rsidP="0006252E">
      <w:pPr>
        <w:ind w:firstLine="709"/>
      </w:pPr>
      <w:r>
        <w:t xml:space="preserve">A base de dados utilizada na pesquisa compreende informações dos custos assistenciais dos beneficiários de uma carteira de uma </w:t>
      </w:r>
      <w:r w:rsidR="001F78D1">
        <w:t>OPS</w:t>
      </w:r>
      <w:r>
        <w:t>, caracterizada como uma cooperativa médica de grande porte, localizada no estado do Ceará. As informações são oriundas de registros administrativos</w:t>
      </w:r>
      <w:r w:rsidR="00683B5C">
        <w:t xml:space="preserve"> mensais</w:t>
      </w:r>
      <w:r>
        <w:t xml:space="preserve"> dos anos de 2014 e 2015, gerados a partir da utilização, isto é, da ocorrência de sinistros.</w:t>
      </w:r>
      <w:r w:rsidR="001F78D1">
        <w:t xml:space="preserve"> Além dos custos assistenciais, outras informações levantadas foram a data de nascimento, sexo, data de entrada no plano, data de exclusão e motivo de desligamento junto à OPS.</w:t>
      </w:r>
    </w:p>
    <w:p w:rsidR="008F1ED9" w:rsidRDefault="001F78D1" w:rsidP="0006252E">
      <w:pPr>
        <w:ind w:firstLine="709"/>
      </w:pPr>
      <w:r>
        <w:t xml:space="preserve">Para os beneficiários que permaneceram ativos durante todo o período, foram utilizadas as informações referentes aos 12 meses de 2015. Para os usuários desligados do plano durante o ano de 2015 foram considerados os 12 meses anteriores ao desligamento, sendo este o motivo da base utilizada compreender o período de 2014 a 2015. Segundo </w:t>
      </w:r>
      <w:r w:rsidR="00896273" w:rsidRPr="00DC2353">
        <w:rPr>
          <w:shd w:val="clear" w:color="auto" w:fill="FFFFFF" w:themeFill="background1"/>
        </w:rPr>
        <w:t>A</w:t>
      </w:r>
      <w:r w:rsidR="00896273">
        <w:rPr>
          <w:shd w:val="clear" w:color="auto" w:fill="FFFFFF" w:themeFill="background1"/>
        </w:rPr>
        <w:t>ndrade, Maia e</w:t>
      </w:r>
      <w:r w:rsidR="00896273" w:rsidRPr="00DC2353">
        <w:rPr>
          <w:shd w:val="clear" w:color="auto" w:fill="FFFFFF" w:themeFill="background1"/>
        </w:rPr>
        <w:t xml:space="preserve"> Rodrigues</w:t>
      </w:r>
      <w:r w:rsidR="00896273">
        <w:rPr>
          <w:shd w:val="clear" w:color="auto" w:fill="FFFFFF" w:themeFill="background1"/>
        </w:rPr>
        <w:t xml:space="preserve">, </w:t>
      </w:r>
      <w:r>
        <w:t xml:space="preserve">(2013), esse tipo de análise que segue o conceito de beneficiário-ano, </w:t>
      </w:r>
      <w:r w:rsidR="00DD200A">
        <w:t>permite corrigir possíveis erros de subestimação das observações censuradas no ano de 2015.</w:t>
      </w:r>
      <w:r w:rsidR="00B30626">
        <w:t xml:space="preserve"> Também foi aplicado à pesquisa o conceito de beneficiário sinistrado, isto é, foram considerados apenas aqueles que geraram custos à operadora em algum momento do período analisado. </w:t>
      </w:r>
      <w:r w:rsidR="00B30626" w:rsidRPr="00B30626">
        <w:t>C</w:t>
      </w:r>
      <w:r w:rsidR="00B30626">
        <w:t>onsiderando todas os</w:t>
      </w:r>
      <w:r w:rsidR="00B30626" w:rsidRPr="00B30626">
        <w:t xml:space="preserve"> parâmetros utilizados, ao final havia registros de utilização de 326.094 beneficiários, dos quais 1.261 tinha seu estado de sobrevivência classificado como óbito, ou seja, 0,39% dos beneficiários sinistrados vieram a óbito ao final do período analisado.</w:t>
      </w:r>
    </w:p>
    <w:p w:rsidR="00DD200A" w:rsidRDefault="00DD200A" w:rsidP="0006252E">
      <w:pPr>
        <w:ind w:firstLine="709"/>
      </w:pPr>
      <w:r w:rsidRPr="00DD200A">
        <w:t>Existe, nes</w:t>
      </w:r>
      <w:r>
        <w:t>sa análise, uma limitação</w:t>
      </w:r>
      <w:r w:rsidRPr="00DD200A">
        <w:t xml:space="preserve"> que diz respeito a</w:t>
      </w:r>
      <w:r>
        <w:t>os beneficiários sobreviventes, uma vez que não se possui a data de falecimento destes beneficiários.</w:t>
      </w:r>
      <w:r w:rsidRPr="00DD200A">
        <w:t xml:space="preserve"> Assim, quando se compara sobreviventes e não sobrevivent</w:t>
      </w:r>
      <w:r>
        <w:t xml:space="preserve">es, considera-se </w:t>
      </w:r>
      <w:r w:rsidRPr="00DD200A">
        <w:t>que os sobreviventes permanecerão nessa condição no período seguinte ao da análise ou, pelo menos</w:t>
      </w:r>
      <w:r>
        <w:t>, em um tempo futuro previ</w:t>
      </w:r>
      <w:r w:rsidR="0086148A">
        <w:t>sível (</w:t>
      </w:r>
      <w:r w:rsidR="00896273">
        <w:t xml:space="preserve">ZWEIFEL; FELDER; WERBLOW, </w:t>
      </w:r>
      <w:r w:rsidR="00896273" w:rsidRPr="00DD200A">
        <w:t>2004</w:t>
      </w:r>
      <w:r w:rsidRPr="00DD200A">
        <w:t>)</w:t>
      </w:r>
      <w:r>
        <w:t>.</w:t>
      </w:r>
    </w:p>
    <w:p w:rsidR="00B30626" w:rsidRDefault="00B30626" w:rsidP="0006252E">
      <w:pPr>
        <w:ind w:firstLine="709"/>
      </w:pPr>
      <w:r w:rsidRPr="00B30626">
        <w:t>Outra restrição identificada na base de dados se refere ao fato dos custos considerados serem tão somente os ocorridos dentro da rede de atendimento da OPS, ou seja, não foram computadas as demandas por procedimentos que foram solucionadas/atendidas por meio de atenção médico-hospitalar privada ou no SUS. Também podem ocorrer vieses nos custos totais dos beneficiários decorrentes de sinistros ocorridos e não avisados. Vale salientar, também, que os custos dos beneficiários não foram deflacionados por nenhum índice, portanto são custos reais da época do seu pagamento.</w:t>
      </w:r>
    </w:p>
    <w:p w:rsidR="009B1F36" w:rsidRDefault="009B1F36" w:rsidP="0006252E">
      <w:pPr>
        <w:ind w:firstLine="709"/>
      </w:pPr>
      <w:r>
        <w:t>De posse das informações levantadas, foram computadas as variáveis necessárias para a realização do estu</w:t>
      </w:r>
      <w:r w:rsidR="001522AC">
        <w:t xml:space="preserve">do, as quais são apresentadas </w:t>
      </w:r>
      <w:r w:rsidR="00896273">
        <w:t>no Quadro</w:t>
      </w:r>
      <w:r>
        <w:t xml:space="preserve"> 1.</w:t>
      </w:r>
    </w:p>
    <w:p w:rsidR="00896273" w:rsidRDefault="00896273" w:rsidP="00AC3DFD"/>
    <w:p w:rsidR="001522AC" w:rsidRPr="001522AC" w:rsidRDefault="00896273" w:rsidP="001522AC">
      <w:pPr>
        <w:pStyle w:val="Legenda"/>
        <w:keepNext/>
        <w:spacing w:after="0"/>
        <w:ind w:firstLine="0"/>
        <w:rPr>
          <w:i w:val="0"/>
          <w:color w:val="auto"/>
          <w:sz w:val="24"/>
        </w:rPr>
      </w:pPr>
      <w:r>
        <w:rPr>
          <w:i w:val="0"/>
          <w:color w:val="auto"/>
          <w:sz w:val="24"/>
        </w:rPr>
        <w:t>Quadro</w:t>
      </w:r>
      <w:r w:rsidRPr="001522AC">
        <w:rPr>
          <w:i w:val="0"/>
          <w:color w:val="auto"/>
          <w:sz w:val="24"/>
        </w:rPr>
        <w:t xml:space="preserve"> </w:t>
      </w:r>
      <w:r w:rsidR="001522AC" w:rsidRPr="001522AC">
        <w:rPr>
          <w:i w:val="0"/>
          <w:color w:val="auto"/>
          <w:sz w:val="24"/>
        </w:rPr>
        <w:fldChar w:fldCharType="begin"/>
      </w:r>
      <w:r w:rsidR="001522AC" w:rsidRPr="001522AC">
        <w:rPr>
          <w:i w:val="0"/>
          <w:color w:val="auto"/>
          <w:sz w:val="24"/>
        </w:rPr>
        <w:instrText xml:space="preserve"> SEQ Tabela \* ARABIC </w:instrText>
      </w:r>
      <w:r w:rsidR="001522AC" w:rsidRPr="001522AC">
        <w:rPr>
          <w:i w:val="0"/>
          <w:color w:val="auto"/>
          <w:sz w:val="24"/>
        </w:rPr>
        <w:fldChar w:fldCharType="separate"/>
      </w:r>
      <w:r w:rsidR="00E17C1E">
        <w:rPr>
          <w:i w:val="0"/>
          <w:noProof/>
          <w:color w:val="auto"/>
          <w:sz w:val="24"/>
        </w:rPr>
        <w:t>1</w:t>
      </w:r>
      <w:r w:rsidR="001522AC" w:rsidRPr="001522AC">
        <w:rPr>
          <w:i w:val="0"/>
          <w:color w:val="auto"/>
          <w:sz w:val="24"/>
        </w:rPr>
        <w:fldChar w:fldCharType="end"/>
      </w:r>
      <w:r w:rsidR="001522AC">
        <w:rPr>
          <w:i w:val="0"/>
          <w:color w:val="auto"/>
          <w:sz w:val="24"/>
        </w:rPr>
        <w:t xml:space="preserve"> – Variáveis utilizadas no estudo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672"/>
        <w:gridCol w:w="4394"/>
      </w:tblGrid>
      <w:tr w:rsidR="007C0865" w:rsidRPr="00E17C1E" w:rsidTr="00E17C1E">
        <w:tc>
          <w:tcPr>
            <w:tcW w:w="0" w:type="auto"/>
            <w:tcBorders>
              <w:bottom w:val="single" w:sz="4" w:space="0" w:color="auto"/>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w:t>
            </w:r>
          </w:p>
        </w:tc>
        <w:tc>
          <w:tcPr>
            <w:tcW w:w="0" w:type="auto"/>
            <w:tcBorders>
              <w:bottom w:val="single" w:sz="4" w:space="0" w:color="auto"/>
            </w:tcBorders>
            <w:shd w:val="clear" w:color="auto" w:fill="auto"/>
            <w:vAlign w:val="center"/>
          </w:tcPr>
          <w:p w:rsidR="001522AC" w:rsidRPr="00E17C1E" w:rsidRDefault="001522AC" w:rsidP="00E17C1E">
            <w:pPr>
              <w:ind w:firstLine="0"/>
              <w:jc w:val="center"/>
              <w:rPr>
                <w:sz w:val="20"/>
                <w:szCs w:val="20"/>
              </w:rPr>
            </w:pPr>
            <w:r w:rsidRPr="00E17C1E">
              <w:rPr>
                <w:sz w:val="20"/>
                <w:szCs w:val="20"/>
              </w:rPr>
              <w:t>Tipo</w:t>
            </w:r>
          </w:p>
        </w:tc>
        <w:tc>
          <w:tcPr>
            <w:tcW w:w="0" w:type="auto"/>
            <w:tcBorders>
              <w:bottom w:val="single" w:sz="4" w:space="0" w:color="auto"/>
            </w:tcBorders>
            <w:shd w:val="clear" w:color="auto" w:fill="auto"/>
            <w:vAlign w:val="center"/>
          </w:tcPr>
          <w:p w:rsidR="001522AC" w:rsidRPr="00E17C1E" w:rsidRDefault="001522AC" w:rsidP="00E17C1E">
            <w:pPr>
              <w:ind w:firstLine="0"/>
              <w:jc w:val="center"/>
              <w:rPr>
                <w:sz w:val="20"/>
                <w:szCs w:val="20"/>
              </w:rPr>
            </w:pPr>
            <w:r w:rsidRPr="00E17C1E">
              <w:rPr>
                <w:sz w:val="20"/>
                <w:szCs w:val="20"/>
              </w:rPr>
              <w:t>Operacionalização</w:t>
            </w:r>
          </w:p>
        </w:tc>
      </w:tr>
      <w:tr w:rsidR="007C0865" w:rsidRPr="00E17C1E" w:rsidTr="00E17C1E">
        <w:tc>
          <w:tcPr>
            <w:tcW w:w="0" w:type="auto"/>
            <w:tcBorders>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Custo mensal</w:t>
            </w:r>
          </w:p>
        </w:tc>
        <w:tc>
          <w:tcPr>
            <w:tcW w:w="0" w:type="auto"/>
            <w:tcBorders>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 dependente quantitativa</w:t>
            </w:r>
          </w:p>
        </w:tc>
        <w:tc>
          <w:tcPr>
            <w:tcW w:w="0" w:type="auto"/>
            <w:tcBorders>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Custos de utilização do plano em um mês</w:t>
            </w:r>
          </w:p>
        </w:tc>
      </w:tr>
      <w:tr w:rsidR="007C0865" w:rsidRPr="00E17C1E" w:rsidTr="00E17C1E">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Custo anual</w:t>
            </w:r>
          </w:p>
        </w:tc>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 dependente quantitativa</w:t>
            </w:r>
          </w:p>
        </w:tc>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Somatório do</w:t>
            </w:r>
            <w:r w:rsidR="00A54BAC" w:rsidRPr="00E17C1E">
              <w:rPr>
                <w:sz w:val="20"/>
                <w:szCs w:val="20"/>
              </w:rPr>
              <w:t>s últimos 12 meses de utilização</w:t>
            </w:r>
          </w:p>
        </w:tc>
      </w:tr>
      <w:tr w:rsidR="007C0865" w:rsidRPr="00E17C1E" w:rsidTr="00E17C1E">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lastRenderedPageBreak/>
              <w:t>Estado de sobrevivência</w:t>
            </w:r>
          </w:p>
        </w:tc>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 independente qualitativa</w:t>
            </w:r>
          </w:p>
        </w:tc>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1 em caso de desligamento por falecimento, 0 caso contrário</w:t>
            </w:r>
          </w:p>
        </w:tc>
      </w:tr>
      <w:tr w:rsidR="007C0865" w:rsidRPr="00E17C1E" w:rsidTr="00E17C1E">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Proximidade à morte</w:t>
            </w:r>
          </w:p>
        </w:tc>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 independente qualitativa</w:t>
            </w:r>
          </w:p>
        </w:tc>
        <w:tc>
          <w:tcPr>
            <w:tcW w:w="0" w:type="auto"/>
            <w:tcBorders>
              <w:top w:val="nil"/>
              <w:bottom w:val="nil"/>
            </w:tcBorders>
            <w:shd w:val="clear" w:color="auto" w:fill="auto"/>
            <w:vAlign w:val="center"/>
          </w:tcPr>
          <w:p w:rsidR="001522AC" w:rsidRPr="00E17C1E" w:rsidRDefault="006E7ACE" w:rsidP="00E17C1E">
            <w:pPr>
              <w:ind w:firstLine="0"/>
              <w:jc w:val="center"/>
              <w:rPr>
                <w:sz w:val="20"/>
                <w:szCs w:val="20"/>
              </w:rPr>
            </w:pPr>
            <w:r w:rsidRPr="00E17C1E">
              <w:rPr>
                <w:sz w:val="20"/>
                <w:szCs w:val="20"/>
              </w:rPr>
              <w:t>Indica a quantidade de meses até o falecimento</w:t>
            </w:r>
          </w:p>
        </w:tc>
      </w:tr>
      <w:tr w:rsidR="007C0865" w:rsidRPr="00E17C1E" w:rsidTr="00E17C1E">
        <w:tc>
          <w:tcPr>
            <w:tcW w:w="0" w:type="auto"/>
            <w:tcBorders>
              <w:top w:val="nil"/>
              <w:bottom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Idade</w:t>
            </w:r>
          </w:p>
        </w:tc>
        <w:tc>
          <w:tcPr>
            <w:tcW w:w="0" w:type="auto"/>
            <w:tcBorders>
              <w:top w:val="nil"/>
              <w:bottom w:val="nil"/>
            </w:tcBorders>
            <w:shd w:val="clear" w:color="auto" w:fill="auto"/>
            <w:vAlign w:val="center"/>
          </w:tcPr>
          <w:p w:rsidR="001522AC" w:rsidRPr="00E17C1E" w:rsidRDefault="00A27C7E" w:rsidP="00E17C1E">
            <w:pPr>
              <w:ind w:firstLine="0"/>
              <w:jc w:val="center"/>
              <w:rPr>
                <w:sz w:val="20"/>
                <w:szCs w:val="20"/>
              </w:rPr>
            </w:pPr>
            <w:r w:rsidRPr="00E17C1E">
              <w:rPr>
                <w:sz w:val="20"/>
                <w:szCs w:val="20"/>
              </w:rPr>
              <w:t>Variável independente</w:t>
            </w:r>
            <w:r w:rsidR="001522AC" w:rsidRPr="00E17C1E">
              <w:rPr>
                <w:sz w:val="20"/>
                <w:szCs w:val="20"/>
              </w:rPr>
              <w:t xml:space="preserve"> quantitativa</w:t>
            </w:r>
          </w:p>
        </w:tc>
        <w:tc>
          <w:tcPr>
            <w:tcW w:w="0" w:type="auto"/>
            <w:tcBorders>
              <w:top w:val="nil"/>
              <w:bottom w:val="nil"/>
            </w:tcBorders>
            <w:shd w:val="clear" w:color="auto" w:fill="auto"/>
            <w:vAlign w:val="center"/>
          </w:tcPr>
          <w:p w:rsidR="001522AC" w:rsidRPr="00E17C1E" w:rsidRDefault="006E7ACE" w:rsidP="00E17C1E">
            <w:pPr>
              <w:ind w:firstLine="0"/>
              <w:jc w:val="center"/>
              <w:rPr>
                <w:sz w:val="20"/>
                <w:szCs w:val="20"/>
              </w:rPr>
            </w:pPr>
            <w:r w:rsidRPr="00E17C1E">
              <w:rPr>
                <w:sz w:val="20"/>
                <w:szCs w:val="20"/>
              </w:rPr>
              <w:t>Idade, em anos completos, do beneficiário</w:t>
            </w:r>
          </w:p>
        </w:tc>
      </w:tr>
      <w:tr w:rsidR="007C0865" w:rsidRPr="00E17C1E" w:rsidTr="00E17C1E">
        <w:tc>
          <w:tcPr>
            <w:tcW w:w="0" w:type="auto"/>
            <w:tcBorders>
              <w:top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Sexo</w:t>
            </w:r>
          </w:p>
        </w:tc>
        <w:tc>
          <w:tcPr>
            <w:tcW w:w="0" w:type="auto"/>
            <w:tcBorders>
              <w:top w:val="nil"/>
            </w:tcBorders>
            <w:shd w:val="clear" w:color="auto" w:fill="auto"/>
            <w:vAlign w:val="center"/>
          </w:tcPr>
          <w:p w:rsidR="001522AC" w:rsidRPr="00E17C1E" w:rsidRDefault="001522AC" w:rsidP="00E17C1E">
            <w:pPr>
              <w:ind w:firstLine="0"/>
              <w:jc w:val="center"/>
              <w:rPr>
                <w:sz w:val="20"/>
                <w:szCs w:val="20"/>
              </w:rPr>
            </w:pPr>
            <w:r w:rsidRPr="00E17C1E">
              <w:rPr>
                <w:sz w:val="20"/>
                <w:szCs w:val="20"/>
              </w:rPr>
              <w:t>Variável de controle qualitativa</w:t>
            </w:r>
          </w:p>
        </w:tc>
        <w:tc>
          <w:tcPr>
            <w:tcW w:w="0" w:type="auto"/>
            <w:tcBorders>
              <w:top w:val="nil"/>
            </w:tcBorders>
            <w:shd w:val="clear" w:color="auto" w:fill="auto"/>
            <w:vAlign w:val="center"/>
          </w:tcPr>
          <w:p w:rsidR="001522AC" w:rsidRPr="00E17C1E" w:rsidRDefault="006E7ACE" w:rsidP="00E17C1E">
            <w:pPr>
              <w:ind w:firstLine="0"/>
              <w:jc w:val="center"/>
              <w:rPr>
                <w:sz w:val="20"/>
                <w:szCs w:val="20"/>
              </w:rPr>
            </w:pPr>
            <w:r w:rsidRPr="00E17C1E">
              <w:rPr>
                <w:sz w:val="20"/>
                <w:szCs w:val="20"/>
              </w:rPr>
              <w:t>1 caso o beneficiário seja homem e 0 caso seja mulher</w:t>
            </w:r>
          </w:p>
        </w:tc>
      </w:tr>
    </w:tbl>
    <w:p w:rsidR="006E7ACE" w:rsidRDefault="00510079" w:rsidP="00AC415B">
      <w:pPr>
        <w:ind w:firstLine="0"/>
        <w:rPr>
          <w:sz w:val="20"/>
        </w:rPr>
      </w:pPr>
      <w:r>
        <w:rPr>
          <w:sz w:val="20"/>
        </w:rPr>
        <w:t>Fonte: Elaborada</w:t>
      </w:r>
      <w:r w:rsidR="006E7ACE" w:rsidRPr="0026790B">
        <w:rPr>
          <w:sz w:val="20"/>
        </w:rPr>
        <w:t xml:space="preserve"> pelos autores.</w:t>
      </w:r>
    </w:p>
    <w:p w:rsidR="00896273" w:rsidRPr="0026790B" w:rsidRDefault="00896273" w:rsidP="00AC415B">
      <w:pPr>
        <w:ind w:firstLine="0"/>
        <w:rPr>
          <w:sz w:val="20"/>
        </w:rPr>
      </w:pPr>
    </w:p>
    <w:p w:rsidR="00AC415B" w:rsidRDefault="00DE5AF9" w:rsidP="0006252E">
      <w:pPr>
        <w:ind w:firstLine="709"/>
      </w:pPr>
      <w:r>
        <w:t xml:space="preserve">As variáveis </w:t>
      </w:r>
      <w:r w:rsidR="00692F40">
        <w:t xml:space="preserve">foram utilizadas para a estimação de dois modelos. O primeiro deles </w:t>
      </w:r>
      <w:r w:rsidR="00DB6C85">
        <w:t xml:space="preserve">(Equação I) </w:t>
      </w:r>
      <w:r w:rsidR="00692F40">
        <w:t xml:space="preserve">segue os trabalhos </w:t>
      </w:r>
      <w:r w:rsidR="00DC0E6C">
        <w:t xml:space="preserve">Andrade, Maia e Rodrigues (2013) </w:t>
      </w:r>
      <w:r w:rsidR="00692F40">
        <w:t xml:space="preserve">e Rodrigues e Afonso (2012) busca estimar a relação entre o custo anual e o estado de sobrevivência dos beneficiários, tendo a idade e o sexo como variáveis de controle. O segundo modelo </w:t>
      </w:r>
      <w:r w:rsidR="00DB6C85">
        <w:t xml:space="preserve">(Equação II) </w:t>
      </w:r>
      <w:r w:rsidR="00692F40">
        <w:t xml:space="preserve">segue as abordagens de </w:t>
      </w:r>
      <w:r w:rsidR="004A592B">
        <w:t xml:space="preserve">Zweifel </w:t>
      </w:r>
      <w:r w:rsidR="004A592B">
        <w:rPr>
          <w:i/>
        </w:rPr>
        <w:t>et al</w:t>
      </w:r>
      <w:r w:rsidR="004A592B">
        <w:t xml:space="preserve">. (1999) e Yu </w:t>
      </w:r>
      <w:r w:rsidR="004A592B">
        <w:rPr>
          <w:i/>
        </w:rPr>
        <w:t>et al</w:t>
      </w:r>
      <w:r w:rsidR="004A592B">
        <w:t>. (2015) e busca estimar a relação entre o custo mensal e a proximidade à morte dos beneficiários não sobreviventes, novamente com idade e sexo como variáveis de controle.</w:t>
      </w:r>
    </w:p>
    <w:tbl>
      <w:tblPr>
        <w:tblW w:w="0" w:type="auto"/>
        <w:jc w:val="center"/>
        <w:tblLook w:val="04A0" w:firstRow="1" w:lastRow="0" w:firstColumn="1" w:lastColumn="0" w:noHBand="0" w:noVBand="1"/>
      </w:tblPr>
      <w:tblGrid>
        <w:gridCol w:w="8500"/>
        <w:gridCol w:w="561"/>
      </w:tblGrid>
      <w:tr w:rsidR="008A2334" w:rsidRPr="00E17C1E" w:rsidTr="00E17C1E">
        <w:trPr>
          <w:trHeight w:val="326"/>
          <w:jc w:val="center"/>
        </w:trPr>
        <w:tc>
          <w:tcPr>
            <w:tcW w:w="8500" w:type="dxa"/>
            <w:shd w:val="clear" w:color="auto" w:fill="auto"/>
            <w:vAlign w:val="center"/>
          </w:tcPr>
          <w:p w:rsidR="002E1338" w:rsidRPr="004141CD" w:rsidRDefault="00F468F8" w:rsidP="008D3495">
            <w:pPr>
              <w:spacing w:before="120"/>
              <w:ind w:firstLine="0"/>
              <w:jc w:val="center"/>
              <w:rPr>
                <w:rFonts w:eastAsia="Times New Roman"/>
              </w:rPr>
            </w:pPr>
            <m:oMathPara>
              <m:oMath>
                <m:sSub>
                  <m:sSubPr>
                    <m:ctrlPr>
                      <w:rPr>
                        <w:rFonts w:ascii="Cambria Math" w:hAnsi="Cambria Math"/>
                        <w:i/>
                      </w:rPr>
                    </m:ctrlPr>
                  </m:sSubPr>
                  <m:e>
                    <m:r>
                      <w:rPr>
                        <w:rFonts w:ascii="Cambria Math" w:hAnsi="Cambria Math"/>
                      </w:rPr>
                      <m:t>CAA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Idade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Sexo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Sobrevivência</m:t>
                    </m:r>
                  </m:e>
                  <m:sub>
                    <m:r>
                      <w:rPr>
                        <w:rFonts w:ascii="Cambria Math" w:hAnsi="Cambria Math"/>
                      </w:rPr>
                      <m:t>i</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i</m:t>
                    </m:r>
                  </m:sub>
                </m:sSub>
              </m:oMath>
            </m:oMathPara>
          </w:p>
        </w:tc>
        <w:tc>
          <w:tcPr>
            <w:tcW w:w="561" w:type="dxa"/>
            <w:shd w:val="clear" w:color="auto" w:fill="auto"/>
            <w:vAlign w:val="center"/>
          </w:tcPr>
          <w:p w:rsidR="008A2334" w:rsidRPr="00E17C1E" w:rsidRDefault="008A2334" w:rsidP="00E17C1E">
            <w:pPr>
              <w:spacing w:before="120" w:after="120"/>
              <w:ind w:firstLine="0"/>
              <w:jc w:val="center"/>
            </w:pPr>
            <w:r w:rsidRPr="00E17C1E">
              <w:t>(I)</w:t>
            </w:r>
          </w:p>
        </w:tc>
      </w:tr>
      <w:tr w:rsidR="008A2334" w:rsidRPr="00E17C1E" w:rsidTr="00E17C1E">
        <w:trPr>
          <w:jc w:val="center"/>
        </w:trPr>
        <w:tc>
          <w:tcPr>
            <w:tcW w:w="8500" w:type="dxa"/>
            <w:shd w:val="clear" w:color="auto" w:fill="auto"/>
            <w:vAlign w:val="center"/>
          </w:tcPr>
          <w:p w:rsidR="008A2334" w:rsidRPr="004141CD" w:rsidRDefault="00F468F8" w:rsidP="008D3495">
            <w:pPr>
              <w:spacing w:after="120"/>
              <w:ind w:firstLine="0"/>
              <w:jc w:val="center"/>
            </w:pPr>
            <m:oMathPara>
              <m:oMath>
                <m:sSub>
                  <m:sSubPr>
                    <m:ctrlPr>
                      <w:rPr>
                        <w:rFonts w:ascii="Cambria Math" w:hAnsi="Cambria Math"/>
                        <w:i/>
                      </w:rPr>
                    </m:ctrlPr>
                  </m:sSubPr>
                  <m:e>
                    <m:r>
                      <w:rPr>
                        <w:rFonts w:ascii="Cambria Math" w:hAnsi="Cambria Math"/>
                      </w:rPr>
                      <m:t>CAM</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Idade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Sexo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3:15</m:t>
                    </m:r>
                  </m:sub>
                </m:sSub>
                <m:sSub>
                  <m:sSubPr>
                    <m:ctrlPr>
                      <w:rPr>
                        <w:rFonts w:ascii="Cambria Math" w:hAnsi="Cambria Math"/>
                        <w:i/>
                      </w:rPr>
                    </m:ctrlPr>
                  </m:sSubPr>
                  <m:e>
                    <m:r>
                      <w:rPr>
                        <w:rFonts w:ascii="Cambria Math" w:hAnsi="Cambria Math"/>
                      </w:rPr>
                      <m:t>Proximidade</m:t>
                    </m:r>
                  </m:e>
                  <m:sub>
                    <m:r>
                      <w:rPr>
                        <w:rFonts w:ascii="Cambria Math" w:hAnsi="Cambria Math"/>
                      </w:rPr>
                      <m:t>1:12,i</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ε</m:t>
                    </m:r>
                  </m:e>
                  <m:sub>
                    <m:r>
                      <w:rPr>
                        <w:rFonts w:ascii="Cambria Math" w:eastAsia="Times New Roman" w:hAnsi="Cambria Math"/>
                      </w:rPr>
                      <m:t>i</m:t>
                    </m:r>
                  </m:sub>
                </m:sSub>
              </m:oMath>
            </m:oMathPara>
          </w:p>
        </w:tc>
        <w:tc>
          <w:tcPr>
            <w:tcW w:w="561" w:type="dxa"/>
            <w:shd w:val="clear" w:color="auto" w:fill="auto"/>
            <w:vAlign w:val="center"/>
          </w:tcPr>
          <w:p w:rsidR="008A2334" w:rsidRPr="00E17C1E" w:rsidRDefault="008A2334" w:rsidP="00E17C1E">
            <w:pPr>
              <w:spacing w:before="120" w:after="120"/>
              <w:ind w:firstLine="0"/>
              <w:jc w:val="center"/>
            </w:pPr>
            <w:r w:rsidRPr="00E17C1E">
              <w:t>(II)</w:t>
            </w:r>
          </w:p>
        </w:tc>
      </w:tr>
    </w:tbl>
    <w:p w:rsidR="00AC3DFD" w:rsidRDefault="00AE3F7B" w:rsidP="0006252E">
      <w:pPr>
        <w:ind w:firstLine="709"/>
      </w:pPr>
      <w:r>
        <w:t xml:space="preserve">Em que </w:t>
      </w:r>
      <w:r w:rsidR="00A54BAC" w:rsidRPr="00A54BAC">
        <w:rPr>
          <w:i/>
        </w:rPr>
        <w:t>CAA</w:t>
      </w:r>
      <w:r w:rsidR="00A54BAC" w:rsidRPr="00A54BAC">
        <w:rPr>
          <w:i/>
          <w:vertAlign w:val="subscript"/>
        </w:rPr>
        <w:t>i</w:t>
      </w:r>
      <w:r w:rsidR="00A54BAC">
        <w:t xml:space="preserve">, </w:t>
      </w:r>
      <w:r w:rsidR="00A54BAC">
        <w:rPr>
          <w:i/>
        </w:rPr>
        <w:t>Idade</w:t>
      </w:r>
      <w:r w:rsidR="00A54BAC">
        <w:rPr>
          <w:i/>
          <w:vertAlign w:val="subscript"/>
        </w:rPr>
        <w:t>i</w:t>
      </w:r>
      <w:r w:rsidR="00A54BAC">
        <w:t xml:space="preserve"> e </w:t>
      </w:r>
      <w:r w:rsidR="00A54BAC">
        <w:rPr>
          <w:i/>
        </w:rPr>
        <w:t>Sexo</w:t>
      </w:r>
      <w:r w:rsidR="00A54BAC">
        <w:rPr>
          <w:i/>
          <w:vertAlign w:val="subscript"/>
        </w:rPr>
        <w:t>i</w:t>
      </w:r>
      <w:r w:rsidR="00A54BAC">
        <w:t xml:space="preserve"> representam, respectivamente, </w:t>
      </w:r>
      <w:r w:rsidR="004527C1">
        <w:t>a</w:t>
      </w:r>
      <w:r w:rsidR="00A54BAC">
        <w:t xml:space="preserve"> </w:t>
      </w:r>
      <w:r w:rsidR="004527C1">
        <w:t>raiz quadrada</w:t>
      </w:r>
      <w:r w:rsidR="008D3495">
        <w:t xml:space="preserve"> do </w:t>
      </w:r>
      <w:r w:rsidR="00A54BAC">
        <w:t>c</w:t>
      </w:r>
      <w:r w:rsidR="004527C1">
        <w:t xml:space="preserve">usto assistencial anual, </w:t>
      </w:r>
      <w:r w:rsidR="008D3495">
        <w:t>raiz quadrada da idade</w:t>
      </w:r>
      <w:r w:rsidR="00A54BAC">
        <w:t xml:space="preserve"> </w:t>
      </w:r>
      <w:r w:rsidR="004527C1">
        <w:t xml:space="preserve">e sexo </w:t>
      </w:r>
      <w:r w:rsidR="00A54BAC">
        <w:t xml:space="preserve">do </w:t>
      </w:r>
      <w:r w:rsidR="00A54BAC">
        <w:rPr>
          <w:i/>
        </w:rPr>
        <w:t>i</w:t>
      </w:r>
      <w:r w:rsidR="00A54BAC">
        <w:t xml:space="preserve">-ésimo beneficiário. </w:t>
      </w:r>
      <w:r w:rsidR="00651472">
        <w:rPr>
          <w:i/>
        </w:rPr>
        <w:t>C</w:t>
      </w:r>
      <w:r w:rsidR="002F357A" w:rsidRPr="002F357A">
        <w:rPr>
          <w:i/>
        </w:rPr>
        <w:t>A</w:t>
      </w:r>
      <w:r w:rsidR="00651472">
        <w:rPr>
          <w:i/>
        </w:rPr>
        <w:t>M</w:t>
      </w:r>
      <w:r w:rsidR="002F357A" w:rsidRPr="002F357A">
        <w:rPr>
          <w:i/>
          <w:vertAlign w:val="subscript"/>
        </w:rPr>
        <w:t>i</w:t>
      </w:r>
      <w:r w:rsidR="002F357A">
        <w:t xml:space="preserve"> e </w:t>
      </w:r>
      <w:r w:rsidR="002F357A" w:rsidRPr="002F357A">
        <w:rPr>
          <w:i/>
        </w:rPr>
        <w:t>Proximidade</w:t>
      </w:r>
      <w:r w:rsidR="002F357A" w:rsidRPr="002F357A">
        <w:rPr>
          <w:i/>
          <w:vertAlign w:val="subscript"/>
        </w:rPr>
        <w:t>i</w:t>
      </w:r>
      <w:r w:rsidR="002F357A">
        <w:rPr>
          <w:vertAlign w:val="subscript"/>
        </w:rPr>
        <w:t xml:space="preserve"> </w:t>
      </w:r>
      <w:r w:rsidR="008D3495">
        <w:t xml:space="preserve">são respectivamente </w:t>
      </w:r>
      <w:r w:rsidR="004527C1">
        <w:t>a raiz quadrada do</w:t>
      </w:r>
      <w:r w:rsidR="008D3495">
        <w:t xml:space="preserve"> </w:t>
      </w:r>
      <w:r w:rsidR="002F357A">
        <w:t xml:space="preserve">custo assistencial mensal e o mês antes do óbito do </w:t>
      </w:r>
      <w:r w:rsidR="002F357A">
        <w:rPr>
          <w:i/>
        </w:rPr>
        <w:t>i-</w:t>
      </w:r>
      <w:r w:rsidR="002F357A">
        <w:t>ésimo beneficiário que veio a óbito.</w:t>
      </w:r>
    </w:p>
    <w:p w:rsidR="001B0F18" w:rsidRDefault="00285635" w:rsidP="0006252E">
      <w:pPr>
        <w:ind w:firstLine="709"/>
      </w:pPr>
      <w:r>
        <w:t>O</w:t>
      </w:r>
      <w:r w:rsidR="00D960EA">
        <w:t>s dados levantados foram submetidos a uma série de análises estatísticas. Num primeiro momento, foi conduzida uma análise descritiva dos dados, com o intuito de facilitar a visualização da amostra com</w:t>
      </w:r>
      <w:r w:rsidR="001B0F18">
        <w:t xml:space="preserve"> relação às características dos beneficiários.</w:t>
      </w:r>
      <w:r w:rsidR="005577A6">
        <w:t xml:space="preserve"> </w:t>
      </w:r>
      <w:r w:rsidR="001B0F18">
        <w:t xml:space="preserve">Em conjunto com as análises descritivas, foram conduzidos testes de hipótese. Para comparar os custos assistenciais entre beneficiários sobreviventes e não-sobreviventes foram realizados o teste </w:t>
      </w:r>
      <w:r w:rsidR="001B0F18">
        <w:rPr>
          <w:i/>
        </w:rPr>
        <w:t>t</w:t>
      </w:r>
      <w:r w:rsidR="001B0F18">
        <w:t xml:space="preserve"> e o </w:t>
      </w:r>
      <w:r w:rsidR="00467FB6">
        <w:t xml:space="preserve">de </w:t>
      </w:r>
      <w:r w:rsidR="001B0F18">
        <w:t>Wilcoxon para a comparação de duas amostras independentes.</w:t>
      </w:r>
    </w:p>
    <w:p w:rsidR="00467FB6" w:rsidRDefault="00467FB6" w:rsidP="0006252E">
      <w:pPr>
        <w:ind w:firstLine="709"/>
      </w:pPr>
      <w:r>
        <w:t xml:space="preserve">Em seguida, para verificar se as variáveis independentes e de controle dos modelos são capazes de influenciar de modo significante os custos assistenciais dos beneficiários, foi utilizada a regressão quantílica. A escolha dessa técnica se deu, em um primeiro momento, em razão da sua maior robustez em relação a </w:t>
      </w:r>
      <w:r>
        <w:rPr>
          <w:i/>
        </w:rPr>
        <w:t>outliers</w:t>
      </w:r>
      <w:r>
        <w:t xml:space="preserve"> quando comparada com o método dos mínimos quarados ordinários </w:t>
      </w:r>
      <w:r w:rsidR="00E95BF8">
        <w:t xml:space="preserve">(MQO) </w:t>
      </w:r>
      <w:r>
        <w:t>(</w:t>
      </w:r>
      <w:r w:rsidR="00E95BF8">
        <w:t>J</w:t>
      </w:r>
      <w:r w:rsidR="00896273">
        <w:t>ONH</w:t>
      </w:r>
      <w:r w:rsidR="00E95BF8">
        <w:t>, 2015). Essa robustez é importante uma vez que bancos de dados ligados a custos assistenciais de saúde, não raro, apresentam valores extremos (L</w:t>
      </w:r>
      <w:r w:rsidR="00896273">
        <w:t xml:space="preserve">UMLEY </w:t>
      </w:r>
      <w:r w:rsidR="00896273">
        <w:rPr>
          <w:i/>
        </w:rPr>
        <w:t>et al</w:t>
      </w:r>
      <w:r w:rsidR="00896273" w:rsidRPr="0006252E">
        <w:t>.,</w:t>
      </w:r>
      <w:r w:rsidR="00E95BF8">
        <w:t xml:space="preserve"> 2002). Além disso, o MQO baseia-se, principalmente na distribuição central dos dados, enquanto a regressão quantílica permite o estudo em toda sua distribuição (Y</w:t>
      </w:r>
      <w:r w:rsidR="00135D95">
        <w:t>U; WANG; WU</w:t>
      </w:r>
      <w:r w:rsidR="00E95BF8">
        <w:t>, 2015).</w:t>
      </w:r>
    </w:p>
    <w:p w:rsidR="00A041B5" w:rsidRDefault="00285635" w:rsidP="0006252E">
      <w:pPr>
        <w:ind w:firstLine="709"/>
      </w:pPr>
      <w:r>
        <w:t xml:space="preserve">Além da significância estatística, buscou-se também atribuir um grau de importância para as variáveis independentes e de controle na determinação dos custos assistenciais. Para isso </w:t>
      </w:r>
      <w:r w:rsidR="0043623C">
        <w:t>foram utilizadas a árvore</w:t>
      </w:r>
      <w:r>
        <w:t xml:space="preserve"> de classificação e regressão (CART) e o </w:t>
      </w:r>
      <w:r>
        <w:rPr>
          <w:i/>
        </w:rPr>
        <w:t>random forest</w:t>
      </w:r>
      <w:r>
        <w:t xml:space="preserve"> (RF).</w:t>
      </w:r>
      <w:r w:rsidR="0043623C">
        <w:t xml:space="preserve"> </w:t>
      </w:r>
    </w:p>
    <w:p w:rsidR="00712EED" w:rsidRPr="00E43125" w:rsidRDefault="0043623C" w:rsidP="0006252E">
      <w:pPr>
        <w:ind w:firstLine="709"/>
      </w:pPr>
      <w:r>
        <w:t>A CART, proposta por Briman, Friedman, Olshen e Stone em 1984, é um dos tipos de árvore de decisão mais eficazes e mais conhecidos que existe (T</w:t>
      </w:r>
      <w:r w:rsidR="00135D95">
        <w:t>UFFÉRY</w:t>
      </w:r>
      <w:r>
        <w:t>, 2011). A lógica de uma árvore de decisão é segregar os indivíduos de uma amostra original, chamada de nó pai, em subamostras menores, com médias mais distintas possível e variância cada vez menor.</w:t>
      </w:r>
      <w:r w:rsidR="0035449F">
        <w:t xml:space="preserve"> </w:t>
      </w:r>
      <w:r w:rsidR="00712EED">
        <w:t xml:space="preserve">O </w:t>
      </w:r>
      <w:r w:rsidR="00E43125" w:rsidRPr="00E43125">
        <w:t>RF</w:t>
      </w:r>
      <w:r w:rsidR="00712EED">
        <w:t xml:space="preserve"> é um algoritmo proposto por Breiman em 2001, o qual é capaz de gerar, de maneira aleatória, diferentes árvores de decisão em diferentes subespaços amostrais obtidos por meio do método de amostragem </w:t>
      </w:r>
      <w:r w:rsidR="00712EED" w:rsidRPr="00E86D39">
        <w:rPr>
          <w:i/>
        </w:rPr>
        <w:t>bootstrap</w:t>
      </w:r>
      <w:r w:rsidR="008B2BFA">
        <w:t xml:space="preserve"> (</w:t>
      </w:r>
      <w:r w:rsidR="00135D95">
        <w:t>NISBET, ELDER; MINER</w:t>
      </w:r>
      <w:r w:rsidR="008B2BFA">
        <w:t>, 2009).</w:t>
      </w:r>
      <w:r w:rsidR="00E43125">
        <w:t xml:space="preserve"> Para casos de regressão, a CART e o RF apresentam como forma de medir a importância de uma variável a redução média de impureza (</w:t>
      </w:r>
      <w:r w:rsidR="00E43125">
        <w:rPr>
          <w:i/>
        </w:rPr>
        <w:t>average impurity reduction</w:t>
      </w:r>
      <w:r w:rsidR="00E43125">
        <w:t xml:space="preserve">) que mensura o efeito que determinada </w:t>
      </w:r>
      <w:r w:rsidR="00E43125">
        <w:lastRenderedPageBreak/>
        <w:t>variável tem sobre a pureza dos nós gerados (</w:t>
      </w:r>
      <w:r w:rsidR="00135D95">
        <w:t>GRÖMPING</w:t>
      </w:r>
      <w:r w:rsidR="00E43125">
        <w:t>, 2009). O RF, também apresenta uma forma alternativa de medir a importância das variáveis que se baseia no aumento do quadrado médio do erro (QME) quando os valores de uma variável são permutados (</w:t>
      </w:r>
      <w:r w:rsidR="00135D95">
        <w:t>GENUER, POGGI; TULEAU-MALOT</w:t>
      </w:r>
      <w:r w:rsidR="00E43125">
        <w:t>, 2010).</w:t>
      </w:r>
    </w:p>
    <w:p w:rsidR="008B2BFA" w:rsidRPr="008448EB" w:rsidRDefault="008448EB" w:rsidP="0006252E">
      <w:pPr>
        <w:ind w:firstLine="709"/>
      </w:pPr>
      <w:r>
        <w:t xml:space="preserve">Todas as análises estatísticas foram executadas com o </w:t>
      </w:r>
      <w:r>
        <w:rPr>
          <w:i/>
        </w:rPr>
        <w:t>software</w:t>
      </w:r>
      <w:r>
        <w:t xml:space="preserve"> R (</w:t>
      </w:r>
      <w:r w:rsidR="00135D95">
        <w:t>R CORE TEAM</w:t>
      </w:r>
      <w:r>
        <w:t xml:space="preserve">, 2016). Para as estatísticas descritivas, e os testes T e de Wilcoxon foi utilizado o pacote </w:t>
      </w:r>
      <w:r>
        <w:rPr>
          <w:i/>
        </w:rPr>
        <w:t>stats</w:t>
      </w:r>
      <w:r>
        <w:t xml:space="preserve">. Para a regressão quantílica foi utilizado o pacote </w:t>
      </w:r>
      <w:r>
        <w:rPr>
          <w:i/>
        </w:rPr>
        <w:t>quantreg</w:t>
      </w:r>
      <w:r>
        <w:t xml:space="preserve"> (K</w:t>
      </w:r>
      <w:r w:rsidR="00135D95">
        <w:t>OENKER</w:t>
      </w:r>
      <w:r>
        <w:t xml:space="preserve">, 2016). Para verificar a importância das variáveis por meio da CART, usou-se o pacote </w:t>
      </w:r>
      <w:r>
        <w:rPr>
          <w:i/>
        </w:rPr>
        <w:t xml:space="preserve">rpart </w:t>
      </w:r>
      <w:r>
        <w:t>(</w:t>
      </w:r>
      <w:r w:rsidR="00135D95">
        <w:t>THERNEAU, ATKINSON; RIPLEY, 2015</w:t>
      </w:r>
      <w:r>
        <w:t xml:space="preserve">), enquanto para o </w:t>
      </w:r>
      <w:r>
        <w:rPr>
          <w:i/>
        </w:rPr>
        <w:t>random forest</w:t>
      </w:r>
      <w:r>
        <w:t xml:space="preserve">, foi feito uso do pacote </w:t>
      </w:r>
      <w:r>
        <w:rPr>
          <w:i/>
        </w:rPr>
        <w:t xml:space="preserve">randomForest </w:t>
      </w:r>
      <w:r>
        <w:t>(</w:t>
      </w:r>
      <w:r w:rsidR="00135D95">
        <w:t xml:space="preserve">LIAW; WIENER, </w:t>
      </w:r>
      <w:r>
        <w:t>2002).</w:t>
      </w:r>
    </w:p>
    <w:p w:rsidR="00C91086" w:rsidRDefault="00C91086" w:rsidP="00C91086">
      <w:pPr>
        <w:pStyle w:val="Ttulo1"/>
      </w:pPr>
      <w:r>
        <w:t>R</w:t>
      </w:r>
      <w:r w:rsidR="00744773">
        <w:t>esultados</w:t>
      </w:r>
    </w:p>
    <w:p w:rsidR="005C0FE2" w:rsidRPr="005C0FE2" w:rsidRDefault="005C0FE2" w:rsidP="005C0FE2"/>
    <w:p w:rsidR="00135D95" w:rsidRDefault="005C0FE2" w:rsidP="0006252E">
      <w:pPr>
        <w:ind w:firstLine="709"/>
      </w:pPr>
      <w:r>
        <w:t>Seguindo a estr</w:t>
      </w:r>
      <w:r w:rsidR="005D405C">
        <w:t xml:space="preserve">atégia metodológica traçada, a análise dos dados inicia-se com o cálculo de estatísticas descritivas, com o intuito de compreender melhor a amostra segundo as suas características. Os resultados podem ser vistos na Tabela </w:t>
      </w:r>
      <w:r w:rsidR="00DC0E6C">
        <w:t>1</w:t>
      </w:r>
      <w:r w:rsidR="005D405C">
        <w:t>.</w:t>
      </w:r>
    </w:p>
    <w:p w:rsidR="005D405C" w:rsidRDefault="005D405C" w:rsidP="005C0FE2"/>
    <w:p w:rsidR="005900E0" w:rsidRDefault="005900E0" w:rsidP="005C0FE2"/>
    <w:p w:rsidR="00060ED4" w:rsidRPr="00060ED4" w:rsidRDefault="0075343A">
      <w:pPr>
        <w:pStyle w:val="Legenda"/>
        <w:keepNext/>
        <w:spacing w:after="0"/>
        <w:ind w:firstLine="0"/>
        <w:rPr>
          <w:i w:val="0"/>
          <w:color w:val="auto"/>
          <w:sz w:val="24"/>
        </w:rPr>
      </w:pPr>
      <w:r w:rsidRPr="0075343A">
        <w:rPr>
          <w:i w:val="0"/>
          <w:color w:val="auto"/>
          <w:sz w:val="24"/>
        </w:rPr>
        <w:t xml:space="preserve">Tabela </w:t>
      </w:r>
      <w:r w:rsidR="00DC0E6C">
        <w:rPr>
          <w:i w:val="0"/>
          <w:color w:val="auto"/>
          <w:sz w:val="24"/>
        </w:rPr>
        <w:t>1</w:t>
      </w:r>
      <w:r w:rsidR="00DC0E6C" w:rsidRPr="0075343A">
        <w:rPr>
          <w:i w:val="0"/>
          <w:color w:val="auto"/>
          <w:sz w:val="24"/>
        </w:rPr>
        <w:t xml:space="preserve"> </w:t>
      </w:r>
      <w:r w:rsidRPr="0075343A">
        <w:rPr>
          <w:i w:val="0"/>
          <w:color w:val="auto"/>
          <w:sz w:val="24"/>
        </w:rPr>
        <w:t>– Estatística descritiva dos beneficiários agregados e por grupos de sobrevi</w:t>
      </w:r>
      <w:r>
        <w:rPr>
          <w:i w:val="0"/>
          <w:color w:val="auto"/>
          <w:sz w:val="24"/>
        </w:rPr>
        <w:t>v</w:t>
      </w:r>
      <w:r w:rsidRPr="0075343A">
        <w:rPr>
          <w:i w:val="0"/>
          <w:color w:val="auto"/>
          <w:sz w:val="24"/>
        </w:rPr>
        <w:t>ência</w:t>
      </w:r>
    </w:p>
    <w:tbl>
      <w:tblPr>
        <w:tblW w:w="0" w:type="auto"/>
        <w:tblCellMar>
          <w:left w:w="70" w:type="dxa"/>
          <w:right w:w="70" w:type="dxa"/>
        </w:tblCellMar>
        <w:tblLook w:val="04A0" w:firstRow="1" w:lastRow="0" w:firstColumn="1" w:lastColumn="0" w:noHBand="0" w:noVBand="1"/>
      </w:tblPr>
      <w:tblGrid>
        <w:gridCol w:w="1276"/>
        <w:gridCol w:w="896"/>
        <w:gridCol w:w="1207"/>
        <w:gridCol w:w="1274"/>
        <w:gridCol w:w="1623"/>
      </w:tblGrid>
      <w:tr w:rsidR="00DE39D6" w:rsidRPr="00E17C1E" w:rsidTr="0006252E">
        <w:trPr>
          <w:trHeight w:val="300"/>
        </w:trPr>
        <w:tc>
          <w:tcPr>
            <w:tcW w:w="1276" w:type="dxa"/>
            <w:tcBorders>
              <w:top w:val="single" w:sz="4" w:space="0" w:color="auto"/>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single" w:sz="4" w:space="0" w:color="auto"/>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Beneficiários</w:t>
            </w:r>
          </w:p>
        </w:tc>
        <w:tc>
          <w:tcPr>
            <w:tcW w:w="0" w:type="auto"/>
            <w:tcBorders>
              <w:top w:val="single" w:sz="4" w:space="0" w:color="auto"/>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Sobreviventes</w:t>
            </w:r>
          </w:p>
        </w:tc>
        <w:tc>
          <w:tcPr>
            <w:tcW w:w="0" w:type="auto"/>
            <w:tcBorders>
              <w:top w:val="single" w:sz="4" w:space="0" w:color="auto"/>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Não sobreviventes</w:t>
            </w:r>
          </w:p>
        </w:tc>
      </w:tr>
      <w:tr w:rsidR="00DE39D6" w:rsidRPr="00E17C1E" w:rsidTr="0006252E">
        <w:trPr>
          <w:trHeight w:val="300"/>
        </w:trPr>
        <w:tc>
          <w:tcPr>
            <w:tcW w:w="1276" w:type="dxa"/>
            <w:vMerge w:val="restart"/>
            <w:tcBorders>
              <w:top w:val="single" w:sz="4" w:space="0" w:color="auto"/>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Sexo</w:t>
            </w:r>
          </w:p>
        </w:tc>
        <w:tc>
          <w:tcPr>
            <w:tcW w:w="227" w:type="dxa"/>
            <w:tcBorders>
              <w:top w:val="single" w:sz="4" w:space="0" w:color="auto"/>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Homens</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135.244</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134.738</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506</w:t>
            </w:r>
          </w:p>
        </w:tc>
      </w:tr>
      <w:tr w:rsidR="00DE39D6" w:rsidRPr="00E17C1E" w:rsidTr="0006252E">
        <w:trPr>
          <w:trHeight w:val="300"/>
        </w:trPr>
        <w:tc>
          <w:tcPr>
            <w:tcW w:w="1276" w:type="dxa"/>
            <w:vMerge/>
            <w:tcBorders>
              <w:top w:val="single" w:sz="4" w:space="0" w:color="000000"/>
              <w:left w:val="nil"/>
              <w:bottom w:val="single" w:sz="4" w:space="0" w:color="auto"/>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Mulheres</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190.850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190.095</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755</w:t>
            </w:r>
          </w:p>
        </w:tc>
      </w:tr>
      <w:tr w:rsidR="00DE39D6" w:rsidRPr="00E17C1E" w:rsidTr="0006252E">
        <w:trPr>
          <w:trHeight w:val="300"/>
        </w:trPr>
        <w:tc>
          <w:tcPr>
            <w:tcW w:w="1276" w:type="dxa"/>
            <w:vMerge/>
            <w:tcBorders>
              <w:top w:val="single" w:sz="4" w:space="0" w:color="000000"/>
              <w:left w:val="nil"/>
              <w:bottom w:val="single" w:sz="4" w:space="0" w:color="auto"/>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single" w:sz="4" w:space="0" w:color="auto"/>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Total</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326.094</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324.833</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1.261</w:t>
            </w:r>
          </w:p>
        </w:tc>
      </w:tr>
      <w:tr w:rsidR="00DE39D6" w:rsidRPr="00E17C1E" w:rsidTr="0006252E">
        <w:trPr>
          <w:trHeight w:val="300"/>
        </w:trPr>
        <w:tc>
          <w:tcPr>
            <w:tcW w:w="1276" w:type="dxa"/>
            <w:vMerge w:val="restart"/>
            <w:tcBorders>
              <w:top w:val="single" w:sz="4" w:space="0" w:color="auto"/>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Idade</w:t>
            </w: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Média</w:t>
            </w:r>
          </w:p>
        </w:tc>
        <w:tc>
          <w:tcPr>
            <w:tcW w:w="0" w:type="auto"/>
            <w:tcBorders>
              <w:top w:val="single" w:sz="4" w:space="0" w:color="auto"/>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35,96</w:t>
            </w:r>
          </w:p>
        </w:tc>
        <w:tc>
          <w:tcPr>
            <w:tcW w:w="0" w:type="auto"/>
            <w:tcBorders>
              <w:top w:val="single" w:sz="4" w:space="0" w:color="auto"/>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35,80</w:t>
            </w:r>
          </w:p>
        </w:tc>
        <w:tc>
          <w:tcPr>
            <w:tcW w:w="0" w:type="auto"/>
            <w:tcBorders>
              <w:top w:val="single" w:sz="4" w:space="0" w:color="auto"/>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76,58</w:t>
            </w:r>
          </w:p>
        </w:tc>
      </w:tr>
      <w:tr w:rsidR="00DE39D6" w:rsidRPr="00E17C1E" w:rsidTr="0006252E">
        <w:trPr>
          <w:trHeight w:val="300"/>
        </w:trPr>
        <w:tc>
          <w:tcPr>
            <w:tcW w:w="1276" w:type="dxa"/>
            <w:vMerge/>
            <w:tcBorders>
              <w:top w:val="nil"/>
              <w:left w:val="nil"/>
              <w:bottom w:val="nil"/>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Mediana</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34,00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34,00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81,00</w:t>
            </w:r>
          </w:p>
        </w:tc>
      </w:tr>
      <w:tr w:rsidR="00DE39D6" w:rsidRPr="00E17C1E" w:rsidTr="0006252E">
        <w:trPr>
          <w:trHeight w:val="300"/>
        </w:trPr>
        <w:tc>
          <w:tcPr>
            <w:tcW w:w="1276" w:type="dxa"/>
            <w:vMerge/>
            <w:tcBorders>
              <w:top w:val="nil"/>
              <w:left w:val="nil"/>
              <w:bottom w:val="nil"/>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Desvio</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22,21</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22,08</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17,89</w:t>
            </w:r>
          </w:p>
        </w:tc>
      </w:tr>
      <w:tr w:rsidR="00DE39D6" w:rsidRPr="00E17C1E" w:rsidTr="0006252E">
        <w:trPr>
          <w:trHeight w:val="300"/>
        </w:trPr>
        <w:tc>
          <w:tcPr>
            <w:tcW w:w="1276" w:type="dxa"/>
            <w:vMerge/>
            <w:tcBorders>
              <w:top w:val="nil"/>
              <w:left w:val="nil"/>
              <w:bottom w:val="nil"/>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w:t>
            </w:r>
            <w:r w:rsidR="00744773">
              <w:rPr>
                <w:rFonts w:eastAsia="Times New Roman"/>
                <w:color w:val="000000"/>
                <w:sz w:val="20"/>
                <w:szCs w:val="20"/>
                <w:lang w:eastAsia="pt-BR"/>
              </w:rPr>
              <w:t>í</w:t>
            </w:r>
            <w:r w:rsidRPr="00DE39D6">
              <w:rPr>
                <w:rFonts w:eastAsia="Times New Roman"/>
                <w:color w:val="000000"/>
                <w:sz w:val="20"/>
                <w:szCs w:val="20"/>
                <w:lang w:eastAsia="pt-BR"/>
              </w:rPr>
              <w:t>nimo</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0,00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0,00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0,00</w:t>
            </w:r>
          </w:p>
        </w:tc>
      </w:tr>
      <w:tr w:rsidR="00DE39D6" w:rsidRPr="00E17C1E" w:rsidTr="0006252E">
        <w:trPr>
          <w:trHeight w:val="300"/>
        </w:trPr>
        <w:tc>
          <w:tcPr>
            <w:tcW w:w="1276" w:type="dxa"/>
            <w:vMerge/>
            <w:tcBorders>
              <w:top w:val="nil"/>
              <w:left w:val="nil"/>
              <w:bottom w:val="nil"/>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Máximo</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109,00</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109,00</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105,00</w:t>
            </w:r>
          </w:p>
        </w:tc>
      </w:tr>
      <w:tr w:rsidR="00DE39D6" w:rsidRPr="00E17C1E" w:rsidTr="0006252E">
        <w:trPr>
          <w:trHeight w:val="300"/>
        </w:trPr>
        <w:tc>
          <w:tcPr>
            <w:tcW w:w="1276" w:type="dxa"/>
            <w:vMerge w:val="restart"/>
            <w:tcBorders>
              <w:top w:val="single" w:sz="4" w:space="0" w:color="auto"/>
              <w:left w:val="nil"/>
              <w:bottom w:val="single" w:sz="4" w:space="0" w:color="000000"/>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Custo</w:t>
            </w:r>
          </w:p>
        </w:tc>
        <w:tc>
          <w:tcPr>
            <w:tcW w:w="227" w:type="dxa"/>
            <w:tcBorders>
              <w:top w:val="single" w:sz="4" w:space="0" w:color="auto"/>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Média</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2.905,80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2.621,84</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76.052,64</w:t>
            </w:r>
          </w:p>
        </w:tc>
      </w:tr>
      <w:tr w:rsidR="00DE39D6" w:rsidRPr="00E17C1E" w:rsidTr="0006252E">
        <w:trPr>
          <w:trHeight w:val="300"/>
        </w:trPr>
        <w:tc>
          <w:tcPr>
            <w:tcW w:w="1276" w:type="dxa"/>
            <w:vMerge/>
            <w:tcBorders>
              <w:top w:val="single" w:sz="4" w:space="0" w:color="auto"/>
              <w:left w:val="nil"/>
              <w:bottom w:val="single" w:sz="4" w:space="0" w:color="000000"/>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Mediana</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741,00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737,08</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47.511,83</w:t>
            </w:r>
          </w:p>
        </w:tc>
      </w:tr>
      <w:tr w:rsidR="00DE39D6" w:rsidRPr="00E17C1E" w:rsidTr="0006252E">
        <w:trPr>
          <w:trHeight w:val="300"/>
        </w:trPr>
        <w:tc>
          <w:tcPr>
            <w:tcW w:w="1276" w:type="dxa"/>
            <w:vMerge/>
            <w:tcBorders>
              <w:top w:val="single" w:sz="4" w:space="0" w:color="auto"/>
              <w:left w:val="nil"/>
              <w:bottom w:val="single" w:sz="4" w:space="0" w:color="000000"/>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Desvio</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13.918,03</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11.879,69</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91.513,87</w:t>
            </w:r>
          </w:p>
        </w:tc>
      </w:tr>
      <w:tr w:rsidR="00DE39D6" w:rsidRPr="00E17C1E" w:rsidTr="0006252E">
        <w:trPr>
          <w:trHeight w:val="300"/>
        </w:trPr>
        <w:tc>
          <w:tcPr>
            <w:tcW w:w="1276" w:type="dxa"/>
            <w:vMerge/>
            <w:tcBorders>
              <w:top w:val="single" w:sz="4" w:space="0" w:color="auto"/>
              <w:left w:val="nil"/>
              <w:bottom w:val="single" w:sz="4" w:space="0" w:color="000000"/>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nil"/>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Mínimo</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1,40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1,40</w:t>
            </w:r>
          </w:p>
        </w:tc>
        <w:tc>
          <w:tcPr>
            <w:tcW w:w="0" w:type="auto"/>
            <w:tcBorders>
              <w:top w:val="nil"/>
              <w:left w:val="nil"/>
              <w:bottom w:val="nil"/>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30,00</w:t>
            </w:r>
          </w:p>
        </w:tc>
      </w:tr>
      <w:tr w:rsidR="00DE39D6" w:rsidRPr="00E17C1E" w:rsidTr="0006252E">
        <w:trPr>
          <w:trHeight w:val="300"/>
        </w:trPr>
        <w:tc>
          <w:tcPr>
            <w:tcW w:w="1276" w:type="dxa"/>
            <w:vMerge/>
            <w:tcBorders>
              <w:top w:val="single" w:sz="4" w:space="0" w:color="auto"/>
              <w:left w:val="nil"/>
              <w:bottom w:val="single" w:sz="4" w:space="0" w:color="000000"/>
              <w:right w:val="nil"/>
            </w:tcBorders>
            <w:vAlign w:val="center"/>
            <w:hideMark/>
          </w:tcPr>
          <w:p w:rsidR="00DE39D6" w:rsidRPr="00DE39D6" w:rsidRDefault="00DE39D6" w:rsidP="0075343A">
            <w:pPr>
              <w:ind w:firstLine="0"/>
              <w:jc w:val="center"/>
              <w:rPr>
                <w:rFonts w:eastAsia="Times New Roman"/>
                <w:color w:val="000000"/>
                <w:sz w:val="20"/>
                <w:szCs w:val="20"/>
                <w:lang w:eastAsia="pt-BR"/>
              </w:rPr>
            </w:pPr>
          </w:p>
        </w:tc>
        <w:tc>
          <w:tcPr>
            <w:tcW w:w="227" w:type="dxa"/>
            <w:tcBorders>
              <w:top w:val="nil"/>
              <w:left w:val="nil"/>
              <w:bottom w:val="single" w:sz="4" w:space="0" w:color="auto"/>
              <w:right w:val="single" w:sz="4" w:space="0" w:color="auto"/>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Máximo</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1.008.070,00</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1.008.070,00</w:t>
            </w:r>
          </w:p>
        </w:tc>
        <w:tc>
          <w:tcPr>
            <w:tcW w:w="0" w:type="auto"/>
            <w:tcBorders>
              <w:top w:val="nil"/>
              <w:left w:val="nil"/>
              <w:bottom w:val="single" w:sz="4" w:space="0" w:color="auto"/>
              <w:right w:val="nil"/>
            </w:tcBorders>
            <w:shd w:val="clear" w:color="auto" w:fill="auto"/>
            <w:noWrap/>
            <w:vAlign w:val="center"/>
            <w:hideMark/>
          </w:tcPr>
          <w:p w:rsidR="00DE39D6" w:rsidRPr="00DE39D6" w:rsidRDefault="00DE39D6" w:rsidP="0075343A">
            <w:pPr>
              <w:ind w:firstLine="0"/>
              <w:jc w:val="center"/>
              <w:rPr>
                <w:rFonts w:eastAsia="Times New Roman"/>
                <w:color w:val="000000"/>
                <w:sz w:val="20"/>
                <w:szCs w:val="20"/>
                <w:lang w:eastAsia="pt-BR"/>
              </w:rPr>
            </w:pPr>
            <w:r w:rsidRPr="00DE39D6">
              <w:rPr>
                <w:rFonts w:eastAsia="Times New Roman"/>
                <w:color w:val="000000"/>
                <w:sz w:val="20"/>
                <w:szCs w:val="20"/>
                <w:lang w:eastAsia="pt-BR"/>
              </w:rPr>
              <w:t>634.986,90</w:t>
            </w:r>
          </w:p>
        </w:tc>
      </w:tr>
    </w:tbl>
    <w:p w:rsidR="00744773" w:rsidRDefault="00744773" w:rsidP="00744773">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DE39D6" w:rsidRDefault="00DE39D6" w:rsidP="005D405C"/>
    <w:p w:rsidR="00744773" w:rsidRPr="000A4E19" w:rsidRDefault="005D405C" w:rsidP="0006252E">
      <w:pPr>
        <w:ind w:firstLine="709"/>
      </w:pPr>
      <w:r>
        <w:t>É possível perceber, num primeiro momento, que há uma pequena parcela de beneficiários que vieram a óbito no período analisado, totalizando</w:t>
      </w:r>
      <w:r w:rsidR="000E00D0">
        <w:t xml:space="preserve"> </w:t>
      </w:r>
      <w:r>
        <w:t>1.261, o que representa 0,39% de toda a amostra uti</w:t>
      </w:r>
      <w:r w:rsidR="000A4E19">
        <w:t xml:space="preserve">lizada. Apesar disso, o custo total anual dos beneficiários que vieram a óbito representa 10,12% do total da amostra, indicando a relevância desse fator para os custos. Isso também é corroborado com os valores obtidos para as médias e medianas do custo quando se separam os grupos de sobreviventes e não sobreviventes. A média do último grupo é 29 vezes maior que a média dos sobreviventes, enquanto a mediana mais de 60 vezes superior. A observação dos valores máximos, bem como a comparação das médias e medianas dentro dos grupos revela ainda que os </w:t>
      </w:r>
      <w:r w:rsidR="000A4E19">
        <w:rPr>
          <w:i/>
        </w:rPr>
        <w:t>outliers</w:t>
      </w:r>
      <w:r w:rsidR="000A4E19">
        <w:t xml:space="preserve"> são de fato uma preocupação no banco de dados.</w:t>
      </w:r>
    </w:p>
    <w:p w:rsidR="00A16E23" w:rsidRDefault="000A4E19" w:rsidP="0006252E">
      <w:pPr>
        <w:ind w:firstLine="709"/>
      </w:pPr>
      <w:r>
        <w:t>Dando continuidade à análise, dada a evidência de que há uma diferença entre o custo dos beneficiários sobreviventes e não sobreviventes, foram realizados testes T e de Wilcoxon para verificar se esta diferença é estatisticamente significante. Aproveitou-se ainda para realizar a comparação considerando grupos etários diferentes</w:t>
      </w:r>
      <w:r w:rsidR="002A18FB">
        <w:t xml:space="preserve">: num primeiro momento realizaram-se os testes com a amostra completa; em seguida foram excluídos os beneficiários com menos de 60 </w:t>
      </w:r>
      <w:r w:rsidR="002A18FB">
        <w:lastRenderedPageBreak/>
        <w:t xml:space="preserve">anos e realizado um novo teste; no passo seguinte foram considerados apenas aqueles com idade igual ou superior a 70 anos, e assim sucessivamente até que se tivesse apenas usuários com 90 anos ou mais. Os resultados são expostos na Tabela </w:t>
      </w:r>
      <w:r w:rsidR="00DC0E6C">
        <w:t>2</w:t>
      </w:r>
      <w:r w:rsidR="002A18FB">
        <w:t>.</w:t>
      </w:r>
    </w:p>
    <w:p w:rsidR="000E00D0" w:rsidRDefault="000E00D0" w:rsidP="004C668B"/>
    <w:p w:rsidR="000E00D0" w:rsidRPr="00744773" w:rsidRDefault="000E00D0" w:rsidP="000E00D0">
      <w:pPr>
        <w:pStyle w:val="Legenda"/>
        <w:keepNext/>
        <w:spacing w:after="0"/>
        <w:ind w:firstLine="0"/>
        <w:jc w:val="left"/>
        <w:rPr>
          <w:i w:val="0"/>
          <w:color w:val="auto"/>
          <w:sz w:val="24"/>
        </w:rPr>
      </w:pPr>
      <w:r w:rsidRPr="00744773">
        <w:rPr>
          <w:i w:val="0"/>
          <w:color w:val="auto"/>
          <w:sz w:val="24"/>
        </w:rPr>
        <w:t xml:space="preserve">Tabela </w:t>
      </w:r>
      <w:r w:rsidR="00DC0E6C">
        <w:rPr>
          <w:i w:val="0"/>
          <w:color w:val="auto"/>
          <w:sz w:val="24"/>
        </w:rPr>
        <w:t>2</w:t>
      </w:r>
      <w:r w:rsidR="00DC0E6C" w:rsidRPr="00744773">
        <w:rPr>
          <w:i w:val="0"/>
          <w:color w:val="auto"/>
          <w:sz w:val="24"/>
        </w:rPr>
        <w:t xml:space="preserve"> </w:t>
      </w:r>
      <w:r w:rsidRPr="00744773">
        <w:rPr>
          <w:i w:val="0"/>
          <w:color w:val="auto"/>
          <w:sz w:val="24"/>
        </w:rPr>
        <w:t xml:space="preserve">– Teste T e de Wilcoxon </w:t>
      </w:r>
      <w:r>
        <w:rPr>
          <w:i w:val="0"/>
          <w:color w:val="auto"/>
          <w:sz w:val="24"/>
        </w:rPr>
        <w:t>para os custos dos sobreviventes e não sobreviventes</w:t>
      </w:r>
    </w:p>
    <w:tbl>
      <w:tblPr>
        <w:tblW w:w="0" w:type="auto"/>
        <w:tblCellMar>
          <w:left w:w="70" w:type="dxa"/>
          <w:right w:w="70" w:type="dxa"/>
        </w:tblCellMar>
        <w:tblLook w:val="04A0" w:firstRow="1" w:lastRow="0" w:firstColumn="1" w:lastColumn="0" w:noHBand="0" w:noVBand="1"/>
      </w:tblPr>
      <w:tblGrid>
        <w:gridCol w:w="1722"/>
        <w:gridCol w:w="940"/>
        <w:gridCol w:w="940"/>
        <w:gridCol w:w="940"/>
        <w:gridCol w:w="785"/>
        <w:gridCol w:w="1190"/>
        <w:gridCol w:w="654"/>
        <w:gridCol w:w="1030"/>
      </w:tblGrid>
      <w:tr w:rsidR="000E00D0" w:rsidRPr="00E17C1E" w:rsidTr="001E4B3E">
        <w:trPr>
          <w:trHeight w:val="255"/>
        </w:trPr>
        <w:tc>
          <w:tcPr>
            <w:tcW w:w="0" w:type="auto"/>
            <w:tcBorders>
              <w:top w:val="single" w:sz="4" w:space="0" w:color="auto"/>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 </w:t>
            </w:r>
          </w:p>
        </w:tc>
        <w:tc>
          <w:tcPr>
            <w:tcW w:w="0" w:type="auto"/>
            <w:gridSpan w:val="5"/>
            <w:tcBorders>
              <w:top w:val="single" w:sz="4" w:space="0" w:color="auto"/>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Custo</w:t>
            </w:r>
          </w:p>
        </w:tc>
        <w:tc>
          <w:tcPr>
            <w:tcW w:w="0" w:type="auto"/>
            <w:gridSpan w:val="2"/>
            <w:tcBorders>
              <w:top w:val="single" w:sz="4" w:space="0" w:color="auto"/>
              <w:left w:val="single" w:sz="4" w:space="0" w:color="auto"/>
              <w:bottom w:val="nil"/>
              <w:right w:val="nil"/>
            </w:tcBorders>
            <w:shd w:val="clear" w:color="auto" w:fill="auto"/>
            <w:noWrap/>
            <w:vAlign w:val="bottom"/>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Estatística de Teste</w:t>
            </w:r>
          </w:p>
        </w:tc>
      </w:tr>
      <w:tr w:rsidR="000E00D0" w:rsidRPr="00E17C1E" w:rsidTr="001E4B3E">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 </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Média</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Mediana</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Desvio</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Mínimo</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Máximo</w:t>
            </w:r>
          </w:p>
        </w:tc>
        <w:tc>
          <w:tcPr>
            <w:tcW w:w="0" w:type="auto"/>
            <w:tcBorders>
              <w:top w:val="nil"/>
              <w:left w:val="single" w:sz="4" w:space="0" w:color="auto"/>
              <w:bottom w:val="single" w:sz="4" w:space="0" w:color="auto"/>
              <w:right w:val="nil"/>
            </w:tcBorders>
            <w:shd w:val="clear" w:color="auto" w:fill="auto"/>
            <w:noWrap/>
            <w:vAlign w:val="bottom"/>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T</w:t>
            </w:r>
          </w:p>
        </w:tc>
        <w:tc>
          <w:tcPr>
            <w:tcW w:w="0" w:type="auto"/>
            <w:tcBorders>
              <w:top w:val="nil"/>
              <w:left w:val="nil"/>
              <w:bottom w:val="single" w:sz="4" w:space="0" w:color="auto"/>
              <w:right w:val="nil"/>
            </w:tcBorders>
            <w:shd w:val="clear" w:color="auto" w:fill="auto"/>
            <w:noWrap/>
            <w:vAlign w:val="bottom"/>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Wilcoxon</w:t>
            </w: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Beneficiários</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2.905,80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741,00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13.918,03</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1,40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1.008.070,00</w:t>
            </w:r>
          </w:p>
        </w:tc>
        <w:tc>
          <w:tcPr>
            <w:tcW w:w="0" w:type="auto"/>
            <w:vMerge w:val="restart"/>
            <w:tcBorders>
              <w:top w:val="nil"/>
              <w:left w:val="single" w:sz="4" w:space="0" w:color="auto"/>
              <w:bottom w:val="nil"/>
              <w:right w:val="nil"/>
            </w:tcBorders>
            <w:shd w:val="clear" w:color="auto" w:fill="auto"/>
            <w:noWrap/>
            <w:vAlign w:val="center"/>
            <w:hideMark/>
          </w:tcPr>
          <w:p w:rsidR="000E00D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28,49</w:t>
            </w:r>
          </w:p>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c>
          <w:tcPr>
            <w:tcW w:w="0" w:type="auto"/>
            <w:vMerge w:val="restart"/>
            <w:tcBorders>
              <w:top w:val="nil"/>
              <w:left w:val="nil"/>
              <w:bottom w:val="nil"/>
              <w:right w:val="nil"/>
            </w:tcBorders>
            <w:shd w:val="clear" w:color="auto" w:fill="auto"/>
            <w:noWrap/>
            <w:vAlign w:val="center"/>
            <w:hideMark/>
          </w:tcPr>
          <w:p w:rsidR="000E00D0" w:rsidRDefault="000E00D0" w:rsidP="001E4B3E">
            <w:pPr>
              <w:ind w:firstLine="0"/>
              <w:jc w:val="center"/>
              <w:rPr>
                <w:rFonts w:eastAsia="Times New Roman"/>
                <w:color w:val="000000"/>
                <w:sz w:val="20"/>
                <w:szCs w:val="20"/>
                <w:vertAlign w:val="superscript"/>
                <w:lang w:eastAsia="pt-BR"/>
              </w:rPr>
            </w:pPr>
            <w:r>
              <w:rPr>
                <w:rFonts w:eastAsia="Times New Roman"/>
                <w:color w:val="000000"/>
                <w:sz w:val="20"/>
                <w:szCs w:val="20"/>
                <w:lang w:eastAsia="pt-BR"/>
              </w:rPr>
              <w:t>3,7</w:t>
            </w:r>
            <w:r w:rsidRPr="0020738D">
              <w:rPr>
                <w:rFonts w:eastAsia="Times New Roman"/>
                <w:b/>
                <w:color w:val="000000"/>
                <w:sz w:val="20"/>
                <w:szCs w:val="20"/>
                <w:lang w:eastAsia="pt-BR"/>
              </w:rPr>
              <w:t>∙</w:t>
            </w:r>
            <w:r>
              <w:rPr>
                <w:rFonts w:eastAsia="Times New Roman"/>
                <w:color w:val="000000"/>
                <w:sz w:val="20"/>
                <w:szCs w:val="20"/>
                <w:lang w:eastAsia="pt-BR"/>
              </w:rPr>
              <w:t>10</w:t>
            </w:r>
            <w:r w:rsidRPr="0020738D">
              <w:rPr>
                <w:rFonts w:eastAsia="Times New Roman"/>
                <w:color w:val="000000"/>
                <w:sz w:val="20"/>
                <w:szCs w:val="20"/>
                <w:vertAlign w:val="superscript"/>
                <w:lang w:eastAsia="pt-BR"/>
              </w:rPr>
              <w:t>9</w:t>
            </w:r>
          </w:p>
          <w:p w:rsidR="000E00D0" w:rsidRPr="00321C30" w:rsidRDefault="000E00D0" w:rsidP="001E4B3E">
            <w:pPr>
              <w:ind w:firstLine="0"/>
              <w:jc w:val="center"/>
              <w:rPr>
                <w:rFonts w:eastAsia="Times New Roman"/>
                <w:color w:val="000000"/>
                <w:sz w:val="20"/>
                <w:szCs w:val="20"/>
                <w:lang w:eastAsia="pt-BR"/>
              </w:rPr>
            </w:pPr>
            <w:r w:rsidRPr="0020738D">
              <w:rPr>
                <w:rFonts w:eastAsia="Times New Roman"/>
                <w:color w:val="000000"/>
                <w:sz w:val="20"/>
                <w:szCs w:val="20"/>
                <w:lang w:eastAsia="pt-BR"/>
              </w:rPr>
              <w:t>***</w:t>
            </w: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Sobreviventes</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2.621,84</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737,08</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11.879,69</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1,40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1.008.070,00</w:t>
            </w:r>
          </w:p>
        </w:tc>
        <w:tc>
          <w:tcPr>
            <w:tcW w:w="0" w:type="auto"/>
            <w:vMerge/>
            <w:tcBorders>
              <w:top w:val="nil"/>
              <w:left w:val="single" w:sz="4" w:space="0" w:color="auto"/>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nil"/>
              <w:left w:val="nil"/>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Não sobreviventes</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76.052,64</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47.511,83</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91.513,87</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30,00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tcBorders>
              <w:top w:val="nil"/>
              <w:left w:val="single" w:sz="4" w:space="0" w:color="auto"/>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nil"/>
              <w:left w:val="nil"/>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Beneficiário (</w:t>
            </w:r>
            <w:r>
              <w:rPr>
                <w:rFonts w:eastAsia="Times New Roman"/>
                <w:color w:val="000000"/>
                <w:sz w:val="20"/>
                <w:szCs w:val="20"/>
                <w:lang w:eastAsia="pt-BR"/>
              </w:rPr>
              <w:t xml:space="preserve"> ≥ </w:t>
            </w:r>
            <w:r w:rsidRPr="00321C30">
              <w:rPr>
                <w:rFonts w:eastAsia="Times New Roman"/>
                <w:color w:val="000000"/>
                <w:sz w:val="20"/>
                <w:szCs w:val="20"/>
                <w:lang w:eastAsia="pt-BR"/>
              </w:rPr>
              <w:t>60)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7.867,50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1.967,10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26.781,15</w:t>
            </w:r>
          </w:p>
        </w:tc>
        <w:tc>
          <w:tcPr>
            <w:tcW w:w="0" w:type="auto"/>
            <w:tcBorders>
              <w:top w:val="single" w:sz="4" w:space="0" w:color="auto"/>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single" w:sz="4" w:space="0" w:color="auto"/>
              <w:left w:val="nil"/>
              <w:bottom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1.008.070,00</w:t>
            </w:r>
          </w:p>
        </w:tc>
        <w:tc>
          <w:tcPr>
            <w:tcW w:w="0" w:type="auto"/>
            <w:vMerge w:val="restart"/>
            <w:tcBorders>
              <w:top w:val="single" w:sz="4" w:space="0" w:color="auto"/>
              <w:left w:val="single" w:sz="4" w:space="0" w:color="auto"/>
              <w:bottom w:val="single" w:sz="4" w:space="0" w:color="000000"/>
              <w:right w:val="nil"/>
            </w:tcBorders>
            <w:shd w:val="clear" w:color="auto" w:fill="auto"/>
            <w:noWrap/>
            <w:vAlign w:val="center"/>
            <w:hideMark/>
          </w:tcPr>
          <w:p w:rsidR="000E00D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26,22</w:t>
            </w:r>
          </w:p>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0E00D0" w:rsidRDefault="000E00D0" w:rsidP="001E4B3E">
            <w:pPr>
              <w:ind w:firstLine="0"/>
              <w:jc w:val="center"/>
              <w:rPr>
                <w:rFonts w:eastAsia="Times New Roman"/>
                <w:color w:val="000000"/>
                <w:sz w:val="20"/>
                <w:szCs w:val="20"/>
                <w:vertAlign w:val="superscript"/>
                <w:lang w:eastAsia="pt-BR"/>
              </w:rPr>
            </w:pPr>
            <w:r>
              <w:rPr>
                <w:rFonts w:eastAsia="Times New Roman"/>
                <w:color w:val="000000"/>
                <w:sz w:val="20"/>
                <w:szCs w:val="20"/>
                <w:lang w:eastAsia="pt-BR"/>
              </w:rPr>
              <w:t>5</w:t>
            </w:r>
            <w:r w:rsidRPr="0020738D">
              <w:rPr>
                <w:rFonts w:eastAsia="Times New Roman"/>
                <w:b/>
                <w:color w:val="000000"/>
                <w:sz w:val="20"/>
                <w:szCs w:val="20"/>
                <w:lang w:eastAsia="pt-BR"/>
              </w:rPr>
              <w:t>∙</w:t>
            </w:r>
            <w:r>
              <w:rPr>
                <w:rFonts w:eastAsia="Times New Roman"/>
                <w:color w:val="000000"/>
                <w:sz w:val="20"/>
                <w:szCs w:val="20"/>
                <w:lang w:eastAsia="pt-BR"/>
              </w:rPr>
              <w:t>10</w:t>
            </w:r>
            <w:r w:rsidRPr="0020738D">
              <w:rPr>
                <w:rFonts w:eastAsia="Times New Roman"/>
                <w:color w:val="000000"/>
                <w:sz w:val="20"/>
                <w:szCs w:val="20"/>
                <w:vertAlign w:val="superscript"/>
                <w:lang w:eastAsia="pt-BR"/>
              </w:rPr>
              <w:t>7</w:t>
            </w:r>
          </w:p>
          <w:p w:rsidR="000E00D0" w:rsidRPr="00321C30" w:rsidRDefault="000E00D0" w:rsidP="001E4B3E">
            <w:pPr>
              <w:ind w:firstLine="0"/>
              <w:jc w:val="center"/>
              <w:rPr>
                <w:rFonts w:eastAsia="Times New Roman"/>
                <w:color w:val="000000"/>
                <w:sz w:val="20"/>
                <w:szCs w:val="20"/>
                <w:lang w:eastAsia="pt-BR"/>
              </w:rPr>
            </w:pPr>
            <w:r w:rsidRPr="0020738D">
              <w:rPr>
                <w:rFonts w:eastAsia="Times New Roman"/>
                <w:color w:val="000000"/>
                <w:sz w:val="20"/>
                <w:szCs w:val="20"/>
                <w:lang w:eastAsia="pt-BR"/>
              </w:rPr>
              <w:t>***</w:t>
            </w: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Sobreviventes</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6.502,19</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1.922,96</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22.097,31</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nil"/>
              <w:left w:val="nil"/>
              <w:bottom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1.008.070,00</w:t>
            </w:r>
          </w:p>
        </w:tc>
        <w:tc>
          <w:tcPr>
            <w:tcW w:w="0" w:type="auto"/>
            <w:vMerge/>
            <w:tcBorders>
              <w:top w:val="single" w:sz="4" w:space="0" w:color="auto"/>
              <w:left w:val="single" w:sz="4" w:space="0" w:color="auto"/>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single" w:sz="4" w:space="0" w:color="auto"/>
              <w:left w:val="nil"/>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Não sobreviventes</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74.126,81</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48.844,50</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84.935,39</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30,00</w:t>
            </w:r>
          </w:p>
        </w:tc>
        <w:tc>
          <w:tcPr>
            <w:tcW w:w="0" w:type="auto"/>
            <w:tcBorders>
              <w:top w:val="nil"/>
              <w:left w:val="nil"/>
              <w:bottom w:val="single" w:sz="4" w:space="0" w:color="auto"/>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tcBorders>
              <w:top w:val="single" w:sz="4" w:space="0" w:color="auto"/>
              <w:left w:val="single" w:sz="4" w:space="0" w:color="auto"/>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single" w:sz="4" w:space="0" w:color="auto"/>
              <w:left w:val="nil"/>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Beneficiário (</w:t>
            </w:r>
            <w:r>
              <w:rPr>
                <w:rFonts w:eastAsia="Times New Roman"/>
                <w:color w:val="000000"/>
                <w:sz w:val="20"/>
                <w:szCs w:val="20"/>
                <w:lang w:eastAsia="pt-BR"/>
              </w:rPr>
              <w:t xml:space="preserve"> ≥ </w:t>
            </w:r>
            <w:r w:rsidRPr="00321C30">
              <w:rPr>
                <w:rFonts w:eastAsia="Times New Roman"/>
                <w:color w:val="000000"/>
                <w:sz w:val="20"/>
                <w:szCs w:val="20"/>
                <w:lang w:eastAsia="pt-BR"/>
              </w:rPr>
              <w:t>70)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9.879,40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2.168,44</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30.434,08</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2,</w:t>
            </w:r>
            <w:r w:rsidRPr="00321C30">
              <w:rPr>
                <w:rFonts w:eastAsia="Times New Roman"/>
                <w:color w:val="000000"/>
                <w:sz w:val="20"/>
                <w:szCs w:val="20"/>
                <w:lang w:eastAsia="pt-BR"/>
              </w:rPr>
              <w:t>6</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val="restart"/>
            <w:tcBorders>
              <w:top w:val="nil"/>
              <w:left w:val="single" w:sz="4" w:space="0" w:color="auto"/>
              <w:bottom w:val="nil"/>
              <w:right w:val="nil"/>
            </w:tcBorders>
            <w:shd w:val="clear" w:color="auto" w:fill="auto"/>
            <w:noWrap/>
            <w:vAlign w:val="center"/>
            <w:hideMark/>
          </w:tcPr>
          <w:p w:rsidR="000E00D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23,93</w:t>
            </w:r>
          </w:p>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c>
          <w:tcPr>
            <w:tcW w:w="0" w:type="auto"/>
            <w:vMerge w:val="restart"/>
            <w:tcBorders>
              <w:top w:val="nil"/>
              <w:left w:val="nil"/>
              <w:bottom w:val="nil"/>
              <w:right w:val="nil"/>
            </w:tcBorders>
            <w:shd w:val="clear" w:color="auto" w:fill="auto"/>
            <w:noWrap/>
            <w:vAlign w:val="center"/>
            <w:hideMark/>
          </w:tcPr>
          <w:p w:rsidR="000E00D0" w:rsidRDefault="000E00D0" w:rsidP="001E4B3E">
            <w:pPr>
              <w:ind w:firstLine="0"/>
              <w:jc w:val="center"/>
              <w:rPr>
                <w:rFonts w:eastAsia="Times New Roman"/>
                <w:color w:val="000000"/>
                <w:sz w:val="20"/>
                <w:szCs w:val="20"/>
                <w:vertAlign w:val="superscript"/>
                <w:lang w:eastAsia="pt-BR"/>
              </w:rPr>
            </w:pPr>
            <w:r>
              <w:rPr>
                <w:rFonts w:eastAsia="Times New Roman"/>
                <w:color w:val="000000"/>
                <w:sz w:val="20"/>
                <w:szCs w:val="20"/>
                <w:lang w:eastAsia="pt-BR"/>
              </w:rPr>
              <w:t>2,2</w:t>
            </w:r>
            <w:r w:rsidRPr="0020738D">
              <w:rPr>
                <w:rFonts w:eastAsia="Times New Roman"/>
                <w:b/>
                <w:color w:val="000000"/>
                <w:sz w:val="20"/>
                <w:szCs w:val="20"/>
                <w:lang w:eastAsia="pt-BR"/>
              </w:rPr>
              <w:t>∙</w:t>
            </w:r>
            <w:r>
              <w:rPr>
                <w:rFonts w:eastAsia="Times New Roman"/>
                <w:color w:val="000000"/>
                <w:sz w:val="20"/>
                <w:szCs w:val="20"/>
                <w:lang w:eastAsia="pt-BR"/>
              </w:rPr>
              <w:t>10</w:t>
            </w:r>
            <w:r w:rsidRPr="00321C30">
              <w:rPr>
                <w:rFonts w:eastAsia="Times New Roman"/>
                <w:color w:val="000000"/>
                <w:sz w:val="20"/>
                <w:szCs w:val="20"/>
                <w:vertAlign w:val="superscript"/>
                <w:lang w:eastAsia="pt-BR"/>
              </w:rPr>
              <w:t>7</w:t>
            </w:r>
          </w:p>
          <w:p w:rsidR="000E00D0" w:rsidRPr="00321C30" w:rsidRDefault="000E00D0" w:rsidP="001E4B3E">
            <w:pPr>
              <w:ind w:firstLine="0"/>
              <w:jc w:val="center"/>
              <w:rPr>
                <w:rFonts w:eastAsia="Times New Roman"/>
                <w:color w:val="000000"/>
                <w:sz w:val="20"/>
                <w:szCs w:val="20"/>
                <w:lang w:eastAsia="pt-BR"/>
              </w:rPr>
            </w:pPr>
            <w:r w:rsidRPr="0020738D">
              <w:rPr>
                <w:rFonts w:eastAsia="Times New Roman"/>
                <w:color w:val="000000"/>
                <w:sz w:val="20"/>
                <w:szCs w:val="20"/>
                <w:lang w:eastAsia="pt-BR"/>
              </w:rPr>
              <w:t>***</w:t>
            </w: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Sobreviventes</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7.759,30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2.082,09</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24.394,69</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604.263,70</w:t>
            </w:r>
          </w:p>
        </w:tc>
        <w:tc>
          <w:tcPr>
            <w:tcW w:w="0" w:type="auto"/>
            <w:vMerge/>
            <w:tcBorders>
              <w:top w:val="nil"/>
              <w:left w:val="single" w:sz="4" w:space="0" w:color="auto"/>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nil"/>
              <w:left w:val="nil"/>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Não sobreviventes</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71.268,48</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47.853,44</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81.376,98</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30,00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tcBorders>
              <w:top w:val="nil"/>
              <w:left w:val="single" w:sz="4" w:space="0" w:color="auto"/>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nil"/>
              <w:left w:val="nil"/>
              <w:bottom w:val="nil"/>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Beneficiário (</w:t>
            </w:r>
            <w:r>
              <w:rPr>
                <w:rFonts w:eastAsia="Times New Roman"/>
                <w:color w:val="000000"/>
                <w:sz w:val="20"/>
                <w:szCs w:val="20"/>
                <w:lang w:eastAsia="pt-BR"/>
              </w:rPr>
              <w:t xml:space="preserve"> ≥ </w:t>
            </w:r>
            <w:r w:rsidRPr="00321C30">
              <w:rPr>
                <w:rFonts w:eastAsia="Times New Roman"/>
                <w:color w:val="000000"/>
                <w:sz w:val="20"/>
                <w:szCs w:val="20"/>
                <w:lang w:eastAsia="pt-BR"/>
              </w:rPr>
              <w:t>80)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12.540,10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2.118,68</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35.906,30</w:t>
            </w:r>
          </w:p>
        </w:tc>
        <w:tc>
          <w:tcPr>
            <w:tcW w:w="0" w:type="auto"/>
            <w:tcBorders>
              <w:top w:val="single" w:sz="4" w:space="0" w:color="auto"/>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single" w:sz="4" w:space="0" w:color="auto"/>
              <w:left w:val="nil"/>
              <w:bottom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val="restart"/>
            <w:tcBorders>
              <w:top w:val="single" w:sz="4" w:space="0" w:color="auto"/>
              <w:left w:val="single" w:sz="4" w:space="0" w:color="auto"/>
              <w:bottom w:val="single" w:sz="4" w:space="0" w:color="000000"/>
              <w:right w:val="nil"/>
            </w:tcBorders>
            <w:shd w:val="clear" w:color="auto" w:fill="auto"/>
            <w:noWrap/>
            <w:vAlign w:val="center"/>
            <w:hideMark/>
          </w:tcPr>
          <w:p w:rsidR="000E00D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19,14</w:t>
            </w:r>
          </w:p>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c>
          <w:tcPr>
            <w:tcW w:w="0" w:type="auto"/>
            <w:vMerge w:val="restart"/>
            <w:tcBorders>
              <w:top w:val="single" w:sz="4" w:space="0" w:color="auto"/>
              <w:left w:val="nil"/>
              <w:bottom w:val="single" w:sz="4" w:space="0" w:color="000000"/>
              <w:right w:val="nil"/>
            </w:tcBorders>
            <w:shd w:val="clear" w:color="auto" w:fill="auto"/>
            <w:noWrap/>
            <w:vAlign w:val="center"/>
            <w:hideMark/>
          </w:tcPr>
          <w:p w:rsidR="000E00D0" w:rsidRDefault="000E00D0" w:rsidP="001E4B3E">
            <w:pPr>
              <w:ind w:firstLine="0"/>
              <w:jc w:val="center"/>
              <w:rPr>
                <w:rFonts w:eastAsia="Times New Roman"/>
                <w:color w:val="000000"/>
                <w:sz w:val="20"/>
                <w:szCs w:val="20"/>
                <w:vertAlign w:val="superscript"/>
                <w:lang w:eastAsia="pt-BR"/>
              </w:rPr>
            </w:pPr>
            <w:r>
              <w:rPr>
                <w:rFonts w:eastAsia="Times New Roman"/>
                <w:color w:val="000000"/>
                <w:sz w:val="20"/>
                <w:szCs w:val="20"/>
                <w:lang w:eastAsia="pt-BR"/>
              </w:rPr>
              <w:t>6,3</w:t>
            </w:r>
            <w:r w:rsidRPr="0020738D">
              <w:rPr>
                <w:rFonts w:eastAsia="Times New Roman"/>
                <w:b/>
                <w:color w:val="000000"/>
                <w:sz w:val="20"/>
                <w:szCs w:val="20"/>
                <w:lang w:eastAsia="pt-BR"/>
              </w:rPr>
              <w:t>∙</w:t>
            </w:r>
            <w:r>
              <w:rPr>
                <w:rFonts w:eastAsia="Times New Roman"/>
                <w:color w:val="000000"/>
                <w:sz w:val="20"/>
                <w:szCs w:val="20"/>
                <w:lang w:eastAsia="pt-BR"/>
              </w:rPr>
              <w:t>10</w:t>
            </w:r>
            <w:r w:rsidRPr="00321C30">
              <w:rPr>
                <w:rFonts w:eastAsia="Times New Roman"/>
                <w:color w:val="000000"/>
                <w:sz w:val="20"/>
                <w:szCs w:val="20"/>
                <w:vertAlign w:val="superscript"/>
                <w:lang w:eastAsia="pt-BR"/>
              </w:rPr>
              <w:t>6</w:t>
            </w:r>
          </w:p>
          <w:p w:rsidR="000E00D0" w:rsidRPr="00321C30" w:rsidRDefault="000E00D0" w:rsidP="001E4B3E">
            <w:pPr>
              <w:ind w:firstLine="0"/>
              <w:jc w:val="center"/>
              <w:rPr>
                <w:rFonts w:eastAsia="Times New Roman"/>
                <w:color w:val="000000"/>
                <w:sz w:val="20"/>
                <w:szCs w:val="20"/>
                <w:lang w:eastAsia="pt-BR"/>
              </w:rPr>
            </w:pPr>
            <w:r w:rsidRPr="0020738D">
              <w:rPr>
                <w:rFonts w:eastAsia="Times New Roman"/>
                <w:color w:val="000000"/>
                <w:sz w:val="20"/>
                <w:szCs w:val="20"/>
                <w:lang w:eastAsia="pt-BR"/>
              </w:rPr>
              <w:t>***</w:t>
            </w:r>
          </w:p>
        </w:tc>
      </w:tr>
      <w:tr w:rsidR="000E00D0" w:rsidRPr="00E17C1E" w:rsidTr="001E4B3E">
        <w:trPr>
          <w:trHeight w:val="255"/>
        </w:trPr>
        <w:tc>
          <w:tcPr>
            <w:tcW w:w="0" w:type="auto"/>
            <w:tcBorders>
              <w:top w:val="nil"/>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Sobreviventes</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9.041,38</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1.955,62</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27.620,00</w:t>
            </w:r>
          </w:p>
        </w:tc>
        <w:tc>
          <w:tcPr>
            <w:tcW w:w="0" w:type="auto"/>
            <w:tcBorders>
              <w:top w:val="nil"/>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nil"/>
              <w:left w:val="nil"/>
              <w:bottom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564.614,40</w:t>
            </w:r>
          </w:p>
        </w:tc>
        <w:tc>
          <w:tcPr>
            <w:tcW w:w="0" w:type="auto"/>
            <w:vMerge/>
            <w:tcBorders>
              <w:top w:val="single" w:sz="4" w:space="0" w:color="auto"/>
              <w:left w:val="single" w:sz="4" w:space="0" w:color="auto"/>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single" w:sz="4" w:space="0" w:color="auto"/>
              <w:left w:val="nil"/>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AA648D">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Não sobreviventes</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67.416,59</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45.060,80</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79.690,93</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48,62</w:t>
            </w:r>
          </w:p>
        </w:tc>
        <w:tc>
          <w:tcPr>
            <w:tcW w:w="0" w:type="auto"/>
            <w:tcBorders>
              <w:top w:val="nil"/>
              <w:left w:val="nil"/>
              <w:bottom w:val="single" w:sz="4" w:space="0" w:color="auto"/>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634.986,90</w:t>
            </w:r>
          </w:p>
        </w:tc>
        <w:tc>
          <w:tcPr>
            <w:tcW w:w="0" w:type="auto"/>
            <w:vMerge/>
            <w:tcBorders>
              <w:top w:val="single" w:sz="4" w:space="0" w:color="auto"/>
              <w:left w:val="single" w:sz="4" w:space="0" w:color="auto"/>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c>
          <w:tcPr>
            <w:tcW w:w="0" w:type="auto"/>
            <w:vMerge/>
            <w:tcBorders>
              <w:top w:val="single" w:sz="4" w:space="0" w:color="auto"/>
              <w:left w:val="nil"/>
              <w:bottom w:val="single" w:sz="4" w:space="0" w:color="000000"/>
              <w:right w:val="nil"/>
            </w:tcBorders>
            <w:vAlign w:val="center"/>
            <w:hideMark/>
          </w:tcPr>
          <w:p w:rsidR="000E00D0" w:rsidRPr="00321C30" w:rsidRDefault="000E00D0" w:rsidP="001E4B3E">
            <w:pPr>
              <w:ind w:firstLine="0"/>
              <w:jc w:val="center"/>
              <w:rPr>
                <w:rFonts w:eastAsia="Times New Roman"/>
                <w:color w:val="000000"/>
                <w:sz w:val="20"/>
                <w:szCs w:val="20"/>
                <w:lang w:eastAsia="pt-BR"/>
              </w:rPr>
            </w:pPr>
          </w:p>
        </w:tc>
      </w:tr>
      <w:tr w:rsidR="000E00D0" w:rsidRPr="00E17C1E" w:rsidTr="00AA648D">
        <w:trPr>
          <w:trHeight w:val="255"/>
        </w:trPr>
        <w:tc>
          <w:tcPr>
            <w:tcW w:w="0" w:type="auto"/>
            <w:tcBorders>
              <w:top w:val="single" w:sz="4" w:space="0" w:color="auto"/>
              <w:left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Beneficiário (</w:t>
            </w:r>
            <w:r>
              <w:rPr>
                <w:rFonts w:eastAsia="Times New Roman"/>
                <w:color w:val="000000"/>
                <w:sz w:val="20"/>
                <w:szCs w:val="20"/>
                <w:lang w:eastAsia="pt-BR"/>
              </w:rPr>
              <w:t xml:space="preserve"> ≥ </w:t>
            </w:r>
            <w:r w:rsidRPr="00321C30">
              <w:rPr>
                <w:rFonts w:eastAsia="Times New Roman"/>
                <w:color w:val="000000"/>
                <w:sz w:val="20"/>
                <w:szCs w:val="20"/>
                <w:lang w:eastAsia="pt-BR"/>
              </w:rPr>
              <w:t>90)</w:t>
            </w:r>
          </w:p>
        </w:tc>
        <w:tc>
          <w:tcPr>
            <w:tcW w:w="0" w:type="auto"/>
            <w:tcBorders>
              <w:top w:val="single" w:sz="4" w:space="0" w:color="auto"/>
              <w:left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16.060,10</w:t>
            </w:r>
          </w:p>
        </w:tc>
        <w:tc>
          <w:tcPr>
            <w:tcW w:w="0" w:type="auto"/>
            <w:tcBorders>
              <w:top w:val="single" w:sz="4" w:space="0" w:color="auto"/>
              <w:left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2.137,97</w:t>
            </w:r>
          </w:p>
        </w:tc>
        <w:tc>
          <w:tcPr>
            <w:tcW w:w="0" w:type="auto"/>
            <w:tcBorders>
              <w:top w:val="single" w:sz="4" w:space="0" w:color="auto"/>
              <w:left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36.435,75</w:t>
            </w:r>
          </w:p>
        </w:tc>
        <w:tc>
          <w:tcPr>
            <w:tcW w:w="0" w:type="auto"/>
            <w:tcBorders>
              <w:top w:val="single" w:sz="4" w:space="0" w:color="auto"/>
              <w:left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top w:val="single" w:sz="4" w:space="0" w:color="auto"/>
              <w:left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392.195,80</w:t>
            </w:r>
          </w:p>
        </w:tc>
        <w:tc>
          <w:tcPr>
            <w:tcW w:w="0" w:type="auto"/>
            <w:vMerge w:val="restart"/>
            <w:tcBorders>
              <w:top w:val="nil"/>
              <w:left w:val="single" w:sz="4" w:space="0" w:color="auto"/>
              <w:bottom w:val="single" w:sz="4" w:space="0" w:color="auto"/>
              <w:right w:val="nil"/>
            </w:tcBorders>
            <w:shd w:val="clear" w:color="auto" w:fill="auto"/>
            <w:noWrap/>
            <w:vAlign w:val="center"/>
            <w:hideMark/>
          </w:tcPr>
          <w:p w:rsidR="000E00D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12,45</w:t>
            </w:r>
          </w:p>
          <w:p w:rsidR="000E00D0" w:rsidRPr="00321C30" w:rsidRDefault="000E00D0"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c>
          <w:tcPr>
            <w:tcW w:w="0" w:type="auto"/>
            <w:vMerge w:val="restart"/>
            <w:tcBorders>
              <w:top w:val="nil"/>
              <w:left w:val="nil"/>
              <w:bottom w:val="single" w:sz="4" w:space="0" w:color="000000"/>
              <w:right w:val="nil"/>
            </w:tcBorders>
            <w:shd w:val="clear" w:color="auto" w:fill="auto"/>
            <w:noWrap/>
            <w:vAlign w:val="center"/>
            <w:hideMark/>
          </w:tcPr>
          <w:p w:rsidR="000E00D0" w:rsidRDefault="000E00D0" w:rsidP="001E4B3E">
            <w:pPr>
              <w:ind w:firstLine="0"/>
              <w:jc w:val="center"/>
              <w:rPr>
                <w:rFonts w:eastAsia="Times New Roman"/>
                <w:color w:val="000000"/>
                <w:sz w:val="20"/>
                <w:szCs w:val="20"/>
                <w:vertAlign w:val="superscript"/>
                <w:lang w:eastAsia="pt-BR"/>
              </w:rPr>
            </w:pPr>
            <w:r>
              <w:rPr>
                <w:rFonts w:eastAsia="Times New Roman"/>
                <w:color w:val="000000"/>
                <w:sz w:val="20"/>
                <w:szCs w:val="20"/>
                <w:lang w:eastAsia="pt-BR"/>
              </w:rPr>
              <w:t>4,5</w:t>
            </w:r>
            <w:r w:rsidRPr="0020738D">
              <w:rPr>
                <w:rFonts w:eastAsia="Times New Roman"/>
                <w:b/>
                <w:color w:val="000000"/>
                <w:sz w:val="20"/>
                <w:szCs w:val="20"/>
                <w:lang w:eastAsia="pt-BR"/>
              </w:rPr>
              <w:t>∙</w:t>
            </w:r>
            <w:r>
              <w:rPr>
                <w:rFonts w:eastAsia="Times New Roman"/>
                <w:color w:val="000000"/>
                <w:sz w:val="20"/>
                <w:szCs w:val="20"/>
                <w:lang w:eastAsia="pt-BR"/>
              </w:rPr>
              <w:t>10</w:t>
            </w:r>
            <w:r w:rsidRPr="00321C30">
              <w:rPr>
                <w:rFonts w:eastAsia="Times New Roman"/>
                <w:color w:val="000000"/>
                <w:sz w:val="20"/>
                <w:szCs w:val="20"/>
                <w:vertAlign w:val="superscript"/>
                <w:lang w:eastAsia="pt-BR"/>
              </w:rPr>
              <w:t>5</w:t>
            </w:r>
          </w:p>
          <w:p w:rsidR="000E00D0" w:rsidRPr="00321C30" w:rsidRDefault="000E00D0" w:rsidP="001E4B3E">
            <w:pPr>
              <w:ind w:firstLine="0"/>
              <w:jc w:val="center"/>
              <w:rPr>
                <w:rFonts w:eastAsia="Times New Roman"/>
                <w:color w:val="000000"/>
                <w:sz w:val="20"/>
                <w:szCs w:val="20"/>
                <w:lang w:eastAsia="pt-BR"/>
              </w:rPr>
            </w:pPr>
            <w:r w:rsidRPr="0020738D">
              <w:rPr>
                <w:rFonts w:eastAsia="Times New Roman"/>
                <w:color w:val="000000"/>
                <w:sz w:val="20"/>
                <w:szCs w:val="20"/>
                <w:lang w:eastAsia="pt-BR"/>
              </w:rPr>
              <w:t>***</w:t>
            </w:r>
          </w:p>
        </w:tc>
      </w:tr>
      <w:tr w:rsidR="000E00D0" w:rsidRPr="00E17C1E" w:rsidTr="00AA648D">
        <w:trPr>
          <w:trHeight w:val="255"/>
        </w:trPr>
        <w:tc>
          <w:tcPr>
            <w:tcW w:w="0" w:type="auto"/>
            <w:tcBorders>
              <w:left w:val="nil"/>
              <w:bottom w:val="nil"/>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Sobreviventes</w:t>
            </w:r>
          </w:p>
        </w:tc>
        <w:tc>
          <w:tcPr>
            <w:tcW w:w="0" w:type="auto"/>
            <w:tcBorders>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10.277,15</w:t>
            </w:r>
          </w:p>
        </w:tc>
        <w:tc>
          <w:tcPr>
            <w:tcW w:w="0" w:type="auto"/>
            <w:tcBorders>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1.697,89</w:t>
            </w:r>
          </w:p>
        </w:tc>
        <w:tc>
          <w:tcPr>
            <w:tcW w:w="0" w:type="auto"/>
            <w:tcBorders>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26.536,75</w:t>
            </w:r>
          </w:p>
        </w:tc>
        <w:tc>
          <w:tcPr>
            <w:tcW w:w="0" w:type="auto"/>
            <w:tcBorders>
              <w:left w:val="nil"/>
              <w:bottom w:val="nil"/>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2,60</w:t>
            </w:r>
          </w:p>
        </w:tc>
        <w:tc>
          <w:tcPr>
            <w:tcW w:w="0" w:type="auto"/>
            <w:tcBorders>
              <w:left w:val="nil"/>
              <w:bottom w:val="nil"/>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292.746,10</w:t>
            </w:r>
          </w:p>
        </w:tc>
        <w:tc>
          <w:tcPr>
            <w:tcW w:w="0" w:type="auto"/>
            <w:vMerge/>
            <w:tcBorders>
              <w:top w:val="single" w:sz="4" w:space="0" w:color="auto"/>
              <w:left w:val="single" w:sz="4" w:space="0" w:color="auto"/>
              <w:bottom w:val="single" w:sz="4" w:space="0" w:color="000000"/>
              <w:right w:val="nil"/>
            </w:tcBorders>
            <w:vAlign w:val="center"/>
            <w:hideMark/>
          </w:tcPr>
          <w:p w:rsidR="000E00D0" w:rsidRPr="00321C30" w:rsidRDefault="000E00D0" w:rsidP="001E4B3E">
            <w:pPr>
              <w:ind w:firstLine="0"/>
              <w:jc w:val="left"/>
              <w:rPr>
                <w:rFonts w:eastAsia="Times New Roman"/>
                <w:color w:val="000000"/>
                <w:sz w:val="20"/>
                <w:szCs w:val="20"/>
                <w:lang w:eastAsia="pt-BR"/>
              </w:rPr>
            </w:pPr>
          </w:p>
        </w:tc>
        <w:tc>
          <w:tcPr>
            <w:tcW w:w="0" w:type="auto"/>
            <w:vMerge/>
            <w:tcBorders>
              <w:top w:val="nil"/>
              <w:left w:val="nil"/>
              <w:bottom w:val="single" w:sz="4" w:space="0" w:color="000000"/>
              <w:right w:val="nil"/>
            </w:tcBorders>
            <w:vAlign w:val="center"/>
            <w:hideMark/>
          </w:tcPr>
          <w:p w:rsidR="000E00D0" w:rsidRPr="00321C30" w:rsidRDefault="000E00D0" w:rsidP="001E4B3E">
            <w:pPr>
              <w:ind w:firstLine="0"/>
              <w:jc w:val="left"/>
              <w:rPr>
                <w:rFonts w:eastAsia="Times New Roman"/>
                <w:color w:val="000000"/>
                <w:sz w:val="20"/>
                <w:szCs w:val="20"/>
                <w:lang w:eastAsia="pt-BR"/>
              </w:rPr>
            </w:pPr>
          </w:p>
        </w:tc>
      </w:tr>
      <w:tr w:rsidR="000E00D0" w:rsidRPr="00E17C1E" w:rsidTr="00966C88">
        <w:trPr>
          <w:trHeight w:val="255"/>
        </w:trPr>
        <w:tc>
          <w:tcPr>
            <w:tcW w:w="0" w:type="auto"/>
            <w:tcBorders>
              <w:top w:val="nil"/>
              <w:left w:val="nil"/>
              <w:bottom w:val="single" w:sz="4" w:space="0" w:color="auto"/>
              <w:right w:val="single" w:sz="4" w:space="0" w:color="auto"/>
            </w:tcBorders>
            <w:shd w:val="clear" w:color="auto" w:fill="auto"/>
            <w:noWrap/>
            <w:vAlign w:val="bottom"/>
            <w:hideMark/>
          </w:tcPr>
          <w:p w:rsidR="000E00D0" w:rsidRPr="00321C30" w:rsidRDefault="000E00D0" w:rsidP="001E4B3E">
            <w:pPr>
              <w:ind w:firstLine="0"/>
              <w:jc w:val="left"/>
              <w:rPr>
                <w:rFonts w:eastAsia="Times New Roman"/>
                <w:color w:val="000000"/>
                <w:sz w:val="20"/>
                <w:szCs w:val="20"/>
                <w:lang w:eastAsia="pt-BR"/>
              </w:rPr>
            </w:pPr>
            <w:r w:rsidRPr="00321C30">
              <w:rPr>
                <w:rFonts w:eastAsia="Times New Roman"/>
                <w:color w:val="000000"/>
                <w:sz w:val="20"/>
                <w:szCs w:val="20"/>
                <w:lang w:eastAsia="pt-BR"/>
              </w:rPr>
              <w:t>Não sobreviventes</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57.642,51</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38.872,58</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62.065,42</w:t>
            </w:r>
          </w:p>
        </w:tc>
        <w:tc>
          <w:tcPr>
            <w:tcW w:w="0" w:type="auto"/>
            <w:tcBorders>
              <w:top w:val="nil"/>
              <w:left w:val="nil"/>
              <w:bottom w:val="single" w:sz="4" w:space="0" w:color="auto"/>
              <w:right w:val="nil"/>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48,62</w:t>
            </w:r>
          </w:p>
        </w:tc>
        <w:tc>
          <w:tcPr>
            <w:tcW w:w="0" w:type="auto"/>
            <w:tcBorders>
              <w:top w:val="nil"/>
              <w:left w:val="nil"/>
              <w:bottom w:val="single" w:sz="4" w:space="0" w:color="auto"/>
              <w:right w:val="single" w:sz="4" w:space="0" w:color="auto"/>
            </w:tcBorders>
            <w:shd w:val="clear" w:color="auto" w:fill="auto"/>
            <w:noWrap/>
            <w:vAlign w:val="center"/>
            <w:hideMark/>
          </w:tcPr>
          <w:p w:rsidR="000E00D0" w:rsidRPr="00321C30" w:rsidRDefault="000E00D0" w:rsidP="001E4B3E">
            <w:pPr>
              <w:ind w:firstLine="0"/>
              <w:jc w:val="center"/>
              <w:rPr>
                <w:rFonts w:eastAsia="Times New Roman"/>
                <w:color w:val="000000"/>
                <w:sz w:val="20"/>
                <w:szCs w:val="20"/>
                <w:lang w:eastAsia="pt-BR"/>
              </w:rPr>
            </w:pPr>
            <w:r w:rsidRPr="00321C30">
              <w:rPr>
                <w:rFonts w:eastAsia="Times New Roman"/>
                <w:color w:val="000000"/>
                <w:sz w:val="20"/>
                <w:szCs w:val="20"/>
                <w:lang w:eastAsia="pt-BR"/>
              </w:rPr>
              <w:t>392.195,80</w:t>
            </w:r>
          </w:p>
        </w:tc>
        <w:tc>
          <w:tcPr>
            <w:tcW w:w="0" w:type="auto"/>
            <w:vMerge/>
            <w:tcBorders>
              <w:top w:val="nil"/>
              <w:left w:val="single" w:sz="4" w:space="0" w:color="auto"/>
              <w:bottom w:val="single" w:sz="4" w:space="0" w:color="auto"/>
              <w:right w:val="nil"/>
            </w:tcBorders>
            <w:vAlign w:val="center"/>
            <w:hideMark/>
          </w:tcPr>
          <w:p w:rsidR="000E00D0" w:rsidRPr="00321C30" w:rsidRDefault="000E00D0" w:rsidP="001E4B3E">
            <w:pPr>
              <w:ind w:firstLine="0"/>
              <w:jc w:val="left"/>
              <w:rPr>
                <w:rFonts w:eastAsia="Times New Roman"/>
                <w:color w:val="000000"/>
                <w:sz w:val="20"/>
                <w:szCs w:val="20"/>
                <w:lang w:eastAsia="pt-BR"/>
              </w:rPr>
            </w:pPr>
          </w:p>
        </w:tc>
        <w:tc>
          <w:tcPr>
            <w:tcW w:w="0" w:type="auto"/>
            <w:vMerge/>
            <w:tcBorders>
              <w:top w:val="nil"/>
              <w:left w:val="nil"/>
              <w:bottom w:val="single" w:sz="4" w:space="0" w:color="auto"/>
              <w:right w:val="nil"/>
            </w:tcBorders>
            <w:vAlign w:val="center"/>
            <w:hideMark/>
          </w:tcPr>
          <w:p w:rsidR="000E00D0" w:rsidRPr="00321C30" w:rsidRDefault="000E00D0" w:rsidP="001E4B3E">
            <w:pPr>
              <w:ind w:firstLine="0"/>
              <w:jc w:val="left"/>
              <w:rPr>
                <w:rFonts w:eastAsia="Times New Roman"/>
                <w:color w:val="000000"/>
                <w:sz w:val="20"/>
                <w:szCs w:val="20"/>
                <w:lang w:eastAsia="pt-BR"/>
              </w:rPr>
            </w:pPr>
          </w:p>
        </w:tc>
      </w:tr>
    </w:tbl>
    <w:p w:rsidR="000E00D0" w:rsidRDefault="000E00D0" w:rsidP="000E00D0">
      <w:pPr>
        <w:ind w:firstLine="0"/>
        <w:rPr>
          <w:sz w:val="20"/>
        </w:rPr>
      </w:pPr>
      <w:r>
        <w:rPr>
          <w:sz w:val="20"/>
        </w:rPr>
        <w:t>Fonte: Elaborada pelos autores.</w:t>
      </w:r>
    </w:p>
    <w:p w:rsidR="000E00D0" w:rsidRDefault="000E00D0" w:rsidP="000E00D0">
      <w:pPr>
        <w:ind w:firstLine="0"/>
        <w:rPr>
          <w:sz w:val="20"/>
        </w:rPr>
      </w:pPr>
      <w:r>
        <w:rPr>
          <w:sz w:val="20"/>
        </w:rPr>
        <w:t>Níveis de significância: * &lt;</w:t>
      </w:r>
      <w:r w:rsidRPr="00E45390">
        <w:rPr>
          <w:sz w:val="20"/>
        </w:rPr>
        <w:t xml:space="preserve"> 0,1; **</w:t>
      </w:r>
      <w:r>
        <w:rPr>
          <w:sz w:val="20"/>
        </w:rPr>
        <w:t xml:space="preserve"> &lt; 0,05; *** &lt; </w:t>
      </w:r>
      <w:r w:rsidRPr="00E45390">
        <w:rPr>
          <w:sz w:val="20"/>
        </w:rPr>
        <w:t>0,01</w:t>
      </w:r>
      <w:r>
        <w:rPr>
          <w:sz w:val="20"/>
        </w:rPr>
        <w:t>.</w:t>
      </w:r>
    </w:p>
    <w:p w:rsidR="00307280" w:rsidRDefault="00307280" w:rsidP="00307280"/>
    <w:p w:rsidR="00307280" w:rsidRDefault="00307280" w:rsidP="0006252E">
      <w:pPr>
        <w:ind w:firstLine="709"/>
      </w:pPr>
      <w:r>
        <w:t>Os testes mostram que a diferença entre os grupos é significante a 1%, independente do recorte etário utilizado, apesar disso, as estatísticas de teste foram reduzindo à medida que as amostras eram compostas por usuários mais velhos. Cabe ressaltar também o comportamento das médias e medianas dos grupos de sobreviventes e não sobreviventes dentro dos grupos etários abordados. A média e a mediana dos custos dos sobreviventes aumentam à medida que os beneficiários mais novos vão sendo excluídos, enquanto para o grupo de não sobreviventes ocorre o comportamento inverso, isto é, a média e a mediana vão diminuindo.</w:t>
      </w:r>
    </w:p>
    <w:p w:rsidR="004C668B" w:rsidRDefault="004C668B" w:rsidP="0006252E">
      <w:pPr>
        <w:ind w:firstLine="709"/>
      </w:pPr>
      <w:r>
        <w:t>Após a verificação de que existem diferenças estatisticamente significantes nos custos de sobreviventes e não sobreviventes, buscou-se verificar, por meio da regressão</w:t>
      </w:r>
      <w:r w:rsidR="00A27C7E">
        <w:t xml:space="preserve"> quantílica, como o estado de sobrevivência, a idade e o sexo dos beneficiários é capaz de influenciar o seu custo anual. Os resultados podem ser vistos na Tabela </w:t>
      </w:r>
      <w:r w:rsidR="00DC0E6C">
        <w:t>3</w:t>
      </w:r>
      <w:r w:rsidR="00A27C7E">
        <w:t>.</w:t>
      </w:r>
    </w:p>
    <w:p w:rsidR="0005162C" w:rsidRDefault="0005162C" w:rsidP="00F21094">
      <w:pPr>
        <w:ind w:firstLine="0"/>
      </w:pPr>
    </w:p>
    <w:p w:rsidR="00744773" w:rsidRPr="00744773" w:rsidRDefault="00744773" w:rsidP="00744773">
      <w:pPr>
        <w:pStyle w:val="Legenda"/>
        <w:keepNext/>
        <w:spacing w:after="0"/>
        <w:ind w:firstLine="0"/>
        <w:rPr>
          <w:i w:val="0"/>
          <w:color w:val="auto"/>
          <w:sz w:val="24"/>
        </w:rPr>
      </w:pPr>
      <w:r w:rsidRPr="00744773">
        <w:rPr>
          <w:i w:val="0"/>
          <w:color w:val="auto"/>
          <w:sz w:val="24"/>
        </w:rPr>
        <w:t xml:space="preserve">Tabela </w:t>
      </w:r>
      <w:r w:rsidR="00DC0E6C">
        <w:rPr>
          <w:i w:val="0"/>
          <w:color w:val="auto"/>
          <w:sz w:val="24"/>
        </w:rPr>
        <w:t>3</w:t>
      </w:r>
      <w:r w:rsidR="00DC0E6C" w:rsidRPr="00744773">
        <w:rPr>
          <w:i w:val="0"/>
          <w:color w:val="auto"/>
          <w:sz w:val="24"/>
        </w:rPr>
        <w:t xml:space="preserve"> </w:t>
      </w:r>
      <w:r w:rsidRPr="00744773">
        <w:rPr>
          <w:i w:val="0"/>
          <w:color w:val="auto"/>
          <w:sz w:val="24"/>
        </w:rPr>
        <w:t>– Resultados das regressões quantílicas e MQO para a amostra completa</w:t>
      </w:r>
    </w:p>
    <w:tbl>
      <w:tblPr>
        <w:tblW w:w="0" w:type="auto"/>
        <w:tblCellMar>
          <w:left w:w="70" w:type="dxa"/>
          <w:right w:w="70" w:type="dxa"/>
        </w:tblCellMar>
        <w:tblLook w:val="04A0" w:firstRow="1" w:lastRow="0" w:firstColumn="1" w:lastColumn="0" w:noHBand="0" w:noVBand="1"/>
      </w:tblPr>
      <w:tblGrid>
        <w:gridCol w:w="1568"/>
        <w:gridCol w:w="1101"/>
        <w:gridCol w:w="1101"/>
        <w:gridCol w:w="1101"/>
        <w:gridCol w:w="1101"/>
        <w:gridCol w:w="1101"/>
        <w:gridCol w:w="1140"/>
      </w:tblGrid>
      <w:tr w:rsidR="0005162C" w:rsidRPr="00E17C1E" w:rsidTr="0005162C">
        <w:trPr>
          <w:trHeight w:val="255"/>
        </w:trPr>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Variável</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Percentil 10</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Percentil 25</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Percentil 50</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Percentil 75</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Percentil 90</w:t>
            </w:r>
          </w:p>
        </w:tc>
        <w:tc>
          <w:tcPr>
            <w:tcW w:w="0" w:type="auto"/>
            <w:tcBorders>
              <w:top w:val="single" w:sz="4" w:space="0" w:color="auto"/>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MQO</w:t>
            </w:r>
          </w:p>
        </w:tc>
      </w:tr>
      <w:tr w:rsidR="0005162C" w:rsidRPr="00E17C1E" w:rsidTr="0005162C">
        <w:trPr>
          <w:trHeight w:val="255"/>
        </w:trPr>
        <w:tc>
          <w:tcPr>
            <w:tcW w:w="0" w:type="auto"/>
            <w:tcBorders>
              <w:top w:val="nil"/>
              <w:left w:val="nil"/>
              <w:bottom w:val="nil"/>
              <w:right w:val="single" w:sz="4" w:space="0" w:color="auto"/>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Intercepto</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6,07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7,66</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9,04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9,78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10,02</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8,46</w:t>
            </w:r>
            <w:r>
              <w:rPr>
                <w:rFonts w:eastAsia="Times New Roman"/>
                <w:color w:val="000000"/>
                <w:sz w:val="20"/>
                <w:szCs w:val="20"/>
                <w:lang w:eastAsia="pt-BR"/>
              </w:rPr>
              <w:t>***</w:t>
            </w:r>
          </w:p>
        </w:tc>
      </w:tr>
      <w:tr w:rsidR="0005162C" w:rsidRPr="00E17C1E" w:rsidTr="0005162C">
        <w:trPr>
          <w:trHeight w:val="255"/>
        </w:trPr>
        <w:tc>
          <w:tcPr>
            <w:tcW w:w="0" w:type="auto"/>
            <w:tcBorders>
              <w:top w:val="nil"/>
              <w:left w:val="nil"/>
              <w:bottom w:val="nil"/>
              <w:right w:val="single" w:sz="4" w:space="0" w:color="auto"/>
            </w:tcBorders>
            <w:shd w:val="clear" w:color="auto" w:fill="auto"/>
            <w:noWrap/>
            <w:vAlign w:val="center"/>
            <w:hideMark/>
          </w:tcPr>
          <w:p w:rsidR="0005162C" w:rsidRPr="0005162C" w:rsidRDefault="00DC487B" w:rsidP="0005162C">
            <w:pPr>
              <w:ind w:firstLine="0"/>
              <w:jc w:val="center"/>
              <w:rPr>
                <w:rFonts w:eastAsia="Times New Roman"/>
                <w:color w:val="000000"/>
                <w:sz w:val="20"/>
                <w:szCs w:val="20"/>
                <w:lang w:eastAsia="pt-BR"/>
              </w:rPr>
            </w:pPr>
            <w:r>
              <w:rPr>
                <w:rFonts w:eastAsia="Times New Roman"/>
                <w:color w:val="000000"/>
                <w:sz w:val="20"/>
                <w:szCs w:val="20"/>
                <w:lang w:eastAsia="pt-BR"/>
              </w:rPr>
              <w:t>Estado</w:t>
            </w:r>
            <w:r w:rsidR="0005162C" w:rsidRPr="0005162C">
              <w:rPr>
                <w:rFonts w:eastAsia="Times New Roman"/>
                <w:color w:val="000000"/>
                <w:sz w:val="20"/>
                <w:szCs w:val="20"/>
                <w:lang w:eastAsia="pt-BR"/>
              </w:rPr>
              <w:t xml:space="preserve"> (Vivo)</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-1,95</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-2,84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-3,42</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-3,45</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-3,17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-2,92</w:t>
            </w:r>
            <w:r>
              <w:rPr>
                <w:rFonts w:eastAsia="Times New Roman"/>
                <w:color w:val="000000"/>
                <w:sz w:val="20"/>
                <w:szCs w:val="20"/>
                <w:lang w:eastAsia="pt-BR"/>
              </w:rPr>
              <w:t>***</w:t>
            </w:r>
          </w:p>
        </w:tc>
      </w:tr>
      <w:tr w:rsidR="0005162C" w:rsidRPr="00E17C1E" w:rsidTr="0005162C">
        <w:trPr>
          <w:trHeight w:val="255"/>
        </w:trPr>
        <w:tc>
          <w:tcPr>
            <w:tcW w:w="0" w:type="auto"/>
            <w:tcBorders>
              <w:top w:val="nil"/>
              <w:left w:val="nil"/>
              <w:bottom w:val="nil"/>
              <w:right w:val="single" w:sz="4" w:space="0" w:color="auto"/>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Idade</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0,17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0,21</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0,21</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0,22</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0,26</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0,22</w:t>
            </w:r>
            <w:r>
              <w:rPr>
                <w:rFonts w:eastAsia="Times New Roman"/>
                <w:color w:val="000000"/>
                <w:sz w:val="20"/>
                <w:szCs w:val="20"/>
                <w:lang w:eastAsia="pt-BR"/>
              </w:rPr>
              <w:t>***</w:t>
            </w:r>
          </w:p>
        </w:tc>
      </w:tr>
      <w:tr w:rsidR="0005162C" w:rsidRPr="00E17C1E" w:rsidTr="002216FF">
        <w:trPr>
          <w:trHeight w:val="255"/>
        </w:trPr>
        <w:tc>
          <w:tcPr>
            <w:tcW w:w="0" w:type="auto"/>
            <w:tcBorders>
              <w:top w:val="nil"/>
              <w:left w:val="nil"/>
              <w:bottom w:val="single" w:sz="4" w:space="0" w:color="auto"/>
              <w:right w:val="single" w:sz="4" w:space="0" w:color="auto"/>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Sexo (Masculino)</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-0,52</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-0,54</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-0,43</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-0,34</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-0,20</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05162C" w:rsidRPr="0005162C" w:rsidRDefault="0005162C" w:rsidP="0005162C">
            <w:pPr>
              <w:ind w:firstLine="0"/>
              <w:jc w:val="center"/>
              <w:rPr>
                <w:rFonts w:eastAsia="Times New Roman"/>
                <w:color w:val="000000"/>
                <w:sz w:val="20"/>
                <w:szCs w:val="20"/>
                <w:lang w:eastAsia="pt-BR"/>
              </w:rPr>
            </w:pPr>
            <w:r w:rsidRPr="0005162C">
              <w:rPr>
                <w:rFonts w:eastAsia="Times New Roman"/>
                <w:color w:val="000000"/>
                <w:sz w:val="20"/>
                <w:szCs w:val="20"/>
                <w:lang w:eastAsia="pt-BR"/>
              </w:rPr>
              <w:t>-0,38</w:t>
            </w:r>
            <w:r>
              <w:rPr>
                <w:rFonts w:eastAsia="Times New Roman"/>
                <w:color w:val="000000"/>
                <w:sz w:val="20"/>
                <w:szCs w:val="20"/>
                <w:lang w:eastAsia="pt-BR"/>
              </w:rPr>
              <w:t>***</w:t>
            </w:r>
          </w:p>
        </w:tc>
      </w:tr>
      <w:tr w:rsidR="00811D17" w:rsidRPr="00E17C1E" w:rsidTr="002216FF">
        <w:trPr>
          <w:trHeight w:val="255"/>
        </w:trPr>
        <w:tc>
          <w:tcPr>
            <w:tcW w:w="0" w:type="auto"/>
            <w:tcBorders>
              <w:top w:val="single" w:sz="4" w:space="0" w:color="auto"/>
              <w:left w:val="nil"/>
              <w:right w:val="single" w:sz="4" w:space="0" w:color="auto"/>
            </w:tcBorders>
            <w:shd w:val="clear" w:color="auto" w:fill="auto"/>
            <w:noWrap/>
            <w:vAlign w:val="center"/>
          </w:tcPr>
          <w:p w:rsidR="00811D17" w:rsidRPr="0005162C" w:rsidRDefault="002216FF" w:rsidP="0005162C">
            <w:pPr>
              <w:ind w:firstLine="0"/>
              <w:jc w:val="center"/>
              <w:rPr>
                <w:rFonts w:eastAsia="Times New Roman"/>
                <w:color w:val="000000"/>
                <w:sz w:val="20"/>
                <w:szCs w:val="20"/>
                <w:lang w:eastAsia="pt-BR"/>
              </w:rPr>
            </w:pPr>
            <w:r w:rsidRPr="00A36D61">
              <w:rPr>
                <w:rFonts w:eastAsia="Times New Roman"/>
                <w:i/>
                <w:color w:val="000000"/>
                <w:sz w:val="20"/>
                <w:szCs w:val="20"/>
                <w:lang w:eastAsia="pt-BR"/>
              </w:rPr>
              <w:t>Goodness-of-fit</w:t>
            </w:r>
          </w:p>
        </w:tc>
        <w:tc>
          <w:tcPr>
            <w:tcW w:w="0" w:type="auto"/>
            <w:tcBorders>
              <w:top w:val="single" w:sz="4" w:space="0" w:color="auto"/>
              <w:left w:val="nil"/>
              <w:right w:val="nil"/>
            </w:tcBorders>
            <w:shd w:val="clear" w:color="auto" w:fill="auto"/>
            <w:noWrap/>
            <w:vAlign w:val="center"/>
          </w:tcPr>
          <w:p w:rsidR="00811D17" w:rsidRPr="0005162C" w:rsidRDefault="002216FF" w:rsidP="0005162C">
            <w:pPr>
              <w:ind w:firstLine="0"/>
              <w:jc w:val="center"/>
              <w:rPr>
                <w:rFonts w:eastAsia="Times New Roman"/>
                <w:color w:val="000000"/>
                <w:sz w:val="20"/>
                <w:szCs w:val="20"/>
                <w:lang w:eastAsia="pt-BR"/>
              </w:rPr>
            </w:pPr>
            <w:r>
              <w:rPr>
                <w:rFonts w:eastAsia="Times New Roman"/>
                <w:color w:val="000000"/>
                <w:sz w:val="20"/>
                <w:szCs w:val="20"/>
                <w:lang w:eastAsia="pt-BR"/>
              </w:rPr>
              <w:t>0,04</w:t>
            </w:r>
          </w:p>
        </w:tc>
        <w:tc>
          <w:tcPr>
            <w:tcW w:w="0" w:type="auto"/>
            <w:tcBorders>
              <w:top w:val="single" w:sz="4" w:space="0" w:color="auto"/>
              <w:left w:val="nil"/>
              <w:right w:val="nil"/>
            </w:tcBorders>
            <w:shd w:val="clear" w:color="auto" w:fill="auto"/>
            <w:noWrap/>
            <w:vAlign w:val="center"/>
          </w:tcPr>
          <w:p w:rsidR="00811D17" w:rsidRPr="0005162C" w:rsidRDefault="002216FF" w:rsidP="0005162C">
            <w:pPr>
              <w:ind w:firstLine="0"/>
              <w:jc w:val="center"/>
              <w:rPr>
                <w:rFonts w:eastAsia="Times New Roman"/>
                <w:color w:val="000000"/>
                <w:sz w:val="20"/>
                <w:szCs w:val="20"/>
                <w:lang w:eastAsia="pt-BR"/>
              </w:rPr>
            </w:pPr>
            <w:r>
              <w:rPr>
                <w:rFonts w:eastAsia="Times New Roman"/>
                <w:color w:val="000000"/>
                <w:sz w:val="20"/>
                <w:szCs w:val="20"/>
                <w:lang w:eastAsia="pt-BR"/>
              </w:rPr>
              <w:t>0,06</w:t>
            </w:r>
          </w:p>
        </w:tc>
        <w:tc>
          <w:tcPr>
            <w:tcW w:w="0" w:type="auto"/>
            <w:tcBorders>
              <w:top w:val="single" w:sz="4" w:space="0" w:color="auto"/>
              <w:left w:val="nil"/>
              <w:right w:val="nil"/>
            </w:tcBorders>
            <w:shd w:val="clear" w:color="auto" w:fill="auto"/>
            <w:noWrap/>
            <w:vAlign w:val="center"/>
          </w:tcPr>
          <w:p w:rsidR="00811D17" w:rsidRPr="0005162C" w:rsidRDefault="002216FF" w:rsidP="0005162C">
            <w:pPr>
              <w:ind w:firstLine="0"/>
              <w:jc w:val="center"/>
              <w:rPr>
                <w:rFonts w:eastAsia="Times New Roman"/>
                <w:color w:val="000000"/>
                <w:sz w:val="20"/>
                <w:szCs w:val="20"/>
                <w:lang w:eastAsia="pt-BR"/>
              </w:rPr>
            </w:pPr>
            <w:r>
              <w:rPr>
                <w:rFonts w:eastAsia="Times New Roman"/>
                <w:color w:val="000000"/>
                <w:sz w:val="20"/>
                <w:szCs w:val="20"/>
                <w:lang w:eastAsia="pt-BR"/>
              </w:rPr>
              <w:t>0,09</w:t>
            </w:r>
          </w:p>
        </w:tc>
        <w:tc>
          <w:tcPr>
            <w:tcW w:w="0" w:type="auto"/>
            <w:tcBorders>
              <w:top w:val="single" w:sz="4" w:space="0" w:color="auto"/>
              <w:left w:val="nil"/>
              <w:right w:val="nil"/>
            </w:tcBorders>
            <w:shd w:val="clear" w:color="auto" w:fill="auto"/>
            <w:noWrap/>
            <w:vAlign w:val="center"/>
          </w:tcPr>
          <w:p w:rsidR="00811D17" w:rsidRPr="0005162C" w:rsidRDefault="002216FF" w:rsidP="0005162C">
            <w:pPr>
              <w:ind w:firstLine="0"/>
              <w:jc w:val="center"/>
              <w:rPr>
                <w:rFonts w:eastAsia="Times New Roman"/>
                <w:color w:val="000000"/>
                <w:sz w:val="20"/>
                <w:szCs w:val="20"/>
                <w:lang w:eastAsia="pt-BR"/>
              </w:rPr>
            </w:pPr>
            <w:r>
              <w:rPr>
                <w:rFonts w:eastAsia="Times New Roman"/>
                <w:color w:val="000000"/>
                <w:sz w:val="20"/>
                <w:szCs w:val="20"/>
                <w:lang w:eastAsia="pt-BR"/>
              </w:rPr>
              <w:t>0,10</w:t>
            </w:r>
          </w:p>
        </w:tc>
        <w:tc>
          <w:tcPr>
            <w:tcW w:w="0" w:type="auto"/>
            <w:tcBorders>
              <w:top w:val="single" w:sz="4" w:space="0" w:color="auto"/>
              <w:left w:val="nil"/>
              <w:right w:val="nil"/>
            </w:tcBorders>
            <w:shd w:val="clear" w:color="auto" w:fill="auto"/>
            <w:noWrap/>
            <w:vAlign w:val="center"/>
          </w:tcPr>
          <w:p w:rsidR="00811D17" w:rsidRPr="0005162C" w:rsidRDefault="008F7625" w:rsidP="0005162C">
            <w:pPr>
              <w:ind w:firstLine="0"/>
              <w:jc w:val="center"/>
              <w:rPr>
                <w:rFonts w:eastAsia="Times New Roman"/>
                <w:color w:val="000000"/>
                <w:sz w:val="20"/>
                <w:szCs w:val="20"/>
                <w:lang w:eastAsia="pt-BR"/>
              </w:rPr>
            </w:pPr>
            <w:r>
              <w:rPr>
                <w:rFonts w:eastAsia="Times New Roman"/>
                <w:color w:val="000000"/>
                <w:sz w:val="20"/>
                <w:szCs w:val="20"/>
                <w:lang w:eastAsia="pt-BR"/>
              </w:rPr>
              <w:t>0,11</w:t>
            </w:r>
          </w:p>
        </w:tc>
        <w:tc>
          <w:tcPr>
            <w:tcW w:w="0" w:type="auto"/>
            <w:tcBorders>
              <w:top w:val="single" w:sz="4" w:space="0" w:color="auto"/>
              <w:left w:val="nil"/>
              <w:right w:val="nil"/>
            </w:tcBorders>
            <w:shd w:val="clear" w:color="auto" w:fill="auto"/>
            <w:noWrap/>
            <w:vAlign w:val="center"/>
          </w:tcPr>
          <w:p w:rsidR="00811D17" w:rsidRPr="0005162C" w:rsidRDefault="00B14420" w:rsidP="0005162C">
            <w:pPr>
              <w:ind w:firstLine="0"/>
              <w:jc w:val="center"/>
              <w:rPr>
                <w:rFonts w:eastAsia="Times New Roman"/>
                <w:color w:val="000000"/>
                <w:sz w:val="20"/>
                <w:szCs w:val="20"/>
                <w:lang w:eastAsia="pt-BR"/>
              </w:rPr>
            </w:pPr>
            <w:r>
              <w:rPr>
                <w:rFonts w:eastAsia="Times New Roman"/>
                <w:color w:val="000000"/>
                <w:sz w:val="20"/>
                <w:szCs w:val="20"/>
                <w:lang w:eastAsia="pt-BR"/>
              </w:rPr>
              <w:t>-</w:t>
            </w:r>
          </w:p>
        </w:tc>
      </w:tr>
      <w:tr w:rsidR="00B14420" w:rsidRPr="00E17C1E" w:rsidTr="00753FEA">
        <w:trPr>
          <w:trHeight w:val="255"/>
        </w:trPr>
        <w:tc>
          <w:tcPr>
            <w:tcW w:w="0" w:type="auto"/>
            <w:tcBorders>
              <w:left w:val="nil"/>
              <w:bottom w:val="nil"/>
              <w:right w:val="single" w:sz="4" w:space="0" w:color="auto"/>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R²</w:t>
            </w:r>
          </w:p>
        </w:tc>
        <w:tc>
          <w:tcPr>
            <w:tcW w:w="0" w:type="auto"/>
            <w:tcBorders>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left w:val="nil"/>
              <w:bottom w:val="nil"/>
              <w:right w:val="nil"/>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0,15</w:t>
            </w:r>
          </w:p>
        </w:tc>
      </w:tr>
      <w:tr w:rsidR="00B14420" w:rsidRPr="00E17C1E" w:rsidTr="00753FEA">
        <w:trPr>
          <w:trHeight w:val="255"/>
        </w:trPr>
        <w:tc>
          <w:tcPr>
            <w:tcW w:w="0" w:type="auto"/>
            <w:tcBorders>
              <w:top w:val="nil"/>
              <w:left w:val="nil"/>
              <w:bottom w:val="nil"/>
              <w:right w:val="single" w:sz="4" w:space="0" w:color="auto"/>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R²-ajustado</w:t>
            </w:r>
          </w:p>
        </w:tc>
        <w:tc>
          <w:tcPr>
            <w:tcW w:w="0" w:type="auto"/>
            <w:tcBorders>
              <w:top w:val="nil"/>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0,15</w:t>
            </w:r>
          </w:p>
        </w:tc>
      </w:tr>
      <w:tr w:rsidR="00B14420" w:rsidRPr="00E17C1E" w:rsidTr="00753FEA">
        <w:trPr>
          <w:trHeight w:val="255"/>
        </w:trPr>
        <w:tc>
          <w:tcPr>
            <w:tcW w:w="0" w:type="auto"/>
            <w:tcBorders>
              <w:top w:val="nil"/>
              <w:left w:val="nil"/>
              <w:bottom w:val="single" w:sz="4" w:space="0" w:color="auto"/>
              <w:right w:val="single" w:sz="4" w:space="0" w:color="auto"/>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Teste F</w:t>
            </w:r>
          </w:p>
        </w:tc>
        <w:tc>
          <w:tcPr>
            <w:tcW w:w="0" w:type="auto"/>
            <w:tcBorders>
              <w:top w:val="nil"/>
              <w:left w:val="nil"/>
              <w:bottom w:val="single" w:sz="4" w:space="0" w:color="auto"/>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B14420" w:rsidRPr="00E17C1E" w:rsidRDefault="00B14420"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B14420" w:rsidRPr="0005162C" w:rsidRDefault="00B14420" w:rsidP="00B14420">
            <w:pPr>
              <w:ind w:firstLine="0"/>
              <w:jc w:val="center"/>
              <w:rPr>
                <w:rFonts w:eastAsia="Times New Roman"/>
                <w:color w:val="000000"/>
                <w:sz w:val="20"/>
                <w:szCs w:val="20"/>
                <w:lang w:eastAsia="pt-BR"/>
              </w:rPr>
            </w:pPr>
            <w:r w:rsidRPr="0005162C">
              <w:rPr>
                <w:rFonts w:eastAsia="Times New Roman"/>
                <w:color w:val="000000"/>
                <w:sz w:val="20"/>
                <w:szCs w:val="20"/>
                <w:lang w:eastAsia="pt-BR"/>
              </w:rPr>
              <w:t>1</w:t>
            </w:r>
            <w:r w:rsidR="00E0319B">
              <w:rPr>
                <w:rFonts w:eastAsia="Times New Roman"/>
                <w:color w:val="000000"/>
                <w:sz w:val="20"/>
                <w:szCs w:val="20"/>
                <w:lang w:eastAsia="pt-BR"/>
              </w:rPr>
              <w:t>.</w:t>
            </w:r>
            <w:r w:rsidRPr="0005162C">
              <w:rPr>
                <w:rFonts w:eastAsia="Times New Roman"/>
                <w:color w:val="000000"/>
                <w:sz w:val="20"/>
                <w:szCs w:val="20"/>
                <w:lang w:eastAsia="pt-BR"/>
              </w:rPr>
              <w:t>913,00</w:t>
            </w:r>
            <w:r>
              <w:rPr>
                <w:rFonts w:eastAsia="Times New Roman"/>
                <w:color w:val="000000"/>
                <w:sz w:val="20"/>
                <w:szCs w:val="20"/>
                <w:lang w:eastAsia="pt-BR"/>
              </w:rPr>
              <w:t>***</w:t>
            </w:r>
          </w:p>
        </w:tc>
      </w:tr>
    </w:tbl>
    <w:p w:rsidR="0005162C" w:rsidRDefault="0005162C" w:rsidP="0005162C">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05162C" w:rsidRDefault="0005162C" w:rsidP="0005162C">
      <w:pPr>
        <w:ind w:firstLine="0"/>
        <w:rPr>
          <w:sz w:val="20"/>
        </w:rPr>
      </w:pPr>
      <w:r>
        <w:rPr>
          <w:sz w:val="20"/>
        </w:rPr>
        <w:t>Níveis de significância: * &lt;</w:t>
      </w:r>
      <w:r w:rsidRPr="00E45390">
        <w:rPr>
          <w:sz w:val="20"/>
        </w:rPr>
        <w:t xml:space="preserve"> 0,1; **</w:t>
      </w:r>
      <w:r>
        <w:rPr>
          <w:sz w:val="20"/>
        </w:rPr>
        <w:t xml:space="preserve"> &lt; 0,05; *** &lt; </w:t>
      </w:r>
      <w:r w:rsidRPr="00E45390">
        <w:rPr>
          <w:sz w:val="20"/>
        </w:rPr>
        <w:t>0,01</w:t>
      </w:r>
      <w:r>
        <w:rPr>
          <w:sz w:val="20"/>
        </w:rPr>
        <w:t>.</w:t>
      </w:r>
    </w:p>
    <w:p w:rsidR="00F21094" w:rsidRDefault="00F21094" w:rsidP="00F21094">
      <w:pPr>
        <w:ind w:firstLine="0"/>
      </w:pPr>
    </w:p>
    <w:p w:rsidR="0005162C" w:rsidRDefault="00DC487B" w:rsidP="0006252E">
      <w:pPr>
        <w:ind w:firstLine="709"/>
      </w:pPr>
      <w:r>
        <w:t xml:space="preserve">Os resultados mostram que ao longo de toda a distribuição dos custos, as três variáveis exercem influência significativa a 1%. Para o estado de sobrevivência observa-se que usuários </w:t>
      </w:r>
      <w:r>
        <w:lastRenderedPageBreak/>
        <w:t>que permanecem vivos tem custos menores quando comparados com os que vem a óbito. Para a idade, percebe-se uma influência positiva sobre os custos, enquanto para o sexo, os homens têm custo anual inferior ao das mulheres.</w:t>
      </w:r>
    </w:p>
    <w:p w:rsidR="00FC5715" w:rsidRPr="00FC5715" w:rsidRDefault="00FC5715" w:rsidP="0006252E">
      <w:pPr>
        <w:ind w:firstLine="709"/>
      </w:pPr>
      <w:r>
        <w:t xml:space="preserve">Dado que as variáveis selecionadas se mostraram significantes para a determinação do custo anual dos beneficiários, aplicou-se em seguida a árvore de regressão e o </w:t>
      </w:r>
      <w:r>
        <w:rPr>
          <w:i/>
        </w:rPr>
        <w:t>random forest</w:t>
      </w:r>
      <w:r>
        <w:t xml:space="preserve"> para mensurar a importância de cada uma dessas variáveis. Os resultados</w:t>
      </w:r>
      <w:r w:rsidR="00BE3F12">
        <w:t xml:space="preserve"> podem ser vistos na </w:t>
      </w:r>
      <w:r>
        <w:t xml:space="preserve">Tabela </w:t>
      </w:r>
      <w:r w:rsidR="00DC0E6C">
        <w:t>4</w:t>
      </w:r>
      <w:r>
        <w:t>.</w:t>
      </w:r>
    </w:p>
    <w:p w:rsidR="00307280" w:rsidRDefault="00307280" w:rsidP="00FC5715"/>
    <w:p w:rsidR="000E00D0" w:rsidRPr="00E17C1E" w:rsidRDefault="000E00D0" w:rsidP="000E00D0">
      <w:pPr>
        <w:pStyle w:val="Legenda"/>
        <w:keepNext/>
        <w:spacing w:after="0"/>
        <w:ind w:firstLine="0"/>
        <w:rPr>
          <w:i w:val="0"/>
          <w:color w:val="000000"/>
          <w:sz w:val="24"/>
        </w:rPr>
      </w:pPr>
      <w:r w:rsidRPr="00E17C1E">
        <w:rPr>
          <w:i w:val="0"/>
          <w:color w:val="000000"/>
          <w:sz w:val="24"/>
        </w:rPr>
        <w:t xml:space="preserve">Tabela </w:t>
      </w:r>
      <w:r w:rsidR="00DC0E6C">
        <w:rPr>
          <w:i w:val="0"/>
          <w:color w:val="000000"/>
          <w:sz w:val="24"/>
        </w:rPr>
        <w:t>4</w:t>
      </w:r>
      <w:r w:rsidR="00DC0E6C" w:rsidRPr="00E17C1E">
        <w:rPr>
          <w:i w:val="0"/>
          <w:color w:val="000000"/>
          <w:sz w:val="24"/>
        </w:rPr>
        <w:t xml:space="preserve"> </w:t>
      </w:r>
      <w:r w:rsidRPr="00E17C1E">
        <w:rPr>
          <w:i w:val="0"/>
          <w:color w:val="000000"/>
          <w:sz w:val="24"/>
        </w:rPr>
        <w:t>– Importância das variáveis para a determinação do custo anual da amostra completa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tblGrid>
      <w:tr w:rsidR="007C0865" w:rsidRPr="00E17C1E" w:rsidTr="00E17C1E">
        <w:tc>
          <w:tcPr>
            <w:tcW w:w="1812" w:type="dxa"/>
            <w:tcBorders>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Variável</w:t>
            </w:r>
          </w:p>
        </w:tc>
        <w:tc>
          <w:tcPr>
            <w:tcW w:w="1812" w:type="dxa"/>
            <w:tcBorders>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CART (Pureza)</w:t>
            </w:r>
          </w:p>
        </w:tc>
        <w:tc>
          <w:tcPr>
            <w:tcW w:w="1812" w:type="dxa"/>
            <w:tcBorders>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RF (Pureza)</w:t>
            </w:r>
          </w:p>
        </w:tc>
        <w:tc>
          <w:tcPr>
            <w:tcW w:w="1812" w:type="dxa"/>
            <w:tcBorders>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RF (QME)</w:t>
            </w:r>
          </w:p>
        </w:tc>
      </w:tr>
      <w:tr w:rsidR="007C0865" w:rsidRPr="00E17C1E" w:rsidTr="00E17C1E">
        <w:tc>
          <w:tcPr>
            <w:tcW w:w="1812" w:type="dxa"/>
            <w:tcBorders>
              <w:bottom w:val="nil"/>
            </w:tcBorders>
            <w:shd w:val="clear" w:color="auto" w:fill="auto"/>
            <w:vAlign w:val="center"/>
          </w:tcPr>
          <w:p w:rsidR="000E00D0" w:rsidRPr="00E17C1E" w:rsidRDefault="000E00D0" w:rsidP="00E17C1E">
            <w:pPr>
              <w:ind w:firstLine="0"/>
              <w:jc w:val="center"/>
              <w:rPr>
                <w:sz w:val="20"/>
              </w:rPr>
            </w:pPr>
            <w:r w:rsidRPr="00E17C1E">
              <w:rPr>
                <w:sz w:val="20"/>
              </w:rPr>
              <w:t>Estado</w:t>
            </w:r>
          </w:p>
        </w:tc>
        <w:tc>
          <w:tcPr>
            <w:tcW w:w="1812" w:type="dxa"/>
            <w:tcBorders>
              <w:bottom w:val="nil"/>
            </w:tcBorders>
            <w:shd w:val="clear" w:color="auto" w:fill="auto"/>
            <w:vAlign w:val="center"/>
          </w:tcPr>
          <w:p w:rsidR="000E00D0" w:rsidRPr="00E17C1E" w:rsidRDefault="000E00D0" w:rsidP="00E17C1E">
            <w:pPr>
              <w:ind w:firstLine="0"/>
              <w:jc w:val="center"/>
              <w:rPr>
                <w:sz w:val="20"/>
                <w:vertAlign w:val="subscript"/>
              </w:rPr>
            </w:pPr>
            <w:r w:rsidRPr="00E17C1E">
              <w:rPr>
                <w:sz w:val="20"/>
              </w:rPr>
              <w:t>6,77</w:t>
            </w:r>
            <w:r w:rsidRPr="00E17C1E">
              <w:rPr>
                <w:rFonts w:eastAsia="Times New Roman"/>
                <w:b/>
                <w:color w:val="000000"/>
                <w:sz w:val="20"/>
                <w:szCs w:val="20"/>
                <w:lang w:eastAsia="pt-BR"/>
              </w:rPr>
              <w:t>∙</w:t>
            </w:r>
            <w:r w:rsidRPr="00E17C1E">
              <w:rPr>
                <w:sz w:val="20"/>
              </w:rPr>
              <w:t>10</w:t>
            </w:r>
            <w:r w:rsidRPr="00E17C1E">
              <w:rPr>
                <w:sz w:val="20"/>
                <w:vertAlign w:val="superscript"/>
              </w:rPr>
              <w:t>12</w:t>
            </w:r>
            <w:r w:rsidRPr="00E17C1E">
              <w:rPr>
                <w:sz w:val="20"/>
                <w:vertAlign w:val="subscript"/>
              </w:rPr>
              <w:t xml:space="preserve"> </w:t>
            </w:r>
            <w:r w:rsidRPr="00E17C1E">
              <w:rPr>
                <w:sz w:val="20"/>
              </w:rPr>
              <w:t>(82,86%)</w:t>
            </w:r>
          </w:p>
        </w:tc>
        <w:tc>
          <w:tcPr>
            <w:tcW w:w="1812" w:type="dxa"/>
            <w:tcBorders>
              <w:bottom w:val="nil"/>
            </w:tcBorders>
            <w:shd w:val="clear" w:color="auto" w:fill="auto"/>
            <w:vAlign w:val="center"/>
          </w:tcPr>
          <w:p w:rsidR="000E00D0" w:rsidRPr="00E17C1E" w:rsidRDefault="000E00D0" w:rsidP="00E17C1E">
            <w:pPr>
              <w:ind w:firstLine="0"/>
              <w:jc w:val="center"/>
              <w:rPr>
                <w:sz w:val="20"/>
              </w:rPr>
            </w:pPr>
            <w:r w:rsidRPr="00E17C1E">
              <w:rPr>
                <w:sz w:val="20"/>
              </w:rPr>
              <w:t>1,99</w:t>
            </w:r>
            <w:r w:rsidRPr="00E17C1E">
              <w:rPr>
                <w:rFonts w:eastAsia="Times New Roman"/>
                <w:b/>
                <w:color w:val="000000"/>
                <w:sz w:val="20"/>
                <w:szCs w:val="20"/>
                <w:lang w:eastAsia="pt-BR"/>
              </w:rPr>
              <w:t>∙</w:t>
            </w:r>
            <w:r w:rsidRPr="00E17C1E">
              <w:rPr>
                <w:sz w:val="20"/>
              </w:rPr>
              <w:t>10</w:t>
            </w:r>
            <w:r w:rsidRPr="00E17C1E">
              <w:rPr>
                <w:sz w:val="20"/>
                <w:vertAlign w:val="superscript"/>
              </w:rPr>
              <w:t>12</w:t>
            </w:r>
            <w:r w:rsidRPr="00E17C1E">
              <w:rPr>
                <w:sz w:val="20"/>
              </w:rPr>
              <w:t xml:space="preserve"> (78,77%)</w:t>
            </w:r>
          </w:p>
        </w:tc>
        <w:tc>
          <w:tcPr>
            <w:tcW w:w="1812" w:type="dxa"/>
            <w:tcBorders>
              <w:bottom w:val="nil"/>
            </w:tcBorders>
            <w:shd w:val="clear" w:color="auto" w:fill="auto"/>
            <w:vAlign w:val="center"/>
          </w:tcPr>
          <w:p w:rsidR="000E00D0" w:rsidRPr="00E17C1E" w:rsidRDefault="000E00D0" w:rsidP="00E17C1E">
            <w:pPr>
              <w:ind w:firstLine="0"/>
              <w:jc w:val="center"/>
              <w:rPr>
                <w:sz w:val="20"/>
              </w:rPr>
            </w:pPr>
            <w:r w:rsidRPr="00E17C1E">
              <w:rPr>
                <w:sz w:val="20"/>
              </w:rPr>
              <w:t>50,33%</w:t>
            </w:r>
          </w:p>
        </w:tc>
      </w:tr>
      <w:tr w:rsidR="007C0865" w:rsidRPr="00E17C1E" w:rsidTr="00A11754">
        <w:tc>
          <w:tcPr>
            <w:tcW w:w="1812" w:type="dxa"/>
            <w:tcBorders>
              <w:top w:val="nil"/>
              <w:bottom w:val="nil"/>
            </w:tcBorders>
            <w:shd w:val="clear" w:color="auto" w:fill="auto"/>
            <w:vAlign w:val="center"/>
          </w:tcPr>
          <w:p w:rsidR="000E00D0" w:rsidRPr="00E17C1E" w:rsidRDefault="000E00D0" w:rsidP="00E17C1E">
            <w:pPr>
              <w:ind w:firstLine="0"/>
              <w:jc w:val="center"/>
              <w:rPr>
                <w:sz w:val="20"/>
              </w:rPr>
            </w:pPr>
            <w:r w:rsidRPr="00E17C1E">
              <w:rPr>
                <w:sz w:val="20"/>
              </w:rPr>
              <w:t>Idade</w:t>
            </w:r>
          </w:p>
        </w:tc>
        <w:tc>
          <w:tcPr>
            <w:tcW w:w="1812" w:type="dxa"/>
            <w:tcBorders>
              <w:top w:val="nil"/>
              <w:bottom w:val="nil"/>
            </w:tcBorders>
            <w:shd w:val="clear" w:color="auto" w:fill="auto"/>
            <w:vAlign w:val="center"/>
          </w:tcPr>
          <w:p w:rsidR="000E00D0" w:rsidRPr="00E17C1E" w:rsidRDefault="000E00D0" w:rsidP="00E17C1E">
            <w:pPr>
              <w:ind w:firstLine="0"/>
              <w:jc w:val="center"/>
              <w:rPr>
                <w:sz w:val="20"/>
              </w:rPr>
            </w:pPr>
            <w:r w:rsidRPr="00E17C1E">
              <w:rPr>
                <w:sz w:val="20"/>
              </w:rPr>
              <w:t>1,38</w:t>
            </w:r>
            <w:r w:rsidRPr="00E17C1E">
              <w:rPr>
                <w:rFonts w:eastAsia="Times New Roman"/>
                <w:b/>
                <w:color w:val="000000"/>
                <w:sz w:val="20"/>
                <w:szCs w:val="20"/>
                <w:lang w:eastAsia="pt-BR"/>
              </w:rPr>
              <w:t>∙</w:t>
            </w:r>
            <w:r w:rsidRPr="00E17C1E">
              <w:rPr>
                <w:sz w:val="20"/>
              </w:rPr>
              <w:t>10</w:t>
            </w:r>
            <w:r w:rsidRPr="00E17C1E">
              <w:rPr>
                <w:sz w:val="20"/>
                <w:vertAlign w:val="superscript"/>
              </w:rPr>
              <w:t>12</w:t>
            </w:r>
            <w:r w:rsidRPr="00E17C1E">
              <w:rPr>
                <w:sz w:val="20"/>
              </w:rPr>
              <w:t xml:space="preserve"> (16,90%)</w:t>
            </w:r>
          </w:p>
        </w:tc>
        <w:tc>
          <w:tcPr>
            <w:tcW w:w="1812" w:type="dxa"/>
            <w:tcBorders>
              <w:top w:val="nil"/>
              <w:bottom w:val="nil"/>
            </w:tcBorders>
            <w:shd w:val="clear" w:color="auto" w:fill="auto"/>
            <w:vAlign w:val="center"/>
          </w:tcPr>
          <w:p w:rsidR="000E00D0" w:rsidRPr="00E17C1E" w:rsidRDefault="000E00D0" w:rsidP="00E17C1E">
            <w:pPr>
              <w:ind w:firstLine="0"/>
              <w:jc w:val="center"/>
              <w:rPr>
                <w:sz w:val="20"/>
              </w:rPr>
            </w:pPr>
            <w:r w:rsidRPr="00E17C1E">
              <w:rPr>
                <w:sz w:val="20"/>
              </w:rPr>
              <w:t>5,22</w:t>
            </w:r>
            <w:r w:rsidRPr="00E17C1E">
              <w:rPr>
                <w:rFonts w:eastAsia="Times New Roman"/>
                <w:b/>
                <w:color w:val="000000"/>
                <w:sz w:val="20"/>
                <w:szCs w:val="20"/>
                <w:lang w:eastAsia="pt-BR"/>
              </w:rPr>
              <w:t>∙</w:t>
            </w:r>
            <w:r w:rsidRPr="00E17C1E">
              <w:rPr>
                <w:sz w:val="20"/>
              </w:rPr>
              <w:t>10</w:t>
            </w:r>
            <w:r w:rsidRPr="00E17C1E">
              <w:rPr>
                <w:sz w:val="20"/>
                <w:vertAlign w:val="superscript"/>
              </w:rPr>
              <w:t>11</w:t>
            </w:r>
            <w:r w:rsidRPr="00E17C1E">
              <w:rPr>
                <w:sz w:val="20"/>
              </w:rPr>
              <w:t xml:space="preserve"> (20,70%)</w:t>
            </w:r>
          </w:p>
        </w:tc>
        <w:tc>
          <w:tcPr>
            <w:tcW w:w="1812" w:type="dxa"/>
            <w:tcBorders>
              <w:top w:val="nil"/>
              <w:bottom w:val="nil"/>
            </w:tcBorders>
            <w:shd w:val="clear" w:color="auto" w:fill="auto"/>
            <w:vAlign w:val="center"/>
          </w:tcPr>
          <w:p w:rsidR="000E00D0" w:rsidRPr="00E17C1E" w:rsidRDefault="000E00D0" w:rsidP="00E17C1E">
            <w:pPr>
              <w:ind w:firstLine="0"/>
              <w:jc w:val="center"/>
              <w:rPr>
                <w:sz w:val="20"/>
              </w:rPr>
            </w:pPr>
            <w:r w:rsidRPr="00E17C1E">
              <w:rPr>
                <w:sz w:val="20"/>
              </w:rPr>
              <w:t>26,35%</w:t>
            </w:r>
          </w:p>
        </w:tc>
      </w:tr>
      <w:tr w:rsidR="007C0865" w:rsidRPr="00E17C1E" w:rsidTr="00A11754">
        <w:tc>
          <w:tcPr>
            <w:tcW w:w="1812" w:type="dxa"/>
            <w:tcBorders>
              <w:top w:val="nil"/>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Sexo</w:t>
            </w:r>
          </w:p>
        </w:tc>
        <w:tc>
          <w:tcPr>
            <w:tcW w:w="1812" w:type="dxa"/>
            <w:tcBorders>
              <w:top w:val="nil"/>
              <w:bottom w:val="single" w:sz="4" w:space="0" w:color="auto"/>
            </w:tcBorders>
            <w:shd w:val="clear" w:color="auto" w:fill="auto"/>
            <w:vAlign w:val="center"/>
          </w:tcPr>
          <w:p w:rsidR="000E00D0" w:rsidRPr="00E17C1E" w:rsidRDefault="000E00D0" w:rsidP="00E17C1E">
            <w:pPr>
              <w:ind w:firstLine="0"/>
              <w:jc w:val="center"/>
              <w:rPr>
                <w:sz w:val="20"/>
              </w:rPr>
            </w:pPr>
            <w:r w:rsidRPr="00E17C1E">
              <w:rPr>
                <w:rFonts w:eastAsia="Times New Roman"/>
                <w:color w:val="000000"/>
                <w:sz w:val="20"/>
                <w:szCs w:val="20"/>
                <w:lang w:eastAsia="pt-BR"/>
              </w:rPr>
              <w:t>1,94</w:t>
            </w:r>
            <w:r w:rsidRPr="00E17C1E">
              <w:rPr>
                <w:rFonts w:eastAsia="Times New Roman"/>
                <w:b/>
                <w:color w:val="000000"/>
                <w:sz w:val="20"/>
                <w:szCs w:val="20"/>
                <w:lang w:eastAsia="pt-BR"/>
              </w:rPr>
              <w:t>∙</w:t>
            </w:r>
            <w:r w:rsidRPr="00E17C1E">
              <w:rPr>
                <w:sz w:val="20"/>
              </w:rPr>
              <w:t>10</w:t>
            </w:r>
            <w:r w:rsidRPr="00E17C1E">
              <w:rPr>
                <w:sz w:val="20"/>
                <w:vertAlign w:val="superscript"/>
              </w:rPr>
              <w:t>10</w:t>
            </w:r>
            <w:r w:rsidRPr="00E17C1E">
              <w:rPr>
                <w:sz w:val="20"/>
              </w:rPr>
              <w:t xml:space="preserve"> (0,24%)</w:t>
            </w:r>
          </w:p>
        </w:tc>
        <w:tc>
          <w:tcPr>
            <w:tcW w:w="1812" w:type="dxa"/>
            <w:tcBorders>
              <w:top w:val="nil"/>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2,52</w:t>
            </w:r>
            <w:r w:rsidRPr="00E17C1E">
              <w:rPr>
                <w:rFonts w:eastAsia="Times New Roman"/>
                <w:b/>
                <w:color w:val="000000"/>
                <w:sz w:val="20"/>
                <w:szCs w:val="20"/>
                <w:lang w:eastAsia="pt-BR"/>
              </w:rPr>
              <w:t>∙</w:t>
            </w:r>
            <w:r w:rsidRPr="00E17C1E">
              <w:rPr>
                <w:sz w:val="20"/>
              </w:rPr>
              <w:t>10</w:t>
            </w:r>
            <w:r w:rsidRPr="00E17C1E">
              <w:rPr>
                <w:sz w:val="20"/>
                <w:vertAlign w:val="superscript"/>
              </w:rPr>
              <w:t>10</w:t>
            </w:r>
            <w:r w:rsidRPr="00E17C1E">
              <w:rPr>
                <w:sz w:val="20"/>
              </w:rPr>
              <w:t xml:space="preserve"> (0,53%)</w:t>
            </w:r>
          </w:p>
        </w:tc>
        <w:tc>
          <w:tcPr>
            <w:tcW w:w="1812" w:type="dxa"/>
            <w:tcBorders>
              <w:top w:val="nil"/>
              <w:bottom w:val="single" w:sz="4" w:space="0" w:color="auto"/>
            </w:tcBorders>
            <w:shd w:val="clear" w:color="auto" w:fill="auto"/>
            <w:vAlign w:val="center"/>
          </w:tcPr>
          <w:p w:rsidR="000E00D0" w:rsidRPr="00E17C1E" w:rsidRDefault="000E00D0" w:rsidP="00E17C1E">
            <w:pPr>
              <w:ind w:firstLine="0"/>
              <w:jc w:val="center"/>
              <w:rPr>
                <w:sz w:val="20"/>
              </w:rPr>
            </w:pPr>
            <w:r w:rsidRPr="00E17C1E">
              <w:rPr>
                <w:sz w:val="20"/>
              </w:rPr>
              <w:t>3,19%</w:t>
            </w:r>
          </w:p>
        </w:tc>
      </w:tr>
    </w:tbl>
    <w:p w:rsidR="000E00D0" w:rsidRDefault="000E00D0" w:rsidP="000E00D0">
      <w:pPr>
        <w:ind w:firstLine="0"/>
        <w:rPr>
          <w:sz w:val="20"/>
        </w:rPr>
      </w:pPr>
      <w:r>
        <w:rPr>
          <w:sz w:val="20"/>
        </w:rPr>
        <w:t>Fonte: Elaborada pelos autores.</w:t>
      </w:r>
    </w:p>
    <w:p w:rsidR="000E00D0" w:rsidRDefault="000E00D0" w:rsidP="00FC5715"/>
    <w:p w:rsidR="00307280" w:rsidRDefault="00307280" w:rsidP="0006252E">
      <w:pPr>
        <w:ind w:firstLine="709"/>
      </w:pPr>
      <w:r>
        <w:t xml:space="preserve">Tanto no critério de pureza da CART, bem como nos dois critérios do </w:t>
      </w:r>
      <w:r>
        <w:rPr>
          <w:i/>
        </w:rPr>
        <w:t>random forest</w:t>
      </w:r>
      <w:r>
        <w:t>, foi atribuído ao estado de sobrevivência do beneficiário uma maior importância em relação à idade. Destaca-se ainda que o sexo, apesar de ser significante no modelo de regressão, tem uma importância marginal para a determinação dos custos segundo as técnicas aplicadas.</w:t>
      </w:r>
    </w:p>
    <w:p w:rsidR="00F11C20" w:rsidRDefault="00BE3F12" w:rsidP="0006252E">
      <w:pPr>
        <w:ind w:firstLine="709"/>
      </w:pPr>
      <w:r>
        <w:t>Uma vez que se detectou uma maior importância do estado de sobrevivência para a determinação dos custos, e que além disso, o custo médio do grupo de usuários não sobreviventes é consid</w:t>
      </w:r>
      <w:r w:rsidR="00077CA6">
        <w:t xml:space="preserve">eravelmente superior ao dos </w:t>
      </w:r>
      <w:r>
        <w:t>sobreviventes, buscou-se um melhor entendimento do comportamento dos custos desse grupo de beneficiários, incluindo nesta análise a vari</w:t>
      </w:r>
      <w:r w:rsidR="00077CA6">
        <w:t xml:space="preserve">ável que indica a proximidade ao óbito. Em um primeiro momento foram feitas análises de regressão, cujos resultados podem ser observados na Tabela </w:t>
      </w:r>
      <w:r w:rsidR="00DC0E6C">
        <w:t>5</w:t>
      </w:r>
      <w:r w:rsidR="00077CA6">
        <w:t>.</w:t>
      </w:r>
    </w:p>
    <w:p w:rsidR="00F11C20" w:rsidRDefault="00F11C20" w:rsidP="0006252E">
      <w:pPr>
        <w:ind w:firstLine="709"/>
      </w:pPr>
    </w:p>
    <w:p w:rsidR="006E29A3" w:rsidRPr="00F11C20" w:rsidRDefault="006E29A3" w:rsidP="00F11C20">
      <w:pPr>
        <w:ind w:firstLine="0"/>
      </w:pPr>
      <w:r w:rsidRPr="00F11C20">
        <w:rPr>
          <w:color w:val="000000"/>
        </w:rPr>
        <w:t xml:space="preserve">Tabela </w:t>
      </w:r>
      <w:r w:rsidR="00DC0E6C">
        <w:rPr>
          <w:color w:val="000000"/>
        </w:rPr>
        <w:t>5</w:t>
      </w:r>
      <w:r w:rsidR="00DC0E6C" w:rsidRPr="00F11C20">
        <w:rPr>
          <w:color w:val="000000"/>
        </w:rPr>
        <w:t xml:space="preserve"> </w:t>
      </w:r>
      <w:r w:rsidRPr="00F11C20">
        <w:rPr>
          <w:color w:val="000000"/>
        </w:rPr>
        <w:t>– Resultados das regressões quantílicas e MQO para a amostra não sobrevivente</w:t>
      </w:r>
    </w:p>
    <w:tbl>
      <w:tblPr>
        <w:tblW w:w="0" w:type="auto"/>
        <w:tblCellMar>
          <w:left w:w="70" w:type="dxa"/>
          <w:right w:w="70" w:type="dxa"/>
        </w:tblCellMar>
        <w:tblLook w:val="04A0" w:firstRow="1" w:lastRow="0" w:firstColumn="1" w:lastColumn="0" w:noHBand="0" w:noVBand="1"/>
      </w:tblPr>
      <w:tblGrid>
        <w:gridCol w:w="1701"/>
        <w:gridCol w:w="1101"/>
        <w:gridCol w:w="1101"/>
        <w:gridCol w:w="1101"/>
        <w:gridCol w:w="1101"/>
        <w:gridCol w:w="1101"/>
        <w:gridCol w:w="990"/>
      </w:tblGrid>
      <w:tr w:rsidR="00F21094" w:rsidRPr="00E17C1E" w:rsidTr="00277784">
        <w:trPr>
          <w:trHeight w:val="300"/>
        </w:trPr>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Variável</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10</w:t>
            </w:r>
          </w:p>
        </w:tc>
        <w:tc>
          <w:tcPr>
            <w:tcW w:w="0" w:type="auto"/>
            <w:tcBorders>
              <w:top w:val="single" w:sz="4" w:space="0" w:color="auto"/>
              <w:left w:val="nil"/>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25</w:t>
            </w:r>
          </w:p>
        </w:tc>
        <w:tc>
          <w:tcPr>
            <w:tcW w:w="0" w:type="auto"/>
            <w:tcBorders>
              <w:top w:val="single" w:sz="4" w:space="0" w:color="auto"/>
              <w:left w:val="nil"/>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50</w:t>
            </w:r>
          </w:p>
        </w:tc>
        <w:tc>
          <w:tcPr>
            <w:tcW w:w="0" w:type="auto"/>
            <w:tcBorders>
              <w:top w:val="single" w:sz="4" w:space="0" w:color="auto"/>
              <w:left w:val="nil"/>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75</w:t>
            </w:r>
          </w:p>
        </w:tc>
        <w:tc>
          <w:tcPr>
            <w:tcW w:w="0" w:type="auto"/>
            <w:tcBorders>
              <w:top w:val="single" w:sz="4" w:space="0" w:color="auto"/>
              <w:left w:val="nil"/>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90</w:t>
            </w:r>
          </w:p>
        </w:tc>
        <w:tc>
          <w:tcPr>
            <w:tcW w:w="0" w:type="auto"/>
            <w:tcBorders>
              <w:top w:val="single" w:sz="4" w:space="0" w:color="auto"/>
              <w:left w:val="nil"/>
              <w:bottom w:val="single" w:sz="4" w:space="0" w:color="auto"/>
              <w:right w:val="nil"/>
            </w:tcBorders>
            <w:shd w:val="clear" w:color="auto" w:fill="auto"/>
            <w:noWrap/>
            <w:vAlign w:val="center"/>
            <w:hideMark/>
          </w:tcPr>
          <w:p w:rsidR="00F21094" w:rsidRPr="00F21094" w:rsidRDefault="00F21094" w:rsidP="00F21094">
            <w:pPr>
              <w:ind w:firstLine="0"/>
              <w:jc w:val="center"/>
              <w:rPr>
                <w:rFonts w:eastAsia="Times New Roman"/>
                <w:color w:val="000000"/>
                <w:sz w:val="20"/>
                <w:szCs w:val="20"/>
                <w:lang w:eastAsia="pt-BR"/>
              </w:rPr>
            </w:pPr>
            <w:r w:rsidRPr="00F21094">
              <w:rPr>
                <w:rFonts w:eastAsia="Times New Roman"/>
                <w:color w:val="000000"/>
                <w:sz w:val="20"/>
                <w:szCs w:val="20"/>
                <w:lang w:eastAsia="pt-BR"/>
              </w:rPr>
              <w:t>MQO</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Intercepto</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15,78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48,20</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124,32</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281,08</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369,30</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155,25</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-4,37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-21,04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-12,40</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40,52</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57,88</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9,41</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(2)</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-6,14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-30,57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-56,73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-28,93</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13,63</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-24,88</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(3)</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-7,63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-32,86</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-68,54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-74,59</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-47,02</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-45,95</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(4)</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-8,10</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-35,48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-75,84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-96,43</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-74,28</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-57,32</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(5)</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-8,26</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-36,02</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-79,10</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-107,66</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-103,97</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-64,39</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(6)</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-8,20</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-35,63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-79,07</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-106,36</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-109,44</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-67,96</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(7)</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-7,83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-35,58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-79,48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-111,78</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-116,29</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-69,18</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(8)</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-36,73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-82,69</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-115,12</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-119,27</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-71,31</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(9)</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-8,28</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-36,99</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-83,44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-117,02</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-131,88</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-75,30</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(10)</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-8,25</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-36,54</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-82,93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-121,24</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-128,97</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-74,55</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(11)</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-36,99</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-84,00</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-121,08</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-134,76</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-76,73</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(12)</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-8,25</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-37,45</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-83,56</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-122,27</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-133,91</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-76,45</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Idade</w:t>
            </w:r>
          </w:p>
        </w:tc>
        <w:tc>
          <w:tcPr>
            <w:tcW w:w="0" w:type="auto"/>
            <w:tcBorders>
              <w:top w:val="nil"/>
              <w:left w:val="single" w:sz="4" w:space="0" w:color="auto"/>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0,03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-0,05</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-2,53</w:t>
            </w:r>
            <w:r>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-13,24</w:t>
            </w:r>
            <w:r w:rsidR="00753FEA">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-16,61</w:t>
            </w:r>
            <w:r w:rsidR="007A31B7">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-4,86</w:t>
            </w:r>
            <w:r w:rsidR="007A31B7">
              <w:rPr>
                <w:rFonts w:eastAsia="Times New Roman"/>
                <w:color w:val="000000"/>
                <w:sz w:val="20"/>
                <w:szCs w:val="20"/>
                <w:lang w:eastAsia="pt-BR"/>
              </w:rPr>
              <w:t>***</w:t>
            </w:r>
          </w:p>
        </w:tc>
      </w:tr>
      <w:tr w:rsidR="004D4971" w:rsidRPr="00E17C1E" w:rsidTr="00753FEA">
        <w:trPr>
          <w:trHeight w:val="300"/>
        </w:trPr>
        <w:tc>
          <w:tcPr>
            <w:tcW w:w="0" w:type="auto"/>
            <w:tcBorders>
              <w:top w:val="nil"/>
              <w:left w:val="nil"/>
              <w:bottom w:val="single" w:sz="4" w:space="0" w:color="auto"/>
              <w:right w:val="single" w:sz="4" w:space="0" w:color="auto"/>
            </w:tcBorders>
            <w:shd w:val="clear" w:color="auto" w:fill="auto"/>
            <w:noWrap/>
            <w:vAlign w:val="center"/>
            <w:hideMark/>
          </w:tcPr>
          <w:p w:rsidR="004D4971" w:rsidRPr="00F21094" w:rsidRDefault="004D4971" w:rsidP="004D4971">
            <w:pPr>
              <w:ind w:firstLine="0"/>
              <w:jc w:val="center"/>
              <w:rPr>
                <w:rFonts w:eastAsia="Times New Roman"/>
                <w:color w:val="000000"/>
                <w:sz w:val="20"/>
                <w:szCs w:val="20"/>
                <w:lang w:eastAsia="pt-BR"/>
              </w:rPr>
            </w:pPr>
            <w:r w:rsidRPr="00F21094">
              <w:rPr>
                <w:rFonts w:eastAsia="Times New Roman"/>
                <w:color w:val="000000"/>
                <w:sz w:val="20"/>
                <w:szCs w:val="20"/>
                <w:lang w:eastAsia="pt-BR"/>
              </w:rPr>
              <w:t>Sexo (Masculino)</w:t>
            </w:r>
          </w:p>
        </w:tc>
        <w:tc>
          <w:tcPr>
            <w:tcW w:w="0" w:type="auto"/>
            <w:tcBorders>
              <w:top w:val="nil"/>
              <w:left w:val="single" w:sz="4" w:space="0" w:color="auto"/>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-0,03</w:t>
            </w:r>
          </w:p>
        </w:tc>
        <w:tc>
          <w:tcPr>
            <w:tcW w:w="0" w:type="auto"/>
            <w:tcBorders>
              <w:top w:val="nil"/>
              <w:left w:val="nil"/>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-0,73</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-1,59</w:t>
            </w:r>
            <w:r>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-5,01</w:t>
            </w:r>
            <w:r w:rsidR="00753FEA">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-5,25</w:t>
            </w:r>
          </w:p>
        </w:tc>
        <w:tc>
          <w:tcPr>
            <w:tcW w:w="0" w:type="auto"/>
            <w:tcBorders>
              <w:top w:val="nil"/>
              <w:left w:val="nil"/>
              <w:bottom w:val="single" w:sz="4" w:space="0" w:color="auto"/>
              <w:right w:val="nil"/>
            </w:tcBorders>
            <w:shd w:val="clear" w:color="auto" w:fill="auto"/>
            <w:noWrap/>
            <w:hideMark/>
          </w:tcPr>
          <w:p w:rsidR="004D4971" w:rsidRPr="00E17C1E" w:rsidRDefault="004D4971" w:rsidP="004D4971">
            <w:pPr>
              <w:ind w:firstLine="0"/>
              <w:jc w:val="center"/>
              <w:rPr>
                <w:sz w:val="20"/>
                <w:szCs w:val="20"/>
              </w:rPr>
            </w:pPr>
            <w:r w:rsidRPr="00E17C1E">
              <w:rPr>
                <w:sz w:val="20"/>
                <w:szCs w:val="20"/>
              </w:rPr>
              <w:t>-2,68</w:t>
            </w:r>
            <w:r w:rsidR="007A31B7">
              <w:rPr>
                <w:rFonts w:eastAsia="Times New Roman"/>
                <w:color w:val="000000"/>
                <w:sz w:val="20"/>
                <w:szCs w:val="20"/>
                <w:lang w:eastAsia="pt-BR"/>
              </w:rPr>
              <w:t>**</w:t>
            </w:r>
          </w:p>
        </w:tc>
      </w:tr>
      <w:tr w:rsidR="00A36D61" w:rsidRPr="00E17C1E" w:rsidTr="00A36D61">
        <w:trPr>
          <w:trHeight w:val="300"/>
        </w:trPr>
        <w:tc>
          <w:tcPr>
            <w:tcW w:w="0" w:type="auto"/>
            <w:tcBorders>
              <w:top w:val="nil"/>
              <w:left w:val="nil"/>
              <w:bottom w:val="nil"/>
              <w:right w:val="single" w:sz="4" w:space="0" w:color="auto"/>
            </w:tcBorders>
            <w:shd w:val="clear" w:color="auto" w:fill="auto"/>
            <w:noWrap/>
            <w:vAlign w:val="center"/>
          </w:tcPr>
          <w:p w:rsidR="00A36D61" w:rsidRPr="00A36D61" w:rsidRDefault="00A36D61" w:rsidP="00F21094">
            <w:pPr>
              <w:ind w:firstLine="0"/>
              <w:jc w:val="center"/>
              <w:rPr>
                <w:rFonts w:eastAsia="Times New Roman"/>
                <w:i/>
                <w:color w:val="000000"/>
                <w:sz w:val="20"/>
                <w:szCs w:val="20"/>
                <w:lang w:eastAsia="pt-BR"/>
              </w:rPr>
            </w:pPr>
            <w:r w:rsidRPr="00A36D61">
              <w:rPr>
                <w:rFonts w:eastAsia="Times New Roman"/>
                <w:i/>
                <w:color w:val="000000"/>
                <w:sz w:val="20"/>
                <w:szCs w:val="20"/>
                <w:lang w:eastAsia="pt-BR"/>
              </w:rPr>
              <w:t>Goodness-of-fit</w:t>
            </w:r>
          </w:p>
        </w:tc>
        <w:tc>
          <w:tcPr>
            <w:tcW w:w="0" w:type="auto"/>
            <w:tcBorders>
              <w:top w:val="nil"/>
              <w:left w:val="single" w:sz="4" w:space="0" w:color="auto"/>
              <w:bottom w:val="nil"/>
              <w:right w:val="nil"/>
            </w:tcBorders>
            <w:shd w:val="clear" w:color="auto" w:fill="auto"/>
            <w:noWrap/>
            <w:vAlign w:val="center"/>
          </w:tcPr>
          <w:p w:rsidR="00A36D61" w:rsidRPr="00A36D61" w:rsidRDefault="00BE3F12" w:rsidP="00B14420">
            <w:pPr>
              <w:ind w:firstLine="0"/>
              <w:jc w:val="center"/>
              <w:rPr>
                <w:rFonts w:eastAsia="Times New Roman"/>
                <w:color w:val="000000"/>
                <w:sz w:val="20"/>
                <w:szCs w:val="20"/>
                <w:lang w:eastAsia="pt-BR"/>
              </w:rPr>
            </w:pPr>
            <w:r>
              <w:rPr>
                <w:rFonts w:eastAsia="Times New Roman"/>
                <w:color w:val="000000"/>
                <w:sz w:val="20"/>
                <w:szCs w:val="20"/>
                <w:lang w:eastAsia="pt-BR"/>
              </w:rPr>
              <w:t>0,01</w:t>
            </w:r>
          </w:p>
        </w:tc>
        <w:tc>
          <w:tcPr>
            <w:tcW w:w="0" w:type="auto"/>
            <w:tcBorders>
              <w:top w:val="nil"/>
              <w:left w:val="nil"/>
              <w:bottom w:val="nil"/>
              <w:right w:val="nil"/>
            </w:tcBorders>
            <w:shd w:val="clear" w:color="auto" w:fill="auto"/>
            <w:noWrap/>
            <w:vAlign w:val="center"/>
          </w:tcPr>
          <w:p w:rsidR="00A36D61" w:rsidRPr="00A36D61" w:rsidRDefault="00BE3F12" w:rsidP="00B14420">
            <w:pPr>
              <w:ind w:firstLine="0"/>
              <w:jc w:val="center"/>
              <w:rPr>
                <w:rFonts w:eastAsia="Times New Roman"/>
                <w:color w:val="000000"/>
                <w:sz w:val="20"/>
                <w:szCs w:val="20"/>
                <w:lang w:eastAsia="pt-BR"/>
              </w:rPr>
            </w:pPr>
            <w:r>
              <w:rPr>
                <w:rFonts w:eastAsia="Times New Roman"/>
                <w:color w:val="000000"/>
                <w:sz w:val="20"/>
                <w:szCs w:val="20"/>
                <w:lang w:eastAsia="pt-BR"/>
              </w:rPr>
              <w:t>0,03</w:t>
            </w:r>
          </w:p>
        </w:tc>
        <w:tc>
          <w:tcPr>
            <w:tcW w:w="0" w:type="auto"/>
            <w:tcBorders>
              <w:top w:val="nil"/>
              <w:left w:val="nil"/>
              <w:bottom w:val="nil"/>
              <w:right w:val="nil"/>
            </w:tcBorders>
            <w:shd w:val="clear" w:color="auto" w:fill="auto"/>
            <w:noWrap/>
            <w:vAlign w:val="center"/>
          </w:tcPr>
          <w:p w:rsidR="00A36D61" w:rsidRPr="00A36D61" w:rsidRDefault="00BE3F12" w:rsidP="00B14420">
            <w:pPr>
              <w:ind w:firstLine="0"/>
              <w:jc w:val="center"/>
              <w:rPr>
                <w:rFonts w:eastAsia="Times New Roman"/>
                <w:color w:val="000000"/>
                <w:sz w:val="20"/>
                <w:szCs w:val="20"/>
                <w:lang w:eastAsia="pt-BR"/>
              </w:rPr>
            </w:pPr>
            <w:r>
              <w:rPr>
                <w:rFonts w:eastAsia="Times New Roman"/>
                <w:color w:val="000000"/>
                <w:sz w:val="20"/>
                <w:szCs w:val="20"/>
                <w:lang w:eastAsia="pt-BR"/>
              </w:rPr>
              <w:t>0,09</w:t>
            </w:r>
          </w:p>
        </w:tc>
        <w:tc>
          <w:tcPr>
            <w:tcW w:w="0" w:type="auto"/>
            <w:tcBorders>
              <w:top w:val="nil"/>
              <w:left w:val="nil"/>
              <w:bottom w:val="nil"/>
              <w:right w:val="nil"/>
            </w:tcBorders>
            <w:shd w:val="clear" w:color="auto" w:fill="auto"/>
            <w:noWrap/>
            <w:vAlign w:val="center"/>
          </w:tcPr>
          <w:p w:rsidR="00A36D61" w:rsidRPr="00A36D61" w:rsidRDefault="00BE3F12" w:rsidP="00B14420">
            <w:pPr>
              <w:ind w:firstLine="0"/>
              <w:jc w:val="center"/>
              <w:rPr>
                <w:rFonts w:eastAsia="Times New Roman"/>
                <w:color w:val="000000"/>
                <w:sz w:val="20"/>
                <w:szCs w:val="20"/>
                <w:lang w:eastAsia="pt-BR"/>
              </w:rPr>
            </w:pPr>
            <w:r>
              <w:rPr>
                <w:rFonts w:eastAsia="Times New Roman"/>
                <w:color w:val="000000"/>
                <w:sz w:val="20"/>
                <w:szCs w:val="20"/>
                <w:lang w:eastAsia="pt-BR"/>
              </w:rPr>
              <w:t>0,17</w:t>
            </w:r>
          </w:p>
        </w:tc>
        <w:tc>
          <w:tcPr>
            <w:tcW w:w="0" w:type="auto"/>
            <w:tcBorders>
              <w:top w:val="nil"/>
              <w:left w:val="nil"/>
              <w:bottom w:val="nil"/>
              <w:right w:val="nil"/>
            </w:tcBorders>
            <w:shd w:val="clear" w:color="auto" w:fill="auto"/>
            <w:noWrap/>
            <w:vAlign w:val="center"/>
          </w:tcPr>
          <w:p w:rsidR="00A36D61" w:rsidRPr="00A36D61" w:rsidRDefault="00A36D61" w:rsidP="00B14420">
            <w:pPr>
              <w:ind w:firstLine="0"/>
              <w:jc w:val="center"/>
              <w:rPr>
                <w:rFonts w:eastAsia="Times New Roman"/>
                <w:color w:val="000000"/>
                <w:sz w:val="20"/>
                <w:szCs w:val="20"/>
                <w:lang w:eastAsia="pt-BR"/>
              </w:rPr>
            </w:pPr>
            <w:r w:rsidRPr="00A36D61">
              <w:rPr>
                <w:rFonts w:eastAsia="Times New Roman"/>
                <w:color w:val="000000"/>
                <w:sz w:val="20"/>
                <w:szCs w:val="20"/>
                <w:lang w:eastAsia="pt-BR"/>
              </w:rPr>
              <w:t>0,1</w:t>
            </w:r>
            <w:r w:rsidR="00BE3F12">
              <w:rPr>
                <w:rFonts w:eastAsia="Times New Roman"/>
                <w:color w:val="000000"/>
                <w:sz w:val="20"/>
                <w:szCs w:val="20"/>
                <w:lang w:eastAsia="pt-BR"/>
              </w:rPr>
              <w:t>8</w:t>
            </w:r>
          </w:p>
        </w:tc>
        <w:tc>
          <w:tcPr>
            <w:tcW w:w="0" w:type="auto"/>
            <w:tcBorders>
              <w:top w:val="nil"/>
              <w:left w:val="nil"/>
              <w:bottom w:val="nil"/>
              <w:right w:val="nil"/>
            </w:tcBorders>
            <w:shd w:val="clear" w:color="auto" w:fill="auto"/>
            <w:noWrap/>
            <w:vAlign w:val="center"/>
          </w:tcPr>
          <w:p w:rsidR="00A36D61" w:rsidRPr="00F21094" w:rsidRDefault="0061379F" w:rsidP="00A36D61">
            <w:pPr>
              <w:ind w:firstLine="0"/>
              <w:jc w:val="center"/>
              <w:rPr>
                <w:rFonts w:eastAsia="Times New Roman"/>
                <w:color w:val="000000"/>
                <w:sz w:val="20"/>
                <w:szCs w:val="20"/>
                <w:lang w:eastAsia="pt-BR"/>
              </w:rPr>
            </w:pPr>
            <w:r>
              <w:rPr>
                <w:rFonts w:eastAsia="Times New Roman"/>
                <w:color w:val="000000"/>
                <w:sz w:val="20"/>
                <w:szCs w:val="20"/>
                <w:lang w:eastAsia="pt-BR"/>
              </w:rPr>
              <w:t>-</w:t>
            </w:r>
          </w:p>
        </w:tc>
      </w:tr>
      <w:tr w:rsidR="0061379F"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R²</w:t>
            </w:r>
          </w:p>
        </w:tc>
        <w:tc>
          <w:tcPr>
            <w:tcW w:w="0" w:type="auto"/>
            <w:tcBorders>
              <w:top w:val="nil"/>
              <w:left w:val="single" w:sz="4" w:space="0" w:color="auto"/>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61379F" w:rsidRPr="00F21094" w:rsidRDefault="004D4971" w:rsidP="0061379F">
            <w:pPr>
              <w:ind w:firstLine="0"/>
              <w:jc w:val="center"/>
              <w:rPr>
                <w:rFonts w:eastAsia="Times New Roman"/>
                <w:color w:val="000000"/>
                <w:sz w:val="20"/>
                <w:szCs w:val="20"/>
                <w:lang w:eastAsia="pt-BR"/>
              </w:rPr>
            </w:pPr>
            <w:r>
              <w:rPr>
                <w:rFonts w:eastAsia="Times New Roman"/>
                <w:color w:val="000000"/>
                <w:sz w:val="20"/>
                <w:szCs w:val="20"/>
                <w:lang w:eastAsia="pt-BR"/>
              </w:rPr>
              <w:t>0,17</w:t>
            </w:r>
          </w:p>
        </w:tc>
      </w:tr>
      <w:tr w:rsidR="0061379F" w:rsidRPr="00E17C1E" w:rsidTr="00753FEA">
        <w:trPr>
          <w:trHeight w:val="300"/>
        </w:trPr>
        <w:tc>
          <w:tcPr>
            <w:tcW w:w="0" w:type="auto"/>
            <w:tcBorders>
              <w:top w:val="nil"/>
              <w:left w:val="nil"/>
              <w:bottom w:val="nil"/>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R²-ajustado</w:t>
            </w:r>
          </w:p>
        </w:tc>
        <w:tc>
          <w:tcPr>
            <w:tcW w:w="0" w:type="auto"/>
            <w:tcBorders>
              <w:top w:val="nil"/>
              <w:left w:val="single" w:sz="4" w:space="0" w:color="auto"/>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0,1</w:t>
            </w:r>
            <w:r w:rsidR="004D4971">
              <w:rPr>
                <w:rFonts w:eastAsia="Times New Roman"/>
                <w:color w:val="000000"/>
                <w:sz w:val="20"/>
                <w:szCs w:val="20"/>
                <w:lang w:eastAsia="pt-BR"/>
              </w:rPr>
              <w:t>7</w:t>
            </w:r>
          </w:p>
        </w:tc>
      </w:tr>
      <w:tr w:rsidR="0061379F" w:rsidRPr="00E17C1E" w:rsidTr="00753FEA">
        <w:trPr>
          <w:trHeight w:val="300"/>
        </w:trPr>
        <w:tc>
          <w:tcPr>
            <w:tcW w:w="0" w:type="auto"/>
            <w:tcBorders>
              <w:top w:val="nil"/>
              <w:left w:val="nil"/>
              <w:bottom w:val="single" w:sz="4" w:space="0" w:color="auto"/>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Teste F</w:t>
            </w:r>
          </w:p>
        </w:tc>
        <w:tc>
          <w:tcPr>
            <w:tcW w:w="0" w:type="auto"/>
            <w:tcBorders>
              <w:top w:val="nil"/>
              <w:left w:val="single" w:sz="4" w:space="0" w:color="auto"/>
              <w:bottom w:val="single" w:sz="4" w:space="0" w:color="auto"/>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hideMark/>
          </w:tcPr>
          <w:p w:rsidR="0061379F" w:rsidRPr="00E17C1E" w:rsidRDefault="0061379F" w:rsidP="00B14420">
            <w:pPr>
              <w:ind w:firstLine="0"/>
              <w:jc w:val="center"/>
            </w:pPr>
            <w:r w:rsidRPr="00E16926">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hideMark/>
          </w:tcPr>
          <w:p w:rsidR="0061379F" w:rsidRPr="00F21094" w:rsidRDefault="004D4971" w:rsidP="0061379F">
            <w:pPr>
              <w:ind w:firstLine="0"/>
              <w:jc w:val="center"/>
              <w:rPr>
                <w:rFonts w:eastAsia="Times New Roman"/>
                <w:color w:val="000000"/>
                <w:sz w:val="20"/>
                <w:szCs w:val="20"/>
                <w:lang w:eastAsia="pt-BR"/>
              </w:rPr>
            </w:pPr>
            <w:r>
              <w:rPr>
                <w:rFonts w:eastAsia="Times New Roman"/>
                <w:color w:val="000000"/>
                <w:sz w:val="20"/>
                <w:szCs w:val="20"/>
                <w:lang w:eastAsia="pt-BR"/>
              </w:rPr>
              <w:t>154,5</w:t>
            </w:r>
            <w:r w:rsidR="0061379F" w:rsidRPr="00F21094">
              <w:rPr>
                <w:rFonts w:eastAsia="Times New Roman"/>
                <w:color w:val="000000"/>
                <w:sz w:val="20"/>
                <w:szCs w:val="20"/>
                <w:lang w:eastAsia="pt-BR"/>
              </w:rPr>
              <w:t>0</w:t>
            </w:r>
            <w:r w:rsidR="0061379F">
              <w:rPr>
                <w:rFonts w:eastAsia="Times New Roman"/>
                <w:color w:val="000000"/>
                <w:sz w:val="20"/>
                <w:szCs w:val="20"/>
                <w:lang w:eastAsia="pt-BR"/>
              </w:rPr>
              <w:t>***</w:t>
            </w:r>
          </w:p>
        </w:tc>
      </w:tr>
    </w:tbl>
    <w:p w:rsidR="0005162C" w:rsidRDefault="0005162C" w:rsidP="0005162C">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05162C" w:rsidRDefault="0005162C" w:rsidP="0005162C">
      <w:pPr>
        <w:ind w:firstLine="0"/>
        <w:rPr>
          <w:sz w:val="20"/>
        </w:rPr>
      </w:pPr>
      <w:r>
        <w:rPr>
          <w:sz w:val="20"/>
        </w:rPr>
        <w:t>Níveis de significância: * &lt;</w:t>
      </w:r>
      <w:r w:rsidRPr="00E45390">
        <w:rPr>
          <w:sz w:val="20"/>
        </w:rPr>
        <w:t xml:space="preserve"> 0,1; **</w:t>
      </w:r>
      <w:r>
        <w:rPr>
          <w:sz w:val="20"/>
        </w:rPr>
        <w:t xml:space="preserve"> &lt; 0,05; *** &lt; </w:t>
      </w:r>
      <w:r w:rsidRPr="00E45390">
        <w:rPr>
          <w:sz w:val="20"/>
        </w:rPr>
        <w:t>0,01</w:t>
      </w:r>
      <w:r>
        <w:rPr>
          <w:sz w:val="20"/>
        </w:rPr>
        <w:t>.</w:t>
      </w:r>
    </w:p>
    <w:p w:rsidR="006E29A3" w:rsidRDefault="006E29A3" w:rsidP="006E29A3">
      <w:pPr>
        <w:ind w:firstLine="0"/>
      </w:pPr>
    </w:p>
    <w:p w:rsidR="00DA7A73" w:rsidRDefault="00205592" w:rsidP="0006252E">
      <w:pPr>
        <w:ind w:firstLine="709"/>
      </w:pPr>
      <w:r>
        <w:t>Diferentemente da regressão que considera a amostra completa,</w:t>
      </w:r>
      <w:r w:rsidR="00DA7A73">
        <w:t xml:space="preserve"> quando foi considerado o custo mensal dos beneficiários que vieram a óbito, houve momentos em que algumas das variáveis não demonstraram significância estatística, ou significância superior a 1%. </w:t>
      </w:r>
      <w:r w:rsidR="002C79FA">
        <w:t>Nesta análise, a idade apresenta uma influência negativa sobre o custo, mas que se mostra significante</w:t>
      </w:r>
      <w:r w:rsidR="00307280">
        <w:t xml:space="preserve"> a 1%</w:t>
      </w:r>
      <w:r w:rsidR="002C79FA">
        <w:t xml:space="preserve"> a</w:t>
      </w:r>
      <w:r w:rsidR="00FB1B99">
        <w:t>penas nos percentis de 50 a 90.</w:t>
      </w:r>
    </w:p>
    <w:p w:rsidR="000E00D0" w:rsidRDefault="00B74A37" w:rsidP="0006252E">
      <w:pPr>
        <w:ind w:firstLine="709"/>
      </w:pPr>
      <w:r>
        <w:t>A idade revelou baixa significância (10%) no percentil 10 e não foi significante no percentil 25. É interessante ressaltar que a relação observada entre a idade e custo dos beneficiários que vieram a óbito foi negativa,</w:t>
      </w:r>
      <w:r w:rsidR="000E00D0">
        <w:t xml:space="preserve"> com</w:t>
      </w:r>
      <w:r>
        <w:t xml:space="preserve"> a exceção do </w:t>
      </w:r>
      <w:r w:rsidR="000E00D0">
        <w:t>percentil mais baixo analisado.</w:t>
      </w:r>
      <w:r w:rsidR="008C4635">
        <w:t xml:space="preserve"> </w:t>
      </w:r>
      <w:r w:rsidR="000E00D0">
        <w:t>Quanto aos meses para o óbito, em geral, o</w:t>
      </w:r>
      <w:r w:rsidR="00555F34">
        <w:t xml:space="preserve">bserva-se que </w:t>
      </w:r>
      <w:r w:rsidR="003B1FFE">
        <w:t>a medida que se aproxima do óbito, há um aumento do custo assistencial mensal.</w:t>
      </w:r>
      <w:r w:rsidR="00BB03D8">
        <w:t xml:space="preserve"> Além disso, é possível perceber que </w:t>
      </w:r>
      <w:r w:rsidR="008C4635">
        <w:t>esse aumento do custo ocorre de modo mais acentuado a partir do quarto mês que antecede o falecimento.</w:t>
      </w:r>
    </w:p>
    <w:p w:rsidR="006E29A3" w:rsidRDefault="00DA7A73" w:rsidP="0006252E">
      <w:pPr>
        <w:ind w:firstLine="709"/>
      </w:pPr>
      <w:r>
        <w:t>O sexo não demonstrou significância nos pontos mais extremos utilizados para análise, os percentis 10 e 90, enquanto nos percentis 25 e 75 sua significância foi de 5%. Apesar disso, o comportamento observado é semelhante ao da análise anterior, uma vez que os homens apresentaram custo menor que o das mulheres.</w:t>
      </w:r>
    </w:p>
    <w:p w:rsidR="008C4635" w:rsidRDefault="008C4635" w:rsidP="0006252E">
      <w:pPr>
        <w:ind w:firstLine="709"/>
      </w:pPr>
      <w:r>
        <w:t xml:space="preserve">Assim como foi feito para a amostra completa, foram utilizadas a árvore de regressão e o </w:t>
      </w:r>
      <w:r>
        <w:rPr>
          <w:i/>
        </w:rPr>
        <w:t>random forest</w:t>
      </w:r>
      <w:r>
        <w:t xml:space="preserve"> para mensurar a importância das variáveis para a determinação do custo mensal dos beneficiários que vieram a óbito, o que é apresentado na Tabela </w:t>
      </w:r>
      <w:r w:rsidR="00DC0E6C">
        <w:t>6</w:t>
      </w:r>
      <w:r>
        <w:t>.</w:t>
      </w:r>
    </w:p>
    <w:p w:rsidR="00F11C20" w:rsidRDefault="00F11C20" w:rsidP="006E29A3">
      <w:pPr>
        <w:pStyle w:val="Legenda"/>
        <w:keepNext/>
        <w:spacing w:after="0"/>
        <w:ind w:firstLine="0"/>
        <w:rPr>
          <w:i w:val="0"/>
          <w:color w:val="000000"/>
          <w:sz w:val="24"/>
        </w:rPr>
      </w:pPr>
    </w:p>
    <w:p w:rsidR="006E29A3" w:rsidRPr="00E17C1E" w:rsidRDefault="006E29A3" w:rsidP="006E29A3">
      <w:pPr>
        <w:pStyle w:val="Legenda"/>
        <w:keepNext/>
        <w:spacing w:after="0"/>
        <w:ind w:firstLine="0"/>
        <w:rPr>
          <w:i w:val="0"/>
          <w:color w:val="000000"/>
          <w:sz w:val="24"/>
        </w:rPr>
      </w:pPr>
      <w:r w:rsidRPr="00E17C1E">
        <w:rPr>
          <w:i w:val="0"/>
          <w:color w:val="000000"/>
          <w:sz w:val="24"/>
        </w:rPr>
        <w:t xml:space="preserve">Tabela </w:t>
      </w:r>
      <w:r w:rsidR="00DC0E6C">
        <w:rPr>
          <w:i w:val="0"/>
          <w:color w:val="000000"/>
          <w:sz w:val="24"/>
        </w:rPr>
        <w:t>6</w:t>
      </w:r>
      <w:r w:rsidR="00DC0E6C" w:rsidRPr="00E17C1E">
        <w:rPr>
          <w:i w:val="0"/>
          <w:color w:val="000000"/>
          <w:sz w:val="24"/>
        </w:rPr>
        <w:t xml:space="preserve"> </w:t>
      </w:r>
      <w:r w:rsidRPr="00E17C1E">
        <w:rPr>
          <w:i w:val="0"/>
          <w:color w:val="000000"/>
          <w:sz w:val="24"/>
        </w:rPr>
        <w:t>– Importância das variáveis par</w:t>
      </w:r>
      <w:r w:rsidR="009A5A1A" w:rsidRPr="00E17C1E">
        <w:rPr>
          <w:i w:val="0"/>
          <w:color w:val="000000"/>
          <w:sz w:val="24"/>
        </w:rPr>
        <w:t>a a determinação do custo dos não sobreviventes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tblGrid>
      <w:tr w:rsidR="007C0865" w:rsidRPr="00E17C1E" w:rsidTr="00E17C1E">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Variável</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CART</w:t>
            </w:r>
            <w:r w:rsidR="006E1BA1" w:rsidRPr="00E17C1E">
              <w:rPr>
                <w:sz w:val="20"/>
              </w:rPr>
              <w:t xml:space="preserve"> (Pureza)</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RF (Pureza)</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RF (QME)</w:t>
            </w:r>
          </w:p>
        </w:tc>
      </w:tr>
      <w:tr w:rsidR="007C0865" w:rsidRPr="00E17C1E" w:rsidTr="00E17C1E">
        <w:tc>
          <w:tcPr>
            <w:tcW w:w="1812" w:type="dxa"/>
            <w:tcBorders>
              <w:bottom w:val="nil"/>
            </w:tcBorders>
            <w:shd w:val="clear" w:color="auto" w:fill="auto"/>
            <w:vAlign w:val="center"/>
          </w:tcPr>
          <w:p w:rsidR="004F3FFD" w:rsidRPr="00E17C1E" w:rsidRDefault="004F3FFD" w:rsidP="00E17C1E">
            <w:pPr>
              <w:ind w:firstLine="0"/>
              <w:jc w:val="center"/>
              <w:rPr>
                <w:sz w:val="20"/>
              </w:rPr>
            </w:pPr>
            <w:r w:rsidRPr="00E17C1E">
              <w:rPr>
                <w:sz w:val="20"/>
              </w:rPr>
              <w:t>Meses p/ óbito</w:t>
            </w:r>
          </w:p>
        </w:tc>
        <w:tc>
          <w:tcPr>
            <w:tcW w:w="1812" w:type="dxa"/>
            <w:tcBorders>
              <w:bottom w:val="nil"/>
            </w:tcBorders>
            <w:shd w:val="clear" w:color="auto" w:fill="auto"/>
            <w:vAlign w:val="center"/>
          </w:tcPr>
          <w:p w:rsidR="004F3FFD" w:rsidRPr="00E17C1E" w:rsidRDefault="001F09A0" w:rsidP="00E17C1E">
            <w:pPr>
              <w:ind w:firstLine="0"/>
              <w:jc w:val="center"/>
              <w:rPr>
                <w:sz w:val="20"/>
                <w:vertAlign w:val="subscript"/>
              </w:rPr>
            </w:pPr>
            <w:r w:rsidRPr="00E17C1E">
              <w:rPr>
                <w:sz w:val="20"/>
              </w:rPr>
              <w:t>5,54</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11</w:t>
            </w:r>
            <w:r w:rsidR="004F3FFD" w:rsidRPr="00E17C1E">
              <w:rPr>
                <w:sz w:val="20"/>
                <w:vertAlign w:val="subscript"/>
              </w:rPr>
              <w:t xml:space="preserve"> </w:t>
            </w:r>
            <w:r w:rsidR="004F3FFD" w:rsidRPr="00E17C1E">
              <w:rPr>
                <w:sz w:val="20"/>
              </w:rPr>
              <w:t>(99,70%)</w:t>
            </w:r>
          </w:p>
        </w:tc>
        <w:tc>
          <w:tcPr>
            <w:tcW w:w="1812" w:type="dxa"/>
            <w:tcBorders>
              <w:bottom w:val="nil"/>
            </w:tcBorders>
            <w:shd w:val="clear" w:color="auto" w:fill="auto"/>
            <w:vAlign w:val="center"/>
          </w:tcPr>
          <w:p w:rsidR="004F3FFD" w:rsidRPr="00E17C1E" w:rsidRDefault="001F09A0" w:rsidP="00E17C1E">
            <w:pPr>
              <w:ind w:firstLine="0"/>
              <w:jc w:val="center"/>
              <w:rPr>
                <w:sz w:val="20"/>
              </w:rPr>
            </w:pPr>
            <w:r w:rsidRPr="00E17C1E">
              <w:rPr>
                <w:sz w:val="20"/>
              </w:rPr>
              <w:t>4,12</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11</w:t>
            </w:r>
            <w:r w:rsidR="004F3FFD" w:rsidRPr="00E17C1E">
              <w:rPr>
                <w:sz w:val="20"/>
              </w:rPr>
              <w:t xml:space="preserve"> (80,31%)</w:t>
            </w:r>
          </w:p>
        </w:tc>
        <w:tc>
          <w:tcPr>
            <w:tcW w:w="1812" w:type="dxa"/>
            <w:tcBorders>
              <w:bottom w:val="nil"/>
            </w:tcBorders>
            <w:shd w:val="clear" w:color="auto" w:fill="auto"/>
            <w:vAlign w:val="center"/>
          </w:tcPr>
          <w:p w:rsidR="004F3FFD" w:rsidRPr="00E17C1E" w:rsidRDefault="004F3FFD" w:rsidP="00E17C1E">
            <w:pPr>
              <w:ind w:firstLine="0"/>
              <w:jc w:val="center"/>
              <w:rPr>
                <w:sz w:val="20"/>
              </w:rPr>
            </w:pPr>
            <w:r w:rsidRPr="00E17C1E">
              <w:rPr>
                <w:sz w:val="20"/>
              </w:rPr>
              <w:t>115,54%</w:t>
            </w:r>
          </w:p>
        </w:tc>
      </w:tr>
      <w:tr w:rsidR="007C0865" w:rsidRPr="00E17C1E" w:rsidTr="00E17C1E">
        <w:tc>
          <w:tcPr>
            <w:tcW w:w="1812" w:type="dxa"/>
            <w:tcBorders>
              <w:top w:val="nil"/>
              <w:bottom w:val="nil"/>
            </w:tcBorders>
            <w:shd w:val="clear" w:color="auto" w:fill="auto"/>
            <w:vAlign w:val="center"/>
          </w:tcPr>
          <w:p w:rsidR="004F3FFD" w:rsidRPr="00E17C1E" w:rsidRDefault="004F3FFD" w:rsidP="00E17C1E">
            <w:pPr>
              <w:ind w:firstLine="0"/>
              <w:jc w:val="center"/>
              <w:rPr>
                <w:sz w:val="20"/>
              </w:rPr>
            </w:pPr>
            <w:r w:rsidRPr="00E17C1E">
              <w:rPr>
                <w:sz w:val="20"/>
              </w:rPr>
              <w:t>Idade</w:t>
            </w:r>
          </w:p>
        </w:tc>
        <w:tc>
          <w:tcPr>
            <w:tcW w:w="1812" w:type="dxa"/>
            <w:tcBorders>
              <w:top w:val="nil"/>
              <w:bottom w:val="nil"/>
            </w:tcBorders>
            <w:shd w:val="clear" w:color="auto" w:fill="auto"/>
            <w:vAlign w:val="center"/>
          </w:tcPr>
          <w:p w:rsidR="004F3FFD" w:rsidRPr="00E17C1E" w:rsidRDefault="001F09A0" w:rsidP="00E17C1E">
            <w:pPr>
              <w:ind w:firstLine="0"/>
              <w:jc w:val="center"/>
              <w:rPr>
                <w:sz w:val="20"/>
              </w:rPr>
            </w:pPr>
            <w:r w:rsidRPr="00E17C1E">
              <w:rPr>
                <w:sz w:val="20"/>
              </w:rPr>
              <w:t>1,36</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9</w:t>
            </w:r>
            <w:r w:rsidR="004F3FFD" w:rsidRPr="00E17C1E">
              <w:rPr>
                <w:sz w:val="20"/>
              </w:rPr>
              <w:t xml:space="preserve"> (0,24%)</w:t>
            </w:r>
          </w:p>
        </w:tc>
        <w:tc>
          <w:tcPr>
            <w:tcW w:w="1812" w:type="dxa"/>
            <w:tcBorders>
              <w:top w:val="nil"/>
              <w:bottom w:val="nil"/>
            </w:tcBorders>
            <w:shd w:val="clear" w:color="auto" w:fill="auto"/>
            <w:vAlign w:val="center"/>
          </w:tcPr>
          <w:p w:rsidR="004F3FFD" w:rsidRPr="00E17C1E" w:rsidRDefault="001F09A0" w:rsidP="00E17C1E">
            <w:pPr>
              <w:ind w:firstLine="0"/>
              <w:jc w:val="center"/>
              <w:rPr>
                <w:sz w:val="20"/>
              </w:rPr>
            </w:pPr>
            <w:r w:rsidRPr="00E17C1E">
              <w:rPr>
                <w:sz w:val="20"/>
              </w:rPr>
              <w:t>9,53</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10</w:t>
            </w:r>
            <w:r w:rsidR="004F3FFD" w:rsidRPr="00E17C1E">
              <w:rPr>
                <w:sz w:val="20"/>
              </w:rPr>
              <w:t xml:space="preserve"> (18,54%)</w:t>
            </w:r>
          </w:p>
        </w:tc>
        <w:tc>
          <w:tcPr>
            <w:tcW w:w="1812" w:type="dxa"/>
            <w:tcBorders>
              <w:top w:val="nil"/>
              <w:bottom w:val="nil"/>
            </w:tcBorders>
            <w:shd w:val="clear" w:color="auto" w:fill="auto"/>
            <w:vAlign w:val="center"/>
          </w:tcPr>
          <w:p w:rsidR="004F3FFD" w:rsidRPr="00E17C1E" w:rsidRDefault="004F3FFD" w:rsidP="00E17C1E">
            <w:pPr>
              <w:ind w:firstLine="0"/>
              <w:jc w:val="center"/>
              <w:rPr>
                <w:sz w:val="20"/>
              </w:rPr>
            </w:pPr>
            <w:r w:rsidRPr="00E17C1E">
              <w:rPr>
                <w:sz w:val="20"/>
              </w:rPr>
              <w:t>49,50%</w:t>
            </w:r>
          </w:p>
        </w:tc>
      </w:tr>
      <w:tr w:rsidR="007C0865" w:rsidRPr="00E17C1E" w:rsidTr="00E17C1E">
        <w:tc>
          <w:tcPr>
            <w:tcW w:w="1812" w:type="dxa"/>
            <w:tcBorders>
              <w:top w:val="nil"/>
            </w:tcBorders>
            <w:shd w:val="clear" w:color="auto" w:fill="auto"/>
            <w:vAlign w:val="center"/>
          </w:tcPr>
          <w:p w:rsidR="004F3FFD" w:rsidRPr="00E17C1E" w:rsidRDefault="004F3FFD" w:rsidP="00E17C1E">
            <w:pPr>
              <w:ind w:firstLine="0"/>
              <w:jc w:val="center"/>
              <w:rPr>
                <w:sz w:val="20"/>
              </w:rPr>
            </w:pPr>
            <w:r w:rsidRPr="00E17C1E">
              <w:rPr>
                <w:sz w:val="20"/>
              </w:rPr>
              <w:t>Sexo</w:t>
            </w:r>
          </w:p>
        </w:tc>
        <w:tc>
          <w:tcPr>
            <w:tcW w:w="1812" w:type="dxa"/>
            <w:tcBorders>
              <w:top w:val="nil"/>
            </w:tcBorders>
            <w:shd w:val="clear" w:color="auto" w:fill="auto"/>
            <w:vAlign w:val="center"/>
          </w:tcPr>
          <w:p w:rsidR="004F3FFD" w:rsidRPr="00E17C1E" w:rsidRDefault="001F09A0" w:rsidP="00E17C1E">
            <w:pPr>
              <w:ind w:firstLine="0"/>
              <w:jc w:val="center"/>
              <w:rPr>
                <w:sz w:val="20"/>
              </w:rPr>
            </w:pPr>
            <w:r w:rsidRPr="00E17C1E">
              <w:rPr>
                <w:sz w:val="20"/>
              </w:rPr>
              <w:t>2,87</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8</w:t>
            </w:r>
            <w:r w:rsidR="004F3FFD" w:rsidRPr="00E17C1E">
              <w:rPr>
                <w:sz w:val="20"/>
              </w:rPr>
              <w:t xml:space="preserve"> (0,05%)</w:t>
            </w:r>
          </w:p>
        </w:tc>
        <w:tc>
          <w:tcPr>
            <w:tcW w:w="1812" w:type="dxa"/>
            <w:tcBorders>
              <w:top w:val="nil"/>
            </w:tcBorders>
            <w:shd w:val="clear" w:color="auto" w:fill="auto"/>
            <w:vAlign w:val="center"/>
          </w:tcPr>
          <w:p w:rsidR="004F3FFD" w:rsidRPr="00E17C1E" w:rsidRDefault="004F3FFD" w:rsidP="00E17C1E">
            <w:pPr>
              <w:ind w:firstLine="0"/>
              <w:jc w:val="center"/>
              <w:rPr>
                <w:sz w:val="20"/>
              </w:rPr>
            </w:pPr>
            <w:r w:rsidRPr="00E17C1E">
              <w:rPr>
                <w:sz w:val="20"/>
              </w:rPr>
              <w:t>5,85</w:t>
            </w:r>
            <w:r w:rsidR="001F09A0" w:rsidRPr="00E17C1E">
              <w:rPr>
                <w:rFonts w:eastAsia="Times New Roman"/>
                <w:b/>
                <w:color w:val="000000"/>
                <w:sz w:val="20"/>
                <w:szCs w:val="20"/>
                <w:lang w:eastAsia="pt-BR"/>
              </w:rPr>
              <w:t>∙</w:t>
            </w:r>
            <w:r w:rsidRPr="00E17C1E">
              <w:rPr>
                <w:sz w:val="20"/>
              </w:rPr>
              <w:t>10</w:t>
            </w:r>
            <w:r w:rsidRPr="00E17C1E">
              <w:rPr>
                <w:sz w:val="20"/>
                <w:vertAlign w:val="superscript"/>
              </w:rPr>
              <w:t>9</w:t>
            </w:r>
            <w:r w:rsidRPr="00E17C1E">
              <w:rPr>
                <w:sz w:val="20"/>
              </w:rPr>
              <w:t xml:space="preserve"> (1,15%)</w:t>
            </w:r>
          </w:p>
        </w:tc>
        <w:tc>
          <w:tcPr>
            <w:tcW w:w="1812" w:type="dxa"/>
            <w:tcBorders>
              <w:top w:val="nil"/>
            </w:tcBorders>
            <w:shd w:val="clear" w:color="auto" w:fill="auto"/>
            <w:vAlign w:val="center"/>
          </w:tcPr>
          <w:p w:rsidR="004F3FFD" w:rsidRPr="00E17C1E" w:rsidRDefault="004F3FFD" w:rsidP="00E17C1E">
            <w:pPr>
              <w:ind w:firstLine="0"/>
              <w:jc w:val="center"/>
              <w:rPr>
                <w:sz w:val="20"/>
              </w:rPr>
            </w:pPr>
            <w:r w:rsidRPr="00E17C1E">
              <w:rPr>
                <w:sz w:val="20"/>
              </w:rPr>
              <w:t>3,93%</w:t>
            </w:r>
          </w:p>
        </w:tc>
      </w:tr>
    </w:tbl>
    <w:p w:rsidR="009A5A1A" w:rsidRDefault="009A5A1A" w:rsidP="009A5A1A">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4F3FFD" w:rsidRDefault="004F3FFD" w:rsidP="009A5A1A">
      <w:pPr>
        <w:ind w:firstLine="0"/>
      </w:pPr>
    </w:p>
    <w:p w:rsidR="008A0416" w:rsidRDefault="00B056AE" w:rsidP="0006252E">
      <w:pPr>
        <w:ind w:firstLine="709"/>
      </w:pPr>
      <w:r>
        <w:t xml:space="preserve">Com base nos resultados argumenta-se que </w:t>
      </w:r>
      <w:r w:rsidR="00406395">
        <w:t>a quantidade de meses para o óbito dos beneficiários tem uma maior importância do que a idade e o sexo, o que se observa para todos os critérios adotados. É possível inferir também que, quando se considera apenas os usuários que faleceram, a idade tem uma importância relativa menor quando comparada ao que se observou para a amostra completa. O sexo novamente, apesar de demonstrar alguma significância estatística, tem uma importância marginal na determinação do custo dos usuários não sobreviventes, segundo as técnicas aplicadas.</w:t>
      </w:r>
    </w:p>
    <w:p w:rsidR="008706BB" w:rsidRPr="007A247A" w:rsidRDefault="005F7F2A" w:rsidP="0006252E">
      <w:pPr>
        <w:ind w:firstLine="709"/>
      </w:pPr>
      <w:r>
        <w:t>Em seguida, de modo semelhante aos trabalhos de Yu</w:t>
      </w:r>
      <w:r w:rsidR="00DC0E6C">
        <w:t>, Wang e Wu</w:t>
      </w:r>
      <w:r>
        <w:t xml:space="preserve"> (2015) e Zweifel</w:t>
      </w:r>
      <w:r w:rsidR="00DC0E6C">
        <w:t xml:space="preserve">, Felder e Meiers </w:t>
      </w:r>
      <w:r>
        <w:t xml:space="preserve">(1999), foi feita uma nova análise considerando apenas a população com 65 anos ou mais. Tal análise pode ser compreendida </w:t>
      </w:r>
      <w:r w:rsidR="004152B8">
        <w:t xml:space="preserve">como um teste de robustez, uma vez que </w:t>
      </w:r>
      <w:r w:rsidR="007A247A">
        <w:t>para esse grupo etário, o custo é menos sensível ao envelhecimento da população (</w:t>
      </w:r>
      <w:r w:rsidR="00DC0E6C">
        <w:t>ZWEIFEL; FELDER; MEIERS,</w:t>
      </w:r>
      <w:r w:rsidR="007A247A">
        <w:t xml:space="preserve"> 1999). A Tabela </w:t>
      </w:r>
      <w:r w:rsidR="00DC0E6C">
        <w:t>7</w:t>
      </w:r>
      <w:r w:rsidR="007A247A">
        <w:t xml:space="preserve"> traz os resultados obtidos para as regressões considerando esse novo cenário.</w:t>
      </w:r>
    </w:p>
    <w:p w:rsidR="008C4635" w:rsidRDefault="008C4635" w:rsidP="008A0416"/>
    <w:p w:rsidR="009A5A1A" w:rsidRPr="00E17C1E" w:rsidRDefault="009A5A1A" w:rsidP="009A5A1A">
      <w:pPr>
        <w:pStyle w:val="Legenda"/>
        <w:keepNext/>
        <w:spacing w:after="0"/>
        <w:ind w:firstLine="0"/>
        <w:rPr>
          <w:i w:val="0"/>
          <w:color w:val="000000"/>
          <w:sz w:val="24"/>
        </w:rPr>
      </w:pPr>
      <w:r w:rsidRPr="00E17C1E">
        <w:rPr>
          <w:i w:val="0"/>
          <w:color w:val="000000"/>
          <w:sz w:val="24"/>
        </w:rPr>
        <w:t xml:space="preserve">Tabela </w:t>
      </w:r>
      <w:r w:rsidR="00DC0E6C">
        <w:rPr>
          <w:i w:val="0"/>
          <w:color w:val="000000"/>
          <w:sz w:val="24"/>
        </w:rPr>
        <w:t>7</w:t>
      </w:r>
      <w:r w:rsidR="00DC0E6C" w:rsidRPr="00E17C1E">
        <w:rPr>
          <w:i w:val="0"/>
          <w:color w:val="000000"/>
          <w:sz w:val="24"/>
        </w:rPr>
        <w:t xml:space="preserve"> </w:t>
      </w:r>
      <w:r w:rsidRPr="00E17C1E">
        <w:rPr>
          <w:i w:val="0"/>
          <w:color w:val="000000"/>
          <w:sz w:val="24"/>
        </w:rPr>
        <w:t>– Resultado das regressões quantílicas e MQO para os não sobreviventes (65 anos)</w:t>
      </w:r>
    </w:p>
    <w:tbl>
      <w:tblPr>
        <w:tblW w:w="0" w:type="auto"/>
        <w:tblCellMar>
          <w:left w:w="70" w:type="dxa"/>
          <w:right w:w="70" w:type="dxa"/>
        </w:tblCellMar>
        <w:tblLook w:val="04A0" w:firstRow="1" w:lastRow="0" w:firstColumn="1" w:lastColumn="0" w:noHBand="0" w:noVBand="1"/>
      </w:tblPr>
      <w:tblGrid>
        <w:gridCol w:w="1701"/>
        <w:gridCol w:w="1101"/>
        <w:gridCol w:w="1101"/>
        <w:gridCol w:w="1101"/>
        <w:gridCol w:w="1101"/>
        <w:gridCol w:w="1101"/>
        <w:gridCol w:w="990"/>
      </w:tblGrid>
      <w:tr w:rsidR="008A0416" w:rsidRPr="00E17C1E" w:rsidTr="008A0416">
        <w:trPr>
          <w:trHeight w:val="300"/>
        </w:trPr>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Variável</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10</w:t>
            </w:r>
          </w:p>
        </w:tc>
        <w:tc>
          <w:tcPr>
            <w:tcW w:w="0" w:type="auto"/>
            <w:tcBorders>
              <w:top w:val="single" w:sz="4" w:space="0" w:color="auto"/>
              <w:left w:val="nil"/>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25</w:t>
            </w:r>
          </w:p>
        </w:tc>
        <w:tc>
          <w:tcPr>
            <w:tcW w:w="0" w:type="auto"/>
            <w:tcBorders>
              <w:top w:val="single" w:sz="4" w:space="0" w:color="auto"/>
              <w:left w:val="nil"/>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50</w:t>
            </w:r>
          </w:p>
        </w:tc>
        <w:tc>
          <w:tcPr>
            <w:tcW w:w="0" w:type="auto"/>
            <w:tcBorders>
              <w:top w:val="single" w:sz="4" w:space="0" w:color="auto"/>
              <w:left w:val="nil"/>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75</w:t>
            </w:r>
          </w:p>
        </w:tc>
        <w:tc>
          <w:tcPr>
            <w:tcW w:w="0" w:type="auto"/>
            <w:tcBorders>
              <w:top w:val="single" w:sz="4" w:space="0" w:color="auto"/>
              <w:left w:val="nil"/>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Percentil 90</w:t>
            </w:r>
          </w:p>
        </w:tc>
        <w:tc>
          <w:tcPr>
            <w:tcW w:w="0" w:type="auto"/>
            <w:tcBorders>
              <w:top w:val="single" w:sz="4" w:space="0" w:color="auto"/>
              <w:left w:val="nil"/>
              <w:bottom w:val="single" w:sz="4" w:space="0" w:color="auto"/>
              <w:right w:val="nil"/>
            </w:tcBorders>
            <w:shd w:val="clear" w:color="auto" w:fill="auto"/>
            <w:noWrap/>
            <w:vAlign w:val="center"/>
            <w:hideMark/>
          </w:tcPr>
          <w:p w:rsidR="008A0416" w:rsidRPr="00F21094" w:rsidRDefault="008A0416" w:rsidP="008A0416">
            <w:pPr>
              <w:ind w:firstLine="0"/>
              <w:jc w:val="center"/>
              <w:rPr>
                <w:rFonts w:eastAsia="Times New Roman"/>
                <w:color w:val="000000"/>
                <w:sz w:val="20"/>
                <w:szCs w:val="20"/>
                <w:lang w:eastAsia="pt-BR"/>
              </w:rPr>
            </w:pPr>
            <w:r w:rsidRPr="00F21094">
              <w:rPr>
                <w:rFonts w:eastAsia="Times New Roman"/>
                <w:color w:val="000000"/>
                <w:sz w:val="20"/>
                <w:szCs w:val="20"/>
                <w:lang w:eastAsia="pt-BR"/>
              </w:rPr>
              <w:t>MQO</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Intercepto</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19,61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61,17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129,49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256,93</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427,14</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181,27</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-6,97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-22,35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-14,14</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41,48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57,58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9,73</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(2)</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-8,86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-33,18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-61,50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-36,49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17,10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-28,77</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(3)</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-10,46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-35,27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-72,86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-80,87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-43,86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-50,29</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(4)</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-11,01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-37,87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-80,29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-105,49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-71,73</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-62,42</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(5)</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-11,10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-39,12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-82,92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-115,92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-108,01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-69,40</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(6)</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-11,02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-38,10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-83,12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-118,68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-115,85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-72,85</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lastRenderedPageBreak/>
              <w:t>Meses p/ óbito (7)</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-10,66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-38,36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-83,90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-121,85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-126,61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-75,41</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(8)</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-11,10</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-39,07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-86,39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-123,77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-131,02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-77,98</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(9)</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-11,15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-39,76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-86,98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-127,42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-140,87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-81,91</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(10)</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-11,08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-38,92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-87,09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-130,98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-140,21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-81,18</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(11)</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-11,08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-40,05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-88,34</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-130,26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-147,29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-83,02</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Meses p/ óbito (12)</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-11,09</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-39,97</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-87,18</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-130,51</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-143,26</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-82,27</w:t>
            </w:r>
            <w:r w:rsidR="00EF2A21" w:rsidRPr="00E17C1E">
              <w:rPr>
                <w:color w:val="000000"/>
                <w:sz w:val="20"/>
                <w:szCs w:val="20"/>
              </w:rPr>
              <w:t>***</w:t>
            </w:r>
          </w:p>
        </w:tc>
      </w:tr>
      <w:tr w:rsidR="005F7F2A" w:rsidRPr="00E17C1E" w:rsidTr="008A0416">
        <w:trPr>
          <w:trHeight w:val="300"/>
        </w:trPr>
        <w:tc>
          <w:tcPr>
            <w:tcW w:w="0" w:type="auto"/>
            <w:tcBorders>
              <w:top w:val="nil"/>
              <w:left w:val="nil"/>
              <w:bottom w:val="nil"/>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Idade</w:t>
            </w:r>
          </w:p>
        </w:tc>
        <w:tc>
          <w:tcPr>
            <w:tcW w:w="0" w:type="auto"/>
            <w:tcBorders>
              <w:top w:val="nil"/>
              <w:left w:val="single" w:sz="4" w:space="0" w:color="auto"/>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-0,08</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-1,24</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-2,75</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-10,13</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-22,52</w:t>
            </w:r>
            <w:r w:rsidR="00EF2A21" w:rsidRPr="00E17C1E">
              <w:rPr>
                <w:color w:val="000000"/>
                <w:sz w:val="20"/>
                <w:szCs w:val="20"/>
              </w:rPr>
              <w:t>***</w:t>
            </w:r>
          </w:p>
        </w:tc>
        <w:tc>
          <w:tcPr>
            <w:tcW w:w="0" w:type="auto"/>
            <w:tcBorders>
              <w:top w:val="nil"/>
              <w:left w:val="nil"/>
              <w:bottom w:val="nil"/>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-7,36</w:t>
            </w:r>
            <w:r w:rsidR="00EF2A21" w:rsidRPr="00E17C1E">
              <w:rPr>
                <w:color w:val="000000"/>
                <w:sz w:val="20"/>
                <w:szCs w:val="20"/>
              </w:rPr>
              <w:t>***</w:t>
            </w:r>
          </w:p>
        </w:tc>
      </w:tr>
      <w:tr w:rsidR="005F7F2A" w:rsidRPr="00E17C1E" w:rsidTr="008A0416">
        <w:trPr>
          <w:trHeight w:val="300"/>
        </w:trPr>
        <w:tc>
          <w:tcPr>
            <w:tcW w:w="0" w:type="auto"/>
            <w:tcBorders>
              <w:top w:val="nil"/>
              <w:left w:val="nil"/>
              <w:bottom w:val="single" w:sz="4" w:space="0" w:color="auto"/>
              <w:right w:val="single" w:sz="4" w:space="0" w:color="auto"/>
            </w:tcBorders>
            <w:shd w:val="clear" w:color="auto" w:fill="auto"/>
            <w:noWrap/>
            <w:vAlign w:val="center"/>
            <w:hideMark/>
          </w:tcPr>
          <w:p w:rsidR="005F7F2A" w:rsidRPr="00F21094" w:rsidRDefault="005F7F2A" w:rsidP="005F7F2A">
            <w:pPr>
              <w:ind w:firstLine="0"/>
              <w:jc w:val="center"/>
              <w:rPr>
                <w:rFonts w:eastAsia="Times New Roman"/>
                <w:color w:val="000000"/>
                <w:sz w:val="20"/>
                <w:szCs w:val="20"/>
                <w:lang w:eastAsia="pt-BR"/>
              </w:rPr>
            </w:pPr>
            <w:r w:rsidRPr="00F21094">
              <w:rPr>
                <w:rFonts w:eastAsia="Times New Roman"/>
                <w:color w:val="000000"/>
                <w:sz w:val="20"/>
                <w:szCs w:val="20"/>
                <w:lang w:eastAsia="pt-BR"/>
              </w:rPr>
              <w:t>Sexo (Masculino)</w:t>
            </w:r>
          </w:p>
        </w:tc>
        <w:tc>
          <w:tcPr>
            <w:tcW w:w="0" w:type="auto"/>
            <w:tcBorders>
              <w:top w:val="nil"/>
              <w:left w:val="single" w:sz="4" w:space="0" w:color="auto"/>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-0,05</w:t>
            </w:r>
          </w:p>
        </w:tc>
        <w:tc>
          <w:tcPr>
            <w:tcW w:w="0" w:type="auto"/>
            <w:tcBorders>
              <w:top w:val="nil"/>
              <w:left w:val="nil"/>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-0,38</w:t>
            </w:r>
          </w:p>
        </w:tc>
        <w:tc>
          <w:tcPr>
            <w:tcW w:w="0" w:type="auto"/>
            <w:tcBorders>
              <w:top w:val="nil"/>
              <w:left w:val="nil"/>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-0,54</w:t>
            </w:r>
          </w:p>
        </w:tc>
        <w:tc>
          <w:tcPr>
            <w:tcW w:w="0" w:type="auto"/>
            <w:tcBorders>
              <w:top w:val="nil"/>
              <w:left w:val="nil"/>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-1,12</w:t>
            </w:r>
          </w:p>
        </w:tc>
        <w:tc>
          <w:tcPr>
            <w:tcW w:w="0" w:type="auto"/>
            <w:tcBorders>
              <w:top w:val="nil"/>
              <w:left w:val="nil"/>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-4,25</w:t>
            </w:r>
          </w:p>
        </w:tc>
        <w:tc>
          <w:tcPr>
            <w:tcW w:w="0" w:type="auto"/>
            <w:tcBorders>
              <w:top w:val="nil"/>
              <w:left w:val="nil"/>
              <w:bottom w:val="single" w:sz="4" w:space="0" w:color="auto"/>
              <w:right w:val="nil"/>
            </w:tcBorders>
            <w:shd w:val="clear" w:color="auto" w:fill="auto"/>
            <w:noWrap/>
            <w:vAlign w:val="center"/>
          </w:tcPr>
          <w:p w:rsidR="005F7F2A" w:rsidRPr="00E17C1E" w:rsidRDefault="005F7F2A" w:rsidP="005F7F2A">
            <w:pPr>
              <w:ind w:firstLine="0"/>
              <w:jc w:val="center"/>
              <w:rPr>
                <w:color w:val="000000"/>
                <w:sz w:val="20"/>
                <w:szCs w:val="20"/>
              </w:rPr>
            </w:pPr>
            <w:r w:rsidRPr="00E17C1E">
              <w:rPr>
                <w:color w:val="000000"/>
                <w:sz w:val="20"/>
                <w:szCs w:val="20"/>
              </w:rPr>
              <w:t>-1,80</w:t>
            </w:r>
          </w:p>
        </w:tc>
      </w:tr>
      <w:tr w:rsidR="008A0416" w:rsidRPr="00E17C1E" w:rsidTr="001E4B3E">
        <w:trPr>
          <w:trHeight w:val="300"/>
        </w:trPr>
        <w:tc>
          <w:tcPr>
            <w:tcW w:w="0" w:type="auto"/>
            <w:tcBorders>
              <w:top w:val="nil"/>
              <w:left w:val="nil"/>
              <w:bottom w:val="nil"/>
              <w:right w:val="single" w:sz="4" w:space="0" w:color="auto"/>
            </w:tcBorders>
            <w:shd w:val="clear" w:color="auto" w:fill="auto"/>
            <w:noWrap/>
            <w:vAlign w:val="center"/>
          </w:tcPr>
          <w:p w:rsidR="008A0416" w:rsidRPr="00A36D61" w:rsidRDefault="008A0416" w:rsidP="008A0416">
            <w:pPr>
              <w:ind w:firstLine="0"/>
              <w:jc w:val="center"/>
              <w:rPr>
                <w:rFonts w:eastAsia="Times New Roman"/>
                <w:i/>
                <w:color w:val="000000"/>
                <w:sz w:val="20"/>
                <w:szCs w:val="20"/>
                <w:lang w:eastAsia="pt-BR"/>
              </w:rPr>
            </w:pPr>
            <w:r w:rsidRPr="00A36D61">
              <w:rPr>
                <w:rFonts w:eastAsia="Times New Roman"/>
                <w:i/>
                <w:color w:val="000000"/>
                <w:sz w:val="20"/>
                <w:szCs w:val="20"/>
                <w:lang w:eastAsia="pt-BR"/>
              </w:rPr>
              <w:t>Goodness-of-fit</w:t>
            </w:r>
          </w:p>
        </w:tc>
        <w:tc>
          <w:tcPr>
            <w:tcW w:w="0" w:type="auto"/>
            <w:tcBorders>
              <w:top w:val="nil"/>
              <w:left w:val="single" w:sz="4" w:space="0" w:color="auto"/>
              <w:bottom w:val="nil"/>
              <w:right w:val="nil"/>
            </w:tcBorders>
            <w:shd w:val="clear" w:color="auto" w:fill="auto"/>
            <w:noWrap/>
            <w:vAlign w:val="center"/>
          </w:tcPr>
          <w:p w:rsidR="008A0416" w:rsidRPr="00A36D61" w:rsidRDefault="00710F92" w:rsidP="001E4B3E">
            <w:pPr>
              <w:ind w:firstLine="0"/>
              <w:jc w:val="center"/>
              <w:rPr>
                <w:rFonts w:eastAsia="Times New Roman"/>
                <w:color w:val="000000"/>
                <w:sz w:val="20"/>
                <w:szCs w:val="20"/>
                <w:lang w:eastAsia="pt-BR"/>
              </w:rPr>
            </w:pPr>
            <w:r>
              <w:rPr>
                <w:rFonts w:eastAsia="Times New Roman"/>
                <w:color w:val="000000"/>
                <w:sz w:val="20"/>
                <w:szCs w:val="20"/>
                <w:lang w:eastAsia="pt-BR"/>
              </w:rPr>
              <w:t>0,0</w:t>
            </w:r>
            <w:r w:rsidR="005F7F2A">
              <w:rPr>
                <w:rFonts w:eastAsia="Times New Roman"/>
                <w:color w:val="000000"/>
                <w:sz w:val="20"/>
                <w:szCs w:val="20"/>
                <w:lang w:eastAsia="pt-BR"/>
              </w:rPr>
              <w:t>1</w:t>
            </w:r>
          </w:p>
        </w:tc>
        <w:tc>
          <w:tcPr>
            <w:tcW w:w="0" w:type="auto"/>
            <w:tcBorders>
              <w:top w:val="nil"/>
              <w:left w:val="nil"/>
              <w:bottom w:val="nil"/>
              <w:right w:val="nil"/>
            </w:tcBorders>
            <w:shd w:val="clear" w:color="auto" w:fill="auto"/>
            <w:noWrap/>
            <w:vAlign w:val="center"/>
          </w:tcPr>
          <w:p w:rsidR="008A0416" w:rsidRPr="00A36D61" w:rsidRDefault="005F7F2A" w:rsidP="001E4B3E">
            <w:pPr>
              <w:ind w:firstLine="0"/>
              <w:jc w:val="center"/>
              <w:rPr>
                <w:rFonts w:eastAsia="Times New Roman"/>
                <w:color w:val="000000"/>
                <w:sz w:val="20"/>
                <w:szCs w:val="20"/>
                <w:lang w:eastAsia="pt-BR"/>
              </w:rPr>
            </w:pPr>
            <w:r>
              <w:rPr>
                <w:rFonts w:eastAsia="Times New Roman"/>
                <w:color w:val="000000"/>
                <w:sz w:val="20"/>
                <w:szCs w:val="20"/>
                <w:lang w:eastAsia="pt-BR"/>
              </w:rPr>
              <w:t>0,04</w:t>
            </w:r>
          </w:p>
        </w:tc>
        <w:tc>
          <w:tcPr>
            <w:tcW w:w="0" w:type="auto"/>
            <w:tcBorders>
              <w:top w:val="nil"/>
              <w:left w:val="nil"/>
              <w:bottom w:val="nil"/>
              <w:right w:val="nil"/>
            </w:tcBorders>
            <w:shd w:val="clear" w:color="auto" w:fill="auto"/>
            <w:noWrap/>
            <w:vAlign w:val="center"/>
          </w:tcPr>
          <w:p w:rsidR="008A0416" w:rsidRPr="00A36D61" w:rsidRDefault="005F7F2A" w:rsidP="001E4B3E">
            <w:pPr>
              <w:ind w:firstLine="0"/>
              <w:jc w:val="center"/>
              <w:rPr>
                <w:rFonts w:eastAsia="Times New Roman"/>
                <w:color w:val="000000"/>
                <w:sz w:val="20"/>
                <w:szCs w:val="20"/>
                <w:lang w:eastAsia="pt-BR"/>
              </w:rPr>
            </w:pPr>
            <w:r>
              <w:rPr>
                <w:rFonts w:eastAsia="Times New Roman"/>
                <w:color w:val="000000"/>
                <w:sz w:val="20"/>
                <w:szCs w:val="20"/>
                <w:lang w:eastAsia="pt-BR"/>
              </w:rPr>
              <w:t>0,11</w:t>
            </w:r>
          </w:p>
        </w:tc>
        <w:tc>
          <w:tcPr>
            <w:tcW w:w="0" w:type="auto"/>
            <w:tcBorders>
              <w:top w:val="nil"/>
              <w:left w:val="nil"/>
              <w:bottom w:val="nil"/>
              <w:right w:val="nil"/>
            </w:tcBorders>
            <w:shd w:val="clear" w:color="auto" w:fill="auto"/>
            <w:noWrap/>
            <w:vAlign w:val="center"/>
          </w:tcPr>
          <w:p w:rsidR="008A0416" w:rsidRPr="00A36D61" w:rsidRDefault="005F7F2A" w:rsidP="001E4B3E">
            <w:pPr>
              <w:ind w:firstLine="0"/>
              <w:jc w:val="center"/>
              <w:rPr>
                <w:rFonts w:eastAsia="Times New Roman"/>
                <w:color w:val="000000"/>
                <w:sz w:val="20"/>
                <w:szCs w:val="20"/>
                <w:lang w:eastAsia="pt-BR"/>
              </w:rPr>
            </w:pPr>
            <w:r>
              <w:rPr>
                <w:rFonts w:eastAsia="Times New Roman"/>
                <w:color w:val="000000"/>
                <w:sz w:val="20"/>
                <w:szCs w:val="20"/>
                <w:lang w:eastAsia="pt-BR"/>
              </w:rPr>
              <w:t>0,20</w:t>
            </w:r>
          </w:p>
        </w:tc>
        <w:tc>
          <w:tcPr>
            <w:tcW w:w="0" w:type="auto"/>
            <w:tcBorders>
              <w:top w:val="nil"/>
              <w:left w:val="nil"/>
              <w:bottom w:val="nil"/>
              <w:right w:val="nil"/>
            </w:tcBorders>
            <w:shd w:val="clear" w:color="auto" w:fill="auto"/>
            <w:noWrap/>
            <w:vAlign w:val="center"/>
          </w:tcPr>
          <w:p w:rsidR="008A0416" w:rsidRPr="00A36D61" w:rsidRDefault="005F7F2A" w:rsidP="001E4B3E">
            <w:pPr>
              <w:ind w:firstLine="0"/>
              <w:jc w:val="center"/>
              <w:rPr>
                <w:rFonts w:eastAsia="Times New Roman"/>
                <w:color w:val="000000"/>
                <w:sz w:val="20"/>
                <w:szCs w:val="20"/>
                <w:lang w:eastAsia="pt-BR"/>
              </w:rPr>
            </w:pPr>
            <w:r>
              <w:rPr>
                <w:rFonts w:eastAsia="Times New Roman"/>
                <w:color w:val="000000"/>
                <w:sz w:val="20"/>
                <w:szCs w:val="20"/>
                <w:lang w:eastAsia="pt-BR"/>
              </w:rPr>
              <w:t>0,2</w:t>
            </w:r>
            <w:r w:rsidR="001271E2">
              <w:rPr>
                <w:rFonts w:eastAsia="Times New Roman"/>
                <w:color w:val="000000"/>
                <w:sz w:val="20"/>
                <w:szCs w:val="20"/>
                <w:lang w:eastAsia="pt-BR"/>
              </w:rPr>
              <w:t>2</w:t>
            </w:r>
          </w:p>
        </w:tc>
        <w:tc>
          <w:tcPr>
            <w:tcW w:w="0" w:type="auto"/>
            <w:tcBorders>
              <w:top w:val="nil"/>
              <w:left w:val="nil"/>
              <w:bottom w:val="nil"/>
              <w:right w:val="nil"/>
            </w:tcBorders>
            <w:shd w:val="clear" w:color="auto" w:fill="auto"/>
            <w:noWrap/>
            <w:vAlign w:val="center"/>
          </w:tcPr>
          <w:p w:rsidR="008A0416" w:rsidRPr="00F21094" w:rsidRDefault="0061379F" w:rsidP="001E4B3E">
            <w:pPr>
              <w:ind w:firstLine="0"/>
              <w:jc w:val="center"/>
              <w:rPr>
                <w:rFonts w:eastAsia="Times New Roman"/>
                <w:color w:val="000000"/>
                <w:sz w:val="20"/>
                <w:szCs w:val="20"/>
                <w:lang w:eastAsia="pt-BR"/>
              </w:rPr>
            </w:pPr>
            <w:r>
              <w:rPr>
                <w:rFonts w:eastAsia="Times New Roman"/>
                <w:color w:val="000000"/>
                <w:sz w:val="20"/>
                <w:szCs w:val="20"/>
                <w:lang w:eastAsia="pt-BR"/>
              </w:rPr>
              <w:t>-</w:t>
            </w:r>
          </w:p>
        </w:tc>
      </w:tr>
      <w:tr w:rsidR="0061379F" w:rsidRPr="00E17C1E" w:rsidTr="001E4B3E">
        <w:trPr>
          <w:trHeight w:val="300"/>
        </w:trPr>
        <w:tc>
          <w:tcPr>
            <w:tcW w:w="0" w:type="auto"/>
            <w:tcBorders>
              <w:top w:val="nil"/>
              <w:left w:val="nil"/>
              <w:bottom w:val="nil"/>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R²</w:t>
            </w:r>
          </w:p>
        </w:tc>
        <w:tc>
          <w:tcPr>
            <w:tcW w:w="0" w:type="auto"/>
            <w:tcBorders>
              <w:top w:val="nil"/>
              <w:left w:val="single" w:sz="4" w:space="0" w:color="auto"/>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rPr>
                <w:color w:val="000000"/>
                <w:sz w:val="20"/>
                <w:szCs w:val="20"/>
              </w:rPr>
            </w:pPr>
            <w:r w:rsidRPr="00E17C1E">
              <w:rPr>
                <w:color w:val="000000"/>
                <w:sz w:val="20"/>
                <w:szCs w:val="20"/>
              </w:rPr>
              <w:t>0,20</w:t>
            </w:r>
          </w:p>
        </w:tc>
      </w:tr>
      <w:tr w:rsidR="0061379F" w:rsidRPr="00E17C1E" w:rsidTr="001E4B3E">
        <w:trPr>
          <w:trHeight w:val="300"/>
        </w:trPr>
        <w:tc>
          <w:tcPr>
            <w:tcW w:w="0" w:type="auto"/>
            <w:tcBorders>
              <w:top w:val="nil"/>
              <w:left w:val="nil"/>
              <w:bottom w:val="nil"/>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R²-ajustado</w:t>
            </w:r>
          </w:p>
        </w:tc>
        <w:tc>
          <w:tcPr>
            <w:tcW w:w="0" w:type="auto"/>
            <w:tcBorders>
              <w:top w:val="nil"/>
              <w:left w:val="single" w:sz="4" w:space="0" w:color="auto"/>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pPr>
            <w:r w:rsidRPr="002D68C4">
              <w:rPr>
                <w:rFonts w:eastAsia="Times New Roman"/>
                <w:color w:val="000000"/>
                <w:sz w:val="20"/>
                <w:szCs w:val="20"/>
                <w:lang w:eastAsia="pt-BR"/>
              </w:rPr>
              <w:t>-</w:t>
            </w:r>
          </w:p>
        </w:tc>
        <w:tc>
          <w:tcPr>
            <w:tcW w:w="0" w:type="auto"/>
            <w:tcBorders>
              <w:top w:val="nil"/>
              <w:left w:val="nil"/>
              <w:bottom w:val="nil"/>
              <w:right w:val="nil"/>
            </w:tcBorders>
            <w:shd w:val="clear" w:color="auto" w:fill="auto"/>
            <w:noWrap/>
            <w:vAlign w:val="center"/>
          </w:tcPr>
          <w:p w:rsidR="0061379F" w:rsidRPr="00E17C1E" w:rsidRDefault="0061379F" w:rsidP="001E4B3E">
            <w:pPr>
              <w:ind w:firstLine="0"/>
              <w:jc w:val="center"/>
              <w:rPr>
                <w:color w:val="000000"/>
                <w:sz w:val="20"/>
                <w:szCs w:val="20"/>
              </w:rPr>
            </w:pPr>
            <w:r w:rsidRPr="00E17C1E">
              <w:rPr>
                <w:color w:val="000000"/>
                <w:sz w:val="20"/>
                <w:szCs w:val="20"/>
              </w:rPr>
              <w:t>0,20</w:t>
            </w:r>
          </w:p>
        </w:tc>
      </w:tr>
      <w:tr w:rsidR="0061379F" w:rsidRPr="00E17C1E" w:rsidTr="001E4B3E">
        <w:trPr>
          <w:trHeight w:val="300"/>
        </w:trPr>
        <w:tc>
          <w:tcPr>
            <w:tcW w:w="0" w:type="auto"/>
            <w:tcBorders>
              <w:top w:val="nil"/>
              <w:left w:val="nil"/>
              <w:bottom w:val="single" w:sz="4" w:space="0" w:color="auto"/>
              <w:right w:val="single" w:sz="4" w:space="0" w:color="auto"/>
            </w:tcBorders>
            <w:shd w:val="clear" w:color="auto" w:fill="auto"/>
            <w:noWrap/>
            <w:vAlign w:val="center"/>
            <w:hideMark/>
          </w:tcPr>
          <w:p w:rsidR="0061379F" w:rsidRPr="00F21094" w:rsidRDefault="0061379F" w:rsidP="0061379F">
            <w:pPr>
              <w:ind w:firstLine="0"/>
              <w:jc w:val="center"/>
              <w:rPr>
                <w:rFonts w:eastAsia="Times New Roman"/>
                <w:color w:val="000000"/>
                <w:sz w:val="20"/>
                <w:szCs w:val="20"/>
                <w:lang w:eastAsia="pt-BR"/>
              </w:rPr>
            </w:pPr>
            <w:r w:rsidRPr="00F21094">
              <w:rPr>
                <w:rFonts w:eastAsia="Times New Roman"/>
                <w:color w:val="000000"/>
                <w:sz w:val="20"/>
                <w:szCs w:val="20"/>
                <w:lang w:eastAsia="pt-BR"/>
              </w:rPr>
              <w:t>Teste F</w:t>
            </w:r>
          </w:p>
        </w:tc>
        <w:tc>
          <w:tcPr>
            <w:tcW w:w="0" w:type="auto"/>
            <w:tcBorders>
              <w:top w:val="nil"/>
              <w:left w:val="single" w:sz="4" w:space="0" w:color="auto"/>
              <w:bottom w:val="single" w:sz="4" w:space="0" w:color="auto"/>
              <w:right w:val="nil"/>
            </w:tcBorders>
            <w:shd w:val="clear" w:color="auto" w:fill="auto"/>
            <w:noWrap/>
            <w:vAlign w:val="center"/>
          </w:tcPr>
          <w:p w:rsidR="0061379F" w:rsidRPr="00E17C1E" w:rsidRDefault="0061379F" w:rsidP="001E4B3E">
            <w:pPr>
              <w:ind w:firstLine="0"/>
              <w:jc w:val="center"/>
            </w:pPr>
            <w:r w:rsidRPr="00905B3D">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tcPr>
          <w:p w:rsidR="0061379F" w:rsidRPr="00E17C1E" w:rsidRDefault="0061379F" w:rsidP="001E4B3E">
            <w:pPr>
              <w:ind w:firstLine="0"/>
              <w:jc w:val="center"/>
            </w:pPr>
            <w:r w:rsidRPr="00905B3D">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tcPr>
          <w:p w:rsidR="0061379F" w:rsidRPr="00E17C1E" w:rsidRDefault="0061379F" w:rsidP="001E4B3E">
            <w:pPr>
              <w:ind w:firstLine="0"/>
              <w:jc w:val="center"/>
            </w:pPr>
            <w:r w:rsidRPr="00905B3D">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tcPr>
          <w:p w:rsidR="0061379F" w:rsidRPr="00E17C1E" w:rsidRDefault="0061379F" w:rsidP="001E4B3E">
            <w:pPr>
              <w:ind w:firstLine="0"/>
              <w:jc w:val="center"/>
            </w:pPr>
            <w:r w:rsidRPr="00905B3D">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tcPr>
          <w:p w:rsidR="0061379F" w:rsidRPr="00E17C1E" w:rsidRDefault="0061379F" w:rsidP="001E4B3E">
            <w:pPr>
              <w:ind w:firstLine="0"/>
              <w:jc w:val="center"/>
            </w:pPr>
            <w:r w:rsidRPr="00905B3D">
              <w:rPr>
                <w:rFonts w:eastAsia="Times New Roman"/>
                <w:color w:val="000000"/>
                <w:sz w:val="20"/>
                <w:szCs w:val="20"/>
                <w:lang w:eastAsia="pt-BR"/>
              </w:rPr>
              <w:t>-</w:t>
            </w:r>
          </w:p>
        </w:tc>
        <w:tc>
          <w:tcPr>
            <w:tcW w:w="0" w:type="auto"/>
            <w:tcBorders>
              <w:top w:val="nil"/>
              <w:left w:val="nil"/>
              <w:bottom w:val="single" w:sz="4" w:space="0" w:color="auto"/>
              <w:right w:val="nil"/>
            </w:tcBorders>
            <w:shd w:val="clear" w:color="auto" w:fill="auto"/>
            <w:noWrap/>
            <w:vAlign w:val="center"/>
          </w:tcPr>
          <w:p w:rsidR="0061379F" w:rsidRPr="00E17C1E" w:rsidRDefault="0061379F" w:rsidP="001E4B3E">
            <w:pPr>
              <w:ind w:firstLine="0"/>
              <w:jc w:val="center"/>
              <w:rPr>
                <w:color w:val="000000"/>
                <w:sz w:val="20"/>
                <w:szCs w:val="20"/>
              </w:rPr>
            </w:pPr>
            <w:r w:rsidRPr="00E17C1E">
              <w:rPr>
                <w:color w:val="000000"/>
                <w:sz w:val="20"/>
                <w:szCs w:val="20"/>
              </w:rPr>
              <w:t>15</w:t>
            </w:r>
            <w:r w:rsidR="005F7F2A" w:rsidRPr="00E17C1E">
              <w:rPr>
                <w:color w:val="000000"/>
                <w:sz w:val="20"/>
                <w:szCs w:val="20"/>
              </w:rPr>
              <w:t>5,50</w:t>
            </w:r>
            <w:r w:rsidRPr="00E17C1E">
              <w:rPr>
                <w:color w:val="000000"/>
                <w:sz w:val="20"/>
                <w:szCs w:val="20"/>
              </w:rPr>
              <w:t>***</w:t>
            </w:r>
          </w:p>
        </w:tc>
      </w:tr>
    </w:tbl>
    <w:p w:rsidR="001D0FEA" w:rsidRDefault="001D0FEA" w:rsidP="001D0FEA">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1D0FEA" w:rsidRDefault="001D0FEA" w:rsidP="001D0FEA">
      <w:pPr>
        <w:ind w:firstLine="0"/>
        <w:rPr>
          <w:sz w:val="20"/>
        </w:rPr>
      </w:pPr>
      <w:r>
        <w:rPr>
          <w:sz w:val="20"/>
        </w:rPr>
        <w:t>Níveis de significância: * &lt;</w:t>
      </w:r>
      <w:r w:rsidRPr="00E45390">
        <w:rPr>
          <w:sz w:val="20"/>
        </w:rPr>
        <w:t xml:space="preserve"> 0,1; **</w:t>
      </w:r>
      <w:r>
        <w:rPr>
          <w:sz w:val="20"/>
        </w:rPr>
        <w:t xml:space="preserve"> &lt; 0,05; *** &lt; </w:t>
      </w:r>
      <w:r w:rsidRPr="00E45390">
        <w:rPr>
          <w:sz w:val="20"/>
        </w:rPr>
        <w:t>0,01</w:t>
      </w:r>
      <w:r>
        <w:rPr>
          <w:sz w:val="20"/>
        </w:rPr>
        <w:t>.</w:t>
      </w:r>
    </w:p>
    <w:p w:rsidR="008A0416" w:rsidRDefault="008A0416" w:rsidP="001D0FEA">
      <w:pPr>
        <w:ind w:firstLine="0"/>
      </w:pPr>
    </w:p>
    <w:p w:rsidR="006601B4" w:rsidRDefault="006E1BA1" w:rsidP="0006252E">
      <w:pPr>
        <w:ind w:firstLine="709"/>
      </w:pPr>
      <w:r>
        <w:t xml:space="preserve">Os resultados da análise evidenciam um comportamento semelhante ao da anterior. À exceção do percentil 10, em todas as outras regressões a idade foi capaz de influenciar negativamente os custos com significância estatística inferior a 1%. Para a proximidade à morte, também se percebe que os custos se elevam à medida que o beneficiário se aproxima da data de óbito. Apesar disso, a magnitude dos coeficientes da amostra que contempla apenas os indivíduos com óbito de 65 anos ou mais, é superior ao que se observada quando os indivíduos de todas as idades são </w:t>
      </w:r>
      <w:r w:rsidR="001E4E0E">
        <w:t>utilizados</w:t>
      </w:r>
      <w:r>
        <w:t>, indicando uma maior contribuição dessa variável para a determinação dos custos dos beneficiários com idades mais avançadas.</w:t>
      </w:r>
    </w:p>
    <w:p w:rsidR="001E4E0E" w:rsidRPr="001E4E0E" w:rsidRDefault="001E4E0E" w:rsidP="0006252E">
      <w:pPr>
        <w:ind w:firstLine="709"/>
      </w:pPr>
      <w:r>
        <w:t xml:space="preserve">Novamente, para verificar a importância das variáveis para a determinação dos custos, foram aplicadas a árvore de regressão e o </w:t>
      </w:r>
      <w:r>
        <w:rPr>
          <w:i/>
        </w:rPr>
        <w:t>random forest</w:t>
      </w:r>
      <w:r>
        <w:t xml:space="preserve">, cujos resultados são apresentados na Tabela </w:t>
      </w:r>
      <w:r w:rsidR="00DC0E6C">
        <w:t>8</w:t>
      </w:r>
      <w:r>
        <w:t>.</w:t>
      </w:r>
    </w:p>
    <w:p w:rsidR="006601B4" w:rsidRDefault="006601B4" w:rsidP="001D0FEA">
      <w:pPr>
        <w:ind w:firstLine="0"/>
      </w:pPr>
    </w:p>
    <w:p w:rsidR="009A5A1A" w:rsidRPr="00E17C1E" w:rsidRDefault="009A5A1A" w:rsidP="009A5A1A">
      <w:pPr>
        <w:pStyle w:val="Legenda"/>
        <w:keepNext/>
        <w:spacing w:after="0"/>
        <w:ind w:firstLine="0"/>
        <w:rPr>
          <w:i w:val="0"/>
          <w:color w:val="000000"/>
          <w:sz w:val="24"/>
        </w:rPr>
      </w:pPr>
      <w:r w:rsidRPr="00E17C1E">
        <w:rPr>
          <w:i w:val="0"/>
          <w:color w:val="000000"/>
          <w:sz w:val="24"/>
        </w:rPr>
        <w:t xml:space="preserve">Tabela </w:t>
      </w:r>
      <w:r w:rsidR="00DC0E6C">
        <w:rPr>
          <w:i w:val="0"/>
          <w:color w:val="000000"/>
          <w:sz w:val="24"/>
        </w:rPr>
        <w:t>8</w:t>
      </w:r>
      <w:r w:rsidRPr="00E17C1E">
        <w:rPr>
          <w:i w:val="0"/>
          <w:color w:val="000000"/>
          <w:sz w:val="24"/>
        </w:rPr>
        <w:t xml:space="preserve"> – Importância das variáveis para a determinação do custo dos não sobreviventes com mais de 65 anos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tblGrid>
      <w:tr w:rsidR="007C0865" w:rsidRPr="00E17C1E" w:rsidTr="00E17C1E">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Variável</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CART</w:t>
            </w:r>
            <w:r w:rsidR="0023044F" w:rsidRPr="00E17C1E">
              <w:rPr>
                <w:sz w:val="20"/>
              </w:rPr>
              <w:t xml:space="preserve"> (Pureza)</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RF (Pureza)</w:t>
            </w:r>
          </w:p>
        </w:tc>
        <w:tc>
          <w:tcPr>
            <w:tcW w:w="1812" w:type="dxa"/>
            <w:tcBorders>
              <w:bottom w:val="single" w:sz="4" w:space="0" w:color="auto"/>
            </w:tcBorders>
            <w:shd w:val="clear" w:color="auto" w:fill="auto"/>
            <w:vAlign w:val="center"/>
          </w:tcPr>
          <w:p w:rsidR="004F3FFD" w:rsidRPr="00E17C1E" w:rsidRDefault="004F3FFD" w:rsidP="00E17C1E">
            <w:pPr>
              <w:ind w:firstLine="0"/>
              <w:jc w:val="center"/>
              <w:rPr>
                <w:sz w:val="20"/>
              </w:rPr>
            </w:pPr>
            <w:r w:rsidRPr="00E17C1E">
              <w:rPr>
                <w:sz w:val="20"/>
              </w:rPr>
              <w:t>RF (QME)</w:t>
            </w:r>
          </w:p>
        </w:tc>
      </w:tr>
      <w:tr w:rsidR="007C0865" w:rsidRPr="00E17C1E" w:rsidTr="00E17C1E">
        <w:tc>
          <w:tcPr>
            <w:tcW w:w="1812" w:type="dxa"/>
            <w:tcBorders>
              <w:bottom w:val="nil"/>
            </w:tcBorders>
            <w:shd w:val="clear" w:color="auto" w:fill="auto"/>
            <w:vAlign w:val="center"/>
          </w:tcPr>
          <w:p w:rsidR="004F3FFD" w:rsidRPr="00E17C1E" w:rsidRDefault="004F3FFD" w:rsidP="00E17C1E">
            <w:pPr>
              <w:ind w:firstLine="0"/>
              <w:jc w:val="center"/>
              <w:rPr>
                <w:sz w:val="20"/>
              </w:rPr>
            </w:pPr>
            <w:r w:rsidRPr="00E17C1E">
              <w:rPr>
                <w:sz w:val="20"/>
              </w:rPr>
              <w:t>Meses p/ óbito</w:t>
            </w:r>
          </w:p>
        </w:tc>
        <w:tc>
          <w:tcPr>
            <w:tcW w:w="1812" w:type="dxa"/>
            <w:tcBorders>
              <w:bottom w:val="nil"/>
            </w:tcBorders>
            <w:shd w:val="clear" w:color="auto" w:fill="auto"/>
            <w:vAlign w:val="center"/>
          </w:tcPr>
          <w:p w:rsidR="004F3FFD" w:rsidRPr="00E17C1E" w:rsidRDefault="001F09A0" w:rsidP="00E17C1E">
            <w:pPr>
              <w:ind w:firstLine="0"/>
              <w:jc w:val="center"/>
              <w:rPr>
                <w:sz w:val="20"/>
                <w:vertAlign w:val="subscript"/>
              </w:rPr>
            </w:pPr>
            <w:r w:rsidRPr="00E17C1E">
              <w:rPr>
                <w:sz w:val="20"/>
              </w:rPr>
              <w:t>5,15</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11</w:t>
            </w:r>
            <w:r w:rsidR="004F3FFD" w:rsidRPr="00E17C1E">
              <w:rPr>
                <w:sz w:val="20"/>
                <w:vertAlign w:val="subscript"/>
              </w:rPr>
              <w:t xml:space="preserve"> </w:t>
            </w:r>
            <w:r w:rsidR="004F3FFD" w:rsidRPr="00E17C1E">
              <w:rPr>
                <w:sz w:val="20"/>
              </w:rPr>
              <w:t>(</w:t>
            </w:r>
            <w:r w:rsidRPr="00E17C1E">
              <w:rPr>
                <w:sz w:val="20"/>
              </w:rPr>
              <w:t>78,63</w:t>
            </w:r>
            <w:r w:rsidR="004F3FFD" w:rsidRPr="00E17C1E">
              <w:rPr>
                <w:sz w:val="20"/>
              </w:rPr>
              <w:t>%)</w:t>
            </w:r>
          </w:p>
        </w:tc>
        <w:tc>
          <w:tcPr>
            <w:tcW w:w="1812" w:type="dxa"/>
            <w:tcBorders>
              <w:bottom w:val="nil"/>
            </w:tcBorders>
            <w:shd w:val="clear" w:color="auto" w:fill="auto"/>
            <w:vAlign w:val="center"/>
          </w:tcPr>
          <w:p w:rsidR="004F3FFD" w:rsidRPr="00E17C1E" w:rsidRDefault="001F09A0" w:rsidP="00E17C1E">
            <w:pPr>
              <w:ind w:firstLine="0"/>
              <w:jc w:val="center"/>
              <w:rPr>
                <w:sz w:val="20"/>
              </w:rPr>
            </w:pPr>
            <w:r w:rsidRPr="00E17C1E">
              <w:rPr>
                <w:sz w:val="20"/>
              </w:rPr>
              <w:t>3,86</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11</w:t>
            </w:r>
            <w:r w:rsidRPr="00E17C1E">
              <w:rPr>
                <w:sz w:val="20"/>
              </w:rPr>
              <w:t xml:space="preserve"> (86,84</w:t>
            </w:r>
            <w:r w:rsidR="004F3FFD" w:rsidRPr="00E17C1E">
              <w:rPr>
                <w:sz w:val="20"/>
              </w:rPr>
              <w:t>%)</w:t>
            </w:r>
          </w:p>
        </w:tc>
        <w:tc>
          <w:tcPr>
            <w:tcW w:w="1812" w:type="dxa"/>
            <w:tcBorders>
              <w:bottom w:val="nil"/>
            </w:tcBorders>
            <w:shd w:val="clear" w:color="auto" w:fill="auto"/>
            <w:vAlign w:val="center"/>
          </w:tcPr>
          <w:p w:rsidR="004F3FFD" w:rsidRPr="00E17C1E" w:rsidRDefault="004F3FFD" w:rsidP="00E17C1E">
            <w:pPr>
              <w:ind w:firstLine="0"/>
              <w:jc w:val="center"/>
              <w:rPr>
                <w:sz w:val="20"/>
              </w:rPr>
            </w:pPr>
            <w:r w:rsidRPr="00E17C1E">
              <w:rPr>
                <w:sz w:val="20"/>
              </w:rPr>
              <w:t>121,46%</w:t>
            </w:r>
          </w:p>
        </w:tc>
      </w:tr>
      <w:tr w:rsidR="007C0865" w:rsidRPr="00E17C1E" w:rsidTr="00E17C1E">
        <w:tc>
          <w:tcPr>
            <w:tcW w:w="1812" w:type="dxa"/>
            <w:tcBorders>
              <w:top w:val="nil"/>
              <w:bottom w:val="nil"/>
            </w:tcBorders>
            <w:shd w:val="clear" w:color="auto" w:fill="auto"/>
            <w:vAlign w:val="center"/>
          </w:tcPr>
          <w:p w:rsidR="004F3FFD" w:rsidRPr="00E17C1E" w:rsidRDefault="004F3FFD" w:rsidP="00E17C1E">
            <w:pPr>
              <w:ind w:firstLine="0"/>
              <w:jc w:val="center"/>
              <w:rPr>
                <w:sz w:val="20"/>
              </w:rPr>
            </w:pPr>
            <w:r w:rsidRPr="00E17C1E">
              <w:rPr>
                <w:sz w:val="20"/>
              </w:rPr>
              <w:t>Idade</w:t>
            </w:r>
          </w:p>
        </w:tc>
        <w:tc>
          <w:tcPr>
            <w:tcW w:w="1812" w:type="dxa"/>
            <w:tcBorders>
              <w:top w:val="nil"/>
              <w:bottom w:val="nil"/>
            </w:tcBorders>
            <w:shd w:val="clear" w:color="auto" w:fill="auto"/>
            <w:vAlign w:val="center"/>
          </w:tcPr>
          <w:p w:rsidR="004F3FFD" w:rsidRPr="00E17C1E" w:rsidRDefault="001F09A0" w:rsidP="00E17C1E">
            <w:pPr>
              <w:ind w:firstLine="0"/>
              <w:jc w:val="center"/>
              <w:rPr>
                <w:sz w:val="20"/>
              </w:rPr>
            </w:pPr>
            <w:r w:rsidRPr="00E17C1E">
              <w:rPr>
                <w:sz w:val="20"/>
              </w:rPr>
              <w:t>1,16</w:t>
            </w:r>
            <w:r w:rsidRPr="00E17C1E">
              <w:rPr>
                <w:rFonts w:eastAsia="Times New Roman"/>
                <w:b/>
                <w:color w:val="000000"/>
                <w:sz w:val="20"/>
                <w:szCs w:val="20"/>
                <w:lang w:eastAsia="pt-BR"/>
              </w:rPr>
              <w:t>∙</w:t>
            </w:r>
            <w:r w:rsidR="004F3FFD" w:rsidRPr="00E17C1E">
              <w:rPr>
                <w:sz w:val="20"/>
              </w:rPr>
              <w:t>10</w:t>
            </w:r>
            <w:r w:rsidRPr="00E17C1E">
              <w:rPr>
                <w:sz w:val="20"/>
                <w:vertAlign w:val="superscript"/>
              </w:rPr>
              <w:t>11</w:t>
            </w:r>
            <w:r w:rsidRPr="00E17C1E">
              <w:rPr>
                <w:sz w:val="20"/>
              </w:rPr>
              <w:t xml:space="preserve"> (17,79</w:t>
            </w:r>
            <w:r w:rsidR="004F3FFD" w:rsidRPr="00E17C1E">
              <w:rPr>
                <w:sz w:val="20"/>
              </w:rPr>
              <w:t>%)</w:t>
            </w:r>
          </w:p>
        </w:tc>
        <w:tc>
          <w:tcPr>
            <w:tcW w:w="1812" w:type="dxa"/>
            <w:tcBorders>
              <w:top w:val="nil"/>
              <w:bottom w:val="nil"/>
            </w:tcBorders>
            <w:shd w:val="clear" w:color="auto" w:fill="auto"/>
            <w:vAlign w:val="center"/>
          </w:tcPr>
          <w:p w:rsidR="004F3FFD" w:rsidRPr="00E17C1E" w:rsidRDefault="001F09A0" w:rsidP="00E17C1E">
            <w:pPr>
              <w:ind w:firstLine="0"/>
              <w:jc w:val="center"/>
              <w:rPr>
                <w:sz w:val="20"/>
              </w:rPr>
            </w:pPr>
            <w:r w:rsidRPr="00E17C1E">
              <w:rPr>
                <w:sz w:val="20"/>
              </w:rPr>
              <w:t>5,25</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10</w:t>
            </w:r>
            <w:r w:rsidRPr="00E17C1E">
              <w:rPr>
                <w:sz w:val="20"/>
              </w:rPr>
              <w:t xml:space="preserve"> (11,81</w:t>
            </w:r>
            <w:r w:rsidR="004F3FFD" w:rsidRPr="00E17C1E">
              <w:rPr>
                <w:sz w:val="20"/>
              </w:rPr>
              <w:t>%)</w:t>
            </w:r>
          </w:p>
        </w:tc>
        <w:tc>
          <w:tcPr>
            <w:tcW w:w="1812" w:type="dxa"/>
            <w:tcBorders>
              <w:top w:val="nil"/>
              <w:bottom w:val="nil"/>
            </w:tcBorders>
            <w:shd w:val="clear" w:color="auto" w:fill="auto"/>
            <w:vAlign w:val="center"/>
          </w:tcPr>
          <w:p w:rsidR="004F3FFD" w:rsidRPr="00E17C1E" w:rsidRDefault="004F3FFD" w:rsidP="00E17C1E">
            <w:pPr>
              <w:ind w:firstLine="0"/>
              <w:jc w:val="center"/>
              <w:rPr>
                <w:sz w:val="20"/>
              </w:rPr>
            </w:pPr>
            <w:r w:rsidRPr="00E17C1E">
              <w:rPr>
                <w:sz w:val="20"/>
              </w:rPr>
              <w:t>25,00%</w:t>
            </w:r>
          </w:p>
        </w:tc>
      </w:tr>
      <w:tr w:rsidR="007C0865" w:rsidRPr="00E17C1E" w:rsidTr="00E17C1E">
        <w:tc>
          <w:tcPr>
            <w:tcW w:w="1812" w:type="dxa"/>
            <w:tcBorders>
              <w:top w:val="nil"/>
            </w:tcBorders>
            <w:shd w:val="clear" w:color="auto" w:fill="auto"/>
            <w:vAlign w:val="center"/>
          </w:tcPr>
          <w:p w:rsidR="004F3FFD" w:rsidRPr="00E17C1E" w:rsidRDefault="004F3FFD" w:rsidP="00E17C1E">
            <w:pPr>
              <w:ind w:firstLine="0"/>
              <w:jc w:val="center"/>
              <w:rPr>
                <w:sz w:val="20"/>
              </w:rPr>
            </w:pPr>
            <w:r w:rsidRPr="00E17C1E">
              <w:rPr>
                <w:sz w:val="20"/>
              </w:rPr>
              <w:t>Sexo</w:t>
            </w:r>
          </w:p>
        </w:tc>
        <w:tc>
          <w:tcPr>
            <w:tcW w:w="1812" w:type="dxa"/>
            <w:tcBorders>
              <w:top w:val="nil"/>
            </w:tcBorders>
            <w:shd w:val="clear" w:color="auto" w:fill="auto"/>
            <w:vAlign w:val="center"/>
          </w:tcPr>
          <w:p w:rsidR="004F3FFD" w:rsidRPr="00E17C1E" w:rsidRDefault="001F09A0" w:rsidP="00E17C1E">
            <w:pPr>
              <w:ind w:firstLine="0"/>
              <w:jc w:val="center"/>
              <w:rPr>
                <w:sz w:val="20"/>
              </w:rPr>
            </w:pPr>
            <w:r w:rsidRPr="00E17C1E">
              <w:rPr>
                <w:sz w:val="20"/>
              </w:rPr>
              <w:t>2,54</w:t>
            </w:r>
            <w:r w:rsidRPr="00E17C1E">
              <w:rPr>
                <w:rFonts w:eastAsia="Times New Roman"/>
                <w:b/>
                <w:color w:val="000000"/>
                <w:sz w:val="20"/>
                <w:szCs w:val="20"/>
                <w:lang w:eastAsia="pt-BR"/>
              </w:rPr>
              <w:t>∙</w:t>
            </w:r>
            <w:r w:rsidR="004F3FFD" w:rsidRPr="00E17C1E">
              <w:rPr>
                <w:sz w:val="20"/>
              </w:rPr>
              <w:t>10</w:t>
            </w:r>
            <w:r w:rsidRPr="00E17C1E">
              <w:rPr>
                <w:sz w:val="20"/>
                <w:vertAlign w:val="superscript"/>
              </w:rPr>
              <w:t>9</w:t>
            </w:r>
            <w:r w:rsidRPr="00E17C1E">
              <w:rPr>
                <w:sz w:val="20"/>
              </w:rPr>
              <w:t xml:space="preserve"> (3,58</w:t>
            </w:r>
            <w:r w:rsidR="004F3FFD" w:rsidRPr="00E17C1E">
              <w:rPr>
                <w:sz w:val="20"/>
              </w:rPr>
              <w:t>%)</w:t>
            </w:r>
          </w:p>
        </w:tc>
        <w:tc>
          <w:tcPr>
            <w:tcW w:w="1812" w:type="dxa"/>
            <w:tcBorders>
              <w:top w:val="nil"/>
            </w:tcBorders>
            <w:shd w:val="clear" w:color="auto" w:fill="auto"/>
            <w:vAlign w:val="center"/>
          </w:tcPr>
          <w:p w:rsidR="004F3FFD" w:rsidRPr="00E17C1E" w:rsidRDefault="001F09A0" w:rsidP="00E17C1E">
            <w:pPr>
              <w:ind w:firstLine="0"/>
              <w:jc w:val="center"/>
              <w:rPr>
                <w:sz w:val="20"/>
              </w:rPr>
            </w:pPr>
            <w:r w:rsidRPr="00E17C1E">
              <w:rPr>
                <w:sz w:val="20"/>
              </w:rPr>
              <w:t>5,97</w:t>
            </w:r>
            <w:r w:rsidRPr="00E17C1E">
              <w:rPr>
                <w:rFonts w:eastAsia="Times New Roman"/>
                <w:b/>
                <w:color w:val="000000"/>
                <w:sz w:val="20"/>
                <w:szCs w:val="20"/>
                <w:lang w:eastAsia="pt-BR"/>
              </w:rPr>
              <w:t>∙</w:t>
            </w:r>
            <w:r w:rsidR="004F3FFD" w:rsidRPr="00E17C1E">
              <w:rPr>
                <w:sz w:val="20"/>
              </w:rPr>
              <w:t>10</w:t>
            </w:r>
            <w:r w:rsidR="004F3FFD" w:rsidRPr="00E17C1E">
              <w:rPr>
                <w:sz w:val="20"/>
                <w:vertAlign w:val="superscript"/>
              </w:rPr>
              <w:t>9</w:t>
            </w:r>
            <w:r w:rsidR="004F3FFD" w:rsidRPr="00E17C1E">
              <w:rPr>
                <w:sz w:val="20"/>
              </w:rPr>
              <w:t xml:space="preserve"> (1,15%)</w:t>
            </w:r>
          </w:p>
        </w:tc>
        <w:tc>
          <w:tcPr>
            <w:tcW w:w="1812" w:type="dxa"/>
            <w:tcBorders>
              <w:top w:val="nil"/>
            </w:tcBorders>
            <w:shd w:val="clear" w:color="auto" w:fill="auto"/>
            <w:vAlign w:val="center"/>
          </w:tcPr>
          <w:p w:rsidR="004F3FFD" w:rsidRPr="00E17C1E" w:rsidRDefault="001F09A0" w:rsidP="00E17C1E">
            <w:pPr>
              <w:ind w:firstLine="0"/>
              <w:jc w:val="center"/>
              <w:rPr>
                <w:sz w:val="20"/>
              </w:rPr>
            </w:pPr>
            <w:r w:rsidRPr="00E17C1E">
              <w:rPr>
                <w:sz w:val="20"/>
              </w:rPr>
              <w:t>-1,23</w:t>
            </w:r>
            <w:r w:rsidR="004F3FFD" w:rsidRPr="00E17C1E">
              <w:rPr>
                <w:sz w:val="20"/>
              </w:rPr>
              <w:t>%</w:t>
            </w:r>
          </w:p>
        </w:tc>
      </w:tr>
    </w:tbl>
    <w:p w:rsidR="009A5A1A" w:rsidRDefault="009A5A1A" w:rsidP="009A5A1A">
      <w:pPr>
        <w:ind w:firstLine="0"/>
        <w:rPr>
          <w:sz w:val="20"/>
        </w:rPr>
      </w:pPr>
      <w:r>
        <w:rPr>
          <w:sz w:val="20"/>
        </w:rPr>
        <w:t>Fonte: Elaborada pelo</w:t>
      </w:r>
      <w:r w:rsidR="00510079">
        <w:rPr>
          <w:sz w:val="20"/>
        </w:rPr>
        <w:t>s</w:t>
      </w:r>
      <w:r>
        <w:rPr>
          <w:sz w:val="20"/>
        </w:rPr>
        <w:t xml:space="preserve"> autor</w:t>
      </w:r>
      <w:r w:rsidR="00510079">
        <w:rPr>
          <w:sz w:val="20"/>
        </w:rPr>
        <w:t>es</w:t>
      </w:r>
      <w:r>
        <w:rPr>
          <w:sz w:val="20"/>
        </w:rPr>
        <w:t>.</w:t>
      </w:r>
    </w:p>
    <w:p w:rsidR="00F21094" w:rsidRDefault="00F21094" w:rsidP="0005162C">
      <w:pPr>
        <w:ind w:firstLine="0"/>
      </w:pPr>
    </w:p>
    <w:p w:rsidR="004152B8" w:rsidRDefault="0023044F" w:rsidP="0006252E">
      <w:pPr>
        <w:ind w:firstLine="709"/>
      </w:pPr>
      <w:r>
        <w:t>Para os beneficiários em óbito com idade com 65 anos ou mais, observa-se, assim como na análise anterior, que a proximidade à morte é a variável a qual é atribuída maior importância para determinação dos custos. Para a idade, a CART atribui uma importância superior quando são considerados apenas os beneficiários mais velhos, no entanto as duas métricas de importância do RF consideram a variável menos importante para a determinação dos custos desse grupo</w:t>
      </w:r>
      <w:r w:rsidR="00CA4D0A">
        <w:t>, quando comparada com a análise anterior</w:t>
      </w:r>
      <w:r>
        <w:t xml:space="preserve">. A variável sexo continua apresentando uma importância marginal, com o adendo de que para o critério do QME, ela </w:t>
      </w:r>
      <w:r w:rsidR="00CA4D0A">
        <w:t>contribui negativamente para a determinação do custo.</w:t>
      </w:r>
    </w:p>
    <w:p w:rsidR="00A11754" w:rsidRDefault="001D6109" w:rsidP="00A11754">
      <w:pPr>
        <w:ind w:firstLine="709"/>
      </w:pPr>
      <w:r>
        <w:t>Com base nos resultados obtidos, observa-se evidências para suportar as três hipóteses levantadas nesta pesquisa. Quando se consideraram todos os beneficiários, tanto a idade quanto o estado de sobrevivência se mostraram significantes (H</w:t>
      </w:r>
      <w:r w:rsidRPr="001D6109">
        <w:rPr>
          <w:vertAlign w:val="subscript"/>
        </w:rPr>
        <w:t>1</w:t>
      </w:r>
      <w:r>
        <w:t>) para explicar o custo. Quando a amostra passou a contar apenas com beneficiários que vieram a óbito, mais uma vez a idade, dessa vez junto com a proximidade à morte foram significantes para a determinação do custo (H</w:t>
      </w:r>
      <w:r w:rsidRPr="001D6109">
        <w:rPr>
          <w:vertAlign w:val="subscript"/>
        </w:rPr>
        <w:t>2</w:t>
      </w:r>
      <w:r>
        <w:t>). Além disso, observou-se ainda que a proximidade à morte foi considerada a variável mais importante nessa determinação (H</w:t>
      </w:r>
      <w:r w:rsidRPr="001D6109">
        <w:rPr>
          <w:vertAlign w:val="subscript"/>
        </w:rPr>
        <w:t>3</w:t>
      </w:r>
      <w:r>
        <w:t>)</w:t>
      </w:r>
      <w:r w:rsidR="004226E3">
        <w:t>.</w:t>
      </w:r>
    </w:p>
    <w:p w:rsidR="00744773" w:rsidRDefault="00744773">
      <w:pPr>
        <w:pStyle w:val="Ttulo1"/>
      </w:pPr>
      <w:r>
        <w:lastRenderedPageBreak/>
        <w:t>Discussã</w:t>
      </w:r>
      <w:r w:rsidR="004226E3">
        <w:t>o</w:t>
      </w:r>
    </w:p>
    <w:p w:rsidR="004226E3" w:rsidRDefault="004226E3" w:rsidP="002218AD"/>
    <w:p w:rsidR="002218AD" w:rsidRDefault="002218AD" w:rsidP="0006252E">
      <w:pPr>
        <w:ind w:firstLine="709"/>
      </w:pPr>
      <w:r>
        <w:t>De modo geral, as análises realizadas permitem concluir que, ao serem controlados o estado de sobrevivência dos beneficiários, e a proximidade à morte para aqueles que vieram a óbito, a idade têm sua importância estatística reduzida no que diz respeito a determinação dos custos ligados à saúde. Há de se destacar também que a idade apresenta uma relação positiva com os custos da amostra como um todo, mas passam a ter uma relação negativa uma vez que são considerados apenas os beneficiários não sobreviventes.</w:t>
      </w:r>
    </w:p>
    <w:p w:rsidR="002218AD" w:rsidRDefault="00984234" w:rsidP="0006252E">
      <w:pPr>
        <w:ind w:firstLine="709"/>
      </w:pPr>
      <w:r>
        <w:t xml:space="preserve">A comparação dos custos dos beneficiários vivos e mortos vai em encontro dos resultados apresentados por </w:t>
      </w:r>
      <w:r w:rsidR="00DC0E6C">
        <w:t xml:space="preserve">Andrade, Maia e Rodrigues (2013) </w:t>
      </w:r>
      <w:r>
        <w:t>que mostram que o gasto de beneficiários que vieram a óbito foi cerca de 40 vezes maior que os de beneficiários que permaneceram vivos no pano de saúde oferecido pela SABESP. As autoras mostram que os custos mais elevados dos beneficiários que vem a óbito pode ser atribuído principalmente a internações.</w:t>
      </w:r>
    </w:p>
    <w:p w:rsidR="00984234" w:rsidRDefault="00984234" w:rsidP="0006252E">
      <w:pPr>
        <w:ind w:firstLine="709"/>
      </w:pPr>
      <w:r>
        <w:t xml:space="preserve">O resultado obtido também se alinha com </w:t>
      </w:r>
      <w:r w:rsidR="00C64F0A">
        <w:t>o pensamento de</w:t>
      </w:r>
      <w:r>
        <w:t xml:space="preserve"> </w:t>
      </w:r>
      <w:r w:rsidRPr="00DC0E6C">
        <w:t>Rodrigues e Afonso (2012)</w:t>
      </w:r>
      <w:r w:rsidR="00C64F0A">
        <w:t xml:space="preserve"> que defendem que o envelhecimento populacional não é tão responsável pelo aumento nos gastos com saúde como se defende usualmente. Comentam ainda que a maior parte dos gastos com saúde está concentrada no final da vida, e com o aumento da expectativa de vida, </w:t>
      </w:r>
      <w:r w:rsidR="00A31C3F">
        <w:t>haverá uma maior dispersão entre os óbitos, o que poderia levar a uma redução na taxa de aumento dos custos ligados à saúde em função do envelhecimento populacional.</w:t>
      </w:r>
    </w:p>
    <w:p w:rsidR="00510079" w:rsidRPr="00E17C1E" w:rsidRDefault="0015793F" w:rsidP="0006252E">
      <w:pPr>
        <w:ind w:firstLine="709"/>
        <w:rPr>
          <w:rFonts w:eastAsia="Times New Roman"/>
          <w:szCs w:val="32"/>
        </w:rPr>
      </w:pPr>
      <w:r w:rsidRPr="00E17C1E">
        <w:rPr>
          <w:rFonts w:eastAsia="Times New Roman"/>
          <w:szCs w:val="32"/>
        </w:rPr>
        <w:t>As regressões realizadas para a amostra com todos os beneficiários mostram que tanto a idade quanto a proximidade à morte inf</w:t>
      </w:r>
      <w:r w:rsidR="00FB3766" w:rsidRPr="00E17C1E">
        <w:rPr>
          <w:rFonts w:eastAsia="Times New Roman"/>
          <w:szCs w:val="32"/>
        </w:rPr>
        <w:t xml:space="preserve">luenciam de modo significante, no entanto a importância do primeiro indicador é superior à do último, concordando com os resultados encontrados por </w:t>
      </w:r>
      <w:r w:rsidR="00FB3766" w:rsidRPr="00DC0E6C">
        <w:rPr>
          <w:rFonts w:eastAsia="Times New Roman"/>
          <w:szCs w:val="32"/>
        </w:rPr>
        <w:t>Seshamai e Gray (2004).</w:t>
      </w:r>
      <w:r w:rsidR="00FB3766" w:rsidRPr="00E17C1E">
        <w:rPr>
          <w:rFonts w:eastAsia="Times New Roman"/>
          <w:szCs w:val="32"/>
        </w:rPr>
        <w:t xml:space="preserve"> Os resultados encontrados nesta pesquisa ainda convergem parcialmente com o que foi encontrado por </w:t>
      </w:r>
      <w:r w:rsidR="00DC0E6C">
        <w:t xml:space="preserve">Yu, Wang e Wu (2015), </w:t>
      </w:r>
      <w:r w:rsidR="00DC0E6C" w:rsidRPr="00DC2353">
        <w:t>Zweifel, Felder e Meier (1999</w:t>
      </w:r>
      <w:r w:rsidR="00DC0E6C" w:rsidRPr="004226E3">
        <w:t xml:space="preserve">) </w:t>
      </w:r>
      <w:r w:rsidR="00FB3766" w:rsidRPr="004226E3">
        <w:rPr>
          <w:rFonts w:eastAsia="Times New Roman"/>
          <w:szCs w:val="32"/>
        </w:rPr>
        <w:t xml:space="preserve">e </w:t>
      </w:r>
      <w:r w:rsidR="004226E3" w:rsidRPr="004226E3">
        <w:t>Zweifel, Felder e Werblow (2004)</w:t>
      </w:r>
      <w:r w:rsidR="00FB3766" w:rsidRPr="004226E3">
        <w:rPr>
          <w:rFonts w:eastAsia="Times New Roman"/>
          <w:szCs w:val="32"/>
        </w:rPr>
        <w:t>, uma</w:t>
      </w:r>
      <w:r w:rsidR="00FB3766" w:rsidRPr="00E17C1E">
        <w:rPr>
          <w:rFonts w:eastAsia="Times New Roman"/>
          <w:szCs w:val="32"/>
        </w:rPr>
        <w:t xml:space="preserve"> vez que estes trabalhos demonstram que, ao ser controlado o efeito da proximidade à morte, a idade perde sua signif</w:t>
      </w:r>
      <w:r w:rsidR="008F470F" w:rsidRPr="00E17C1E">
        <w:rPr>
          <w:rFonts w:eastAsia="Times New Roman"/>
          <w:szCs w:val="32"/>
        </w:rPr>
        <w:t>icância pare explicar os custos.</w:t>
      </w:r>
    </w:p>
    <w:p w:rsidR="008F470F" w:rsidRDefault="008F470F" w:rsidP="0006252E">
      <w:pPr>
        <w:ind w:firstLine="709"/>
        <w:rPr>
          <w:rFonts w:eastAsia="Times New Roman"/>
          <w:szCs w:val="32"/>
        </w:rPr>
      </w:pPr>
      <w:r w:rsidRPr="00E17C1E">
        <w:rPr>
          <w:rFonts w:eastAsia="Times New Roman"/>
          <w:szCs w:val="32"/>
        </w:rPr>
        <w:t xml:space="preserve">O resultado da pesquisa atesta a importância de serem levados em consideração o estado de sobrevivência dos indivíduos e a proximidade à morte para a estimação dos custos assistenciais ligados à saúde. Rodrigues e Afonso (2012) evidenciam essa importância ao simularem a evolução dos gastos com saúde no Brasil até 2050. A simulação baseada no perfil etário dos gastos médios revelou um aumento de 380% entre 2007 e 2050, enquanto esse crescimento não passou de 70% ao ser levado em consideração o estado de sobrevivência. </w:t>
      </w:r>
      <w:r w:rsidR="002B470E" w:rsidRPr="00E17C1E">
        <w:rPr>
          <w:rFonts w:eastAsia="Times New Roman"/>
          <w:szCs w:val="32"/>
        </w:rPr>
        <w:t xml:space="preserve">De modo </w:t>
      </w:r>
      <w:r w:rsidR="002B470E" w:rsidRPr="004226E3">
        <w:rPr>
          <w:rFonts w:eastAsia="Times New Roman"/>
          <w:szCs w:val="32"/>
        </w:rPr>
        <w:t>semelhante,</w:t>
      </w:r>
      <w:r w:rsidRPr="004226E3">
        <w:rPr>
          <w:rFonts w:eastAsia="Times New Roman"/>
          <w:szCs w:val="32"/>
        </w:rPr>
        <w:t xml:space="preserve"> Seshamai e Gray (2004b) projetam</w:t>
      </w:r>
      <w:r w:rsidRPr="00E17C1E">
        <w:rPr>
          <w:rFonts w:eastAsia="Times New Roman"/>
          <w:szCs w:val="32"/>
        </w:rPr>
        <w:t xml:space="preserve"> um crescimento </w:t>
      </w:r>
      <w:r w:rsidR="002B470E" w:rsidRPr="00E17C1E">
        <w:rPr>
          <w:rFonts w:eastAsia="Times New Roman"/>
          <w:szCs w:val="32"/>
        </w:rPr>
        <w:t>de 0,4% ao ano entre 2002 e 2026 para os gastos com saúde na Inglaterra quando a proximidade à morte é levada em consideração, taxa que cresce para 0,8% ao ano quando essa variável não é incluída na análise.</w:t>
      </w:r>
    </w:p>
    <w:p w:rsidR="004226E3" w:rsidRPr="00E17C1E" w:rsidRDefault="004226E3" w:rsidP="002218AD">
      <w:pPr>
        <w:rPr>
          <w:rFonts w:eastAsia="Times New Roman"/>
          <w:szCs w:val="32"/>
        </w:rPr>
      </w:pPr>
    </w:p>
    <w:p w:rsidR="00C91086" w:rsidRDefault="00AC3DFD" w:rsidP="00C91086">
      <w:pPr>
        <w:pStyle w:val="Ttulo1"/>
      </w:pPr>
      <w:r>
        <w:t>Conclusão</w:t>
      </w:r>
    </w:p>
    <w:p w:rsidR="004226E3" w:rsidRPr="0006252E" w:rsidRDefault="004226E3" w:rsidP="0006252E"/>
    <w:p w:rsidR="00744773" w:rsidRDefault="001D6109" w:rsidP="0006252E">
      <w:pPr>
        <w:ind w:firstLine="709"/>
      </w:pPr>
      <w:r>
        <w:t>A pesquisa conduzida teve como objetivo analisar o efeito</w:t>
      </w:r>
      <w:r w:rsidR="00F02101">
        <w:t xml:space="preserve"> </w:t>
      </w:r>
      <w:r w:rsidR="0086148A">
        <w:t xml:space="preserve">da idade, do estado de sobrevivência e da proximidade à morte na determinação dos custos de um plano de saúde. Para </w:t>
      </w:r>
      <w:r w:rsidR="00B472FB">
        <w:t>tal utilizou-se dados referentes a utilização de</w:t>
      </w:r>
      <w:r w:rsidR="0086148A">
        <w:t xml:space="preserve"> </w:t>
      </w:r>
      <w:r w:rsidR="00BA6BD8" w:rsidRPr="00B30626">
        <w:t>326.094</w:t>
      </w:r>
      <w:r w:rsidR="00B472FB">
        <w:t xml:space="preserve"> beneficiários no período de um ano</w:t>
      </w:r>
      <w:r w:rsidR="00BA6BD8">
        <w:t>, dos quais 1.261 vieram a óbito durante o ano de 2015.</w:t>
      </w:r>
    </w:p>
    <w:p w:rsidR="00493C1E" w:rsidRDefault="00493C1E" w:rsidP="0006252E">
      <w:pPr>
        <w:ind w:firstLine="709"/>
      </w:pPr>
      <w:r>
        <w:t>Os resultados obtidos mostram que todas as variáveis independentes elencadas no estudo foram capazes de influenciar os custos assistenciais. Apesar disso, observa-se uma menor importância da idade frente ao estado de sobrevivência e à proximidade à morte, o que indica que essas variáveis devem ser incluídas em projeções de custos, melhorando os processos gerenciais e a tomada de decisão por parte das OPS.</w:t>
      </w:r>
    </w:p>
    <w:p w:rsidR="00B44AFF" w:rsidRDefault="00B44AFF" w:rsidP="0006252E">
      <w:pPr>
        <w:ind w:firstLine="709"/>
      </w:pPr>
      <w:r>
        <w:lastRenderedPageBreak/>
        <w:t>Também se observou que a idade apresenta um comportamento diferente ao se considerar apenas os beneficiários que vieram a óbito. Quando são analisados todos os beneficiários, a idade exerce influência positiva sobre os custos assistenciais. No entanto, quando é considerada apenas a parcela que vem a óbito, essa influência passa a ser negativa.</w:t>
      </w:r>
    </w:p>
    <w:p w:rsidR="00493C1E" w:rsidRPr="00493C1E" w:rsidRDefault="00493C1E" w:rsidP="0006252E">
      <w:pPr>
        <w:ind w:firstLine="709"/>
      </w:pPr>
      <w:r>
        <w:t xml:space="preserve">O estudo corrobora, parcial ou integralmente, os resultados de outras pesquisas anteriores como as de </w:t>
      </w:r>
      <w:r w:rsidR="004226E3">
        <w:t xml:space="preserve">Yu, Wang e Wu (2015) e </w:t>
      </w:r>
      <w:r w:rsidR="004226E3" w:rsidRPr="00DC2353">
        <w:t xml:space="preserve">Zweifel, Felder e Meier (1999) </w:t>
      </w:r>
      <w:r>
        <w:t xml:space="preserve">que mostram que a proximidade à morte é mais importante para explicar gastos com saúde do que a idade. </w:t>
      </w:r>
      <w:r w:rsidR="00B44AFF" w:rsidRPr="004226E3">
        <w:rPr>
          <w:rFonts w:eastAsia="Times New Roman"/>
          <w:szCs w:val="32"/>
        </w:rPr>
        <w:t>Rodrigues e Afonso (2012) e Seshamani e Gray (2004b) também</w:t>
      </w:r>
      <w:r w:rsidR="00B44AFF">
        <w:rPr>
          <w:rFonts w:eastAsia="Times New Roman"/>
          <w:szCs w:val="32"/>
        </w:rPr>
        <w:t xml:space="preserve"> apresentam resultados convergentes em suas pesquisas quando mostram que a inclusão do estado de sobrevivência e da proximidade à morte são capazes de refinar as projeções futuras de gastos com saúde.</w:t>
      </w:r>
      <w:r>
        <w:t xml:space="preserve"> </w:t>
      </w:r>
    </w:p>
    <w:p w:rsidR="00B472FB" w:rsidRDefault="00B472FB" w:rsidP="0006252E">
      <w:pPr>
        <w:ind w:firstLine="709"/>
      </w:pPr>
      <w:r w:rsidRPr="00B472FB">
        <w:t>Dado que os recursos em uma OPS são finitos, financiadas quase que exclusivamente pelo mutualismo de seus beneficiários, o planejamento dessas</w:t>
      </w:r>
      <w:r w:rsidR="00C314B9">
        <w:t xml:space="preserve"> entidades</w:t>
      </w:r>
      <w:r w:rsidRPr="00B472FB">
        <w:t xml:space="preserve"> exige um esforço maior para </w:t>
      </w:r>
      <w:r w:rsidR="00C314B9">
        <w:t>garantir sua sustentabilidade.</w:t>
      </w:r>
      <w:r w:rsidRPr="00B472FB">
        <w:t xml:space="preserve"> </w:t>
      </w:r>
      <w:r w:rsidR="00C314B9">
        <w:t xml:space="preserve">Dessa forma, faz-se necessária </w:t>
      </w:r>
      <w:r w:rsidRPr="00B472FB">
        <w:t>a criação de modelos que acompanhem os custos individuais dos beneficiários, os quais descrevam e encontrem, entre os serviços utilizados por esses beneficiários, similaridades que possam alcançar um</w:t>
      </w:r>
      <w:r w:rsidR="00C314B9">
        <w:t>a redução de custos para as OPS, ou ainda sua estimação de modo mais acurado.</w:t>
      </w:r>
    </w:p>
    <w:p w:rsidR="00B472FB" w:rsidRDefault="00B472FB" w:rsidP="0006252E">
      <w:pPr>
        <w:ind w:firstLine="709"/>
      </w:pPr>
      <w:r>
        <w:t>O trabalho apresenta como limitações, inicialmente o fato de que, apensar de analisar um banco de dados bastante extenso, ele restringe-se a um contexto local, o que dificulta tentativas de generalização dos resultados. Além disso, são exploradas poucas variáveis que podem interferir no custo assistencial, sendo deixadas de fora outras variáveis que poderiam ser importantes como o grau de escolaridade dos usuários.</w:t>
      </w:r>
    </w:p>
    <w:p w:rsidR="00DE660D" w:rsidRDefault="00B472FB" w:rsidP="0006252E">
      <w:pPr>
        <w:ind w:firstLine="709"/>
      </w:pPr>
      <w:r>
        <w:t>Dada as limitações observadas, sugere-se para pesquisas futuras, a utilização de bancos de dados que compreendam contextos mais diversificados, além da inclusão de novas variáveis que possam afetar a dinâmica dos custos ligados à saúde.</w:t>
      </w:r>
      <w:r w:rsidR="00B44AFF">
        <w:t xml:space="preserve"> A segregação dos custos em grupos como internações, consultas e outros tipos de gasto também podem contribuir para o desenvolvimento do tema.</w:t>
      </w:r>
    </w:p>
    <w:p w:rsidR="004226E3" w:rsidRDefault="004226E3" w:rsidP="00B472FB"/>
    <w:p w:rsidR="006E4CF7" w:rsidRPr="0006252E" w:rsidRDefault="006E4CF7" w:rsidP="0006252E">
      <w:pPr>
        <w:pStyle w:val="Ttulo1"/>
        <w:numPr>
          <w:ilvl w:val="0"/>
          <w:numId w:val="0"/>
        </w:numPr>
        <w:ind w:left="357" w:hanging="357"/>
        <w:rPr>
          <w:lang w:val="en-US"/>
        </w:rPr>
      </w:pPr>
      <w:r w:rsidRPr="0006252E">
        <w:rPr>
          <w:lang w:val="en-US"/>
        </w:rPr>
        <w:t>Referências</w:t>
      </w:r>
    </w:p>
    <w:p w:rsidR="004226E3" w:rsidRPr="0006252E" w:rsidRDefault="004226E3" w:rsidP="0006252E">
      <w:pPr>
        <w:ind w:firstLine="0"/>
        <w:rPr>
          <w:lang w:val="en-US"/>
        </w:rPr>
      </w:pPr>
    </w:p>
    <w:p w:rsidR="004226E3" w:rsidRPr="00600854" w:rsidRDefault="004226E3" w:rsidP="0006252E">
      <w:pPr>
        <w:spacing w:after="120"/>
        <w:ind w:firstLine="0"/>
        <w:jc w:val="left"/>
        <w:rPr>
          <w:color w:val="222222"/>
          <w:szCs w:val="24"/>
          <w:shd w:val="clear" w:color="auto" w:fill="FFFFFF"/>
        </w:rPr>
      </w:pPr>
      <w:r w:rsidRPr="00600854">
        <w:rPr>
          <w:color w:val="222222"/>
          <w:szCs w:val="24"/>
          <w:shd w:val="clear" w:color="auto" w:fill="FFFFFF"/>
          <w:lang w:val="en-US"/>
        </w:rPr>
        <w:t>ABEL-SMITH, Brian; TITMUSS, Richard M.</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The cost of the national health service in England and Wales</w:t>
      </w:r>
      <w:r w:rsidRPr="00600854">
        <w:rPr>
          <w:color w:val="222222"/>
          <w:szCs w:val="24"/>
          <w:shd w:val="clear" w:color="auto" w:fill="FFFFFF"/>
          <w:lang w:val="en-US"/>
        </w:rPr>
        <w:t xml:space="preserve">. </w:t>
      </w:r>
      <w:r w:rsidRPr="00600854">
        <w:rPr>
          <w:color w:val="222222"/>
          <w:szCs w:val="24"/>
          <w:shd w:val="clear" w:color="auto" w:fill="FFFFFF"/>
        </w:rPr>
        <w:t>Cambridge University Press, 2016.</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rPr>
        <w:t>ANDRADE, M</w:t>
      </w:r>
      <w:r w:rsidR="001909BB">
        <w:rPr>
          <w:color w:val="222222"/>
          <w:szCs w:val="24"/>
          <w:shd w:val="clear" w:color="auto" w:fill="FFFFFF"/>
        </w:rPr>
        <w:t>ônica V.; MAIA, Ana</w:t>
      </w:r>
      <w:r w:rsidR="005037AD">
        <w:rPr>
          <w:color w:val="222222"/>
          <w:szCs w:val="24"/>
          <w:shd w:val="clear" w:color="auto" w:fill="FFFFFF"/>
        </w:rPr>
        <w:t xml:space="preserve"> C.; RODRIGUES, C</w:t>
      </w:r>
      <w:r w:rsidR="001909BB">
        <w:rPr>
          <w:color w:val="222222"/>
          <w:szCs w:val="24"/>
          <w:shd w:val="clear" w:color="auto" w:fill="FFFFFF"/>
        </w:rPr>
        <w:t>ristina</w:t>
      </w:r>
      <w:r w:rsidRPr="00600854">
        <w:rPr>
          <w:color w:val="222222"/>
          <w:szCs w:val="24"/>
          <w:shd w:val="clear" w:color="auto" w:fill="FFFFFF"/>
        </w:rPr>
        <w:t xml:space="preserve"> G. Indicadores de gastos com serviços médicos no setor de saúde suplementar no Brasil.</w:t>
      </w:r>
      <w:r w:rsidRPr="00600854">
        <w:rPr>
          <w:rStyle w:val="apple-converted-space"/>
          <w:color w:val="222222"/>
          <w:szCs w:val="24"/>
          <w:shd w:val="clear" w:color="auto" w:fill="FFFFFF"/>
        </w:rPr>
        <w:t> </w:t>
      </w:r>
      <w:r w:rsidRPr="0006252E">
        <w:rPr>
          <w:b/>
          <w:bCs/>
          <w:color w:val="222222"/>
          <w:szCs w:val="24"/>
          <w:shd w:val="clear" w:color="auto" w:fill="FFFFFF"/>
          <w:lang w:val="en-US"/>
        </w:rPr>
        <w:t>Revista Brasileira de Estudos de População</w:t>
      </w:r>
      <w:r w:rsidRPr="0006252E">
        <w:rPr>
          <w:color w:val="222222"/>
          <w:szCs w:val="24"/>
          <w:shd w:val="clear" w:color="auto" w:fill="FFFFFF"/>
          <w:lang w:val="en-US"/>
        </w:rPr>
        <w:t>, p. 103-117, 2013.</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ARROW, Kenneth J. Uncertainty and the welfare economics of medical care.</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American Economic Review</w:t>
      </w:r>
      <w:r w:rsidRPr="0006252E">
        <w:rPr>
          <w:color w:val="222222"/>
          <w:szCs w:val="24"/>
          <w:shd w:val="clear" w:color="auto" w:fill="FFFFFF"/>
          <w:lang w:val="en-US"/>
        </w:rPr>
        <w:t>, v. 53, n. 5, p. 941-973, 1963.</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BARER, Morris L.; EVANS, Robert G.; HERTZMAN, Clyde. Avalanche or glacier?: health care and the demographic rhetoric.</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Canadian Journal on Aging/La Revue canadienne du vieillissement</w:t>
      </w:r>
      <w:r w:rsidRPr="00600854">
        <w:rPr>
          <w:color w:val="222222"/>
          <w:szCs w:val="24"/>
          <w:shd w:val="clear" w:color="auto" w:fill="FFFFFF"/>
          <w:lang w:val="en-US"/>
        </w:rPr>
        <w:t>, v. 14, n. 02, p. 193-224, 1995.</w:t>
      </w:r>
    </w:p>
    <w:p w:rsidR="004226E3" w:rsidRPr="00600854" w:rsidRDefault="001909BB" w:rsidP="0006252E">
      <w:pPr>
        <w:spacing w:after="120"/>
        <w:ind w:firstLine="0"/>
        <w:jc w:val="left"/>
        <w:rPr>
          <w:color w:val="222222"/>
          <w:szCs w:val="24"/>
          <w:shd w:val="clear" w:color="auto" w:fill="FFFFFF"/>
        </w:rPr>
      </w:pPr>
      <w:r>
        <w:rPr>
          <w:color w:val="222222"/>
          <w:szCs w:val="24"/>
          <w:shd w:val="clear" w:color="auto" w:fill="FFFFFF"/>
        </w:rPr>
        <w:t>BERENSTEIN, Cláudia</w:t>
      </w:r>
      <w:r w:rsidR="004226E3" w:rsidRPr="00600854">
        <w:rPr>
          <w:color w:val="222222"/>
          <w:szCs w:val="24"/>
          <w:shd w:val="clear" w:color="auto" w:fill="FFFFFF"/>
        </w:rPr>
        <w:t xml:space="preserve"> K.</w:t>
      </w:r>
      <w:r w:rsidR="004226E3" w:rsidRPr="00600854">
        <w:rPr>
          <w:rStyle w:val="apple-converted-space"/>
          <w:color w:val="222222"/>
          <w:szCs w:val="24"/>
          <w:shd w:val="clear" w:color="auto" w:fill="FFFFFF"/>
        </w:rPr>
        <w:t> </w:t>
      </w:r>
      <w:r w:rsidR="004226E3" w:rsidRPr="00600854">
        <w:rPr>
          <w:b/>
          <w:bCs/>
          <w:color w:val="222222"/>
          <w:szCs w:val="24"/>
          <w:shd w:val="clear" w:color="auto" w:fill="FFFFFF"/>
        </w:rPr>
        <w:t>Os efeitos de idade e proximidade à morte sobre os gastos com internações no SUS: evidências com base no caso de Minas Gerais, 2004/2005</w:t>
      </w:r>
      <w:r w:rsidR="004226E3" w:rsidRPr="00600854">
        <w:rPr>
          <w:bCs/>
          <w:color w:val="222222"/>
          <w:szCs w:val="24"/>
          <w:shd w:val="clear" w:color="auto" w:fill="FFFFFF"/>
        </w:rPr>
        <w:t>.</w:t>
      </w:r>
      <w:r w:rsidR="004226E3" w:rsidRPr="00600854">
        <w:rPr>
          <w:color w:val="222222"/>
          <w:szCs w:val="24"/>
          <w:shd w:val="clear" w:color="auto" w:fill="FFFFFF"/>
        </w:rPr>
        <w:t xml:space="preserve"> 2009. Tese de Doutorado. Tese (Doutorado em Demografia) – Centro de Desenvolvimento e Planejamento Regional, Universidade Federal de Minas Gerais, Belo Horizonte.</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BURNER, Sally T.; WALDO, Daniel R.; MCKUSICK, David R. National health expenditures projections through 2030.</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Health Care Financing Review</w:t>
      </w:r>
      <w:r w:rsidRPr="0006252E">
        <w:rPr>
          <w:color w:val="222222"/>
          <w:szCs w:val="24"/>
          <w:shd w:val="clear" w:color="auto" w:fill="FFFFFF"/>
          <w:lang w:val="en-US"/>
        </w:rPr>
        <w:t>, v. 14, n. 1, p. 1, 1992.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lastRenderedPageBreak/>
        <w:t>CHUBAROVA, Tat'yana. The Health-Care System in Russia: Economic Problems of Theory and Practice.</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Problems of Economic Transition</w:t>
      </w:r>
      <w:r w:rsidRPr="0006252E">
        <w:rPr>
          <w:color w:val="222222"/>
          <w:szCs w:val="24"/>
          <w:shd w:val="clear" w:color="auto" w:fill="FFFFFF"/>
          <w:lang w:val="en-US"/>
        </w:rPr>
        <w:t>, v. 52, n. 11, p. 24-42, 2010.</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CUTLER, David M.; DEATON, Angus; LLERAS-MUNEY, Adriana. The determinants of mortality.</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The Journal of Economic Perspectives</w:t>
      </w:r>
      <w:r w:rsidRPr="00600854">
        <w:rPr>
          <w:color w:val="222222"/>
          <w:szCs w:val="24"/>
          <w:shd w:val="clear" w:color="auto" w:fill="FFFFFF"/>
          <w:lang w:val="en-US"/>
        </w:rPr>
        <w:t>, v. 20, n. 3, p. 97-120, 2006.</w:t>
      </w:r>
    </w:p>
    <w:p w:rsidR="004226E3" w:rsidRPr="00E86748" w:rsidRDefault="004226E3" w:rsidP="0006252E">
      <w:pPr>
        <w:spacing w:after="120"/>
        <w:ind w:firstLine="0"/>
        <w:jc w:val="left"/>
        <w:rPr>
          <w:color w:val="222222"/>
          <w:szCs w:val="24"/>
          <w:shd w:val="clear" w:color="auto" w:fill="FFFFFF"/>
        </w:rPr>
      </w:pPr>
      <w:r w:rsidRPr="00600854">
        <w:rPr>
          <w:color w:val="222222"/>
          <w:szCs w:val="24"/>
          <w:shd w:val="clear" w:color="auto" w:fill="FFFFFF"/>
          <w:lang w:val="en-US"/>
        </w:rPr>
        <w:t>CUTLER, David M.; GHOSH, Kaushik; LANDRUM, Mary Beth.</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Evidence for significant compression of morbidity in the elderly US population</w:t>
      </w:r>
      <w:r w:rsidRPr="00600854">
        <w:rPr>
          <w:color w:val="222222"/>
          <w:szCs w:val="24"/>
          <w:shd w:val="clear" w:color="auto" w:fill="FFFFFF"/>
          <w:lang w:val="en-US"/>
        </w:rPr>
        <w:t xml:space="preserve">. </w:t>
      </w:r>
      <w:r w:rsidRPr="00E86748">
        <w:rPr>
          <w:color w:val="222222"/>
          <w:szCs w:val="24"/>
          <w:shd w:val="clear" w:color="auto" w:fill="FFFFFF"/>
        </w:rPr>
        <w:t>National Bureau of Economic Research, 2013.</w:t>
      </w:r>
    </w:p>
    <w:p w:rsidR="004226E3" w:rsidRPr="00600854" w:rsidRDefault="004226E3" w:rsidP="0006252E">
      <w:pPr>
        <w:spacing w:after="120"/>
        <w:ind w:firstLine="0"/>
        <w:jc w:val="left"/>
        <w:rPr>
          <w:color w:val="222222"/>
          <w:szCs w:val="24"/>
          <w:shd w:val="clear" w:color="auto" w:fill="FFFFFF"/>
        </w:rPr>
      </w:pPr>
      <w:r w:rsidRPr="00600854">
        <w:rPr>
          <w:color w:val="222222"/>
          <w:szCs w:val="24"/>
          <w:shd w:val="clear" w:color="auto" w:fill="FFFFFF"/>
        </w:rPr>
        <w:t>DUARTE MIRANDA, Gabriella Morais; GOUVEIA MENDES, Antonio da Cruz; ANDRADE DA SILVA, Ana Lucia. O envelhecimento populacional brasileiro: desafios e consequências sociais atuais e futuras.</w:t>
      </w:r>
      <w:r w:rsidRPr="00600854">
        <w:rPr>
          <w:rStyle w:val="apple-converted-space"/>
          <w:color w:val="222222"/>
          <w:szCs w:val="24"/>
          <w:shd w:val="clear" w:color="auto" w:fill="FFFFFF"/>
        </w:rPr>
        <w:t> </w:t>
      </w:r>
      <w:r w:rsidRPr="00600854">
        <w:rPr>
          <w:b/>
          <w:bCs/>
          <w:color w:val="222222"/>
          <w:szCs w:val="24"/>
          <w:shd w:val="clear" w:color="auto" w:fill="FFFFFF"/>
        </w:rPr>
        <w:t>Revista Brasileira de Geriatria e Gerontologia</w:t>
      </w:r>
      <w:r w:rsidRPr="00600854">
        <w:rPr>
          <w:color w:val="222222"/>
          <w:szCs w:val="24"/>
          <w:shd w:val="clear" w:color="auto" w:fill="FFFFFF"/>
        </w:rPr>
        <w:t>, v. 19, n. 3, 2016.</w:t>
      </w:r>
    </w:p>
    <w:p w:rsidR="004226E3" w:rsidRPr="00E86748" w:rsidRDefault="004226E3" w:rsidP="0006252E">
      <w:pPr>
        <w:spacing w:after="120"/>
        <w:ind w:firstLine="0"/>
        <w:jc w:val="left"/>
        <w:rPr>
          <w:color w:val="222222"/>
          <w:szCs w:val="24"/>
          <w:shd w:val="clear" w:color="auto" w:fill="FFFFFF"/>
        </w:rPr>
      </w:pPr>
      <w:r w:rsidRPr="0006252E">
        <w:rPr>
          <w:color w:val="222222"/>
          <w:szCs w:val="24"/>
          <w:shd w:val="clear" w:color="auto" w:fill="FFFFFF"/>
        </w:rPr>
        <w:t>FRIES, James F. Compression of morbidity in the elderly.</w:t>
      </w:r>
      <w:r w:rsidRPr="0006252E">
        <w:rPr>
          <w:rStyle w:val="apple-converted-space"/>
          <w:color w:val="222222"/>
          <w:szCs w:val="24"/>
          <w:shd w:val="clear" w:color="auto" w:fill="FFFFFF"/>
        </w:rPr>
        <w:t> </w:t>
      </w:r>
      <w:r w:rsidRPr="00E86748">
        <w:rPr>
          <w:b/>
          <w:bCs/>
          <w:color w:val="222222"/>
          <w:szCs w:val="24"/>
          <w:shd w:val="clear" w:color="auto" w:fill="FFFFFF"/>
        </w:rPr>
        <w:t>Vaccine</w:t>
      </w:r>
      <w:r w:rsidRPr="00E86748">
        <w:rPr>
          <w:color w:val="222222"/>
          <w:szCs w:val="24"/>
          <w:shd w:val="clear" w:color="auto" w:fill="FFFFFF"/>
        </w:rPr>
        <w:t>, v. 18, n. 16, p. 1584-1589, 2000.</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FRIES, James F. Measuring and monitoring success in compressing morbidity.</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Annals of Internal Medicine</w:t>
      </w:r>
      <w:r w:rsidRPr="0006252E">
        <w:rPr>
          <w:color w:val="222222"/>
          <w:szCs w:val="24"/>
          <w:shd w:val="clear" w:color="auto" w:fill="FFFFFF"/>
          <w:lang w:val="en-US"/>
        </w:rPr>
        <w:t>, v. 139, n. 5, p. 455-459, 2003.</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GENUER, Robin; POGGI, Jean-Michel; TULEAU-MALOT, Christine. Variable selection using random forests.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Pattern Recognition Letters</w:t>
      </w:r>
      <w:r w:rsidRPr="0006252E">
        <w:rPr>
          <w:color w:val="222222"/>
          <w:szCs w:val="24"/>
          <w:shd w:val="clear" w:color="auto" w:fill="FFFFFF"/>
          <w:lang w:val="en-US"/>
        </w:rPr>
        <w:t>, v. 31, n. 14, p. 2225-2236, 2010.</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GERDTHAM, Ulf-G. et al. An econometric analysis of health care expenditure: a cross-section study of the OECD countries.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Journal of health economics</w:t>
      </w:r>
      <w:r w:rsidRPr="0006252E">
        <w:rPr>
          <w:color w:val="222222"/>
          <w:szCs w:val="24"/>
          <w:shd w:val="clear" w:color="auto" w:fill="FFFFFF"/>
          <w:lang w:val="en-US"/>
        </w:rPr>
        <w:t>, v. 11, n. 1, p. 63-84, 1992.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GETZEN, Thomas E. Population aging and the growth of health expenditures.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Journal of gerontology</w:t>
      </w:r>
      <w:r w:rsidRPr="0006252E">
        <w:rPr>
          <w:color w:val="222222"/>
          <w:szCs w:val="24"/>
          <w:shd w:val="clear" w:color="auto" w:fill="FFFFFF"/>
          <w:lang w:val="en-US"/>
        </w:rPr>
        <w:t>, v. 47, n. 3, p. S98-S104, 1992.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GRÖMPING, Ulrike. Variable importance assessment in regression: linear regression versus random forest.</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The American Statistician</w:t>
      </w:r>
      <w:r w:rsidRPr="0006252E">
        <w:rPr>
          <w:color w:val="222222"/>
          <w:szCs w:val="24"/>
          <w:shd w:val="clear" w:color="auto" w:fill="FFFFFF"/>
          <w:lang w:val="en-US"/>
        </w:rPr>
        <w:t>, v. 63, n. 4, p. 308-319, 2009.</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JOHN, Onyedikachi O. Robustness of quantile regression to outliers.</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American Journal of Applied Mathematics and Statistics</w:t>
      </w:r>
      <w:r w:rsidRPr="00600854">
        <w:rPr>
          <w:color w:val="222222"/>
          <w:szCs w:val="24"/>
          <w:shd w:val="clear" w:color="auto" w:fill="FFFFFF"/>
          <w:lang w:val="en-US"/>
        </w:rPr>
        <w:t>, v. 3, n. 2, p. 86-88, 2015.</w:t>
      </w:r>
    </w:p>
    <w:p w:rsidR="004226E3" w:rsidRPr="0006252E" w:rsidRDefault="004226E3" w:rsidP="0006252E">
      <w:pPr>
        <w:spacing w:after="120"/>
        <w:ind w:firstLine="0"/>
        <w:jc w:val="left"/>
        <w:rPr>
          <w:color w:val="222222"/>
          <w:szCs w:val="24"/>
          <w:shd w:val="clear" w:color="auto" w:fill="FFFFFF"/>
        </w:rPr>
      </w:pPr>
      <w:r w:rsidRPr="00600854">
        <w:rPr>
          <w:color w:val="222222"/>
          <w:szCs w:val="24"/>
          <w:shd w:val="clear" w:color="auto" w:fill="FFFFFF"/>
          <w:lang w:val="en-US"/>
        </w:rPr>
        <w:t>KOENKER, Roger. quantreg: quantile regression. R package version 5.05.</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R Foundation for Statistical Computing</w:t>
      </w:r>
      <w:r w:rsidRPr="00600854">
        <w:rPr>
          <w:bCs/>
          <w:color w:val="222222"/>
          <w:szCs w:val="24"/>
          <w:shd w:val="clear" w:color="auto" w:fill="FFFFFF"/>
          <w:lang w:val="en-US"/>
        </w:rPr>
        <w:t>, Vienna, 2013.</w:t>
      </w:r>
      <w:r w:rsidRPr="00600854">
        <w:rPr>
          <w:b/>
          <w:bCs/>
          <w:color w:val="222222"/>
          <w:szCs w:val="24"/>
          <w:shd w:val="clear" w:color="auto" w:fill="FFFFFF"/>
          <w:lang w:val="en-US"/>
        </w:rPr>
        <w:t xml:space="preserve"> </w:t>
      </w:r>
      <w:r w:rsidRPr="0006252E">
        <w:rPr>
          <w:bCs/>
          <w:color w:val="222222"/>
          <w:szCs w:val="24"/>
          <w:shd w:val="clear" w:color="auto" w:fill="FFFFFF"/>
        </w:rPr>
        <w:t>Disponível em &lt;http://CRAN. R-project. org/package= quantreg</w:t>
      </w:r>
      <w:r w:rsidRPr="0006252E">
        <w:rPr>
          <w:color w:val="222222"/>
          <w:szCs w:val="24"/>
          <w:shd w:val="clear" w:color="auto" w:fill="FFFFFF"/>
        </w:rPr>
        <w:t>&gt;.</w:t>
      </w:r>
    </w:p>
    <w:p w:rsidR="004226E3" w:rsidRPr="0006252E" w:rsidRDefault="004226E3" w:rsidP="0006252E">
      <w:pPr>
        <w:spacing w:after="120"/>
        <w:ind w:firstLine="0"/>
        <w:jc w:val="left"/>
        <w:rPr>
          <w:color w:val="222222"/>
          <w:szCs w:val="24"/>
          <w:shd w:val="clear" w:color="auto" w:fill="FFFFFF"/>
          <w:lang w:val="en-US"/>
        </w:rPr>
      </w:pPr>
      <w:r w:rsidRPr="0006252E">
        <w:rPr>
          <w:color w:val="222222"/>
          <w:szCs w:val="24"/>
          <w:shd w:val="clear" w:color="auto" w:fill="FFFFFF"/>
        </w:rPr>
        <w:t xml:space="preserve">LIAW, Andy; WIENER, Matthew. </w:t>
      </w:r>
      <w:r w:rsidRPr="00600854">
        <w:rPr>
          <w:color w:val="222222"/>
          <w:szCs w:val="24"/>
          <w:shd w:val="clear" w:color="auto" w:fill="FFFFFF"/>
          <w:lang w:val="en-US"/>
        </w:rPr>
        <w:t>Classification and regression by randomForest.</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R News</w:t>
      </w:r>
      <w:r w:rsidRPr="0006252E">
        <w:rPr>
          <w:color w:val="222222"/>
          <w:szCs w:val="24"/>
          <w:shd w:val="clear" w:color="auto" w:fill="FFFFFF"/>
          <w:lang w:val="en-US"/>
        </w:rPr>
        <w:t>, v. 2, n. 3, p. 18-22, 2002.</w:t>
      </w:r>
    </w:p>
    <w:p w:rsidR="004226E3" w:rsidRPr="00E86748" w:rsidRDefault="004226E3" w:rsidP="0006252E">
      <w:pPr>
        <w:spacing w:after="120"/>
        <w:ind w:firstLine="0"/>
        <w:jc w:val="left"/>
        <w:rPr>
          <w:color w:val="222222"/>
          <w:szCs w:val="24"/>
          <w:shd w:val="clear" w:color="auto" w:fill="FFFFFF"/>
        </w:rPr>
      </w:pPr>
      <w:r w:rsidRPr="00600854">
        <w:rPr>
          <w:color w:val="222222"/>
          <w:szCs w:val="24"/>
          <w:shd w:val="clear" w:color="auto" w:fill="FFFFFF"/>
          <w:lang w:val="en-US"/>
        </w:rPr>
        <w:t>LUMLEY, Thomas et al. The importance of the normality assumption in large public health data sets.</w:t>
      </w:r>
      <w:r w:rsidRPr="00600854">
        <w:rPr>
          <w:rStyle w:val="apple-converted-space"/>
          <w:color w:val="222222"/>
          <w:szCs w:val="24"/>
          <w:shd w:val="clear" w:color="auto" w:fill="FFFFFF"/>
          <w:lang w:val="en-US"/>
        </w:rPr>
        <w:t> </w:t>
      </w:r>
      <w:r w:rsidRPr="00E86748">
        <w:rPr>
          <w:b/>
          <w:bCs/>
          <w:color w:val="222222"/>
          <w:szCs w:val="24"/>
          <w:shd w:val="clear" w:color="auto" w:fill="FFFFFF"/>
        </w:rPr>
        <w:t>Annual review of public health</w:t>
      </w:r>
      <w:r w:rsidRPr="00E86748">
        <w:rPr>
          <w:color w:val="222222"/>
          <w:szCs w:val="24"/>
          <w:shd w:val="clear" w:color="auto" w:fill="FFFFFF"/>
        </w:rPr>
        <w:t>, v. 23, n. 1, p. 151-169, 2002.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rPr>
        <w:t>MAIA, Ana Carolina; ANDRADE, Monica Viegas; CHEIN, F.</w:t>
      </w:r>
      <w:r w:rsidRPr="00600854">
        <w:rPr>
          <w:rStyle w:val="apple-converted-space"/>
          <w:color w:val="222222"/>
          <w:szCs w:val="24"/>
          <w:shd w:val="clear" w:color="auto" w:fill="FFFFFF"/>
        </w:rPr>
        <w:t> </w:t>
      </w:r>
      <w:r w:rsidRPr="00600854">
        <w:rPr>
          <w:b/>
          <w:bCs/>
          <w:color w:val="222222"/>
          <w:szCs w:val="24"/>
          <w:shd w:val="clear" w:color="auto" w:fill="FFFFFF"/>
        </w:rPr>
        <w:t>Estudo longitudinal do efeito da idade e tempo até a morte em gastos com saúde</w:t>
      </w:r>
      <w:r w:rsidRPr="00600854">
        <w:rPr>
          <w:color w:val="222222"/>
          <w:szCs w:val="24"/>
          <w:shd w:val="clear" w:color="auto" w:fill="FFFFFF"/>
        </w:rPr>
        <w:t xml:space="preserve">. </w:t>
      </w:r>
      <w:r w:rsidRPr="0006252E">
        <w:rPr>
          <w:color w:val="222222"/>
          <w:szCs w:val="24"/>
          <w:shd w:val="clear" w:color="auto" w:fill="FFFFFF"/>
          <w:lang w:val="en-US"/>
        </w:rPr>
        <w:t>REAP working paper, n. 37, 2012.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MARZOUK, M. S. Aging, age-specific health care costs and the future health care burden in Canada.</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Canadian Public Policy/Analyse de Politiques</w:t>
      </w:r>
      <w:r w:rsidRPr="0006252E">
        <w:rPr>
          <w:color w:val="222222"/>
          <w:szCs w:val="24"/>
          <w:shd w:val="clear" w:color="auto" w:fill="FFFFFF"/>
          <w:lang w:val="en-US"/>
        </w:rPr>
        <w:t>, p. 490-506, 1991.</w:t>
      </w:r>
    </w:p>
    <w:p w:rsidR="004226E3"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MCGRAIL, Kimberlyn et al. Age, costs of acute and long-term care and proximity to death: evidence for 1987-88 and 1994-95 in British Columbia.</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Age and Ageing</w:t>
      </w:r>
      <w:r w:rsidRPr="0006252E">
        <w:rPr>
          <w:color w:val="222222"/>
          <w:szCs w:val="24"/>
          <w:shd w:val="clear" w:color="auto" w:fill="FFFFFF"/>
          <w:lang w:val="en-US"/>
        </w:rPr>
        <w:t>, v. 29, n. 3, p. 249-253, 2000.</w:t>
      </w:r>
    </w:p>
    <w:p w:rsidR="00060ED4" w:rsidRPr="0006252E" w:rsidRDefault="00060ED4" w:rsidP="0006252E">
      <w:pPr>
        <w:spacing w:after="120"/>
        <w:ind w:firstLine="0"/>
        <w:jc w:val="left"/>
        <w:rPr>
          <w:color w:val="222222"/>
          <w:szCs w:val="24"/>
          <w:shd w:val="clear" w:color="auto" w:fill="FFFFFF"/>
          <w:lang w:val="en-US"/>
        </w:rPr>
      </w:pPr>
      <w:r w:rsidRPr="0006252E">
        <w:rPr>
          <w:color w:val="222222"/>
          <w:szCs w:val="24"/>
          <w:shd w:val="clear" w:color="auto" w:fill="FFFFFF"/>
          <w:lang w:val="en-US"/>
        </w:rPr>
        <w:lastRenderedPageBreak/>
        <w:t xml:space="preserve">MENDES, Antonio C. G. M. et al. </w:t>
      </w:r>
      <w:r>
        <w:rPr>
          <w:color w:val="222222"/>
          <w:szCs w:val="24"/>
          <w:shd w:val="clear" w:color="auto" w:fill="FFFFFF"/>
        </w:rPr>
        <w:t xml:space="preserve">Assistência pública de saúde no contexto da transição demográfica brasileira: exigências atuais e futuras. </w:t>
      </w:r>
      <w:r w:rsidRPr="0006252E">
        <w:rPr>
          <w:b/>
          <w:color w:val="222222"/>
          <w:szCs w:val="24"/>
          <w:shd w:val="clear" w:color="auto" w:fill="FFFFFF"/>
          <w:lang w:val="en-US"/>
        </w:rPr>
        <w:t>Cadernos de Saúde Pública</w:t>
      </w:r>
      <w:r w:rsidRPr="0006252E">
        <w:rPr>
          <w:color w:val="222222"/>
          <w:szCs w:val="24"/>
          <w:shd w:val="clear" w:color="auto" w:fill="FFFFFF"/>
          <w:lang w:val="en-US"/>
        </w:rPr>
        <w:t>, v. 28, n. 5, p. 955-964, 2012.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MILLER, Tim. Increasing longevity and medicare expenditures.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Demography</w:t>
      </w:r>
      <w:r w:rsidRPr="0006252E">
        <w:rPr>
          <w:color w:val="222222"/>
          <w:szCs w:val="24"/>
          <w:shd w:val="clear" w:color="auto" w:fill="FFFFFF"/>
          <w:lang w:val="en-US"/>
        </w:rPr>
        <w:t>, v. 38, n. 2, p. 215-226, 2001.</w:t>
      </w:r>
    </w:p>
    <w:p w:rsidR="004226E3" w:rsidRPr="0006252E" w:rsidRDefault="004226E3" w:rsidP="0006252E">
      <w:pPr>
        <w:pStyle w:val="Bibliografia"/>
        <w:spacing w:after="120"/>
        <w:ind w:firstLine="0"/>
        <w:jc w:val="left"/>
        <w:rPr>
          <w:b/>
          <w:iCs/>
          <w:noProof/>
          <w:szCs w:val="24"/>
        </w:rPr>
      </w:pPr>
      <w:r w:rsidRPr="004226E3">
        <w:rPr>
          <w:noProof/>
          <w:szCs w:val="24"/>
          <w:lang w:val="en-US"/>
        </w:rPr>
        <w:t xml:space="preserve">NISBET, R., MINER, G.; ELDER, J. </w:t>
      </w:r>
      <w:r w:rsidRPr="004226E3">
        <w:rPr>
          <w:b/>
          <w:iCs/>
          <w:noProof/>
          <w:szCs w:val="24"/>
          <w:lang w:val="en-US"/>
        </w:rPr>
        <w:t>Handbook of statistical analysis and data mining applications</w:t>
      </w:r>
      <w:r w:rsidRPr="004226E3">
        <w:rPr>
          <w:i/>
          <w:iCs/>
          <w:noProof/>
          <w:szCs w:val="24"/>
          <w:lang w:val="en-US"/>
        </w:rPr>
        <w:t>.</w:t>
      </w:r>
      <w:r w:rsidRPr="004226E3">
        <w:rPr>
          <w:noProof/>
          <w:szCs w:val="24"/>
          <w:lang w:val="en-US"/>
        </w:rPr>
        <w:t xml:space="preserve"> </w:t>
      </w:r>
      <w:r w:rsidRPr="0006252E">
        <w:rPr>
          <w:noProof/>
          <w:szCs w:val="24"/>
        </w:rPr>
        <w:t>Academic Press, 2009.</w:t>
      </w:r>
    </w:p>
    <w:p w:rsidR="004226E3" w:rsidRPr="00600854" w:rsidRDefault="004226E3" w:rsidP="0006252E">
      <w:pPr>
        <w:spacing w:after="120"/>
        <w:ind w:firstLine="0"/>
        <w:jc w:val="left"/>
        <w:rPr>
          <w:color w:val="222222"/>
          <w:szCs w:val="24"/>
          <w:shd w:val="clear" w:color="auto" w:fill="FFFFFF"/>
        </w:rPr>
      </w:pPr>
      <w:r w:rsidRPr="00600854">
        <w:rPr>
          <w:color w:val="222222"/>
          <w:szCs w:val="24"/>
          <w:shd w:val="clear" w:color="auto" w:fill="FFFFFF"/>
        </w:rPr>
        <w:t>RODRIGUES, Cristina Guimarães; AFONSO, Luís Eduardo. O efeito do status de sobrevivência sobre gastos com internações hospitalares públicas no Brasil em uma perspectiva temporal.</w:t>
      </w:r>
      <w:r w:rsidRPr="00600854">
        <w:rPr>
          <w:rStyle w:val="apple-converted-space"/>
          <w:color w:val="222222"/>
          <w:szCs w:val="24"/>
          <w:shd w:val="clear" w:color="auto" w:fill="FFFFFF"/>
        </w:rPr>
        <w:t> </w:t>
      </w:r>
      <w:r w:rsidRPr="00600854">
        <w:rPr>
          <w:b/>
          <w:bCs/>
          <w:color w:val="222222"/>
          <w:szCs w:val="24"/>
          <w:shd w:val="clear" w:color="auto" w:fill="FFFFFF"/>
        </w:rPr>
        <w:t>Estudos Econômicos (São Paulo)</w:t>
      </w:r>
      <w:r w:rsidRPr="00600854">
        <w:rPr>
          <w:color w:val="222222"/>
          <w:szCs w:val="24"/>
          <w:shd w:val="clear" w:color="auto" w:fill="FFFFFF"/>
        </w:rPr>
        <w:t>, v. 42, n. 3, p. 489-510, 2012.</w:t>
      </w:r>
    </w:p>
    <w:p w:rsidR="004226E3" w:rsidRPr="0006252E" w:rsidRDefault="004226E3" w:rsidP="0006252E">
      <w:pPr>
        <w:spacing w:after="120"/>
        <w:ind w:firstLine="0"/>
        <w:jc w:val="left"/>
        <w:rPr>
          <w:color w:val="222222"/>
          <w:szCs w:val="24"/>
          <w:shd w:val="clear" w:color="auto" w:fill="FFFFFF"/>
          <w:lang w:val="en-US"/>
        </w:rPr>
      </w:pPr>
      <w:r w:rsidRPr="0006252E">
        <w:rPr>
          <w:color w:val="222222"/>
          <w:szCs w:val="24"/>
          <w:shd w:val="clear" w:color="auto" w:fill="FFFFFF"/>
        </w:rPr>
        <w:t xml:space="preserve">SESHAMANI, Meena; GRAY, Alastair. </w:t>
      </w:r>
      <w:r w:rsidRPr="00600854">
        <w:rPr>
          <w:color w:val="222222"/>
          <w:szCs w:val="24"/>
          <w:shd w:val="clear" w:color="auto" w:fill="FFFFFF"/>
          <w:lang w:val="en-US"/>
        </w:rPr>
        <w:t>Ageing and health‐care expenditure: the red herring argument revisited.</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Health economics</w:t>
      </w:r>
      <w:r w:rsidRPr="0006252E">
        <w:rPr>
          <w:color w:val="222222"/>
          <w:szCs w:val="24"/>
          <w:shd w:val="clear" w:color="auto" w:fill="FFFFFF"/>
          <w:lang w:val="en-US"/>
        </w:rPr>
        <w:t>, v. 13, n. 4, p. 303-314, 2004.</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SESHAMANI, Meena; GRAY, Alastair. Health care expenditures and ageing: an international comparison.</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Applied health economics and health policy</w:t>
      </w:r>
      <w:r w:rsidRPr="0006252E">
        <w:rPr>
          <w:color w:val="222222"/>
          <w:szCs w:val="24"/>
          <w:shd w:val="clear" w:color="auto" w:fill="FFFFFF"/>
          <w:lang w:val="en-US"/>
        </w:rPr>
        <w:t>, v. 2, n. 1, p. 9-16, 2002.</w:t>
      </w:r>
    </w:p>
    <w:p w:rsidR="004226E3" w:rsidRPr="0006252E" w:rsidRDefault="004226E3" w:rsidP="0006252E">
      <w:pPr>
        <w:spacing w:after="120"/>
        <w:ind w:firstLine="0"/>
        <w:jc w:val="left"/>
        <w:rPr>
          <w:color w:val="222222"/>
          <w:szCs w:val="24"/>
          <w:shd w:val="clear" w:color="auto" w:fill="FFFFFF"/>
          <w:lang w:val="en-US"/>
        </w:rPr>
      </w:pPr>
      <w:r w:rsidRPr="00E86748">
        <w:rPr>
          <w:color w:val="222222"/>
          <w:szCs w:val="24"/>
          <w:shd w:val="clear" w:color="auto" w:fill="FFFFFF"/>
          <w:lang w:val="en-US"/>
        </w:rPr>
        <w:t xml:space="preserve">SESHAMANI, Meena; GRAY, Alastair. </w:t>
      </w:r>
      <w:r w:rsidRPr="00600854">
        <w:rPr>
          <w:color w:val="222222"/>
          <w:szCs w:val="24"/>
          <w:shd w:val="clear" w:color="auto" w:fill="FFFFFF"/>
          <w:lang w:val="en-US"/>
        </w:rPr>
        <w:t>The impact of ageing on expenditures in the National Health Service.</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Age and Ageing</w:t>
      </w:r>
      <w:r w:rsidRPr="0006252E">
        <w:rPr>
          <w:color w:val="222222"/>
          <w:szCs w:val="24"/>
          <w:shd w:val="clear" w:color="auto" w:fill="FFFFFF"/>
          <w:lang w:val="en-US"/>
        </w:rPr>
        <w:t>, v. 31, n. 4, p. 287-294, 2002.</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SESHAMANI, Meena; GRAY, Alastair. Time to death and health expenditure: an improved model for the impact of demographic change on health care costs.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Age and Ageing</w:t>
      </w:r>
      <w:r w:rsidRPr="0006252E">
        <w:rPr>
          <w:color w:val="222222"/>
          <w:szCs w:val="24"/>
          <w:shd w:val="clear" w:color="auto" w:fill="FFFFFF"/>
          <w:lang w:val="en-US"/>
        </w:rPr>
        <w:t>, 2004b.</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SMITH, Sheila; HEFFLER, Stephen; FREELAND, Mark. The next decade of health spending: A new outlook.</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Health Affairs</w:t>
      </w:r>
      <w:r w:rsidRPr="0006252E">
        <w:rPr>
          <w:color w:val="222222"/>
          <w:szCs w:val="24"/>
          <w:shd w:val="clear" w:color="auto" w:fill="FFFFFF"/>
          <w:lang w:val="en-US"/>
        </w:rPr>
        <w:t>, v. 18, n. 4, p. 86, 1999.</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THERNEAU, Terry M. et al. rpart: Recursive partitioning.</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R package version</w:t>
      </w:r>
      <w:r w:rsidRPr="00600854">
        <w:rPr>
          <w:color w:val="222222"/>
          <w:szCs w:val="24"/>
          <w:shd w:val="clear" w:color="auto" w:fill="FFFFFF"/>
          <w:lang w:val="en-US"/>
        </w:rPr>
        <w:t>, 2015.</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 xml:space="preserve">TUFFÉRY, Stéphane. </w:t>
      </w:r>
      <w:r w:rsidRPr="00600854">
        <w:rPr>
          <w:b/>
          <w:color w:val="222222"/>
          <w:szCs w:val="24"/>
          <w:shd w:val="clear" w:color="auto" w:fill="FFFFFF"/>
          <w:lang w:val="en-US"/>
        </w:rPr>
        <w:t>Data mining and statistics for decision making</w:t>
      </w:r>
      <w:r w:rsidRPr="00600854">
        <w:rPr>
          <w:color w:val="222222"/>
          <w:szCs w:val="24"/>
          <w:shd w:val="clear" w:color="auto" w:fill="FFFFFF"/>
          <w:lang w:val="en-US"/>
        </w:rPr>
        <w:t xml:space="preserve">. West Sussex: John Wiley &amp; Sons, </w:t>
      </w:r>
      <w:r w:rsidRPr="0006252E">
        <w:rPr>
          <w:color w:val="222222"/>
          <w:szCs w:val="24"/>
          <w:shd w:val="clear" w:color="auto" w:fill="FFFFFF"/>
          <w:lang w:val="en-US"/>
        </w:rPr>
        <w:t>2011.</w:t>
      </w:r>
    </w:p>
    <w:p w:rsidR="004226E3" w:rsidRPr="00600854" w:rsidRDefault="004226E3" w:rsidP="0006252E">
      <w:pPr>
        <w:spacing w:after="120"/>
        <w:ind w:firstLine="0"/>
        <w:jc w:val="left"/>
        <w:rPr>
          <w:szCs w:val="24"/>
          <w:lang w:val="en-US"/>
        </w:rPr>
      </w:pPr>
      <w:r w:rsidRPr="00600854">
        <w:rPr>
          <w:color w:val="222222"/>
          <w:szCs w:val="24"/>
          <w:shd w:val="clear" w:color="auto" w:fill="FFFFFF"/>
          <w:lang w:val="en-US"/>
        </w:rPr>
        <w:t>YANG, Zhou; NORTON, Edward C.; STEARNS, Sally C. Longevity and health care expenditures the real reasons older people spend more.</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The Journals of Gerontology Series B: Psychological Sciences and Social Sciences</w:t>
      </w:r>
      <w:r w:rsidRPr="00600854">
        <w:rPr>
          <w:color w:val="222222"/>
          <w:szCs w:val="24"/>
          <w:shd w:val="clear" w:color="auto" w:fill="FFFFFF"/>
          <w:lang w:val="en-US"/>
        </w:rPr>
        <w:t>, v. 58, n. 1, p. 2-10, 2003.</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YU, Tiffany Hui-Kuang; WANG, David Han-Min; WU, Kuo-Lun. Reexamining the red herring effect on healthcare expenditures.</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Journal of Business Research</w:t>
      </w:r>
      <w:r w:rsidRPr="0006252E">
        <w:rPr>
          <w:color w:val="222222"/>
          <w:szCs w:val="24"/>
          <w:shd w:val="clear" w:color="auto" w:fill="FFFFFF"/>
          <w:lang w:val="en-US"/>
        </w:rPr>
        <w:t>, v. 68, n. 4, p. 783-787, 2015.</w:t>
      </w:r>
    </w:p>
    <w:p w:rsidR="004226E3" w:rsidRPr="0006252E"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ZWEIFEL, Peter; FELDER, Stefan; MEIERS, Markus. Ageing of population and health care expenditure: a red herring?.</w:t>
      </w:r>
      <w:r w:rsidRPr="00600854">
        <w:rPr>
          <w:rStyle w:val="apple-converted-space"/>
          <w:color w:val="222222"/>
          <w:szCs w:val="24"/>
          <w:shd w:val="clear" w:color="auto" w:fill="FFFFFF"/>
          <w:lang w:val="en-US"/>
        </w:rPr>
        <w:t> </w:t>
      </w:r>
      <w:r w:rsidRPr="0006252E">
        <w:rPr>
          <w:b/>
          <w:bCs/>
          <w:color w:val="222222"/>
          <w:szCs w:val="24"/>
          <w:shd w:val="clear" w:color="auto" w:fill="FFFFFF"/>
          <w:lang w:val="en-US"/>
        </w:rPr>
        <w:t>Health economics</w:t>
      </w:r>
      <w:r w:rsidRPr="0006252E">
        <w:rPr>
          <w:color w:val="222222"/>
          <w:szCs w:val="24"/>
          <w:shd w:val="clear" w:color="auto" w:fill="FFFFFF"/>
          <w:lang w:val="en-US"/>
        </w:rPr>
        <w:t>, v. 8, n. 6, p. 485-496, 1999.</w:t>
      </w:r>
    </w:p>
    <w:p w:rsidR="004226E3" w:rsidRPr="00600854" w:rsidRDefault="004226E3" w:rsidP="0006252E">
      <w:pPr>
        <w:spacing w:after="120"/>
        <w:ind w:firstLine="0"/>
        <w:jc w:val="left"/>
        <w:rPr>
          <w:color w:val="222222"/>
          <w:szCs w:val="24"/>
          <w:shd w:val="clear" w:color="auto" w:fill="FFFFFF"/>
          <w:lang w:val="en-US"/>
        </w:rPr>
      </w:pPr>
      <w:r w:rsidRPr="00600854">
        <w:rPr>
          <w:color w:val="222222"/>
          <w:szCs w:val="24"/>
          <w:shd w:val="clear" w:color="auto" w:fill="FFFFFF"/>
          <w:lang w:val="en-US"/>
        </w:rPr>
        <w:t>ZWEIFEL, Peter; FELDER, Stefan; WERBLOW, Andreas. Population ageing and health care expenditure: new evidence on the “red herring”.</w:t>
      </w:r>
      <w:r w:rsidRPr="00600854">
        <w:rPr>
          <w:rStyle w:val="apple-converted-space"/>
          <w:color w:val="222222"/>
          <w:szCs w:val="24"/>
          <w:shd w:val="clear" w:color="auto" w:fill="FFFFFF"/>
          <w:lang w:val="en-US"/>
        </w:rPr>
        <w:t> </w:t>
      </w:r>
      <w:r w:rsidRPr="00600854">
        <w:rPr>
          <w:b/>
          <w:bCs/>
          <w:color w:val="222222"/>
          <w:szCs w:val="24"/>
          <w:shd w:val="clear" w:color="auto" w:fill="FFFFFF"/>
          <w:lang w:val="en-US"/>
        </w:rPr>
        <w:t>The Geneva Papers on Risk and Insurance Issues and Practice</w:t>
      </w:r>
      <w:r w:rsidRPr="00600854">
        <w:rPr>
          <w:color w:val="222222"/>
          <w:szCs w:val="24"/>
          <w:shd w:val="clear" w:color="auto" w:fill="FFFFFF"/>
          <w:lang w:val="en-US"/>
        </w:rPr>
        <w:t>, v. 29, n. 4, p. 652-666, 2004.</w:t>
      </w:r>
    </w:p>
    <w:p w:rsidR="001D6109" w:rsidRPr="0006252E" w:rsidRDefault="001D6109" w:rsidP="0006252E">
      <w:pPr>
        <w:ind w:firstLine="0"/>
        <w:jc w:val="left"/>
        <w:rPr>
          <w:lang w:val="en-US"/>
        </w:rPr>
      </w:pPr>
    </w:p>
    <w:sectPr w:rsidR="001D6109" w:rsidRPr="0006252E" w:rsidSect="0039387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8F8" w:rsidRDefault="00F468F8" w:rsidP="005078CE">
      <w:r>
        <w:separator/>
      </w:r>
    </w:p>
  </w:endnote>
  <w:endnote w:type="continuationSeparator" w:id="0">
    <w:p w:rsidR="00F468F8" w:rsidRDefault="00F468F8" w:rsidP="0050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8F8" w:rsidRDefault="00F468F8" w:rsidP="005078CE">
      <w:r>
        <w:separator/>
      </w:r>
    </w:p>
  </w:footnote>
  <w:footnote w:type="continuationSeparator" w:id="0">
    <w:p w:rsidR="00F468F8" w:rsidRDefault="00F468F8" w:rsidP="0050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CBA"/>
    <w:multiLevelType w:val="hybridMultilevel"/>
    <w:tmpl w:val="7FF20720"/>
    <w:lvl w:ilvl="0" w:tplc="2E200B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47766F"/>
    <w:multiLevelType w:val="multilevel"/>
    <w:tmpl w:val="0416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879"/>
    <w:rsid w:val="00022A1F"/>
    <w:rsid w:val="00036A06"/>
    <w:rsid w:val="00041A33"/>
    <w:rsid w:val="000456AF"/>
    <w:rsid w:val="0005162C"/>
    <w:rsid w:val="00060ED4"/>
    <w:rsid w:val="0006252E"/>
    <w:rsid w:val="00077CA6"/>
    <w:rsid w:val="00093B20"/>
    <w:rsid w:val="000A4E19"/>
    <w:rsid w:val="000D5BAB"/>
    <w:rsid w:val="000E00D0"/>
    <w:rsid w:val="000E5D4A"/>
    <w:rsid w:val="000F6877"/>
    <w:rsid w:val="001157DE"/>
    <w:rsid w:val="001239CF"/>
    <w:rsid w:val="0012644B"/>
    <w:rsid w:val="001271E2"/>
    <w:rsid w:val="00135D95"/>
    <w:rsid w:val="00144401"/>
    <w:rsid w:val="001522AC"/>
    <w:rsid w:val="0015793F"/>
    <w:rsid w:val="00167390"/>
    <w:rsid w:val="0018366F"/>
    <w:rsid w:val="001909BB"/>
    <w:rsid w:val="001A2DAD"/>
    <w:rsid w:val="001B0F18"/>
    <w:rsid w:val="001B6613"/>
    <w:rsid w:val="001B70E9"/>
    <w:rsid w:val="001D0FEA"/>
    <w:rsid w:val="001D1F9C"/>
    <w:rsid w:val="001D2119"/>
    <w:rsid w:val="001D6109"/>
    <w:rsid w:val="001E4B3E"/>
    <w:rsid w:val="001E4E0E"/>
    <w:rsid w:val="001E4FC8"/>
    <w:rsid w:val="001F09A0"/>
    <w:rsid w:val="001F78D1"/>
    <w:rsid w:val="00205592"/>
    <w:rsid w:val="0020738D"/>
    <w:rsid w:val="00216FBD"/>
    <w:rsid w:val="002216FF"/>
    <w:rsid w:val="002218AD"/>
    <w:rsid w:val="00222817"/>
    <w:rsid w:val="0023044F"/>
    <w:rsid w:val="00240A22"/>
    <w:rsid w:val="0026790B"/>
    <w:rsid w:val="002704BD"/>
    <w:rsid w:val="00270DC9"/>
    <w:rsid w:val="00277784"/>
    <w:rsid w:val="00285635"/>
    <w:rsid w:val="0029099B"/>
    <w:rsid w:val="002A18FB"/>
    <w:rsid w:val="002B470E"/>
    <w:rsid w:val="002C29F0"/>
    <w:rsid w:val="002C46EF"/>
    <w:rsid w:val="002C79FA"/>
    <w:rsid w:val="002E1338"/>
    <w:rsid w:val="002F357A"/>
    <w:rsid w:val="002F3E4D"/>
    <w:rsid w:val="00307280"/>
    <w:rsid w:val="003119F0"/>
    <w:rsid w:val="00321C30"/>
    <w:rsid w:val="00321D79"/>
    <w:rsid w:val="00325BB4"/>
    <w:rsid w:val="00344B9B"/>
    <w:rsid w:val="0035449F"/>
    <w:rsid w:val="00361829"/>
    <w:rsid w:val="00393879"/>
    <w:rsid w:val="003B1FFE"/>
    <w:rsid w:val="003C0F88"/>
    <w:rsid w:val="00406395"/>
    <w:rsid w:val="0040780B"/>
    <w:rsid w:val="004124CA"/>
    <w:rsid w:val="004141CD"/>
    <w:rsid w:val="0041447E"/>
    <w:rsid w:val="004152B8"/>
    <w:rsid w:val="004226E3"/>
    <w:rsid w:val="0043623C"/>
    <w:rsid w:val="0044320D"/>
    <w:rsid w:val="004527C1"/>
    <w:rsid w:val="00461609"/>
    <w:rsid w:val="00467FB6"/>
    <w:rsid w:val="00472830"/>
    <w:rsid w:val="00493C1E"/>
    <w:rsid w:val="00496EAA"/>
    <w:rsid w:val="004A3D06"/>
    <w:rsid w:val="004A592B"/>
    <w:rsid w:val="004A5946"/>
    <w:rsid w:val="004B17EC"/>
    <w:rsid w:val="004B43E0"/>
    <w:rsid w:val="004C668B"/>
    <w:rsid w:val="004D4971"/>
    <w:rsid w:val="004D4CBD"/>
    <w:rsid w:val="004F3FFD"/>
    <w:rsid w:val="005037AD"/>
    <w:rsid w:val="005078CE"/>
    <w:rsid w:val="00510079"/>
    <w:rsid w:val="005223BA"/>
    <w:rsid w:val="00545893"/>
    <w:rsid w:val="00555F34"/>
    <w:rsid w:val="005577A6"/>
    <w:rsid w:val="00567F0F"/>
    <w:rsid w:val="005900E0"/>
    <w:rsid w:val="005A36E3"/>
    <w:rsid w:val="005C0FE2"/>
    <w:rsid w:val="005D405C"/>
    <w:rsid w:val="005D51B3"/>
    <w:rsid w:val="005E6E8B"/>
    <w:rsid w:val="005F7F2A"/>
    <w:rsid w:val="00605354"/>
    <w:rsid w:val="0061379F"/>
    <w:rsid w:val="00626228"/>
    <w:rsid w:val="00640AEB"/>
    <w:rsid w:val="00646DE7"/>
    <w:rsid w:val="00651472"/>
    <w:rsid w:val="00656059"/>
    <w:rsid w:val="006601B4"/>
    <w:rsid w:val="00683B5C"/>
    <w:rsid w:val="00692F40"/>
    <w:rsid w:val="006B2E7D"/>
    <w:rsid w:val="006E1BA1"/>
    <w:rsid w:val="006E29A3"/>
    <w:rsid w:val="006E4CF7"/>
    <w:rsid w:val="006E7ACE"/>
    <w:rsid w:val="006F6580"/>
    <w:rsid w:val="006F6DD9"/>
    <w:rsid w:val="00710F92"/>
    <w:rsid w:val="00712EED"/>
    <w:rsid w:val="007345EE"/>
    <w:rsid w:val="00744773"/>
    <w:rsid w:val="0075343A"/>
    <w:rsid w:val="00753FEA"/>
    <w:rsid w:val="0076279B"/>
    <w:rsid w:val="007667D0"/>
    <w:rsid w:val="00772E80"/>
    <w:rsid w:val="00775C9F"/>
    <w:rsid w:val="007A247A"/>
    <w:rsid w:val="007A31B7"/>
    <w:rsid w:val="007A46C9"/>
    <w:rsid w:val="007C0865"/>
    <w:rsid w:val="007C30A8"/>
    <w:rsid w:val="007C43E6"/>
    <w:rsid w:val="007C5352"/>
    <w:rsid w:val="007E3C02"/>
    <w:rsid w:val="007F25A1"/>
    <w:rsid w:val="00811D17"/>
    <w:rsid w:val="00817F50"/>
    <w:rsid w:val="00824EB8"/>
    <w:rsid w:val="0083073E"/>
    <w:rsid w:val="00830818"/>
    <w:rsid w:val="008448EB"/>
    <w:rsid w:val="00847272"/>
    <w:rsid w:val="0086148A"/>
    <w:rsid w:val="008706BB"/>
    <w:rsid w:val="0087670F"/>
    <w:rsid w:val="0088488E"/>
    <w:rsid w:val="008918C4"/>
    <w:rsid w:val="008920C2"/>
    <w:rsid w:val="00896273"/>
    <w:rsid w:val="008A0416"/>
    <w:rsid w:val="008A0B2C"/>
    <w:rsid w:val="008A2334"/>
    <w:rsid w:val="008A334D"/>
    <w:rsid w:val="008A3535"/>
    <w:rsid w:val="008A79C5"/>
    <w:rsid w:val="008B2BFA"/>
    <w:rsid w:val="008C02F8"/>
    <w:rsid w:val="008C4635"/>
    <w:rsid w:val="008D3495"/>
    <w:rsid w:val="008E09B0"/>
    <w:rsid w:val="008F1ED9"/>
    <w:rsid w:val="008F36A2"/>
    <w:rsid w:val="008F470F"/>
    <w:rsid w:val="008F7625"/>
    <w:rsid w:val="00902767"/>
    <w:rsid w:val="009065F5"/>
    <w:rsid w:val="0092304B"/>
    <w:rsid w:val="00935516"/>
    <w:rsid w:val="00965BEE"/>
    <w:rsid w:val="00966C88"/>
    <w:rsid w:val="00970475"/>
    <w:rsid w:val="00984234"/>
    <w:rsid w:val="00991E89"/>
    <w:rsid w:val="009A38D1"/>
    <w:rsid w:val="009A5A1A"/>
    <w:rsid w:val="009B1A4B"/>
    <w:rsid w:val="009B1F36"/>
    <w:rsid w:val="009B2C34"/>
    <w:rsid w:val="009F6394"/>
    <w:rsid w:val="00A041B5"/>
    <w:rsid w:val="00A113B4"/>
    <w:rsid w:val="00A11754"/>
    <w:rsid w:val="00A16E23"/>
    <w:rsid w:val="00A17E6B"/>
    <w:rsid w:val="00A20C7D"/>
    <w:rsid w:val="00A23308"/>
    <w:rsid w:val="00A27C7E"/>
    <w:rsid w:val="00A31C3F"/>
    <w:rsid w:val="00A36D61"/>
    <w:rsid w:val="00A40F1F"/>
    <w:rsid w:val="00A41507"/>
    <w:rsid w:val="00A54BAC"/>
    <w:rsid w:val="00A662F7"/>
    <w:rsid w:val="00A82B3B"/>
    <w:rsid w:val="00AA648D"/>
    <w:rsid w:val="00AB3064"/>
    <w:rsid w:val="00AB6EE8"/>
    <w:rsid w:val="00AB6F1B"/>
    <w:rsid w:val="00AC3DFD"/>
    <w:rsid w:val="00AC415B"/>
    <w:rsid w:val="00AE3F7B"/>
    <w:rsid w:val="00AE66F4"/>
    <w:rsid w:val="00AF5940"/>
    <w:rsid w:val="00B056AE"/>
    <w:rsid w:val="00B14420"/>
    <w:rsid w:val="00B24AF0"/>
    <w:rsid w:val="00B30626"/>
    <w:rsid w:val="00B437E7"/>
    <w:rsid w:val="00B44AFF"/>
    <w:rsid w:val="00B472FB"/>
    <w:rsid w:val="00B52EC4"/>
    <w:rsid w:val="00B55FCC"/>
    <w:rsid w:val="00B575FF"/>
    <w:rsid w:val="00B74A37"/>
    <w:rsid w:val="00B8173B"/>
    <w:rsid w:val="00B832E1"/>
    <w:rsid w:val="00B97605"/>
    <w:rsid w:val="00BA6BD8"/>
    <w:rsid w:val="00BB03D8"/>
    <w:rsid w:val="00BC3175"/>
    <w:rsid w:val="00BE0062"/>
    <w:rsid w:val="00BE3F12"/>
    <w:rsid w:val="00BE7061"/>
    <w:rsid w:val="00BF03A0"/>
    <w:rsid w:val="00C17AAA"/>
    <w:rsid w:val="00C21822"/>
    <w:rsid w:val="00C312B1"/>
    <w:rsid w:val="00C314B9"/>
    <w:rsid w:val="00C4721C"/>
    <w:rsid w:val="00C64F0A"/>
    <w:rsid w:val="00C859CC"/>
    <w:rsid w:val="00C91086"/>
    <w:rsid w:val="00CA27CB"/>
    <w:rsid w:val="00CA4D0A"/>
    <w:rsid w:val="00CA6569"/>
    <w:rsid w:val="00D11A8F"/>
    <w:rsid w:val="00D60F8D"/>
    <w:rsid w:val="00D9226E"/>
    <w:rsid w:val="00D960EA"/>
    <w:rsid w:val="00DA18A6"/>
    <w:rsid w:val="00DA7A73"/>
    <w:rsid w:val="00DB6C85"/>
    <w:rsid w:val="00DC0E6C"/>
    <w:rsid w:val="00DC487B"/>
    <w:rsid w:val="00DD200A"/>
    <w:rsid w:val="00DE39D6"/>
    <w:rsid w:val="00DE5AF9"/>
    <w:rsid w:val="00DE660D"/>
    <w:rsid w:val="00DF02D0"/>
    <w:rsid w:val="00E0120F"/>
    <w:rsid w:val="00E0319B"/>
    <w:rsid w:val="00E045FE"/>
    <w:rsid w:val="00E1349F"/>
    <w:rsid w:val="00E17C1E"/>
    <w:rsid w:val="00E21769"/>
    <w:rsid w:val="00E34000"/>
    <w:rsid w:val="00E43125"/>
    <w:rsid w:val="00E52941"/>
    <w:rsid w:val="00E551E6"/>
    <w:rsid w:val="00E612F7"/>
    <w:rsid w:val="00E6682A"/>
    <w:rsid w:val="00E739DE"/>
    <w:rsid w:val="00E86748"/>
    <w:rsid w:val="00E95219"/>
    <w:rsid w:val="00E95BF8"/>
    <w:rsid w:val="00EC464E"/>
    <w:rsid w:val="00ED6CF3"/>
    <w:rsid w:val="00EF2A21"/>
    <w:rsid w:val="00F006A3"/>
    <w:rsid w:val="00F02101"/>
    <w:rsid w:val="00F11575"/>
    <w:rsid w:val="00F11C20"/>
    <w:rsid w:val="00F142CA"/>
    <w:rsid w:val="00F21094"/>
    <w:rsid w:val="00F468F8"/>
    <w:rsid w:val="00F66382"/>
    <w:rsid w:val="00F80F37"/>
    <w:rsid w:val="00F832E2"/>
    <w:rsid w:val="00F840B6"/>
    <w:rsid w:val="00F93CC1"/>
    <w:rsid w:val="00FA3EC1"/>
    <w:rsid w:val="00FB1B99"/>
    <w:rsid w:val="00FB3766"/>
    <w:rsid w:val="00FC5715"/>
    <w:rsid w:val="00FD686B"/>
    <w:rsid w:val="00FE3C75"/>
    <w:rsid w:val="00FE66F6"/>
    <w:rsid w:val="00FE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8CC6FB-3FE8-48DC-B331-09EEE8E6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78CE"/>
    <w:pPr>
      <w:ind w:firstLine="567"/>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F78D1"/>
    <w:pPr>
      <w:keepNext/>
      <w:keepLines/>
      <w:numPr>
        <w:numId w:val="2"/>
      </w:numPr>
      <w:spacing w:before="240"/>
      <w:ind w:left="357" w:hanging="357"/>
      <w:outlineLvl w:val="0"/>
    </w:pPr>
    <w:rPr>
      <w:rFonts w:eastAsia="Times New Roman"/>
      <w:b/>
      <w:szCs w:val="32"/>
    </w:rPr>
  </w:style>
  <w:style w:type="paragraph" w:styleId="Ttulo2">
    <w:name w:val="heading 2"/>
    <w:basedOn w:val="Normal"/>
    <w:next w:val="Normal"/>
    <w:link w:val="Ttulo2Char"/>
    <w:uiPriority w:val="9"/>
    <w:unhideWhenUsed/>
    <w:qFormat/>
    <w:rsid w:val="001F78D1"/>
    <w:pPr>
      <w:keepNext/>
      <w:keepLines/>
      <w:numPr>
        <w:ilvl w:val="1"/>
        <w:numId w:val="2"/>
      </w:numPr>
      <w:spacing w:before="40"/>
      <w:ind w:left="357" w:hanging="357"/>
      <w:outlineLvl w:val="1"/>
    </w:pPr>
    <w:rPr>
      <w:rFonts w:eastAsia="Times New Roman"/>
      <w:b/>
      <w:szCs w:val="26"/>
    </w:rPr>
  </w:style>
  <w:style w:type="paragraph" w:styleId="Ttulo3">
    <w:name w:val="heading 3"/>
    <w:basedOn w:val="Normal"/>
    <w:next w:val="Normal"/>
    <w:link w:val="Ttulo3Char"/>
    <w:uiPriority w:val="9"/>
    <w:semiHidden/>
    <w:unhideWhenUsed/>
    <w:qFormat/>
    <w:rsid w:val="001B70E9"/>
    <w:pPr>
      <w:keepNext/>
      <w:keepLines/>
      <w:numPr>
        <w:ilvl w:val="2"/>
        <w:numId w:val="2"/>
      </w:numPr>
      <w:spacing w:before="40"/>
      <w:outlineLvl w:val="2"/>
    </w:pPr>
    <w:rPr>
      <w:rFonts w:ascii="Calibri Light" w:eastAsia="Times New Roman" w:hAnsi="Calibri Light"/>
      <w:color w:val="1F3763"/>
      <w:szCs w:val="24"/>
    </w:rPr>
  </w:style>
  <w:style w:type="paragraph" w:styleId="Ttulo4">
    <w:name w:val="heading 4"/>
    <w:basedOn w:val="Normal"/>
    <w:next w:val="Normal"/>
    <w:link w:val="Ttulo4Char"/>
    <w:uiPriority w:val="9"/>
    <w:semiHidden/>
    <w:unhideWhenUsed/>
    <w:qFormat/>
    <w:rsid w:val="001B70E9"/>
    <w:pPr>
      <w:keepNext/>
      <w:keepLines/>
      <w:numPr>
        <w:ilvl w:val="3"/>
        <w:numId w:val="2"/>
      </w:numPr>
      <w:spacing w:before="40"/>
      <w:outlineLvl w:val="3"/>
    </w:pPr>
    <w:rPr>
      <w:rFonts w:ascii="Calibri Light" w:eastAsia="Times New Roman" w:hAnsi="Calibri Light"/>
      <w:i/>
      <w:iCs/>
      <w:color w:val="2F5496"/>
    </w:rPr>
  </w:style>
  <w:style w:type="paragraph" w:styleId="Ttulo5">
    <w:name w:val="heading 5"/>
    <w:basedOn w:val="Normal"/>
    <w:next w:val="Normal"/>
    <w:link w:val="Ttulo5Char"/>
    <w:uiPriority w:val="9"/>
    <w:semiHidden/>
    <w:unhideWhenUsed/>
    <w:qFormat/>
    <w:rsid w:val="001B70E9"/>
    <w:pPr>
      <w:keepNext/>
      <w:keepLines/>
      <w:numPr>
        <w:ilvl w:val="4"/>
        <w:numId w:val="2"/>
      </w:numPr>
      <w:spacing w:before="40"/>
      <w:outlineLvl w:val="4"/>
    </w:pPr>
    <w:rPr>
      <w:rFonts w:ascii="Calibri Light" w:eastAsia="Times New Roman" w:hAnsi="Calibri Light"/>
      <w:color w:val="2F5496"/>
    </w:rPr>
  </w:style>
  <w:style w:type="paragraph" w:styleId="Ttulo6">
    <w:name w:val="heading 6"/>
    <w:basedOn w:val="Normal"/>
    <w:next w:val="Normal"/>
    <w:link w:val="Ttulo6Char"/>
    <w:uiPriority w:val="9"/>
    <w:semiHidden/>
    <w:unhideWhenUsed/>
    <w:qFormat/>
    <w:rsid w:val="001B70E9"/>
    <w:pPr>
      <w:keepNext/>
      <w:keepLines/>
      <w:numPr>
        <w:ilvl w:val="5"/>
        <w:numId w:val="2"/>
      </w:numPr>
      <w:spacing w:before="40"/>
      <w:outlineLvl w:val="5"/>
    </w:pPr>
    <w:rPr>
      <w:rFonts w:ascii="Calibri Light" w:eastAsia="Times New Roman" w:hAnsi="Calibri Light"/>
      <w:color w:val="1F3763"/>
    </w:rPr>
  </w:style>
  <w:style w:type="paragraph" w:styleId="Ttulo7">
    <w:name w:val="heading 7"/>
    <w:basedOn w:val="Normal"/>
    <w:next w:val="Normal"/>
    <w:link w:val="Ttulo7Char"/>
    <w:uiPriority w:val="9"/>
    <w:semiHidden/>
    <w:unhideWhenUsed/>
    <w:qFormat/>
    <w:rsid w:val="001B70E9"/>
    <w:pPr>
      <w:keepNext/>
      <w:keepLines/>
      <w:numPr>
        <w:ilvl w:val="6"/>
        <w:numId w:val="2"/>
      </w:numPr>
      <w:spacing w:before="40"/>
      <w:outlineLvl w:val="6"/>
    </w:pPr>
    <w:rPr>
      <w:rFonts w:ascii="Calibri Light" w:eastAsia="Times New Roman" w:hAnsi="Calibri Light"/>
      <w:i/>
      <w:iCs/>
      <w:color w:val="1F3763"/>
    </w:rPr>
  </w:style>
  <w:style w:type="paragraph" w:styleId="Ttulo8">
    <w:name w:val="heading 8"/>
    <w:basedOn w:val="Normal"/>
    <w:next w:val="Normal"/>
    <w:link w:val="Ttulo8Char"/>
    <w:uiPriority w:val="9"/>
    <w:semiHidden/>
    <w:unhideWhenUsed/>
    <w:qFormat/>
    <w:rsid w:val="001B70E9"/>
    <w:pPr>
      <w:keepNext/>
      <w:keepLines/>
      <w:numPr>
        <w:ilvl w:val="7"/>
        <w:numId w:val="2"/>
      </w:numPr>
      <w:spacing w:before="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1B70E9"/>
    <w:pPr>
      <w:keepNext/>
      <w:keepLines/>
      <w:numPr>
        <w:ilvl w:val="8"/>
        <w:numId w:val="2"/>
      </w:numPr>
      <w:spacing w:before="40"/>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F78D1"/>
    <w:rPr>
      <w:rFonts w:ascii="Times New Roman" w:eastAsia="Times New Roman" w:hAnsi="Times New Roman" w:cs="Times New Roman"/>
      <w:b/>
      <w:sz w:val="24"/>
      <w:szCs w:val="32"/>
    </w:rPr>
  </w:style>
  <w:style w:type="character" w:customStyle="1" w:styleId="Ttulo2Char">
    <w:name w:val="Título 2 Char"/>
    <w:link w:val="Ttulo2"/>
    <w:uiPriority w:val="9"/>
    <w:rsid w:val="001F78D1"/>
    <w:rPr>
      <w:rFonts w:ascii="Times New Roman" w:eastAsia="Times New Roman" w:hAnsi="Times New Roman" w:cs="Times New Roman"/>
      <w:b/>
      <w:sz w:val="24"/>
      <w:szCs w:val="26"/>
    </w:rPr>
  </w:style>
  <w:style w:type="character" w:customStyle="1" w:styleId="Ttulo3Char">
    <w:name w:val="Título 3 Char"/>
    <w:link w:val="Ttulo3"/>
    <w:uiPriority w:val="9"/>
    <w:semiHidden/>
    <w:rsid w:val="001B70E9"/>
    <w:rPr>
      <w:rFonts w:ascii="Calibri Light" w:eastAsia="Times New Roman" w:hAnsi="Calibri Light" w:cs="Times New Roman"/>
      <w:color w:val="1F3763"/>
      <w:sz w:val="24"/>
      <w:szCs w:val="24"/>
    </w:rPr>
  </w:style>
  <w:style w:type="character" w:customStyle="1" w:styleId="Ttulo4Char">
    <w:name w:val="Título 4 Char"/>
    <w:link w:val="Ttulo4"/>
    <w:uiPriority w:val="9"/>
    <w:semiHidden/>
    <w:rsid w:val="001B70E9"/>
    <w:rPr>
      <w:rFonts w:ascii="Calibri Light" w:eastAsia="Times New Roman" w:hAnsi="Calibri Light" w:cs="Times New Roman"/>
      <w:i/>
      <w:iCs/>
      <w:color w:val="2F5496"/>
      <w:sz w:val="24"/>
    </w:rPr>
  </w:style>
  <w:style w:type="character" w:customStyle="1" w:styleId="Ttulo5Char">
    <w:name w:val="Título 5 Char"/>
    <w:link w:val="Ttulo5"/>
    <w:uiPriority w:val="9"/>
    <w:semiHidden/>
    <w:rsid w:val="001B70E9"/>
    <w:rPr>
      <w:rFonts w:ascii="Calibri Light" w:eastAsia="Times New Roman" w:hAnsi="Calibri Light" w:cs="Times New Roman"/>
      <w:color w:val="2F5496"/>
      <w:sz w:val="24"/>
    </w:rPr>
  </w:style>
  <w:style w:type="character" w:customStyle="1" w:styleId="Ttulo6Char">
    <w:name w:val="Título 6 Char"/>
    <w:link w:val="Ttulo6"/>
    <w:uiPriority w:val="9"/>
    <w:semiHidden/>
    <w:rsid w:val="001B70E9"/>
    <w:rPr>
      <w:rFonts w:ascii="Calibri Light" w:eastAsia="Times New Roman" w:hAnsi="Calibri Light" w:cs="Times New Roman"/>
      <w:color w:val="1F3763"/>
      <w:sz w:val="24"/>
    </w:rPr>
  </w:style>
  <w:style w:type="character" w:customStyle="1" w:styleId="Ttulo7Char">
    <w:name w:val="Título 7 Char"/>
    <w:link w:val="Ttulo7"/>
    <w:uiPriority w:val="9"/>
    <w:semiHidden/>
    <w:rsid w:val="001B70E9"/>
    <w:rPr>
      <w:rFonts w:ascii="Calibri Light" w:eastAsia="Times New Roman" w:hAnsi="Calibri Light" w:cs="Times New Roman"/>
      <w:i/>
      <w:iCs/>
      <w:color w:val="1F3763"/>
      <w:sz w:val="24"/>
    </w:rPr>
  </w:style>
  <w:style w:type="character" w:customStyle="1" w:styleId="Ttulo8Char">
    <w:name w:val="Título 8 Char"/>
    <w:link w:val="Ttulo8"/>
    <w:uiPriority w:val="9"/>
    <w:semiHidden/>
    <w:rsid w:val="001B70E9"/>
    <w:rPr>
      <w:rFonts w:ascii="Calibri Light" w:eastAsia="Times New Roman" w:hAnsi="Calibri Light" w:cs="Times New Roman"/>
      <w:color w:val="272727"/>
      <w:sz w:val="21"/>
      <w:szCs w:val="21"/>
    </w:rPr>
  </w:style>
  <w:style w:type="character" w:customStyle="1" w:styleId="Ttulo9Char">
    <w:name w:val="Título 9 Char"/>
    <w:link w:val="Ttulo9"/>
    <w:uiPriority w:val="9"/>
    <w:semiHidden/>
    <w:rsid w:val="001B70E9"/>
    <w:rPr>
      <w:rFonts w:ascii="Calibri Light" w:eastAsia="Times New Roman" w:hAnsi="Calibri Light" w:cs="Times New Roman"/>
      <w:i/>
      <w:iCs/>
      <w:color w:val="272727"/>
      <w:sz w:val="21"/>
      <w:szCs w:val="21"/>
    </w:rPr>
  </w:style>
  <w:style w:type="table" w:styleId="Tabelacomgrade">
    <w:name w:val="Table Grid"/>
    <w:basedOn w:val="Tabelanormal"/>
    <w:uiPriority w:val="39"/>
    <w:rsid w:val="009B1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1522AC"/>
    <w:pPr>
      <w:spacing w:after="200"/>
    </w:pPr>
    <w:rPr>
      <w:i/>
      <w:iCs/>
      <w:color w:val="44546A"/>
      <w:sz w:val="18"/>
      <w:szCs w:val="18"/>
    </w:rPr>
  </w:style>
  <w:style w:type="character" w:styleId="TextodoEspaoReservado">
    <w:name w:val="Placeholder Text"/>
    <w:uiPriority w:val="99"/>
    <w:semiHidden/>
    <w:rsid w:val="004A592B"/>
    <w:rPr>
      <w:color w:val="808080"/>
    </w:rPr>
  </w:style>
  <w:style w:type="paragraph" w:styleId="SemEspaamento">
    <w:name w:val="No Spacing"/>
    <w:uiPriority w:val="1"/>
    <w:qFormat/>
    <w:rsid w:val="002218AD"/>
    <w:pPr>
      <w:ind w:firstLine="709"/>
      <w:jc w:val="both"/>
    </w:pPr>
    <w:rPr>
      <w:rFonts w:ascii="Times New Roman" w:hAnsi="Times New Roman"/>
      <w:sz w:val="24"/>
      <w:szCs w:val="22"/>
      <w:lang w:eastAsia="en-US"/>
    </w:rPr>
  </w:style>
  <w:style w:type="character" w:styleId="Forte">
    <w:name w:val="Strong"/>
    <w:uiPriority w:val="22"/>
    <w:qFormat/>
    <w:rsid w:val="009B2C34"/>
    <w:rPr>
      <w:b/>
      <w:bCs/>
    </w:rPr>
  </w:style>
  <w:style w:type="paragraph" w:styleId="Bibliografia">
    <w:name w:val="Bibliography"/>
    <w:basedOn w:val="Normal"/>
    <w:next w:val="Normal"/>
    <w:uiPriority w:val="37"/>
    <w:unhideWhenUsed/>
    <w:rsid w:val="001D6109"/>
  </w:style>
  <w:style w:type="character" w:customStyle="1" w:styleId="apple-converted-space">
    <w:name w:val="apple-converted-space"/>
    <w:rsid w:val="006E4CF7"/>
  </w:style>
  <w:style w:type="character" w:styleId="Refdecomentrio">
    <w:name w:val="annotation reference"/>
    <w:uiPriority w:val="99"/>
    <w:semiHidden/>
    <w:unhideWhenUsed/>
    <w:rsid w:val="00935516"/>
    <w:rPr>
      <w:sz w:val="16"/>
      <w:szCs w:val="16"/>
    </w:rPr>
  </w:style>
  <w:style w:type="paragraph" w:styleId="Textodecomentrio">
    <w:name w:val="annotation text"/>
    <w:basedOn w:val="Normal"/>
    <w:link w:val="TextodecomentrioChar"/>
    <w:uiPriority w:val="99"/>
    <w:semiHidden/>
    <w:unhideWhenUsed/>
    <w:rsid w:val="00935516"/>
    <w:rPr>
      <w:sz w:val="20"/>
      <w:szCs w:val="20"/>
    </w:rPr>
  </w:style>
  <w:style w:type="character" w:customStyle="1" w:styleId="TextodecomentrioChar">
    <w:name w:val="Texto de comentário Char"/>
    <w:link w:val="Textodecomentrio"/>
    <w:uiPriority w:val="99"/>
    <w:semiHidden/>
    <w:rsid w:val="00935516"/>
    <w:rPr>
      <w:rFonts w:ascii="Times New Roman" w:hAnsi="Times New Roman"/>
      <w:lang w:eastAsia="en-US"/>
    </w:rPr>
  </w:style>
  <w:style w:type="paragraph" w:styleId="Textodebalo">
    <w:name w:val="Balloon Text"/>
    <w:basedOn w:val="Normal"/>
    <w:link w:val="TextodebaloChar"/>
    <w:uiPriority w:val="99"/>
    <w:semiHidden/>
    <w:unhideWhenUsed/>
    <w:rsid w:val="00AB6F1B"/>
    <w:rPr>
      <w:rFonts w:ascii="Segoe UI" w:hAnsi="Segoe UI" w:cs="Segoe UI"/>
      <w:sz w:val="18"/>
      <w:szCs w:val="18"/>
    </w:rPr>
  </w:style>
  <w:style w:type="character" w:customStyle="1" w:styleId="TextodebaloChar">
    <w:name w:val="Texto de balão Char"/>
    <w:link w:val="Textodebalo"/>
    <w:uiPriority w:val="99"/>
    <w:semiHidden/>
    <w:rsid w:val="00AB6F1B"/>
    <w:rPr>
      <w:rFonts w:ascii="Segoe UI" w:hAnsi="Segoe UI" w:cs="Segoe UI"/>
      <w:sz w:val="18"/>
      <w:szCs w:val="18"/>
      <w:lang w:eastAsia="en-US"/>
    </w:rPr>
  </w:style>
  <w:style w:type="paragraph" w:styleId="Cabealho">
    <w:name w:val="header"/>
    <w:basedOn w:val="Normal"/>
    <w:link w:val="CabealhoChar"/>
    <w:uiPriority w:val="99"/>
    <w:unhideWhenUsed/>
    <w:rsid w:val="005078CE"/>
    <w:pPr>
      <w:tabs>
        <w:tab w:val="center" w:pos="4252"/>
        <w:tab w:val="right" w:pos="8504"/>
      </w:tabs>
    </w:pPr>
  </w:style>
  <w:style w:type="character" w:customStyle="1" w:styleId="CabealhoChar">
    <w:name w:val="Cabeçalho Char"/>
    <w:link w:val="Cabealho"/>
    <w:uiPriority w:val="99"/>
    <w:rsid w:val="005078CE"/>
    <w:rPr>
      <w:rFonts w:ascii="Times New Roman" w:hAnsi="Times New Roman"/>
      <w:sz w:val="24"/>
      <w:szCs w:val="22"/>
      <w:lang w:eastAsia="en-US"/>
    </w:rPr>
  </w:style>
  <w:style w:type="paragraph" w:styleId="Rodap">
    <w:name w:val="footer"/>
    <w:basedOn w:val="Normal"/>
    <w:link w:val="RodapChar"/>
    <w:uiPriority w:val="99"/>
    <w:unhideWhenUsed/>
    <w:rsid w:val="005078CE"/>
    <w:pPr>
      <w:tabs>
        <w:tab w:val="center" w:pos="4252"/>
        <w:tab w:val="right" w:pos="8504"/>
      </w:tabs>
    </w:pPr>
  </w:style>
  <w:style w:type="character" w:customStyle="1" w:styleId="RodapChar">
    <w:name w:val="Rodapé Char"/>
    <w:link w:val="Rodap"/>
    <w:uiPriority w:val="99"/>
    <w:rsid w:val="005078CE"/>
    <w:rPr>
      <w:rFonts w:ascii="Times New Roman" w:hAnsi="Times New Roman"/>
      <w:sz w:val="24"/>
      <w:szCs w:val="22"/>
      <w:lang w:eastAsia="en-US"/>
    </w:rPr>
  </w:style>
  <w:style w:type="character" w:styleId="Hyperlink">
    <w:name w:val="Hyperlink"/>
    <w:basedOn w:val="Fontepargpadro"/>
    <w:uiPriority w:val="99"/>
    <w:unhideWhenUsed/>
    <w:rsid w:val="006B2E7D"/>
    <w:rPr>
      <w:color w:val="0563C1" w:themeColor="hyperlink"/>
      <w:u w:val="single"/>
    </w:rPr>
  </w:style>
  <w:style w:type="character" w:styleId="Meno">
    <w:name w:val="Mention"/>
    <w:basedOn w:val="Fontepargpadro"/>
    <w:uiPriority w:val="99"/>
    <w:semiHidden/>
    <w:unhideWhenUsed/>
    <w:rsid w:val="006B2E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259">
      <w:bodyDiv w:val="1"/>
      <w:marLeft w:val="0"/>
      <w:marRight w:val="0"/>
      <w:marTop w:val="0"/>
      <w:marBottom w:val="0"/>
      <w:divBdr>
        <w:top w:val="none" w:sz="0" w:space="0" w:color="auto"/>
        <w:left w:val="none" w:sz="0" w:space="0" w:color="auto"/>
        <w:bottom w:val="none" w:sz="0" w:space="0" w:color="auto"/>
        <w:right w:val="none" w:sz="0" w:space="0" w:color="auto"/>
      </w:divBdr>
    </w:div>
    <w:div w:id="10382210">
      <w:bodyDiv w:val="1"/>
      <w:marLeft w:val="0"/>
      <w:marRight w:val="0"/>
      <w:marTop w:val="0"/>
      <w:marBottom w:val="0"/>
      <w:divBdr>
        <w:top w:val="none" w:sz="0" w:space="0" w:color="auto"/>
        <w:left w:val="none" w:sz="0" w:space="0" w:color="auto"/>
        <w:bottom w:val="none" w:sz="0" w:space="0" w:color="auto"/>
        <w:right w:val="none" w:sz="0" w:space="0" w:color="auto"/>
      </w:divBdr>
    </w:div>
    <w:div w:id="31928119">
      <w:bodyDiv w:val="1"/>
      <w:marLeft w:val="0"/>
      <w:marRight w:val="0"/>
      <w:marTop w:val="0"/>
      <w:marBottom w:val="0"/>
      <w:divBdr>
        <w:top w:val="none" w:sz="0" w:space="0" w:color="auto"/>
        <w:left w:val="none" w:sz="0" w:space="0" w:color="auto"/>
        <w:bottom w:val="none" w:sz="0" w:space="0" w:color="auto"/>
        <w:right w:val="none" w:sz="0" w:space="0" w:color="auto"/>
      </w:divBdr>
    </w:div>
    <w:div w:id="38431951">
      <w:bodyDiv w:val="1"/>
      <w:marLeft w:val="0"/>
      <w:marRight w:val="0"/>
      <w:marTop w:val="0"/>
      <w:marBottom w:val="0"/>
      <w:divBdr>
        <w:top w:val="none" w:sz="0" w:space="0" w:color="auto"/>
        <w:left w:val="none" w:sz="0" w:space="0" w:color="auto"/>
        <w:bottom w:val="none" w:sz="0" w:space="0" w:color="auto"/>
        <w:right w:val="none" w:sz="0" w:space="0" w:color="auto"/>
      </w:divBdr>
    </w:div>
    <w:div w:id="44379488">
      <w:bodyDiv w:val="1"/>
      <w:marLeft w:val="0"/>
      <w:marRight w:val="0"/>
      <w:marTop w:val="0"/>
      <w:marBottom w:val="0"/>
      <w:divBdr>
        <w:top w:val="none" w:sz="0" w:space="0" w:color="auto"/>
        <w:left w:val="none" w:sz="0" w:space="0" w:color="auto"/>
        <w:bottom w:val="none" w:sz="0" w:space="0" w:color="auto"/>
        <w:right w:val="none" w:sz="0" w:space="0" w:color="auto"/>
      </w:divBdr>
    </w:div>
    <w:div w:id="49355016">
      <w:bodyDiv w:val="1"/>
      <w:marLeft w:val="0"/>
      <w:marRight w:val="0"/>
      <w:marTop w:val="0"/>
      <w:marBottom w:val="0"/>
      <w:divBdr>
        <w:top w:val="none" w:sz="0" w:space="0" w:color="auto"/>
        <w:left w:val="none" w:sz="0" w:space="0" w:color="auto"/>
        <w:bottom w:val="none" w:sz="0" w:space="0" w:color="auto"/>
        <w:right w:val="none" w:sz="0" w:space="0" w:color="auto"/>
      </w:divBdr>
    </w:div>
    <w:div w:id="52117435">
      <w:bodyDiv w:val="1"/>
      <w:marLeft w:val="0"/>
      <w:marRight w:val="0"/>
      <w:marTop w:val="0"/>
      <w:marBottom w:val="0"/>
      <w:divBdr>
        <w:top w:val="none" w:sz="0" w:space="0" w:color="auto"/>
        <w:left w:val="none" w:sz="0" w:space="0" w:color="auto"/>
        <w:bottom w:val="none" w:sz="0" w:space="0" w:color="auto"/>
        <w:right w:val="none" w:sz="0" w:space="0" w:color="auto"/>
      </w:divBdr>
    </w:div>
    <w:div w:id="64375148">
      <w:bodyDiv w:val="1"/>
      <w:marLeft w:val="0"/>
      <w:marRight w:val="0"/>
      <w:marTop w:val="0"/>
      <w:marBottom w:val="0"/>
      <w:divBdr>
        <w:top w:val="none" w:sz="0" w:space="0" w:color="auto"/>
        <w:left w:val="none" w:sz="0" w:space="0" w:color="auto"/>
        <w:bottom w:val="none" w:sz="0" w:space="0" w:color="auto"/>
        <w:right w:val="none" w:sz="0" w:space="0" w:color="auto"/>
      </w:divBdr>
    </w:div>
    <w:div w:id="77486269">
      <w:bodyDiv w:val="1"/>
      <w:marLeft w:val="0"/>
      <w:marRight w:val="0"/>
      <w:marTop w:val="0"/>
      <w:marBottom w:val="0"/>
      <w:divBdr>
        <w:top w:val="none" w:sz="0" w:space="0" w:color="auto"/>
        <w:left w:val="none" w:sz="0" w:space="0" w:color="auto"/>
        <w:bottom w:val="none" w:sz="0" w:space="0" w:color="auto"/>
        <w:right w:val="none" w:sz="0" w:space="0" w:color="auto"/>
      </w:divBdr>
    </w:div>
    <w:div w:id="89088586">
      <w:bodyDiv w:val="1"/>
      <w:marLeft w:val="0"/>
      <w:marRight w:val="0"/>
      <w:marTop w:val="0"/>
      <w:marBottom w:val="0"/>
      <w:divBdr>
        <w:top w:val="none" w:sz="0" w:space="0" w:color="auto"/>
        <w:left w:val="none" w:sz="0" w:space="0" w:color="auto"/>
        <w:bottom w:val="none" w:sz="0" w:space="0" w:color="auto"/>
        <w:right w:val="none" w:sz="0" w:space="0" w:color="auto"/>
      </w:divBdr>
    </w:div>
    <w:div w:id="91557641">
      <w:bodyDiv w:val="1"/>
      <w:marLeft w:val="0"/>
      <w:marRight w:val="0"/>
      <w:marTop w:val="0"/>
      <w:marBottom w:val="0"/>
      <w:divBdr>
        <w:top w:val="none" w:sz="0" w:space="0" w:color="auto"/>
        <w:left w:val="none" w:sz="0" w:space="0" w:color="auto"/>
        <w:bottom w:val="none" w:sz="0" w:space="0" w:color="auto"/>
        <w:right w:val="none" w:sz="0" w:space="0" w:color="auto"/>
      </w:divBdr>
    </w:div>
    <w:div w:id="93475401">
      <w:bodyDiv w:val="1"/>
      <w:marLeft w:val="0"/>
      <w:marRight w:val="0"/>
      <w:marTop w:val="0"/>
      <w:marBottom w:val="0"/>
      <w:divBdr>
        <w:top w:val="none" w:sz="0" w:space="0" w:color="auto"/>
        <w:left w:val="none" w:sz="0" w:space="0" w:color="auto"/>
        <w:bottom w:val="none" w:sz="0" w:space="0" w:color="auto"/>
        <w:right w:val="none" w:sz="0" w:space="0" w:color="auto"/>
      </w:divBdr>
    </w:div>
    <w:div w:id="94177540">
      <w:bodyDiv w:val="1"/>
      <w:marLeft w:val="0"/>
      <w:marRight w:val="0"/>
      <w:marTop w:val="0"/>
      <w:marBottom w:val="0"/>
      <w:divBdr>
        <w:top w:val="none" w:sz="0" w:space="0" w:color="auto"/>
        <w:left w:val="none" w:sz="0" w:space="0" w:color="auto"/>
        <w:bottom w:val="none" w:sz="0" w:space="0" w:color="auto"/>
        <w:right w:val="none" w:sz="0" w:space="0" w:color="auto"/>
      </w:divBdr>
    </w:div>
    <w:div w:id="98960693">
      <w:bodyDiv w:val="1"/>
      <w:marLeft w:val="0"/>
      <w:marRight w:val="0"/>
      <w:marTop w:val="0"/>
      <w:marBottom w:val="0"/>
      <w:divBdr>
        <w:top w:val="none" w:sz="0" w:space="0" w:color="auto"/>
        <w:left w:val="none" w:sz="0" w:space="0" w:color="auto"/>
        <w:bottom w:val="none" w:sz="0" w:space="0" w:color="auto"/>
        <w:right w:val="none" w:sz="0" w:space="0" w:color="auto"/>
      </w:divBdr>
    </w:div>
    <w:div w:id="123274645">
      <w:bodyDiv w:val="1"/>
      <w:marLeft w:val="0"/>
      <w:marRight w:val="0"/>
      <w:marTop w:val="0"/>
      <w:marBottom w:val="0"/>
      <w:divBdr>
        <w:top w:val="none" w:sz="0" w:space="0" w:color="auto"/>
        <w:left w:val="none" w:sz="0" w:space="0" w:color="auto"/>
        <w:bottom w:val="none" w:sz="0" w:space="0" w:color="auto"/>
        <w:right w:val="none" w:sz="0" w:space="0" w:color="auto"/>
      </w:divBdr>
    </w:div>
    <w:div w:id="124129859">
      <w:bodyDiv w:val="1"/>
      <w:marLeft w:val="0"/>
      <w:marRight w:val="0"/>
      <w:marTop w:val="0"/>
      <w:marBottom w:val="0"/>
      <w:divBdr>
        <w:top w:val="none" w:sz="0" w:space="0" w:color="auto"/>
        <w:left w:val="none" w:sz="0" w:space="0" w:color="auto"/>
        <w:bottom w:val="none" w:sz="0" w:space="0" w:color="auto"/>
        <w:right w:val="none" w:sz="0" w:space="0" w:color="auto"/>
      </w:divBdr>
    </w:div>
    <w:div w:id="129906338">
      <w:bodyDiv w:val="1"/>
      <w:marLeft w:val="0"/>
      <w:marRight w:val="0"/>
      <w:marTop w:val="0"/>
      <w:marBottom w:val="0"/>
      <w:divBdr>
        <w:top w:val="none" w:sz="0" w:space="0" w:color="auto"/>
        <w:left w:val="none" w:sz="0" w:space="0" w:color="auto"/>
        <w:bottom w:val="none" w:sz="0" w:space="0" w:color="auto"/>
        <w:right w:val="none" w:sz="0" w:space="0" w:color="auto"/>
      </w:divBdr>
    </w:div>
    <w:div w:id="133064240">
      <w:bodyDiv w:val="1"/>
      <w:marLeft w:val="0"/>
      <w:marRight w:val="0"/>
      <w:marTop w:val="0"/>
      <w:marBottom w:val="0"/>
      <w:divBdr>
        <w:top w:val="none" w:sz="0" w:space="0" w:color="auto"/>
        <w:left w:val="none" w:sz="0" w:space="0" w:color="auto"/>
        <w:bottom w:val="none" w:sz="0" w:space="0" w:color="auto"/>
        <w:right w:val="none" w:sz="0" w:space="0" w:color="auto"/>
      </w:divBdr>
    </w:div>
    <w:div w:id="142816890">
      <w:bodyDiv w:val="1"/>
      <w:marLeft w:val="0"/>
      <w:marRight w:val="0"/>
      <w:marTop w:val="0"/>
      <w:marBottom w:val="0"/>
      <w:divBdr>
        <w:top w:val="none" w:sz="0" w:space="0" w:color="auto"/>
        <w:left w:val="none" w:sz="0" w:space="0" w:color="auto"/>
        <w:bottom w:val="none" w:sz="0" w:space="0" w:color="auto"/>
        <w:right w:val="none" w:sz="0" w:space="0" w:color="auto"/>
      </w:divBdr>
    </w:div>
    <w:div w:id="152109264">
      <w:bodyDiv w:val="1"/>
      <w:marLeft w:val="0"/>
      <w:marRight w:val="0"/>
      <w:marTop w:val="0"/>
      <w:marBottom w:val="0"/>
      <w:divBdr>
        <w:top w:val="none" w:sz="0" w:space="0" w:color="auto"/>
        <w:left w:val="none" w:sz="0" w:space="0" w:color="auto"/>
        <w:bottom w:val="none" w:sz="0" w:space="0" w:color="auto"/>
        <w:right w:val="none" w:sz="0" w:space="0" w:color="auto"/>
      </w:divBdr>
    </w:div>
    <w:div w:id="154078447">
      <w:bodyDiv w:val="1"/>
      <w:marLeft w:val="0"/>
      <w:marRight w:val="0"/>
      <w:marTop w:val="0"/>
      <w:marBottom w:val="0"/>
      <w:divBdr>
        <w:top w:val="none" w:sz="0" w:space="0" w:color="auto"/>
        <w:left w:val="none" w:sz="0" w:space="0" w:color="auto"/>
        <w:bottom w:val="none" w:sz="0" w:space="0" w:color="auto"/>
        <w:right w:val="none" w:sz="0" w:space="0" w:color="auto"/>
      </w:divBdr>
    </w:div>
    <w:div w:id="174275123">
      <w:bodyDiv w:val="1"/>
      <w:marLeft w:val="0"/>
      <w:marRight w:val="0"/>
      <w:marTop w:val="0"/>
      <w:marBottom w:val="0"/>
      <w:divBdr>
        <w:top w:val="none" w:sz="0" w:space="0" w:color="auto"/>
        <w:left w:val="none" w:sz="0" w:space="0" w:color="auto"/>
        <w:bottom w:val="none" w:sz="0" w:space="0" w:color="auto"/>
        <w:right w:val="none" w:sz="0" w:space="0" w:color="auto"/>
      </w:divBdr>
    </w:div>
    <w:div w:id="186725738">
      <w:bodyDiv w:val="1"/>
      <w:marLeft w:val="0"/>
      <w:marRight w:val="0"/>
      <w:marTop w:val="0"/>
      <w:marBottom w:val="0"/>
      <w:divBdr>
        <w:top w:val="none" w:sz="0" w:space="0" w:color="auto"/>
        <w:left w:val="none" w:sz="0" w:space="0" w:color="auto"/>
        <w:bottom w:val="none" w:sz="0" w:space="0" w:color="auto"/>
        <w:right w:val="none" w:sz="0" w:space="0" w:color="auto"/>
      </w:divBdr>
    </w:div>
    <w:div w:id="189035187">
      <w:bodyDiv w:val="1"/>
      <w:marLeft w:val="0"/>
      <w:marRight w:val="0"/>
      <w:marTop w:val="0"/>
      <w:marBottom w:val="0"/>
      <w:divBdr>
        <w:top w:val="none" w:sz="0" w:space="0" w:color="auto"/>
        <w:left w:val="none" w:sz="0" w:space="0" w:color="auto"/>
        <w:bottom w:val="none" w:sz="0" w:space="0" w:color="auto"/>
        <w:right w:val="none" w:sz="0" w:space="0" w:color="auto"/>
      </w:divBdr>
    </w:div>
    <w:div w:id="191457062">
      <w:bodyDiv w:val="1"/>
      <w:marLeft w:val="0"/>
      <w:marRight w:val="0"/>
      <w:marTop w:val="0"/>
      <w:marBottom w:val="0"/>
      <w:divBdr>
        <w:top w:val="none" w:sz="0" w:space="0" w:color="auto"/>
        <w:left w:val="none" w:sz="0" w:space="0" w:color="auto"/>
        <w:bottom w:val="none" w:sz="0" w:space="0" w:color="auto"/>
        <w:right w:val="none" w:sz="0" w:space="0" w:color="auto"/>
      </w:divBdr>
    </w:div>
    <w:div w:id="191501498">
      <w:bodyDiv w:val="1"/>
      <w:marLeft w:val="0"/>
      <w:marRight w:val="0"/>
      <w:marTop w:val="0"/>
      <w:marBottom w:val="0"/>
      <w:divBdr>
        <w:top w:val="none" w:sz="0" w:space="0" w:color="auto"/>
        <w:left w:val="none" w:sz="0" w:space="0" w:color="auto"/>
        <w:bottom w:val="none" w:sz="0" w:space="0" w:color="auto"/>
        <w:right w:val="none" w:sz="0" w:space="0" w:color="auto"/>
      </w:divBdr>
    </w:div>
    <w:div w:id="201795868">
      <w:bodyDiv w:val="1"/>
      <w:marLeft w:val="0"/>
      <w:marRight w:val="0"/>
      <w:marTop w:val="0"/>
      <w:marBottom w:val="0"/>
      <w:divBdr>
        <w:top w:val="none" w:sz="0" w:space="0" w:color="auto"/>
        <w:left w:val="none" w:sz="0" w:space="0" w:color="auto"/>
        <w:bottom w:val="none" w:sz="0" w:space="0" w:color="auto"/>
        <w:right w:val="none" w:sz="0" w:space="0" w:color="auto"/>
      </w:divBdr>
    </w:div>
    <w:div w:id="204951441">
      <w:bodyDiv w:val="1"/>
      <w:marLeft w:val="0"/>
      <w:marRight w:val="0"/>
      <w:marTop w:val="0"/>
      <w:marBottom w:val="0"/>
      <w:divBdr>
        <w:top w:val="none" w:sz="0" w:space="0" w:color="auto"/>
        <w:left w:val="none" w:sz="0" w:space="0" w:color="auto"/>
        <w:bottom w:val="none" w:sz="0" w:space="0" w:color="auto"/>
        <w:right w:val="none" w:sz="0" w:space="0" w:color="auto"/>
      </w:divBdr>
    </w:div>
    <w:div w:id="207188198">
      <w:bodyDiv w:val="1"/>
      <w:marLeft w:val="0"/>
      <w:marRight w:val="0"/>
      <w:marTop w:val="0"/>
      <w:marBottom w:val="0"/>
      <w:divBdr>
        <w:top w:val="none" w:sz="0" w:space="0" w:color="auto"/>
        <w:left w:val="none" w:sz="0" w:space="0" w:color="auto"/>
        <w:bottom w:val="none" w:sz="0" w:space="0" w:color="auto"/>
        <w:right w:val="none" w:sz="0" w:space="0" w:color="auto"/>
      </w:divBdr>
    </w:div>
    <w:div w:id="236744475">
      <w:bodyDiv w:val="1"/>
      <w:marLeft w:val="0"/>
      <w:marRight w:val="0"/>
      <w:marTop w:val="0"/>
      <w:marBottom w:val="0"/>
      <w:divBdr>
        <w:top w:val="none" w:sz="0" w:space="0" w:color="auto"/>
        <w:left w:val="none" w:sz="0" w:space="0" w:color="auto"/>
        <w:bottom w:val="none" w:sz="0" w:space="0" w:color="auto"/>
        <w:right w:val="none" w:sz="0" w:space="0" w:color="auto"/>
      </w:divBdr>
    </w:div>
    <w:div w:id="243339804">
      <w:bodyDiv w:val="1"/>
      <w:marLeft w:val="0"/>
      <w:marRight w:val="0"/>
      <w:marTop w:val="0"/>
      <w:marBottom w:val="0"/>
      <w:divBdr>
        <w:top w:val="none" w:sz="0" w:space="0" w:color="auto"/>
        <w:left w:val="none" w:sz="0" w:space="0" w:color="auto"/>
        <w:bottom w:val="none" w:sz="0" w:space="0" w:color="auto"/>
        <w:right w:val="none" w:sz="0" w:space="0" w:color="auto"/>
      </w:divBdr>
    </w:div>
    <w:div w:id="244920182">
      <w:bodyDiv w:val="1"/>
      <w:marLeft w:val="0"/>
      <w:marRight w:val="0"/>
      <w:marTop w:val="0"/>
      <w:marBottom w:val="0"/>
      <w:divBdr>
        <w:top w:val="none" w:sz="0" w:space="0" w:color="auto"/>
        <w:left w:val="none" w:sz="0" w:space="0" w:color="auto"/>
        <w:bottom w:val="none" w:sz="0" w:space="0" w:color="auto"/>
        <w:right w:val="none" w:sz="0" w:space="0" w:color="auto"/>
      </w:divBdr>
    </w:div>
    <w:div w:id="250503628">
      <w:bodyDiv w:val="1"/>
      <w:marLeft w:val="0"/>
      <w:marRight w:val="0"/>
      <w:marTop w:val="0"/>
      <w:marBottom w:val="0"/>
      <w:divBdr>
        <w:top w:val="none" w:sz="0" w:space="0" w:color="auto"/>
        <w:left w:val="none" w:sz="0" w:space="0" w:color="auto"/>
        <w:bottom w:val="none" w:sz="0" w:space="0" w:color="auto"/>
        <w:right w:val="none" w:sz="0" w:space="0" w:color="auto"/>
      </w:divBdr>
    </w:div>
    <w:div w:id="253901357">
      <w:bodyDiv w:val="1"/>
      <w:marLeft w:val="0"/>
      <w:marRight w:val="0"/>
      <w:marTop w:val="0"/>
      <w:marBottom w:val="0"/>
      <w:divBdr>
        <w:top w:val="none" w:sz="0" w:space="0" w:color="auto"/>
        <w:left w:val="none" w:sz="0" w:space="0" w:color="auto"/>
        <w:bottom w:val="none" w:sz="0" w:space="0" w:color="auto"/>
        <w:right w:val="none" w:sz="0" w:space="0" w:color="auto"/>
      </w:divBdr>
    </w:div>
    <w:div w:id="255137483">
      <w:bodyDiv w:val="1"/>
      <w:marLeft w:val="0"/>
      <w:marRight w:val="0"/>
      <w:marTop w:val="0"/>
      <w:marBottom w:val="0"/>
      <w:divBdr>
        <w:top w:val="none" w:sz="0" w:space="0" w:color="auto"/>
        <w:left w:val="none" w:sz="0" w:space="0" w:color="auto"/>
        <w:bottom w:val="none" w:sz="0" w:space="0" w:color="auto"/>
        <w:right w:val="none" w:sz="0" w:space="0" w:color="auto"/>
      </w:divBdr>
    </w:div>
    <w:div w:id="276957404">
      <w:bodyDiv w:val="1"/>
      <w:marLeft w:val="0"/>
      <w:marRight w:val="0"/>
      <w:marTop w:val="0"/>
      <w:marBottom w:val="0"/>
      <w:divBdr>
        <w:top w:val="none" w:sz="0" w:space="0" w:color="auto"/>
        <w:left w:val="none" w:sz="0" w:space="0" w:color="auto"/>
        <w:bottom w:val="none" w:sz="0" w:space="0" w:color="auto"/>
        <w:right w:val="none" w:sz="0" w:space="0" w:color="auto"/>
      </w:divBdr>
    </w:div>
    <w:div w:id="277567006">
      <w:bodyDiv w:val="1"/>
      <w:marLeft w:val="0"/>
      <w:marRight w:val="0"/>
      <w:marTop w:val="0"/>
      <w:marBottom w:val="0"/>
      <w:divBdr>
        <w:top w:val="none" w:sz="0" w:space="0" w:color="auto"/>
        <w:left w:val="none" w:sz="0" w:space="0" w:color="auto"/>
        <w:bottom w:val="none" w:sz="0" w:space="0" w:color="auto"/>
        <w:right w:val="none" w:sz="0" w:space="0" w:color="auto"/>
      </w:divBdr>
    </w:div>
    <w:div w:id="288442726">
      <w:bodyDiv w:val="1"/>
      <w:marLeft w:val="0"/>
      <w:marRight w:val="0"/>
      <w:marTop w:val="0"/>
      <w:marBottom w:val="0"/>
      <w:divBdr>
        <w:top w:val="none" w:sz="0" w:space="0" w:color="auto"/>
        <w:left w:val="none" w:sz="0" w:space="0" w:color="auto"/>
        <w:bottom w:val="none" w:sz="0" w:space="0" w:color="auto"/>
        <w:right w:val="none" w:sz="0" w:space="0" w:color="auto"/>
      </w:divBdr>
    </w:div>
    <w:div w:id="304896379">
      <w:bodyDiv w:val="1"/>
      <w:marLeft w:val="0"/>
      <w:marRight w:val="0"/>
      <w:marTop w:val="0"/>
      <w:marBottom w:val="0"/>
      <w:divBdr>
        <w:top w:val="none" w:sz="0" w:space="0" w:color="auto"/>
        <w:left w:val="none" w:sz="0" w:space="0" w:color="auto"/>
        <w:bottom w:val="none" w:sz="0" w:space="0" w:color="auto"/>
        <w:right w:val="none" w:sz="0" w:space="0" w:color="auto"/>
      </w:divBdr>
    </w:div>
    <w:div w:id="305359535">
      <w:bodyDiv w:val="1"/>
      <w:marLeft w:val="0"/>
      <w:marRight w:val="0"/>
      <w:marTop w:val="0"/>
      <w:marBottom w:val="0"/>
      <w:divBdr>
        <w:top w:val="none" w:sz="0" w:space="0" w:color="auto"/>
        <w:left w:val="none" w:sz="0" w:space="0" w:color="auto"/>
        <w:bottom w:val="none" w:sz="0" w:space="0" w:color="auto"/>
        <w:right w:val="none" w:sz="0" w:space="0" w:color="auto"/>
      </w:divBdr>
    </w:div>
    <w:div w:id="313487518">
      <w:bodyDiv w:val="1"/>
      <w:marLeft w:val="0"/>
      <w:marRight w:val="0"/>
      <w:marTop w:val="0"/>
      <w:marBottom w:val="0"/>
      <w:divBdr>
        <w:top w:val="none" w:sz="0" w:space="0" w:color="auto"/>
        <w:left w:val="none" w:sz="0" w:space="0" w:color="auto"/>
        <w:bottom w:val="none" w:sz="0" w:space="0" w:color="auto"/>
        <w:right w:val="none" w:sz="0" w:space="0" w:color="auto"/>
      </w:divBdr>
    </w:div>
    <w:div w:id="315108299">
      <w:bodyDiv w:val="1"/>
      <w:marLeft w:val="0"/>
      <w:marRight w:val="0"/>
      <w:marTop w:val="0"/>
      <w:marBottom w:val="0"/>
      <w:divBdr>
        <w:top w:val="none" w:sz="0" w:space="0" w:color="auto"/>
        <w:left w:val="none" w:sz="0" w:space="0" w:color="auto"/>
        <w:bottom w:val="none" w:sz="0" w:space="0" w:color="auto"/>
        <w:right w:val="none" w:sz="0" w:space="0" w:color="auto"/>
      </w:divBdr>
    </w:div>
    <w:div w:id="319119373">
      <w:bodyDiv w:val="1"/>
      <w:marLeft w:val="0"/>
      <w:marRight w:val="0"/>
      <w:marTop w:val="0"/>
      <w:marBottom w:val="0"/>
      <w:divBdr>
        <w:top w:val="none" w:sz="0" w:space="0" w:color="auto"/>
        <w:left w:val="none" w:sz="0" w:space="0" w:color="auto"/>
        <w:bottom w:val="none" w:sz="0" w:space="0" w:color="auto"/>
        <w:right w:val="none" w:sz="0" w:space="0" w:color="auto"/>
      </w:divBdr>
    </w:div>
    <w:div w:id="322199215">
      <w:bodyDiv w:val="1"/>
      <w:marLeft w:val="0"/>
      <w:marRight w:val="0"/>
      <w:marTop w:val="0"/>
      <w:marBottom w:val="0"/>
      <w:divBdr>
        <w:top w:val="none" w:sz="0" w:space="0" w:color="auto"/>
        <w:left w:val="none" w:sz="0" w:space="0" w:color="auto"/>
        <w:bottom w:val="none" w:sz="0" w:space="0" w:color="auto"/>
        <w:right w:val="none" w:sz="0" w:space="0" w:color="auto"/>
      </w:divBdr>
    </w:div>
    <w:div w:id="327563185">
      <w:bodyDiv w:val="1"/>
      <w:marLeft w:val="0"/>
      <w:marRight w:val="0"/>
      <w:marTop w:val="0"/>
      <w:marBottom w:val="0"/>
      <w:divBdr>
        <w:top w:val="none" w:sz="0" w:space="0" w:color="auto"/>
        <w:left w:val="none" w:sz="0" w:space="0" w:color="auto"/>
        <w:bottom w:val="none" w:sz="0" w:space="0" w:color="auto"/>
        <w:right w:val="none" w:sz="0" w:space="0" w:color="auto"/>
      </w:divBdr>
    </w:div>
    <w:div w:id="328337963">
      <w:bodyDiv w:val="1"/>
      <w:marLeft w:val="0"/>
      <w:marRight w:val="0"/>
      <w:marTop w:val="0"/>
      <w:marBottom w:val="0"/>
      <w:divBdr>
        <w:top w:val="none" w:sz="0" w:space="0" w:color="auto"/>
        <w:left w:val="none" w:sz="0" w:space="0" w:color="auto"/>
        <w:bottom w:val="none" w:sz="0" w:space="0" w:color="auto"/>
        <w:right w:val="none" w:sz="0" w:space="0" w:color="auto"/>
      </w:divBdr>
    </w:div>
    <w:div w:id="335183709">
      <w:bodyDiv w:val="1"/>
      <w:marLeft w:val="0"/>
      <w:marRight w:val="0"/>
      <w:marTop w:val="0"/>
      <w:marBottom w:val="0"/>
      <w:divBdr>
        <w:top w:val="none" w:sz="0" w:space="0" w:color="auto"/>
        <w:left w:val="none" w:sz="0" w:space="0" w:color="auto"/>
        <w:bottom w:val="none" w:sz="0" w:space="0" w:color="auto"/>
        <w:right w:val="none" w:sz="0" w:space="0" w:color="auto"/>
      </w:divBdr>
    </w:div>
    <w:div w:id="335959185">
      <w:bodyDiv w:val="1"/>
      <w:marLeft w:val="0"/>
      <w:marRight w:val="0"/>
      <w:marTop w:val="0"/>
      <w:marBottom w:val="0"/>
      <w:divBdr>
        <w:top w:val="none" w:sz="0" w:space="0" w:color="auto"/>
        <w:left w:val="none" w:sz="0" w:space="0" w:color="auto"/>
        <w:bottom w:val="none" w:sz="0" w:space="0" w:color="auto"/>
        <w:right w:val="none" w:sz="0" w:space="0" w:color="auto"/>
      </w:divBdr>
    </w:div>
    <w:div w:id="336427603">
      <w:bodyDiv w:val="1"/>
      <w:marLeft w:val="0"/>
      <w:marRight w:val="0"/>
      <w:marTop w:val="0"/>
      <w:marBottom w:val="0"/>
      <w:divBdr>
        <w:top w:val="none" w:sz="0" w:space="0" w:color="auto"/>
        <w:left w:val="none" w:sz="0" w:space="0" w:color="auto"/>
        <w:bottom w:val="none" w:sz="0" w:space="0" w:color="auto"/>
        <w:right w:val="none" w:sz="0" w:space="0" w:color="auto"/>
      </w:divBdr>
    </w:div>
    <w:div w:id="340739342">
      <w:bodyDiv w:val="1"/>
      <w:marLeft w:val="0"/>
      <w:marRight w:val="0"/>
      <w:marTop w:val="0"/>
      <w:marBottom w:val="0"/>
      <w:divBdr>
        <w:top w:val="none" w:sz="0" w:space="0" w:color="auto"/>
        <w:left w:val="none" w:sz="0" w:space="0" w:color="auto"/>
        <w:bottom w:val="none" w:sz="0" w:space="0" w:color="auto"/>
        <w:right w:val="none" w:sz="0" w:space="0" w:color="auto"/>
      </w:divBdr>
    </w:div>
    <w:div w:id="348727260">
      <w:bodyDiv w:val="1"/>
      <w:marLeft w:val="0"/>
      <w:marRight w:val="0"/>
      <w:marTop w:val="0"/>
      <w:marBottom w:val="0"/>
      <w:divBdr>
        <w:top w:val="none" w:sz="0" w:space="0" w:color="auto"/>
        <w:left w:val="none" w:sz="0" w:space="0" w:color="auto"/>
        <w:bottom w:val="none" w:sz="0" w:space="0" w:color="auto"/>
        <w:right w:val="none" w:sz="0" w:space="0" w:color="auto"/>
      </w:divBdr>
    </w:div>
    <w:div w:id="356273064">
      <w:bodyDiv w:val="1"/>
      <w:marLeft w:val="0"/>
      <w:marRight w:val="0"/>
      <w:marTop w:val="0"/>
      <w:marBottom w:val="0"/>
      <w:divBdr>
        <w:top w:val="none" w:sz="0" w:space="0" w:color="auto"/>
        <w:left w:val="none" w:sz="0" w:space="0" w:color="auto"/>
        <w:bottom w:val="none" w:sz="0" w:space="0" w:color="auto"/>
        <w:right w:val="none" w:sz="0" w:space="0" w:color="auto"/>
      </w:divBdr>
    </w:div>
    <w:div w:id="390270904">
      <w:bodyDiv w:val="1"/>
      <w:marLeft w:val="0"/>
      <w:marRight w:val="0"/>
      <w:marTop w:val="0"/>
      <w:marBottom w:val="0"/>
      <w:divBdr>
        <w:top w:val="none" w:sz="0" w:space="0" w:color="auto"/>
        <w:left w:val="none" w:sz="0" w:space="0" w:color="auto"/>
        <w:bottom w:val="none" w:sz="0" w:space="0" w:color="auto"/>
        <w:right w:val="none" w:sz="0" w:space="0" w:color="auto"/>
      </w:divBdr>
    </w:div>
    <w:div w:id="390471190">
      <w:bodyDiv w:val="1"/>
      <w:marLeft w:val="0"/>
      <w:marRight w:val="0"/>
      <w:marTop w:val="0"/>
      <w:marBottom w:val="0"/>
      <w:divBdr>
        <w:top w:val="none" w:sz="0" w:space="0" w:color="auto"/>
        <w:left w:val="none" w:sz="0" w:space="0" w:color="auto"/>
        <w:bottom w:val="none" w:sz="0" w:space="0" w:color="auto"/>
        <w:right w:val="none" w:sz="0" w:space="0" w:color="auto"/>
      </w:divBdr>
    </w:div>
    <w:div w:id="397442566">
      <w:bodyDiv w:val="1"/>
      <w:marLeft w:val="0"/>
      <w:marRight w:val="0"/>
      <w:marTop w:val="0"/>
      <w:marBottom w:val="0"/>
      <w:divBdr>
        <w:top w:val="none" w:sz="0" w:space="0" w:color="auto"/>
        <w:left w:val="none" w:sz="0" w:space="0" w:color="auto"/>
        <w:bottom w:val="none" w:sz="0" w:space="0" w:color="auto"/>
        <w:right w:val="none" w:sz="0" w:space="0" w:color="auto"/>
      </w:divBdr>
    </w:div>
    <w:div w:id="399642635">
      <w:bodyDiv w:val="1"/>
      <w:marLeft w:val="0"/>
      <w:marRight w:val="0"/>
      <w:marTop w:val="0"/>
      <w:marBottom w:val="0"/>
      <w:divBdr>
        <w:top w:val="none" w:sz="0" w:space="0" w:color="auto"/>
        <w:left w:val="none" w:sz="0" w:space="0" w:color="auto"/>
        <w:bottom w:val="none" w:sz="0" w:space="0" w:color="auto"/>
        <w:right w:val="none" w:sz="0" w:space="0" w:color="auto"/>
      </w:divBdr>
    </w:div>
    <w:div w:id="401221295">
      <w:bodyDiv w:val="1"/>
      <w:marLeft w:val="0"/>
      <w:marRight w:val="0"/>
      <w:marTop w:val="0"/>
      <w:marBottom w:val="0"/>
      <w:divBdr>
        <w:top w:val="none" w:sz="0" w:space="0" w:color="auto"/>
        <w:left w:val="none" w:sz="0" w:space="0" w:color="auto"/>
        <w:bottom w:val="none" w:sz="0" w:space="0" w:color="auto"/>
        <w:right w:val="none" w:sz="0" w:space="0" w:color="auto"/>
      </w:divBdr>
    </w:div>
    <w:div w:id="411435198">
      <w:bodyDiv w:val="1"/>
      <w:marLeft w:val="0"/>
      <w:marRight w:val="0"/>
      <w:marTop w:val="0"/>
      <w:marBottom w:val="0"/>
      <w:divBdr>
        <w:top w:val="none" w:sz="0" w:space="0" w:color="auto"/>
        <w:left w:val="none" w:sz="0" w:space="0" w:color="auto"/>
        <w:bottom w:val="none" w:sz="0" w:space="0" w:color="auto"/>
        <w:right w:val="none" w:sz="0" w:space="0" w:color="auto"/>
      </w:divBdr>
    </w:div>
    <w:div w:id="421342418">
      <w:bodyDiv w:val="1"/>
      <w:marLeft w:val="0"/>
      <w:marRight w:val="0"/>
      <w:marTop w:val="0"/>
      <w:marBottom w:val="0"/>
      <w:divBdr>
        <w:top w:val="none" w:sz="0" w:space="0" w:color="auto"/>
        <w:left w:val="none" w:sz="0" w:space="0" w:color="auto"/>
        <w:bottom w:val="none" w:sz="0" w:space="0" w:color="auto"/>
        <w:right w:val="none" w:sz="0" w:space="0" w:color="auto"/>
      </w:divBdr>
    </w:div>
    <w:div w:id="422143839">
      <w:bodyDiv w:val="1"/>
      <w:marLeft w:val="0"/>
      <w:marRight w:val="0"/>
      <w:marTop w:val="0"/>
      <w:marBottom w:val="0"/>
      <w:divBdr>
        <w:top w:val="none" w:sz="0" w:space="0" w:color="auto"/>
        <w:left w:val="none" w:sz="0" w:space="0" w:color="auto"/>
        <w:bottom w:val="none" w:sz="0" w:space="0" w:color="auto"/>
        <w:right w:val="none" w:sz="0" w:space="0" w:color="auto"/>
      </w:divBdr>
    </w:div>
    <w:div w:id="423497750">
      <w:bodyDiv w:val="1"/>
      <w:marLeft w:val="0"/>
      <w:marRight w:val="0"/>
      <w:marTop w:val="0"/>
      <w:marBottom w:val="0"/>
      <w:divBdr>
        <w:top w:val="none" w:sz="0" w:space="0" w:color="auto"/>
        <w:left w:val="none" w:sz="0" w:space="0" w:color="auto"/>
        <w:bottom w:val="none" w:sz="0" w:space="0" w:color="auto"/>
        <w:right w:val="none" w:sz="0" w:space="0" w:color="auto"/>
      </w:divBdr>
    </w:div>
    <w:div w:id="431895817">
      <w:bodyDiv w:val="1"/>
      <w:marLeft w:val="0"/>
      <w:marRight w:val="0"/>
      <w:marTop w:val="0"/>
      <w:marBottom w:val="0"/>
      <w:divBdr>
        <w:top w:val="none" w:sz="0" w:space="0" w:color="auto"/>
        <w:left w:val="none" w:sz="0" w:space="0" w:color="auto"/>
        <w:bottom w:val="none" w:sz="0" w:space="0" w:color="auto"/>
        <w:right w:val="none" w:sz="0" w:space="0" w:color="auto"/>
      </w:divBdr>
    </w:div>
    <w:div w:id="434600703">
      <w:bodyDiv w:val="1"/>
      <w:marLeft w:val="0"/>
      <w:marRight w:val="0"/>
      <w:marTop w:val="0"/>
      <w:marBottom w:val="0"/>
      <w:divBdr>
        <w:top w:val="none" w:sz="0" w:space="0" w:color="auto"/>
        <w:left w:val="none" w:sz="0" w:space="0" w:color="auto"/>
        <w:bottom w:val="none" w:sz="0" w:space="0" w:color="auto"/>
        <w:right w:val="none" w:sz="0" w:space="0" w:color="auto"/>
      </w:divBdr>
    </w:div>
    <w:div w:id="438526512">
      <w:bodyDiv w:val="1"/>
      <w:marLeft w:val="0"/>
      <w:marRight w:val="0"/>
      <w:marTop w:val="0"/>
      <w:marBottom w:val="0"/>
      <w:divBdr>
        <w:top w:val="none" w:sz="0" w:space="0" w:color="auto"/>
        <w:left w:val="none" w:sz="0" w:space="0" w:color="auto"/>
        <w:bottom w:val="none" w:sz="0" w:space="0" w:color="auto"/>
        <w:right w:val="none" w:sz="0" w:space="0" w:color="auto"/>
      </w:divBdr>
    </w:div>
    <w:div w:id="444543878">
      <w:bodyDiv w:val="1"/>
      <w:marLeft w:val="0"/>
      <w:marRight w:val="0"/>
      <w:marTop w:val="0"/>
      <w:marBottom w:val="0"/>
      <w:divBdr>
        <w:top w:val="none" w:sz="0" w:space="0" w:color="auto"/>
        <w:left w:val="none" w:sz="0" w:space="0" w:color="auto"/>
        <w:bottom w:val="none" w:sz="0" w:space="0" w:color="auto"/>
        <w:right w:val="none" w:sz="0" w:space="0" w:color="auto"/>
      </w:divBdr>
    </w:div>
    <w:div w:id="456683529">
      <w:bodyDiv w:val="1"/>
      <w:marLeft w:val="0"/>
      <w:marRight w:val="0"/>
      <w:marTop w:val="0"/>
      <w:marBottom w:val="0"/>
      <w:divBdr>
        <w:top w:val="none" w:sz="0" w:space="0" w:color="auto"/>
        <w:left w:val="none" w:sz="0" w:space="0" w:color="auto"/>
        <w:bottom w:val="none" w:sz="0" w:space="0" w:color="auto"/>
        <w:right w:val="none" w:sz="0" w:space="0" w:color="auto"/>
      </w:divBdr>
    </w:div>
    <w:div w:id="470902758">
      <w:bodyDiv w:val="1"/>
      <w:marLeft w:val="0"/>
      <w:marRight w:val="0"/>
      <w:marTop w:val="0"/>
      <w:marBottom w:val="0"/>
      <w:divBdr>
        <w:top w:val="none" w:sz="0" w:space="0" w:color="auto"/>
        <w:left w:val="none" w:sz="0" w:space="0" w:color="auto"/>
        <w:bottom w:val="none" w:sz="0" w:space="0" w:color="auto"/>
        <w:right w:val="none" w:sz="0" w:space="0" w:color="auto"/>
      </w:divBdr>
    </w:div>
    <w:div w:id="484468938">
      <w:bodyDiv w:val="1"/>
      <w:marLeft w:val="0"/>
      <w:marRight w:val="0"/>
      <w:marTop w:val="0"/>
      <w:marBottom w:val="0"/>
      <w:divBdr>
        <w:top w:val="none" w:sz="0" w:space="0" w:color="auto"/>
        <w:left w:val="none" w:sz="0" w:space="0" w:color="auto"/>
        <w:bottom w:val="none" w:sz="0" w:space="0" w:color="auto"/>
        <w:right w:val="none" w:sz="0" w:space="0" w:color="auto"/>
      </w:divBdr>
    </w:div>
    <w:div w:id="486286327">
      <w:bodyDiv w:val="1"/>
      <w:marLeft w:val="0"/>
      <w:marRight w:val="0"/>
      <w:marTop w:val="0"/>
      <w:marBottom w:val="0"/>
      <w:divBdr>
        <w:top w:val="none" w:sz="0" w:space="0" w:color="auto"/>
        <w:left w:val="none" w:sz="0" w:space="0" w:color="auto"/>
        <w:bottom w:val="none" w:sz="0" w:space="0" w:color="auto"/>
        <w:right w:val="none" w:sz="0" w:space="0" w:color="auto"/>
      </w:divBdr>
    </w:div>
    <w:div w:id="507864957">
      <w:bodyDiv w:val="1"/>
      <w:marLeft w:val="0"/>
      <w:marRight w:val="0"/>
      <w:marTop w:val="0"/>
      <w:marBottom w:val="0"/>
      <w:divBdr>
        <w:top w:val="none" w:sz="0" w:space="0" w:color="auto"/>
        <w:left w:val="none" w:sz="0" w:space="0" w:color="auto"/>
        <w:bottom w:val="none" w:sz="0" w:space="0" w:color="auto"/>
        <w:right w:val="none" w:sz="0" w:space="0" w:color="auto"/>
      </w:divBdr>
    </w:div>
    <w:div w:id="509301094">
      <w:bodyDiv w:val="1"/>
      <w:marLeft w:val="0"/>
      <w:marRight w:val="0"/>
      <w:marTop w:val="0"/>
      <w:marBottom w:val="0"/>
      <w:divBdr>
        <w:top w:val="none" w:sz="0" w:space="0" w:color="auto"/>
        <w:left w:val="none" w:sz="0" w:space="0" w:color="auto"/>
        <w:bottom w:val="none" w:sz="0" w:space="0" w:color="auto"/>
        <w:right w:val="none" w:sz="0" w:space="0" w:color="auto"/>
      </w:divBdr>
    </w:div>
    <w:div w:id="537011587">
      <w:bodyDiv w:val="1"/>
      <w:marLeft w:val="0"/>
      <w:marRight w:val="0"/>
      <w:marTop w:val="0"/>
      <w:marBottom w:val="0"/>
      <w:divBdr>
        <w:top w:val="none" w:sz="0" w:space="0" w:color="auto"/>
        <w:left w:val="none" w:sz="0" w:space="0" w:color="auto"/>
        <w:bottom w:val="none" w:sz="0" w:space="0" w:color="auto"/>
        <w:right w:val="none" w:sz="0" w:space="0" w:color="auto"/>
      </w:divBdr>
    </w:div>
    <w:div w:id="537352871">
      <w:bodyDiv w:val="1"/>
      <w:marLeft w:val="0"/>
      <w:marRight w:val="0"/>
      <w:marTop w:val="0"/>
      <w:marBottom w:val="0"/>
      <w:divBdr>
        <w:top w:val="none" w:sz="0" w:space="0" w:color="auto"/>
        <w:left w:val="none" w:sz="0" w:space="0" w:color="auto"/>
        <w:bottom w:val="none" w:sz="0" w:space="0" w:color="auto"/>
        <w:right w:val="none" w:sz="0" w:space="0" w:color="auto"/>
      </w:divBdr>
    </w:div>
    <w:div w:id="537665982">
      <w:bodyDiv w:val="1"/>
      <w:marLeft w:val="0"/>
      <w:marRight w:val="0"/>
      <w:marTop w:val="0"/>
      <w:marBottom w:val="0"/>
      <w:divBdr>
        <w:top w:val="none" w:sz="0" w:space="0" w:color="auto"/>
        <w:left w:val="none" w:sz="0" w:space="0" w:color="auto"/>
        <w:bottom w:val="none" w:sz="0" w:space="0" w:color="auto"/>
        <w:right w:val="none" w:sz="0" w:space="0" w:color="auto"/>
      </w:divBdr>
    </w:div>
    <w:div w:id="542332860">
      <w:bodyDiv w:val="1"/>
      <w:marLeft w:val="0"/>
      <w:marRight w:val="0"/>
      <w:marTop w:val="0"/>
      <w:marBottom w:val="0"/>
      <w:divBdr>
        <w:top w:val="none" w:sz="0" w:space="0" w:color="auto"/>
        <w:left w:val="none" w:sz="0" w:space="0" w:color="auto"/>
        <w:bottom w:val="none" w:sz="0" w:space="0" w:color="auto"/>
        <w:right w:val="none" w:sz="0" w:space="0" w:color="auto"/>
      </w:divBdr>
    </w:div>
    <w:div w:id="542517883">
      <w:bodyDiv w:val="1"/>
      <w:marLeft w:val="0"/>
      <w:marRight w:val="0"/>
      <w:marTop w:val="0"/>
      <w:marBottom w:val="0"/>
      <w:divBdr>
        <w:top w:val="none" w:sz="0" w:space="0" w:color="auto"/>
        <w:left w:val="none" w:sz="0" w:space="0" w:color="auto"/>
        <w:bottom w:val="none" w:sz="0" w:space="0" w:color="auto"/>
        <w:right w:val="none" w:sz="0" w:space="0" w:color="auto"/>
      </w:divBdr>
    </w:div>
    <w:div w:id="551506128">
      <w:bodyDiv w:val="1"/>
      <w:marLeft w:val="0"/>
      <w:marRight w:val="0"/>
      <w:marTop w:val="0"/>
      <w:marBottom w:val="0"/>
      <w:divBdr>
        <w:top w:val="none" w:sz="0" w:space="0" w:color="auto"/>
        <w:left w:val="none" w:sz="0" w:space="0" w:color="auto"/>
        <w:bottom w:val="none" w:sz="0" w:space="0" w:color="auto"/>
        <w:right w:val="none" w:sz="0" w:space="0" w:color="auto"/>
      </w:divBdr>
    </w:div>
    <w:div w:id="572666106">
      <w:bodyDiv w:val="1"/>
      <w:marLeft w:val="0"/>
      <w:marRight w:val="0"/>
      <w:marTop w:val="0"/>
      <w:marBottom w:val="0"/>
      <w:divBdr>
        <w:top w:val="none" w:sz="0" w:space="0" w:color="auto"/>
        <w:left w:val="none" w:sz="0" w:space="0" w:color="auto"/>
        <w:bottom w:val="none" w:sz="0" w:space="0" w:color="auto"/>
        <w:right w:val="none" w:sz="0" w:space="0" w:color="auto"/>
      </w:divBdr>
    </w:div>
    <w:div w:id="585261375">
      <w:bodyDiv w:val="1"/>
      <w:marLeft w:val="0"/>
      <w:marRight w:val="0"/>
      <w:marTop w:val="0"/>
      <w:marBottom w:val="0"/>
      <w:divBdr>
        <w:top w:val="none" w:sz="0" w:space="0" w:color="auto"/>
        <w:left w:val="none" w:sz="0" w:space="0" w:color="auto"/>
        <w:bottom w:val="none" w:sz="0" w:space="0" w:color="auto"/>
        <w:right w:val="none" w:sz="0" w:space="0" w:color="auto"/>
      </w:divBdr>
    </w:div>
    <w:div w:id="585697045">
      <w:bodyDiv w:val="1"/>
      <w:marLeft w:val="0"/>
      <w:marRight w:val="0"/>
      <w:marTop w:val="0"/>
      <w:marBottom w:val="0"/>
      <w:divBdr>
        <w:top w:val="none" w:sz="0" w:space="0" w:color="auto"/>
        <w:left w:val="none" w:sz="0" w:space="0" w:color="auto"/>
        <w:bottom w:val="none" w:sz="0" w:space="0" w:color="auto"/>
        <w:right w:val="none" w:sz="0" w:space="0" w:color="auto"/>
      </w:divBdr>
    </w:div>
    <w:div w:id="586962124">
      <w:bodyDiv w:val="1"/>
      <w:marLeft w:val="0"/>
      <w:marRight w:val="0"/>
      <w:marTop w:val="0"/>
      <w:marBottom w:val="0"/>
      <w:divBdr>
        <w:top w:val="none" w:sz="0" w:space="0" w:color="auto"/>
        <w:left w:val="none" w:sz="0" w:space="0" w:color="auto"/>
        <w:bottom w:val="none" w:sz="0" w:space="0" w:color="auto"/>
        <w:right w:val="none" w:sz="0" w:space="0" w:color="auto"/>
      </w:divBdr>
    </w:div>
    <w:div w:id="606163253">
      <w:bodyDiv w:val="1"/>
      <w:marLeft w:val="0"/>
      <w:marRight w:val="0"/>
      <w:marTop w:val="0"/>
      <w:marBottom w:val="0"/>
      <w:divBdr>
        <w:top w:val="none" w:sz="0" w:space="0" w:color="auto"/>
        <w:left w:val="none" w:sz="0" w:space="0" w:color="auto"/>
        <w:bottom w:val="none" w:sz="0" w:space="0" w:color="auto"/>
        <w:right w:val="none" w:sz="0" w:space="0" w:color="auto"/>
      </w:divBdr>
    </w:div>
    <w:div w:id="606622191">
      <w:bodyDiv w:val="1"/>
      <w:marLeft w:val="0"/>
      <w:marRight w:val="0"/>
      <w:marTop w:val="0"/>
      <w:marBottom w:val="0"/>
      <w:divBdr>
        <w:top w:val="none" w:sz="0" w:space="0" w:color="auto"/>
        <w:left w:val="none" w:sz="0" w:space="0" w:color="auto"/>
        <w:bottom w:val="none" w:sz="0" w:space="0" w:color="auto"/>
        <w:right w:val="none" w:sz="0" w:space="0" w:color="auto"/>
      </w:divBdr>
    </w:div>
    <w:div w:id="618145277">
      <w:bodyDiv w:val="1"/>
      <w:marLeft w:val="0"/>
      <w:marRight w:val="0"/>
      <w:marTop w:val="0"/>
      <w:marBottom w:val="0"/>
      <w:divBdr>
        <w:top w:val="none" w:sz="0" w:space="0" w:color="auto"/>
        <w:left w:val="none" w:sz="0" w:space="0" w:color="auto"/>
        <w:bottom w:val="none" w:sz="0" w:space="0" w:color="auto"/>
        <w:right w:val="none" w:sz="0" w:space="0" w:color="auto"/>
      </w:divBdr>
    </w:div>
    <w:div w:id="626472250">
      <w:bodyDiv w:val="1"/>
      <w:marLeft w:val="0"/>
      <w:marRight w:val="0"/>
      <w:marTop w:val="0"/>
      <w:marBottom w:val="0"/>
      <w:divBdr>
        <w:top w:val="none" w:sz="0" w:space="0" w:color="auto"/>
        <w:left w:val="none" w:sz="0" w:space="0" w:color="auto"/>
        <w:bottom w:val="none" w:sz="0" w:space="0" w:color="auto"/>
        <w:right w:val="none" w:sz="0" w:space="0" w:color="auto"/>
      </w:divBdr>
    </w:div>
    <w:div w:id="627707676">
      <w:bodyDiv w:val="1"/>
      <w:marLeft w:val="0"/>
      <w:marRight w:val="0"/>
      <w:marTop w:val="0"/>
      <w:marBottom w:val="0"/>
      <w:divBdr>
        <w:top w:val="none" w:sz="0" w:space="0" w:color="auto"/>
        <w:left w:val="none" w:sz="0" w:space="0" w:color="auto"/>
        <w:bottom w:val="none" w:sz="0" w:space="0" w:color="auto"/>
        <w:right w:val="none" w:sz="0" w:space="0" w:color="auto"/>
      </w:divBdr>
    </w:div>
    <w:div w:id="635837846">
      <w:bodyDiv w:val="1"/>
      <w:marLeft w:val="0"/>
      <w:marRight w:val="0"/>
      <w:marTop w:val="0"/>
      <w:marBottom w:val="0"/>
      <w:divBdr>
        <w:top w:val="none" w:sz="0" w:space="0" w:color="auto"/>
        <w:left w:val="none" w:sz="0" w:space="0" w:color="auto"/>
        <w:bottom w:val="none" w:sz="0" w:space="0" w:color="auto"/>
        <w:right w:val="none" w:sz="0" w:space="0" w:color="auto"/>
      </w:divBdr>
    </w:div>
    <w:div w:id="636497222">
      <w:bodyDiv w:val="1"/>
      <w:marLeft w:val="0"/>
      <w:marRight w:val="0"/>
      <w:marTop w:val="0"/>
      <w:marBottom w:val="0"/>
      <w:divBdr>
        <w:top w:val="none" w:sz="0" w:space="0" w:color="auto"/>
        <w:left w:val="none" w:sz="0" w:space="0" w:color="auto"/>
        <w:bottom w:val="none" w:sz="0" w:space="0" w:color="auto"/>
        <w:right w:val="none" w:sz="0" w:space="0" w:color="auto"/>
      </w:divBdr>
    </w:div>
    <w:div w:id="645667254">
      <w:bodyDiv w:val="1"/>
      <w:marLeft w:val="0"/>
      <w:marRight w:val="0"/>
      <w:marTop w:val="0"/>
      <w:marBottom w:val="0"/>
      <w:divBdr>
        <w:top w:val="none" w:sz="0" w:space="0" w:color="auto"/>
        <w:left w:val="none" w:sz="0" w:space="0" w:color="auto"/>
        <w:bottom w:val="none" w:sz="0" w:space="0" w:color="auto"/>
        <w:right w:val="none" w:sz="0" w:space="0" w:color="auto"/>
      </w:divBdr>
    </w:div>
    <w:div w:id="646983028">
      <w:bodyDiv w:val="1"/>
      <w:marLeft w:val="0"/>
      <w:marRight w:val="0"/>
      <w:marTop w:val="0"/>
      <w:marBottom w:val="0"/>
      <w:divBdr>
        <w:top w:val="none" w:sz="0" w:space="0" w:color="auto"/>
        <w:left w:val="none" w:sz="0" w:space="0" w:color="auto"/>
        <w:bottom w:val="none" w:sz="0" w:space="0" w:color="auto"/>
        <w:right w:val="none" w:sz="0" w:space="0" w:color="auto"/>
      </w:divBdr>
    </w:div>
    <w:div w:id="649092081">
      <w:bodyDiv w:val="1"/>
      <w:marLeft w:val="0"/>
      <w:marRight w:val="0"/>
      <w:marTop w:val="0"/>
      <w:marBottom w:val="0"/>
      <w:divBdr>
        <w:top w:val="none" w:sz="0" w:space="0" w:color="auto"/>
        <w:left w:val="none" w:sz="0" w:space="0" w:color="auto"/>
        <w:bottom w:val="none" w:sz="0" w:space="0" w:color="auto"/>
        <w:right w:val="none" w:sz="0" w:space="0" w:color="auto"/>
      </w:divBdr>
    </w:div>
    <w:div w:id="674571720">
      <w:bodyDiv w:val="1"/>
      <w:marLeft w:val="0"/>
      <w:marRight w:val="0"/>
      <w:marTop w:val="0"/>
      <w:marBottom w:val="0"/>
      <w:divBdr>
        <w:top w:val="none" w:sz="0" w:space="0" w:color="auto"/>
        <w:left w:val="none" w:sz="0" w:space="0" w:color="auto"/>
        <w:bottom w:val="none" w:sz="0" w:space="0" w:color="auto"/>
        <w:right w:val="none" w:sz="0" w:space="0" w:color="auto"/>
      </w:divBdr>
    </w:div>
    <w:div w:id="675767610">
      <w:bodyDiv w:val="1"/>
      <w:marLeft w:val="0"/>
      <w:marRight w:val="0"/>
      <w:marTop w:val="0"/>
      <w:marBottom w:val="0"/>
      <w:divBdr>
        <w:top w:val="none" w:sz="0" w:space="0" w:color="auto"/>
        <w:left w:val="none" w:sz="0" w:space="0" w:color="auto"/>
        <w:bottom w:val="none" w:sz="0" w:space="0" w:color="auto"/>
        <w:right w:val="none" w:sz="0" w:space="0" w:color="auto"/>
      </w:divBdr>
    </w:div>
    <w:div w:id="679158138">
      <w:bodyDiv w:val="1"/>
      <w:marLeft w:val="0"/>
      <w:marRight w:val="0"/>
      <w:marTop w:val="0"/>
      <w:marBottom w:val="0"/>
      <w:divBdr>
        <w:top w:val="none" w:sz="0" w:space="0" w:color="auto"/>
        <w:left w:val="none" w:sz="0" w:space="0" w:color="auto"/>
        <w:bottom w:val="none" w:sz="0" w:space="0" w:color="auto"/>
        <w:right w:val="none" w:sz="0" w:space="0" w:color="auto"/>
      </w:divBdr>
    </w:div>
    <w:div w:id="687954031">
      <w:bodyDiv w:val="1"/>
      <w:marLeft w:val="0"/>
      <w:marRight w:val="0"/>
      <w:marTop w:val="0"/>
      <w:marBottom w:val="0"/>
      <w:divBdr>
        <w:top w:val="none" w:sz="0" w:space="0" w:color="auto"/>
        <w:left w:val="none" w:sz="0" w:space="0" w:color="auto"/>
        <w:bottom w:val="none" w:sz="0" w:space="0" w:color="auto"/>
        <w:right w:val="none" w:sz="0" w:space="0" w:color="auto"/>
      </w:divBdr>
    </w:div>
    <w:div w:id="691687485">
      <w:bodyDiv w:val="1"/>
      <w:marLeft w:val="0"/>
      <w:marRight w:val="0"/>
      <w:marTop w:val="0"/>
      <w:marBottom w:val="0"/>
      <w:divBdr>
        <w:top w:val="none" w:sz="0" w:space="0" w:color="auto"/>
        <w:left w:val="none" w:sz="0" w:space="0" w:color="auto"/>
        <w:bottom w:val="none" w:sz="0" w:space="0" w:color="auto"/>
        <w:right w:val="none" w:sz="0" w:space="0" w:color="auto"/>
      </w:divBdr>
    </w:div>
    <w:div w:id="701321973">
      <w:bodyDiv w:val="1"/>
      <w:marLeft w:val="0"/>
      <w:marRight w:val="0"/>
      <w:marTop w:val="0"/>
      <w:marBottom w:val="0"/>
      <w:divBdr>
        <w:top w:val="none" w:sz="0" w:space="0" w:color="auto"/>
        <w:left w:val="none" w:sz="0" w:space="0" w:color="auto"/>
        <w:bottom w:val="none" w:sz="0" w:space="0" w:color="auto"/>
        <w:right w:val="none" w:sz="0" w:space="0" w:color="auto"/>
      </w:divBdr>
    </w:div>
    <w:div w:id="703750548">
      <w:bodyDiv w:val="1"/>
      <w:marLeft w:val="0"/>
      <w:marRight w:val="0"/>
      <w:marTop w:val="0"/>
      <w:marBottom w:val="0"/>
      <w:divBdr>
        <w:top w:val="none" w:sz="0" w:space="0" w:color="auto"/>
        <w:left w:val="none" w:sz="0" w:space="0" w:color="auto"/>
        <w:bottom w:val="none" w:sz="0" w:space="0" w:color="auto"/>
        <w:right w:val="none" w:sz="0" w:space="0" w:color="auto"/>
      </w:divBdr>
    </w:div>
    <w:div w:id="711077737">
      <w:bodyDiv w:val="1"/>
      <w:marLeft w:val="0"/>
      <w:marRight w:val="0"/>
      <w:marTop w:val="0"/>
      <w:marBottom w:val="0"/>
      <w:divBdr>
        <w:top w:val="none" w:sz="0" w:space="0" w:color="auto"/>
        <w:left w:val="none" w:sz="0" w:space="0" w:color="auto"/>
        <w:bottom w:val="none" w:sz="0" w:space="0" w:color="auto"/>
        <w:right w:val="none" w:sz="0" w:space="0" w:color="auto"/>
      </w:divBdr>
    </w:div>
    <w:div w:id="713963323">
      <w:bodyDiv w:val="1"/>
      <w:marLeft w:val="0"/>
      <w:marRight w:val="0"/>
      <w:marTop w:val="0"/>
      <w:marBottom w:val="0"/>
      <w:divBdr>
        <w:top w:val="none" w:sz="0" w:space="0" w:color="auto"/>
        <w:left w:val="none" w:sz="0" w:space="0" w:color="auto"/>
        <w:bottom w:val="none" w:sz="0" w:space="0" w:color="auto"/>
        <w:right w:val="none" w:sz="0" w:space="0" w:color="auto"/>
      </w:divBdr>
    </w:div>
    <w:div w:id="719863554">
      <w:bodyDiv w:val="1"/>
      <w:marLeft w:val="0"/>
      <w:marRight w:val="0"/>
      <w:marTop w:val="0"/>
      <w:marBottom w:val="0"/>
      <w:divBdr>
        <w:top w:val="none" w:sz="0" w:space="0" w:color="auto"/>
        <w:left w:val="none" w:sz="0" w:space="0" w:color="auto"/>
        <w:bottom w:val="none" w:sz="0" w:space="0" w:color="auto"/>
        <w:right w:val="none" w:sz="0" w:space="0" w:color="auto"/>
      </w:divBdr>
    </w:div>
    <w:div w:id="725450401">
      <w:bodyDiv w:val="1"/>
      <w:marLeft w:val="0"/>
      <w:marRight w:val="0"/>
      <w:marTop w:val="0"/>
      <w:marBottom w:val="0"/>
      <w:divBdr>
        <w:top w:val="none" w:sz="0" w:space="0" w:color="auto"/>
        <w:left w:val="none" w:sz="0" w:space="0" w:color="auto"/>
        <w:bottom w:val="none" w:sz="0" w:space="0" w:color="auto"/>
        <w:right w:val="none" w:sz="0" w:space="0" w:color="auto"/>
      </w:divBdr>
    </w:div>
    <w:div w:id="727074468">
      <w:bodyDiv w:val="1"/>
      <w:marLeft w:val="0"/>
      <w:marRight w:val="0"/>
      <w:marTop w:val="0"/>
      <w:marBottom w:val="0"/>
      <w:divBdr>
        <w:top w:val="none" w:sz="0" w:space="0" w:color="auto"/>
        <w:left w:val="none" w:sz="0" w:space="0" w:color="auto"/>
        <w:bottom w:val="none" w:sz="0" w:space="0" w:color="auto"/>
        <w:right w:val="none" w:sz="0" w:space="0" w:color="auto"/>
      </w:divBdr>
    </w:div>
    <w:div w:id="730230281">
      <w:bodyDiv w:val="1"/>
      <w:marLeft w:val="0"/>
      <w:marRight w:val="0"/>
      <w:marTop w:val="0"/>
      <w:marBottom w:val="0"/>
      <w:divBdr>
        <w:top w:val="none" w:sz="0" w:space="0" w:color="auto"/>
        <w:left w:val="none" w:sz="0" w:space="0" w:color="auto"/>
        <w:bottom w:val="none" w:sz="0" w:space="0" w:color="auto"/>
        <w:right w:val="none" w:sz="0" w:space="0" w:color="auto"/>
      </w:divBdr>
    </w:div>
    <w:div w:id="740567509">
      <w:bodyDiv w:val="1"/>
      <w:marLeft w:val="0"/>
      <w:marRight w:val="0"/>
      <w:marTop w:val="0"/>
      <w:marBottom w:val="0"/>
      <w:divBdr>
        <w:top w:val="none" w:sz="0" w:space="0" w:color="auto"/>
        <w:left w:val="none" w:sz="0" w:space="0" w:color="auto"/>
        <w:bottom w:val="none" w:sz="0" w:space="0" w:color="auto"/>
        <w:right w:val="none" w:sz="0" w:space="0" w:color="auto"/>
      </w:divBdr>
    </w:div>
    <w:div w:id="740907741">
      <w:bodyDiv w:val="1"/>
      <w:marLeft w:val="0"/>
      <w:marRight w:val="0"/>
      <w:marTop w:val="0"/>
      <w:marBottom w:val="0"/>
      <w:divBdr>
        <w:top w:val="none" w:sz="0" w:space="0" w:color="auto"/>
        <w:left w:val="none" w:sz="0" w:space="0" w:color="auto"/>
        <w:bottom w:val="none" w:sz="0" w:space="0" w:color="auto"/>
        <w:right w:val="none" w:sz="0" w:space="0" w:color="auto"/>
      </w:divBdr>
    </w:div>
    <w:div w:id="744567009">
      <w:bodyDiv w:val="1"/>
      <w:marLeft w:val="0"/>
      <w:marRight w:val="0"/>
      <w:marTop w:val="0"/>
      <w:marBottom w:val="0"/>
      <w:divBdr>
        <w:top w:val="none" w:sz="0" w:space="0" w:color="auto"/>
        <w:left w:val="none" w:sz="0" w:space="0" w:color="auto"/>
        <w:bottom w:val="none" w:sz="0" w:space="0" w:color="auto"/>
        <w:right w:val="none" w:sz="0" w:space="0" w:color="auto"/>
      </w:divBdr>
    </w:div>
    <w:div w:id="758480841">
      <w:bodyDiv w:val="1"/>
      <w:marLeft w:val="0"/>
      <w:marRight w:val="0"/>
      <w:marTop w:val="0"/>
      <w:marBottom w:val="0"/>
      <w:divBdr>
        <w:top w:val="none" w:sz="0" w:space="0" w:color="auto"/>
        <w:left w:val="none" w:sz="0" w:space="0" w:color="auto"/>
        <w:bottom w:val="none" w:sz="0" w:space="0" w:color="auto"/>
        <w:right w:val="none" w:sz="0" w:space="0" w:color="auto"/>
      </w:divBdr>
    </w:div>
    <w:div w:id="768626554">
      <w:bodyDiv w:val="1"/>
      <w:marLeft w:val="0"/>
      <w:marRight w:val="0"/>
      <w:marTop w:val="0"/>
      <w:marBottom w:val="0"/>
      <w:divBdr>
        <w:top w:val="none" w:sz="0" w:space="0" w:color="auto"/>
        <w:left w:val="none" w:sz="0" w:space="0" w:color="auto"/>
        <w:bottom w:val="none" w:sz="0" w:space="0" w:color="auto"/>
        <w:right w:val="none" w:sz="0" w:space="0" w:color="auto"/>
      </w:divBdr>
    </w:div>
    <w:div w:id="781415913">
      <w:bodyDiv w:val="1"/>
      <w:marLeft w:val="0"/>
      <w:marRight w:val="0"/>
      <w:marTop w:val="0"/>
      <w:marBottom w:val="0"/>
      <w:divBdr>
        <w:top w:val="none" w:sz="0" w:space="0" w:color="auto"/>
        <w:left w:val="none" w:sz="0" w:space="0" w:color="auto"/>
        <w:bottom w:val="none" w:sz="0" w:space="0" w:color="auto"/>
        <w:right w:val="none" w:sz="0" w:space="0" w:color="auto"/>
      </w:divBdr>
    </w:div>
    <w:div w:id="782268550">
      <w:bodyDiv w:val="1"/>
      <w:marLeft w:val="0"/>
      <w:marRight w:val="0"/>
      <w:marTop w:val="0"/>
      <w:marBottom w:val="0"/>
      <w:divBdr>
        <w:top w:val="none" w:sz="0" w:space="0" w:color="auto"/>
        <w:left w:val="none" w:sz="0" w:space="0" w:color="auto"/>
        <w:bottom w:val="none" w:sz="0" w:space="0" w:color="auto"/>
        <w:right w:val="none" w:sz="0" w:space="0" w:color="auto"/>
      </w:divBdr>
    </w:div>
    <w:div w:id="796411049">
      <w:bodyDiv w:val="1"/>
      <w:marLeft w:val="0"/>
      <w:marRight w:val="0"/>
      <w:marTop w:val="0"/>
      <w:marBottom w:val="0"/>
      <w:divBdr>
        <w:top w:val="none" w:sz="0" w:space="0" w:color="auto"/>
        <w:left w:val="none" w:sz="0" w:space="0" w:color="auto"/>
        <w:bottom w:val="none" w:sz="0" w:space="0" w:color="auto"/>
        <w:right w:val="none" w:sz="0" w:space="0" w:color="auto"/>
      </w:divBdr>
    </w:div>
    <w:div w:id="802769256">
      <w:bodyDiv w:val="1"/>
      <w:marLeft w:val="0"/>
      <w:marRight w:val="0"/>
      <w:marTop w:val="0"/>
      <w:marBottom w:val="0"/>
      <w:divBdr>
        <w:top w:val="none" w:sz="0" w:space="0" w:color="auto"/>
        <w:left w:val="none" w:sz="0" w:space="0" w:color="auto"/>
        <w:bottom w:val="none" w:sz="0" w:space="0" w:color="auto"/>
        <w:right w:val="none" w:sz="0" w:space="0" w:color="auto"/>
      </w:divBdr>
    </w:div>
    <w:div w:id="807430121">
      <w:bodyDiv w:val="1"/>
      <w:marLeft w:val="0"/>
      <w:marRight w:val="0"/>
      <w:marTop w:val="0"/>
      <w:marBottom w:val="0"/>
      <w:divBdr>
        <w:top w:val="none" w:sz="0" w:space="0" w:color="auto"/>
        <w:left w:val="none" w:sz="0" w:space="0" w:color="auto"/>
        <w:bottom w:val="none" w:sz="0" w:space="0" w:color="auto"/>
        <w:right w:val="none" w:sz="0" w:space="0" w:color="auto"/>
      </w:divBdr>
    </w:div>
    <w:div w:id="808786710">
      <w:bodyDiv w:val="1"/>
      <w:marLeft w:val="0"/>
      <w:marRight w:val="0"/>
      <w:marTop w:val="0"/>
      <w:marBottom w:val="0"/>
      <w:divBdr>
        <w:top w:val="none" w:sz="0" w:space="0" w:color="auto"/>
        <w:left w:val="none" w:sz="0" w:space="0" w:color="auto"/>
        <w:bottom w:val="none" w:sz="0" w:space="0" w:color="auto"/>
        <w:right w:val="none" w:sz="0" w:space="0" w:color="auto"/>
      </w:divBdr>
    </w:div>
    <w:div w:id="821967558">
      <w:bodyDiv w:val="1"/>
      <w:marLeft w:val="0"/>
      <w:marRight w:val="0"/>
      <w:marTop w:val="0"/>
      <w:marBottom w:val="0"/>
      <w:divBdr>
        <w:top w:val="none" w:sz="0" w:space="0" w:color="auto"/>
        <w:left w:val="none" w:sz="0" w:space="0" w:color="auto"/>
        <w:bottom w:val="none" w:sz="0" w:space="0" w:color="auto"/>
        <w:right w:val="none" w:sz="0" w:space="0" w:color="auto"/>
      </w:divBdr>
    </w:div>
    <w:div w:id="823088568">
      <w:bodyDiv w:val="1"/>
      <w:marLeft w:val="0"/>
      <w:marRight w:val="0"/>
      <w:marTop w:val="0"/>
      <w:marBottom w:val="0"/>
      <w:divBdr>
        <w:top w:val="none" w:sz="0" w:space="0" w:color="auto"/>
        <w:left w:val="none" w:sz="0" w:space="0" w:color="auto"/>
        <w:bottom w:val="none" w:sz="0" w:space="0" w:color="auto"/>
        <w:right w:val="none" w:sz="0" w:space="0" w:color="auto"/>
      </w:divBdr>
    </w:div>
    <w:div w:id="824051485">
      <w:bodyDiv w:val="1"/>
      <w:marLeft w:val="0"/>
      <w:marRight w:val="0"/>
      <w:marTop w:val="0"/>
      <w:marBottom w:val="0"/>
      <w:divBdr>
        <w:top w:val="none" w:sz="0" w:space="0" w:color="auto"/>
        <w:left w:val="none" w:sz="0" w:space="0" w:color="auto"/>
        <w:bottom w:val="none" w:sz="0" w:space="0" w:color="auto"/>
        <w:right w:val="none" w:sz="0" w:space="0" w:color="auto"/>
      </w:divBdr>
    </w:div>
    <w:div w:id="829490825">
      <w:bodyDiv w:val="1"/>
      <w:marLeft w:val="0"/>
      <w:marRight w:val="0"/>
      <w:marTop w:val="0"/>
      <w:marBottom w:val="0"/>
      <w:divBdr>
        <w:top w:val="none" w:sz="0" w:space="0" w:color="auto"/>
        <w:left w:val="none" w:sz="0" w:space="0" w:color="auto"/>
        <w:bottom w:val="none" w:sz="0" w:space="0" w:color="auto"/>
        <w:right w:val="none" w:sz="0" w:space="0" w:color="auto"/>
      </w:divBdr>
    </w:div>
    <w:div w:id="834566401">
      <w:bodyDiv w:val="1"/>
      <w:marLeft w:val="0"/>
      <w:marRight w:val="0"/>
      <w:marTop w:val="0"/>
      <w:marBottom w:val="0"/>
      <w:divBdr>
        <w:top w:val="none" w:sz="0" w:space="0" w:color="auto"/>
        <w:left w:val="none" w:sz="0" w:space="0" w:color="auto"/>
        <w:bottom w:val="none" w:sz="0" w:space="0" w:color="auto"/>
        <w:right w:val="none" w:sz="0" w:space="0" w:color="auto"/>
      </w:divBdr>
    </w:div>
    <w:div w:id="843277440">
      <w:bodyDiv w:val="1"/>
      <w:marLeft w:val="0"/>
      <w:marRight w:val="0"/>
      <w:marTop w:val="0"/>
      <w:marBottom w:val="0"/>
      <w:divBdr>
        <w:top w:val="none" w:sz="0" w:space="0" w:color="auto"/>
        <w:left w:val="none" w:sz="0" w:space="0" w:color="auto"/>
        <w:bottom w:val="none" w:sz="0" w:space="0" w:color="auto"/>
        <w:right w:val="none" w:sz="0" w:space="0" w:color="auto"/>
      </w:divBdr>
    </w:div>
    <w:div w:id="848720396">
      <w:bodyDiv w:val="1"/>
      <w:marLeft w:val="0"/>
      <w:marRight w:val="0"/>
      <w:marTop w:val="0"/>
      <w:marBottom w:val="0"/>
      <w:divBdr>
        <w:top w:val="none" w:sz="0" w:space="0" w:color="auto"/>
        <w:left w:val="none" w:sz="0" w:space="0" w:color="auto"/>
        <w:bottom w:val="none" w:sz="0" w:space="0" w:color="auto"/>
        <w:right w:val="none" w:sz="0" w:space="0" w:color="auto"/>
      </w:divBdr>
    </w:div>
    <w:div w:id="857814681">
      <w:bodyDiv w:val="1"/>
      <w:marLeft w:val="0"/>
      <w:marRight w:val="0"/>
      <w:marTop w:val="0"/>
      <w:marBottom w:val="0"/>
      <w:divBdr>
        <w:top w:val="none" w:sz="0" w:space="0" w:color="auto"/>
        <w:left w:val="none" w:sz="0" w:space="0" w:color="auto"/>
        <w:bottom w:val="none" w:sz="0" w:space="0" w:color="auto"/>
        <w:right w:val="none" w:sz="0" w:space="0" w:color="auto"/>
      </w:divBdr>
    </w:div>
    <w:div w:id="869411862">
      <w:bodyDiv w:val="1"/>
      <w:marLeft w:val="0"/>
      <w:marRight w:val="0"/>
      <w:marTop w:val="0"/>
      <w:marBottom w:val="0"/>
      <w:divBdr>
        <w:top w:val="none" w:sz="0" w:space="0" w:color="auto"/>
        <w:left w:val="none" w:sz="0" w:space="0" w:color="auto"/>
        <w:bottom w:val="none" w:sz="0" w:space="0" w:color="auto"/>
        <w:right w:val="none" w:sz="0" w:space="0" w:color="auto"/>
      </w:divBdr>
    </w:div>
    <w:div w:id="883365490">
      <w:bodyDiv w:val="1"/>
      <w:marLeft w:val="0"/>
      <w:marRight w:val="0"/>
      <w:marTop w:val="0"/>
      <w:marBottom w:val="0"/>
      <w:divBdr>
        <w:top w:val="none" w:sz="0" w:space="0" w:color="auto"/>
        <w:left w:val="none" w:sz="0" w:space="0" w:color="auto"/>
        <w:bottom w:val="none" w:sz="0" w:space="0" w:color="auto"/>
        <w:right w:val="none" w:sz="0" w:space="0" w:color="auto"/>
      </w:divBdr>
    </w:div>
    <w:div w:id="883560135">
      <w:bodyDiv w:val="1"/>
      <w:marLeft w:val="0"/>
      <w:marRight w:val="0"/>
      <w:marTop w:val="0"/>
      <w:marBottom w:val="0"/>
      <w:divBdr>
        <w:top w:val="none" w:sz="0" w:space="0" w:color="auto"/>
        <w:left w:val="none" w:sz="0" w:space="0" w:color="auto"/>
        <w:bottom w:val="none" w:sz="0" w:space="0" w:color="auto"/>
        <w:right w:val="none" w:sz="0" w:space="0" w:color="auto"/>
      </w:divBdr>
    </w:div>
    <w:div w:id="906035613">
      <w:bodyDiv w:val="1"/>
      <w:marLeft w:val="0"/>
      <w:marRight w:val="0"/>
      <w:marTop w:val="0"/>
      <w:marBottom w:val="0"/>
      <w:divBdr>
        <w:top w:val="none" w:sz="0" w:space="0" w:color="auto"/>
        <w:left w:val="none" w:sz="0" w:space="0" w:color="auto"/>
        <w:bottom w:val="none" w:sz="0" w:space="0" w:color="auto"/>
        <w:right w:val="none" w:sz="0" w:space="0" w:color="auto"/>
      </w:divBdr>
    </w:div>
    <w:div w:id="906722747">
      <w:bodyDiv w:val="1"/>
      <w:marLeft w:val="0"/>
      <w:marRight w:val="0"/>
      <w:marTop w:val="0"/>
      <w:marBottom w:val="0"/>
      <w:divBdr>
        <w:top w:val="none" w:sz="0" w:space="0" w:color="auto"/>
        <w:left w:val="none" w:sz="0" w:space="0" w:color="auto"/>
        <w:bottom w:val="none" w:sz="0" w:space="0" w:color="auto"/>
        <w:right w:val="none" w:sz="0" w:space="0" w:color="auto"/>
      </w:divBdr>
    </w:div>
    <w:div w:id="921371043">
      <w:bodyDiv w:val="1"/>
      <w:marLeft w:val="0"/>
      <w:marRight w:val="0"/>
      <w:marTop w:val="0"/>
      <w:marBottom w:val="0"/>
      <w:divBdr>
        <w:top w:val="none" w:sz="0" w:space="0" w:color="auto"/>
        <w:left w:val="none" w:sz="0" w:space="0" w:color="auto"/>
        <w:bottom w:val="none" w:sz="0" w:space="0" w:color="auto"/>
        <w:right w:val="none" w:sz="0" w:space="0" w:color="auto"/>
      </w:divBdr>
    </w:div>
    <w:div w:id="938635486">
      <w:bodyDiv w:val="1"/>
      <w:marLeft w:val="0"/>
      <w:marRight w:val="0"/>
      <w:marTop w:val="0"/>
      <w:marBottom w:val="0"/>
      <w:divBdr>
        <w:top w:val="none" w:sz="0" w:space="0" w:color="auto"/>
        <w:left w:val="none" w:sz="0" w:space="0" w:color="auto"/>
        <w:bottom w:val="none" w:sz="0" w:space="0" w:color="auto"/>
        <w:right w:val="none" w:sz="0" w:space="0" w:color="auto"/>
      </w:divBdr>
    </w:div>
    <w:div w:id="960182516">
      <w:bodyDiv w:val="1"/>
      <w:marLeft w:val="0"/>
      <w:marRight w:val="0"/>
      <w:marTop w:val="0"/>
      <w:marBottom w:val="0"/>
      <w:divBdr>
        <w:top w:val="none" w:sz="0" w:space="0" w:color="auto"/>
        <w:left w:val="none" w:sz="0" w:space="0" w:color="auto"/>
        <w:bottom w:val="none" w:sz="0" w:space="0" w:color="auto"/>
        <w:right w:val="none" w:sz="0" w:space="0" w:color="auto"/>
      </w:divBdr>
    </w:div>
    <w:div w:id="971911281">
      <w:bodyDiv w:val="1"/>
      <w:marLeft w:val="0"/>
      <w:marRight w:val="0"/>
      <w:marTop w:val="0"/>
      <w:marBottom w:val="0"/>
      <w:divBdr>
        <w:top w:val="none" w:sz="0" w:space="0" w:color="auto"/>
        <w:left w:val="none" w:sz="0" w:space="0" w:color="auto"/>
        <w:bottom w:val="none" w:sz="0" w:space="0" w:color="auto"/>
        <w:right w:val="none" w:sz="0" w:space="0" w:color="auto"/>
      </w:divBdr>
    </w:div>
    <w:div w:id="975720757">
      <w:bodyDiv w:val="1"/>
      <w:marLeft w:val="0"/>
      <w:marRight w:val="0"/>
      <w:marTop w:val="0"/>
      <w:marBottom w:val="0"/>
      <w:divBdr>
        <w:top w:val="none" w:sz="0" w:space="0" w:color="auto"/>
        <w:left w:val="none" w:sz="0" w:space="0" w:color="auto"/>
        <w:bottom w:val="none" w:sz="0" w:space="0" w:color="auto"/>
        <w:right w:val="none" w:sz="0" w:space="0" w:color="auto"/>
      </w:divBdr>
    </w:div>
    <w:div w:id="984163285">
      <w:bodyDiv w:val="1"/>
      <w:marLeft w:val="0"/>
      <w:marRight w:val="0"/>
      <w:marTop w:val="0"/>
      <w:marBottom w:val="0"/>
      <w:divBdr>
        <w:top w:val="none" w:sz="0" w:space="0" w:color="auto"/>
        <w:left w:val="none" w:sz="0" w:space="0" w:color="auto"/>
        <w:bottom w:val="none" w:sz="0" w:space="0" w:color="auto"/>
        <w:right w:val="none" w:sz="0" w:space="0" w:color="auto"/>
      </w:divBdr>
    </w:div>
    <w:div w:id="992369449">
      <w:bodyDiv w:val="1"/>
      <w:marLeft w:val="0"/>
      <w:marRight w:val="0"/>
      <w:marTop w:val="0"/>
      <w:marBottom w:val="0"/>
      <w:divBdr>
        <w:top w:val="none" w:sz="0" w:space="0" w:color="auto"/>
        <w:left w:val="none" w:sz="0" w:space="0" w:color="auto"/>
        <w:bottom w:val="none" w:sz="0" w:space="0" w:color="auto"/>
        <w:right w:val="none" w:sz="0" w:space="0" w:color="auto"/>
      </w:divBdr>
    </w:div>
    <w:div w:id="1006130592">
      <w:bodyDiv w:val="1"/>
      <w:marLeft w:val="0"/>
      <w:marRight w:val="0"/>
      <w:marTop w:val="0"/>
      <w:marBottom w:val="0"/>
      <w:divBdr>
        <w:top w:val="none" w:sz="0" w:space="0" w:color="auto"/>
        <w:left w:val="none" w:sz="0" w:space="0" w:color="auto"/>
        <w:bottom w:val="none" w:sz="0" w:space="0" w:color="auto"/>
        <w:right w:val="none" w:sz="0" w:space="0" w:color="auto"/>
      </w:divBdr>
    </w:div>
    <w:div w:id="1012797301">
      <w:bodyDiv w:val="1"/>
      <w:marLeft w:val="0"/>
      <w:marRight w:val="0"/>
      <w:marTop w:val="0"/>
      <w:marBottom w:val="0"/>
      <w:divBdr>
        <w:top w:val="none" w:sz="0" w:space="0" w:color="auto"/>
        <w:left w:val="none" w:sz="0" w:space="0" w:color="auto"/>
        <w:bottom w:val="none" w:sz="0" w:space="0" w:color="auto"/>
        <w:right w:val="none" w:sz="0" w:space="0" w:color="auto"/>
      </w:divBdr>
    </w:div>
    <w:div w:id="1014772621">
      <w:bodyDiv w:val="1"/>
      <w:marLeft w:val="0"/>
      <w:marRight w:val="0"/>
      <w:marTop w:val="0"/>
      <w:marBottom w:val="0"/>
      <w:divBdr>
        <w:top w:val="none" w:sz="0" w:space="0" w:color="auto"/>
        <w:left w:val="none" w:sz="0" w:space="0" w:color="auto"/>
        <w:bottom w:val="none" w:sz="0" w:space="0" w:color="auto"/>
        <w:right w:val="none" w:sz="0" w:space="0" w:color="auto"/>
      </w:divBdr>
    </w:div>
    <w:div w:id="1017846142">
      <w:bodyDiv w:val="1"/>
      <w:marLeft w:val="0"/>
      <w:marRight w:val="0"/>
      <w:marTop w:val="0"/>
      <w:marBottom w:val="0"/>
      <w:divBdr>
        <w:top w:val="none" w:sz="0" w:space="0" w:color="auto"/>
        <w:left w:val="none" w:sz="0" w:space="0" w:color="auto"/>
        <w:bottom w:val="none" w:sz="0" w:space="0" w:color="auto"/>
        <w:right w:val="none" w:sz="0" w:space="0" w:color="auto"/>
      </w:divBdr>
    </w:div>
    <w:div w:id="1019353594">
      <w:bodyDiv w:val="1"/>
      <w:marLeft w:val="0"/>
      <w:marRight w:val="0"/>
      <w:marTop w:val="0"/>
      <w:marBottom w:val="0"/>
      <w:divBdr>
        <w:top w:val="none" w:sz="0" w:space="0" w:color="auto"/>
        <w:left w:val="none" w:sz="0" w:space="0" w:color="auto"/>
        <w:bottom w:val="none" w:sz="0" w:space="0" w:color="auto"/>
        <w:right w:val="none" w:sz="0" w:space="0" w:color="auto"/>
      </w:divBdr>
    </w:div>
    <w:div w:id="1021468147">
      <w:bodyDiv w:val="1"/>
      <w:marLeft w:val="0"/>
      <w:marRight w:val="0"/>
      <w:marTop w:val="0"/>
      <w:marBottom w:val="0"/>
      <w:divBdr>
        <w:top w:val="none" w:sz="0" w:space="0" w:color="auto"/>
        <w:left w:val="none" w:sz="0" w:space="0" w:color="auto"/>
        <w:bottom w:val="none" w:sz="0" w:space="0" w:color="auto"/>
        <w:right w:val="none" w:sz="0" w:space="0" w:color="auto"/>
      </w:divBdr>
    </w:div>
    <w:div w:id="1027413582">
      <w:bodyDiv w:val="1"/>
      <w:marLeft w:val="0"/>
      <w:marRight w:val="0"/>
      <w:marTop w:val="0"/>
      <w:marBottom w:val="0"/>
      <w:divBdr>
        <w:top w:val="none" w:sz="0" w:space="0" w:color="auto"/>
        <w:left w:val="none" w:sz="0" w:space="0" w:color="auto"/>
        <w:bottom w:val="none" w:sz="0" w:space="0" w:color="auto"/>
        <w:right w:val="none" w:sz="0" w:space="0" w:color="auto"/>
      </w:divBdr>
    </w:div>
    <w:div w:id="1027561384">
      <w:bodyDiv w:val="1"/>
      <w:marLeft w:val="0"/>
      <w:marRight w:val="0"/>
      <w:marTop w:val="0"/>
      <w:marBottom w:val="0"/>
      <w:divBdr>
        <w:top w:val="none" w:sz="0" w:space="0" w:color="auto"/>
        <w:left w:val="none" w:sz="0" w:space="0" w:color="auto"/>
        <w:bottom w:val="none" w:sz="0" w:space="0" w:color="auto"/>
        <w:right w:val="none" w:sz="0" w:space="0" w:color="auto"/>
      </w:divBdr>
    </w:div>
    <w:div w:id="1032416280">
      <w:bodyDiv w:val="1"/>
      <w:marLeft w:val="0"/>
      <w:marRight w:val="0"/>
      <w:marTop w:val="0"/>
      <w:marBottom w:val="0"/>
      <w:divBdr>
        <w:top w:val="none" w:sz="0" w:space="0" w:color="auto"/>
        <w:left w:val="none" w:sz="0" w:space="0" w:color="auto"/>
        <w:bottom w:val="none" w:sz="0" w:space="0" w:color="auto"/>
        <w:right w:val="none" w:sz="0" w:space="0" w:color="auto"/>
      </w:divBdr>
    </w:div>
    <w:div w:id="1032851084">
      <w:bodyDiv w:val="1"/>
      <w:marLeft w:val="0"/>
      <w:marRight w:val="0"/>
      <w:marTop w:val="0"/>
      <w:marBottom w:val="0"/>
      <w:divBdr>
        <w:top w:val="none" w:sz="0" w:space="0" w:color="auto"/>
        <w:left w:val="none" w:sz="0" w:space="0" w:color="auto"/>
        <w:bottom w:val="none" w:sz="0" w:space="0" w:color="auto"/>
        <w:right w:val="none" w:sz="0" w:space="0" w:color="auto"/>
      </w:divBdr>
    </w:div>
    <w:div w:id="1033111401">
      <w:bodyDiv w:val="1"/>
      <w:marLeft w:val="0"/>
      <w:marRight w:val="0"/>
      <w:marTop w:val="0"/>
      <w:marBottom w:val="0"/>
      <w:divBdr>
        <w:top w:val="none" w:sz="0" w:space="0" w:color="auto"/>
        <w:left w:val="none" w:sz="0" w:space="0" w:color="auto"/>
        <w:bottom w:val="none" w:sz="0" w:space="0" w:color="auto"/>
        <w:right w:val="none" w:sz="0" w:space="0" w:color="auto"/>
      </w:divBdr>
    </w:div>
    <w:div w:id="1054506861">
      <w:bodyDiv w:val="1"/>
      <w:marLeft w:val="0"/>
      <w:marRight w:val="0"/>
      <w:marTop w:val="0"/>
      <w:marBottom w:val="0"/>
      <w:divBdr>
        <w:top w:val="none" w:sz="0" w:space="0" w:color="auto"/>
        <w:left w:val="none" w:sz="0" w:space="0" w:color="auto"/>
        <w:bottom w:val="none" w:sz="0" w:space="0" w:color="auto"/>
        <w:right w:val="none" w:sz="0" w:space="0" w:color="auto"/>
      </w:divBdr>
    </w:div>
    <w:div w:id="1059137797">
      <w:bodyDiv w:val="1"/>
      <w:marLeft w:val="0"/>
      <w:marRight w:val="0"/>
      <w:marTop w:val="0"/>
      <w:marBottom w:val="0"/>
      <w:divBdr>
        <w:top w:val="none" w:sz="0" w:space="0" w:color="auto"/>
        <w:left w:val="none" w:sz="0" w:space="0" w:color="auto"/>
        <w:bottom w:val="none" w:sz="0" w:space="0" w:color="auto"/>
        <w:right w:val="none" w:sz="0" w:space="0" w:color="auto"/>
      </w:divBdr>
    </w:div>
    <w:div w:id="1067218170">
      <w:bodyDiv w:val="1"/>
      <w:marLeft w:val="0"/>
      <w:marRight w:val="0"/>
      <w:marTop w:val="0"/>
      <w:marBottom w:val="0"/>
      <w:divBdr>
        <w:top w:val="none" w:sz="0" w:space="0" w:color="auto"/>
        <w:left w:val="none" w:sz="0" w:space="0" w:color="auto"/>
        <w:bottom w:val="none" w:sz="0" w:space="0" w:color="auto"/>
        <w:right w:val="none" w:sz="0" w:space="0" w:color="auto"/>
      </w:divBdr>
    </w:div>
    <w:div w:id="1068500386">
      <w:bodyDiv w:val="1"/>
      <w:marLeft w:val="0"/>
      <w:marRight w:val="0"/>
      <w:marTop w:val="0"/>
      <w:marBottom w:val="0"/>
      <w:divBdr>
        <w:top w:val="none" w:sz="0" w:space="0" w:color="auto"/>
        <w:left w:val="none" w:sz="0" w:space="0" w:color="auto"/>
        <w:bottom w:val="none" w:sz="0" w:space="0" w:color="auto"/>
        <w:right w:val="none" w:sz="0" w:space="0" w:color="auto"/>
      </w:divBdr>
    </w:div>
    <w:div w:id="1070271710">
      <w:bodyDiv w:val="1"/>
      <w:marLeft w:val="0"/>
      <w:marRight w:val="0"/>
      <w:marTop w:val="0"/>
      <w:marBottom w:val="0"/>
      <w:divBdr>
        <w:top w:val="none" w:sz="0" w:space="0" w:color="auto"/>
        <w:left w:val="none" w:sz="0" w:space="0" w:color="auto"/>
        <w:bottom w:val="none" w:sz="0" w:space="0" w:color="auto"/>
        <w:right w:val="none" w:sz="0" w:space="0" w:color="auto"/>
      </w:divBdr>
    </w:div>
    <w:div w:id="1073284474">
      <w:bodyDiv w:val="1"/>
      <w:marLeft w:val="0"/>
      <w:marRight w:val="0"/>
      <w:marTop w:val="0"/>
      <w:marBottom w:val="0"/>
      <w:divBdr>
        <w:top w:val="none" w:sz="0" w:space="0" w:color="auto"/>
        <w:left w:val="none" w:sz="0" w:space="0" w:color="auto"/>
        <w:bottom w:val="none" w:sz="0" w:space="0" w:color="auto"/>
        <w:right w:val="none" w:sz="0" w:space="0" w:color="auto"/>
      </w:divBdr>
    </w:div>
    <w:div w:id="1075274297">
      <w:bodyDiv w:val="1"/>
      <w:marLeft w:val="0"/>
      <w:marRight w:val="0"/>
      <w:marTop w:val="0"/>
      <w:marBottom w:val="0"/>
      <w:divBdr>
        <w:top w:val="none" w:sz="0" w:space="0" w:color="auto"/>
        <w:left w:val="none" w:sz="0" w:space="0" w:color="auto"/>
        <w:bottom w:val="none" w:sz="0" w:space="0" w:color="auto"/>
        <w:right w:val="none" w:sz="0" w:space="0" w:color="auto"/>
      </w:divBdr>
    </w:div>
    <w:div w:id="1076054976">
      <w:bodyDiv w:val="1"/>
      <w:marLeft w:val="0"/>
      <w:marRight w:val="0"/>
      <w:marTop w:val="0"/>
      <w:marBottom w:val="0"/>
      <w:divBdr>
        <w:top w:val="none" w:sz="0" w:space="0" w:color="auto"/>
        <w:left w:val="none" w:sz="0" w:space="0" w:color="auto"/>
        <w:bottom w:val="none" w:sz="0" w:space="0" w:color="auto"/>
        <w:right w:val="none" w:sz="0" w:space="0" w:color="auto"/>
      </w:divBdr>
    </w:div>
    <w:div w:id="1080061432">
      <w:bodyDiv w:val="1"/>
      <w:marLeft w:val="0"/>
      <w:marRight w:val="0"/>
      <w:marTop w:val="0"/>
      <w:marBottom w:val="0"/>
      <w:divBdr>
        <w:top w:val="none" w:sz="0" w:space="0" w:color="auto"/>
        <w:left w:val="none" w:sz="0" w:space="0" w:color="auto"/>
        <w:bottom w:val="none" w:sz="0" w:space="0" w:color="auto"/>
        <w:right w:val="none" w:sz="0" w:space="0" w:color="auto"/>
      </w:divBdr>
    </w:div>
    <w:div w:id="1081760197">
      <w:bodyDiv w:val="1"/>
      <w:marLeft w:val="0"/>
      <w:marRight w:val="0"/>
      <w:marTop w:val="0"/>
      <w:marBottom w:val="0"/>
      <w:divBdr>
        <w:top w:val="none" w:sz="0" w:space="0" w:color="auto"/>
        <w:left w:val="none" w:sz="0" w:space="0" w:color="auto"/>
        <w:bottom w:val="none" w:sz="0" w:space="0" w:color="auto"/>
        <w:right w:val="none" w:sz="0" w:space="0" w:color="auto"/>
      </w:divBdr>
    </w:div>
    <w:div w:id="1098908298">
      <w:bodyDiv w:val="1"/>
      <w:marLeft w:val="0"/>
      <w:marRight w:val="0"/>
      <w:marTop w:val="0"/>
      <w:marBottom w:val="0"/>
      <w:divBdr>
        <w:top w:val="none" w:sz="0" w:space="0" w:color="auto"/>
        <w:left w:val="none" w:sz="0" w:space="0" w:color="auto"/>
        <w:bottom w:val="none" w:sz="0" w:space="0" w:color="auto"/>
        <w:right w:val="none" w:sz="0" w:space="0" w:color="auto"/>
      </w:divBdr>
    </w:div>
    <w:div w:id="1103838369">
      <w:bodyDiv w:val="1"/>
      <w:marLeft w:val="0"/>
      <w:marRight w:val="0"/>
      <w:marTop w:val="0"/>
      <w:marBottom w:val="0"/>
      <w:divBdr>
        <w:top w:val="none" w:sz="0" w:space="0" w:color="auto"/>
        <w:left w:val="none" w:sz="0" w:space="0" w:color="auto"/>
        <w:bottom w:val="none" w:sz="0" w:space="0" w:color="auto"/>
        <w:right w:val="none" w:sz="0" w:space="0" w:color="auto"/>
      </w:divBdr>
    </w:div>
    <w:div w:id="1104425023">
      <w:bodyDiv w:val="1"/>
      <w:marLeft w:val="0"/>
      <w:marRight w:val="0"/>
      <w:marTop w:val="0"/>
      <w:marBottom w:val="0"/>
      <w:divBdr>
        <w:top w:val="none" w:sz="0" w:space="0" w:color="auto"/>
        <w:left w:val="none" w:sz="0" w:space="0" w:color="auto"/>
        <w:bottom w:val="none" w:sz="0" w:space="0" w:color="auto"/>
        <w:right w:val="none" w:sz="0" w:space="0" w:color="auto"/>
      </w:divBdr>
    </w:div>
    <w:div w:id="1105230024">
      <w:bodyDiv w:val="1"/>
      <w:marLeft w:val="0"/>
      <w:marRight w:val="0"/>
      <w:marTop w:val="0"/>
      <w:marBottom w:val="0"/>
      <w:divBdr>
        <w:top w:val="none" w:sz="0" w:space="0" w:color="auto"/>
        <w:left w:val="none" w:sz="0" w:space="0" w:color="auto"/>
        <w:bottom w:val="none" w:sz="0" w:space="0" w:color="auto"/>
        <w:right w:val="none" w:sz="0" w:space="0" w:color="auto"/>
      </w:divBdr>
    </w:div>
    <w:div w:id="1105727518">
      <w:bodyDiv w:val="1"/>
      <w:marLeft w:val="0"/>
      <w:marRight w:val="0"/>
      <w:marTop w:val="0"/>
      <w:marBottom w:val="0"/>
      <w:divBdr>
        <w:top w:val="none" w:sz="0" w:space="0" w:color="auto"/>
        <w:left w:val="none" w:sz="0" w:space="0" w:color="auto"/>
        <w:bottom w:val="none" w:sz="0" w:space="0" w:color="auto"/>
        <w:right w:val="none" w:sz="0" w:space="0" w:color="auto"/>
      </w:divBdr>
    </w:div>
    <w:div w:id="1108699227">
      <w:bodyDiv w:val="1"/>
      <w:marLeft w:val="0"/>
      <w:marRight w:val="0"/>
      <w:marTop w:val="0"/>
      <w:marBottom w:val="0"/>
      <w:divBdr>
        <w:top w:val="none" w:sz="0" w:space="0" w:color="auto"/>
        <w:left w:val="none" w:sz="0" w:space="0" w:color="auto"/>
        <w:bottom w:val="none" w:sz="0" w:space="0" w:color="auto"/>
        <w:right w:val="none" w:sz="0" w:space="0" w:color="auto"/>
      </w:divBdr>
    </w:div>
    <w:div w:id="1113014454">
      <w:bodyDiv w:val="1"/>
      <w:marLeft w:val="0"/>
      <w:marRight w:val="0"/>
      <w:marTop w:val="0"/>
      <w:marBottom w:val="0"/>
      <w:divBdr>
        <w:top w:val="none" w:sz="0" w:space="0" w:color="auto"/>
        <w:left w:val="none" w:sz="0" w:space="0" w:color="auto"/>
        <w:bottom w:val="none" w:sz="0" w:space="0" w:color="auto"/>
        <w:right w:val="none" w:sz="0" w:space="0" w:color="auto"/>
      </w:divBdr>
    </w:div>
    <w:div w:id="1119225450">
      <w:bodyDiv w:val="1"/>
      <w:marLeft w:val="0"/>
      <w:marRight w:val="0"/>
      <w:marTop w:val="0"/>
      <w:marBottom w:val="0"/>
      <w:divBdr>
        <w:top w:val="none" w:sz="0" w:space="0" w:color="auto"/>
        <w:left w:val="none" w:sz="0" w:space="0" w:color="auto"/>
        <w:bottom w:val="none" w:sz="0" w:space="0" w:color="auto"/>
        <w:right w:val="none" w:sz="0" w:space="0" w:color="auto"/>
      </w:divBdr>
    </w:div>
    <w:div w:id="1127358515">
      <w:bodyDiv w:val="1"/>
      <w:marLeft w:val="0"/>
      <w:marRight w:val="0"/>
      <w:marTop w:val="0"/>
      <w:marBottom w:val="0"/>
      <w:divBdr>
        <w:top w:val="none" w:sz="0" w:space="0" w:color="auto"/>
        <w:left w:val="none" w:sz="0" w:space="0" w:color="auto"/>
        <w:bottom w:val="none" w:sz="0" w:space="0" w:color="auto"/>
        <w:right w:val="none" w:sz="0" w:space="0" w:color="auto"/>
      </w:divBdr>
    </w:div>
    <w:div w:id="1132678690">
      <w:bodyDiv w:val="1"/>
      <w:marLeft w:val="0"/>
      <w:marRight w:val="0"/>
      <w:marTop w:val="0"/>
      <w:marBottom w:val="0"/>
      <w:divBdr>
        <w:top w:val="none" w:sz="0" w:space="0" w:color="auto"/>
        <w:left w:val="none" w:sz="0" w:space="0" w:color="auto"/>
        <w:bottom w:val="none" w:sz="0" w:space="0" w:color="auto"/>
        <w:right w:val="none" w:sz="0" w:space="0" w:color="auto"/>
      </w:divBdr>
    </w:div>
    <w:div w:id="1143547403">
      <w:bodyDiv w:val="1"/>
      <w:marLeft w:val="0"/>
      <w:marRight w:val="0"/>
      <w:marTop w:val="0"/>
      <w:marBottom w:val="0"/>
      <w:divBdr>
        <w:top w:val="none" w:sz="0" w:space="0" w:color="auto"/>
        <w:left w:val="none" w:sz="0" w:space="0" w:color="auto"/>
        <w:bottom w:val="none" w:sz="0" w:space="0" w:color="auto"/>
        <w:right w:val="none" w:sz="0" w:space="0" w:color="auto"/>
      </w:divBdr>
    </w:div>
    <w:div w:id="1150756351">
      <w:bodyDiv w:val="1"/>
      <w:marLeft w:val="0"/>
      <w:marRight w:val="0"/>
      <w:marTop w:val="0"/>
      <w:marBottom w:val="0"/>
      <w:divBdr>
        <w:top w:val="none" w:sz="0" w:space="0" w:color="auto"/>
        <w:left w:val="none" w:sz="0" w:space="0" w:color="auto"/>
        <w:bottom w:val="none" w:sz="0" w:space="0" w:color="auto"/>
        <w:right w:val="none" w:sz="0" w:space="0" w:color="auto"/>
      </w:divBdr>
    </w:div>
    <w:div w:id="1160582294">
      <w:bodyDiv w:val="1"/>
      <w:marLeft w:val="0"/>
      <w:marRight w:val="0"/>
      <w:marTop w:val="0"/>
      <w:marBottom w:val="0"/>
      <w:divBdr>
        <w:top w:val="none" w:sz="0" w:space="0" w:color="auto"/>
        <w:left w:val="none" w:sz="0" w:space="0" w:color="auto"/>
        <w:bottom w:val="none" w:sz="0" w:space="0" w:color="auto"/>
        <w:right w:val="none" w:sz="0" w:space="0" w:color="auto"/>
      </w:divBdr>
    </w:div>
    <w:div w:id="1161314806">
      <w:bodyDiv w:val="1"/>
      <w:marLeft w:val="0"/>
      <w:marRight w:val="0"/>
      <w:marTop w:val="0"/>
      <w:marBottom w:val="0"/>
      <w:divBdr>
        <w:top w:val="none" w:sz="0" w:space="0" w:color="auto"/>
        <w:left w:val="none" w:sz="0" w:space="0" w:color="auto"/>
        <w:bottom w:val="none" w:sz="0" w:space="0" w:color="auto"/>
        <w:right w:val="none" w:sz="0" w:space="0" w:color="auto"/>
      </w:divBdr>
    </w:div>
    <w:div w:id="1168835076">
      <w:bodyDiv w:val="1"/>
      <w:marLeft w:val="0"/>
      <w:marRight w:val="0"/>
      <w:marTop w:val="0"/>
      <w:marBottom w:val="0"/>
      <w:divBdr>
        <w:top w:val="none" w:sz="0" w:space="0" w:color="auto"/>
        <w:left w:val="none" w:sz="0" w:space="0" w:color="auto"/>
        <w:bottom w:val="none" w:sz="0" w:space="0" w:color="auto"/>
        <w:right w:val="none" w:sz="0" w:space="0" w:color="auto"/>
      </w:divBdr>
    </w:div>
    <w:div w:id="1171943843">
      <w:bodyDiv w:val="1"/>
      <w:marLeft w:val="0"/>
      <w:marRight w:val="0"/>
      <w:marTop w:val="0"/>
      <w:marBottom w:val="0"/>
      <w:divBdr>
        <w:top w:val="none" w:sz="0" w:space="0" w:color="auto"/>
        <w:left w:val="none" w:sz="0" w:space="0" w:color="auto"/>
        <w:bottom w:val="none" w:sz="0" w:space="0" w:color="auto"/>
        <w:right w:val="none" w:sz="0" w:space="0" w:color="auto"/>
      </w:divBdr>
    </w:div>
    <w:div w:id="1182008652">
      <w:bodyDiv w:val="1"/>
      <w:marLeft w:val="0"/>
      <w:marRight w:val="0"/>
      <w:marTop w:val="0"/>
      <w:marBottom w:val="0"/>
      <w:divBdr>
        <w:top w:val="none" w:sz="0" w:space="0" w:color="auto"/>
        <w:left w:val="none" w:sz="0" w:space="0" w:color="auto"/>
        <w:bottom w:val="none" w:sz="0" w:space="0" w:color="auto"/>
        <w:right w:val="none" w:sz="0" w:space="0" w:color="auto"/>
      </w:divBdr>
    </w:div>
    <w:div w:id="1186410382">
      <w:bodyDiv w:val="1"/>
      <w:marLeft w:val="0"/>
      <w:marRight w:val="0"/>
      <w:marTop w:val="0"/>
      <w:marBottom w:val="0"/>
      <w:divBdr>
        <w:top w:val="none" w:sz="0" w:space="0" w:color="auto"/>
        <w:left w:val="none" w:sz="0" w:space="0" w:color="auto"/>
        <w:bottom w:val="none" w:sz="0" w:space="0" w:color="auto"/>
        <w:right w:val="none" w:sz="0" w:space="0" w:color="auto"/>
      </w:divBdr>
    </w:div>
    <w:div w:id="1194003476">
      <w:bodyDiv w:val="1"/>
      <w:marLeft w:val="0"/>
      <w:marRight w:val="0"/>
      <w:marTop w:val="0"/>
      <w:marBottom w:val="0"/>
      <w:divBdr>
        <w:top w:val="none" w:sz="0" w:space="0" w:color="auto"/>
        <w:left w:val="none" w:sz="0" w:space="0" w:color="auto"/>
        <w:bottom w:val="none" w:sz="0" w:space="0" w:color="auto"/>
        <w:right w:val="none" w:sz="0" w:space="0" w:color="auto"/>
      </w:divBdr>
    </w:div>
    <w:div w:id="1208488451">
      <w:bodyDiv w:val="1"/>
      <w:marLeft w:val="0"/>
      <w:marRight w:val="0"/>
      <w:marTop w:val="0"/>
      <w:marBottom w:val="0"/>
      <w:divBdr>
        <w:top w:val="none" w:sz="0" w:space="0" w:color="auto"/>
        <w:left w:val="none" w:sz="0" w:space="0" w:color="auto"/>
        <w:bottom w:val="none" w:sz="0" w:space="0" w:color="auto"/>
        <w:right w:val="none" w:sz="0" w:space="0" w:color="auto"/>
      </w:divBdr>
    </w:div>
    <w:div w:id="1220170930">
      <w:bodyDiv w:val="1"/>
      <w:marLeft w:val="0"/>
      <w:marRight w:val="0"/>
      <w:marTop w:val="0"/>
      <w:marBottom w:val="0"/>
      <w:divBdr>
        <w:top w:val="none" w:sz="0" w:space="0" w:color="auto"/>
        <w:left w:val="none" w:sz="0" w:space="0" w:color="auto"/>
        <w:bottom w:val="none" w:sz="0" w:space="0" w:color="auto"/>
        <w:right w:val="none" w:sz="0" w:space="0" w:color="auto"/>
      </w:divBdr>
    </w:div>
    <w:div w:id="1225994045">
      <w:bodyDiv w:val="1"/>
      <w:marLeft w:val="0"/>
      <w:marRight w:val="0"/>
      <w:marTop w:val="0"/>
      <w:marBottom w:val="0"/>
      <w:divBdr>
        <w:top w:val="none" w:sz="0" w:space="0" w:color="auto"/>
        <w:left w:val="none" w:sz="0" w:space="0" w:color="auto"/>
        <w:bottom w:val="none" w:sz="0" w:space="0" w:color="auto"/>
        <w:right w:val="none" w:sz="0" w:space="0" w:color="auto"/>
      </w:divBdr>
    </w:div>
    <w:div w:id="1231191148">
      <w:bodyDiv w:val="1"/>
      <w:marLeft w:val="0"/>
      <w:marRight w:val="0"/>
      <w:marTop w:val="0"/>
      <w:marBottom w:val="0"/>
      <w:divBdr>
        <w:top w:val="none" w:sz="0" w:space="0" w:color="auto"/>
        <w:left w:val="none" w:sz="0" w:space="0" w:color="auto"/>
        <w:bottom w:val="none" w:sz="0" w:space="0" w:color="auto"/>
        <w:right w:val="none" w:sz="0" w:space="0" w:color="auto"/>
      </w:divBdr>
    </w:div>
    <w:div w:id="1233203298">
      <w:bodyDiv w:val="1"/>
      <w:marLeft w:val="0"/>
      <w:marRight w:val="0"/>
      <w:marTop w:val="0"/>
      <w:marBottom w:val="0"/>
      <w:divBdr>
        <w:top w:val="none" w:sz="0" w:space="0" w:color="auto"/>
        <w:left w:val="none" w:sz="0" w:space="0" w:color="auto"/>
        <w:bottom w:val="none" w:sz="0" w:space="0" w:color="auto"/>
        <w:right w:val="none" w:sz="0" w:space="0" w:color="auto"/>
      </w:divBdr>
    </w:div>
    <w:div w:id="1248230409">
      <w:bodyDiv w:val="1"/>
      <w:marLeft w:val="0"/>
      <w:marRight w:val="0"/>
      <w:marTop w:val="0"/>
      <w:marBottom w:val="0"/>
      <w:divBdr>
        <w:top w:val="none" w:sz="0" w:space="0" w:color="auto"/>
        <w:left w:val="none" w:sz="0" w:space="0" w:color="auto"/>
        <w:bottom w:val="none" w:sz="0" w:space="0" w:color="auto"/>
        <w:right w:val="none" w:sz="0" w:space="0" w:color="auto"/>
      </w:divBdr>
    </w:div>
    <w:div w:id="1262029283">
      <w:bodyDiv w:val="1"/>
      <w:marLeft w:val="0"/>
      <w:marRight w:val="0"/>
      <w:marTop w:val="0"/>
      <w:marBottom w:val="0"/>
      <w:divBdr>
        <w:top w:val="none" w:sz="0" w:space="0" w:color="auto"/>
        <w:left w:val="none" w:sz="0" w:space="0" w:color="auto"/>
        <w:bottom w:val="none" w:sz="0" w:space="0" w:color="auto"/>
        <w:right w:val="none" w:sz="0" w:space="0" w:color="auto"/>
      </w:divBdr>
    </w:div>
    <w:div w:id="1294016936">
      <w:bodyDiv w:val="1"/>
      <w:marLeft w:val="0"/>
      <w:marRight w:val="0"/>
      <w:marTop w:val="0"/>
      <w:marBottom w:val="0"/>
      <w:divBdr>
        <w:top w:val="none" w:sz="0" w:space="0" w:color="auto"/>
        <w:left w:val="none" w:sz="0" w:space="0" w:color="auto"/>
        <w:bottom w:val="none" w:sz="0" w:space="0" w:color="auto"/>
        <w:right w:val="none" w:sz="0" w:space="0" w:color="auto"/>
      </w:divBdr>
    </w:div>
    <w:div w:id="1323000295">
      <w:bodyDiv w:val="1"/>
      <w:marLeft w:val="0"/>
      <w:marRight w:val="0"/>
      <w:marTop w:val="0"/>
      <w:marBottom w:val="0"/>
      <w:divBdr>
        <w:top w:val="none" w:sz="0" w:space="0" w:color="auto"/>
        <w:left w:val="none" w:sz="0" w:space="0" w:color="auto"/>
        <w:bottom w:val="none" w:sz="0" w:space="0" w:color="auto"/>
        <w:right w:val="none" w:sz="0" w:space="0" w:color="auto"/>
      </w:divBdr>
    </w:div>
    <w:div w:id="1324965516">
      <w:bodyDiv w:val="1"/>
      <w:marLeft w:val="0"/>
      <w:marRight w:val="0"/>
      <w:marTop w:val="0"/>
      <w:marBottom w:val="0"/>
      <w:divBdr>
        <w:top w:val="none" w:sz="0" w:space="0" w:color="auto"/>
        <w:left w:val="none" w:sz="0" w:space="0" w:color="auto"/>
        <w:bottom w:val="none" w:sz="0" w:space="0" w:color="auto"/>
        <w:right w:val="none" w:sz="0" w:space="0" w:color="auto"/>
      </w:divBdr>
    </w:div>
    <w:div w:id="1327516441">
      <w:bodyDiv w:val="1"/>
      <w:marLeft w:val="0"/>
      <w:marRight w:val="0"/>
      <w:marTop w:val="0"/>
      <w:marBottom w:val="0"/>
      <w:divBdr>
        <w:top w:val="none" w:sz="0" w:space="0" w:color="auto"/>
        <w:left w:val="none" w:sz="0" w:space="0" w:color="auto"/>
        <w:bottom w:val="none" w:sz="0" w:space="0" w:color="auto"/>
        <w:right w:val="none" w:sz="0" w:space="0" w:color="auto"/>
      </w:divBdr>
    </w:div>
    <w:div w:id="1345403201">
      <w:bodyDiv w:val="1"/>
      <w:marLeft w:val="0"/>
      <w:marRight w:val="0"/>
      <w:marTop w:val="0"/>
      <w:marBottom w:val="0"/>
      <w:divBdr>
        <w:top w:val="none" w:sz="0" w:space="0" w:color="auto"/>
        <w:left w:val="none" w:sz="0" w:space="0" w:color="auto"/>
        <w:bottom w:val="none" w:sz="0" w:space="0" w:color="auto"/>
        <w:right w:val="none" w:sz="0" w:space="0" w:color="auto"/>
      </w:divBdr>
    </w:div>
    <w:div w:id="1350252620">
      <w:bodyDiv w:val="1"/>
      <w:marLeft w:val="0"/>
      <w:marRight w:val="0"/>
      <w:marTop w:val="0"/>
      <w:marBottom w:val="0"/>
      <w:divBdr>
        <w:top w:val="none" w:sz="0" w:space="0" w:color="auto"/>
        <w:left w:val="none" w:sz="0" w:space="0" w:color="auto"/>
        <w:bottom w:val="none" w:sz="0" w:space="0" w:color="auto"/>
        <w:right w:val="none" w:sz="0" w:space="0" w:color="auto"/>
      </w:divBdr>
    </w:div>
    <w:div w:id="1367948005">
      <w:bodyDiv w:val="1"/>
      <w:marLeft w:val="0"/>
      <w:marRight w:val="0"/>
      <w:marTop w:val="0"/>
      <w:marBottom w:val="0"/>
      <w:divBdr>
        <w:top w:val="none" w:sz="0" w:space="0" w:color="auto"/>
        <w:left w:val="none" w:sz="0" w:space="0" w:color="auto"/>
        <w:bottom w:val="none" w:sz="0" w:space="0" w:color="auto"/>
        <w:right w:val="none" w:sz="0" w:space="0" w:color="auto"/>
      </w:divBdr>
    </w:div>
    <w:div w:id="1368096752">
      <w:bodyDiv w:val="1"/>
      <w:marLeft w:val="0"/>
      <w:marRight w:val="0"/>
      <w:marTop w:val="0"/>
      <w:marBottom w:val="0"/>
      <w:divBdr>
        <w:top w:val="none" w:sz="0" w:space="0" w:color="auto"/>
        <w:left w:val="none" w:sz="0" w:space="0" w:color="auto"/>
        <w:bottom w:val="none" w:sz="0" w:space="0" w:color="auto"/>
        <w:right w:val="none" w:sz="0" w:space="0" w:color="auto"/>
      </w:divBdr>
    </w:div>
    <w:div w:id="1375882170">
      <w:bodyDiv w:val="1"/>
      <w:marLeft w:val="0"/>
      <w:marRight w:val="0"/>
      <w:marTop w:val="0"/>
      <w:marBottom w:val="0"/>
      <w:divBdr>
        <w:top w:val="none" w:sz="0" w:space="0" w:color="auto"/>
        <w:left w:val="none" w:sz="0" w:space="0" w:color="auto"/>
        <w:bottom w:val="none" w:sz="0" w:space="0" w:color="auto"/>
        <w:right w:val="none" w:sz="0" w:space="0" w:color="auto"/>
      </w:divBdr>
    </w:div>
    <w:div w:id="1393574958">
      <w:bodyDiv w:val="1"/>
      <w:marLeft w:val="0"/>
      <w:marRight w:val="0"/>
      <w:marTop w:val="0"/>
      <w:marBottom w:val="0"/>
      <w:divBdr>
        <w:top w:val="none" w:sz="0" w:space="0" w:color="auto"/>
        <w:left w:val="none" w:sz="0" w:space="0" w:color="auto"/>
        <w:bottom w:val="none" w:sz="0" w:space="0" w:color="auto"/>
        <w:right w:val="none" w:sz="0" w:space="0" w:color="auto"/>
      </w:divBdr>
    </w:div>
    <w:div w:id="1396465524">
      <w:bodyDiv w:val="1"/>
      <w:marLeft w:val="0"/>
      <w:marRight w:val="0"/>
      <w:marTop w:val="0"/>
      <w:marBottom w:val="0"/>
      <w:divBdr>
        <w:top w:val="none" w:sz="0" w:space="0" w:color="auto"/>
        <w:left w:val="none" w:sz="0" w:space="0" w:color="auto"/>
        <w:bottom w:val="none" w:sz="0" w:space="0" w:color="auto"/>
        <w:right w:val="none" w:sz="0" w:space="0" w:color="auto"/>
      </w:divBdr>
    </w:div>
    <w:div w:id="1399208444">
      <w:bodyDiv w:val="1"/>
      <w:marLeft w:val="0"/>
      <w:marRight w:val="0"/>
      <w:marTop w:val="0"/>
      <w:marBottom w:val="0"/>
      <w:divBdr>
        <w:top w:val="none" w:sz="0" w:space="0" w:color="auto"/>
        <w:left w:val="none" w:sz="0" w:space="0" w:color="auto"/>
        <w:bottom w:val="none" w:sz="0" w:space="0" w:color="auto"/>
        <w:right w:val="none" w:sz="0" w:space="0" w:color="auto"/>
      </w:divBdr>
    </w:div>
    <w:div w:id="1399212268">
      <w:bodyDiv w:val="1"/>
      <w:marLeft w:val="0"/>
      <w:marRight w:val="0"/>
      <w:marTop w:val="0"/>
      <w:marBottom w:val="0"/>
      <w:divBdr>
        <w:top w:val="none" w:sz="0" w:space="0" w:color="auto"/>
        <w:left w:val="none" w:sz="0" w:space="0" w:color="auto"/>
        <w:bottom w:val="none" w:sz="0" w:space="0" w:color="auto"/>
        <w:right w:val="none" w:sz="0" w:space="0" w:color="auto"/>
      </w:divBdr>
    </w:div>
    <w:div w:id="1400446755">
      <w:bodyDiv w:val="1"/>
      <w:marLeft w:val="0"/>
      <w:marRight w:val="0"/>
      <w:marTop w:val="0"/>
      <w:marBottom w:val="0"/>
      <w:divBdr>
        <w:top w:val="none" w:sz="0" w:space="0" w:color="auto"/>
        <w:left w:val="none" w:sz="0" w:space="0" w:color="auto"/>
        <w:bottom w:val="none" w:sz="0" w:space="0" w:color="auto"/>
        <w:right w:val="none" w:sz="0" w:space="0" w:color="auto"/>
      </w:divBdr>
    </w:div>
    <w:div w:id="1413697559">
      <w:bodyDiv w:val="1"/>
      <w:marLeft w:val="0"/>
      <w:marRight w:val="0"/>
      <w:marTop w:val="0"/>
      <w:marBottom w:val="0"/>
      <w:divBdr>
        <w:top w:val="none" w:sz="0" w:space="0" w:color="auto"/>
        <w:left w:val="none" w:sz="0" w:space="0" w:color="auto"/>
        <w:bottom w:val="none" w:sz="0" w:space="0" w:color="auto"/>
        <w:right w:val="none" w:sz="0" w:space="0" w:color="auto"/>
      </w:divBdr>
    </w:div>
    <w:div w:id="1421873004">
      <w:bodyDiv w:val="1"/>
      <w:marLeft w:val="0"/>
      <w:marRight w:val="0"/>
      <w:marTop w:val="0"/>
      <w:marBottom w:val="0"/>
      <w:divBdr>
        <w:top w:val="none" w:sz="0" w:space="0" w:color="auto"/>
        <w:left w:val="none" w:sz="0" w:space="0" w:color="auto"/>
        <w:bottom w:val="none" w:sz="0" w:space="0" w:color="auto"/>
        <w:right w:val="none" w:sz="0" w:space="0" w:color="auto"/>
      </w:divBdr>
    </w:div>
    <w:div w:id="1441804895">
      <w:bodyDiv w:val="1"/>
      <w:marLeft w:val="0"/>
      <w:marRight w:val="0"/>
      <w:marTop w:val="0"/>
      <w:marBottom w:val="0"/>
      <w:divBdr>
        <w:top w:val="none" w:sz="0" w:space="0" w:color="auto"/>
        <w:left w:val="none" w:sz="0" w:space="0" w:color="auto"/>
        <w:bottom w:val="none" w:sz="0" w:space="0" w:color="auto"/>
        <w:right w:val="none" w:sz="0" w:space="0" w:color="auto"/>
      </w:divBdr>
    </w:div>
    <w:div w:id="1442608274">
      <w:bodyDiv w:val="1"/>
      <w:marLeft w:val="0"/>
      <w:marRight w:val="0"/>
      <w:marTop w:val="0"/>
      <w:marBottom w:val="0"/>
      <w:divBdr>
        <w:top w:val="none" w:sz="0" w:space="0" w:color="auto"/>
        <w:left w:val="none" w:sz="0" w:space="0" w:color="auto"/>
        <w:bottom w:val="none" w:sz="0" w:space="0" w:color="auto"/>
        <w:right w:val="none" w:sz="0" w:space="0" w:color="auto"/>
      </w:divBdr>
    </w:div>
    <w:div w:id="1449160713">
      <w:bodyDiv w:val="1"/>
      <w:marLeft w:val="0"/>
      <w:marRight w:val="0"/>
      <w:marTop w:val="0"/>
      <w:marBottom w:val="0"/>
      <w:divBdr>
        <w:top w:val="none" w:sz="0" w:space="0" w:color="auto"/>
        <w:left w:val="none" w:sz="0" w:space="0" w:color="auto"/>
        <w:bottom w:val="none" w:sz="0" w:space="0" w:color="auto"/>
        <w:right w:val="none" w:sz="0" w:space="0" w:color="auto"/>
      </w:divBdr>
    </w:div>
    <w:div w:id="1481538655">
      <w:bodyDiv w:val="1"/>
      <w:marLeft w:val="0"/>
      <w:marRight w:val="0"/>
      <w:marTop w:val="0"/>
      <w:marBottom w:val="0"/>
      <w:divBdr>
        <w:top w:val="none" w:sz="0" w:space="0" w:color="auto"/>
        <w:left w:val="none" w:sz="0" w:space="0" w:color="auto"/>
        <w:bottom w:val="none" w:sz="0" w:space="0" w:color="auto"/>
        <w:right w:val="none" w:sz="0" w:space="0" w:color="auto"/>
      </w:divBdr>
    </w:div>
    <w:div w:id="1494099311">
      <w:bodyDiv w:val="1"/>
      <w:marLeft w:val="0"/>
      <w:marRight w:val="0"/>
      <w:marTop w:val="0"/>
      <w:marBottom w:val="0"/>
      <w:divBdr>
        <w:top w:val="none" w:sz="0" w:space="0" w:color="auto"/>
        <w:left w:val="none" w:sz="0" w:space="0" w:color="auto"/>
        <w:bottom w:val="none" w:sz="0" w:space="0" w:color="auto"/>
        <w:right w:val="none" w:sz="0" w:space="0" w:color="auto"/>
      </w:divBdr>
    </w:div>
    <w:div w:id="1494560897">
      <w:bodyDiv w:val="1"/>
      <w:marLeft w:val="0"/>
      <w:marRight w:val="0"/>
      <w:marTop w:val="0"/>
      <w:marBottom w:val="0"/>
      <w:divBdr>
        <w:top w:val="none" w:sz="0" w:space="0" w:color="auto"/>
        <w:left w:val="none" w:sz="0" w:space="0" w:color="auto"/>
        <w:bottom w:val="none" w:sz="0" w:space="0" w:color="auto"/>
        <w:right w:val="none" w:sz="0" w:space="0" w:color="auto"/>
      </w:divBdr>
    </w:div>
    <w:div w:id="1497110607">
      <w:bodyDiv w:val="1"/>
      <w:marLeft w:val="0"/>
      <w:marRight w:val="0"/>
      <w:marTop w:val="0"/>
      <w:marBottom w:val="0"/>
      <w:divBdr>
        <w:top w:val="none" w:sz="0" w:space="0" w:color="auto"/>
        <w:left w:val="none" w:sz="0" w:space="0" w:color="auto"/>
        <w:bottom w:val="none" w:sz="0" w:space="0" w:color="auto"/>
        <w:right w:val="none" w:sz="0" w:space="0" w:color="auto"/>
      </w:divBdr>
    </w:div>
    <w:div w:id="1501920523">
      <w:bodyDiv w:val="1"/>
      <w:marLeft w:val="0"/>
      <w:marRight w:val="0"/>
      <w:marTop w:val="0"/>
      <w:marBottom w:val="0"/>
      <w:divBdr>
        <w:top w:val="none" w:sz="0" w:space="0" w:color="auto"/>
        <w:left w:val="none" w:sz="0" w:space="0" w:color="auto"/>
        <w:bottom w:val="none" w:sz="0" w:space="0" w:color="auto"/>
        <w:right w:val="none" w:sz="0" w:space="0" w:color="auto"/>
      </w:divBdr>
    </w:div>
    <w:div w:id="1504008988">
      <w:bodyDiv w:val="1"/>
      <w:marLeft w:val="0"/>
      <w:marRight w:val="0"/>
      <w:marTop w:val="0"/>
      <w:marBottom w:val="0"/>
      <w:divBdr>
        <w:top w:val="none" w:sz="0" w:space="0" w:color="auto"/>
        <w:left w:val="none" w:sz="0" w:space="0" w:color="auto"/>
        <w:bottom w:val="none" w:sz="0" w:space="0" w:color="auto"/>
        <w:right w:val="none" w:sz="0" w:space="0" w:color="auto"/>
      </w:divBdr>
    </w:div>
    <w:div w:id="1505318674">
      <w:bodyDiv w:val="1"/>
      <w:marLeft w:val="0"/>
      <w:marRight w:val="0"/>
      <w:marTop w:val="0"/>
      <w:marBottom w:val="0"/>
      <w:divBdr>
        <w:top w:val="none" w:sz="0" w:space="0" w:color="auto"/>
        <w:left w:val="none" w:sz="0" w:space="0" w:color="auto"/>
        <w:bottom w:val="none" w:sz="0" w:space="0" w:color="auto"/>
        <w:right w:val="none" w:sz="0" w:space="0" w:color="auto"/>
      </w:divBdr>
    </w:div>
    <w:div w:id="1523008478">
      <w:bodyDiv w:val="1"/>
      <w:marLeft w:val="0"/>
      <w:marRight w:val="0"/>
      <w:marTop w:val="0"/>
      <w:marBottom w:val="0"/>
      <w:divBdr>
        <w:top w:val="none" w:sz="0" w:space="0" w:color="auto"/>
        <w:left w:val="none" w:sz="0" w:space="0" w:color="auto"/>
        <w:bottom w:val="none" w:sz="0" w:space="0" w:color="auto"/>
        <w:right w:val="none" w:sz="0" w:space="0" w:color="auto"/>
      </w:divBdr>
    </w:div>
    <w:div w:id="1530219535">
      <w:bodyDiv w:val="1"/>
      <w:marLeft w:val="0"/>
      <w:marRight w:val="0"/>
      <w:marTop w:val="0"/>
      <w:marBottom w:val="0"/>
      <w:divBdr>
        <w:top w:val="none" w:sz="0" w:space="0" w:color="auto"/>
        <w:left w:val="none" w:sz="0" w:space="0" w:color="auto"/>
        <w:bottom w:val="none" w:sz="0" w:space="0" w:color="auto"/>
        <w:right w:val="none" w:sz="0" w:space="0" w:color="auto"/>
      </w:divBdr>
    </w:div>
    <w:div w:id="1536305651">
      <w:bodyDiv w:val="1"/>
      <w:marLeft w:val="0"/>
      <w:marRight w:val="0"/>
      <w:marTop w:val="0"/>
      <w:marBottom w:val="0"/>
      <w:divBdr>
        <w:top w:val="none" w:sz="0" w:space="0" w:color="auto"/>
        <w:left w:val="none" w:sz="0" w:space="0" w:color="auto"/>
        <w:bottom w:val="none" w:sz="0" w:space="0" w:color="auto"/>
        <w:right w:val="none" w:sz="0" w:space="0" w:color="auto"/>
      </w:divBdr>
    </w:div>
    <w:div w:id="1540971375">
      <w:bodyDiv w:val="1"/>
      <w:marLeft w:val="0"/>
      <w:marRight w:val="0"/>
      <w:marTop w:val="0"/>
      <w:marBottom w:val="0"/>
      <w:divBdr>
        <w:top w:val="none" w:sz="0" w:space="0" w:color="auto"/>
        <w:left w:val="none" w:sz="0" w:space="0" w:color="auto"/>
        <w:bottom w:val="none" w:sz="0" w:space="0" w:color="auto"/>
        <w:right w:val="none" w:sz="0" w:space="0" w:color="auto"/>
      </w:divBdr>
    </w:div>
    <w:div w:id="1546412015">
      <w:bodyDiv w:val="1"/>
      <w:marLeft w:val="0"/>
      <w:marRight w:val="0"/>
      <w:marTop w:val="0"/>
      <w:marBottom w:val="0"/>
      <w:divBdr>
        <w:top w:val="none" w:sz="0" w:space="0" w:color="auto"/>
        <w:left w:val="none" w:sz="0" w:space="0" w:color="auto"/>
        <w:bottom w:val="none" w:sz="0" w:space="0" w:color="auto"/>
        <w:right w:val="none" w:sz="0" w:space="0" w:color="auto"/>
      </w:divBdr>
    </w:div>
    <w:div w:id="1552571401">
      <w:bodyDiv w:val="1"/>
      <w:marLeft w:val="0"/>
      <w:marRight w:val="0"/>
      <w:marTop w:val="0"/>
      <w:marBottom w:val="0"/>
      <w:divBdr>
        <w:top w:val="none" w:sz="0" w:space="0" w:color="auto"/>
        <w:left w:val="none" w:sz="0" w:space="0" w:color="auto"/>
        <w:bottom w:val="none" w:sz="0" w:space="0" w:color="auto"/>
        <w:right w:val="none" w:sz="0" w:space="0" w:color="auto"/>
      </w:divBdr>
    </w:div>
    <w:div w:id="1556235082">
      <w:bodyDiv w:val="1"/>
      <w:marLeft w:val="0"/>
      <w:marRight w:val="0"/>
      <w:marTop w:val="0"/>
      <w:marBottom w:val="0"/>
      <w:divBdr>
        <w:top w:val="none" w:sz="0" w:space="0" w:color="auto"/>
        <w:left w:val="none" w:sz="0" w:space="0" w:color="auto"/>
        <w:bottom w:val="none" w:sz="0" w:space="0" w:color="auto"/>
        <w:right w:val="none" w:sz="0" w:space="0" w:color="auto"/>
      </w:divBdr>
    </w:div>
    <w:div w:id="1559630465">
      <w:bodyDiv w:val="1"/>
      <w:marLeft w:val="0"/>
      <w:marRight w:val="0"/>
      <w:marTop w:val="0"/>
      <w:marBottom w:val="0"/>
      <w:divBdr>
        <w:top w:val="none" w:sz="0" w:space="0" w:color="auto"/>
        <w:left w:val="none" w:sz="0" w:space="0" w:color="auto"/>
        <w:bottom w:val="none" w:sz="0" w:space="0" w:color="auto"/>
        <w:right w:val="none" w:sz="0" w:space="0" w:color="auto"/>
      </w:divBdr>
    </w:div>
    <w:div w:id="1565412599">
      <w:bodyDiv w:val="1"/>
      <w:marLeft w:val="0"/>
      <w:marRight w:val="0"/>
      <w:marTop w:val="0"/>
      <w:marBottom w:val="0"/>
      <w:divBdr>
        <w:top w:val="none" w:sz="0" w:space="0" w:color="auto"/>
        <w:left w:val="none" w:sz="0" w:space="0" w:color="auto"/>
        <w:bottom w:val="none" w:sz="0" w:space="0" w:color="auto"/>
        <w:right w:val="none" w:sz="0" w:space="0" w:color="auto"/>
      </w:divBdr>
    </w:div>
    <w:div w:id="1577978574">
      <w:bodyDiv w:val="1"/>
      <w:marLeft w:val="0"/>
      <w:marRight w:val="0"/>
      <w:marTop w:val="0"/>
      <w:marBottom w:val="0"/>
      <w:divBdr>
        <w:top w:val="none" w:sz="0" w:space="0" w:color="auto"/>
        <w:left w:val="none" w:sz="0" w:space="0" w:color="auto"/>
        <w:bottom w:val="none" w:sz="0" w:space="0" w:color="auto"/>
        <w:right w:val="none" w:sz="0" w:space="0" w:color="auto"/>
      </w:divBdr>
    </w:div>
    <w:div w:id="1581330257">
      <w:bodyDiv w:val="1"/>
      <w:marLeft w:val="0"/>
      <w:marRight w:val="0"/>
      <w:marTop w:val="0"/>
      <w:marBottom w:val="0"/>
      <w:divBdr>
        <w:top w:val="none" w:sz="0" w:space="0" w:color="auto"/>
        <w:left w:val="none" w:sz="0" w:space="0" w:color="auto"/>
        <w:bottom w:val="none" w:sz="0" w:space="0" w:color="auto"/>
        <w:right w:val="none" w:sz="0" w:space="0" w:color="auto"/>
      </w:divBdr>
    </w:div>
    <w:div w:id="1589803701">
      <w:bodyDiv w:val="1"/>
      <w:marLeft w:val="0"/>
      <w:marRight w:val="0"/>
      <w:marTop w:val="0"/>
      <w:marBottom w:val="0"/>
      <w:divBdr>
        <w:top w:val="none" w:sz="0" w:space="0" w:color="auto"/>
        <w:left w:val="none" w:sz="0" w:space="0" w:color="auto"/>
        <w:bottom w:val="none" w:sz="0" w:space="0" w:color="auto"/>
        <w:right w:val="none" w:sz="0" w:space="0" w:color="auto"/>
      </w:divBdr>
    </w:div>
    <w:div w:id="1632855865">
      <w:bodyDiv w:val="1"/>
      <w:marLeft w:val="0"/>
      <w:marRight w:val="0"/>
      <w:marTop w:val="0"/>
      <w:marBottom w:val="0"/>
      <w:divBdr>
        <w:top w:val="none" w:sz="0" w:space="0" w:color="auto"/>
        <w:left w:val="none" w:sz="0" w:space="0" w:color="auto"/>
        <w:bottom w:val="none" w:sz="0" w:space="0" w:color="auto"/>
        <w:right w:val="none" w:sz="0" w:space="0" w:color="auto"/>
      </w:divBdr>
    </w:div>
    <w:div w:id="1642270515">
      <w:bodyDiv w:val="1"/>
      <w:marLeft w:val="0"/>
      <w:marRight w:val="0"/>
      <w:marTop w:val="0"/>
      <w:marBottom w:val="0"/>
      <w:divBdr>
        <w:top w:val="none" w:sz="0" w:space="0" w:color="auto"/>
        <w:left w:val="none" w:sz="0" w:space="0" w:color="auto"/>
        <w:bottom w:val="none" w:sz="0" w:space="0" w:color="auto"/>
        <w:right w:val="none" w:sz="0" w:space="0" w:color="auto"/>
      </w:divBdr>
    </w:div>
    <w:div w:id="1652102310">
      <w:bodyDiv w:val="1"/>
      <w:marLeft w:val="0"/>
      <w:marRight w:val="0"/>
      <w:marTop w:val="0"/>
      <w:marBottom w:val="0"/>
      <w:divBdr>
        <w:top w:val="none" w:sz="0" w:space="0" w:color="auto"/>
        <w:left w:val="none" w:sz="0" w:space="0" w:color="auto"/>
        <w:bottom w:val="none" w:sz="0" w:space="0" w:color="auto"/>
        <w:right w:val="none" w:sz="0" w:space="0" w:color="auto"/>
      </w:divBdr>
    </w:div>
    <w:div w:id="1658651898">
      <w:bodyDiv w:val="1"/>
      <w:marLeft w:val="0"/>
      <w:marRight w:val="0"/>
      <w:marTop w:val="0"/>
      <w:marBottom w:val="0"/>
      <w:divBdr>
        <w:top w:val="none" w:sz="0" w:space="0" w:color="auto"/>
        <w:left w:val="none" w:sz="0" w:space="0" w:color="auto"/>
        <w:bottom w:val="none" w:sz="0" w:space="0" w:color="auto"/>
        <w:right w:val="none" w:sz="0" w:space="0" w:color="auto"/>
      </w:divBdr>
    </w:div>
    <w:div w:id="1659846456">
      <w:bodyDiv w:val="1"/>
      <w:marLeft w:val="0"/>
      <w:marRight w:val="0"/>
      <w:marTop w:val="0"/>
      <w:marBottom w:val="0"/>
      <w:divBdr>
        <w:top w:val="none" w:sz="0" w:space="0" w:color="auto"/>
        <w:left w:val="none" w:sz="0" w:space="0" w:color="auto"/>
        <w:bottom w:val="none" w:sz="0" w:space="0" w:color="auto"/>
        <w:right w:val="none" w:sz="0" w:space="0" w:color="auto"/>
      </w:divBdr>
    </w:div>
    <w:div w:id="1677267520">
      <w:bodyDiv w:val="1"/>
      <w:marLeft w:val="0"/>
      <w:marRight w:val="0"/>
      <w:marTop w:val="0"/>
      <w:marBottom w:val="0"/>
      <w:divBdr>
        <w:top w:val="none" w:sz="0" w:space="0" w:color="auto"/>
        <w:left w:val="none" w:sz="0" w:space="0" w:color="auto"/>
        <w:bottom w:val="none" w:sz="0" w:space="0" w:color="auto"/>
        <w:right w:val="none" w:sz="0" w:space="0" w:color="auto"/>
      </w:divBdr>
    </w:div>
    <w:div w:id="1680623307">
      <w:bodyDiv w:val="1"/>
      <w:marLeft w:val="0"/>
      <w:marRight w:val="0"/>
      <w:marTop w:val="0"/>
      <w:marBottom w:val="0"/>
      <w:divBdr>
        <w:top w:val="none" w:sz="0" w:space="0" w:color="auto"/>
        <w:left w:val="none" w:sz="0" w:space="0" w:color="auto"/>
        <w:bottom w:val="none" w:sz="0" w:space="0" w:color="auto"/>
        <w:right w:val="none" w:sz="0" w:space="0" w:color="auto"/>
      </w:divBdr>
    </w:div>
    <w:div w:id="1712262409">
      <w:bodyDiv w:val="1"/>
      <w:marLeft w:val="0"/>
      <w:marRight w:val="0"/>
      <w:marTop w:val="0"/>
      <w:marBottom w:val="0"/>
      <w:divBdr>
        <w:top w:val="none" w:sz="0" w:space="0" w:color="auto"/>
        <w:left w:val="none" w:sz="0" w:space="0" w:color="auto"/>
        <w:bottom w:val="none" w:sz="0" w:space="0" w:color="auto"/>
        <w:right w:val="none" w:sz="0" w:space="0" w:color="auto"/>
      </w:divBdr>
    </w:div>
    <w:div w:id="1712680978">
      <w:bodyDiv w:val="1"/>
      <w:marLeft w:val="0"/>
      <w:marRight w:val="0"/>
      <w:marTop w:val="0"/>
      <w:marBottom w:val="0"/>
      <w:divBdr>
        <w:top w:val="none" w:sz="0" w:space="0" w:color="auto"/>
        <w:left w:val="none" w:sz="0" w:space="0" w:color="auto"/>
        <w:bottom w:val="none" w:sz="0" w:space="0" w:color="auto"/>
        <w:right w:val="none" w:sz="0" w:space="0" w:color="auto"/>
      </w:divBdr>
    </w:div>
    <w:div w:id="1732069919">
      <w:bodyDiv w:val="1"/>
      <w:marLeft w:val="0"/>
      <w:marRight w:val="0"/>
      <w:marTop w:val="0"/>
      <w:marBottom w:val="0"/>
      <w:divBdr>
        <w:top w:val="none" w:sz="0" w:space="0" w:color="auto"/>
        <w:left w:val="none" w:sz="0" w:space="0" w:color="auto"/>
        <w:bottom w:val="none" w:sz="0" w:space="0" w:color="auto"/>
        <w:right w:val="none" w:sz="0" w:space="0" w:color="auto"/>
      </w:divBdr>
    </w:div>
    <w:div w:id="1740668809">
      <w:bodyDiv w:val="1"/>
      <w:marLeft w:val="0"/>
      <w:marRight w:val="0"/>
      <w:marTop w:val="0"/>
      <w:marBottom w:val="0"/>
      <w:divBdr>
        <w:top w:val="none" w:sz="0" w:space="0" w:color="auto"/>
        <w:left w:val="none" w:sz="0" w:space="0" w:color="auto"/>
        <w:bottom w:val="none" w:sz="0" w:space="0" w:color="auto"/>
        <w:right w:val="none" w:sz="0" w:space="0" w:color="auto"/>
      </w:divBdr>
    </w:div>
    <w:div w:id="1740786798">
      <w:bodyDiv w:val="1"/>
      <w:marLeft w:val="0"/>
      <w:marRight w:val="0"/>
      <w:marTop w:val="0"/>
      <w:marBottom w:val="0"/>
      <w:divBdr>
        <w:top w:val="none" w:sz="0" w:space="0" w:color="auto"/>
        <w:left w:val="none" w:sz="0" w:space="0" w:color="auto"/>
        <w:bottom w:val="none" w:sz="0" w:space="0" w:color="auto"/>
        <w:right w:val="none" w:sz="0" w:space="0" w:color="auto"/>
      </w:divBdr>
    </w:div>
    <w:div w:id="1746300327">
      <w:bodyDiv w:val="1"/>
      <w:marLeft w:val="0"/>
      <w:marRight w:val="0"/>
      <w:marTop w:val="0"/>
      <w:marBottom w:val="0"/>
      <w:divBdr>
        <w:top w:val="none" w:sz="0" w:space="0" w:color="auto"/>
        <w:left w:val="none" w:sz="0" w:space="0" w:color="auto"/>
        <w:bottom w:val="none" w:sz="0" w:space="0" w:color="auto"/>
        <w:right w:val="none" w:sz="0" w:space="0" w:color="auto"/>
      </w:divBdr>
    </w:div>
    <w:div w:id="1754159959">
      <w:bodyDiv w:val="1"/>
      <w:marLeft w:val="0"/>
      <w:marRight w:val="0"/>
      <w:marTop w:val="0"/>
      <w:marBottom w:val="0"/>
      <w:divBdr>
        <w:top w:val="none" w:sz="0" w:space="0" w:color="auto"/>
        <w:left w:val="none" w:sz="0" w:space="0" w:color="auto"/>
        <w:bottom w:val="none" w:sz="0" w:space="0" w:color="auto"/>
        <w:right w:val="none" w:sz="0" w:space="0" w:color="auto"/>
      </w:divBdr>
    </w:div>
    <w:div w:id="1759784555">
      <w:bodyDiv w:val="1"/>
      <w:marLeft w:val="0"/>
      <w:marRight w:val="0"/>
      <w:marTop w:val="0"/>
      <w:marBottom w:val="0"/>
      <w:divBdr>
        <w:top w:val="none" w:sz="0" w:space="0" w:color="auto"/>
        <w:left w:val="none" w:sz="0" w:space="0" w:color="auto"/>
        <w:bottom w:val="none" w:sz="0" w:space="0" w:color="auto"/>
        <w:right w:val="none" w:sz="0" w:space="0" w:color="auto"/>
      </w:divBdr>
    </w:div>
    <w:div w:id="1761750140">
      <w:bodyDiv w:val="1"/>
      <w:marLeft w:val="0"/>
      <w:marRight w:val="0"/>
      <w:marTop w:val="0"/>
      <w:marBottom w:val="0"/>
      <w:divBdr>
        <w:top w:val="none" w:sz="0" w:space="0" w:color="auto"/>
        <w:left w:val="none" w:sz="0" w:space="0" w:color="auto"/>
        <w:bottom w:val="none" w:sz="0" w:space="0" w:color="auto"/>
        <w:right w:val="none" w:sz="0" w:space="0" w:color="auto"/>
      </w:divBdr>
    </w:div>
    <w:div w:id="1769546544">
      <w:bodyDiv w:val="1"/>
      <w:marLeft w:val="0"/>
      <w:marRight w:val="0"/>
      <w:marTop w:val="0"/>
      <w:marBottom w:val="0"/>
      <w:divBdr>
        <w:top w:val="none" w:sz="0" w:space="0" w:color="auto"/>
        <w:left w:val="none" w:sz="0" w:space="0" w:color="auto"/>
        <w:bottom w:val="none" w:sz="0" w:space="0" w:color="auto"/>
        <w:right w:val="none" w:sz="0" w:space="0" w:color="auto"/>
      </w:divBdr>
    </w:div>
    <w:div w:id="1774474834">
      <w:bodyDiv w:val="1"/>
      <w:marLeft w:val="0"/>
      <w:marRight w:val="0"/>
      <w:marTop w:val="0"/>
      <w:marBottom w:val="0"/>
      <w:divBdr>
        <w:top w:val="none" w:sz="0" w:space="0" w:color="auto"/>
        <w:left w:val="none" w:sz="0" w:space="0" w:color="auto"/>
        <w:bottom w:val="none" w:sz="0" w:space="0" w:color="auto"/>
        <w:right w:val="none" w:sz="0" w:space="0" w:color="auto"/>
      </w:divBdr>
    </w:div>
    <w:div w:id="1776167842">
      <w:bodyDiv w:val="1"/>
      <w:marLeft w:val="0"/>
      <w:marRight w:val="0"/>
      <w:marTop w:val="0"/>
      <w:marBottom w:val="0"/>
      <w:divBdr>
        <w:top w:val="none" w:sz="0" w:space="0" w:color="auto"/>
        <w:left w:val="none" w:sz="0" w:space="0" w:color="auto"/>
        <w:bottom w:val="none" w:sz="0" w:space="0" w:color="auto"/>
        <w:right w:val="none" w:sz="0" w:space="0" w:color="auto"/>
      </w:divBdr>
    </w:div>
    <w:div w:id="1777627688">
      <w:bodyDiv w:val="1"/>
      <w:marLeft w:val="0"/>
      <w:marRight w:val="0"/>
      <w:marTop w:val="0"/>
      <w:marBottom w:val="0"/>
      <w:divBdr>
        <w:top w:val="none" w:sz="0" w:space="0" w:color="auto"/>
        <w:left w:val="none" w:sz="0" w:space="0" w:color="auto"/>
        <w:bottom w:val="none" w:sz="0" w:space="0" w:color="auto"/>
        <w:right w:val="none" w:sz="0" w:space="0" w:color="auto"/>
      </w:divBdr>
    </w:div>
    <w:div w:id="1780298805">
      <w:bodyDiv w:val="1"/>
      <w:marLeft w:val="0"/>
      <w:marRight w:val="0"/>
      <w:marTop w:val="0"/>
      <w:marBottom w:val="0"/>
      <w:divBdr>
        <w:top w:val="none" w:sz="0" w:space="0" w:color="auto"/>
        <w:left w:val="none" w:sz="0" w:space="0" w:color="auto"/>
        <w:bottom w:val="none" w:sz="0" w:space="0" w:color="auto"/>
        <w:right w:val="none" w:sz="0" w:space="0" w:color="auto"/>
      </w:divBdr>
    </w:div>
    <w:div w:id="1784030358">
      <w:bodyDiv w:val="1"/>
      <w:marLeft w:val="0"/>
      <w:marRight w:val="0"/>
      <w:marTop w:val="0"/>
      <w:marBottom w:val="0"/>
      <w:divBdr>
        <w:top w:val="none" w:sz="0" w:space="0" w:color="auto"/>
        <w:left w:val="none" w:sz="0" w:space="0" w:color="auto"/>
        <w:bottom w:val="none" w:sz="0" w:space="0" w:color="auto"/>
        <w:right w:val="none" w:sz="0" w:space="0" w:color="auto"/>
      </w:divBdr>
    </w:div>
    <w:div w:id="1809127734">
      <w:bodyDiv w:val="1"/>
      <w:marLeft w:val="0"/>
      <w:marRight w:val="0"/>
      <w:marTop w:val="0"/>
      <w:marBottom w:val="0"/>
      <w:divBdr>
        <w:top w:val="none" w:sz="0" w:space="0" w:color="auto"/>
        <w:left w:val="none" w:sz="0" w:space="0" w:color="auto"/>
        <w:bottom w:val="none" w:sz="0" w:space="0" w:color="auto"/>
        <w:right w:val="none" w:sz="0" w:space="0" w:color="auto"/>
      </w:divBdr>
    </w:div>
    <w:div w:id="1832985550">
      <w:bodyDiv w:val="1"/>
      <w:marLeft w:val="0"/>
      <w:marRight w:val="0"/>
      <w:marTop w:val="0"/>
      <w:marBottom w:val="0"/>
      <w:divBdr>
        <w:top w:val="none" w:sz="0" w:space="0" w:color="auto"/>
        <w:left w:val="none" w:sz="0" w:space="0" w:color="auto"/>
        <w:bottom w:val="none" w:sz="0" w:space="0" w:color="auto"/>
        <w:right w:val="none" w:sz="0" w:space="0" w:color="auto"/>
      </w:divBdr>
    </w:div>
    <w:div w:id="1836411593">
      <w:bodyDiv w:val="1"/>
      <w:marLeft w:val="0"/>
      <w:marRight w:val="0"/>
      <w:marTop w:val="0"/>
      <w:marBottom w:val="0"/>
      <w:divBdr>
        <w:top w:val="none" w:sz="0" w:space="0" w:color="auto"/>
        <w:left w:val="none" w:sz="0" w:space="0" w:color="auto"/>
        <w:bottom w:val="none" w:sz="0" w:space="0" w:color="auto"/>
        <w:right w:val="none" w:sz="0" w:space="0" w:color="auto"/>
      </w:divBdr>
    </w:div>
    <w:div w:id="1838498364">
      <w:bodyDiv w:val="1"/>
      <w:marLeft w:val="0"/>
      <w:marRight w:val="0"/>
      <w:marTop w:val="0"/>
      <w:marBottom w:val="0"/>
      <w:divBdr>
        <w:top w:val="none" w:sz="0" w:space="0" w:color="auto"/>
        <w:left w:val="none" w:sz="0" w:space="0" w:color="auto"/>
        <w:bottom w:val="none" w:sz="0" w:space="0" w:color="auto"/>
        <w:right w:val="none" w:sz="0" w:space="0" w:color="auto"/>
      </w:divBdr>
    </w:div>
    <w:div w:id="1846049299">
      <w:bodyDiv w:val="1"/>
      <w:marLeft w:val="0"/>
      <w:marRight w:val="0"/>
      <w:marTop w:val="0"/>
      <w:marBottom w:val="0"/>
      <w:divBdr>
        <w:top w:val="none" w:sz="0" w:space="0" w:color="auto"/>
        <w:left w:val="none" w:sz="0" w:space="0" w:color="auto"/>
        <w:bottom w:val="none" w:sz="0" w:space="0" w:color="auto"/>
        <w:right w:val="none" w:sz="0" w:space="0" w:color="auto"/>
      </w:divBdr>
    </w:div>
    <w:div w:id="1862670094">
      <w:bodyDiv w:val="1"/>
      <w:marLeft w:val="0"/>
      <w:marRight w:val="0"/>
      <w:marTop w:val="0"/>
      <w:marBottom w:val="0"/>
      <w:divBdr>
        <w:top w:val="none" w:sz="0" w:space="0" w:color="auto"/>
        <w:left w:val="none" w:sz="0" w:space="0" w:color="auto"/>
        <w:bottom w:val="none" w:sz="0" w:space="0" w:color="auto"/>
        <w:right w:val="none" w:sz="0" w:space="0" w:color="auto"/>
      </w:divBdr>
    </w:div>
    <w:div w:id="1863082696">
      <w:bodyDiv w:val="1"/>
      <w:marLeft w:val="0"/>
      <w:marRight w:val="0"/>
      <w:marTop w:val="0"/>
      <w:marBottom w:val="0"/>
      <w:divBdr>
        <w:top w:val="none" w:sz="0" w:space="0" w:color="auto"/>
        <w:left w:val="none" w:sz="0" w:space="0" w:color="auto"/>
        <w:bottom w:val="none" w:sz="0" w:space="0" w:color="auto"/>
        <w:right w:val="none" w:sz="0" w:space="0" w:color="auto"/>
      </w:divBdr>
    </w:div>
    <w:div w:id="1867254157">
      <w:bodyDiv w:val="1"/>
      <w:marLeft w:val="0"/>
      <w:marRight w:val="0"/>
      <w:marTop w:val="0"/>
      <w:marBottom w:val="0"/>
      <w:divBdr>
        <w:top w:val="none" w:sz="0" w:space="0" w:color="auto"/>
        <w:left w:val="none" w:sz="0" w:space="0" w:color="auto"/>
        <w:bottom w:val="none" w:sz="0" w:space="0" w:color="auto"/>
        <w:right w:val="none" w:sz="0" w:space="0" w:color="auto"/>
      </w:divBdr>
    </w:div>
    <w:div w:id="1868636169">
      <w:bodyDiv w:val="1"/>
      <w:marLeft w:val="0"/>
      <w:marRight w:val="0"/>
      <w:marTop w:val="0"/>
      <w:marBottom w:val="0"/>
      <w:divBdr>
        <w:top w:val="none" w:sz="0" w:space="0" w:color="auto"/>
        <w:left w:val="none" w:sz="0" w:space="0" w:color="auto"/>
        <w:bottom w:val="none" w:sz="0" w:space="0" w:color="auto"/>
        <w:right w:val="none" w:sz="0" w:space="0" w:color="auto"/>
      </w:divBdr>
    </w:div>
    <w:div w:id="1896697667">
      <w:bodyDiv w:val="1"/>
      <w:marLeft w:val="0"/>
      <w:marRight w:val="0"/>
      <w:marTop w:val="0"/>
      <w:marBottom w:val="0"/>
      <w:divBdr>
        <w:top w:val="none" w:sz="0" w:space="0" w:color="auto"/>
        <w:left w:val="none" w:sz="0" w:space="0" w:color="auto"/>
        <w:bottom w:val="none" w:sz="0" w:space="0" w:color="auto"/>
        <w:right w:val="none" w:sz="0" w:space="0" w:color="auto"/>
      </w:divBdr>
    </w:div>
    <w:div w:id="1902251698">
      <w:bodyDiv w:val="1"/>
      <w:marLeft w:val="0"/>
      <w:marRight w:val="0"/>
      <w:marTop w:val="0"/>
      <w:marBottom w:val="0"/>
      <w:divBdr>
        <w:top w:val="none" w:sz="0" w:space="0" w:color="auto"/>
        <w:left w:val="none" w:sz="0" w:space="0" w:color="auto"/>
        <w:bottom w:val="none" w:sz="0" w:space="0" w:color="auto"/>
        <w:right w:val="none" w:sz="0" w:space="0" w:color="auto"/>
      </w:divBdr>
    </w:div>
    <w:div w:id="1908764078">
      <w:bodyDiv w:val="1"/>
      <w:marLeft w:val="0"/>
      <w:marRight w:val="0"/>
      <w:marTop w:val="0"/>
      <w:marBottom w:val="0"/>
      <w:divBdr>
        <w:top w:val="none" w:sz="0" w:space="0" w:color="auto"/>
        <w:left w:val="none" w:sz="0" w:space="0" w:color="auto"/>
        <w:bottom w:val="none" w:sz="0" w:space="0" w:color="auto"/>
        <w:right w:val="none" w:sz="0" w:space="0" w:color="auto"/>
      </w:divBdr>
    </w:div>
    <w:div w:id="1917082798">
      <w:bodyDiv w:val="1"/>
      <w:marLeft w:val="0"/>
      <w:marRight w:val="0"/>
      <w:marTop w:val="0"/>
      <w:marBottom w:val="0"/>
      <w:divBdr>
        <w:top w:val="none" w:sz="0" w:space="0" w:color="auto"/>
        <w:left w:val="none" w:sz="0" w:space="0" w:color="auto"/>
        <w:bottom w:val="none" w:sz="0" w:space="0" w:color="auto"/>
        <w:right w:val="none" w:sz="0" w:space="0" w:color="auto"/>
      </w:divBdr>
    </w:div>
    <w:div w:id="1919946368">
      <w:bodyDiv w:val="1"/>
      <w:marLeft w:val="0"/>
      <w:marRight w:val="0"/>
      <w:marTop w:val="0"/>
      <w:marBottom w:val="0"/>
      <w:divBdr>
        <w:top w:val="none" w:sz="0" w:space="0" w:color="auto"/>
        <w:left w:val="none" w:sz="0" w:space="0" w:color="auto"/>
        <w:bottom w:val="none" w:sz="0" w:space="0" w:color="auto"/>
        <w:right w:val="none" w:sz="0" w:space="0" w:color="auto"/>
      </w:divBdr>
    </w:div>
    <w:div w:id="1930189829">
      <w:bodyDiv w:val="1"/>
      <w:marLeft w:val="0"/>
      <w:marRight w:val="0"/>
      <w:marTop w:val="0"/>
      <w:marBottom w:val="0"/>
      <w:divBdr>
        <w:top w:val="none" w:sz="0" w:space="0" w:color="auto"/>
        <w:left w:val="none" w:sz="0" w:space="0" w:color="auto"/>
        <w:bottom w:val="none" w:sz="0" w:space="0" w:color="auto"/>
        <w:right w:val="none" w:sz="0" w:space="0" w:color="auto"/>
      </w:divBdr>
    </w:div>
    <w:div w:id="1931503122">
      <w:bodyDiv w:val="1"/>
      <w:marLeft w:val="0"/>
      <w:marRight w:val="0"/>
      <w:marTop w:val="0"/>
      <w:marBottom w:val="0"/>
      <w:divBdr>
        <w:top w:val="none" w:sz="0" w:space="0" w:color="auto"/>
        <w:left w:val="none" w:sz="0" w:space="0" w:color="auto"/>
        <w:bottom w:val="none" w:sz="0" w:space="0" w:color="auto"/>
        <w:right w:val="none" w:sz="0" w:space="0" w:color="auto"/>
      </w:divBdr>
    </w:div>
    <w:div w:id="1934588726">
      <w:bodyDiv w:val="1"/>
      <w:marLeft w:val="0"/>
      <w:marRight w:val="0"/>
      <w:marTop w:val="0"/>
      <w:marBottom w:val="0"/>
      <w:divBdr>
        <w:top w:val="none" w:sz="0" w:space="0" w:color="auto"/>
        <w:left w:val="none" w:sz="0" w:space="0" w:color="auto"/>
        <w:bottom w:val="none" w:sz="0" w:space="0" w:color="auto"/>
        <w:right w:val="none" w:sz="0" w:space="0" w:color="auto"/>
      </w:divBdr>
    </w:div>
    <w:div w:id="1943997656">
      <w:bodyDiv w:val="1"/>
      <w:marLeft w:val="0"/>
      <w:marRight w:val="0"/>
      <w:marTop w:val="0"/>
      <w:marBottom w:val="0"/>
      <w:divBdr>
        <w:top w:val="none" w:sz="0" w:space="0" w:color="auto"/>
        <w:left w:val="none" w:sz="0" w:space="0" w:color="auto"/>
        <w:bottom w:val="none" w:sz="0" w:space="0" w:color="auto"/>
        <w:right w:val="none" w:sz="0" w:space="0" w:color="auto"/>
      </w:divBdr>
    </w:div>
    <w:div w:id="1952274123">
      <w:bodyDiv w:val="1"/>
      <w:marLeft w:val="0"/>
      <w:marRight w:val="0"/>
      <w:marTop w:val="0"/>
      <w:marBottom w:val="0"/>
      <w:divBdr>
        <w:top w:val="none" w:sz="0" w:space="0" w:color="auto"/>
        <w:left w:val="none" w:sz="0" w:space="0" w:color="auto"/>
        <w:bottom w:val="none" w:sz="0" w:space="0" w:color="auto"/>
        <w:right w:val="none" w:sz="0" w:space="0" w:color="auto"/>
      </w:divBdr>
    </w:div>
    <w:div w:id="1955332607">
      <w:bodyDiv w:val="1"/>
      <w:marLeft w:val="0"/>
      <w:marRight w:val="0"/>
      <w:marTop w:val="0"/>
      <w:marBottom w:val="0"/>
      <w:divBdr>
        <w:top w:val="none" w:sz="0" w:space="0" w:color="auto"/>
        <w:left w:val="none" w:sz="0" w:space="0" w:color="auto"/>
        <w:bottom w:val="none" w:sz="0" w:space="0" w:color="auto"/>
        <w:right w:val="none" w:sz="0" w:space="0" w:color="auto"/>
      </w:divBdr>
    </w:div>
    <w:div w:id="1955791309">
      <w:bodyDiv w:val="1"/>
      <w:marLeft w:val="0"/>
      <w:marRight w:val="0"/>
      <w:marTop w:val="0"/>
      <w:marBottom w:val="0"/>
      <w:divBdr>
        <w:top w:val="none" w:sz="0" w:space="0" w:color="auto"/>
        <w:left w:val="none" w:sz="0" w:space="0" w:color="auto"/>
        <w:bottom w:val="none" w:sz="0" w:space="0" w:color="auto"/>
        <w:right w:val="none" w:sz="0" w:space="0" w:color="auto"/>
      </w:divBdr>
    </w:div>
    <w:div w:id="1970089890">
      <w:bodyDiv w:val="1"/>
      <w:marLeft w:val="0"/>
      <w:marRight w:val="0"/>
      <w:marTop w:val="0"/>
      <w:marBottom w:val="0"/>
      <w:divBdr>
        <w:top w:val="none" w:sz="0" w:space="0" w:color="auto"/>
        <w:left w:val="none" w:sz="0" w:space="0" w:color="auto"/>
        <w:bottom w:val="none" w:sz="0" w:space="0" w:color="auto"/>
        <w:right w:val="none" w:sz="0" w:space="0" w:color="auto"/>
      </w:divBdr>
    </w:div>
    <w:div w:id="1983188573">
      <w:bodyDiv w:val="1"/>
      <w:marLeft w:val="0"/>
      <w:marRight w:val="0"/>
      <w:marTop w:val="0"/>
      <w:marBottom w:val="0"/>
      <w:divBdr>
        <w:top w:val="none" w:sz="0" w:space="0" w:color="auto"/>
        <w:left w:val="none" w:sz="0" w:space="0" w:color="auto"/>
        <w:bottom w:val="none" w:sz="0" w:space="0" w:color="auto"/>
        <w:right w:val="none" w:sz="0" w:space="0" w:color="auto"/>
      </w:divBdr>
    </w:div>
    <w:div w:id="1988439863">
      <w:bodyDiv w:val="1"/>
      <w:marLeft w:val="0"/>
      <w:marRight w:val="0"/>
      <w:marTop w:val="0"/>
      <w:marBottom w:val="0"/>
      <w:divBdr>
        <w:top w:val="none" w:sz="0" w:space="0" w:color="auto"/>
        <w:left w:val="none" w:sz="0" w:space="0" w:color="auto"/>
        <w:bottom w:val="none" w:sz="0" w:space="0" w:color="auto"/>
        <w:right w:val="none" w:sz="0" w:space="0" w:color="auto"/>
      </w:divBdr>
    </w:div>
    <w:div w:id="2008169041">
      <w:bodyDiv w:val="1"/>
      <w:marLeft w:val="0"/>
      <w:marRight w:val="0"/>
      <w:marTop w:val="0"/>
      <w:marBottom w:val="0"/>
      <w:divBdr>
        <w:top w:val="none" w:sz="0" w:space="0" w:color="auto"/>
        <w:left w:val="none" w:sz="0" w:space="0" w:color="auto"/>
        <w:bottom w:val="none" w:sz="0" w:space="0" w:color="auto"/>
        <w:right w:val="none" w:sz="0" w:space="0" w:color="auto"/>
      </w:divBdr>
    </w:div>
    <w:div w:id="2012757679">
      <w:bodyDiv w:val="1"/>
      <w:marLeft w:val="0"/>
      <w:marRight w:val="0"/>
      <w:marTop w:val="0"/>
      <w:marBottom w:val="0"/>
      <w:divBdr>
        <w:top w:val="none" w:sz="0" w:space="0" w:color="auto"/>
        <w:left w:val="none" w:sz="0" w:space="0" w:color="auto"/>
        <w:bottom w:val="none" w:sz="0" w:space="0" w:color="auto"/>
        <w:right w:val="none" w:sz="0" w:space="0" w:color="auto"/>
      </w:divBdr>
    </w:div>
    <w:div w:id="2019309811">
      <w:bodyDiv w:val="1"/>
      <w:marLeft w:val="0"/>
      <w:marRight w:val="0"/>
      <w:marTop w:val="0"/>
      <w:marBottom w:val="0"/>
      <w:divBdr>
        <w:top w:val="none" w:sz="0" w:space="0" w:color="auto"/>
        <w:left w:val="none" w:sz="0" w:space="0" w:color="auto"/>
        <w:bottom w:val="none" w:sz="0" w:space="0" w:color="auto"/>
        <w:right w:val="none" w:sz="0" w:space="0" w:color="auto"/>
      </w:divBdr>
    </w:div>
    <w:div w:id="2020572078">
      <w:bodyDiv w:val="1"/>
      <w:marLeft w:val="0"/>
      <w:marRight w:val="0"/>
      <w:marTop w:val="0"/>
      <w:marBottom w:val="0"/>
      <w:divBdr>
        <w:top w:val="none" w:sz="0" w:space="0" w:color="auto"/>
        <w:left w:val="none" w:sz="0" w:space="0" w:color="auto"/>
        <w:bottom w:val="none" w:sz="0" w:space="0" w:color="auto"/>
        <w:right w:val="none" w:sz="0" w:space="0" w:color="auto"/>
      </w:divBdr>
    </w:div>
    <w:div w:id="2028365337">
      <w:bodyDiv w:val="1"/>
      <w:marLeft w:val="0"/>
      <w:marRight w:val="0"/>
      <w:marTop w:val="0"/>
      <w:marBottom w:val="0"/>
      <w:divBdr>
        <w:top w:val="none" w:sz="0" w:space="0" w:color="auto"/>
        <w:left w:val="none" w:sz="0" w:space="0" w:color="auto"/>
        <w:bottom w:val="none" w:sz="0" w:space="0" w:color="auto"/>
        <w:right w:val="none" w:sz="0" w:space="0" w:color="auto"/>
      </w:divBdr>
    </w:div>
    <w:div w:id="2033335581">
      <w:bodyDiv w:val="1"/>
      <w:marLeft w:val="0"/>
      <w:marRight w:val="0"/>
      <w:marTop w:val="0"/>
      <w:marBottom w:val="0"/>
      <w:divBdr>
        <w:top w:val="none" w:sz="0" w:space="0" w:color="auto"/>
        <w:left w:val="none" w:sz="0" w:space="0" w:color="auto"/>
        <w:bottom w:val="none" w:sz="0" w:space="0" w:color="auto"/>
        <w:right w:val="none" w:sz="0" w:space="0" w:color="auto"/>
      </w:divBdr>
    </w:div>
    <w:div w:id="2033649105">
      <w:bodyDiv w:val="1"/>
      <w:marLeft w:val="0"/>
      <w:marRight w:val="0"/>
      <w:marTop w:val="0"/>
      <w:marBottom w:val="0"/>
      <w:divBdr>
        <w:top w:val="none" w:sz="0" w:space="0" w:color="auto"/>
        <w:left w:val="none" w:sz="0" w:space="0" w:color="auto"/>
        <w:bottom w:val="none" w:sz="0" w:space="0" w:color="auto"/>
        <w:right w:val="none" w:sz="0" w:space="0" w:color="auto"/>
      </w:divBdr>
    </w:div>
    <w:div w:id="2039693780">
      <w:bodyDiv w:val="1"/>
      <w:marLeft w:val="0"/>
      <w:marRight w:val="0"/>
      <w:marTop w:val="0"/>
      <w:marBottom w:val="0"/>
      <w:divBdr>
        <w:top w:val="none" w:sz="0" w:space="0" w:color="auto"/>
        <w:left w:val="none" w:sz="0" w:space="0" w:color="auto"/>
        <w:bottom w:val="none" w:sz="0" w:space="0" w:color="auto"/>
        <w:right w:val="none" w:sz="0" w:space="0" w:color="auto"/>
      </w:divBdr>
    </w:div>
    <w:div w:id="2056272686">
      <w:bodyDiv w:val="1"/>
      <w:marLeft w:val="0"/>
      <w:marRight w:val="0"/>
      <w:marTop w:val="0"/>
      <w:marBottom w:val="0"/>
      <w:divBdr>
        <w:top w:val="none" w:sz="0" w:space="0" w:color="auto"/>
        <w:left w:val="none" w:sz="0" w:space="0" w:color="auto"/>
        <w:bottom w:val="none" w:sz="0" w:space="0" w:color="auto"/>
        <w:right w:val="none" w:sz="0" w:space="0" w:color="auto"/>
      </w:divBdr>
    </w:div>
    <w:div w:id="2060939331">
      <w:bodyDiv w:val="1"/>
      <w:marLeft w:val="0"/>
      <w:marRight w:val="0"/>
      <w:marTop w:val="0"/>
      <w:marBottom w:val="0"/>
      <w:divBdr>
        <w:top w:val="none" w:sz="0" w:space="0" w:color="auto"/>
        <w:left w:val="none" w:sz="0" w:space="0" w:color="auto"/>
        <w:bottom w:val="none" w:sz="0" w:space="0" w:color="auto"/>
        <w:right w:val="none" w:sz="0" w:space="0" w:color="auto"/>
      </w:divBdr>
    </w:div>
    <w:div w:id="2062510557">
      <w:bodyDiv w:val="1"/>
      <w:marLeft w:val="0"/>
      <w:marRight w:val="0"/>
      <w:marTop w:val="0"/>
      <w:marBottom w:val="0"/>
      <w:divBdr>
        <w:top w:val="none" w:sz="0" w:space="0" w:color="auto"/>
        <w:left w:val="none" w:sz="0" w:space="0" w:color="auto"/>
        <w:bottom w:val="none" w:sz="0" w:space="0" w:color="auto"/>
        <w:right w:val="none" w:sz="0" w:space="0" w:color="auto"/>
      </w:divBdr>
    </w:div>
    <w:div w:id="2067337809">
      <w:bodyDiv w:val="1"/>
      <w:marLeft w:val="0"/>
      <w:marRight w:val="0"/>
      <w:marTop w:val="0"/>
      <w:marBottom w:val="0"/>
      <w:divBdr>
        <w:top w:val="none" w:sz="0" w:space="0" w:color="auto"/>
        <w:left w:val="none" w:sz="0" w:space="0" w:color="auto"/>
        <w:bottom w:val="none" w:sz="0" w:space="0" w:color="auto"/>
        <w:right w:val="none" w:sz="0" w:space="0" w:color="auto"/>
      </w:divBdr>
    </w:div>
    <w:div w:id="2072146795">
      <w:bodyDiv w:val="1"/>
      <w:marLeft w:val="0"/>
      <w:marRight w:val="0"/>
      <w:marTop w:val="0"/>
      <w:marBottom w:val="0"/>
      <w:divBdr>
        <w:top w:val="none" w:sz="0" w:space="0" w:color="auto"/>
        <w:left w:val="none" w:sz="0" w:space="0" w:color="auto"/>
        <w:bottom w:val="none" w:sz="0" w:space="0" w:color="auto"/>
        <w:right w:val="none" w:sz="0" w:space="0" w:color="auto"/>
      </w:divBdr>
    </w:div>
    <w:div w:id="2078353228">
      <w:bodyDiv w:val="1"/>
      <w:marLeft w:val="0"/>
      <w:marRight w:val="0"/>
      <w:marTop w:val="0"/>
      <w:marBottom w:val="0"/>
      <w:divBdr>
        <w:top w:val="none" w:sz="0" w:space="0" w:color="auto"/>
        <w:left w:val="none" w:sz="0" w:space="0" w:color="auto"/>
        <w:bottom w:val="none" w:sz="0" w:space="0" w:color="auto"/>
        <w:right w:val="none" w:sz="0" w:space="0" w:color="auto"/>
      </w:divBdr>
    </w:div>
    <w:div w:id="2079862444">
      <w:bodyDiv w:val="1"/>
      <w:marLeft w:val="0"/>
      <w:marRight w:val="0"/>
      <w:marTop w:val="0"/>
      <w:marBottom w:val="0"/>
      <w:divBdr>
        <w:top w:val="none" w:sz="0" w:space="0" w:color="auto"/>
        <w:left w:val="none" w:sz="0" w:space="0" w:color="auto"/>
        <w:bottom w:val="none" w:sz="0" w:space="0" w:color="auto"/>
        <w:right w:val="none" w:sz="0" w:space="0" w:color="auto"/>
      </w:divBdr>
    </w:div>
    <w:div w:id="2081249762">
      <w:bodyDiv w:val="1"/>
      <w:marLeft w:val="0"/>
      <w:marRight w:val="0"/>
      <w:marTop w:val="0"/>
      <w:marBottom w:val="0"/>
      <w:divBdr>
        <w:top w:val="none" w:sz="0" w:space="0" w:color="auto"/>
        <w:left w:val="none" w:sz="0" w:space="0" w:color="auto"/>
        <w:bottom w:val="none" w:sz="0" w:space="0" w:color="auto"/>
        <w:right w:val="none" w:sz="0" w:space="0" w:color="auto"/>
      </w:divBdr>
    </w:div>
    <w:div w:id="2093970751">
      <w:bodyDiv w:val="1"/>
      <w:marLeft w:val="0"/>
      <w:marRight w:val="0"/>
      <w:marTop w:val="0"/>
      <w:marBottom w:val="0"/>
      <w:divBdr>
        <w:top w:val="none" w:sz="0" w:space="0" w:color="auto"/>
        <w:left w:val="none" w:sz="0" w:space="0" w:color="auto"/>
        <w:bottom w:val="none" w:sz="0" w:space="0" w:color="auto"/>
        <w:right w:val="none" w:sz="0" w:space="0" w:color="auto"/>
      </w:divBdr>
    </w:div>
    <w:div w:id="2095471595">
      <w:bodyDiv w:val="1"/>
      <w:marLeft w:val="0"/>
      <w:marRight w:val="0"/>
      <w:marTop w:val="0"/>
      <w:marBottom w:val="0"/>
      <w:divBdr>
        <w:top w:val="none" w:sz="0" w:space="0" w:color="auto"/>
        <w:left w:val="none" w:sz="0" w:space="0" w:color="auto"/>
        <w:bottom w:val="none" w:sz="0" w:space="0" w:color="auto"/>
        <w:right w:val="none" w:sz="0" w:space="0" w:color="auto"/>
      </w:divBdr>
    </w:div>
    <w:div w:id="2107727506">
      <w:bodyDiv w:val="1"/>
      <w:marLeft w:val="0"/>
      <w:marRight w:val="0"/>
      <w:marTop w:val="0"/>
      <w:marBottom w:val="0"/>
      <w:divBdr>
        <w:top w:val="none" w:sz="0" w:space="0" w:color="auto"/>
        <w:left w:val="none" w:sz="0" w:space="0" w:color="auto"/>
        <w:bottom w:val="none" w:sz="0" w:space="0" w:color="auto"/>
        <w:right w:val="none" w:sz="0" w:space="0" w:color="auto"/>
      </w:divBdr>
    </w:div>
    <w:div w:id="2117089616">
      <w:bodyDiv w:val="1"/>
      <w:marLeft w:val="0"/>
      <w:marRight w:val="0"/>
      <w:marTop w:val="0"/>
      <w:marBottom w:val="0"/>
      <w:divBdr>
        <w:top w:val="none" w:sz="0" w:space="0" w:color="auto"/>
        <w:left w:val="none" w:sz="0" w:space="0" w:color="auto"/>
        <w:bottom w:val="none" w:sz="0" w:space="0" w:color="auto"/>
        <w:right w:val="none" w:sz="0" w:space="0" w:color="auto"/>
      </w:divBdr>
    </w:div>
    <w:div w:id="2120712169">
      <w:bodyDiv w:val="1"/>
      <w:marLeft w:val="0"/>
      <w:marRight w:val="0"/>
      <w:marTop w:val="0"/>
      <w:marBottom w:val="0"/>
      <w:divBdr>
        <w:top w:val="none" w:sz="0" w:space="0" w:color="auto"/>
        <w:left w:val="none" w:sz="0" w:space="0" w:color="auto"/>
        <w:bottom w:val="none" w:sz="0" w:space="0" w:color="auto"/>
        <w:right w:val="none" w:sz="0" w:space="0" w:color="auto"/>
      </w:divBdr>
    </w:div>
    <w:div w:id="2122336569">
      <w:bodyDiv w:val="1"/>
      <w:marLeft w:val="0"/>
      <w:marRight w:val="0"/>
      <w:marTop w:val="0"/>
      <w:marBottom w:val="0"/>
      <w:divBdr>
        <w:top w:val="none" w:sz="0" w:space="0" w:color="auto"/>
        <w:left w:val="none" w:sz="0" w:space="0" w:color="auto"/>
        <w:bottom w:val="none" w:sz="0" w:space="0" w:color="auto"/>
        <w:right w:val="none" w:sz="0" w:space="0" w:color="auto"/>
      </w:divBdr>
    </w:div>
    <w:div w:id="2126581813">
      <w:bodyDiv w:val="1"/>
      <w:marLeft w:val="0"/>
      <w:marRight w:val="0"/>
      <w:marTop w:val="0"/>
      <w:marBottom w:val="0"/>
      <w:divBdr>
        <w:top w:val="none" w:sz="0" w:space="0" w:color="auto"/>
        <w:left w:val="none" w:sz="0" w:space="0" w:color="auto"/>
        <w:bottom w:val="none" w:sz="0" w:space="0" w:color="auto"/>
        <w:right w:val="none" w:sz="0" w:space="0" w:color="auto"/>
      </w:divBdr>
    </w:div>
    <w:div w:id="21455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YuT15</b:Tag>
    <b:SourceType>ArticleInAPeriodical</b:SourceType>
    <b:Guid>{7940CCA8-FCB7-43EB-8D6F-2A01F9460E83}</b:Guid>
    <b:Author>
      <b:Author>
        <b:NameList>
          <b:Person>
            <b:Last>Yu</b:Last>
            <b:First>Tiffany</b:First>
            <b:Middle>H.</b:Middle>
          </b:Person>
          <b:Person>
            <b:Last>Wang</b:Last>
            <b:First>David</b:First>
            <b:Middle>H.</b:Middle>
          </b:Person>
          <b:Person>
            <b:Last>Wu</b:Last>
            <b:First>Kuo-Iun</b:First>
          </b:Person>
        </b:NameList>
      </b:Author>
    </b:Author>
    <b:Title>Reexamining the red herring effect on healthcare expenditures</b:Title>
    <b:PeriodicalTitle>Journal of Business Research</b:PeriodicalTitle>
    <b:Year>2015</b:Year>
    <b:Month>Abril</b:Month>
    <b:Pages>783-787</b:Pages>
    <b:RefOrder>25</b:RefOrder>
  </b:Source>
  <b:Source>
    <b:Tag>And13</b:Tag>
    <b:SourceType>ArticleInAPeriodical</b:SourceType>
    <b:Guid>{C0059E2B-C25F-4639-AA87-2204A83AB90B}</b:Guid>
    <b:Author>
      <b:Author>
        <b:NameList>
          <b:Person>
            <b:Last>Andrade</b:Last>
            <b:First>Mônica</b:First>
            <b:Middle>V.</b:Middle>
          </b:Person>
          <b:Person>
            <b:Last>Maia</b:Last>
            <b:First>Ana</b:First>
            <b:Middle>C.</b:Middle>
          </b:Person>
          <b:Person>
            <b:Last>Rodrigues</b:Last>
            <b:First>Cristina</b:First>
            <b:Middle>G.</b:Middle>
          </b:Person>
        </b:NameList>
      </b:Author>
    </b:Author>
    <b:Title>Indicadores de gastos com servições médicos no setor de saúde suplementar no Brasil</b:Title>
    <b:PeriodicalTitle>Revista Brasileira de Estudos Populacionais</b:PeriodicalTitle>
    <b:Year>2013</b:Year>
    <b:Pages>103-117</b:Pages>
    <b:RefOrder>1</b:RefOrder>
  </b:Source>
  <b:Source>
    <b:Tag>Arr63</b:Tag>
    <b:SourceType>ArticleInAPeriodical</b:SourceType>
    <b:Guid>{EB7E1BAA-36D6-425B-884F-C077959DA9C0}</b:Guid>
    <b:Author>
      <b:Author>
        <b:NameList>
          <b:Person>
            <b:Last>Arrow</b:Last>
            <b:First>Kenneth</b:First>
          </b:Person>
        </b:NameList>
      </b:Author>
    </b:Author>
    <b:Title>Uncertainty and the Welfare Economics of Medical Care</b:Title>
    <b:PeriodicalTitle>Journal of Health Politics, Policy and Law</b:PeriodicalTitle>
    <b:Year>1963</b:Year>
    <b:Pages>851-883</b:Pages>
    <b:RefOrder>2</b:RefOrder>
  </b:Source>
  <b:Source>
    <b:Tag>Zwe04</b:Tag>
    <b:SourceType>ArticleInAPeriodical</b:SourceType>
    <b:Guid>{6B5FAED7-8C3B-4C95-BED9-C9D85F483AEE}</b:Guid>
    <b:Author>
      <b:Author>
        <b:NameList>
          <b:Person>
            <b:Last>Zweifel</b:Last>
            <b:First>Peter</b:First>
          </b:Person>
          <b:Person>
            <b:Last>Felder</b:Last>
            <b:First>Stefan</b:First>
          </b:Person>
          <b:Person>
            <b:Last>Werblow</b:Last>
            <b:First>Andreas</b:First>
          </b:Person>
        </b:NameList>
      </b:Author>
    </b:Author>
    <b:Title>Population ageing and health care expenditure: new evidence on the "red herring"</b:Title>
    <b:PeriodicalTitle>The Geneva Papers on Risk and Insurance</b:PeriodicalTitle>
    <b:Year>2004</b:Year>
    <b:Pages>652-666</b:Pages>
    <b:RefOrder>3</b:RefOrder>
  </b:Source>
  <b:Source>
    <b:Tag>Zwe99</b:Tag>
    <b:SourceType>ArticleInAPeriodical</b:SourceType>
    <b:Guid>{FCF48583-8853-434C-B776-8FF012C5FE6D}</b:Guid>
    <b:Author>
      <b:Author>
        <b:NameList>
          <b:Person>
            <b:Last>Zweifel</b:Last>
            <b:First>Peter</b:First>
          </b:Person>
          <b:Person>
            <b:Last>Felder</b:Last>
            <b:First>Stefan</b:First>
          </b:Person>
          <b:Person>
            <b:Last>Meiers</b:Last>
            <b:First>Markus</b:First>
          </b:Person>
        </b:NameList>
      </b:Author>
    </b:Author>
    <b:Title>Ageing of population and health care expenditure: a red herring?</b:Title>
    <b:PeriodicalTitle>Health Economics</b:PeriodicalTitle>
    <b:Year>1999</b:Year>
    <b:Pages>485-496</b:Pages>
    <b:RefOrder>4</b:RefOrder>
  </b:Source>
  <b:Source>
    <b:Tag>Rod12</b:Tag>
    <b:SourceType>ArticleInAPeriodical</b:SourceType>
    <b:Guid>{DD70D41E-0F39-4904-8E6A-CE59EF44D0E7}</b:Guid>
    <b:Author>
      <b:Author>
        <b:NameList>
          <b:Person>
            <b:Last>Rodrigues</b:Last>
            <b:First>Cristina</b:First>
            <b:Middle>Guimarães</b:Middle>
          </b:Person>
          <b:Person>
            <b:Last>Afonso</b:Last>
            <b:First>Luís</b:First>
            <b:Middle>Eduardo</b:Middle>
          </b:Person>
        </b:NameList>
      </b:Author>
    </b:Author>
    <b:Title>O efeito do status de sobrevivência sobre gastos com internações hospitalares públicas no Brasil em uma perspectiva temporal</b:Title>
    <b:PeriodicalTitle>Estudos Econômicos</b:PeriodicalTitle>
    <b:Year>2012</b:Year>
    <b:Pages>489-510</b:Pages>
    <b:RefOrder>5</b:RefOrder>
  </b:Source>
  <b:Source>
    <b:Tag>Joh15</b:Tag>
    <b:SourceType>ArticleInAPeriodical</b:SourceType>
    <b:Guid>{B0BC8337-0A70-4C72-A36F-8C29729A40A0}</b:Guid>
    <b:Author>
      <b:Author>
        <b:NameList>
          <b:Person>
            <b:Last>John</b:Last>
            <b:First>Onyedikachi</b:First>
            <b:Middle>O.</b:Middle>
          </b:Person>
        </b:NameList>
      </b:Author>
    </b:Author>
    <b:Title>Robustness of quantile regression to outliers</b:Title>
    <b:PeriodicalTitle>American Journal of Applied Mathematics and Statistics</b:PeriodicalTitle>
    <b:Year>2015</b:Year>
    <b:Pages>86-88</b:Pages>
    <b:RefOrder>6</b:RefOrder>
  </b:Source>
  <b:Source>
    <b:Tag>Tuf11</b:Tag>
    <b:SourceType>Book</b:SourceType>
    <b:Guid>{276E8D24-D763-4896-8775-58A3FEC1666D}</b:Guid>
    <b:Title>Data mining and statistics for decision making</b:Title>
    <b:Year>2011</b:Year>
    <b:Author>
      <b:Author>
        <b:NameList>
          <b:Person>
            <b:Last>Tufféry</b:Last>
            <b:First>Stéphane</b:First>
          </b:Person>
        </b:NameList>
      </b:Author>
    </b:Author>
    <b:City>West Sussex</b:City>
    <b:Publisher>John Wiley &amp; Sons</b:Publisher>
    <b:RefOrder>7</b:RefOrder>
  </b:Source>
  <b:Source>
    <b:Tag>Nis09</b:Tag>
    <b:SourceType>Book</b:SourceType>
    <b:Guid>{F8882F0C-C236-4EE8-AA5C-82BF6DB7D74C}</b:Guid>
    <b:Author>
      <b:Author>
        <b:NameList>
          <b:Person>
            <b:Last>Nisbet</b:Last>
            <b:First>Robert</b:First>
          </b:Person>
          <b:Person>
            <b:Last>Miner</b:Last>
            <b:First>Gary</b:First>
          </b:Person>
          <b:Person>
            <b:Last>Elder</b:Last>
            <b:First>John</b:First>
          </b:Person>
        </b:NameList>
      </b:Author>
    </b:Author>
    <b:Title>Handbook of statistical analysis and data mining applications</b:Title>
    <b:Year>2009</b:Year>
    <b:Publisher>Academic Press</b:Publisher>
    <b:RefOrder>8</b:RefOrder>
  </b:Source>
  <b:Source>
    <b:Tag>Grö09</b:Tag>
    <b:SourceType>ArticleInAPeriodical</b:SourceType>
    <b:Guid>{67C8E950-DAAD-4EAD-8B39-302F2DD1D655}</b:Guid>
    <b:Author>
      <b:Author>
        <b:NameList>
          <b:Person>
            <b:Last>Grömping</b:Last>
            <b:First>Ulrike</b:First>
          </b:Person>
        </b:NameList>
      </b:Author>
    </b:Author>
    <b:Title>Variable importance assessment in regression: linear regression versus random forest</b:Title>
    <b:Year>2009</b:Year>
    <b:PeriodicalTitle>The American Statistician</b:PeriodicalTitle>
    <b:Month>4</b:Month>
    <b:Day>63</b:Day>
    <b:Pages>50-62</b:Pages>
    <b:RefOrder>9</b:RefOrder>
  </b:Source>
  <b:Source>
    <b:Tag>Gen10</b:Tag>
    <b:SourceType>ArticleInAPeriodical</b:SourceType>
    <b:Guid>{9E28F0DC-40BF-4D62-B61D-D19C6618DBB3}</b:Guid>
    <b:Author>
      <b:Author>
        <b:NameList>
          <b:Person>
            <b:Last>Genuer</b:Last>
            <b:First>Robin</b:First>
          </b:Person>
          <b:Person>
            <b:Last>Poggi</b:Last>
            <b:First>Jean-Michel</b:First>
          </b:Person>
          <b:Person>
            <b:Last>Tuleau-Malot</b:Last>
            <b:First>Christine</b:First>
          </b:Person>
        </b:NameList>
      </b:Author>
    </b:Author>
    <b:Title>Variable selection using random forests</b:Title>
    <b:PeriodicalTitle>Pattern Recognition Letters</b:PeriodicalTitle>
    <b:Year>2010</b:Year>
    <b:Pages>2225-2236</b:Pages>
    <b:RefOrder>10</b:RefOrder>
  </b:Source>
  <b:Source>
    <b:Tag>RCo16</b:Tag>
    <b:SourceType>Misc</b:SourceType>
    <b:Guid>{89C78522-14B1-4ED3-91E8-D362E26CF536}</b:Guid>
    <b:Title>R: A language and environment for statistical computing</b:Title>
    <b:Year>2016</b:Year>
    <b:Author>
      <b:Author>
        <b:NameList>
          <b:Person>
            <b:Last>Team</b:Last>
            <b:First>R</b:First>
            <b:Middle>Core</b:Middle>
          </b:Person>
        </b:NameList>
      </b:Author>
    </b:Author>
    <b:StateProvince>Viena</b:StateProvince>
    <b:CountryRegion>Áustria</b:CountryRegion>
    <b:Publisher>R Foundation for Statistical Computing</b:Publisher>
    <b:RefOrder>11</b:RefOrder>
  </b:Source>
  <b:Source>
    <b:Tag>Lia02</b:Tag>
    <b:SourceType>ArticleInAPeriodical</b:SourceType>
    <b:Guid>{5385F06C-57C8-46E6-BA1B-73B654FBF3DF}</b:Guid>
    <b:Title>Classification and regression by randomForest</b:Title>
    <b:Year>2002</b:Year>
    <b:Author>
      <b:Author>
        <b:NameList>
          <b:Person>
            <b:Last>Liaw</b:Last>
            <b:First>A.</b:First>
          </b:Person>
          <b:Person>
            <b:Last>Wiener</b:Last>
            <b:First>M.</b:First>
          </b:Person>
        </b:NameList>
      </b:Author>
    </b:Author>
    <b:PeriodicalTitle>R News</b:PeriodicalTitle>
    <b:Pages>18-22</b:Pages>
    <b:RefOrder>12</b:RefOrder>
  </b:Source>
  <b:Source>
    <b:Tag>The15</b:Tag>
    <b:SourceType>Misc</b:SourceType>
    <b:Guid>{C1191C0C-794F-4673-AF48-23DCAE61503C}</b:Guid>
    <b:Author>
      <b:Author>
        <b:NameList>
          <b:Person>
            <b:Last>Therneau</b:Last>
            <b:First>Terry</b:First>
          </b:Person>
          <b:Person>
            <b:Last>Atkinson</b:Last>
            <b:First>Beth</b:First>
          </b:Person>
          <b:Person>
            <b:Last>Ripley</b:Last>
            <b:First>Brian</b:First>
          </b:Person>
        </b:NameList>
      </b:Author>
    </b:Author>
    <b:Title>rpart: recursive partitioning and regression trees</b:Title>
    <b:Year>2015</b:Year>
    <b:PublicationTitle>R package version 4.1-10</b:PublicationTitle>
    <b:RefOrder>13</b:RefOrder>
  </b:Source>
  <b:Source>
    <b:Tag>Rog16</b:Tag>
    <b:SourceType>Misc</b:SourceType>
    <b:Guid>{FB7B5720-BDE6-449A-B113-FCF2E6760CAC}</b:Guid>
    <b:Author>
      <b:Author>
        <b:NameList>
          <b:Person>
            <b:Last>Koenker</b:Last>
            <b:First>Roger</b:First>
          </b:Person>
        </b:NameList>
      </b:Author>
    </b:Author>
    <b:Title>quantreg: quantile regression</b:Title>
    <b:PublicationTitle>R package version 5.29</b:PublicationTitle>
    <b:Year>2016</b:Year>
    <b:RefOrder>14</b:RefOrder>
  </b:Source>
  <b:Source>
    <b:Tag>Mee04</b:Tag>
    <b:SourceType>ArticleInAPeriodical</b:SourceType>
    <b:Guid>{5126513C-3856-47AF-BB56-22242DB6AE78}</b:Guid>
    <b:Title>Ageing and health-care expenditure: the red herring argument revisited</b:Title>
    <b:Year>2004</b:Year>
    <b:Author>
      <b:Author>
        <b:NameList>
          <b:Person>
            <b:Last>Seshamani</b:Last>
            <b:First>Meena</b:First>
          </b:Person>
          <b:Person>
            <b:Last>Gray</b:Last>
            <b:First>Alastair</b:First>
          </b:Person>
        </b:NameList>
      </b:Author>
    </b:Author>
    <b:PeriodicalTitle>Health Economics</b:PeriodicalTitle>
    <b:Pages>303-314</b:Pages>
    <b:RefOrder>15</b:RefOrder>
  </b:Source>
  <b:Source>
    <b:Tag>Mee041</b:Tag>
    <b:SourceType>ArticleInAPeriodical</b:SourceType>
    <b:Guid>{C1DF045B-FE98-4DF2-8C6D-4000EB8C9771}</b:Guid>
    <b:Author>
      <b:Author>
        <b:NameList>
          <b:Person>
            <b:Last>Seshamani</b:Last>
            <b:First>Meena</b:First>
          </b:Person>
          <b:Person>
            <b:Last>Gray</b:Last>
            <b:First>Alistair</b:First>
          </b:Person>
        </b:NameList>
      </b:Author>
    </b:Author>
    <b:Title>Time to death and health expenditure: an improved model for the impact of demographic change on health care costs</b:Title>
    <b:PeriodicalTitle>Age and Ageing</b:PeriodicalTitle>
    <b:Year>2004</b:Year>
    <b:Pages>1-6</b:Pages>
    <b:RefOrder>16</b:RefOrder>
  </b:Source>
  <b:Source>
    <b:Tag>Mai12</b:Tag>
    <b:SourceType>Report</b:SourceType>
    <b:Guid>{91817FB8-A2AC-4D16-9E37-BED35C68EB21}</b:Guid>
    <b:Title>Estudo longitudinal do efeito da idade e tempo até a morte em gastos com saúde (REAP working paper 37)</b:Title>
    <b:Year>2012</b:Year>
    <b:Author>
      <b:Author>
        <b:NameList>
          <b:Person>
            <b:Last>Maia</b:Last>
            <b:First>Ana</b:First>
            <b:Middle>Carolina</b:Middle>
          </b:Person>
          <b:Person>
            <b:Last>Andrade</b:Last>
            <b:First>Mônica</b:First>
            <b:Middle>Viegas</b:Middle>
          </b:Person>
          <b:Person>
            <b:Last>Feres</b:Last>
            <b:First>Flávia</b:First>
            <b:Middle>Lúcia Chein</b:Middle>
          </b:Person>
        </b:NameList>
      </b:Author>
    </b:Author>
    <b:Publisher>Rede de Economia Aplicada</b:Publisher>
    <b:RefOrder>17</b:RefOrder>
  </b:Source>
  <b:Source>
    <b:Tag>Fri00</b:Tag>
    <b:SourceType>ArticleInAPeriodical</b:SourceType>
    <b:Guid>{4005D481-D318-4A7A-BF52-6DE32B069E7B}</b:Guid>
    <b:Title>Compression of morbidity in the elderly</b:Title>
    <b:Year>2000</b:Year>
    <b:Author>
      <b:Author>
        <b:NameList>
          <b:Person>
            <b:Last>Fries</b:Last>
            <b:First>James</b:First>
            <b:Middle>F.</b:Middle>
          </b:Person>
        </b:NameList>
      </b:Author>
    </b:Author>
    <b:PeriodicalTitle>Vaccine</b:PeriodicalTitle>
    <b:Pages>1584-1589</b:Pages>
    <b:RefOrder>18</b:RefOrder>
  </b:Source>
  <b:Source>
    <b:Tag>Fri03</b:Tag>
    <b:SourceType>ArticleInAPeriodical</b:SourceType>
    <b:Guid>{7B280E0E-B5A3-4A2A-80CC-6117D8C84250}</b:Guid>
    <b:Author>
      <b:Author>
        <b:NameList>
          <b:Person>
            <b:Last>Fries</b:Last>
            <b:First>J.</b:First>
            <b:Middle>F.</b:Middle>
          </b:Person>
        </b:NameList>
      </b:Author>
    </b:Author>
    <b:Title>Measuring and monitoring success in compressing morbidity</b:Title>
    <b:PeriodicalTitle>Annals of Internal Medicine</b:PeriodicalTitle>
    <b:Year>2003</b:Year>
    <b:Pages>455-459</b:Pages>
    <b:RefOrder>19</b:RefOrder>
  </b:Source>
  <b:Source>
    <b:Tag>Dav13</b:Tag>
    <b:SourceType>Report</b:SourceType>
    <b:Guid>{0E4D0C74-31A5-4999-A437-62FD6B3F6E24}</b:Guid>
    <b:Title>Evidence for significant compression of morbidity in the elderly U.S. population (NBER working paper 19268)</b:Title>
    <b:Year>2013</b:Year>
    <b:Author>
      <b:Author>
        <b:NameList>
          <b:Person>
            <b:Last>Cutler</b:Last>
            <b:First>David</b:First>
            <b:Middle>M.</b:Middle>
          </b:Person>
          <b:Person>
            <b:Last>Ghosh</b:Last>
            <b:First>Kaushik</b:First>
          </b:Person>
          <b:Person>
            <b:Last>Landrum</b:Last>
            <b:First>Mary</b:First>
            <b:Middle>Beth</b:Middle>
          </b:Person>
        </b:NameList>
      </b:Author>
    </b:Author>
    <b:Publisher>National Bureau of Economic Research</b:Publisher>
    <b:City>Cambridge, MA</b:City>
    <b:RefOrder>20</b:RefOrder>
  </b:Source>
  <b:Source>
    <b:Tag>Gab16</b:Tag>
    <b:SourceType>ArticleInAPeriodical</b:SourceType>
    <b:Guid>{E3BEFECE-258A-453F-AEA7-94C43E0105F8}</b:Guid>
    <b:Title>O envelhecimento populacional brasileiro: desafios e consequências sociais atuais e futuras</b:Title>
    <b:Year>2016</b:Year>
    <b:Author>
      <b:Author>
        <b:NameList>
          <b:Person>
            <b:Last>Miranda</b:Last>
            <b:First>Gabriella</b:First>
            <b:Middle>Morais Duarte</b:Middle>
          </b:Person>
          <b:Person>
            <b:Last>Mendes</b:Last>
            <b:First>Antonio</b:First>
            <b:Middle>Cruz Gouveia</b:Middle>
          </b:Person>
          <b:Person>
            <b:Last>Silva</b:Last>
            <b:First>Ana</b:First>
            <b:Middle>Lucia Andrade</b:Middle>
          </b:Person>
        </b:NameList>
      </b:Author>
    </b:Author>
    <b:PeriodicalTitle>Revista Brasileira de Geriatria e Gerontologia</b:PeriodicalTitle>
    <b:Pages>507-519</b:Pages>
    <b:RefOrder>21</b:RefOrder>
  </b:Source>
  <b:Source>
    <b:Tag>Chu10</b:Tag>
    <b:SourceType>ArticleInAPeriodical</b:SourceType>
    <b:Guid>{9F90AA50-D4E8-4BC6-80E5-2D4E712F3348}</b:Guid>
    <b:Author>
      <b:Author>
        <b:NameList>
          <b:Person>
            <b:Last>Chubarova</b:Last>
            <b:First>T.</b:First>
          </b:Person>
        </b:NameList>
      </b:Author>
    </b:Author>
    <b:Title>The health-care system in Russia</b:Title>
    <b:PeriodicalTitle>Problems of Economic Transition</b:PeriodicalTitle>
    <b:Year>2010</b:Year>
    <b:Pages>24-42</b:Pages>
    <b:RefOrder>22</b:RefOrder>
  </b:Source>
  <b:Source>
    <b:Tag>Dav78</b:Tag>
    <b:SourceType>ArticleInAPeriodical</b:SourceType>
    <b:Guid>{C8DABB15-8036-4755-A648-6289CE6EDDA6}</b:Guid>
    <b:Author>
      <b:Author>
        <b:NameList>
          <b:Person>
            <b:Last>Locker</b:Last>
            <b:First>David</b:First>
          </b:Person>
          <b:Person>
            <b:Last>Dunt</b:Last>
            <b:First>David</b:First>
          </b:Person>
        </b:NameList>
      </b:Author>
    </b:Author>
    <b:Title>Theoretical and methodological issues in sociological studies of consumer satisfaction with medical care</b:Title>
    <b:PeriodicalTitle>Social Science &amp; Medicine</b:PeriodicalTitle>
    <b:Year>1978</b:Year>
    <b:Pages>283-292</b:Pages>
    <b:RefOrder>23</b:RefOrder>
  </b:Source>
  <b:Source>
    <b:Tag>Dav06</b:Tag>
    <b:SourceType>Report</b:SourceType>
    <b:Guid>{93FF3E72-8C73-435B-92A9-6F4146F8AB4F}</b:Guid>
    <b:Title>The determinants of mortality (NBER working paper 11063)</b:Title>
    <b:Year>2006</b:Year>
    <b:City>Cambridge, MA</b:City>
    <b:Publisher>National Bureau of Economic Research</b:Publisher>
    <b:Author>
      <b:Author>
        <b:NameList>
          <b:Person>
            <b:Last>Cutler</b:Last>
            <b:First>David</b:First>
            <b:Middle>M.</b:Middle>
          </b:Person>
          <b:Person>
            <b:Last>Deaton</b:Last>
            <b:First>Angus</b:First>
            <b:Middle>S.</b:Middle>
          </b:Person>
          <b:Person>
            <b:Last>Lleras-Muney</b:Last>
            <b:First>Adriana</b:First>
          </b:Person>
        </b:NameList>
      </b:Author>
    </b:Author>
    <b:RefOrder>24</b:RefOrder>
  </b:Source>
</b:Sources>
</file>

<file path=customXml/itemProps1.xml><?xml version="1.0" encoding="utf-8"?>
<ds:datastoreItem xmlns:ds="http://schemas.openxmlformats.org/officeDocument/2006/customXml" ds:itemID="{E87EC198-065B-4DD4-8B27-B9E525FC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8386</Words>
  <Characters>45289</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Rômulo Alves</dc:creator>
  <cp:keywords/>
  <dc:description/>
  <cp:lastModifiedBy>Rômulo Alves</cp:lastModifiedBy>
  <cp:revision>9</cp:revision>
  <cp:lastPrinted>2017-02-21T02:00:00Z</cp:lastPrinted>
  <dcterms:created xsi:type="dcterms:W3CDTF">2017-06-08T00:17:00Z</dcterms:created>
  <dcterms:modified xsi:type="dcterms:W3CDTF">2017-06-08T00:41:00Z</dcterms:modified>
</cp:coreProperties>
</file>